
<file path=[Content_Types].xml><?xml version="1.0" encoding="utf-8"?>
<Types xmlns="http://schemas.openxmlformats.org/package/2006/content-types">
  <Default Extension="emf" ContentType="image/x-emf"/>
  <Default Extension="gif" ContentType="image/gi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2.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3.xml" ContentType="application/vnd.openxmlformats-officedocument.wordprocessingml.footer+xml"/>
  <Override PartName="/word/header8.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pPr w:leftFromText="180" w:rightFromText="180" w:vertAnchor="text" w:horzAnchor="margin" w:tblpY="9863"/>
        <w:tblOverlap w:val="never"/>
        <w:tblW w:w="36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52"/>
      </w:tblGrid>
      <w:tr w:rsidR="008E7846" w:rsidRPr="00A65602" w14:paraId="3E37A32C" w14:textId="77777777" w:rsidTr="00BF1190">
        <w:trPr>
          <w:trHeight w:val="1863"/>
        </w:trPr>
        <w:tc>
          <w:tcPr>
            <w:tcW w:w="3652" w:type="dxa"/>
            <w:tcBorders>
              <w:top w:val="nil"/>
              <w:left w:val="nil"/>
              <w:bottom w:val="nil"/>
              <w:right w:val="nil"/>
            </w:tcBorders>
          </w:tcPr>
          <w:p w14:paraId="53DC1C54" w14:textId="5BA8FB28" w:rsidR="008E7846" w:rsidRPr="00A65602" w:rsidRDefault="00A66610" w:rsidP="00A66610">
            <w:pPr>
              <w:pStyle w:val="Date"/>
              <w:framePr w:hSpace="0" w:wrap="auto" w:vAnchor="margin" w:hAnchor="text" w:yAlign="inline"/>
              <w:suppressOverlap w:val="0"/>
            </w:pPr>
            <w:r>
              <w:t>October</w:t>
            </w:r>
            <w:r w:rsidR="00BF7DA4" w:rsidRPr="00A65602">
              <w:t xml:space="preserve"> </w:t>
            </w:r>
            <w:r w:rsidR="00F40D73" w:rsidRPr="00A65602">
              <w:t>2022</w:t>
            </w:r>
          </w:p>
        </w:tc>
      </w:tr>
    </w:tbl>
    <w:tbl>
      <w:tblPr>
        <w:tblpPr w:leftFromText="180" w:rightFromText="180" w:vertAnchor="page" w:tblpY="3316"/>
        <w:tblW w:w="9079" w:type="dxa"/>
        <w:tblLayout w:type="fixed"/>
        <w:tblLook w:val="04A0" w:firstRow="1" w:lastRow="0" w:firstColumn="1" w:lastColumn="0" w:noHBand="0" w:noVBand="1"/>
      </w:tblPr>
      <w:tblGrid>
        <w:gridCol w:w="9079"/>
      </w:tblGrid>
      <w:tr w:rsidR="0032583B" w:rsidRPr="00A65602" w14:paraId="5FDA235F" w14:textId="77777777" w:rsidTr="0032583B">
        <w:trPr>
          <w:trHeight w:val="868"/>
        </w:trPr>
        <w:tc>
          <w:tcPr>
            <w:tcW w:w="9079" w:type="dxa"/>
          </w:tcPr>
          <w:p w14:paraId="777BB4F5" w14:textId="66E3EF65" w:rsidR="0032583B" w:rsidRPr="00A65602" w:rsidRDefault="0032583B" w:rsidP="00F931CE">
            <w:pPr>
              <w:pStyle w:val="Title"/>
              <w:framePr w:hSpace="0" w:wrap="auto" w:vAnchor="margin" w:yAlign="inline"/>
            </w:pPr>
            <w:r w:rsidRPr="00A65602">
              <w:t>Australian Public Assessment Report for</w:t>
            </w:r>
            <w:r w:rsidR="00AF2313" w:rsidRPr="00A65602">
              <w:t xml:space="preserve"> </w:t>
            </w:r>
            <w:r w:rsidR="00F40D73" w:rsidRPr="00A65602">
              <w:t>Cosentyx</w:t>
            </w:r>
          </w:p>
        </w:tc>
      </w:tr>
      <w:tr w:rsidR="0032583B" w:rsidRPr="00A65602" w14:paraId="67B02091" w14:textId="77777777" w:rsidTr="0032583B">
        <w:tc>
          <w:tcPr>
            <w:tcW w:w="9079" w:type="dxa"/>
          </w:tcPr>
          <w:p w14:paraId="4E8BE3D4" w14:textId="52D0B3E8" w:rsidR="0032583B" w:rsidRPr="00A65602" w:rsidRDefault="00BB75D6" w:rsidP="00F931CE">
            <w:pPr>
              <w:pStyle w:val="Subtitle"/>
              <w:framePr w:hSpace="0" w:wrap="auto" w:vAnchor="margin" w:yAlign="inline"/>
            </w:pPr>
            <w:r w:rsidRPr="00A65602">
              <w:t>Active ingredient</w:t>
            </w:r>
            <w:r w:rsidR="0032583B" w:rsidRPr="00A65602">
              <w:t xml:space="preserve">: </w:t>
            </w:r>
            <w:r w:rsidR="00F40D73" w:rsidRPr="00A65602">
              <w:t>Secukinumab</w:t>
            </w:r>
          </w:p>
        </w:tc>
      </w:tr>
      <w:tr w:rsidR="0032583B" w:rsidRPr="00A65602" w14:paraId="6DF28B2F" w14:textId="77777777" w:rsidTr="0032583B">
        <w:trPr>
          <w:trHeight w:val="486"/>
        </w:trPr>
        <w:tc>
          <w:tcPr>
            <w:tcW w:w="9079" w:type="dxa"/>
          </w:tcPr>
          <w:p w14:paraId="6ADE51BC" w14:textId="6C29CF20" w:rsidR="0032583B" w:rsidRPr="00A65602" w:rsidRDefault="00460036" w:rsidP="009556D7">
            <w:pPr>
              <w:pStyle w:val="Subtitle"/>
              <w:framePr w:hSpace="0" w:wrap="auto" w:vAnchor="margin" w:yAlign="inline"/>
            </w:pPr>
            <w:r w:rsidRPr="00A65602">
              <w:t xml:space="preserve">Sponsor: </w:t>
            </w:r>
            <w:r w:rsidR="00F40D73" w:rsidRPr="00A65602">
              <w:t>Novartis Pharmaceuticals Australia Pty Limited</w:t>
            </w:r>
          </w:p>
        </w:tc>
      </w:tr>
    </w:tbl>
    <w:p w14:paraId="0CD28DE0" w14:textId="77777777" w:rsidR="008E7846" w:rsidRPr="00A65602" w:rsidRDefault="008E7846" w:rsidP="0085156D">
      <w:r w:rsidRPr="00A65602">
        <w:br w:type="page"/>
      </w:r>
    </w:p>
    <w:p w14:paraId="04999156" w14:textId="77777777" w:rsidR="008E7846" w:rsidRPr="00A65602" w:rsidRDefault="008E7846" w:rsidP="008E7846">
      <w:pPr>
        <w:pStyle w:val="NonTOCHeading2"/>
      </w:pPr>
      <w:r w:rsidRPr="00A65602">
        <w:lastRenderedPageBreak/>
        <w:t>About the Therapeutic Goods Administration (TGA)</w:t>
      </w:r>
    </w:p>
    <w:p w14:paraId="1269443F" w14:textId="77777777" w:rsidR="00AF2313" w:rsidRPr="00A65602" w:rsidRDefault="00AF2313" w:rsidP="00AF2313">
      <w:pPr>
        <w:pStyle w:val="ListBullet"/>
      </w:pPr>
      <w:r w:rsidRPr="00A65602">
        <w:t>The Therapeutic Goods Administration (TGA) is part of the Australian Government Department of Health and is responsible for regulating therapeutic goods, including medicines, medical devices, and biologicals.</w:t>
      </w:r>
    </w:p>
    <w:p w14:paraId="6B6BDA9C" w14:textId="77777777" w:rsidR="00AF2313" w:rsidRPr="00A65602" w:rsidRDefault="00AF2313" w:rsidP="00AF2313">
      <w:pPr>
        <w:pStyle w:val="ListBullet"/>
      </w:pPr>
      <w:r w:rsidRPr="00A65602">
        <w:t xml:space="preserve">The TGA administers the </w:t>
      </w:r>
      <w:r w:rsidRPr="00A65602">
        <w:rPr>
          <w:i/>
          <w:iCs/>
        </w:rPr>
        <w:t>Therapeutic Goods Act 1989</w:t>
      </w:r>
      <w:r w:rsidRPr="00A65602">
        <w:t xml:space="preserve"> (the Act), applying a risk management approach designed to ensure therapeutic goods supplied in Australia meet acceptable standards of quality, </w:t>
      </w:r>
      <w:r w:rsidR="00CC5044" w:rsidRPr="00A65602">
        <w:t>safety,</w:t>
      </w:r>
      <w:r w:rsidRPr="00A65602">
        <w:t xml:space="preserve"> and efficacy.</w:t>
      </w:r>
    </w:p>
    <w:p w14:paraId="23AE7594" w14:textId="77777777" w:rsidR="00AF2313" w:rsidRPr="00A65602" w:rsidRDefault="00AF2313" w:rsidP="00AF2313">
      <w:pPr>
        <w:pStyle w:val="ListBullet"/>
      </w:pPr>
      <w:r w:rsidRPr="00A65602">
        <w:t>The work of the TGA is based on applying scientific and clinical expertise to decision-making, to ensure that the benefits to the Australian public outweigh any risks associated with the use of therapeutic goods.</w:t>
      </w:r>
    </w:p>
    <w:p w14:paraId="76E17F9C" w14:textId="77777777" w:rsidR="00AF2313" w:rsidRPr="00A65602" w:rsidRDefault="00AF2313" w:rsidP="00AF2313">
      <w:pPr>
        <w:pStyle w:val="ListBullet"/>
      </w:pPr>
      <w:r w:rsidRPr="00A65602">
        <w:t>The TGA relies on the public, healthcare professionals and industry to report problems with therapeutic goods. The TGA investigates reports received to determine any necessary regulatory action.</w:t>
      </w:r>
    </w:p>
    <w:p w14:paraId="43E98380" w14:textId="73CC5491" w:rsidR="00AF2313" w:rsidRPr="00A65602" w:rsidRDefault="00AF2313" w:rsidP="00AF2313">
      <w:pPr>
        <w:pStyle w:val="ListBullet"/>
      </w:pPr>
      <w:r w:rsidRPr="00A65602">
        <w:t xml:space="preserve">To report a problem with a therapeutic good, please see the information on the </w:t>
      </w:r>
      <w:hyperlink r:id="rId8" w:history="1">
        <w:r w:rsidRPr="00A65602">
          <w:rPr>
            <w:rStyle w:val="Hyperlink"/>
          </w:rPr>
          <w:t>TGA website</w:t>
        </w:r>
      </w:hyperlink>
      <w:r w:rsidRPr="00A65602">
        <w:t>.</w:t>
      </w:r>
    </w:p>
    <w:p w14:paraId="70669AD7" w14:textId="77777777" w:rsidR="008E7846" w:rsidRPr="00A65602" w:rsidRDefault="008E7846" w:rsidP="00875A6B">
      <w:pPr>
        <w:pStyle w:val="NonTOCHeading2"/>
      </w:pPr>
      <w:r w:rsidRPr="00A65602">
        <w:t xml:space="preserve">About </w:t>
      </w:r>
      <w:proofErr w:type="spellStart"/>
      <w:r w:rsidRPr="00A65602">
        <w:t>AusPARs</w:t>
      </w:r>
      <w:proofErr w:type="spellEnd"/>
    </w:p>
    <w:p w14:paraId="2B4F260A" w14:textId="00D5318C" w:rsidR="00AF2313" w:rsidRPr="00A65602" w:rsidRDefault="00AF2313" w:rsidP="00AF2313">
      <w:pPr>
        <w:pStyle w:val="ListBullet"/>
      </w:pPr>
      <w:r w:rsidRPr="00A65602">
        <w:t xml:space="preserve">The Australian Public Assessment Report (AusPAR) provides information about the evaluation of a prescription medicine and the considerations that led the TGA to approve or not approve a prescription medicine submission. Further information can be found in </w:t>
      </w:r>
      <w:hyperlink r:id="rId9" w:history="1">
        <w:r w:rsidRPr="00A65602">
          <w:rPr>
            <w:rStyle w:val="Hyperlink"/>
          </w:rPr>
          <w:t>Australian Public Assessment Report (AusPAR) guidance</w:t>
        </w:r>
      </w:hyperlink>
      <w:r w:rsidRPr="00A65602">
        <w:t>.</w:t>
      </w:r>
    </w:p>
    <w:p w14:paraId="167311E5" w14:textId="77777777" w:rsidR="00AF2313" w:rsidRPr="00A65602" w:rsidRDefault="00AF2313" w:rsidP="00AF2313">
      <w:pPr>
        <w:pStyle w:val="ListBullet"/>
      </w:pPr>
      <w:proofErr w:type="spellStart"/>
      <w:r w:rsidRPr="00A65602">
        <w:t>AusPARs</w:t>
      </w:r>
      <w:proofErr w:type="spellEnd"/>
      <w:r w:rsidRPr="00A65602">
        <w:t xml:space="preserve"> are prepared and published by the TGA.</w:t>
      </w:r>
    </w:p>
    <w:p w14:paraId="578243E0" w14:textId="77777777" w:rsidR="00AF2313" w:rsidRPr="00A65602" w:rsidRDefault="00AF2313" w:rsidP="00AF2313">
      <w:pPr>
        <w:pStyle w:val="ListBullet"/>
      </w:pPr>
      <w:proofErr w:type="spellStart"/>
      <w:r w:rsidRPr="00A65602">
        <w:t>AusPARs</w:t>
      </w:r>
      <w:proofErr w:type="spellEnd"/>
      <w:r w:rsidRPr="00A65602">
        <w:t xml:space="preserve"> are static documents that provide information that relates to a submission at a particular point in time.</w:t>
      </w:r>
      <w:r w:rsidR="008110BC" w:rsidRPr="00A65602">
        <w:t xml:space="preserve"> The publication of an AusPAR is an important part of the transparency of the TGA’s decision-making process.</w:t>
      </w:r>
    </w:p>
    <w:p w14:paraId="3B72BF5E" w14:textId="77777777" w:rsidR="00AF2313" w:rsidRPr="00A65602" w:rsidRDefault="00AF2313" w:rsidP="00AF2313">
      <w:pPr>
        <w:pStyle w:val="ListBullet"/>
      </w:pPr>
      <w:r w:rsidRPr="00A65602">
        <w:t>A new AusPAR may be provided to reflect changes to indications or major variations to a prescription medicine subject to evaluation by the TGA.</w:t>
      </w:r>
    </w:p>
    <w:p w14:paraId="3C244E91" w14:textId="77777777" w:rsidR="00924482" w:rsidRPr="00A65602" w:rsidRDefault="00924482" w:rsidP="00F54B65">
      <w:pPr>
        <w:pStyle w:val="LegalSubheading"/>
        <w:spacing w:before="3120"/>
      </w:pPr>
      <w:r w:rsidRPr="00A65602">
        <w:t>Copyright</w:t>
      </w:r>
    </w:p>
    <w:p w14:paraId="57E6ED36" w14:textId="0DDA6682" w:rsidR="00924482" w:rsidRPr="00A65602" w:rsidRDefault="00924482" w:rsidP="00924482">
      <w:pPr>
        <w:pStyle w:val="LegalCopy"/>
      </w:pPr>
      <w:r w:rsidRPr="00A65602">
        <w:rPr>
          <w:rFonts w:cs="Arial"/>
          <w:lang w:val="en-GB"/>
        </w:rPr>
        <w:t>© Commonwealth of Australia 20</w:t>
      </w:r>
      <w:r w:rsidR="00460036" w:rsidRPr="00A65602">
        <w:rPr>
          <w:rFonts w:cs="Arial"/>
          <w:lang w:val="en-GB"/>
        </w:rPr>
        <w:t>2</w:t>
      </w:r>
      <w:r w:rsidR="00AF2313" w:rsidRPr="00A65602">
        <w:rPr>
          <w:rFonts w:cs="Arial"/>
          <w:lang w:val="en-GB"/>
        </w:rPr>
        <w:t>2</w:t>
      </w:r>
      <w:r w:rsidRPr="00A65602">
        <w:rPr>
          <w:rFonts w:cs="Arial"/>
          <w:lang w:val="en-GB"/>
        </w:rPr>
        <w:br/>
        <w:t xml:space="preserve">This work is copyright. You may reproduce the whole or part of this work in unaltered form for your own personal use or, if you are part of an organisation, for internal use within your organisation, but only if you or your organisation do not use the reproduction for any commercial purpose and retain this copyright notice and all disclaimer notices as part of that reproduction. Apart from rights to use as permitted by the </w:t>
      </w:r>
      <w:r w:rsidRPr="00A65602">
        <w:rPr>
          <w:rFonts w:cs="Arial"/>
          <w:i/>
          <w:lang w:val="en-GB"/>
        </w:rPr>
        <w:t>Copyright Act 1968</w:t>
      </w:r>
      <w:r w:rsidRPr="00A65602">
        <w:rPr>
          <w:rFonts w:cs="Arial"/>
          <w:lang w:val="en-GB"/>
        </w:rPr>
        <w:t xml:space="preserve"> or allowed by this copyright notice, all other rights are </w:t>
      </w:r>
      <w:r w:rsidR="00EB36D6" w:rsidRPr="00A65602">
        <w:rPr>
          <w:rFonts w:cs="Arial"/>
          <w:lang w:val="en-GB"/>
        </w:rPr>
        <w:t>reserved,</w:t>
      </w:r>
      <w:r w:rsidRPr="00A65602">
        <w:rPr>
          <w:rFonts w:cs="Arial"/>
          <w:lang w:val="en-GB"/>
        </w:rPr>
        <w:t xml:space="preserve"> and you are not allowed to reproduce the whole or any part of this work in any way (electronic or otherwise) without first being given specific written permission from the Commonwealth to do so. Requests and inquiries concerning reproduction and rights are to be sent to the TGA Copyright Officer, Therapeutic Goods Administration, PO Box 100, </w:t>
      </w:r>
      <w:proofErr w:type="spellStart"/>
      <w:r w:rsidRPr="00A65602">
        <w:rPr>
          <w:rFonts w:cs="Arial"/>
          <w:lang w:val="en-GB"/>
        </w:rPr>
        <w:t>Woden</w:t>
      </w:r>
      <w:proofErr w:type="spellEnd"/>
      <w:r w:rsidRPr="00A65602">
        <w:rPr>
          <w:rFonts w:cs="Arial"/>
          <w:lang w:val="en-GB"/>
        </w:rPr>
        <w:t xml:space="preserve"> ACT 2606 or emailed to &lt;</w:t>
      </w:r>
      <w:hyperlink r:id="rId10" w:history="1">
        <w:r w:rsidRPr="00A65602">
          <w:rPr>
            <w:rStyle w:val="Hyperlink"/>
            <w:rFonts w:cs="Arial"/>
            <w:lang w:val="en-GB"/>
          </w:rPr>
          <w:t>tga.copyright@tga.gov.au</w:t>
        </w:r>
      </w:hyperlink>
      <w:r w:rsidRPr="00A65602">
        <w:rPr>
          <w:rFonts w:cs="Arial"/>
        </w:rPr>
        <w:t>&gt;.</w:t>
      </w:r>
    </w:p>
    <w:p w14:paraId="512716F8" w14:textId="77777777" w:rsidR="00924482" w:rsidRPr="00A65602" w:rsidRDefault="00924482" w:rsidP="00924482">
      <w:pPr>
        <w:pStyle w:val="LegalCopy"/>
        <w:sectPr w:rsidR="00924482" w:rsidRPr="00A65602" w:rsidSect="003D1E62">
          <w:headerReference w:type="default" r:id="rId11"/>
          <w:footerReference w:type="default" r:id="rId12"/>
          <w:headerReference w:type="first" r:id="rId13"/>
          <w:pgSz w:w="11906" w:h="16838" w:code="9"/>
          <w:pgMar w:top="426" w:right="1701" w:bottom="0" w:left="1701" w:header="907" w:footer="142" w:gutter="0"/>
          <w:pgNumType w:fmt="lowerRoman" w:start="1"/>
          <w:cols w:space="708"/>
          <w:titlePg/>
          <w:docGrid w:linePitch="360"/>
        </w:sectPr>
      </w:pPr>
    </w:p>
    <w:bookmarkStart w:id="0" w:name="_Toc247691501" w:displacedByCustomXml="next"/>
    <w:bookmarkStart w:id="1" w:name="_Toc196046425" w:displacedByCustomXml="next"/>
    <w:sdt>
      <w:sdtPr>
        <w:rPr>
          <w:rFonts w:ascii="Cambria" w:hAnsi="Cambria"/>
          <w:b w:val="0"/>
          <w:bCs/>
          <w:sz w:val="22"/>
        </w:rPr>
        <w:id w:val="5618007"/>
        <w:docPartObj>
          <w:docPartGallery w:val="Table of Contents"/>
          <w:docPartUnique/>
        </w:docPartObj>
      </w:sdtPr>
      <w:sdtEndPr>
        <w:rPr>
          <w:bCs w:val="0"/>
        </w:rPr>
      </w:sdtEndPr>
      <w:sdtContent>
        <w:p w14:paraId="63A90694" w14:textId="77777777" w:rsidR="0089635C" w:rsidRPr="00A65602" w:rsidRDefault="0089635C" w:rsidP="0010788A">
          <w:pPr>
            <w:pStyle w:val="Contents"/>
          </w:pPr>
          <w:r w:rsidRPr="00A65602">
            <w:t>Contents</w:t>
          </w:r>
        </w:p>
        <w:p w14:paraId="4EF93DE4" w14:textId="3895E4B2" w:rsidR="00CE2EF4" w:rsidRDefault="00C525A2">
          <w:pPr>
            <w:pStyle w:val="TOC1"/>
            <w:rPr>
              <w:rFonts w:asciiTheme="minorHAnsi" w:eastAsiaTheme="minorEastAsia" w:hAnsiTheme="minorHAnsi" w:cstheme="minorBidi"/>
              <w:b w:val="0"/>
              <w:noProof/>
              <w:sz w:val="22"/>
              <w:lang w:eastAsia="en-AU"/>
            </w:rPr>
          </w:pPr>
          <w:r w:rsidRPr="00A65602">
            <w:fldChar w:fldCharType="begin"/>
          </w:r>
          <w:r w:rsidRPr="00A65602">
            <w:instrText xml:space="preserve"> TOC \h \z \t "Heading 2,1,Heading 3,2" </w:instrText>
          </w:r>
          <w:r w:rsidRPr="00A65602">
            <w:fldChar w:fldCharType="separate"/>
          </w:r>
          <w:hyperlink w:anchor="_Toc117510575" w:history="1">
            <w:r w:rsidR="00CE2EF4" w:rsidRPr="008869A0">
              <w:rPr>
                <w:rStyle w:val="Hyperlink"/>
                <w:noProof/>
              </w:rPr>
              <w:t>List of abbreviations</w:t>
            </w:r>
            <w:r w:rsidR="00CE2EF4">
              <w:rPr>
                <w:noProof/>
                <w:webHidden/>
              </w:rPr>
              <w:tab/>
            </w:r>
            <w:r w:rsidR="00CE2EF4">
              <w:rPr>
                <w:noProof/>
                <w:webHidden/>
              </w:rPr>
              <w:fldChar w:fldCharType="begin"/>
            </w:r>
            <w:r w:rsidR="00CE2EF4">
              <w:rPr>
                <w:noProof/>
                <w:webHidden/>
              </w:rPr>
              <w:instrText xml:space="preserve"> PAGEREF _Toc117510575 \h </w:instrText>
            </w:r>
            <w:r w:rsidR="00CE2EF4">
              <w:rPr>
                <w:noProof/>
                <w:webHidden/>
              </w:rPr>
            </w:r>
            <w:r w:rsidR="00CE2EF4">
              <w:rPr>
                <w:noProof/>
                <w:webHidden/>
              </w:rPr>
              <w:fldChar w:fldCharType="separate"/>
            </w:r>
            <w:r w:rsidR="00A4590A">
              <w:rPr>
                <w:noProof/>
                <w:webHidden/>
              </w:rPr>
              <w:t>4</w:t>
            </w:r>
            <w:r w:rsidR="00CE2EF4">
              <w:rPr>
                <w:noProof/>
                <w:webHidden/>
              </w:rPr>
              <w:fldChar w:fldCharType="end"/>
            </w:r>
          </w:hyperlink>
        </w:p>
        <w:p w14:paraId="4AC82B92" w14:textId="07E589BD" w:rsidR="00CE2EF4" w:rsidRDefault="00A4590A">
          <w:pPr>
            <w:pStyle w:val="TOC1"/>
            <w:rPr>
              <w:rFonts w:asciiTheme="minorHAnsi" w:eastAsiaTheme="minorEastAsia" w:hAnsiTheme="minorHAnsi" w:cstheme="minorBidi"/>
              <w:b w:val="0"/>
              <w:noProof/>
              <w:sz w:val="22"/>
              <w:lang w:eastAsia="en-AU"/>
            </w:rPr>
          </w:pPr>
          <w:hyperlink w:anchor="_Toc117510576" w:history="1">
            <w:r w:rsidR="00CE2EF4" w:rsidRPr="008869A0">
              <w:rPr>
                <w:rStyle w:val="Hyperlink"/>
                <w:noProof/>
              </w:rPr>
              <w:t>Product submission</w:t>
            </w:r>
            <w:r w:rsidR="00CE2EF4">
              <w:rPr>
                <w:noProof/>
                <w:webHidden/>
              </w:rPr>
              <w:tab/>
            </w:r>
            <w:r w:rsidR="00CE2EF4">
              <w:rPr>
                <w:noProof/>
                <w:webHidden/>
              </w:rPr>
              <w:fldChar w:fldCharType="begin"/>
            </w:r>
            <w:r w:rsidR="00CE2EF4">
              <w:rPr>
                <w:noProof/>
                <w:webHidden/>
              </w:rPr>
              <w:instrText xml:space="preserve"> PAGEREF _Toc117510576 \h </w:instrText>
            </w:r>
            <w:r w:rsidR="00CE2EF4">
              <w:rPr>
                <w:noProof/>
                <w:webHidden/>
              </w:rPr>
            </w:r>
            <w:r w:rsidR="00CE2EF4">
              <w:rPr>
                <w:noProof/>
                <w:webHidden/>
              </w:rPr>
              <w:fldChar w:fldCharType="separate"/>
            </w:r>
            <w:r>
              <w:rPr>
                <w:noProof/>
                <w:webHidden/>
              </w:rPr>
              <w:t>6</w:t>
            </w:r>
            <w:r w:rsidR="00CE2EF4">
              <w:rPr>
                <w:noProof/>
                <w:webHidden/>
              </w:rPr>
              <w:fldChar w:fldCharType="end"/>
            </w:r>
          </w:hyperlink>
        </w:p>
        <w:p w14:paraId="7C3C4E69" w14:textId="71D01D26" w:rsidR="00CE2EF4" w:rsidRDefault="00A4590A">
          <w:pPr>
            <w:pStyle w:val="TOC2"/>
            <w:rPr>
              <w:rFonts w:asciiTheme="minorHAnsi" w:eastAsiaTheme="minorEastAsia" w:hAnsiTheme="minorHAnsi" w:cstheme="minorBidi"/>
              <w:b w:val="0"/>
              <w:noProof/>
              <w:sz w:val="22"/>
              <w:lang w:eastAsia="en-AU"/>
            </w:rPr>
          </w:pPr>
          <w:hyperlink w:anchor="_Toc117510577" w:history="1">
            <w:r w:rsidR="00CE2EF4" w:rsidRPr="008869A0">
              <w:rPr>
                <w:rStyle w:val="Hyperlink"/>
                <w:noProof/>
                <w:lang w:eastAsia="en-AU"/>
              </w:rPr>
              <w:t>Submission details</w:t>
            </w:r>
            <w:r w:rsidR="00CE2EF4">
              <w:rPr>
                <w:noProof/>
                <w:webHidden/>
              </w:rPr>
              <w:tab/>
            </w:r>
            <w:r w:rsidR="00CE2EF4">
              <w:rPr>
                <w:noProof/>
                <w:webHidden/>
              </w:rPr>
              <w:fldChar w:fldCharType="begin"/>
            </w:r>
            <w:r w:rsidR="00CE2EF4">
              <w:rPr>
                <w:noProof/>
                <w:webHidden/>
              </w:rPr>
              <w:instrText xml:space="preserve"> PAGEREF _Toc117510577 \h </w:instrText>
            </w:r>
            <w:r w:rsidR="00CE2EF4">
              <w:rPr>
                <w:noProof/>
                <w:webHidden/>
              </w:rPr>
            </w:r>
            <w:r w:rsidR="00CE2EF4">
              <w:rPr>
                <w:noProof/>
                <w:webHidden/>
              </w:rPr>
              <w:fldChar w:fldCharType="separate"/>
            </w:r>
            <w:r>
              <w:rPr>
                <w:noProof/>
                <w:webHidden/>
              </w:rPr>
              <w:t>6</w:t>
            </w:r>
            <w:r w:rsidR="00CE2EF4">
              <w:rPr>
                <w:noProof/>
                <w:webHidden/>
              </w:rPr>
              <w:fldChar w:fldCharType="end"/>
            </w:r>
          </w:hyperlink>
        </w:p>
        <w:p w14:paraId="30991233" w14:textId="5B2AB806" w:rsidR="00CE2EF4" w:rsidRDefault="00A4590A">
          <w:pPr>
            <w:pStyle w:val="TOC2"/>
            <w:rPr>
              <w:rFonts w:asciiTheme="minorHAnsi" w:eastAsiaTheme="minorEastAsia" w:hAnsiTheme="minorHAnsi" w:cstheme="minorBidi"/>
              <w:b w:val="0"/>
              <w:noProof/>
              <w:sz w:val="22"/>
              <w:lang w:eastAsia="en-AU"/>
            </w:rPr>
          </w:pPr>
          <w:hyperlink w:anchor="_Toc117510578" w:history="1">
            <w:r w:rsidR="00CE2EF4" w:rsidRPr="008869A0">
              <w:rPr>
                <w:rStyle w:val="Hyperlink"/>
                <w:noProof/>
              </w:rPr>
              <w:t>Product background</w:t>
            </w:r>
            <w:r w:rsidR="00CE2EF4">
              <w:rPr>
                <w:noProof/>
                <w:webHidden/>
              </w:rPr>
              <w:tab/>
            </w:r>
            <w:r w:rsidR="00CE2EF4">
              <w:rPr>
                <w:noProof/>
                <w:webHidden/>
              </w:rPr>
              <w:fldChar w:fldCharType="begin"/>
            </w:r>
            <w:r w:rsidR="00CE2EF4">
              <w:rPr>
                <w:noProof/>
                <w:webHidden/>
              </w:rPr>
              <w:instrText xml:space="preserve"> PAGEREF _Toc117510578 \h </w:instrText>
            </w:r>
            <w:r w:rsidR="00CE2EF4">
              <w:rPr>
                <w:noProof/>
                <w:webHidden/>
              </w:rPr>
            </w:r>
            <w:r w:rsidR="00CE2EF4">
              <w:rPr>
                <w:noProof/>
                <w:webHidden/>
              </w:rPr>
              <w:fldChar w:fldCharType="separate"/>
            </w:r>
            <w:r>
              <w:rPr>
                <w:noProof/>
                <w:webHidden/>
              </w:rPr>
              <w:t>9</w:t>
            </w:r>
            <w:r w:rsidR="00CE2EF4">
              <w:rPr>
                <w:noProof/>
                <w:webHidden/>
              </w:rPr>
              <w:fldChar w:fldCharType="end"/>
            </w:r>
          </w:hyperlink>
        </w:p>
        <w:p w14:paraId="7B5BF256" w14:textId="603C65FF" w:rsidR="00CE2EF4" w:rsidRDefault="00A4590A">
          <w:pPr>
            <w:pStyle w:val="TOC2"/>
            <w:rPr>
              <w:rFonts w:asciiTheme="minorHAnsi" w:eastAsiaTheme="minorEastAsia" w:hAnsiTheme="minorHAnsi" w:cstheme="minorBidi"/>
              <w:b w:val="0"/>
              <w:noProof/>
              <w:sz w:val="22"/>
              <w:lang w:eastAsia="en-AU"/>
            </w:rPr>
          </w:pPr>
          <w:hyperlink w:anchor="_Toc117510579" w:history="1">
            <w:r w:rsidR="00CE2EF4" w:rsidRPr="008869A0">
              <w:rPr>
                <w:rStyle w:val="Hyperlink"/>
                <w:noProof/>
              </w:rPr>
              <w:t>Regulatory status</w:t>
            </w:r>
            <w:r w:rsidR="00CE2EF4">
              <w:rPr>
                <w:noProof/>
                <w:webHidden/>
              </w:rPr>
              <w:tab/>
            </w:r>
            <w:r w:rsidR="00CE2EF4">
              <w:rPr>
                <w:noProof/>
                <w:webHidden/>
              </w:rPr>
              <w:fldChar w:fldCharType="begin"/>
            </w:r>
            <w:r w:rsidR="00CE2EF4">
              <w:rPr>
                <w:noProof/>
                <w:webHidden/>
              </w:rPr>
              <w:instrText xml:space="preserve"> PAGEREF _Toc117510579 \h </w:instrText>
            </w:r>
            <w:r w:rsidR="00CE2EF4">
              <w:rPr>
                <w:noProof/>
                <w:webHidden/>
              </w:rPr>
            </w:r>
            <w:r w:rsidR="00CE2EF4">
              <w:rPr>
                <w:noProof/>
                <w:webHidden/>
              </w:rPr>
              <w:fldChar w:fldCharType="separate"/>
            </w:r>
            <w:r>
              <w:rPr>
                <w:noProof/>
                <w:webHidden/>
              </w:rPr>
              <w:t>10</w:t>
            </w:r>
            <w:r w:rsidR="00CE2EF4">
              <w:rPr>
                <w:noProof/>
                <w:webHidden/>
              </w:rPr>
              <w:fldChar w:fldCharType="end"/>
            </w:r>
          </w:hyperlink>
        </w:p>
        <w:p w14:paraId="116CB5D8" w14:textId="1289912D" w:rsidR="00CE2EF4" w:rsidRDefault="00A4590A">
          <w:pPr>
            <w:pStyle w:val="TOC2"/>
            <w:rPr>
              <w:rFonts w:asciiTheme="minorHAnsi" w:eastAsiaTheme="minorEastAsia" w:hAnsiTheme="minorHAnsi" w:cstheme="minorBidi"/>
              <w:b w:val="0"/>
              <w:noProof/>
              <w:sz w:val="22"/>
              <w:lang w:eastAsia="en-AU"/>
            </w:rPr>
          </w:pPr>
          <w:hyperlink w:anchor="_Toc117510580" w:history="1">
            <w:r w:rsidR="00CE2EF4" w:rsidRPr="008869A0">
              <w:rPr>
                <w:rStyle w:val="Hyperlink"/>
                <w:noProof/>
              </w:rPr>
              <w:t>Product Information</w:t>
            </w:r>
            <w:r w:rsidR="00CE2EF4">
              <w:rPr>
                <w:noProof/>
                <w:webHidden/>
              </w:rPr>
              <w:tab/>
            </w:r>
            <w:r w:rsidR="00CE2EF4">
              <w:rPr>
                <w:noProof/>
                <w:webHidden/>
              </w:rPr>
              <w:fldChar w:fldCharType="begin"/>
            </w:r>
            <w:r w:rsidR="00CE2EF4">
              <w:rPr>
                <w:noProof/>
                <w:webHidden/>
              </w:rPr>
              <w:instrText xml:space="preserve"> PAGEREF _Toc117510580 \h </w:instrText>
            </w:r>
            <w:r w:rsidR="00CE2EF4">
              <w:rPr>
                <w:noProof/>
                <w:webHidden/>
              </w:rPr>
            </w:r>
            <w:r w:rsidR="00CE2EF4">
              <w:rPr>
                <w:noProof/>
                <w:webHidden/>
              </w:rPr>
              <w:fldChar w:fldCharType="separate"/>
            </w:r>
            <w:r>
              <w:rPr>
                <w:noProof/>
                <w:webHidden/>
              </w:rPr>
              <w:t>10</w:t>
            </w:r>
            <w:r w:rsidR="00CE2EF4">
              <w:rPr>
                <w:noProof/>
                <w:webHidden/>
              </w:rPr>
              <w:fldChar w:fldCharType="end"/>
            </w:r>
          </w:hyperlink>
        </w:p>
        <w:p w14:paraId="1288E8D4" w14:textId="21F56C1C" w:rsidR="00CE2EF4" w:rsidRDefault="00A4590A">
          <w:pPr>
            <w:pStyle w:val="TOC1"/>
            <w:rPr>
              <w:rFonts w:asciiTheme="minorHAnsi" w:eastAsiaTheme="minorEastAsia" w:hAnsiTheme="minorHAnsi" w:cstheme="minorBidi"/>
              <w:b w:val="0"/>
              <w:noProof/>
              <w:sz w:val="22"/>
              <w:lang w:eastAsia="en-AU"/>
            </w:rPr>
          </w:pPr>
          <w:hyperlink w:anchor="_Toc117510581" w:history="1">
            <w:r w:rsidR="00CE2EF4" w:rsidRPr="008869A0">
              <w:rPr>
                <w:rStyle w:val="Hyperlink"/>
                <w:noProof/>
              </w:rPr>
              <w:t>Registration timeline</w:t>
            </w:r>
            <w:r w:rsidR="00CE2EF4">
              <w:rPr>
                <w:noProof/>
                <w:webHidden/>
              </w:rPr>
              <w:tab/>
            </w:r>
            <w:r w:rsidR="00CE2EF4">
              <w:rPr>
                <w:noProof/>
                <w:webHidden/>
              </w:rPr>
              <w:fldChar w:fldCharType="begin"/>
            </w:r>
            <w:r w:rsidR="00CE2EF4">
              <w:rPr>
                <w:noProof/>
                <w:webHidden/>
              </w:rPr>
              <w:instrText xml:space="preserve"> PAGEREF _Toc117510581 \h </w:instrText>
            </w:r>
            <w:r w:rsidR="00CE2EF4">
              <w:rPr>
                <w:noProof/>
                <w:webHidden/>
              </w:rPr>
            </w:r>
            <w:r w:rsidR="00CE2EF4">
              <w:rPr>
                <w:noProof/>
                <w:webHidden/>
              </w:rPr>
              <w:fldChar w:fldCharType="separate"/>
            </w:r>
            <w:r>
              <w:rPr>
                <w:noProof/>
                <w:webHidden/>
              </w:rPr>
              <w:t>11</w:t>
            </w:r>
            <w:r w:rsidR="00CE2EF4">
              <w:rPr>
                <w:noProof/>
                <w:webHidden/>
              </w:rPr>
              <w:fldChar w:fldCharType="end"/>
            </w:r>
          </w:hyperlink>
        </w:p>
        <w:p w14:paraId="2958B9D3" w14:textId="63976DBD" w:rsidR="00CE2EF4" w:rsidRDefault="00A4590A">
          <w:pPr>
            <w:pStyle w:val="TOC1"/>
            <w:rPr>
              <w:rFonts w:asciiTheme="minorHAnsi" w:eastAsiaTheme="minorEastAsia" w:hAnsiTheme="minorHAnsi" w:cstheme="minorBidi"/>
              <w:b w:val="0"/>
              <w:noProof/>
              <w:sz w:val="22"/>
              <w:lang w:eastAsia="en-AU"/>
            </w:rPr>
          </w:pPr>
          <w:hyperlink w:anchor="_Toc117510582" w:history="1">
            <w:r w:rsidR="00CE2EF4" w:rsidRPr="008869A0">
              <w:rPr>
                <w:rStyle w:val="Hyperlink"/>
                <w:noProof/>
              </w:rPr>
              <w:t>Submission overview and risk/benefit assessment</w:t>
            </w:r>
            <w:r w:rsidR="00CE2EF4">
              <w:rPr>
                <w:noProof/>
                <w:webHidden/>
              </w:rPr>
              <w:tab/>
            </w:r>
            <w:r w:rsidR="00CE2EF4">
              <w:rPr>
                <w:noProof/>
                <w:webHidden/>
              </w:rPr>
              <w:fldChar w:fldCharType="begin"/>
            </w:r>
            <w:r w:rsidR="00CE2EF4">
              <w:rPr>
                <w:noProof/>
                <w:webHidden/>
              </w:rPr>
              <w:instrText xml:space="preserve"> PAGEREF _Toc117510582 \h </w:instrText>
            </w:r>
            <w:r w:rsidR="00CE2EF4">
              <w:rPr>
                <w:noProof/>
                <w:webHidden/>
              </w:rPr>
            </w:r>
            <w:r w:rsidR="00CE2EF4">
              <w:rPr>
                <w:noProof/>
                <w:webHidden/>
              </w:rPr>
              <w:fldChar w:fldCharType="separate"/>
            </w:r>
            <w:r>
              <w:rPr>
                <w:noProof/>
                <w:webHidden/>
              </w:rPr>
              <w:t>11</w:t>
            </w:r>
            <w:r w:rsidR="00CE2EF4">
              <w:rPr>
                <w:noProof/>
                <w:webHidden/>
              </w:rPr>
              <w:fldChar w:fldCharType="end"/>
            </w:r>
          </w:hyperlink>
        </w:p>
        <w:p w14:paraId="4BDD9EF4" w14:textId="682B17F3" w:rsidR="00CE2EF4" w:rsidRDefault="00A4590A">
          <w:pPr>
            <w:pStyle w:val="TOC2"/>
            <w:rPr>
              <w:rFonts w:asciiTheme="minorHAnsi" w:eastAsiaTheme="minorEastAsia" w:hAnsiTheme="minorHAnsi" w:cstheme="minorBidi"/>
              <w:b w:val="0"/>
              <w:noProof/>
              <w:sz w:val="22"/>
              <w:lang w:eastAsia="en-AU"/>
            </w:rPr>
          </w:pPr>
          <w:hyperlink w:anchor="_Toc117510583" w:history="1">
            <w:r w:rsidR="00CE2EF4" w:rsidRPr="008869A0">
              <w:rPr>
                <w:rStyle w:val="Hyperlink"/>
                <w:noProof/>
              </w:rPr>
              <w:t>Quality</w:t>
            </w:r>
            <w:r w:rsidR="00CE2EF4">
              <w:rPr>
                <w:noProof/>
                <w:webHidden/>
              </w:rPr>
              <w:tab/>
            </w:r>
            <w:r w:rsidR="00CE2EF4">
              <w:rPr>
                <w:noProof/>
                <w:webHidden/>
              </w:rPr>
              <w:fldChar w:fldCharType="begin"/>
            </w:r>
            <w:r w:rsidR="00CE2EF4">
              <w:rPr>
                <w:noProof/>
                <w:webHidden/>
              </w:rPr>
              <w:instrText xml:space="preserve"> PAGEREF _Toc117510583 \h </w:instrText>
            </w:r>
            <w:r w:rsidR="00CE2EF4">
              <w:rPr>
                <w:noProof/>
                <w:webHidden/>
              </w:rPr>
            </w:r>
            <w:r w:rsidR="00CE2EF4">
              <w:rPr>
                <w:noProof/>
                <w:webHidden/>
              </w:rPr>
              <w:fldChar w:fldCharType="separate"/>
            </w:r>
            <w:r>
              <w:rPr>
                <w:noProof/>
                <w:webHidden/>
              </w:rPr>
              <w:t>11</w:t>
            </w:r>
            <w:r w:rsidR="00CE2EF4">
              <w:rPr>
                <w:noProof/>
                <w:webHidden/>
              </w:rPr>
              <w:fldChar w:fldCharType="end"/>
            </w:r>
          </w:hyperlink>
        </w:p>
        <w:p w14:paraId="1027E58A" w14:textId="14DB2EA4" w:rsidR="00CE2EF4" w:rsidRDefault="00A4590A">
          <w:pPr>
            <w:pStyle w:val="TOC2"/>
            <w:rPr>
              <w:rFonts w:asciiTheme="minorHAnsi" w:eastAsiaTheme="minorEastAsia" w:hAnsiTheme="minorHAnsi" w:cstheme="minorBidi"/>
              <w:b w:val="0"/>
              <w:noProof/>
              <w:sz w:val="22"/>
              <w:lang w:eastAsia="en-AU"/>
            </w:rPr>
          </w:pPr>
          <w:hyperlink w:anchor="_Toc117510584" w:history="1">
            <w:r w:rsidR="00CE2EF4" w:rsidRPr="008869A0">
              <w:rPr>
                <w:rStyle w:val="Hyperlink"/>
                <w:noProof/>
              </w:rPr>
              <w:t>Nonclinical</w:t>
            </w:r>
            <w:r w:rsidR="00CE2EF4">
              <w:rPr>
                <w:noProof/>
                <w:webHidden/>
              </w:rPr>
              <w:tab/>
            </w:r>
            <w:r w:rsidR="00CE2EF4">
              <w:rPr>
                <w:noProof/>
                <w:webHidden/>
              </w:rPr>
              <w:fldChar w:fldCharType="begin"/>
            </w:r>
            <w:r w:rsidR="00CE2EF4">
              <w:rPr>
                <w:noProof/>
                <w:webHidden/>
              </w:rPr>
              <w:instrText xml:space="preserve"> PAGEREF _Toc117510584 \h </w:instrText>
            </w:r>
            <w:r w:rsidR="00CE2EF4">
              <w:rPr>
                <w:noProof/>
                <w:webHidden/>
              </w:rPr>
            </w:r>
            <w:r w:rsidR="00CE2EF4">
              <w:rPr>
                <w:noProof/>
                <w:webHidden/>
              </w:rPr>
              <w:fldChar w:fldCharType="separate"/>
            </w:r>
            <w:r>
              <w:rPr>
                <w:noProof/>
                <w:webHidden/>
              </w:rPr>
              <w:t>11</w:t>
            </w:r>
            <w:r w:rsidR="00CE2EF4">
              <w:rPr>
                <w:noProof/>
                <w:webHidden/>
              </w:rPr>
              <w:fldChar w:fldCharType="end"/>
            </w:r>
          </w:hyperlink>
        </w:p>
        <w:p w14:paraId="659D8C03" w14:textId="0766C344" w:rsidR="00CE2EF4" w:rsidRDefault="00A4590A">
          <w:pPr>
            <w:pStyle w:val="TOC2"/>
            <w:rPr>
              <w:rFonts w:asciiTheme="minorHAnsi" w:eastAsiaTheme="minorEastAsia" w:hAnsiTheme="minorHAnsi" w:cstheme="minorBidi"/>
              <w:b w:val="0"/>
              <w:noProof/>
              <w:sz w:val="22"/>
              <w:lang w:eastAsia="en-AU"/>
            </w:rPr>
          </w:pPr>
          <w:hyperlink w:anchor="_Toc117510585" w:history="1">
            <w:r w:rsidR="00CE2EF4" w:rsidRPr="008869A0">
              <w:rPr>
                <w:rStyle w:val="Hyperlink"/>
                <w:noProof/>
              </w:rPr>
              <w:t>Clinical</w:t>
            </w:r>
            <w:r w:rsidR="00CE2EF4">
              <w:rPr>
                <w:noProof/>
                <w:webHidden/>
              </w:rPr>
              <w:tab/>
            </w:r>
            <w:r w:rsidR="00CE2EF4">
              <w:rPr>
                <w:noProof/>
                <w:webHidden/>
              </w:rPr>
              <w:fldChar w:fldCharType="begin"/>
            </w:r>
            <w:r w:rsidR="00CE2EF4">
              <w:rPr>
                <w:noProof/>
                <w:webHidden/>
              </w:rPr>
              <w:instrText xml:space="preserve"> PAGEREF _Toc117510585 \h </w:instrText>
            </w:r>
            <w:r w:rsidR="00CE2EF4">
              <w:rPr>
                <w:noProof/>
                <w:webHidden/>
              </w:rPr>
            </w:r>
            <w:r w:rsidR="00CE2EF4">
              <w:rPr>
                <w:noProof/>
                <w:webHidden/>
              </w:rPr>
              <w:fldChar w:fldCharType="separate"/>
            </w:r>
            <w:r>
              <w:rPr>
                <w:noProof/>
                <w:webHidden/>
              </w:rPr>
              <w:t>12</w:t>
            </w:r>
            <w:r w:rsidR="00CE2EF4">
              <w:rPr>
                <w:noProof/>
                <w:webHidden/>
              </w:rPr>
              <w:fldChar w:fldCharType="end"/>
            </w:r>
          </w:hyperlink>
        </w:p>
        <w:p w14:paraId="681147B9" w14:textId="013098EA" w:rsidR="00CE2EF4" w:rsidRDefault="00A4590A">
          <w:pPr>
            <w:pStyle w:val="TOC2"/>
            <w:rPr>
              <w:rFonts w:asciiTheme="minorHAnsi" w:eastAsiaTheme="minorEastAsia" w:hAnsiTheme="minorHAnsi" w:cstheme="minorBidi"/>
              <w:b w:val="0"/>
              <w:noProof/>
              <w:sz w:val="22"/>
              <w:lang w:eastAsia="en-AU"/>
            </w:rPr>
          </w:pPr>
          <w:hyperlink w:anchor="_Toc117510586" w:history="1">
            <w:r w:rsidR="00CE2EF4" w:rsidRPr="008869A0">
              <w:rPr>
                <w:rStyle w:val="Hyperlink"/>
                <w:noProof/>
                <w:lang w:eastAsia="en-AU"/>
              </w:rPr>
              <w:t>Risk management plan</w:t>
            </w:r>
            <w:r w:rsidR="00CE2EF4">
              <w:rPr>
                <w:noProof/>
                <w:webHidden/>
              </w:rPr>
              <w:tab/>
            </w:r>
            <w:r w:rsidR="00CE2EF4">
              <w:rPr>
                <w:noProof/>
                <w:webHidden/>
              </w:rPr>
              <w:fldChar w:fldCharType="begin"/>
            </w:r>
            <w:r w:rsidR="00CE2EF4">
              <w:rPr>
                <w:noProof/>
                <w:webHidden/>
              </w:rPr>
              <w:instrText xml:space="preserve"> PAGEREF _Toc117510586 \h </w:instrText>
            </w:r>
            <w:r w:rsidR="00CE2EF4">
              <w:rPr>
                <w:noProof/>
                <w:webHidden/>
              </w:rPr>
            </w:r>
            <w:r w:rsidR="00CE2EF4">
              <w:rPr>
                <w:noProof/>
                <w:webHidden/>
              </w:rPr>
              <w:fldChar w:fldCharType="separate"/>
            </w:r>
            <w:r>
              <w:rPr>
                <w:noProof/>
                <w:webHidden/>
              </w:rPr>
              <w:t>37</w:t>
            </w:r>
            <w:r w:rsidR="00CE2EF4">
              <w:rPr>
                <w:noProof/>
                <w:webHidden/>
              </w:rPr>
              <w:fldChar w:fldCharType="end"/>
            </w:r>
          </w:hyperlink>
        </w:p>
        <w:p w14:paraId="79F96EFA" w14:textId="4B2484E2" w:rsidR="00CE2EF4" w:rsidRDefault="00A4590A">
          <w:pPr>
            <w:pStyle w:val="TOC2"/>
            <w:rPr>
              <w:rFonts w:asciiTheme="minorHAnsi" w:eastAsiaTheme="minorEastAsia" w:hAnsiTheme="minorHAnsi" w:cstheme="minorBidi"/>
              <w:b w:val="0"/>
              <w:noProof/>
              <w:sz w:val="22"/>
              <w:lang w:eastAsia="en-AU"/>
            </w:rPr>
          </w:pPr>
          <w:hyperlink w:anchor="_Toc117510587" w:history="1">
            <w:r w:rsidR="00CE2EF4" w:rsidRPr="008869A0">
              <w:rPr>
                <w:rStyle w:val="Hyperlink"/>
                <w:noProof/>
              </w:rPr>
              <w:t>Risk-benefit analysis</w:t>
            </w:r>
            <w:r w:rsidR="00CE2EF4">
              <w:rPr>
                <w:noProof/>
                <w:webHidden/>
              </w:rPr>
              <w:tab/>
            </w:r>
            <w:r w:rsidR="00CE2EF4">
              <w:rPr>
                <w:noProof/>
                <w:webHidden/>
              </w:rPr>
              <w:fldChar w:fldCharType="begin"/>
            </w:r>
            <w:r w:rsidR="00CE2EF4">
              <w:rPr>
                <w:noProof/>
                <w:webHidden/>
              </w:rPr>
              <w:instrText xml:space="preserve"> PAGEREF _Toc117510587 \h </w:instrText>
            </w:r>
            <w:r w:rsidR="00CE2EF4">
              <w:rPr>
                <w:noProof/>
                <w:webHidden/>
              </w:rPr>
            </w:r>
            <w:r w:rsidR="00CE2EF4">
              <w:rPr>
                <w:noProof/>
                <w:webHidden/>
              </w:rPr>
              <w:fldChar w:fldCharType="separate"/>
            </w:r>
            <w:r>
              <w:rPr>
                <w:noProof/>
                <w:webHidden/>
              </w:rPr>
              <w:t>37</w:t>
            </w:r>
            <w:r w:rsidR="00CE2EF4">
              <w:rPr>
                <w:noProof/>
                <w:webHidden/>
              </w:rPr>
              <w:fldChar w:fldCharType="end"/>
            </w:r>
          </w:hyperlink>
        </w:p>
        <w:p w14:paraId="712366CD" w14:textId="5A425BEE" w:rsidR="00CE2EF4" w:rsidRDefault="00A4590A">
          <w:pPr>
            <w:pStyle w:val="TOC1"/>
            <w:rPr>
              <w:rFonts w:asciiTheme="minorHAnsi" w:eastAsiaTheme="minorEastAsia" w:hAnsiTheme="minorHAnsi" w:cstheme="minorBidi"/>
              <w:b w:val="0"/>
              <w:noProof/>
              <w:sz w:val="22"/>
              <w:lang w:eastAsia="en-AU"/>
            </w:rPr>
          </w:pPr>
          <w:hyperlink w:anchor="_Toc117510588" w:history="1">
            <w:r w:rsidR="00CE2EF4" w:rsidRPr="008869A0">
              <w:rPr>
                <w:rStyle w:val="Hyperlink"/>
                <w:noProof/>
              </w:rPr>
              <w:t>Outcome</w:t>
            </w:r>
            <w:r w:rsidR="00CE2EF4">
              <w:rPr>
                <w:noProof/>
                <w:webHidden/>
              </w:rPr>
              <w:tab/>
            </w:r>
            <w:r w:rsidR="00CE2EF4">
              <w:rPr>
                <w:noProof/>
                <w:webHidden/>
              </w:rPr>
              <w:fldChar w:fldCharType="begin"/>
            </w:r>
            <w:r w:rsidR="00CE2EF4">
              <w:rPr>
                <w:noProof/>
                <w:webHidden/>
              </w:rPr>
              <w:instrText xml:space="preserve"> PAGEREF _Toc117510588 \h </w:instrText>
            </w:r>
            <w:r w:rsidR="00CE2EF4">
              <w:rPr>
                <w:noProof/>
                <w:webHidden/>
              </w:rPr>
            </w:r>
            <w:r w:rsidR="00CE2EF4">
              <w:rPr>
                <w:noProof/>
                <w:webHidden/>
              </w:rPr>
              <w:fldChar w:fldCharType="separate"/>
            </w:r>
            <w:r>
              <w:rPr>
                <w:noProof/>
                <w:webHidden/>
              </w:rPr>
              <w:t>40</w:t>
            </w:r>
            <w:r w:rsidR="00CE2EF4">
              <w:rPr>
                <w:noProof/>
                <w:webHidden/>
              </w:rPr>
              <w:fldChar w:fldCharType="end"/>
            </w:r>
          </w:hyperlink>
        </w:p>
        <w:p w14:paraId="762BBB95" w14:textId="71C0A9D0" w:rsidR="00CE2EF4" w:rsidRDefault="00A4590A">
          <w:pPr>
            <w:pStyle w:val="TOC2"/>
            <w:rPr>
              <w:rFonts w:asciiTheme="minorHAnsi" w:eastAsiaTheme="minorEastAsia" w:hAnsiTheme="minorHAnsi" w:cstheme="minorBidi"/>
              <w:b w:val="0"/>
              <w:noProof/>
              <w:sz w:val="22"/>
              <w:lang w:eastAsia="en-AU"/>
            </w:rPr>
          </w:pPr>
          <w:hyperlink w:anchor="_Toc117510589" w:history="1">
            <w:r w:rsidR="00CE2EF4" w:rsidRPr="008869A0">
              <w:rPr>
                <w:rStyle w:val="Hyperlink"/>
                <w:noProof/>
              </w:rPr>
              <w:t>Specific conditions of registration applying to these goods</w:t>
            </w:r>
            <w:r w:rsidR="00CE2EF4">
              <w:rPr>
                <w:noProof/>
                <w:webHidden/>
              </w:rPr>
              <w:tab/>
            </w:r>
            <w:r w:rsidR="00CE2EF4">
              <w:rPr>
                <w:noProof/>
                <w:webHidden/>
              </w:rPr>
              <w:fldChar w:fldCharType="begin"/>
            </w:r>
            <w:r w:rsidR="00CE2EF4">
              <w:rPr>
                <w:noProof/>
                <w:webHidden/>
              </w:rPr>
              <w:instrText xml:space="preserve"> PAGEREF _Toc117510589 \h </w:instrText>
            </w:r>
            <w:r w:rsidR="00CE2EF4">
              <w:rPr>
                <w:noProof/>
                <w:webHidden/>
              </w:rPr>
            </w:r>
            <w:r w:rsidR="00CE2EF4">
              <w:rPr>
                <w:noProof/>
                <w:webHidden/>
              </w:rPr>
              <w:fldChar w:fldCharType="separate"/>
            </w:r>
            <w:r>
              <w:rPr>
                <w:noProof/>
                <w:webHidden/>
              </w:rPr>
              <w:t>40</w:t>
            </w:r>
            <w:r w:rsidR="00CE2EF4">
              <w:rPr>
                <w:noProof/>
                <w:webHidden/>
              </w:rPr>
              <w:fldChar w:fldCharType="end"/>
            </w:r>
          </w:hyperlink>
        </w:p>
        <w:p w14:paraId="06C83FBD" w14:textId="28F86B1D" w:rsidR="00CE2EF4" w:rsidRDefault="00A4590A">
          <w:pPr>
            <w:pStyle w:val="TOC1"/>
            <w:rPr>
              <w:rFonts w:asciiTheme="minorHAnsi" w:eastAsiaTheme="minorEastAsia" w:hAnsiTheme="minorHAnsi" w:cstheme="minorBidi"/>
              <w:b w:val="0"/>
              <w:noProof/>
              <w:sz w:val="22"/>
              <w:lang w:eastAsia="en-AU"/>
            </w:rPr>
          </w:pPr>
          <w:hyperlink w:anchor="_Toc117510590" w:history="1">
            <w:r w:rsidR="00CE2EF4" w:rsidRPr="008869A0">
              <w:rPr>
                <w:rStyle w:val="Hyperlink"/>
                <w:noProof/>
              </w:rPr>
              <w:t>Attachment 1. Product Information</w:t>
            </w:r>
            <w:r w:rsidR="00CE2EF4">
              <w:rPr>
                <w:noProof/>
                <w:webHidden/>
              </w:rPr>
              <w:tab/>
            </w:r>
            <w:r w:rsidR="00CE2EF4">
              <w:rPr>
                <w:noProof/>
                <w:webHidden/>
              </w:rPr>
              <w:fldChar w:fldCharType="begin"/>
            </w:r>
            <w:r w:rsidR="00CE2EF4">
              <w:rPr>
                <w:noProof/>
                <w:webHidden/>
              </w:rPr>
              <w:instrText xml:space="preserve"> PAGEREF _Toc117510590 \h </w:instrText>
            </w:r>
            <w:r w:rsidR="00CE2EF4">
              <w:rPr>
                <w:noProof/>
                <w:webHidden/>
              </w:rPr>
            </w:r>
            <w:r w:rsidR="00CE2EF4">
              <w:rPr>
                <w:noProof/>
                <w:webHidden/>
              </w:rPr>
              <w:fldChar w:fldCharType="separate"/>
            </w:r>
            <w:r>
              <w:rPr>
                <w:noProof/>
                <w:webHidden/>
              </w:rPr>
              <w:t>40</w:t>
            </w:r>
            <w:r w:rsidR="00CE2EF4">
              <w:rPr>
                <w:noProof/>
                <w:webHidden/>
              </w:rPr>
              <w:fldChar w:fldCharType="end"/>
            </w:r>
          </w:hyperlink>
        </w:p>
        <w:p w14:paraId="624E11EE" w14:textId="4B41EBD5" w:rsidR="003A7F6C" w:rsidRPr="00A65602" w:rsidRDefault="00C525A2" w:rsidP="00EB36D6">
          <w:r w:rsidRPr="00A65602">
            <w:fldChar w:fldCharType="end"/>
          </w:r>
        </w:p>
      </w:sdtContent>
    </w:sdt>
    <w:bookmarkStart w:id="2" w:name="_Toc314842482" w:displacedByCustomXml="prev"/>
    <w:p w14:paraId="6812D291" w14:textId="77777777" w:rsidR="00FD119B" w:rsidRPr="00A65602" w:rsidRDefault="00FD119B">
      <w:pPr>
        <w:spacing w:before="0" w:after="200" w:line="0" w:lineRule="auto"/>
      </w:pPr>
      <w:r w:rsidRPr="00A65602">
        <w:br w:type="page"/>
      </w:r>
    </w:p>
    <w:p w14:paraId="3524EF3A" w14:textId="77777777" w:rsidR="00AF2313" w:rsidRPr="00A65602" w:rsidRDefault="00AF2313" w:rsidP="00AF2313">
      <w:pPr>
        <w:pStyle w:val="Heading2"/>
      </w:pPr>
      <w:bookmarkStart w:id="3" w:name="_Toc98931917"/>
      <w:bookmarkStart w:id="4" w:name="_Toc117510575"/>
      <w:r w:rsidRPr="00A65602">
        <w:lastRenderedPageBreak/>
        <w:t>List of abbreviations</w:t>
      </w:r>
      <w:bookmarkEnd w:id="3"/>
      <w:bookmarkEnd w:id="4"/>
    </w:p>
    <w:tbl>
      <w:tblPr>
        <w:tblStyle w:val="TableTGAblue"/>
        <w:tblW w:w="5000" w:type="pct"/>
        <w:tblLook w:val="04A0" w:firstRow="1" w:lastRow="0" w:firstColumn="1" w:lastColumn="0" w:noHBand="0" w:noVBand="1"/>
      </w:tblPr>
      <w:tblGrid>
        <w:gridCol w:w="1692"/>
        <w:gridCol w:w="2129"/>
        <w:gridCol w:w="4663"/>
      </w:tblGrid>
      <w:tr w:rsidR="00AF2313" w:rsidRPr="00A65602" w14:paraId="4F0D25F1" w14:textId="77777777" w:rsidTr="00F40D73">
        <w:trPr>
          <w:cnfStyle w:val="100000000000" w:firstRow="1" w:lastRow="0" w:firstColumn="0" w:lastColumn="0" w:oddVBand="0" w:evenVBand="0" w:oddHBand="0" w:evenHBand="0" w:firstRowFirstColumn="0" w:firstRowLastColumn="0" w:lastRowFirstColumn="0" w:lastRowLastColumn="0"/>
          <w:cantSplit/>
        </w:trPr>
        <w:tc>
          <w:tcPr>
            <w:tcW w:w="2252" w:type="pct"/>
            <w:gridSpan w:val="2"/>
            <w:hideMark/>
          </w:tcPr>
          <w:p w14:paraId="62951C5D" w14:textId="77777777" w:rsidR="00AF2313" w:rsidRPr="00A65602" w:rsidRDefault="00AF2313">
            <w:pPr>
              <w:rPr>
                <w:color w:val="FFFFFF"/>
              </w:rPr>
            </w:pPr>
            <w:r w:rsidRPr="00A65602">
              <w:t>Abbreviation</w:t>
            </w:r>
          </w:p>
        </w:tc>
        <w:tc>
          <w:tcPr>
            <w:tcW w:w="2748" w:type="pct"/>
            <w:hideMark/>
          </w:tcPr>
          <w:p w14:paraId="0D6DF999" w14:textId="77777777" w:rsidR="00AF2313" w:rsidRPr="00A65602" w:rsidRDefault="00AF2313">
            <w:r w:rsidRPr="00A65602">
              <w:t>Meaning</w:t>
            </w:r>
          </w:p>
        </w:tc>
      </w:tr>
      <w:tr w:rsidR="00A65602" w:rsidRPr="00A65602" w14:paraId="3839CCE1"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467573B4" w14:textId="232ED64E" w:rsidR="00A65602" w:rsidRPr="00A65602" w:rsidRDefault="00A65602" w:rsidP="00A65602">
            <w:r>
              <w:t>ACM</w:t>
            </w:r>
          </w:p>
        </w:tc>
        <w:tc>
          <w:tcPr>
            <w:tcW w:w="4003" w:type="pct"/>
            <w:gridSpan w:val="2"/>
            <w:tcBorders>
              <w:top w:val="single" w:sz="8" w:space="0" w:color="002C47"/>
              <w:left w:val="single" w:sz="8" w:space="0" w:color="002C47"/>
              <w:bottom w:val="single" w:sz="8" w:space="0" w:color="002C47"/>
              <w:right w:val="single" w:sz="8" w:space="0" w:color="002C47"/>
            </w:tcBorders>
          </w:tcPr>
          <w:p w14:paraId="22E4A279" w14:textId="56E02435" w:rsidR="00A65602" w:rsidRPr="00A65602" w:rsidRDefault="00A65602" w:rsidP="00A65602">
            <w:r>
              <w:t>Advisory Committee on Medicines</w:t>
            </w:r>
          </w:p>
        </w:tc>
      </w:tr>
      <w:tr w:rsidR="00A65602" w:rsidRPr="00A65602" w14:paraId="5D008074"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1C75B42C" w14:textId="6FD9F618" w:rsidR="00A65602" w:rsidRPr="00A65602" w:rsidRDefault="00A65602" w:rsidP="00A65602">
            <w:r w:rsidRPr="00FB7658">
              <w:t>AE</w:t>
            </w:r>
          </w:p>
        </w:tc>
        <w:tc>
          <w:tcPr>
            <w:tcW w:w="4003" w:type="pct"/>
            <w:gridSpan w:val="2"/>
            <w:tcBorders>
              <w:top w:val="single" w:sz="8" w:space="0" w:color="002C47"/>
              <w:left w:val="single" w:sz="8" w:space="0" w:color="002C47"/>
              <w:bottom w:val="single" w:sz="8" w:space="0" w:color="002C47"/>
              <w:right w:val="single" w:sz="8" w:space="0" w:color="002C47"/>
            </w:tcBorders>
          </w:tcPr>
          <w:p w14:paraId="6A8DCD0E" w14:textId="0911A4B0" w:rsidR="00A65602" w:rsidRPr="00A65602" w:rsidRDefault="00A65602" w:rsidP="00A65602">
            <w:r w:rsidRPr="00FB7658">
              <w:t>Adverse event</w:t>
            </w:r>
          </w:p>
        </w:tc>
      </w:tr>
      <w:tr w:rsidR="00A65602" w:rsidRPr="00A65602" w14:paraId="7BAC8EC3"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3FE32440" w14:textId="2AF26B3A" w:rsidR="00A65602" w:rsidRPr="00A65602" w:rsidRDefault="00A65602" w:rsidP="00A65602">
            <w:r w:rsidRPr="00FB7658">
              <w:t>AESI</w:t>
            </w:r>
          </w:p>
        </w:tc>
        <w:tc>
          <w:tcPr>
            <w:tcW w:w="4003" w:type="pct"/>
            <w:gridSpan w:val="2"/>
            <w:tcBorders>
              <w:top w:val="single" w:sz="8" w:space="0" w:color="002C47"/>
              <w:left w:val="single" w:sz="8" w:space="0" w:color="002C47"/>
              <w:bottom w:val="single" w:sz="8" w:space="0" w:color="002C47"/>
              <w:right w:val="single" w:sz="8" w:space="0" w:color="002C47"/>
            </w:tcBorders>
          </w:tcPr>
          <w:p w14:paraId="07F2762F" w14:textId="31086531" w:rsidR="00A65602" w:rsidRPr="00A65602" w:rsidRDefault="00A65602" w:rsidP="00A65602">
            <w:r w:rsidRPr="00FB7658">
              <w:t>Adverse event of special interest</w:t>
            </w:r>
          </w:p>
        </w:tc>
      </w:tr>
      <w:tr w:rsidR="00A65602" w:rsidRPr="00A65602" w14:paraId="138556DD"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774CD155" w14:textId="2A1EC977" w:rsidR="00A65602" w:rsidRPr="00A65602" w:rsidRDefault="00A65602" w:rsidP="00A65602">
            <w:r w:rsidRPr="00F40D73">
              <w:t>AIN457</w:t>
            </w:r>
          </w:p>
        </w:tc>
        <w:tc>
          <w:tcPr>
            <w:tcW w:w="4003" w:type="pct"/>
            <w:gridSpan w:val="2"/>
            <w:tcBorders>
              <w:top w:val="single" w:sz="8" w:space="0" w:color="002C47"/>
              <w:left w:val="single" w:sz="8" w:space="0" w:color="002C47"/>
              <w:bottom w:val="single" w:sz="8" w:space="0" w:color="002C47"/>
              <w:right w:val="single" w:sz="8" w:space="0" w:color="002C47"/>
            </w:tcBorders>
          </w:tcPr>
          <w:p w14:paraId="590798FF" w14:textId="4786EE3D" w:rsidR="00A65602" w:rsidRPr="00A65602" w:rsidRDefault="00A65602" w:rsidP="00A65602">
            <w:r w:rsidRPr="00FB7658">
              <w:t xml:space="preserve">Sponsor’s product development code </w:t>
            </w:r>
            <w:r>
              <w:t xml:space="preserve">for </w:t>
            </w:r>
            <w:r w:rsidRPr="00F40D73">
              <w:t>secukinumab</w:t>
            </w:r>
          </w:p>
        </w:tc>
      </w:tr>
      <w:tr w:rsidR="00A65602" w:rsidRPr="00A65602" w14:paraId="46311CFD"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7D622928" w14:textId="45589860" w:rsidR="00A65602" w:rsidRPr="00A65602" w:rsidRDefault="00A65602" w:rsidP="00A65602">
            <w:r>
              <w:t>ARTG</w:t>
            </w:r>
          </w:p>
        </w:tc>
        <w:tc>
          <w:tcPr>
            <w:tcW w:w="4003" w:type="pct"/>
            <w:gridSpan w:val="2"/>
            <w:tcBorders>
              <w:top w:val="single" w:sz="8" w:space="0" w:color="002C47"/>
              <w:left w:val="single" w:sz="8" w:space="0" w:color="002C47"/>
              <w:bottom w:val="single" w:sz="8" w:space="0" w:color="002C47"/>
              <w:right w:val="single" w:sz="8" w:space="0" w:color="002C47"/>
            </w:tcBorders>
          </w:tcPr>
          <w:p w14:paraId="39D1F1AC" w14:textId="72DA84BF" w:rsidR="00A65602" w:rsidRPr="00A65602" w:rsidRDefault="00A65602" w:rsidP="00A65602">
            <w:r>
              <w:t>Australian Register of Therapeutic Goods</w:t>
            </w:r>
          </w:p>
        </w:tc>
      </w:tr>
      <w:tr w:rsidR="00A65602" w:rsidRPr="00A65602" w14:paraId="10F8AA05"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6531F704" w14:textId="4423867A" w:rsidR="00A65602" w:rsidRPr="00A65602" w:rsidRDefault="00A65602" w:rsidP="00A65602">
            <w:r>
              <w:t>ASA</w:t>
            </w:r>
          </w:p>
        </w:tc>
        <w:tc>
          <w:tcPr>
            <w:tcW w:w="4003" w:type="pct"/>
            <w:gridSpan w:val="2"/>
            <w:tcBorders>
              <w:top w:val="single" w:sz="8" w:space="0" w:color="002C47"/>
              <w:left w:val="single" w:sz="8" w:space="0" w:color="002C47"/>
              <w:bottom w:val="single" w:sz="8" w:space="0" w:color="002C47"/>
              <w:right w:val="single" w:sz="8" w:space="0" w:color="002C47"/>
            </w:tcBorders>
          </w:tcPr>
          <w:p w14:paraId="48DE3DE1" w14:textId="21EAD029" w:rsidR="00A65602" w:rsidRPr="00A65602" w:rsidRDefault="00A65602" w:rsidP="00A65602">
            <w:r>
              <w:t>Australia specific annex</w:t>
            </w:r>
          </w:p>
        </w:tc>
      </w:tr>
      <w:tr w:rsidR="00A65602" w:rsidRPr="00A65602" w14:paraId="1F24F6A0"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61474A9E" w14:textId="48408691" w:rsidR="00A65602" w:rsidRPr="00A65602" w:rsidRDefault="00A65602" w:rsidP="00A65602">
            <w:proofErr w:type="spellStart"/>
            <w:r w:rsidRPr="00FB7658">
              <w:t>axSpA</w:t>
            </w:r>
            <w:proofErr w:type="spellEnd"/>
          </w:p>
        </w:tc>
        <w:tc>
          <w:tcPr>
            <w:tcW w:w="4003" w:type="pct"/>
            <w:gridSpan w:val="2"/>
            <w:tcBorders>
              <w:top w:val="single" w:sz="8" w:space="0" w:color="002C47"/>
              <w:left w:val="single" w:sz="8" w:space="0" w:color="002C47"/>
              <w:bottom w:val="single" w:sz="8" w:space="0" w:color="002C47"/>
              <w:right w:val="single" w:sz="8" w:space="0" w:color="002C47"/>
            </w:tcBorders>
          </w:tcPr>
          <w:p w14:paraId="07067E39" w14:textId="6E774210" w:rsidR="00A65602" w:rsidRPr="00A65602" w:rsidRDefault="00A65602" w:rsidP="00A65602">
            <w:r w:rsidRPr="00FB7658">
              <w:t>Axial spondyloarthriti</w:t>
            </w:r>
            <w:r>
              <w:t>s</w:t>
            </w:r>
          </w:p>
        </w:tc>
      </w:tr>
      <w:tr w:rsidR="00A65602" w:rsidRPr="00A65602" w14:paraId="7C085BA3"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02488C69" w14:textId="702E5466" w:rsidR="00A65602" w:rsidRPr="00A65602" w:rsidRDefault="00A65602" w:rsidP="00A65602">
            <w:r w:rsidRPr="00FB7658">
              <w:t>CRP</w:t>
            </w:r>
          </w:p>
        </w:tc>
        <w:tc>
          <w:tcPr>
            <w:tcW w:w="4003" w:type="pct"/>
            <w:gridSpan w:val="2"/>
            <w:tcBorders>
              <w:top w:val="single" w:sz="8" w:space="0" w:color="002C47"/>
              <w:left w:val="single" w:sz="8" w:space="0" w:color="002C47"/>
              <w:bottom w:val="single" w:sz="8" w:space="0" w:color="002C47"/>
              <w:right w:val="single" w:sz="8" w:space="0" w:color="002C47"/>
            </w:tcBorders>
          </w:tcPr>
          <w:p w14:paraId="343F50B7" w14:textId="3C68BF2C" w:rsidR="00A65602" w:rsidRPr="00A65602" w:rsidRDefault="00A65602" w:rsidP="00A65602">
            <w:r w:rsidRPr="00FB7658">
              <w:t>C</w:t>
            </w:r>
            <w:r>
              <w:t>-</w:t>
            </w:r>
            <w:r w:rsidRPr="00FB7658">
              <w:t>reactive protein</w:t>
            </w:r>
          </w:p>
        </w:tc>
      </w:tr>
      <w:tr w:rsidR="00A65602" w:rsidRPr="00A65602" w14:paraId="5BE743AE"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2E9F4E05" w14:textId="197AC70A" w:rsidR="00A65602" w:rsidRPr="00A65602" w:rsidRDefault="00A65602" w:rsidP="00A65602">
            <w:proofErr w:type="spellStart"/>
            <w:r w:rsidRPr="00FB7658">
              <w:t>C</w:t>
            </w:r>
            <w:r w:rsidRPr="00FB7658">
              <w:rPr>
                <w:vertAlign w:val="subscript"/>
              </w:rPr>
              <w:t>trough</w:t>
            </w:r>
            <w:proofErr w:type="spellEnd"/>
          </w:p>
        </w:tc>
        <w:tc>
          <w:tcPr>
            <w:tcW w:w="4003" w:type="pct"/>
            <w:gridSpan w:val="2"/>
            <w:tcBorders>
              <w:top w:val="single" w:sz="8" w:space="0" w:color="002C47"/>
              <w:left w:val="single" w:sz="8" w:space="0" w:color="002C47"/>
              <w:bottom w:val="single" w:sz="8" w:space="0" w:color="002C47"/>
              <w:right w:val="single" w:sz="8" w:space="0" w:color="002C47"/>
            </w:tcBorders>
          </w:tcPr>
          <w:p w14:paraId="3080E53E" w14:textId="613ACC15" w:rsidR="00A65602" w:rsidRPr="00A65602" w:rsidRDefault="00A65602" w:rsidP="00A65602">
            <w:r w:rsidRPr="00FB7658">
              <w:t>Trough concentration</w:t>
            </w:r>
          </w:p>
        </w:tc>
      </w:tr>
      <w:tr w:rsidR="00A65602" w:rsidRPr="00A65602" w14:paraId="09AF9E91"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521C40FA" w14:textId="2C3651A9" w:rsidR="00A65602" w:rsidRPr="00A65602" w:rsidRDefault="00A65602" w:rsidP="00A65602">
            <w:r>
              <w:t>DLP</w:t>
            </w:r>
          </w:p>
        </w:tc>
        <w:tc>
          <w:tcPr>
            <w:tcW w:w="4003" w:type="pct"/>
            <w:gridSpan w:val="2"/>
            <w:tcBorders>
              <w:top w:val="single" w:sz="8" w:space="0" w:color="002C47"/>
              <w:left w:val="single" w:sz="8" w:space="0" w:color="002C47"/>
              <w:bottom w:val="single" w:sz="8" w:space="0" w:color="002C47"/>
              <w:right w:val="single" w:sz="8" w:space="0" w:color="002C47"/>
            </w:tcBorders>
          </w:tcPr>
          <w:p w14:paraId="20F59DB3" w14:textId="3AE7966A" w:rsidR="00A65602" w:rsidRPr="00A65602" w:rsidRDefault="00A65602" w:rsidP="00A65602">
            <w:r>
              <w:t>Data lock point</w:t>
            </w:r>
          </w:p>
        </w:tc>
      </w:tr>
      <w:tr w:rsidR="00A65602" w:rsidRPr="00A65602" w14:paraId="1F727A53"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3472246F" w14:textId="05CB903B" w:rsidR="00A65602" w:rsidRDefault="00A65602" w:rsidP="00A65602">
            <w:r w:rsidRPr="00FB7658">
              <w:t>DMARD</w:t>
            </w:r>
          </w:p>
        </w:tc>
        <w:tc>
          <w:tcPr>
            <w:tcW w:w="4003" w:type="pct"/>
            <w:gridSpan w:val="2"/>
            <w:tcBorders>
              <w:top w:val="single" w:sz="8" w:space="0" w:color="002C47"/>
              <w:left w:val="single" w:sz="8" w:space="0" w:color="002C47"/>
              <w:bottom w:val="single" w:sz="8" w:space="0" w:color="002C47"/>
              <w:right w:val="single" w:sz="8" w:space="0" w:color="002C47"/>
            </w:tcBorders>
          </w:tcPr>
          <w:p w14:paraId="19EC75DE" w14:textId="472406E2" w:rsidR="00A65602" w:rsidRDefault="00A65602" w:rsidP="00A65602">
            <w:r w:rsidRPr="00FB7658">
              <w:t>Disease-modifying anti‐rheumatic drug</w:t>
            </w:r>
          </w:p>
        </w:tc>
      </w:tr>
      <w:tr w:rsidR="00A65602" w:rsidRPr="00A65602" w14:paraId="10F91591"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056DC636" w14:textId="3EBD0869" w:rsidR="00A65602" w:rsidRPr="00FB7658" w:rsidRDefault="00A65602" w:rsidP="00A65602">
            <w:r w:rsidRPr="00FB7658">
              <w:t>FDA</w:t>
            </w:r>
          </w:p>
        </w:tc>
        <w:tc>
          <w:tcPr>
            <w:tcW w:w="4003" w:type="pct"/>
            <w:gridSpan w:val="2"/>
            <w:tcBorders>
              <w:top w:val="single" w:sz="8" w:space="0" w:color="002C47"/>
              <w:left w:val="single" w:sz="8" w:space="0" w:color="002C47"/>
              <w:bottom w:val="single" w:sz="8" w:space="0" w:color="002C47"/>
              <w:right w:val="single" w:sz="8" w:space="0" w:color="002C47"/>
            </w:tcBorders>
          </w:tcPr>
          <w:p w14:paraId="5F59BEC9" w14:textId="74F8687A" w:rsidR="00A65602" w:rsidRPr="00FB7658" w:rsidRDefault="00A65602" w:rsidP="00A65602">
            <w:r w:rsidRPr="00FB7658">
              <w:t xml:space="preserve">Food and Drug Administration (United States </w:t>
            </w:r>
            <w:r>
              <w:t>of America</w:t>
            </w:r>
            <w:r w:rsidRPr="00FB7658">
              <w:t>)</w:t>
            </w:r>
          </w:p>
        </w:tc>
      </w:tr>
      <w:tr w:rsidR="00A65602" w:rsidRPr="00A65602" w14:paraId="08263F1F"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359D8746" w14:textId="3E503B23" w:rsidR="00A65602" w:rsidRPr="00FB7658" w:rsidRDefault="00A65602" w:rsidP="00A65602">
            <w:r w:rsidRPr="00FB7658">
              <w:t>HLT</w:t>
            </w:r>
          </w:p>
        </w:tc>
        <w:tc>
          <w:tcPr>
            <w:tcW w:w="4003" w:type="pct"/>
            <w:gridSpan w:val="2"/>
            <w:tcBorders>
              <w:top w:val="single" w:sz="8" w:space="0" w:color="002C47"/>
              <w:left w:val="single" w:sz="8" w:space="0" w:color="002C47"/>
              <w:bottom w:val="single" w:sz="8" w:space="0" w:color="002C47"/>
              <w:right w:val="single" w:sz="8" w:space="0" w:color="002C47"/>
            </w:tcBorders>
          </w:tcPr>
          <w:p w14:paraId="775B645D" w14:textId="26F9945E" w:rsidR="00A65602" w:rsidRPr="00FB7658" w:rsidRDefault="00A65602" w:rsidP="00A65602">
            <w:r w:rsidRPr="00FB7658">
              <w:t>High Level Term</w:t>
            </w:r>
          </w:p>
        </w:tc>
      </w:tr>
      <w:tr w:rsidR="00A65602" w:rsidRPr="00A65602" w14:paraId="3EBD6C78"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20F7640D" w14:textId="03F6FF87" w:rsidR="00A65602" w:rsidRPr="00FB7658" w:rsidRDefault="00A65602" w:rsidP="00A65602">
            <w:r w:rsidRPr="00F40D73">
              <w:t>IGA</w:t>
            </w:r>
          </w:p>
        </w:tc>
        <w:tc>
          <w:tcPr>
            <w:tcW w:w="4003" w:type="pct"/>
            <w:gridSpan w:val="2"/>
            <w:tcBorders>
              <w:top w:val="single" w:sz="8" w:space="0" w:color="002C47"/>
              <w:left w:val="single" w:sz="8" w:space="0" w:color="002C47"/>
              <w:bottom w:val="single" w:sz="8" w:space="0" w:color="002C47"/>
              <w:right w:val="single" w:sz="8" w:space="0" w:color="002C47"/>
            </w:tcBorders>
          </w:tcPr>
          <w:p w14:paraId="4DC5F7BA" w14:textId="35B59FE8" w:rsidR="00A65602" w:rsidRPr="00FB7658" w:rsidRDefault="00A65602" w:rsidP="00A65602">
            <w:r w:rsidRPr="00F40D73">
              <w:t>Investigator’s Global Assessment</w:t>
            </w:r>
          </w:p>
        </w:tc>
      </w:tr>
      <w:tr w:rsidR="00A65602" w:rsidRPr="00A65602" w14:paraId="6769872B"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62442221" w14:textId="56736C0A" w:rsidR="00A65602" w:rsidRPr="00F40D73" w:rsidRDefault="00A65602" w:rsidP="00A65602">
            <w:r w:rsidRPr="00FB7658">
              <w:t>IR</w:t>
            </w:r>
          </w:p>
        </w:tc>
        <w:tc>
          <w:tcPr>
            <w:tcW w:w="4003" w:type="pct"/>
            <w:gridSpan w:val="2"/>
            <w:tcBorders>
              <w:top w:val="single" w:sz="8" w:space="0" w:color="002C47"/>
              <w:left w:val="single" w:sz="8" w:space="0" w:color="002C47"/>
              <w:bottom w:val="single" w:sz="8" w:space="0" w:color="002C47"/>
              <w:right w:val="single" w:sz="8" w:space="0" w:color="002C47"/>
            </w:tcBorders>
          </w:tcPr>
          <w:p w14:paraId="6ADE2620" w14:textId="27B41FE4" w:rsidR="00A65602" w:rsidRPr="00F40D73" w:rsidRDefault="00A65602" w:rsidP="00A65602">
            <w:r w:rsidRPr="00FB7658">
              <w:t>Inadequate responder</w:t>
            </w:r>
          </w:p>
        </w:tc>
      </w:tr>
      <w:tr w:rsidR="00A65602" w:rsidRPr="00A65602" w14:paraId="3DFC8641"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2AF9A94E" w14:textId="1BB738F1" w:rsidR="00A65602" w:rsidRPr="00FB7658" w:rsidRDefault="00A65602" w:rsidP="00A65602">
            <w:r w:rsidRPr="00FB7658">
              <w:t>MedDRA</w:t>
            </w:r>
          </w:p>
        </w:tc>
        <w:tc>
          <w:tcPr>
            <w:tcW w:w="4003" w:type="pct"/>
            <w:gridSpan w:val="2"/>
            <w:tcBorders>
              <w:top w:val="single" w:sz="8" w:space="0" w:color="002C47"/>
              <w:left w:val="single" w:sz="8" w:space="0" w:color="002C47"/>
              <w:bottom w:val="single" w:sz="8" w:space="0" w:color="002C47"/>
              <w:right w:val="single" w:sz="8" w:space="0" w:color="002C47"/>
            </w:tcBorders>
          </w:tcPr>
          <w:p w14:paraId="46E0ED4D" w14:textId="5F103A69" w:rsidR="00A65602" w:rsidRPr="00FB7658" w:rsidRDefault="00A65602" w:rsidP="00A65602">
            <w:r w:rsidRPr="00FB7658">
              <w:t>Medical Dictionary for Regulatory Activities</w:t>
            </w:r>
          </w:p>
        </w:tc>
      </w:tr>
      <w:tr w:rsidR="00AA73B0" w:rsidRPr="00A65602" w14:paraId="5AE6E885"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5514CCE5" w14:textId="30F92001" w:rsidR="00AA73B0" w:rsidRPr="00FB7658" w:rsidRDefault="00AA73B0" w:rsidP="00A65602">
            <w:r w:rsidRPr="00AA73B0">
              <w:t>MRI</w:t>
            </w:r>
          </w:p>
        </w:tc>
        <w:tc>
          <w:tcPr>
            <w:tcW w:w="4003" w:type="pct"/>
            <w:gridSpan w:val="2"/>
            <w:tcBorders>
              <w:top w:val="single" w:sz="8" w:space="0" w:color="002C47"/>
              <w:left w:val="single" w:sz="8" w:space="0" w:color="002C47"/>
              <w:bottom w:val="single" w:sz="8" w:space="0" w:color="002C47"/>
              <w:right w:val="single" w:sz="8" w:space="0" w:color="002C47"/>
            </w:tcBorders>
          </w:tcPr>
          <w:p w14:paraId="1A055DA9" w14:textId="236E115E" w:rsidR="00AA73B0" w:rsidRPr="00FB7658" w:rsidRDefault="00AA73B0" w:rsidP="00A65602">
            <w:r>
              <w:t>M</w:t>
            </w:r>
            <w:r w:rsidRPr="00AA73B0">
              <w:t>agnetic resonance imaging</w:t>
            </w:r>
          </w:p>
        </w:tc>
      </w:tr>
      <w:tr w:rsidR="00A65602" w:rsidRPr="00A65602" w14:paraId="03E1B6DC"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73792FC7" w14:textId="0530BDA3" w:rsidR="00A65602" w:rsidRPr="00FB7658" w:rsidRDefault="00A65602" w:rsidP="00A65602">
            <w:r w:rsidRPr="00FB7658">
              <w:t>NMQ</w:t>
            </w:r>
          </w:p>
        </w:tc>
        <w:tc>
          <w:tcPr>
            <w:tcW w:w="4003" w:type="pct"/>
            <w:gridSpan w:val="2"/>
            <w:tcBorders>
              <w:top w:val="single" w:sz="8" w:space="0" w:color="002C47"/>
              <w:left w:val="single" w:sz="8" w:space="0" w:color="002C47"/>
              <w:bottom w:val="single" w:sz="8" w:space="0" w:color="002C47"/>
              <w:right w:val="single" w:sz="8" w:space="0" w:color="002C47"/>
            </w:tcBorders>
          </w:tcPr>
          <w:p w14:paraId="0B2ACC06" w14:textId="39E7D408" w:rsidR="00A65602" w:rsidRPr="00FB7658" w:rsidRDefault="00A65602" w:rsidP="00A65602">
            <w:r w:rsidRPr="00FB7658">
              <w:t>Novartis Medical Dictionary for Regulatory Activities (MedDRA) Query</w:t>
            </w:r>
          </w:p>
        </w:tc>
      </w:tr>
      <w:tr w:rsidR="00A65602" w:rsidRPr="00A65602" w14:paraId="3F7DBAF5"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5D4CB00A" w14:textId="557A1FD8" w:rsidR="00A65602" w:rsidRPr="00FB7658" w:rsidRDefault="00A65602" w:rsidP="00A65602">
            <w:r w:rsidRPr="00FB7658">
              <w:t>nr‐</w:t>
            </w:r>
            <w:proofErr w:type="spellStart"/>
            <w:r w:rsidRPr="00FB7658">
              <w:t>axSpA</w:t>
            </w:r>
            <w:proofErr w:type="spellEnd"/>
          </w:p>
        </w:tc>
        <w:tc>
          <w:tcPr>
            <w:tcW w:w="4003" w:type="pct"/>
            <w:gridSpan w:val="2"/>
            <w:tcBorders>
              <w:top w:val="single" w:sz="8" w:space="0" w:color="002C47"/>
              <w:left w:val="single" w:sz="8" w:space="0" w:color="002C47"/>
              <w:bottom w:val="single" w:sz="8" w:space="0" w:color="002C47"/>
              <w:right w:val="single" w:sz="8" w:space="0" w:color="002C47"/>
            </w:tcBorders>
          </w:tcPr>
          <w:p w14:paraId="620A481F" w14:textId="5329A5B6" w:rsidR="00A65602" w:rsidRPr="00FB7658" w:rsidRDefault="00A65602" w:rsidP="00A65602">
            <w:r w:rsidRPr="00FB7658">
              <w:t>Non‐radiographic axial spondyloarthritis</w:t>
            </w:r>
          </w:p>
        </w:tc>
      </w:tr>
      <w:tr w:rsidR="00AA73B0" w:rsidRPr="00A65602" w14:paraId="0C20F7CA"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1801BEED" w14:textId="4E7E241C" w:rsidR="00AA73B0" w:rsidRPr="00FB7658" w:rsidRDefault="00AA73B0" w:rsidP="00A65602">
            <w:r w:rsidRPr="00AA73B0">
              <w:t>NSAID</w:t>
            </w:r>
          </w:p>
        </w:tc>
        <w:tc>
          <w:tcPr>
            <w:tcW w:w="4003" w:type="pct"/>
            <w:gridSpan w:val="2"/>
            <w:tcBorders>
              <w:top w:val="single" w:sz="8" w:space="0" w:color="002C47"/>
              <w:left w:val="single" w:sz="8" w:space="0" w:color="002C47"/>
              <w:bottom w:val="single" w:sz="8" w:space="0" w:color="002C47"/>
              <w:right w:val="single" w:sz="8" w:space="0" w:color="002C47"/>
            </w:tcBorders>
          </w:tcPr>
          <w:p w14:paraId="16065614" w14:textId="4CDEEF9A" w:rsidR="00AA73B0" w:rsidRPr="00FB7658" w:rsidRDefault="00AA73B0" w:rsidP="00A65602">
            <w:r w:rsidRPr="00AA73B0">
              <w:t>Non</w:t>
            </w:r>
            <w:r>
              <w:t>-</w:t>
            </w:r>
            <w:r w:rsidRPr="00AA73B0">
              <w:t>steroidal anti-inflammatory drug</w:t>
            </w:r>
          </w:p>
        </w:tc>
      </w:tr>
      <w:tr w:rsidR="00A65602" w:rsidRPr="00A65602" w14:paraId="4009E929"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0AEE0249" w14:textId="5742AC33" w:rsidR="00A65602" w:rsidRPr="00FB7658" w:rsidRDefault="00A65602" w:rsidP="00A65602">
            <w:r w:rsidRPr="00F40D73">
              <w:t>PASI</w:t>
            </w:r>
          </w:p>
        </w:tc>
        <w:tc>
          <w:tcPr>
            <w:tcW w:w="4003" w:type="pct"/>
            <w:gridSpan w:val="2"/>
            <w:tcBorders>
              <w:top w:val="single" w:sz="8" w:space="0" w:color="002C47"/>
              <w:left w:val="single" w:sz="8" w:space="0" w:color="002C47"/>
              <w:bottom w:val="single" w:sz="8" w:space="0" w:color="002C47"/>
              <w:right w:val="single" w:sz="8" w:space="0" w:color="002C47"/>
            </w:tcBorders>
          </w:tcPr>
          <w:p w14:paraId="67DA62B7" w14:textId="33D5065B" w:rsidR="00A65602" w:rsidRPr="00FB7658" w:rsidRDefault="00A65602" w:rsidP="00A65602">
            <w:r w:rsidRPr="00F40D73">
              <w:t>Psoriasis Area Severity Index</w:t>
            </w:r>
          </w:p>
        </w:tc>
      </w:tr>
      <w:tr w:rsidR="00A65602" w:rsidRPr="00A65602" w14:paraId="0B329710"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101BAFE2" w14:textId="2ED9F424" w:rsidR="00A65602" w:rsidRPr="00F40D73" w:rsidRDefault="00A65602" w:rsidP="00A65602">
            <w:r w:rsidRPr="00FB7658">
              <w:t>PI</w:t>
            </w:r>
          </w:p>
        </w:tc>
        <w:tc>
          <w:tcPr>
            <w:tcW w:w="4003" w:type="pct"/>
            <w:gridSpan w:val="2"/>
            <w:tcBorders>
              <w:top w:val="single" w:sz="8" w:space="0" w:color="002C47"/>
              <w:left w:val="single" w:sz="8" w:space="0" w:color="002C47"/>
              <w:bottom w:val="single" w:sz="8" w:space="0" w:color="002C47"/>
              <w:right w:val="single" w:sz="8" w:space="0" w:color="002C47"/>
            </w:tcBorders>
          </w:tcPr>
          <w:p w14:paraId="1137227C" w14:textId="7A77CCCF" w:rsidR="00A65602" w:rsidRPr="00F40D73" w:rsidRDefault="00A65602" w:rsidP="00A65602">
            <w:r w:rsidRPr="00FB7658">
              <w:t>Product Information</w:t>
            </w:r>
          </w:p>
        </w:tc>
      </w:tr>
      <w:tr w:rsidR="00A65602" w:rsidRPr="00A65602" w14:paraId="452CD35E"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228FB63F" w14:textId="63B58AFF" w:rsidR="00A65602" w:rsidRPr="00FB7658" w:rsidRDefault="00A65602" w:rsidP="00A65602">
            <w:r w:rsidRPr="00FB7658">
              <w:t>PK</w:t>
            </w:r>
          </w:p>
        </w:tc>
        <w:tc>
          <w:tcPr>
            <w:tcW w:w="4003" w:type="pct"/>
            <w:gridSpan w:val="2"/>
            <w:tcBorders>
              <w:top w:val="single" w:sz="8" w:space="0" w:color="002C47"/>
              <w:left w:val="single" w:sz="8" w:space="0" w:color="002C47"/>
              <w:bottom w:val="single" w:sz="8" w:space="0" w:color="002C47"/>
              <w:right w:val="single" w:sz="8" w:space="0" w:color="002C47"/>
            </w:tcBorders>
          </w:tcPr>
          <w:p w14:paraId="7E4F5996" w14:textId="46A24E46" w:rsidR="00A65602" w:rsidRPr="00FB7658" w:rsidRDefault="00A65602" w:rsidP="00A65602">
            <w:r w:rsidRPr="00FB7658">
              <w:t>Pharmacokinetic</w:t>
            </w:r>
            <w:r>
              <w:t>(</w:t>
            </w:r>
            <w:r w:rsidRPr="00FB7658">
              <w:t>s)</w:t>
            </w:r>
          </w:p>
        </w:tc>
      </w:tr>
      <w:tr w:rsidR="00A65602" w:rsidRPr="00A65602" w14:paraId="13B53E3E"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08EDC337" w14:textId="2B218F77" w:rsidR="00A65602" w:rsidRPr="00FB7658" w:rsidRDefault="00A65602" w:rsidP="00A65602">
            <w:proofErr w:type="spellStart"/>
            <w:r w:rsidRPr="00FB7658">
              <w:t>PopPK</w:t>
            </w:r>
            <w:proofErr w:type="spellEnd"/>
          </w:p>
        </w:tc>
        <w:tc>
          <w:tcPr>
            <w:tcW w:w="4003" w:type="pct"/>
            <w:gridSpan w:val="2"/>
            <w:tcBorders>
              <w:top w:val="single" w:sz="8" w:space="0" w:color="002C47"/>
              <w:left w:val="single" w:sz="8" w:space="0" w:color="002C47"/>
              <w:bottom w:val="single" w:sz="8" w:space="0" w:color="002C47"/>
              <w:right w:val="single" w:sz="8" w:space="0" w:color="002C47"/>
            </w:tcBorders>
          </w:tcPr>
          <w:p w14:paraId="2466B833" w14:textId="1504801B" w:rsidR="00A65602" w:rsidRPr="00FB7658" w:rsidRDefault="00A65602" w:rsidP="00A65602">
            <w:r w:rsidRPr="00FB7658">
              <w:t>Population pharmacokinetic</w:t>
            </w:r>
            <w:r>
              <w:t>(s)</w:t>
            </w:r>
          </w:p>
        </w:tc>
      </w:tr>
      <w:tr w:rsidR="00A65602" w:rsidRPr="00A65602" w14:paraId="40BFC3E1"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48EDCA27" w14:textId="17CA5AA5" w:rsidR="00A65602" w:rsidRPr="00FB7658" w:rsidRDefault="00A65602" w:rsidP="00A65602">
            <w:r w:rsidRPr="00FB7658">
              <w:lastRenderedPageBreak/>
              <w:t>PT</w:t>
            </w:r>
          </w:p>
        </w:tc>
        <w:tc>
          <w:tcPr>
            <w:tcW w:w="4003" w:type="pct"/>
            <w:gridSpan w:val="2"/>
            <w:tcBorders>
              <w:top w:val="single" w:sz="8" w:space="0" w:color="002C47"/>
              <w:left w:val="single" w:sz="8" w:space="0" w:color="002C47"/>
              <w:bottom w:val="single" w:sz="8" w:space="0" w:color="002C47"/>
              <w:right w:val="single" w:sz="8" w:space="0" w:color="002C47"/>
            </w:tcBorders>
          </w:tcPr>
          <w:p w14:paraId="657125B0" w14:textId="49041F7E" w:rsidR="00A65602" w:rsidRPr="00FB7658" w:rsidRDefault="00A65602" w:rsidP="00A65602">
            <w:r w:rsidRPr="00FB7658">
              <w:t>Preferred Term</w:t>
            </w:r>
          </w:p>
        </w:tc>
      </w:tr>
      <w:tr w:rsidR="00A65602" w:rsidRPr="00A65602" w14:paraId="4B5FE1F8"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684AC0E4" w14:textId="386CC9DA" w:rsidR="00A65602" w:rsidRPr="00FB7658" w:rsidRDefault="00A65602" w:rsidP="00A65602">
            <w:r>
              <w:t>RMP</w:t>
            </w:r>
          </w:p>
        </w:tc>
        <w:tc>
          <w:tcPr>
            <w:tcW w:w="4003" w:type="pct"/>
            <w:gridSpan w:val="2"/>
            <w:tcBorders>
              <w:top w:val="single" w:sz="8" w:space="0" w:color="002C47"/>
              <w:left w:val="single" w:sz="8" w:space="0" w:color="002C47"/>
              <w:bottom w:val="single" w:sz="8" w:space="0" w:color="002C47"/>
              <w:right w:val="single" w:sz="8" w:space="0" w:color="002C47"/>
            </w:tcBorders>
          </w:tcPr>
          <w:p w14:paraId="16D6D96D" w14:textId="4088731B" w:rsidR="00A65602" w:rsidRPr="00FB7658" w:rsidRDefault="00A65602" w:rsidP="00A65602">
            <w:r>
              <w:t>Risk management plan</w:t>
            </w:r>
          </w:p>
        </w:tc>
      </w:tr>
      <w:tr w:rsidR="00A65602" w:rsidRPr="00A65602" w14:paraId="720461F7"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04E217BC" w14:textId="2D2F23DD" w:rsidR="00A65602" w:rsidRDefault="00A65602" w:rsidP="00A65602">
            <w:r w:rsidRPr="00FB7658">
              <w:t>SAE</w:t>
            </w:r>
          </w:p>
        </w:tc>
        <w:tc>
          <w:tcPr>
            <w:tcW w:w="4003" w:type="pct"/>
            <w:gridSpan w:val="2"/>
            <w:tcBorders>
              <w:top w:val="single" w:sz="8" w:space="0" w:color="002C47"/>
              <w:left w:val="single" w:sz="8" w:space="0" w:color="002C47"/>
              <w:bottom w:val="single" w:sz="8" w:space="0" w:color="002C47"/>
              <w:right w:val="single" w:sz="8" w:space="0" w:color="002C47"/>
            </w:tcBorders>
          </w:tcPr>
          <w:p w14:paraId="70B53021" w14:textId="42E27EE9" w:rsidR="00A65602" w:rsidRDefault="00A65602" w:rsidP="00A65602">
            <w:r w:rsidRPr="00FB7658">
              <w:t>Serious adverse event</w:t>
            </w:r>
          </w:p>
        </w:tc>
      </w:tr>
      <w:tr w:rsidR="00A65602" w:rsidRPr="00A65602" w14:paraId="675096A3"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7BEE5FD9" w14:textId="19AFCBE1" w:rsidR="00A65602" w:rsidRPr="00FB7658" w:rsidRDefault="00A65602" w:rsidP="00A65602">
            <w:r w:rsidRPr="00FB7658">
              <w:t>SMQ</w:t>
            </w:r>
          </w:p>
        </w:tc>
        <w:tc>
          <w:tcPr>
            <w:tcW w:w="4003" w:type="pct"/>
            <w:gridSpan w:val="2"/>
            <w:tcBorders>
              <w:top w:val="single" w:sz="8" w:space="0" w:color="002C47"/>
              <w:left w:val="single" w:sz="8" w:space="0" w:color="002C47"/>
              <w:bottom w:val="single" w:sz="8" w:space="0" w:color="002C47"/>
              <w:right w:val="single" w:sz="8" w:space="0" w:color="002C47"/>
            </w:tcBorders>
          </w:tcPr>
          <w:p w14:paraId="02E005F1" w14:textId="082D26FF" w:rsidR="00A65602" w:rsidRPr="00FB7658" w:rsidRDefault="00A65602" w:rsidP="00A65602">
            <w:r w:rsidRPr="00FB7658">
              <w:t>Standardised Medical Dictionary for Regulatory Activities (MedDRA) Query</w:t>
            </w:r>
          </w:p>
        </w:tc>
      </w:tr>
      <w:tr w:rsidR="00A65602" w:rsidRPr="00A65602" w14:paraId="196130F3"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198D8DF5" w14:textId="409F90FA" w:rsidR="00A65602" w:rsidRPr="00FB7658" w:rsidRDefault="00A65602" w:rsidP="00A65602">
            <w:r w:rsidRPr="00FB7658">
              <w:t>SOC</w:t>
            </w:r>
          </w:p>
        </w:tc>
        <w:tc>
          <w:tcPr>
            <w:tcW w:w="4003" w:type="pct"/>
            <w:gridSpan w:val="2"/>
            <w:tcBorders>
              <w:top w:val="single" w:sz="8" w:space="0" w:color="002C47"/>
              <w:left w:val="single" w:sz="8" w:space="0" w:color="002C47"/>
              <w:bottom w:val="single" w:sz="8" w:space="0" w:color="002C47"/>
              <w:right w:val="single" w:sz="8" w:space="0" w:color="002C47"/>
            </w:tcBorders>
          </w:tcPr>
          <w:p w14:paraId="668BB9BB" w14:textId="44899139" w:rsidR="00A65602" w:rsidRPr="00FB7658" w:rsidRDefault="00A65602" w:rsidP="00A65602">
            <w:r w:rsidRPr="00FB7658">
              <w:t xml:space="preserve">System Organ </w:t>
            </w:r>
            <w:r>
              <w:t>C</w:t>
            </w:r>
            <w:r w:rsidRPr="00FB7658">
              <w:t>lass</w:t>
            </w:r>
          </w:p>
        </w:tc>
      </w:tr>
      <w:tr w:rsidR="00A65602" w:rsidRPr="00A65602" w14:paraId="2A9C60A1"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6243DD34" w14:textId="4C33B922" w:rsidR="00A65602" w:rsidRPr="00FB7658" w:rsidRDefault="00A65602" w:rsidP="00A65602">
            <w:r>
              <w:t>TGA</w:t>
            </w:r>
          </w:p>
        </w:tc>
        <w:tc>
          <w:tcPr>
            <w:tcW w:w="4003" w:type="pct"/>
            <w:gridSpan w:val="2"/>
            <w:tcBorders>
              <w:top w:val="single" w:sz="8" w:space="0" w:color="002C47"/>
              <w:left w:val="single" w:sz="8" w:space="0" w:color="002C47"/>
              <w:bottom w:val="single" w:sz="8" w:space="0" w:color="002C47"/>
              <w:right w:val="single" w:sz="8" w:space="0" w:color="002C47"/>
            </w:tcBorders>
          </w:tcPr>
          <w:p w14:paraId="608A0987" w14:textId="7752337A" w:rsidR="00A65602" w:rsidRPr="00FB7658" w:rsidRDefault="00A65602" w:rsidP="00A65602">
            <w:r>
              <w:t>Therapeutic Goods Administration</w:t>
            </w:r>
          </w:p>
        </w:tc>
      </w:tr>
      <w:tr w:rsidR="00A65602" w:rsidRPr="00A65602" w14:paraId="259BB66F" w14:textId="77777777" w:rsidTr="00A65602">
        <w:trPr>
          <w:cantSplit/>
        </w:trPr>
        <w:tc>
          <w:tcPr>
            <w:tcW w:w="997" w:type="pct"/>
            <w:tcBorders>
              <w:top w:val="single" w:sz="8" w:space="0" w:color="002C47"/>
              <w:left w:val="single" w:sz="8" w:space="0" w:color="002C47"/>
              <w:bottom w:val="single" w:sz="8" w:space="0" w:color="002C47"/>
              <w:right w:val="single" w:sz="8" w:space="0" w:color="002C47"/>
            </w:tcBorders>
          </w:tcPr>
          <w:p w14:paraId="0FB2688E" w14:textId="61B27419" w:rsidR="00A65602" w:rsidRDefault="00A65602" w:rsidP="00A65602">
            <w:r w:rsidRPr="00FB7658">
              <w:t>US</w:t>
            </w:r>
            <w:r>
              <w:t>(A)</w:t>
            </w:r>
          </w:p>
        </w:tc>
        <w:tc>
          <w:tcPr>
            <w:tcW w:w="4003" w:type="pct"/>
            <w:gridSpan w:val="2"/>
            <w:tcBorders>
              <w:top w:val="single" w:sz="8" w:space="0" w:color="002C47"/>
              <w:left w:val="single" w:sz="8" w:space="0" w:color="002C47"/>
              <w:bottom w:val="single" w:sz="8" w:space="0" w:color="002C47"/>
              <w:right w:val="single" w:sz="8" w:space="0" w:color="002C47"/>
            </w:tcBorders>
          </w:tcPr>
          <w:p w14:paraId="4A61D0FF" w14:textId="161CD0A1" w:rsidR="00A65602" w:rsidRDefault="00A65602" w:rsidP="00A65602">
            <w:r w:rsidRPr="00FB7658">
              <w:t>United States (</w:t>
            </w:r>
            <w:r>
              <w:t>of America</w:t>
            </w:r>
            <w:r w:rsidRPr="00FB7658">
              <w:t>)</w:t>
            </w:r>
          </w:p>
        </w:tc>
      </w:tr>
    </w:tbl>
    <w:p w14:paraId="2DC57BFC" w14:textId="77777777" w:rsidR="00FD119B" w:rsidRPr="00A65602" w:rsidRDefault="00FD119B" w:rsidP="00FD119B">
      <w:pPr>
        <w:spacing w:before="0" w:after="200" w:line="0" w:lineRule="auto"/>
        <w:rPr>
          <w:b/>
          <w:i/>
          <w:sz w:val="24"/>
          <w:szCs w:val="24"/>
        </w:rPr>
      </w:pPr>
      <w:r w:rsidRPr="00A65602">
        <w:rPr>
          <w:b/>
          <w:i/>
          <w:sz w:val="24"/>
          <w:szCs w:val="24"/>
        </w:rPr>
        <w:br w:type="page"/>
      </w:r>
    </w:p>
    <w:p w14:paraId="30820FBF" w14:textId="77777777" w:rsidR="008E7846" w:rsidRPr="00A65602" w:rsidRDefault="009F2673" w:rsidP="008E7846">
      <w:pPr>
        <w:pStyle w:val="Heading2"/>
      </w:pPr>
      <w:bookmarkStart w:id="5" w:name="_Toc117510576"/>
      <w:r w:rsidRPr="00A65602">
        <w:lastRenderedPageBreak/>
        <w:t>Pr</w:t>
      </w:r>
      <w:r w:rsidR="008E7846" w:rsidRPr="00A65602">
        <w:t>oduct submission</w:t>
      </w:r>
      <w:bookmarkEnd w:id="0"/>
      <w:bookmarkEnd w:id="2"/>
      <w:bookmarkEnd w:id="5"/>
    </w:p>
    <w:p w14:paraId="6AE05AAD" w14:textId="77777777" w:rsidR="008E7846" w:rsidRPr="00A65602" w:rsidRDefault="008E7846" w:rsidP="009E5A87">
      <w:pPr>
        <w:pStyle w:val="Heading3"/>
        <w:rPr>
          <w:lang w:eastAsia="en-AU"/>
        </w:rPr>
      </w:pPr>
      <w:bookmarkStart w:id="6" w:name="_Toc247691502"/>
      <w:bookmarkStart w:id="7" w:name="_Toc314842483"/>
      <w:bookmarkStart w:id="8" w:name="_Toc117510577"/>
      <w:r w:rsidRPr="00A65602">
        <w:rPr>
          <w:lang w:eastAsia="en-AU"/>
        </w:rPr>
        <w:t>Submission details</w:t>
      </w:r>
      <w:bookmarkEnd w:id="6"/>
      <w:bookmarkEnd w:id="7"/>
      <w:bookmarkEnd w:id="8"/>
    </w:p>
    <w:tbl>
      <w:tblPr>
        <w:tblW w:w="5000" w:type="pct"/>
        <w:tblLook w:val="01E0" w:firstRow="1" w:lastRow="1" w:firstColumn="1" w:lastColumn="1" w:noHBand="0" w:noVBand="0"/>
      </w:tblPr>
      <w:tblGrid>
        <w:gridCol w:w="2682"/>
        <w:gridCol w:w="5822"/>
      </w:tblGrid>
      <w:tr w:rsidR="009F2673" w:rsidRPr="00A65602" w14:paraId="36EFA838" w14:textId="77777777" w:rsidTr="00F40D73">
        <w:tc>
          <w:tcPr>
            <w:tcW w:w="1577" w:type="pct"/>
          </w:tcPr>
          <w:p w14:paraId="3C038008" w14:textId="77777777" w:rsidR="009F2673" w:rsidRPr="00A65602" w:rsidRDefault="009F2673" w:rsidP="009E5A87">
            <w:pPr>
              <w:rPr>
                <w:i/>
              </w:rPr>
            </w:pPr>
            <w:r w:rsidRPr="00A65602">
              <w:rPr>
                <w:i/>
              </w:rPr>
              <w:t>Type of submission:</w:t>
            </w:r>
          </w:p>
        </w:tc>
        <w:tc>
          <w:tcPr>
            <w:tcW w:w="3423" w:type="pct"/>
          </w:tcPr>
          <w:p w14:paraId="6D537D02" w14:textId="086EBF51" w:rsidR="009F2673" w:rsidRPr="00A65602" w:rsidRDefault="006A3017" w:rsidP="009E5A87">
            <w:r w:rsidRPr="00A65602">
              <w:t>M</w:t>
            </w:r>
            <w:r w:rsidR="009F2673" w:rsidRPr="00A65602">
              <w:t>ajor variation (</w:t>
            </w:r>
            <w:r w:rsidRPr="00A65602">
              <w:t>change in dose regimen</w:t>
            </w:r>
            <w:r w:rsidR="009F2673" w:rsidRPr="00A65602">
              <w:t>)</w:t>
            </w:r>
          </w:p>
        </w:tc>
      </w:tr>
      <w:tr w:rsidR="009F2673" w:rsidRPr="00A65602" w14:paraId="6E9A6424" w14:textId="77777777" w:rsidTr="00F40D73">
        <w:tc>
          <w:tcPr>
            <w:tcW w:w="1577" w:type="pct"/>
          </w:tcPr>
          <w:p w14:paraId="231534CD" w14:textId="642F0A59" w:rsidR="009F2673" w:rsidRPr="00A65602" w:rsidRDefault="009F2673" w:rsidP="009E5A87">
            <w:pPr>
              <w:rPr>
                <w:i/>
              </w:rPr>
            </w:pPr>
            <w:r w:rsidRPr="00A65602">
              <w:rPr>
                <w:i/>
              </w:rPr>
              <w:t>Product name:</w:t>
            </w:r>
          </w:p>
        </w:tc>
        <w:tc>
          <w:tcPr>
            <w:tcW w:w="3423" w:type="pct"/>
          </w:tcPr>
          <w:p w14:paraId="7F9768BF" w14:textId="071D191E" w:rsidR="009F2673" w:rsidRPr="00A65602" w:rsidRDefault="00F40D73" w:rsidP="009E5A87">
            <w:r w:rsidRPr="00A65602">
              <w:t>Cosentyx</w:t>
            </w:r>
          </w:p>
        </w:tc>
      </w:tr>
      <w:tr w:rsidR="009F2673" w:rsidRPr="00A65602" w14:paraId="6C2719FB" w14:textId="77777777" w:rsidTr="00F40D73">
        <w:tc>
          <w:tcPr>
            <w:tcW w:w="1577" w:type="pct"/>
          </w:tcPr>
          <w:p w14:paraId="3400A38D" w14:textId="6D0824C4" w:rsidR="009F2673" w:rsidRPr="00A65602" w:rsidRDefault="009F2673" w:rsidP="009E5A87">
            <w:pPr>
              <w:rPr>
                <w:i/>
              </w:rPr>
            </w:pPr>
            <w:r w:rsidRPr="00A65602">
              <w:rPr>
                <w:i/>
              </w:rPr>
              <w:t>Active ingredient:</w:t>
            </w:r>
          </w:p>
        </w:tc>
        <w:tc>
          <w:tcPr>
            <w:tcW w:w="3423" w:type="pct"/>
          </w:tcPr>
          <w:p w14:paraId="178F3669" w14:textId="4C74F9A8" w:rsidR="009F2673" w:rsidRPr="00A65602" w:rsidRDefault="00F40D73" w:rsidP="009E5A87">
            <w:r w:rsidRPr="00A65602">
              <w:t>Secukinumab</w:t>
            </w:r>
          </w:p>
        </w:tc>
      </w:tr>
      <w:tr w:rsidR="009F2673" w:rsidRPr="00A65602" w14:paraId="43D44908" w14:textId="77777777" w:rsidTr="00F40D73">
        <w:tc>
          <w:tcPr>
            <w:tcW w:w="1577" w:type="pct"/>
          </w:tcPr>
          <w:p w14:paraId="331CA919" w14:textId="77777777" w:rsidR="009F2673" w:rsidRPr="00A65602" w:rsidRDefault="009F2673" w:rsidP="009E5A87">
            <w:pPr>
              <w:rPr>
                <w:i/>
              </w:rPr>
            </w:pPr>
            <w:r w:rsidRPr="00A65602">
              <w:rPr>
                <w:i/>
              </w:rPr>
              <w:t>Decision:</w:t>
            </w:r>
          </w:p>
        </w:tc>
        <w:tc>
          <w:tcPr>
            <w:tcW w:w="3423" w:type="pct"/>
          </w:tcPr>
          <w:p w14:paraId="6D8FE1BF" w14:textId="3D84CF40" w:rsidR="009F2673" w:rsidRPr="00A65602" w:rsidRDefault="009F2673" w:rsidP="009E5A87">
            <w:r w:rsidRPr="00A65602">
              <w:t>Approved</w:t>
            </w:r>
          </w:p>
        </w:tc>
      </w:tr>
      <w:tr w:rsidR="009F2673" w:rsidRPr="00A65602" w14:paraId="75DD1168" w14:textId="77777777" w:rsidTr="00F40D73">
        <w:tc>
          <w:tcPr>
            <w:tcW w:w="1577" w:type="pct"/>
          </w:tcPr>
          <w:p w14:paraId="4202A06E" w14:textId="77777777" w:rsidR="009F2673" w:rsidRPr="00A65602" w:rsidRDefault="009F2673" w:rsidP="009E5A87">
            <w:pPr>
              <w:rPr>
                <w:i/>
              </w:rPr>
            </w:pPr>
            <w:r w:rsidRPr="00A65602">
              <w:rPr>
                <w:i/>
              </w:rPr>
              <w:t>Date of decision:</w:t>
            </w:r>
          </w:p>
        </w:tc>
        <w:tc>
          <w:tcPr>
            <w:tcW w:w="3423" w:type="pct"/>
          </w:tcPr>
          <w:p w14:paraId="79D184B5" w14:textId="394D6A6A" w:rsidR="009F2673" w:rsidRPr="00A65602" w:rsidRDefault="00F40D73" w:rsidP="009E5A87">
            <w:r w:rsidRPr="00A65602">
              <w:t>3 May 2022</w:t>
            </w:r>
          </w:p>
        </w:tc>
      </w:tr>
      <w:tr w:rsidR="009F2673" w:rsidRPr="00A65602" w14:paraId="482BAA41" w14:textId="77777777" w:rsidTr="00F40D73">
        <w:tc>
          <w:tcPr>
            <w:tcW w:w="1577" w:type="pct"/>
          </w:tcPr>
          <w:p w14:paraId="3CF1B426" w14:textId="77777777" w:rsidR="009F2673" w:rsidRPr="00A65602" w:rsidRDefault="009F2673" w:rsidP="009E5A87">
            <w:pPr>
              <w:rPr>
                <w:i/>
              </w:rPr>
            </w:pPr>
            <w:r w:rsidRPr="00A65602">
              <w:rPr>
                <w:i/>
              </w:rPr>
              <w:t>Date of entry onto ARTG:</w:t>
            </w:r>
          </w:p>
        </w:tc>
        <w:tc>
          <w:tcPr>
            <w:tcW w:w="3423" w:type="pct"/>
          </w:tcPr>
          <w:p w14:paraId="1F98E8E7" w14:textId="48CC5750" w:rsidR="009F2673" w:rsidRPr="00A65602" w:rsidRDefault="00F40D73" w:rsidP="009E5A87">
            <w:r w:rsidRPr="00A65602">
              <w:t>5 May 2022</w:t>
            </w:r>
          </w:p>
        </w:tc>
      </w:tr>
      <w:tr w:rsidR="009F2673" w:rsidRPr="00A65602" w14:paraId="5F2FA032" w14:textId="77777777" w:rsidTr="00F40D73">
        <w:tc>
          <w:tcPr>
            <w:tcW w:w="1577" w:type="pct"/>
          </w:tcPr>
          <w:p w14:paraId="4E2F4C44" w14:textId="6AF5F9C4" w:rsidR="009F2673" w:rsidRPr="00A65602" w:rsidRDefault="009F2673" w:rsidP="009E5A87">
            <w:pPr>
              <w:rPr>
                <w:i/>
              </w:rPr>
            </w:pPr>
            <w:r w:rsidRPr="00A65602">
              <w:rPr>
                <w:i/>
              </w:rPr>
              <w:t>ARTG numbers:</w:t>
            </w:r>
          </w:p>
        </w:tc>
        <w:tc>
          <w:tcPr>
            <w:tcW w:w="3423" w:type="pct"/>
          </w:tcPr>
          <w:p w14:paraId="078D9F94" w14:textId="15474BA9" w:rsidR="009F2673" w:rsidRPr="00A65602" w:rsidRDefault="00703049" w:rsidP="009E5A87">
            <w:r w:rsidRPr="00A65602">
              <w:t>218798, 218799, 218800, 353254, 353265 and 353266</w:t>
            </w:r>
          </w:p>
        </w:tc>
      </w:tr>
      <w:tr w:rsidR="009F2673" w:rsidRPr="00A65602" w14:paraId="72C4C9D4" w14:textId="77777777" w:rsidTr="00F40D73">
        <w:tc>
          <w:tcPr>
            <w:tcW w:w="1577" w:type="pct"/>
          </w:tcPr>
          <w:p w14:paraId="4121772E" w14:textId="599AAE83" w:rsidR="009F2673" w:rsidRPr="00A65602" w:rsidRDefault="001B1DA4" w:rsidP="009E5A87">
            <w:pPr>
              <w:rPr>
                <w:i/>
              </w:rPr>
            </w:pPr>
            <w:r w:rsidRPr="00A65602">
              <w:rPr>
                <w:rFonts w:ascii="Wingdings 3" w:hAnsi="Wingdings 3"/>
                <w:sz w:val="34"/>
                <w:szCs w:val="34"/>
                <w:lang w:eastAsia="en-AU"/>
              </w:rPr>
              <w:t></w:t>
            </w:r>
            <w:hyperlink r:id="rId14" w:history="1">
              <w:r w:rsidR="009F2673" w:rsidRPr="00A65602">
                <w:rPr>
                  <w:rStyle w:val="Hyperlink"/>
                  <w:i/>
                </w:rPr>
                <w:t>Black Triangle Scheme</w:t>
              </w:r>
            </w:hyperlink>
            <w:r w:rsidR="009F2673" w:rsidRPr="00A65602">
              <w:rPr>
                <w:i/>
              </w:rPr>
              <w:t>:</w:t>
            </w:r>
          </w:p>
        </w:tc>
        <w:tc>
          <w:tcPr>
            <w:tcW w:w="3423" w:type="pct"/>
          </w:tcPr>
          <w:p w14:paraId="3BE5F175" w14:textId="4426E76E" w:rsidR="009F2673" w:rsidRPr="00A65602" w:rsidRDefault="009F2673" w:rsidP="009E5A87">
            <w:r w:rsidRPr="00A65602">
              <w:t>Yes</w:t>
            </w:r>
            <w:r w:rsidR="00703049" w:rsidRPr="00A65602">
              <w:t>.</w:t>
            </w:r>
          </w:p>
          <w:p w14:paraId="13A66D89" w14:textId="37C0872A" w:rsidR="009F2673" w:rsidRPr="00A65602" w:rsidRDefault="009F2673" w:rsidP="009E5A87">
            <w:r w:rsidRPr="00A65602">
              <w:t>This product will remain in the scheme for 5 years, starting on the date the product is first supplied in Australia</w:t>
            </w:r>
            <w:r w:rsidR="00703049" w:rsidRPr="00A65602">
              <w:t>.</w:t>
            </w:r>
          </w:p>
        </w:tc>
      </w:tr>
      <w:tr w:rsidR="009F2673" w:rsidRPr="00A65602" w14:paraId="7356EC84" w14:textId="77777777" w:rsidTr="00F40D73">
        <w:tc>
          <w:tcPr>
            <w:tcW w:w="1577" w:type="pct"/>
          </w:tcPr>
          <w:p w14:paraId="027FB88A" w14:textId="77777777" w:rsidR="009F2673" w:rsidRPr="00A65602" w:rsidRDefault="009F2673" w:rsidP="009E5A87">
            <w:pPr>
              <w:rPr>
                <w:i/>
              </w:rPr>
            </w:pPr>
            <w:r w:rsidRPr="00A65602">
              <w:rPr>
                <w:i/>
              </w:rPr>
              <w:t>Sponsor’s name and address:</w:t>
            </w:r>
          </w:p>
        </w:tc>
        <w:tc>
          <w:tcPr>
            <w:tcW w:w="3423" w:type="pct"/>
          </w:tcPr>
          <w:p w14:paraId="7ED0BFFE" w14:textId="77777777" w:rsidR="009F2673" w:rsidRPr="00A65602" w:rsidRDefault="00F40D73" w:rsidP="009E5A87">
            <w:r w:rsidRPr="00A65602">
              <w:t>Novartis Pharmaceuticals Australia Pty Limited</w:t>
            </w:r>
          </w:p>
          <w:p w14:paraId="77131BB6" w14:textId="77777777" w:rsidR="00F40D73" w:rsidRPr="00A65602" w:rsidRDefault="00F40D73" w:rsidP="00F40D73">
            <w:r w:rsidRPr="00A65602">
              <w:t>54 Waterloo Road</w:t>
            </w:r>
          </w:p>
          <w:p w14:paraId="78D7369C" w14:textId="331B1971" w:rsidR="00F40D73" w:rsidRPr="00A65602" w:rsidRDefault="00F40D73" w:rsidP="00F40D73">
            <w:r w:rsidRPr="00A65602">
              <w:t>Macquarie Park NSW 2113</w:t>
            </w:r>
          </w:p>
        </w:tc>
      </w:tr>
      <w:tr w:rsidR="009F2673" w:rsidRPr="00A65602" w14:paraId="2550BA7F" w14:textId="77777777" w:rsidTr="00F40D73">
        <w:tc>
          <w:tcPr>
            <w:tcW w:w="1577" w:type="pct"/>
          </w:tcPr>
          <w:p w14:paraId="68BC7FCF" w14:textId="58B98978" w:rsidR="009F2673" w:rsidRPr="00A65602" w:rsidRDefault="009F2673" w:rsidP="009E5A87">
            <w:pPr>
              <w:rPr>
                <w:i/>
              </w:rPr>
            </w:pPr>
            <w:r w:rsidRPr="00A65602">
              <w:rPr>
                <w:i/>
              </w:rPr>
              <w:t>Dose forms:</w:t>
            </w:r>
          </w:p>
        </w:tc>
        <w:tc>
          <w:tcPr>
            <w:tcW w:w="3423" w:type="pct"/>
          </w:tcPr>
          <w:p w14:paraId="22800BC8" w14:textId="104A7294" w:rsidR="009F2673" w:rsidRPr="00A65602" w:rsidRDefault="006A3017" w:rsidP="009E5A87">
            <w:r w:rsidRPr="00A65602">
              <w:t>Powder for injection and s</w:t>
            </w:r>
            <w:r w:rsidR="00703049" w:rsidRPr="00A65602">
              <w:t>olution for injection</w:t>
            </w:r>
          </w:p>
        </w:tc>
      </w:tr>
      <w:tr w:rsidR="009F2673" w:rsidRPr="00A65602" w14:paraId="5F955CD4" w14:textId="77777777" w:rsidTr="00F40D73">
        <w:tc>
          <w:tcPr>
            <w:tcW w:w="1577" w:type="pct"/>
          </w:tcPr>
          <w:p w14:paraId="250F4E83" w14:textId="6729CB86" w:rsidR="009F2673" w:rsidRPr="00A65602" w:rsidRDefault="009F2673" w:rsidP="009E5A87">
            <w:pPr>
              <w:rPr>
                <w:i/>
              </w:rPr>
            </w:pPr>
            <w:r w:rsidRPr="00A65602">
              <w:rPr>
                <w:i/>
              </w:rPr>
              <w:t>Strengths:</w:t>
            </w:r>
          </w:p>
        </w:tc>
        <w:tc>
          <w:tcPr>
            <w:tcW w:w="3423" w:type="pct"/>
          </w:tcPr>
          <w:p w14:paraId="2BB35E88" w14:textId="3B83CF4C" w:rsidR="006A3017" w:rsidRPr="00A65602" w:rsidRDefault="006A3017" w:rsidP="009E5A87">
            <w:r w:rsidRPr="00A65602">
              <w:t>150 mg powder for injection</w:t>
            </w:r>
          </w:p>
          <w:p w14:paraId="0CB2B249" w14:textId="443834A3" w:rsidR="008B51DF" w:rsidRDefault="00854674" w:rsidP="009E5A87">
            <w:r w:rsidRPr="00A65602">
              <w:t>150 mg/mL</w:t>
            </w:r>
            <w:r w:rsidR="00A66610">
              <w:t xml:space="preserve"> solution for injection, presented as</w:t>
            </w:r>
            <w:r w:rsidR="008B51DF">
              <w:t>:</w:t>
            </w:r>
          </w:p>
          <w:p w14:paraId="0FC16389" w14:textId="58A600E8" w:rsidR="008B51DF" w:rsidRDefault="00854674" w:rsidP="003C12E4">
            <w:pPr>
              <w:pStyle w:val="ListBullet2"/>
            </w:pPr>
            <w:r w:rsidRPr="00A65602">
              <w:t>75</w:t>
            </w:r>
            <w:r w:rsidR="00A66610">
              <w:t> </w:t>
            </w:r>
            <w:r w:rsidRPr="00A65602">
              <w:t>mg/0.5</w:t>
            </w:r>
            <w:r w:rsidR="00A66610">
              <w:t> </w:t>
            </w:r>
            <w:r w:rsidRPr="00A65602">
              <w:t>mL</w:t>
            </w:r>
            <w:r w:rsidR="00A66610">
              <w:t xml:space="preserve"> (syringe)</w:t>
            </w:r>
          </w:p>
          <w:p w14:paraId="1D9109BD" w14:textId="737DA66F" w:rsidR="008B51DF" w:rsidRDefault="006A3017" w:rsidP="003C12E4">
            <w:pPr>
              <w:pStyle w:val="ListBullet2"/>
            </w:pPr>
            <w:r w:rsidRPr="00A65602">
              <w:t>150 mg/mL</w:t>
            </w:r>
            <w:r w:rsidR="00A66610">
              <w:t xml:space="preserve"> (syringe and pen)</w:t>
            </w:r>
          </w:p>
          <w:p w14:paraId="5743D027" w14:textId="7DE4AADA" w:rsidR="009F2673" w:rsidRPr="00A65602" w:rsidRDefault="006A3017" w:rsidP="003C12E4">
            <w:pPr>
              <w:pStyle w:val="ListBullet2"/>
            </w:pPr>
            <w:r w:rsidRPr="00A65602">
              <w:t>300</w:t>
            </w:r>
            <w:r w:rsidR="00854674" w:rsidRPr="00A65602">
              <w:t> </w:t>
            </w:r>
            <w:r w:rsidRPr="00A65602">
              <w:t>mg/2</w:t>
            </w:r>
            <w:r w:rsidR="00854674" w:rsidRPr="00A65602">
              <w:t> </w:t>
            </w:r>
            <w:r w:rsidRPr="00A65602">
              <w:t>mL</w:t>
            </w:r>
            <w:r w:rsidR="00A66610">
              <w:t xml:space="preserve"> (syringe and pen)</w:t>
            </w:r>
          </w:p>
        </w:tc>
      </w:tr>
      <w:tr w:rsidR="009F2673" w:rsidRPr="00A65602" w14:paraId="6C073E3B" w14:textId="77777777" w:rsidTr="00F40D73">
        <w:tc>
          <w:tcPr>
            <w:tcW w:w="1577" w:type="pct"/>
          </w:tcPr>
          <w:p w14:paraId="00172A1B" w14:textId="24B12830" w:rsidR="009F2673" w:rsidRPr="00A65602" w:rsidRDefault="009F2673" w:rsidP="009E5A87">
            <w:pPr>
              <w:rPr>
                <w:i/>
              </w:rPr>
            </w:pPr>
            <w:r w:rsidRPr="00A65602">
              <w:rPr>
                <w:i/>
              </w:rPr>
              <w:t>Containers:</w:t>
            </w:r>
          </w:p>
        </w:tc>
        <w:tc>
          <w:tcPr>
            <w:tcW w:w="3423" w:type="pct"/>
          </w:tcPr>
          <w:p w14:paraId="13B6EF4E" w14:textId="17140328" w:rsidR="009F2673" w:rsidRPr="00A65602" w:rsidRDefault="0038583D" w:rsidP="009E5A87">
            <w:r w:rsidRPr="00A65602">
              <w:t>Vial, p</w:t>
            </w:r>
            <w:r w:rsidR="00703049" w:rsidRPr="00A65602">
              <w:t>re-filled syringe</w:t>
            </w:r>
            <w:r w:rsidR="0078510D">
              <w:t>,</w:t>
            </w:r>
            <w:r w:rsidRPr="00A65602">
              <w:t xml:space="preserve"> and</w:t>
            </w:r>
            <w:r w:rsidR="00703049" w:rsidRPr="00A65602">
              <w:t xml:space="preserve"> pre-filled pen</w:t>
            </w:r>
            <w:r w:rsidR="0078510D">
              <w:t xml:space="preserve"> (auto-injector)</w:t>
            </w:r>
          </w:p>
        </w:tc>
      </w:tr>
      <w:tr w:rsidR="009F2673" w:rsidRPr="00A65602" w14:paraId="4ABCBC28" w14:textId="77777777" w:rsidTr="00F40D73">
        <w:tc>
          <w:tcPr>
            <w:tcW w:w="1577" w:type="pct"/>
          </w:tcPr>
          <w:p w14:paraId="6CEB3C16" w14:textId="0780DF2F" w:rsidR="009F2673" w:rsidRPr="00A65602" w:rsidRDefault="009F2673" w:rsidP="009E5A87">
            <w:pPr>
              <w:rPr>
                <w:i/>
              </w:rPr>
            </w:pPr>
            <w:r w:rsidRPr="00A65602">
              <w:rPr>
                <w:i/>
              </w:rPr>
              <w:t>Pack sizes:</w:t>
            </w:r>
          </w:p>
        </w:tc>
        <w:tc>
          <w:tcPr>
            <w:tcW w:w="3423" w:type="pct"/>
          </w:tcPr>
          <w:p w14:paraId="0756F18A" w14:textId="06C6E987" w:rsidR="008B51DF" w:rsidRDefault="008B51DF" w:rsidP="0038583D">
            <w:r>
              <w:t>Powder for injection (vial):</w:t>
            </w:r>
          </w:p>
          <w:p w14:paraId="157611BD" w14:textId="0CEF0177" w:rsidR="00A66610" w:rsidRDefault="00A66610" w:rsidP="003C12E4">
            <w:pPr>
              <w:pStyle w:val="ListBullet2"/>
            </w:pPr>
            <w:r>
              <w:t>150 mg: o</w:t>
            </w:r>
            <w:r w:rsidR="00854674" w:rsidRPr="00A65602">
              <w:t>ne</w:t>
            </w:r>
            <w:r w:rsidR="0038583D" w:rsidRPr="00A65602">
              <w:t xml:space="preserve"> and </w:t>
            </w:r>
            <w:r w:rsidR="00854674" w:rsidRPr="00A65602">
              <w:t>two</w:t>
            </w:r>
            <w:r w:rsidR="0038583D" w:rsidRPr="00A65602">
              <w:t xml:space="preserve"> vial</w:t>
            </w:r>
            <w:r w:rsidR="008B51DF">
              <w:t xml:space="preserve"> packs</w:t>
            </w:r>
          </w:p>
          <w:p w14:paraId="5E597D7A" w14:textId="235E907F" w:rsidR="008B51DF" w:rsidRDefault="008B51DF" w:rsidP="0038583D">
            <w:r>
              <w:t>Pre-filled syringe (solution for injection):</w:t>
            </w:r>
          </w:p>
          <w:p w14:paraId="6B679378" w14:textId="26231D79" w:rsidR="008B51DF" w:rsidRDefault="00A66610" w:rsidP="003C12E4">
            <w:pPr>
              <w:pStyle w:val="ListBullet2"/>
            </w:pPr>
            <w:r>
              <w:t xml:space="preserve">75 mg/0.5 mL: </w:t>
            </w:r>
            <w:r w:rsidR="008B51DF">
              <w:t>one syringe pack</w:t>
            </w:r>
          </w:p>
          <w:p w14:paraId="6149F571" w14:textId="1DBF9F09" w:rsidR="008B51DF" w:rsidRDefault="008B51DF" w:rsidP="003C12E4">
            <w:pPr>
              <w:pStyle w:val="ListBullet2"/>
            </w:pPr>
            <w:r>
              <w:t>150 mg/1 mL: one and two syringe packs</w:t>
            </w:r>
          </w:p>
          <w:p w14:paraId="58BEABEE" w14:textId="1FA2C058" w:rsidR="008B51DF" w:rsidRDefault="008B51DF" w:rsidP="003C12E4">
            <w:pPr>
              <w:pStyle w:val="ListBullet2"/>
            </w:pPr>
            <w:r>
              <w:t>300 mg/2 mL: one syringe pack</w:t>
            </w:r>
          </w:p>
          <w:p w14:paraId="6E996320" w14:textId="61A17A02" w:rsidR="008B51DF" w:rsidRDefault="008B51DF" w:rsidP="0038583D">
            <w:r>
              <w:t>Pre-filled pen (solution for injection</w:t>
            </w:r>
            <w:r w:rsidR="003C12E4">
              <w:t>)</w:t>
            </w:r>
            <w:r>
              <w:t>:</w:t>
            </w:r>
          </w:p>
          <w:p w14:paraId="5F58525D" w14:textId="07340593" w:rsidR="008B51DF" w:rsidRDefault="008B51DF" w:rsidP="003C12E4">
            <w:pPr>
              <w:pStyle w:val="ListBullet2"/>
            </w:pPr>
            <w:r>
              <w:t>150 mg/1 mL: one and two pen packs</w:t>
            </w:r>
          </w:p>
          <w:p w14:paraId="176CF9ED" w14:textId="4937A0E6" w:rsidR="0038583D" w:rsidRPr="00A65602" w:rsidRDefault="008B51DF" w:rsidP="003C12E4">
            <w:pPr>
              <w:pStyle w:val="ListBullet2"/>
            </w:pPr>
            <w:r>
              <w:t>300 mg/2 mL: one pen pack</w:t>
            </w:r>
          </w:p>
        </w:tc>
      </w:tr>
      <w:tr w:rsidR="009F2673" w:rsidRPr="00A65602" w14:paraId="01D99CA7" w14:textId="77777777" w:rsidTr="00F40D73">
        <w:tc>
          <w:tcPr>
            <w:tcW w:w="1577" w:type="pct"/>
          </w:tcPr>
          <w:p w14:paraId="458B3A2D" w14:textId="77777777" w:rsidR="009F2673" w:rsidRPr="00A65602" w:rsidRDefault="009F2673" w:rsidP="009E5A87">
            <w:pPr>
              <w:rPr>
                <w:i/>
              </w:rPr>
            </w:pPr>
            <w:r w:rsidRPr="00A65602">
              <w:rPr>
                <w:i/>
              </w:rPr>
              <w:t>Approved therapeutic use:</w:t>
            </w:r>
          </w:p>
        </w:tc>
        <w:tc>
          <w:tcPr>
            <w:tcW w:w="3423" w:type="pct"/>
          </w:tcPr>
          <w:p w14:paraId="677FE46D" w14:textId="77777777" w:rsidR="00703049" w:rsidRPr="00A65602" w:rsidRDefault="00703049" w:rsidP="00703049">
            <w:pPr>
              <w:rPr>
                <w:b/>
                <w:bCs/>
                <w:i/>
                <w:iCs/>
              </w:rPr>
            </w:pPr>
            <w:r w:rsidRPr="00A65602">
              <w:rPr>
                <w:b/>
                <w:bCs/>
                <w:i/>
                <w:iCs/>
              </w:rPr>
              <w:t>Plaque psoriasis</w:t>
            </w:r>
          </w:p>
          <w:p w14:paraId="2D510E88" w14:textId="4FFF4D7D" w:rsidR="00703049" w:rsidRPr="00A65602" w:rsidRDefault="00703049" w:rsidP="00703049">
            <w:pPr>
              <w:rPr>
                <w:i/>
                <w:iCs/>
              </w:rPr>
            </w:pPr>
            <w:r w:rsidRPr="00A65602">
              <w:rPr>
                <w:i/>
                <w:iCs/>
              </w:rPr>
              <w:lastRenderedPageBreak/>
              <w:t>Cosentyx is indicated for the treatment of moderate to severe plaque psoriasis in patients 6 years and older who are candidates for systemic therapy or phototherapy.</w:t>
            </w:r>
          </w:p>
          <w:p w14:paraId="49620442" w14:textId="77777777" w:rsidR="00703049" w:rsidRPr="00A65602" w:rsidRDefault="00703049" w:rsidP="00703049">
            <w:pPr>
              <w:rPr>
                <w:b/>
                <w:bCs/>
                <w:i/>
                <w:iCs/>
              </w:rPr>
            </w:pPr>
            <w:r w:rsidRPr="00A65602">
              <w:rPr>
                <w:b/>
                <w:bCs/>
                <w:i/>
                <w:iCs/>
              </w:rPr>
              <w:t>Psoriatic arthritis</w:t>
            </w:r>
          </w:p>
          <w:p w14:paraId="431A908A" w14:textId="5F8794C0" w:rsidR="00703049" w:rsidRPr="00A65602" w:rsidRDefault="00703049" w:rsidP="00703049">
            <w:pPr>
              <w:rPr>
                <w:i/>
                <w:iCs/>
              </w:rPr>
            </w:pPr>
            <w:r w:rsidRPr="00A65602">
              <w:rPr>
                <w:i/>
                <w:iCs/>
              </w:rPr>
              <w:t>Cosentyx is indicated for the treatment of adult patients with active psoriatic arthritis including axial manifestations of psoriatic arthritis when the response to previous disease</w:t>
            </w:r>
            <w:r w:rsidR="003D66F1" w:rsidRPr="00A65602">
              <w:rPr>
                <w:i/>
                <w:iCs/>
              </w:rPr>
              <w:t>-</w:t>
            </w:r>
            <w:r w:rsidRPr="00A65602">
              <w:rPr>
                <w:i/>
                <w:iCs/>
              </w:rPr>
              <w:t>modifying</w:t>
            </w:r>
            <w:r w:rsidR="003D66F1" w:rsidRPr="00A65602">
              <w:rPr>
                <w:i/>
                <w:iCs/>
              </w:rPr>
              <w:t xml:space="preserve"> </w:t>
            </w:r>
            <w:r w:rsidRPr="00A65602">
              <w:rPr>
                <w:i/>
                <w:iCs/>
              </w:rPr>
              <w:t>anti‐rheumatic drug (DMARD) therapy has been inadequate.</w:t>
            </w:r>
          </w:p>
          <w:p w14:paraId="510D7ADE" w14:textId="77777777" w:rsidR="003D66F1" w:rsidRPr="00A65602" w:rsidRDefault="00703049" w:rsidP="00703049">
            <w:pPr>
              <w:rPr>
                <w:b/>
                <w:bCs/>
                <w:i/>
                <w:iCs/>
              </w:rPr>
            </w:pPr>
            <w:r w:rsidRPr="00A65602">
              <w:rPr>
                <w:b/>
                <w:bCs/>
                <w:i/>
                <w:iCs/>
              </w:rPr>
              <w:t xml:space="preserve">Axial </w:t>
            </w:r>
            <w:proofErr w:type="spellStart"/>
            <w:r w:rsidRPr="00A65602">
              <w:rPr>
                <w:b/>
                <w:bCs/>
                <w:i/>
                <w:iCs/>
              </w:rPr>
              <w:t>spondyloarthritis</w:t>
            </w:r>
            <w:proofErr w:type="spellEnd"/>
            <w:r w:rsidRPr="00A65602">
              <w:rPr>
                <w:b/>
                <w:bCs/>
                <w:i/>
                <w:iCs/>
              </w:rPr>
              <w:t xml:space="preserve"> (</w:t>
            </w:r>
            <w:proofErr w:type="spellStart"/>
            <w:r w:rsidRPr="00A65602">
              <w:rPr>
                <w:b/>
                <w:bCs/>
                <w:i/>
                <w:iCs/>
              </w:rPr>
              <w:t>axSpA</w:t>
            </w:r>
            <w:proofErr w:type="spellEnd"/>
            <w:r w:rsidRPr="00A65602">
              <w:rPr>
                <w:b/>
                <w:bCs/>
                <w:i/>
                <w:iCs/>
              </w:rPr>
              <w:t>) with or without radiographic damage</w:t>
            </w:r>
          </w:p>
          <w:p w14:paraId="2C811E09" w14:textId="2735ABD3" w:rsidR="00703049" w:rsidRPr="00A65602" w:rsidRDefault="00703049" w:rsidP="00703049">
            <w:pPr>
              <w:rPr>
                <w:b/>
                <w:bCs/>
                <w:i/>
                <w:iCs/>
              </w:rPr>
            </w:pPr>
            <w:r w:rsidRPr="00A65602">
              <w:rPr>
                <w:b/>
                <w:bCs/>
                <w:i/>
                <w:iCs/>
              </w:rPr>
              <w:t>Ankylosing spondylitis (</w:t>
            </w:r>
            <w:proofErr w:type="spellStart"/>
            <w:r w:rsidRPr="00A65602">
              <w:rPr>
                <w:b/>
                <w:bCs/>
                <w:i/>
                <w:iCs/>
              </w:rPr>
              <w:t>axSpA</w:t>
            </w:r>
            <w:proofErr w:type="spellEnd"/>
            <w:r w:rsidRPr="00A65602">
              <w:rPr>
                <w:b/>
                <w:bCs/>
                <w:i/>
                <w:iCs/>
              </w:rPr>
              <w:t xml:space="preserve"> with radiographic damage)</w:t>
            </w:r>
          </w:p>
          <w:p w14:paraId="706A0F37" w14:textId="5F288175" w:rsidR="00703049" w:rsidRPr="00A65602" w:rsidRDefault="003D66F1" w:rsidP="00703049">
            <w:pPr>
              <w:rPr>
                <w:i/>
                <w:iCs/>
              </w:rPr>
            </w:pPr>
            <w:r w:rsidRPr="00A65602">
              <w:rPr>
                <w:i/>
                <w:iCs/>
              </w:rPr>
              <w:t xml:space="preserve">Cosentyx </w:t>
            </w:r>
            <w:r w:rsidR="00703049" w:rsidRPr="00A65602">
              <w:rPr>
                <w:i/>
                <w:iCs/>
              </w:rPr>
              <w:t>is indicated for the treatment of adult patients with active ankylosing spondylitis.</w:t>
            </w:r>
          </w:p>
          <w:p w14:paraId="2FD6A9EB" w14:textId="77777777" w:rsidR="00703049" w:rsidRPr="00A65602" w:rsidRDefault="00703049" w:rsidP="00703049">
            <w:pPr>
              <w:rPr>
                <w:b/>
                <w:bCs/>
                <w:i/>
                <w:iCs/>
              </w:rPr>
            </w:pPr>
            <w:r w:rsidRPr="00A65602">
              <w:rPr>
                <w:b/>
                <w:bCs/>
                <w:i/>
                <w:iCs/>
              </w:rPr>
              <w:t xml:space="preserve">Non‐radiographic axial </w:t>
            </w:r>
            <w:proofErr w:type="spellStart"/>
            <w:r w:rsidRPr="00A65602">
              <w:rPr>
                <w:b/>
                <w:bCs/>
                <w:i/>
                <w:iCs/>
              </w:rPr>
              <w:t>spondyloarthritis</w:t>
            </w:r>
            <w:proofErr w:type="spellEnd"/>
            <w:r w:rsidRPr="00A65602">
              <w:rPr>
                <w:b/>
                <w:bCs/>
                <w:i/>
                <w:iCs/>
              </w:rPr>
              <w:t xml:space="preserve"> (</w:t>
            </w:r>
            <w:proofErr w:type="spellStart"/>
            <w:r w:rsidRPr="00A65602">
              <w:rPr>
                <w:b/>
                <w:bCs/>
                <w:i/>
                <w:iCs/>
              </w:rPr>
              <w:t>axSpA</w:t>
            </w:r>
            <w:proofErr w:type="spellEnd"/>
            <w:r w:rsidRPr="00A65602">
              <w:rPr>
                <w:b/>
                <w:bCs/>
                <w:i/>
                <w:iCs/>
              </w:rPr>
              <w:t xml:space="preserve"> without radiographic damage)</w:t>
            </w:r>
          </w:p>
          <w:p w14:paraId="09439C8E" w14:textId="0DE3483A" w:rsidR="00703049" w:rsidRPr="00A65602" w:rsidRDefault="003D66F1" w:rsidP="003D66F1">
            <w:pPr>
              <w:rPr>
                <w:i/>
                <w:iCs/>
              </w:rPr>
            </w:pPr>
            <w:r w:rsidRPr="00A65602">
              <w:rPr>
                <w:i/>
                <w:iCs/>
              </w:rPr>
              <w:t xml:space="preserve">Cosentyx </w:t>
            </w:r>
            <w:r w:rsidR="00703049" w:rsidRPr="00A65602">
              <w:rPr>
                <w:i/>
                <w:iCs/>
              </w:rPr>
              <w:t>is indicated for the treatment of adult patients with active non‐radiographic axial</w:t>
            </w:r>
            <w:r w:rsidRPr="00A65602">
              <w:rPr>
                <w:i/>
                <w:iCs/>
              </w:rPr>
              <w:t xml:space="preserve"> </w:t>
            </w:r>
            <w:proofErr w:type="spellStart"/>
            <w:r w:rsidR="00703049" w:rsidRPr="00A65602">
              <w:rPr>
                <w:i/>
                <w:iCs/>
              </w:rPr>
              <w:t>spondyloarthritis</w:t>
            </w:r>
            <w:proofErr w:type="spellEnd"/>
            <w:r w:rsidR="00703049" w:rsidRPr="00A65602">
              <w:rPr>
                <w:i/>
                <w:iCs/>
              </w:rPr>
              <w:t xml:space="preserve"> (nr‐</w:t>
            </w:r>
            <w:proofErr w:type="spellStart"/>
            <w:r w:rsidR="00703049" w:rsidRPr="00A65602">
              <w:rPr>
                <w:i/>
                <w:iCs/>
              </w:rPr>
              <w:t>axSpA</w:t>
            </w:r>
            <w:proofErr w:type="spellEnd"/>
            <w:r w:rsidR="00703049" w:rsidRPr="00A65602">
              <w:rPr>
                <w:i/>
                <w:iCs/>
              </w:rPr>
              <w:t>) with objective signs of inflammation as indicated by elevated C</w:t>
            </w:r>
            <w:r w:rsidR="005C1C87" w:rsidRPr="00A65602">
              <w:rPr>
                <w:i/>
                <w:iCs/>
              </w:rPr>
              <w:noBreakHyphen/>
            </w:r>
            <w:r w:rsidR="00703049" w:rsidRPr="00A65602">
              <w:rPr>
                <w:i/>
                <w:iCs/>
              </w:rPr>
              <w:t>reactive</w:t>
            </w:r>
            <w:r w:rsidRPr="00A65602">
              <w:rPr>
                <w:i/>
                <w:iCs/>
              </w:rPr>
              <w:t xml:space="preserve"> </w:t>
            </w:r>
            <w:r w:rsidR="00703049" w:rsidRPr="00A65602">
              <w:rPr>
                <w:i/>
                <w:iCs/>
              </w:rPr>
              <w:t>protein (CRP) and/or MRI change, who have had an inadequate response to, or are</w:t>
            </w:r>
            <w:r w:rsidRPr="00A65602">
              <w:rPr>
                <w:i/>
                <w:iCs/>
              </w:rPr>
              <w:t xml:space="preserve"> </w:t>
            </w:r>
            <w:r w:rsidR="00703049" w:rsidRPr="00A65602">
              <w:rPr>
                <w:i/>
                <w:iCs/>
              </w:rPr>
              <w:t>intolerant to, NSAIDs.</w:t>
            </w:r>
          </w:p>
        </w:tc>
      </w:tr>
      <w:tr w:rsidR="009F2673" w:rsidRPr="00A65602" w14:paraId="11B289BC" w14:textId="77777777" w:rsidTr="00F40D73">
        <w:tc>
          <w:tcPr>
            <w:tcW w:w="1577" w:type="pct"/>
          </w:tcPr>
          <w:p w14:paraId="145B5477" w14:textId="5D6DF0E3" w:rsidR="009F2673" w:rsidRPr="00A65602" w:rsidRDefault="009F2673" w:rsidP="009E5A87">
            <w:pPr>
              <w:rPr>
                <w:i/>
              </w:rPr>
            </w:pPr>
            <w:r w:rsidRPr="00A65602">
              <w:rPr>
                <w:i/>
              </w:rPr>
              <w:lastRenderedPageBreak/>
              <w:t>Route of administration:</w:t>
            </w:r>
          </w:p>
        </w:tc>
        <w:tc>
          <w:tcPr>
            <w:tcW w:w="3423" w:type="pct"/>
          </w:tcPr>
          <w:p w14:paraId="0EC409A4" w14:textId="2FB4AD27" w:rsidR="009F2673" w:rsidRPr="00A65602" w:rsidRDefault="00703049" w:rsidP="009E5A87">
            <w:r w:rsidRPr="00A65602">
              <w:t>Subcutaneous</w:t>
            </w:r>
          </w:p>
        </w:tc>
      </w:tr>
      <w:tr w:rsidR="009F2673" w:rsidRPr="00A65602" w14:paraId="74B833C3" w14:textId="77777777" w:rsidTr="00F40D73">
        <w:tc>
          <w:tcPr>
            <w:tcW w:w="1577" w:type="pct"/>
          </w:tcPr>
          <w:p w14:paraId="095AAAC5" w14:textId="77777777" w:rsidR="009F2673" w:rsidRPr="00A65602" w:rsidRDefault="009F2673" w:rsidP="009E5A87">
            <w:pPr>
              <w:rPr>
                <w:i/>
              </w:rPr>
            </w:pPr>
            <w:r w:rsidRPr="00A65602">
              <w:rPr>
                <w:i/>
              </w:rPr>
              <w:t>Dosage:</w:t>
            </w:r>
          </w:p>
        </w:tc>
        <w:tc>
          <w:tcPr>
            <w:tcW w:w="3423" w:type="pct"/>
          </w:tcPr>
          <w:p w14:paraId="76560741" w14:textId="09E20123" w:rsidR="009F2673" w:rsidRDefault="00703049" w:rsidP="00A832C1">
            <w:r w:rsidRPr="00A832C1">
              <w:t>Dosage is based on multiple factors, including the condition being treated</w:t>
            </w:r>
            <w:r w:rsidR="005B61D4">
              <w:t xml:space="preserve"> (see indications below)</w:t>
            </w:r>
            <w:r w:rsidRPr="00A832C1">
              <w:t>, age and bodyweight of the patient.</w:t>
            </w:r>
          </w:p>
          <w:p w14:paraId="6B09ACC3" w14:textId="77777777" w:rsidR="0091310B" w:rsidRDefault="0078510D" w:rsidP="00A832C1">
            <w:r>
              <w:t>Each 75 mg or 150 mg dose is given as one (single) subcutaneous injection of</w:t>
            </w:r>
            <w:r w:rsidR="0091310B">
              <w:t xml:space="preserve"> 75 mg or 150 mg, respectively.</w:t>
            </w:r>
          </w:p>
          <w:p w14:paraId="770B4744" w14:textId="7EDC788D" w:rsidR="0078510D" w:rsidRDefault="0078510D" w:rsidP="00A832C1">
            <w:r>
              <w:t>Doses of 300 mg may be given as one subcutaneous injection of 300 mg or as two subcutaneous injections of 150 mg.</w:t>
            </w:r>
          </w:p>
          <w:p w14:paraId="4BA4B0CC" w14:textId="5ABB2F08" w:rsidR="005B61D4" w:rsidRPr="00882B41" w:rsidRDefault="005B61D4" w:rsidP="00A832C1">
            <w:pPr>
              <w:rPr>
                <w:bCs/>
                <w:i/>
              </w:rPr>
            </w:pPr>
            <w:r w:rsidRPr="00882B41">
              <w:rPr>
                <w:bCs/>
                <w:i/>
              </w:rPr>
              <w:t>Assessment prior to initiation of Cosentyx:</w:t>
            </w:r>
            <w:r>
              <w:rPr>
                <w:bCs/>
                <w:i/>
              </w:rPr>
              <w:t xml:space="preserve"> </w:t>
            </w:r>
            <w:r w:rsidRPr="00A832C1">
              <w:t xml:space="preserve">Evaluate patients for tuberculosis infection prior to initiating treatment with Cosentyx (see Section 4.4. Special warnings </w:t>
            </w:r>
            <w:r>
              <w:t>a</w:t>
            </w:r>
            <w:r w:rsidRPr="00A832C1">
              <w:t xml:space="preserve">nd precautions for use </w:t>
            </w:r>
            <w:r>
              <w:t>of the Product Information).</w:t>
            </w:r>
          </w:p>
          <w:p w14:paraId="5B56BE5D" w14:textId="142DE61A" w:rsidR="00B97C11" w:rsidRPr="00A832C1" w:rsidRDefault="00B97C11" w:rsidP="00A832C1">
            <w:pPr>
              <w:rPr>
                <w:b/>
                <w:bCs/>
              </w:rPr>
            </w:pPr>
            <w:r w:rsidRPr="00A832C1">
              <w:rPr>
                <w:b/>
                <w:bCs/>
              </w:rPr>
              <w:t>Plaque psoriasis</w:t>
            </w:r>
          </w:p>
          <w:p w14:paraId="3E7BFC6E" w14:textId="77777777" w:rsidR="00A832C1" w:rsidRPr="00A832C1" w:rsidRDefault="00A832C1" w:rsidP="00A832C1">
            <w:pPr>
              <w:rPr>
                <w:i/>
                <w:iCs/>
              </w:rPr>
            </w:pPr>
            <w:r w:rsidRPr="00A832C1">
              <w:rPr>
                <w:i/>
                <w:iCs/>
              </w:rPr>
              <w:t>Adult patients</w:t>
            </w:r>
          </w:p>
          <w:p w14:paraId="02AAFCD7" w14:textId="7AEDDD7D" w:rsidR="00B97C11" w:rsidRDefault="00B97C11" w:rsidP="00C138CB">
            <w:r w:rsidRPr="00A832C1">
              <w:t xml:space="preserve">The recommended dose is 300 mg by subcutaneous injection with initial dosing at Weeks 0, 1, 2, 3, and 4 followed by the same dose every month. Some patients </w:t>
            </w:r>
            <w:r w:rsidR="0078510D">
              <w:t xml:space="preserve">weighing </w:t>
            </w:r>
            <w:r w:rsidRPr="00A832C1">
              <w:t>90</w:t>
            </w:r>
            <w:r w:rsidR="00A832C1">
              <w:t> </w:t>
            </w:r>
            <w:r w:rsidRPr="00A832C1">
              <w:t xml:space="preserve">kg </w:t>
            </w:r>
            <w:r w:rsidR="0078510D">
              <w:t xml:space="preserve">or more </w:t>
            </w:r>
            <w:r w:rsidRPr="00A832C1">
              <w:t>may derive an additional benefit from receiving 300</w:t>
            </w:r>
            <w:r w:rsidR="00A832C1">
              <w:t> </w:t>
            </w:r>
            <w:r w:rsidRPr="00A832C1">
              <w:t>mg every 2 weeks.</w:t>
            </w:r>
          </w:p>
          <w:p w14:paraId="3AB6FCC1" w14:textId="77777777" w:rsidR="00A832C1" w:rsidRPr="00A832C1" w:rsidRDefault="00A832C1" w:rsidP="00A832C1">
            <w:pPr>
              <w:rPr>
                <w:i/>
                <w:iCs/>
              </w:rPr>
            </w:pPr>
            <w:r w:rsidRPr="00A832C1">
              <w:rPr>
                <w:i/>
                <w:iCs/>
              </w:rPr>
              <w:t>Paediatric patients</w:t>
            </w:r>
          </w:p>
          <w:p w14:paraId="190B5208" w14:textId="3E525C61" w:rsidR="00A832C1" w:rsidRDefault="00A832C1" w:rsidP="00C138CB">
            <w:r w:rsidRPr="00A832C1">
              <w:t xml:space="preserve">The recommended dose is based on bodyweight </w:t>
            </w:r>
            <w:r w:rsidR="00A72B0A">
              <w:t>(</w:t>
            </w:r>
            <w:r w:rsidR="00A72B0A" w:rsidRPr="00A72B0A">
              <w:t xml:space="preserve">see </w:t>
            </w:r>
            <w:r w:rsidR="00A72B0A">
              <w:t xml:space="preserve">Table 1 under Section </w:t>
            </w:r>
            <w:r w:rsidR="00A72B0A" w:rsidRPr="00A72B0A">
              <w:t xml:space="preserve">4.2 </w:t>
            </w:r>
            <w:r w:rsidR="00A72B0A">
              <w:t>D</w:t>
            </w:r>
            <w:r w:rsidR="00A72B0A" w:rsidRPr="00A72B0A">
              <w:t xml:space="preserve">ose and method of </w:t>
            </w:r>
            <w:r w:rsidR="00A72B0A" w:rsidRPr="00A72B0A">
              <w:lastRenderedPageBreak/>
              <w:t>administration of the Product Information)</w:t>
            </w:r>
            <w:r w:rsidR="00A72B0A">
              <w:t xml:space="preserve"> </w:t>
            </w:r>
            <w:r w:rsidRPr="00A832C1">
              <w:t>and administered by subcutaneous injection with initial dosing at Weeks 0, 1, 2, 3, and 4 followed by the same dose every month.</w:t>
            </w:r>
          </w:p>
          <w:p w14:paraId="2E81726F" w14:textId="0F2CB944" w:rsidR="00C138CB" w:rsidRPr="00A832C1" w:rsidRDefault="00C138CB" w:rsidP="00C138CB">
            <w:r w:rsidRPr="00C138CB">
              <w:t>Cosentyx may be administered with or without methotrexate.</w:t>
            </w:r>
          </w:p>
          <w:p w14:paraId="015B13F7" w14:textId="4C8C8837" w:rsidR="00C138CB" w:rsidRDefault="00B97C11" w:rsidP="00A832C1">
            <w:pPr>
              <w:rPr>
                <w:b/>
                <w:bCs/>
              </w:rPr>
            </w:pPr>
            <w:r w:rsidRPr="00A832C1">
              <w:rPr>
                <w:b/>
                <w:bCs/>
              </w:rPr>
              <w:t>Psoriatic arthritis</w:t>
            </w:r>
          </w:p>
          <w:p w14:paraId="46527D59" w14:textId="5FFC3702" w:rsidR="00C138CB" w:rsidRPr="00C138CB" w:rsidRDefault="00C138CB" w:rsidP="00C138CB">
            <w:r w:rsidRPr="00C138CB">
              <w:t>The recommended dose is 150 mg by subcutaneous injection with initial dosing at Weeks 0, 1, 2, 3, and 4 followed by the same dose every month. Based on clinical response, the dose can be increased to 300 mg.</w:t>
            </w:r>
          </w:p>
          <w:p w14:paraId="2DE2D8A3" w14:textId="5BD7009D" w:rsidR="00C138CB" w:rsidRPr="00C138CB" w:rsidRDefault="00C138CB" w:rsidP="00C138CB">
            <w:r w:rsidRPr="00C138CB">
              <w:t>For patients with concomitant moderate to severe plaque psoriasis, please refer to adult plaque</w:t>
            </w:r>
            <w:r>
              <w:t xml:space="preserve"> </w:t>
            </w:r>
            <w:r w:rsidRPr="00C138CB">
              <w:t>psoriasis recommendation.</w:t>
            </w:r>
          </w:p>
          <w:p w14:paraId="69D73798" w14:textId="14D80EDC" w:rsidR="00C138CB" w:rsidRDefault="00C138CB" w:rsidP="00C138CB">
            <w:r w:rsidRPr="00C138CB">
              <w:t>For patients who are anti‐TNF‐alpha inadequate responders (IR), the recommended dose is 300 mg by</w:t>
            </w:r>
            <w:r>
              <w:t xml:space="preserve"> </w:t>
            </w:r>
            <w:r w:rsidRPr="00C138CB">
              <w:t>subcutaneous injection with initial dosing at Weeks 0, 1, 2, 3, and 4 followed by the same dose every</w:t>
            </w:r>
            <w:r>
              <w:t xml:space="preserve"> </w:t>
            </w:r>
            <w:r w:rsidRPr="00C138CB">
              <w:t>month.</w:t>
            </w:r>
          </w:p>
          <w:p w14:paraId="47D4E339" w14:textId="72F00BE9" w:rsidR="00A72B0A" w:rsidRPr="00C138CB" w:rsidRDefault="00A72B0A" w:rsidP="00C138CB">
            <w:r w:rsidRPr="00A72B0A">
              <w:t>Cosentyx may be administered with or without methotrexate.</w:t>
            </w:r>
          </w:p>
          <w:p w14:paraId="747DD78C" w14:textId="59F9505B" w:rsidR="00B97C11" w:rsidRPr="00A832C1" w:rsidRDefault="00C138CB" w:rsidP="00A832C1">
            <w:pPr>
              <w:rPr>
                <w:b/>
                <w:bCs/>
              </w:rPr>
            </w:pPr>
            <w:r>
              <w:rPr>
                <w:b/>
                <w:bCs/>
              </w:rPr>
              <w:t>A</w:t>
            </w:r>
            <w:r w:rsidR="00A832C1" w:rsidRPr="00A832C1">
              <w:rPr>
                <w:b/>
                <w:bCs/>
              </w:rPr>
              <w:t>xial spondyloarthritis and ankylosing spondylitis</w:t>
            </w:r>
          </w:p>
          <w:p w14:paraId="062C2BBF" w14:textId="147B72D1" w:rsidR="00B97C11" w:rsidRPr="00A832C1" w:rsidRDefault="00B97C11" w:rsidP="00A72B0A">
            <w:r w:rsidRPr="00A832C1">
              <w:t xml:space="preserve">The recommended dose is 150 mg by subcutaneous injection with initial dosing at Weeks 0, 1, 2, 3, and 4 followed by the same dose every month. </w:t>
            </w:r>
            <w:r w:rsidR="00A832C1">
              <w:t>Based on clinical response, the dose can be increased to 300 mg.</w:t>
            </w:r>
          </w:p>
          <w:p w14:paraId="5C5E1FA2" w14:textId="77777777" w:rsidR="00B97C11" w:rsidRPr="00A832C1" w:rsidRDefault="00B97C11" w:rsidP="00A832C1">
            <w:pPr>
              <w:rPr>
                <w:b/>
                <w:bCs/>
              </w:rPr>
            </w:pPr>
            <w:r w:rsidRPr="00A832C1">
              <w:rPr>
                <w:b/>
                <w:bCs/>
              </w:rPr>
              <w:t>Non-radiographic axial spondyloarthritis</w:t>
            </w:r>
          </w:p>
          <w:p w14:paraId="21F06F4E" w14:textId="3AA3926B" w:rsidR="00B97C11" w:rsidRPr="00A832C1" w:rsidRDefault="00B97C11" w:rsidP="00A832C1">
            <w:r w:rsidRPr="00A832C1">
              <w:t>With a loading dose</w:t>
            </w:r>
            <w:r w:rsidR="00A832C1">
              <w:t>, t</w:t>
            </w:r>
            <w:r w:rsidRPr="00A832C1">
              <w:t>he recommended dose is 150 mg by subcutaneous injection with initial dosing at Weeks 0, 1, 2, 3, and 4 followed by the same dose every month.</w:t>
            </w:r>
          </w:p>
          <w:p w14:paraId="1FEADAEE" w14:textId="3A51BCB2" w:rsidR="00B97C11" w:rsidRPr="00A832C1" w:rsidRDefault="00B97C11" w:rsidP="00A832C1">
            <w:r w:rsidRPr="00A832C1">
              <w:t>Without a loading dose</w:t>
            </w:r>
            <w:r w:rsidR="00A832C1">
              <w:t>, t</w:t>
            </w:r>
            <w:r w:rsidRPr="00A832C1">
              <w:t>he recommended dose is 150</w:t>
            </w:r>
            <w:r w:rsidR="00A832C1">
              <w:t> </w:t>
            </w:r>
            <w:r w:rsidRPr="00A832C1">
              <w:t>mg by subcutaneous injection every month.</w:t>
            </w:r>
          </w:p>
          <w:p w14:paraId="5D613196" w14:textId="77777777" w:rsidR="009F2673" w:rsidRPr="00A832C1" w:rsidRDefault="009F2673" w:rsidP="00A832C1">
            <w:r w:rsidRPr="00A832C1">
              <w:t>For further information regarding dosage, refer to the Product Information.</w:t>
            </w:r>
          </w:p>
        </w:tc>
      </w:tr>
      <w:tr w:rsidR="009F2673" w:rsidRPr="00A65602" w14:paraId="27E44F8A" w14:textId="77777777" w:rsidTr="00F40D73">
        <w:tc>
          <w:tcPr>
            <w:tcW w:w="1577" w:type="pct"/>
          </w:tcPr>
          <w:p w14:paraId="59A6ABBC" w14:textId="77777777" w:rsidR="009F2673" w:rsidRPr="00A65602" w:rsidRDefault="009F2673" w:rsidP="009E5A87">
            <w:pPr>
              <w:rPr>
                <w:i/>
              </w:rPr>
            </w:pPr>
            <w:r w:rsidRPr="00A65602">
              <w:rPr>
                <w:i/>
              </w:rPr>
              <w:lastRenderedPageBreak/>
              <w:t>Pregnancy category:</w:t>
            </w:r>
          </w:p>
        </w:tc>
        <w:tc>
          <w:tcPr>
            <w:tcW w:w="3423" w:type="pct"/>
          </w:tcPr>
          <w:p w14:paraId="0418A022" w14:textId="48CF7929" w:rsidR="00F40D73" w:rsidRPr="00A65602" w:rsidRDefault="00F40D73" w:rsidP="009F2673">
            <w:r w:rsidRPr="00A65602">
              <w:t>C</w:t>
            </w:r>
          </w:p>
          <w:p w14:paraId="5A67FEE6" w14:textId="50384B14" w:rsidR="00F40D73" w:rsidRPr="00A65602" w:rsidRDefault="00F40D73" w:rsidP="009F2673">
            <w:r w:rsidRPr="00A65602">
              <w:t xml:space="preserve">Drugs which, owing to their pharmacological effects, have </w:t>
            </w:r>
            <w:proofErr w:type="gramStart"/>
            <w:r w:rsidRPr="00A65602">
              <w:t>caused</w:t>
            </w:r>
            <w:proofErr w:type="gramEnd"/>
            <w:r w:rsidRPr="00A65602">
              <w:t xml:space="preserve"> or may be suspected of causing, harmful effects on the human fetus or neonate without causing malformations. These effects may be reversible. Accompanying texts should be consulted for further details.</w:t>
            </w:r>
          </w:p>
          <w:p w14:paraId="7FFCFF8A" w14:textId="4A2A7A86" w:rsidR="009F2673" w:rsidRPr="00A65602" w:rsidRDefault="009F2673" w:rsidP="009E5A87">
            <w:r w:rsidRPr="00A65602">
              <w:t xml:space="preserve">The use of any medicine during pregnancy requires careful consideration of both risks and benefits by the treating health professional. This must not be used as the sole basis of decision making in the use of medicines during pregnancy. The TGA does not provide advice on the use of medicines in pregnancy for specific cases. More </w:t>
            </w:r>
            <w:r w:rsidRPr="00A65602">
              <w:lastRenderedPageBreak/>
              <w:t>information is available from obstetric drug information services in your State or Territory.</w:t>
            </w:r>
          </w:p>
        </w:tc>
      </w:tr>
    </w:tbl>
    <w:p w14:paraId="7CCC2517" w14:textId="77777777" w:rsidR="008E7846" w:rsidRPr="00A65602" w:rsidRDefault="008E7846" w:rsidP="008E7846">
      <w:pPr>
        <w:pStyle w:val="Heading3"/>
      </w:pPr>
      <w:bookmarkStart w:id="9" w:name="_Toc247691503"/>
      <w:bookmarkStart w:id="10" w:name="_Toc314842484"/>
      <w:bookmarkStart w:id="11" w:name="_Toc117510578"/>
      <w:r w:rsidRPr="00A65602">
        <w:lastRenderedPageBreak/>
        <w:t>Product background</w:t>
      </w:r>
      <w:bookmarkEnd w:id="9"/>
      <w:bookmarkEnd w:id="10"/>
      <w:bookmarkEnd w:id="11"/>
    </w:p>
    <w:p w14:paraId="6A742BFD" w14:textId="3C2E0B76" w:rsidR="00A06179" w:rsidRDefault="009F2673" w:rsidP="007254C8">
      <w:r w:rsidRPr="00A65602">
        <w:t xml:space="preserve">This AusPAR describes the </w:t>
      </w:r>
      <w:r w:rsidR="001E359E" w:rsidRPr="00A65602">
        <w:t>submission</w:t>
      </w:r>
      <w:r w:rsidRPr="00A65602">
        <w:t xml:space="preserve"> by </w:t>
      </w:r>
      <w:r w:rsidR="00F40D73" w:rsidRPr="00A65602">
        <w:t>Novartis Pharmaceuticals Australia Pty Limited</w:t>
      </w:r>
      <w:r w:rsidRPr="00A65602">
        <w:t xml:space="preserve"> (the sponsor) to register </w:t>
      </w:r>
      <w:r w:rsidR="00F40D73" w:rsidRPr="00A65602">
        <w:t>Cosentyx</w:t>
      </w:r>
      <w:r w:rsidRPr="00A65602">
        <w:t xml:space="preserve"> (</w:t>
      </w:r>
      <w:r w:rsidR="00F40D73" w:rsidRPr="00A65602">
        <w:t>secukinumab</w:t>
      </w:r>
      <w:r w:rsidRPr="00A65602">
        <w:t xml:space="preserve">) </w:t>
      </w:r>
      <w:r w:rsidR="007254C8" w:rsidRPr="00A65602">
        <w:t xml:space="preserve">150 mg powder for injection </w:t>
      </w:r>
      <w:r w:rsidR="005B61D4">
        <w:t xml:space="preserve">(vial) </w:t>
      </w:r>
      <w:r w:rsidR="007254C8" w:rsidRPr="00A65602">
        <w:t>and 150 mg/mL</w:t>
      </w:r>
      <w:r w:rsidR="005B61D4">
        <w:t xml:space="preserve"> </w:t>
      </w:r>
      <w:r w:rsidR="007254C8" w:rsidRPr="00A65602">
        <w:t>solution</w:t>
      </w:r>
      <w:r w:rsidR="005B61D4">
        <w:t xml:space="preserve"> for injection</w:t>
      </w:r>
      <w:r w:rsidR="007254C8" w:rsidRPr="00A65602">
        <w:t xml:space="preserve"> </w:t>
      </w:r>
      <w:r w:rsidR="00A06179">
        <w:t>(presented</w:t>
      </w:r>
      <w:r w:rsidR="005B61D4">
        <w:t xml:space="preserve"> as </w:t>
      </w:r>
      <w:r w:rsidR="00A06179" w:rsidRPr="00A65602">
        <w:t>75</w:t>
      </w:r>
      <w:r w:rsidR="00A06179">
        <w:t> </w:t>
      </w:r>
      <w:r w:rsidR="00A06179" w:rsidRPr="00A65602">
        <w:t>mg/0.5</w:t>
      </w:r>
      <w:r w:rsidR="00A06179">
        <w:t> </w:t>
      </w:r>
      <w:r w:rsidR="00A06179" w:rsidRPr="00A65602">
        <w:t>mL</w:t>
      </w:r>
      <w:r w:rsidR="00A06179">
        <w:t xml:space="preserve"> (syringe); </w:t>
      </w:r>
      <w:r w:rsidR="00A06179" w:rsidRPr="00A65602">
        <w:t>150 mg/mL</w:t>
      </w:r>
      <w:r w:rsidR="00A06179">
        <w:t xml:space="preserve"> (syringe and pen); and </w:t>
      </w:r>
      <w:r w:rsidR="00A06179" w:rsidRPr="00A65602">
        <w:t>300 mg/2 mL</w:t>
      </w:r>
      <w:r w:rsidR="00A06179">
        <w:t xml:space="preserve"> (syringe and pen)), </w:t>
      </w:r>
      <w:r w:rsidR="007254C8" w:rsidRPr="00A65602">
        <w:t xml:space="preserve">for </w:t>
      </w:r>
      <w:r w:rsidR="00A06179">
        <w:t>a change in dosage regime for the previously approved indications.</w:t>
      </w:r>
    </w:p>
    <w:p w14:paraId="7E8DBDF6" w14:textId="2B958457" w:rsidR="00231F22" w:rsidRPr="00890DE2" w:rsidRDefault="00A06179" w:rsidP="007254C8">
      <w:r w:rsidRPr="00204DD0">
        <w:t xml:space="preserve">The proposed </w:t>
      </w:r>
      <w:r w:rsidR="009F2673" w:rsidRPr="00A06179">
        <w:t>change in dose regime</w:t>
      </w:r>
      <w:r w:rsidR="00231F22" w:rsidRPr="00890DE2">
        <w:t xml:space="preserve"> </w:t>
      </w:r>
      <w:r w:rsidRPr="00890DE2">
        <w:t xml:space="preserve">is as follows </w:t>
      </w:r>
      <w:r w:rsidR="00231F22" w:rsidRPr="00890DE2">
        <w:t xml:space="preserve">(proposed </w:t>
      </w:r>
      <w:r w:rsidR="00BC168F" w:rsidRPr="00890DE2">
        <w:t>additional</w:t>
      </w:r>
      <w:r w:rsidR="00231F22" w:rsidRPr="00890DE2">
        <w:t xml:space="preserve"> text </w:t>
      </w:r>
      <w:r>
        <w:t xml:space="preserve">shown in bold </w:t>
      </w:r>
      <w:r w:rsidRPr="00204DD0">
        <w:t>italics</w:t>
      </w:r>
      <w:r w:rsidRPr="00890DE2">
        <w:t xml:space="preserve"> </w:t>
      </w:r>
      <w:r w:rsidR="00BC168F" w:rsidRPr="00890DE2">
        <w:t>and proposed removal of text shown in strikethrough</w:t>
      </w:r>
      <w:r w:rsidR="00231F22" w:rsidRPr="00890DE2">
        <w:t>):</w:t>
      </w:r>
    </w:p>
    <w:p w14:paraId="73CCDAAE" w14:textId="3F35F5B8" w:rsidR="006A3017" w:rsidRPr="00A65602" w:rsidRDefault="006A3017" w:rsidP="006A3017">
      <w:pPr>
        <w:ind w:left="720"/>
        <w:rPr>
          <w:b/>
          <w:bCs/>
        </w:rPr>
      </w:pPr>
      <w:r w:rsidRPr="00A65602">
        <w:rPr>
          <w:b/>
          <w:bCs/>
        </w:rPr>
        <w:t>Plaque psoriasis</w:t>
      </w:r>
    </w:p>
    <w:p w14:paraId="1EBD9063" w14:textId="3212026E" w:rsidR="00231F22" w:rsidRPr="00A65602" w:rsidRDefault="00231F22" w:rsidP="00231F22">
      <w:pPr>
        <w:ind w:left="720"/>
      </w:pPr>
      <w:r w:rsidRPr="00A65602">
        <w:t xml:space="preserve">The recommended dose is 300 mg by subcutaneous injection with initial dosing at </w:t>
      </w:r>
      <w:r w:rsidR="00BC168F" w:rsidRPr="00A65602">
        <w:t xml:space="preserve">Weeks </w:t>
      </w:r>
      <w:r w:rsidRPr="00A65602">
        <w:t xml:space="preserve">0, 1, 2, 3, and 4 followed by the same dose every </w:t>
      </w:r>
      <w:r w:rsidRPr="00890DE2">
        <w:t>month.</w:t>
      </w:r>
      <w:r w:rsidR="00890DE2" w:rsidRPr="00890DE2">
        <w:t xml:space="preserve"> </w:t>
      </w:r>
      <w:r w:rsidRPr="00890DE2">
        <w:rPr>
          <w:b/>
          <w:i/>
        </w:rPr>
        <w:t>Some patients may derive an additional benefit from receiving 300 mg every 2</w:t>
      </w:r>
      <w:r w:rsidR="00890DE2">
        <w:rPr>
          <w:b/>
          <w:i/>
        </w:rPr>
        <w:t> </w:t>
      </w:r>
      <w:r w:rsidRPr="00890DE2">
        <w:rPr>
          <w:b/>
          <w:i/>
        </w:rPr>
        <w:t>weeks.</w:t>
      </w:r>
      <w:r w:rsidR="00890DE2" w:rsidRPr="00890DE2">
        <w:rPr>
          <w:bCs/>
          <w:iCs/>
        </w:rPr>
        <w:t xml:space="preserve"> </w:t>
      </w:r>
      <w:r w:rsidRPr="00A65602">
        <w:t>Each 300</w:t>
      </w:r>
      <w:r w:rsidR="00C138CB">
        <w:t> </w:t>
      </w:r>
      <w:r w:rsidRPr="00A65602">
        <w:t>mg dose is given as two subcutaneous injections of 150 mg.</w:t>
      </w:r>
    </w:p>
    <w:p w14:paraId="380627D0" w14:textId="096D9F4C" w:rsidR="006A3017" w:rsidRPr="00A65602" w:rsidRDefault="006A3017" w:rsidP="00231F22">
      <w:pPr>
        <w:ind w:left="720"/>
        <w:rPr>
          <w:b/>
          <w:bCs/>
        </w:rPr>
      </w:pPr>
      <w:r w:rsidRPr="00A65602">
        <w:rPr>
          <w:b/>
          <w:bCs/>
        </w:rPr>
        <w:t>Psoriatic arthritis</w:t>
      </w:r>
    </w:p>
    <w:p w14:paraId="61614F26" w14:textId="579910D1" w:rsidR="006A3017" w:rsidRPr="00890DE2" w:rsidRDefault="006A3017" w:rsidP="006A3017">
      <w:pPr>
        <w:ind w:left="720"/>
        <w:rPr>
          <w:b/>
          <w:i/>
        </w:rPr>
      </w:pPr>
      <w:r w:rsidRPr="00890DE2">
        <w:rPr>
          <w:b/>
          <w:i/>
        </w:rPr>
        <w:t>For patients with concomitant moderate to severe plaque psoriasis, please refer to adult plaque psoriasis recommendation.</w:t>
      </w:r>
    </w:p>
    <w:p w14:paraId="4D84E34D" w14:textId="076D04FA" w:rsidR="006A3017" w:rsidRPr="00A65602" w:rsidRDefault="006A3017" w:rsidP="006A3017">
      <w:pPr>
        <w:ind w:left="720"/>
      </w:pPr>
      <w:r w:rsidRPr="00A65602">
        <w:t xml:space="preserve">For patients who are anti-TNF-alpha inadequate responders (IR) </w:t>
      </w:r>
      <w:r w:rsidRPr="00A65602">
        <w:rPr>
          <w:strike/>
        </w:rPr>
        <w:t>or patients with concomitant moderate to severe plaque psoriasis</w:t>
      </w:r>
      <w:r w:rsidRPr="00A65602">
        <w:t>, the recommended dose is 300</w:t>
      </w:r>
      <w:r w:rsidR="00C138CB">
        <w:t> </w:t>
      </w:r>
      <w:r w:rsidRPr="00A65602">
        <w:t>mg by subcutaneous injection with initial dosing at Weeks 0, 1, 2, 3, and 4 followed by the same dose every month. Each 300 mg dose is given as two subcutaneous injections of 150 mg.</w:t>
      </w:r>
    </w:p>
    <w:p w14:paraId="6958EFEB" w14:textId="77F3F7D2" w:rsidR="00231F22" w:rsidRPr="00A65602" w:rsidRDefault="003C5C0B" w:rsidP="00231F22">
      <w:r w:rsidRPr="00A65602">
        <w:t xml:space="preserve">In this submission, the sponsor proposes to change the dosage for adult patients with moderate to severe plaque psoriasis, by including the option of a 300 mg every 2 weeks </w:t>
      </w:r>
      <w:r w:rsidR="008D35E1">
        <w:t xml:space="preserve">as a </w:t>
      </w:r>
      <w:r w:rsidRPr="00A65602">
        <w:t>maintenance dose as an alternative to the approved maintenance dose of 300 mg every</w:t>
      </w:r>
      <w:r w:rsidR="008D35E1">
        <w:t> 4 weeks</w:t>
      </w:r>
      <w:r w:rsidRPr="00A65602">
        <w:t xml:space="preserve">. </w:t>
      </w:r>
      <w:r w:rsidR="00231F22" w:rsidRPr="00A65602">
        <w:t xml:space="preserve">This </w:t>
      </w:r>
      <w:r w:rsidR="00BC168F" w:rsidRPr="00A65602">
        <w:t>submission</w:t>
      </w:r>
      <w:r w:rsidR="00231F22" w:rsidRPr="00A65602">
        <w:t xml:space="preserve"> also proposed other changes to the Product Information</w:t>
      </w:r>
      <w:r w:rsidR="00BC168F" w:rsidRPr="00A65602">
        <w:t xml:space="preserve"> (PI)</w:t>
      </w:r>
      <w:r w:rsidR="00231F22" w:rsidRPr="00A65602">
        <w:t>.</w:t>
      </w:r>
    </w:p>
    <w:p w14:paraId="60C47028" w14:textId="77777777" w:rsidR="008F2E39" w:rsidRPr="00A65602" w:rsidRDefault="008F2E39" w:rsidP="008F2E39">
      <w:r w:rsidRPr="00A65602">
        <w:t xml:space="preserve">Psoriasis is a chronic, inflammatory skin disease characterised by epidermal thickening and scaling. Plaque psoriasis affects 80% to 90% of all psoriasis subjects of all age groups. It is estimated that around 80% of sufferers have mild to moderate disease, with 20% having moderate to severe psoriasis affecting more than 5% of the body surface area or crucial body areas such as hands, feet, </w:t>
      </w:r>
      <w:proofErr w:type="gramStart"/>
      <w:r w:rsidRPr="00A65602">
        <w:t>face</w:t>
      </w:r>
      <w:proofErr w:type="gramEnd"/>
      <w:r w:rsidRPr="00A65602">
        <w:t xml:space="preserve"> or genitalia.</w:t>
      </w:r>
    </w:p>
    <w:p w14:paraId="6B0F8D2A" w14:textId="3E5832A5" w:rsidR="008F2E39" w:rsidRPr="00A65602" w:rsidRDefault="008F2E39" w:rsidP="008F2E39">
      <w:r w:rsidRPr="00A65602">
        <w:t xml:space="preserve">Fluctuations and variations in response observed in some patients may be influenced by disease status, patient characteristics such as obesity and weight, smoking and prior therapy. As therapy for psoriasis has improved, the therapeutic goal of clear or almost clear skin has replaced the </w:t>
      </w:r>
      <w:r w:rsidR="00B21FB8">
        <w:t>PASI 75 response</w:t>
      </w:r>
      <w:r w:rsidR="008D35E1">
        <w:t xml:space="preserve"> </w:t>
      </w:r>
      <w:r w:rsidR="00B21FB8">
        <w:t>(</w:t>
      </w:r>
      <w:r w:rsidRPr="00A65602">
        <w:t xml:space="preserve">Psoriasis Area and Severity Index </w:t>
      </w:r>
      <w:r w:rsidR="008D35E1">
        <w:t>75</w:t>
      </w:r>
      <w:r w:rsidR="00B21FB8">
        <w:t>% improvement from Baseline score);</w:t>
      </w:r>
      <w:r>
        <w:rPr>
          <w:rStyle w:val="FootnoteReference"/>
        </w:rPr>
        <w:footnoteReference w:id="1"/>
      </w:r>
      <w:r w:rsidRPr="00A65602">
        <w:t xml:space="preserve"> that was the initial criterion for response in the original registration trials.</w:t>
      </w:r>
    </w:p>
    <w:p w14:paraId="4EA76DE8" w14:textId="77777777" w:rsidR="008F2E39" w:rsidRPr="00A65602" w:rsidRDefault="008F2E39" w:rsidP="008F2E39">
      <w:r w:rsidRPr="00A65602">
        <w:lastRenderedPageBreak/>
        <w:t>Cosentyx (secukinumab, sponsor’s product development code: AIN457) is a recombinant fully human monoclonal antibody selective for interleukin‐17A.</w:t>
      </w:r>
    </w:p>
    <w:p w14:paraId="08303B9F" w14:textId="04EAA1B2" w:rsidR="008F2E39" w:rsidRPr="00A65602" w:rsidRDefault="008F2E39" w:rsidP="008F2E39">
      <w:r w:rsidRPr="00A65602">
        <w:t xml:space="preserve">Despite the high level of sustained efficacy achieved with a </w:t>
      </w:r>
      <w:r w:rsidR="00B21FB8">
        <w:t>relatively</w:t>
      </w:r>
      <w:r w:rsidR="00B21FB8" w:rsidRPr="00A65602">
        <w:t xml:space="preserve"> </w:t>
      </w:r>
      <w:r w:rsidRPr="00A65602">
        <w:t>fixed dos</w:t>
      </w:r>
      <w:r w:rsidR="00B21FB8">
        <w:t>e</w:t>
      </w:r>
      <w:r w:rsidRPr="00A65602">
        <w:t xml:space="preserve"> of</w:t>
      </w:r>
      <w:r w:rsidR="00B21FB8">
        <w:t xml:space="preserve"> receiving</w:t>
      </w:r>
      <w:r w:rsidRPr="00A65602">
        <w:t xml:space="preserve"> secukinumab 300 mg </w:t>
      </w:r>
      <w:r w:rsidR="00B21FB8">
        <w:t xml:space="preserve">once </w:t>
      </w:r>
      <w:r w:rsidRPr="00A65602">
        <w:t>every 4 weeks, there remain patients who do not achieve the desired level of response, or in whom the response may wane or fluctuate over time. These patients may potentially benefit from an increased frequency of dosing or an up</w:t>
      </w:r>
      <w:r w:rsidRPr="00A65602">
        <w:noBreakHyphen/>
        <w:t xml:space="preserve">titration from </w:t>
      </w:r>
      <w:r w:rsidR="00B21FB8">
        <w:t xml:space="preserve">receiving </w:t>
      </w:r>
      <w:r w:rsidRPr="00A65602">
        <w:t>secukinumab 300 mg every</w:t>
      </w:r>
      <w:r w:rsidR="00B21FB8">
        <w:t xml:space="preserve"> </w:t>
      </w:r>
      <w:r w:rsidRPr="00A65602">
        <w:t>4</w:t>
      </w:r>
      <w:r w:rsidR="00B21FB8">
        <w:t xml:space="preserve"> </w:t>
      </w:r>
      <w:r w:rsidRPr="00A65602">
        <w:t xml:space="preserve">weeks </w:t>
      </w:r>
      <w:r w:rsidR="00B21FB8">
        <w:t xml:space="preserve">as </w:t>
      </w:r>
      <w:r w:rsidRPr="00A65602">
        <w:t xml:space="preserve">maintenance </w:t>
      </w:r>
      <w:proofErr w:type="gramStart"/>
      <w:r w:rsidR="00B21FB8">
        <w:t>therapy,</w:t>
      </w:r>
      <w:r w:rsidR="00B21FB8" w:rsidRPr="00A65602">
        <w:t xml:space="preserve"> </w:t>
      </w:r>
      <w:r w:rsidR="00B21FB8">
        <w:t>and</w:t>
      </w:r>
      <w:proofErr w:type="gramEnd"/>
      <w:r w:rsidR="00B21FB8">
        <w:t xml:space="preserve"> receive secukinumab </w:t>
      </w:r>
      <w:r w:rsidRPr="00A65602">
        <w:t xml:space="preserve">every 2 weeks </w:t>
      </w:r>
      <w:r w:rsidR="00B21FB8">
        <w:t>as maintenance</w:t>
      </w:r>
      <w:r w:rsidRPr="00A65602">
        <w:t>. Based on an analysis of psoriasis studies from the sponsor’s database, it is estimated that as many as 20% of patients could benefit from the option of a dose intensification strategy such as an increase of maintenance dosing frequency to 300 mg of secukinumab every 2 weeks.</w:t>
      </w:r>
    </w:p>
    <w:p w14:paraId="1CE23F2C" w14:textId="78AEC5B5" w:rsidR="003C5C0B" w:rsidRPr="00A65602" w:rsidRDefault="003C5C0B" w:rsidP="00231F22">
      <w:r w:rsidRPr="00A65602">
        <w:t xml:space="preserve">The main study in this submission, Study </w:t>
      </w:r>
      <w:r w:rsidR="00390805" w:rsidRPr="00A65602">
        <w:t>A</w:t>
      </w:r>
      <w:r w:rsidRPr="00A65602">
        <w:t xml:space="preserve">2324, was conducted as a post-approval commitment to the </w:t>
      </w:r>
      <w:r w:rsidR="007D0247" w:rsidRPr="00A65602">
        <w:t>United States (</w:t>
      </w:r>
      <w:r w:rsidRPr="00A65602">
        <w:t>US</w:t>
      </w:r>
      <w:r w:rsidR="007D0247" w:rsidRPr="00A65602">
        <w:t>)</w:t>
      </w:r>
      <w:r w:rsidRPr="00A65602">
        <w:t xml:space="preserve"> </w:t>
      </w:r>
      <w:r w:rsidR="007D0247" w:rsidRPr="00A65602">
        <w:t>Food and Drug Administration (</w:t>
      </w:r>
      <w:r w:rsidRPr="00A65602">
        <w:t>FDA</w:t>
      </w:r>
      <w:r w:rsidR="007D0247" w:rsidRPr="00A65602">
        <w:t>)</w:t>
      </w:r>
      <w:r w:rsidRPr="00A65602">
        <w:t>, to evaluate the treatment effect and safety profile of a higher exposure of secukinumab in psoriasis patients with higher bodyweight, and to explore the option of exposure escalation for those who cannot achieve the therapeutic goal with secukinumab 300 mg every 4 weeks. Exposure-response analyses conducted by the FDA in the original plaque psoriasis submission showed that trough concentrations</w:t>
      </w:r>
      <w:r w:rsidR="002C63BD" w:rsidRPr="00A65602">
        <w:t xml:space="preserve"> (</w:t>
      </w:r>
      <w:proofErr w:type="spellStart"/>
      <w:r w:rsidR="002C63BD" w:rsidRPr="00A65602">
        <w:t>C</w:t>
      </w:r>
      <w:r w:rsidR="002C63BD" w:rsidRPr="00A65602">
        <w:rPr>
          <w:vertAlign w:val="subscript"/>
        </w:rPr>
        <w:t>trough</w:t>
      </w:r>
      <w:proofErr w:type="spellEnd"/>
      <w:r w:rsidR="002C63BD" w:rsidRPr="00A65602">
        <w:t>)</w:t>
      </w:r>
      <w:r w:rsidRPr="00A65602">
        <w:t xml:space="preserve"> and clinical response rates were generally higher in patients </w:t>
      </w:r>
      <w:r w:rsidR="00B21FB8">
        <w:t xml:space="preserve">with a bodyweight of </w:t>
      </w:r>
      <w:r w:rsidRPr="00A65602">
        <w:t>&lt; 90 kg compared to patients ≥ 90 kg, and efficacy and safety were similar for patients ≥ 90 kg receiving 300 mg and patients &lt;</w:t>
      </w:r>
      <w:r w:rsidR="00693F8C" w:rsidRPr="00A65602">
        <w:t> </w:t>
      </w:r>
      <w:r w:rsidRPr="00A65602">
        <w:t>90</w:t>
      </w:r>
      <w:r w:rsidR="00693F8C" w:rsidRPr="00A65602">
        <w:t> </w:t>
      </w:r>
      <w:r w:rsidRPr="00A65602">
        <w:t>kg receiving 150 mg.</w:t>
      </w:r>
      <w:r w:rsidRPr="00A65602">
        <w:rPr>
          <w:vertAlign w:val="superscript"/>
        </w:rPr>
        <w:footnoteReference w:id="2"/>
      </w:r>
    </w:p>
    <w:p w14:paraId="3F20F18D" w14:textId="77777777" w:rsidR="008E7846" w:rsidRPr="00A65602" w:rsidRDefault="00386150" w:rsidP="008E7846">
      <w:pPr>
        <w:pStyle w:val="Heading3"/>
      </w:pPr>
      <w:bookmarkStart w:id="12" w:name="_Toc314842485"/>
      <w:bookmarkStart w:id="13" w:name="_Toc247691504"/>
      <w:bookmarkStart w:id="14" w:name="_Toc117510579"/>
      <w:r w:rsidRPr="00A65602">
        <w:t>Regulatory s</w:t>
      </w:r>
      <w:r w:rsidR="008E7846" w:rsidRPr="00A65602">
        <w:t>tatus</w:t>
      </w:r>
      <w:bookmarkEnd w:id="12"/>
      <w:bookmarkEnd w:id="13"/>
      <w:bookmarkEnd w:id="14"/>
    </w:p>
    <w:p w14:paraId="207C91CE" w14:textId="0B20E9AA" w:rsidR="00691081" w:rsidRPr="00A65602" w:rsidRDefault="00691081" w:rsidP="001B6A47">
      <w:bookmarkStart w:id="15" w:name="_Toc247691505"/>
      <w:bookmarkStart w:id="16" w:name="_Toc314842486"/>
      <w:r w:rsidRPr="00A65602">
        <w:t>The product received initial registration on the Australian Register of Therapeutic Goods (ARTG) in January 2015, approved for the treatment of plaque psoriasis.</w:t>
      </w:r>
      <w:bookmarkStart w:id="17" w:name="_Ref116641764"/>
      <w:r w:rsidR="009457F7">
        <w:rPr>
          <w:rStyle w:val="FootnoteReference"/>
        </w:rPr>
        <w:footnoteReference w:id="3"/>
      </w:r>
      <w:bookmarkEnd w:id="17"/>
      <w:r w:rsidRPr="00A65602">
        <w:t xml:space="preserve"> Subsequently the indication was extended to include psoriatic arthritis and ankylosing spondylitis (axial spondyloarthritis with radiographic damage) in May 2016.</w:t>
      </w:r>
      <w:r w:rsidR="009457F7">
        <w:rPr>
          <w:rStyle w:val="FootnoteReference"/>
        </w:rPr>
        <w:footnoteReference w:id="4"/>
      </w:r>
      <w:r w:rsidRPr="00A65602">
        <w:t xml:space="preserve"> In </w:t>
      </w:r>
      <w:r w:rsidR="001B6A47" w:rsidRPr="00A65602">
        <w:t xml:space="preserve">May </w:t>
      </w:r>
      <w:r w:rsidRPr="00A65602">
        <w:t>2020, an application was approved to alter dosage for the ankylosing spondylitis (axial spondyloarthritis with radiographic damage) indication to permit a 300 mg maintenance dose based on clinical response, as opposed to 150 mg. In September 2020, the indication was extended to include non-radiographic axial spondyloarthritis (</w:t>
      </w:r>
      <w:r w:rsidR="001B6A47" w:rsidRPr="00A65602">
        <w:t>axial spondyloarthritis without radiographic damage)</w:t>
      </w:r>
      <w:r w:rsidRPr="00A65602">
        <w:t>.</w:t>
      </w:r>
      <w:r w:rsidR="009457F7">
        <w:rPr>
          <w:rStyle w:val="FootnoteReference"/>
        </w:rPr>
        <w:footnoteReference w:id="5"/>
      </w:r>
    </w:p>
    <w:p w14:paraId="74C3B5B2" w14:textId="0EAB8E2F" w:rsidR="00332715" w:rsidRPr="00A65602" w:rsidRDefault="00332715" w:rsidP="001B6A47">
      <w:r w:rsidRPr="00A65602">
        <w:t xml:space="preserve">At the time the TGA considered this </w:t>
      </w:r>
      <w:r w:rsidR="00BB0B78" w:rsidRPr="00A65602">
        <w:t>submission</w:t>
      </w:r>
      <w:r w:rsidRPr="00A65602">
        <w:t xml:space="preserve">, a similar </w:t>
      </w:r>
      <w:r w:rsidR="00BB0B78" w:rsidRPr="00A65602">
        <w:t>submission</w:t>
      </w:r>
      <w:r w:rsidRPr="00A65602">
        <w:t xml:space="preserve"> had been approved in </w:t>
      </w:r>
      <w:r w:rsidR="00693F8C" w:rsidRPr="00A65602">
        <w:t xml:space="preserve">the </w:t>
      </w:r>
      <w:r w:rsidR="007254C8" w:rsidRPr="00A65602">
        <w:t>European Union</w:t>
      </w:r>
      <w:r w:rsidRPr="00A65602">
        <w:t xml:space="preserve"> on </w:t>
      </w:r>
      <w:r w:rsidR="007254C8" w:rsidRPr="00A65602">
        <w:t>20 January 2022. S</w:t>
      </w:r>
      <w:r w:rsidRPr="00A65602">
        <w:t xml:space="preserve">imilar </w:t>
      </w:r>
      <w:r w:rsidR="00BB0B78" w:rsidRPr="00A65602">
        <w:t>submission</w:t>
      </w:r>
      <w:r w:rsidR="007254C8" w:rsidRPr="00A65602">
        <w:t>s</w:t>
      </w:r>
      <w:r w:rsidRPr="00A65602">
        <w:t xml:space="preserve"> </w:t>
      </w:r>
      <w:r w:rsidR="007254C8" w:rsidRPr="00A65602">
        <w:t>were</w:t>
      </w:r>
      <w:r w:rsidRPr="00A65602">
        <w:t xml:space="preserve"> under consideration in </w:t>
      </w:r>
      <w:r w:rsidR="00693F8C" w:rsidRPr="00A65602">
        <w:t xml:space="preserve">the </w:t>
      </w:r>
      <w:r w:rsidR="007254C8" w:rsidRPr="00A65602">
        <w:t>US</w:t>
      </w:r>
      <w:r w:rsidR="00F164EB">
        <w:t>A</w:t>
      </w:r>
      <w:r w:rsidR="007254C8" w:rsidRPr="00A65602">
        <w:t xml:space="preserve"> </w:t>
      </w:r>
      <w:r w:rsidRPr="00A65602">
        <w:t xml:space="preserve">(submitted on </w:t>
      </w:r>
      <w:r w:rsidR="007254C8" w:rsidRPr="00A65602">
        <w:t>31 March 2021), Switzerland (submitted on 18 September 2021) and Canada (submitted on 21 June 2021).</w:t>
      </w:r>
    </w:p>
    <w:p w14:paraId="42FFB922" w14:textId="77777777" w:rsidR="008E7846" w:rsidRPr="00A65602" w:rsidRDefault="008E7846" w:rsidP="00940A89">
      <w:pPr>
        <w:pStyle w:val="Heading3"/>
      </w:pPr>
      <w:bookmarkStart w:id="18" w:name="_Toc117510580"/>
      <w:r w:rsidRPr="00A65602">
        <w:t>Product Information</w:t>
      </w:r>
      <w:bookmarkEnd w:id="15"/>
      <w:bookmarkEnd w:id="16"/>
      <w:bookmarkEnd w:id="18"/>
    </w:p>
    <w:p w14:paraId="676E17D4" w14:textId="1E25ADD6" w:rsidR="00332715" w:rsidRPr="00A65602" w:rsidRDefault="00332715" w:rsidP="00332715">
      <w:bookmarkStart w:id="19" w:name="_Toc504480011"/>
      <w:bookmarkStart w:id="20" w:name="_Toc247691506"/>
      <w:bookmarkStart w:id="21" w:name="_Toc314842487"/>
      <w:r w:rsidRPr="00A65602">
        <w:t xml:space="preserve">The Product Information (PI) approved with the submission which is described in this AusPAR can be found as Attachment 1. For the most recent PI, please refer to the TGA </w:t>
      </w:r>
      <w:hyperlink r:id="rId15" w:history="1">
        <w:r w:rsidRPr="00A65602">
          <w:rPr>
            <w:rStyle w:val="Hyperlink"/>
          </w:rPr>
          <w:t>PI/CMI search facility</w:t>
        </w:r>
        <w:r w:rsidRPr="00A65602">
          <w:rPr>
            <w:rStyle w:val="Hyperlink"/>
            <w:color w:val="auto"/>
            <w:u w:val="none"/>
          </w:rPr>
          <w:t>.</w:t>
        </w:r>
      </w:hyperlink>
    </w:p>
    <w:p w14:paraId="426CB3C3" w14:textId="77777777" w:rsidR="00500337" w:rsidRPr="00A65602" w:rsidRDefault="00500337" w:rsidP="00500337">
      <w:pPr>
        <w:pStyle w:val="Heading2"/>
      </w:pPr>
      <w:bookmarkStart w:id="22" w:name="_Toc117510581"/>
      <w:r w:rsidRPr="00A65602">
        <w:lastRenderedPageBreak/>
        <w:t>Registration timeline</w:t>
      </w:r>
      <w:bookmarkEnd w:id="19"/>
      <w:bookmarkEnd w:id="22"/>
    </w:p>
    <w:p w14:paraId="5F390DFD" w14:textId="77777777" w:rsidR="0074163C" w:rsidRPr="00A65602" w:rsidRDefault="0074163C" w:rsidP="0074163C">
      <w:r w:rsidRPr="00A65602">
        <w:t xml:space="preserve">The following table captures the key steps and dates for this </w:t>
      </w:r>
      <w:r w:rsidR="00804D99" w:rsidRPr="00A65602">
        <w:t>submission</w:t>
      </w:r>
      <w:r w:rsidRPr="00A65602">
        <w:t>.</w:t>
      </w:r>
    </w:p>
    <w:p w14:paraId="7807BDAF" w14:textId="5E1509CA" w:rsidR="0074163C" w:rsidRPr="00A65602" w:rsidRDefault="0074163C" w:rsidP="008F7703">
      <w:pPr>
        <w:pStyle w:val="TableTitle"/>
      </w:pPr>
      <w:r w:rsidRPr="00A65602">
        <w:t xml:space="preserve">Table </w:t>
      </w:r>
      <w:r w:rsidR="00A4590A">
        <w:fldChar w:fldCharType="begin"/>
      </w:r>
      <w:r w:rsidR="00A4590A">
        <w:instrText xml:space="preserve"> SEQ Table \* ARABIC </w:instrText>
      </w:r>
      <w:r w:rsidR="00A4590A">
        <w:fldChar w:fldCharType="separate"/>
      </w:r>
      <w:r w:rsidR="00CE2EF4">
        <w:rPr>
          <w:noProof/>
        </w:rPr>
        <w:t>1</w:t>
      </w:r>
      <w:r w:rsidR="00A4590A">
        <w:rPr>
          <w:noProof/>
        </w:rPr>
        <w:fldChar w:fldCharType="end"/>
      </w:r>
      <w:r w:rsidRPr="00A65602">
        <w:t xml:space="preserve">: Timeline for Submission </w:t>
      </w:r>
      <w:r w:rsidR="00F40D73" w:rsidRPr="00A65602">
        <w:t>PM-2021-01700-1-1</w:t>
      </w:r>
    </w:p>
    <w:tbl>
      <w:tblPr>
        <w:tblStyle w:val="TableTGAblue"/>
        <w:tblW w:w="0" w:type="auto"/>
        <w:tblLook w:val="04A0" w:firstRow="1" w:lastRow="0" w:firstColumn="1" w:lastColumn="0" w:noHBand="0" w:noVBand="1"/>
      </w:tblPr>
      <w:tblGrid>
        <w:gridCol w:w="4258"/>
        <w:gridCol w:w="4236"/>
      </w:tblGrid>
      <w:tr w:rsidR="0074163C" w:rsidRPr="00A65602" w14:paraId="25839244" w14:textId="77777777" w:rsidTr="009E5A87">
        <w:trPr>
          <w:cnfStyle w:val="100000000000" w:firstRow="1" w:lastRow="0" w:firstColumn="0" w:lastColumn="0" w:oddVBand="0" w:evenVBand="0" w:oddHBand="0" w:evenHBand="0" w:firstRowFirstColumn="0" w:firstRowLastColumn="0" w:lastRowFirstColumn="0" w:lastRowLastColumn="0"/>
        </w:trPr>
        <w:tc>
          <w:tcPr>
            <w:tcW w:w="4360" w:type="dxa"/>
            <w:tcBorders>
              <w:top w:val="single" w:sz="4" w:space="0" w:color="auto"/>
              <w:left w:val="single" w:sz="4" w:space="0" w:color="auto"/>
              <w:bottom w:val="single" w:sz="4" w:space="0" w:color="auto"/>
              <w:right w:val="single" w:sz="4" w:space="0" w:color="auto"/>
            </w:tcBorders>
          </w:tcPr>
          <w:p w14:paraId="5C04D224" w14:textId="77777777" w:rsidR="0074163C" w:rsidRPr="00A65602" w:rsidRDefault="0074163C" w:rsidP="009E5A87">
            <w:r w:rsidRPr="00A65602">
              <w:t>Description</w:t>
            </w:r>
          </w:p>
        </w:tc>
        <w:tc>
          <w:tcPr>
            <w:tcW w:w="4360" w:type="dxa"/>
            <w:tcBorders>
              <w:top w:val="single" w:sz="4" w:space="0" w:color="auto"/>
              <w:left w:val="single" w:sz="4" w:space="0" w:color="auto"/>
              <w:bottom w:val="single" w:sz="4" w:space="0" w:color="auto"/>
              <w:right w:val="single" w:sz="4" w:space="0" w:color="auto"/>
            </w:tcBorders>
          </w:tcPr>
          <w:p w14:paraId="3FFE9AC0" w14:textId="77777777" w:rsidR="0074163C" w:rsidRPr="00A65602" w:rsidRDefault="0074163C" w:rsidP="009E5A87">
            <w:r w:rsidRPr="00A65602">
              <w:t>Date</w:t>
            </w:r>
          </w:p>
        </w:tc>
      </w:tr>
      <w:tr w:rsidR="0074163C" w:rsidRPr="00A65602" w14:paraId="0CA0DD61" w14:textId="77777777" w:rsidTr="009E5A87">
        <w:tc>
          <w:tcPr>
            <w:tcW w:w="4360" w:type="dxa"/>
            <w:tcBorders>
              <w:top w:val="single" w:sz="4" w:space="0" w:color="auto"/>
            </w:tcBorders>
          </w:tcPr>
          <w:p w14:paraId="438EFE5D" w14:textId="77777777" w:rsidR="0074163C" w:rsidRPr="00A65602" w:rsidRDefault="0074163C" w:rsidP="009E5A87">
            <w:r w:rsidRPr="00A65602">
              <w:t>Submission dossier accepted and first round evaluation commenced</w:t>
            </w:r>
          </w:p>
        </w:tc>
        <w:tc>
          <w:tcPr>
            <w:tcW w:w="4360" w:type="dxa"/>
            <w:tcBorders>
              <w:top w:val="single" w:sz="4" w:space="0" w:color="auto"/>
            </w:tcBorders>
          </w:tcPr>
          <w:p w14:paraId="5FC11072" w14:textId="4313F604" w:rsidR="0074163C" w:rsidRPr="00A65602" w:rsidRDefault="003D66F1" w:rsidP="009E5A87">
            <w:r w:rsidRPr="00A65602">
              <w:t>1 June 2021</w:t>
            </w:r>
          </w:p>
        </w:tc>
      </w:tr>
      <w:tr w:rsidR="0074163C" w:rsidRPr="00A65602" w14:paraId="0724B163" w14:textId="77777777" w:rsidTr="009E5A87">
        <w:tc>
          <w:tcPr>
            <w:tcW w:w="4360" w:type="dxa"/>
          </w:tcPr>
          <w:p w14:paraId="12597E4D" w14:textId="77777777" w:rsidR="0074163C" w:rsidRPr="00A65602" w:rsidRDefault="0074163C" w:rsidP="009E5A87">
            <w:r w:rsidRPr="00A65602">
              <w:t>First round evaluation completed</w:t>
            </w:r>
          </w:p>
        </w:tc>
        <w:tc>
          <w:tcPr>
            <w:tcW w:w="4360" w:type="dxa"/>
          </w:tcPr>
          <w:p w14:paraId="0E4EFBF5" w14:textId="45566E0F" w:rsidR="0074163C" w:rsidRPr="00A65602" w:rsidRDefault="003D66F1" w:rsidP="009E5A87">
            <w:r w:rsidRPr="00A65602">
              <w:t>21 October 2021</w:t>
            </w:r>
          </w:p>
        </w:tc>
      </w:tr>
      <w:tr w:rsidR="0074163C" w:rsidRPr="00A65602" w14:paraId="724543AF" w14:textId="77777777" w:rsidTr="009E5A87">
        <w:tc>
          <w:tcPr>
            <w:tcW w:w="4360" w:type="dxa"/>
          </w:tcPr>
          <w:p w14:paraId="25B5CC1A" w14:textId="77777777" w:rsidR="0074163C" w:rsidRPr="00A65602" w:rsidRDefault="0074163C" w:rsidP="009E5A87">
            <w:r w:rsidRPr="00A65602">
              <w:t>Sponsor provides responses on questions raised in first round evaluation</w:t>
            </w:r>
          </w:p>
        </w:tc>
        <w:tc>
          <w:tcPr>
            <w:tcW w:w="4360" w:type="dxa"/>
          </w:tcPr>
          <w:p w14:paraId="4A63D092" w14:textId="58648594" w:rsidR="0074163C" w:rsidRPr="00A65602" w:rsidRDefault="003D66F1" w:rsidP="009E5A87">
            <w:r w:rsidRPr="00A65602">
              <w:t>5 January 2022</w:t>
            </w:r>
          </w:p>
        </w:tc>
      </w:tr>
      <w:tr w:rsidR="0074163C" w:rsidRPr="00A65602" w14:paraId="3AE22645" w14:textId="77777777" w:rsidTr="009E5A87">
        <w:tc>
          <w:tcPr>
            <w:tcW w:w="4360" w:type="dxa"/>
          </w:tcPr>
          <w:p w14:paraId="664277D3" w14:textId="77777777" w:rsidR="0074163C" w:rsidRPr="00A65602" w:rsidRDefault="0074163C" w:rsidP="009E5A87">
            <w:r w:rsidRPr="00A65602">
              <w:t>Second round evaluation completed</w:t>
            </w:r>
          </w:p>
        </w:tc>
        <w:tc>
          <w:tcPr>
            <w:tcW w:w="4360" w:type="dxa"/>
          </w:tcPr>
          <w:p w14:paraId="1EFBBF2F" w14:textId="71C6E0FF" w:rsidR="0074163C" w:rsidRPr="00A65602" w:rsidRDefault="003D66F1" w:rsidP="009E5A87">
            <w:r w:rsidRPr="00A65602">
              <w:t>2 February 2022</w:t>
            </w:r>
          </w:p>
        </w:tc>
      </w:tr>
      <w:tr w:rsidR="0074163C" w:rsidRPr="00A65602" w14:paraId="39CCC821" w14:textId="77777777" w:rsidTr="009E5A87">
        <w:tc>
          <w:tcPr>
            <w:tcW w:w="4360" w:type="dxa"/>
          </w:tcPr>
          <w:p w14:paraId="10E307C0" w14:textId="2E8E3F6A" w:rsidR="0074163C" w:rsidRPr="00A65602" w:rsidRDefault="0074163C" w:rsidP="009E5A87">
            <w:r w:rsidRPr="00A65602">
              <w:t>Delegate’s Overall benefit-risk assessment and request for Advisory Committee advice</w:t>
            </w:r>
          </w:p>
        </w:tc>
        <w:tc>
          <w:tcPr>
            <w:tcW w:w="4360" w:type="dxa"/>
          </w:tcPr>
          <w:p w14:paraId="70AD0CB1" w14:textId="16FE4FE0" w:rsidR="0074163C" w:rsidRPr="00A65602" w:rsidRDefault="003D66F1" w:rsidP="009E5A87">
            <w:r w:rsidRPr="00A65602">
              <w:t>25 February 2022</w:t>
            </w:r>
          </w:p>
        </w:tc>
      </w:tr>
      <w:tr w:rsidR="0074163C" w:rsidRPr="00A65602" w14:paraId="29CD92A4" w14:textId="77777777" w:rsidTr="009E5A87">
        <w:tc>
          <w:tcPr>
            <w:tcW w:w="4360" w:type="dxa"/>
          </w:tcPr>
          <w:p w14:paraId="00266E23" w14:textId="77777777" w:rsidR="0074163C" w:rsidRPr="00A65602" w:rsidRDefault="0074163C" w:rsidP="009E5A87">
            <w:r w:rsidRPr="00A65602">
              <w:t>Sponsor’s pre-Advisory Committee response</w:t>
            </w:r>
          </w:p>
        </w:tc>
        <w:tc>
          <w:tcPr>
            <w:tcW w:w="4360" w:type="dxa"/>
          </w:tcPr>
          <w:p w14:paraId="5D5BE784" w14:textId="3836AA8D" w:rsidR="0074163C" w:rsidRPr="00A65602" w:rsidRDefault="00693F8C" w:rsidP="009E5A87">
            <w:r w:rsidRPr="00A65602">
              <w:t>14 March 2022</w:t>
            </w:r>
          </w:p>
        </w:tc>
      </w:tr>
      <w:tr w:rsidR="0074163C" w:rsidRPr="00A65602" w14:paraId="02906E64" w14:textId="77777777" w:rsidTr="009E5A87">
        <w:tc>
          <w:tcPr>
            <w:tcW w:w="4360" w:type="dxa"/>
          </w:tcPr>
          <w:p w14:paraId="4E7F5DB7" w14:textId="77777777" w:rsidR="0074163C" w:rsidRPr="00A65602" w:rsidRDefault="0074163C" w:rsidP="009E5A87">
            <w:r w:rsidRPr="00A65602">
              <w:t>Advisory Committee meeting</w:t>
            </w:r>
          </w:p>
        </w:tc>
        <w:tc>
          <w:tcPr>
            <w:tcW w:w="4360" w:type="dxa"/>
          </w:tcPr>
          <w:p w14:paraId="073B21E8" w14:textId="252BE962" w:rsidR="0074163C" w:rsidRPr="00A65602" w:rsidRDefault="00AE00AB" w:rsidP="009E5A87">
            <w:r w:rsidRPr="00A65602">
              <w:t>1 April 2022</w:t>
            </w:r>
          </w:p>
        </w:tc>
      </w:tr>
      <w:tr w:rsidR="0074163C" w:rsidRPr="00A65602" w14:paraId="79C6893B" w14:textId="77777777" w:rsidTr="009E5A87">
        <w:tc>
          <w:tcPr>
            <w:tcW w:w="4360" w:type="dxa"/>
          </w:tcPr>
          <w:p w14:paraId="79E7B323" w14:textId="77777777" w:rsidR="0074163C" w:rsidRPr="00A65602" w:rsidRDefault="0074163C" w:rsidP="009E5A87">
            <w:r w:rsidRPr="00A65602">
              <w:t>Registration decision (Outcome)</w:t>
            </w:r>
          </w:p>
        </w:tc>
        <w:tc>
          <w:tcPr>
            <w:tcW w:w="4360" w:type="dxa"/>
          </w:tcPr>
          <w:p w14:paraId="48D04A7D" w14:textId="36E6B6DD" w:rsidR="0074163C" w:rsidRPr="00A65602" w:rsidRDefault="003D66F1" w:rsidP="009E5A87">
            <w:r w:rsidRPr="00A65602">
              <w:t>3 May 2022</w:t>
            </w:r>
          </w:p>
        </w:tc>
      </w:tr>
      <w:tr w:rsidR="0074163C" w:rsidRPr="00A65602" w14:paraId="25888042" w14:textId="77777777" w:rsidTr="009E5A87">
        <w:tc>
          <w:tcPr>
            <w:tcW w:w="4360" w:type="dxa"/>
          </w:tcPr>
          <w:p w14:paraId="508B84E2" w14:textId="77777777" w:rsidR="0074163C" w:rsidRPr="00A65602" w:rsidRDefault="0074163C" w:rsidP="009E5A87">
            <w:r w:rsidRPr="00A65602">
              <w:t>Completion of administrative activities and registration on the ARTG</w:t>
            </w:r>
          </w:p>
        </w:tc>
        <w:tc>
          <w:tcPr>
            <w:tcW w:w="4360" w:type="dxa"/>
          </w:tcPr>
          <w:p w14:paraId="1375B409" w14:textId="31CA42C3" w:rsidR="0074163C" w:rsidRPr="00A65602" w:rsidRDefault="003D66F1" w:rsidP="009E5A87">
            <w:r w:rsidRPr="00A65602">
              <w:t>5 May 2022</w:t>
            </w:r>
          </w:p>
        </w:tc>
      </w:tr>
      <w:tr w:rsidR="0074163C" w:rsidRPr="00A65602" w14:paraId="360E814E" w14:textId="77777777" w:rsidTr="009E5A87">
        <w:tc>
          <w:tcPr>
            <w:tcW w:w="4360" w:type="dxa"/>
          </w:tcPr>
          <w:p w14:paraId="00AD264B" w14:textId="77777777" w:rsidR="0074163C" w:rsidRPr="00A65602" w:rsidRDefault="0074163C" w:rsidP="009E5A87">
            <w:r w:rsidRPr="00A65602">
              <w:t>Number of working days from submission dossier acceptance to registration decision*</w:t>
            </w:r>
          </w:p>
        </w:tc>
        <w:tc>
          <w:tcPr>
            <w:tcW w:w="4360" w:type="dxa"/>
          </w:tcPr>
          <w:p w14:paraId="0DA2B536" w14:textId="5925D2F5" w:rsidR="0074163C" w:rsidRPr="00A65602" w:rsidRDefault="003D66F1" w:rsidP="009E5A87">
            <w:r w:rsidRPr="00A65602">
              <w:t>168</w:t>
            </w:r>
          </w:p>
        </w:tc>
      </w:tr>
    </w:tbl>
    <w:p w14:paraId="65836483" w14:textId="77777777" w:rsidR="0074163C" w:rsidRPr="00A65602" w:rsidRDefault="0074163C" w:rsidP="0074163C">
      <w:pPr>
        <w:pStyle w:val="TableDescription"/>
      </w:pPr>
      <w:r w:rsidRPr="00A65602">
        <w:t xml:space="preserve">*Statutory timeframe for standard </w:t>
      </w:r>
      <w:r w:rsidR="00BB0B78" w:rsidRPr="00A65602">
        <w:t>submission</w:t>
      </w:r>
      <w:r w:rsidRPr="00A65602">
        <w:t>s is 255 working days</w:t>
      </w:r>
    </w:p>
    <w:p w14:paraId="2E2D558A" w14:textId="77777777" w:rsidR="008E7846" w:rsidRPr="00A65602" w:rsidRDefault="00006FAB" w:rsidP="008E7846">
      <w:pPr>
        <w:pStyle w:val="Heading2"/>
      </w:pPr>
      <w:bookmarkStart w:id="23" w:name="_Toc196046504"/>
      <w:bookmarkStart w:id="24" w:name="_Toc247691527"/>
      <w:bookmarkStart w:id="25" w:name="_Toc314842510"/>
      <w:bookmarkStart w:id="26" w:name="_Toc117510582"/>
      <w:bookmarkStart w:id="27" w:name="_Toc163441390"/>
      <w:bookmarkEnd w:id="1"/>
      <w:bookmarkEnd w:id="20"/>
      <w:bookmarkEnd w:id="21"/>
      <w:r w:rsidRPr="00A65602">
        <w:t xml:space="preserve">Submission overview </w:t>
      </w:r>
      <w:r w:rsidR="008E7846" w:rsidRPr="00A65602">
        <w:t>and risk/benefit assessment</w:t>
      </w:r>
      <w:bookmarkEnd w:id="23"/>
      <w:bookmarkEnd w:id="24"/>
      <w:bookmarkEnd w:id="25"/>
      <w:bookmarkEnd w:id="26"/>
    </w:p>
    <w:p w14:paraId="1C375C50" w14:textId="77777777" w:rsidR="005A79F5" w:rsidRPr="00A65602" w:rsidRDefault="005A79F5" w:rsidP="0016399A">
      <w:pPr>
        <w:rPr>
          <w:i/>
        </w:rPr>
      </w:pPr>
      <w:bookmarkStart w:id="28" w:name="_Toc247691528"/>
      <w:bookmarkStart w:id="29" w:name="_Toc314842511"/>
      <w:r w:rsidRPr="00A65602">
        <w:t>A summary of the TGA’s assessment for this submission is provided below.</w:t>
      </w:r>
    </w:p>
    <w:p w14:paraId="140778D5" w14:textId="77777777" w:rsidR="008E7846" w:rsidRPr="00A65602" w:rsidRDefault="008E7846" w:rsidP="008E7846">
      <w:pPr>
        <w:pStyle w:val="Heading3"/>
      </w:pPr>
      <w:bookmarkStart w:id="30" w:name="_Toc117510583"/>
      <w:r w:rsidRPr="00A65602">
        <w:t>Quality</w:t>
      </w:r>
      <w:bookmarkEnd w:id="28"/>
      <w:bookmarkEnd w:id="29"/>
      <w:bookmarkEnd w:id="30"/>
    </w:p>
    <w:p w14:paraId="79F3F200" w14:textId="7FECB492" w:rsidR="0074163C" w:rsidRPr="00A65602" w:rsidRDefault="0074163C" w:rsidP="0074163C">
      <w:r w:rsidRPr="00A65602">
        <w:t>A full quality evaluation was conducted at the time this product received initial registration.</w:t>
      </w:r>
      <w:r w:rsidR="00F164EB" w:rsidRPr="008F7703">
        <w:rPr>
          <w:vertAlign w:val="superscript"/>
        </w:rPr>
        <w:fldChar w:fldCharType="begin"/>
      </w:r>
      <w:r w:rsidR="00F164EB" w:rsidRPr="008F7703">
        <w:rPr>
          <w:vertAlign w:val="superscript"/>
        </w:rPr>
        <w:instrText xml:space="preserve"> NOTEREF _Ref116641764 \h </w:instrText>
      </w:r>
      <w:r w:rsidR="00F164EB">
        <w:rPr>
          <w:vertAlign w:val="superscript"/>
        </w:rPr>
        <w:instrText xml:space="preserve"> \* MERGEFORMAT </w:instrText>
      </w:r>
      <w:r w:rsidR="00F164EB" w:rsidRPr="008F7703">
        <w:rPr>
          <w:vertAlign w:val="superscript"/>
        </w:rPr>
      </w:r>
      <w:r w:rsidR="00F164EB" w:rsidRPr="008F7703">
        <w:rPr>
          <w:vertAlign w:val="superscript"/>
        </w:rPr>
        <w:fldChar w:fldCharType="separate"/>
      </w:r>
      <w:r w:rsidR="00CE2EF4">
        <w:rPr>
          <w:vertAlign w:val="superscript"/>
        </w:rPr>
        <w:t>3</w:t>
      </w:r>
      <w:r w:rsidR="00F164EB" w:rsidRPr="008F7703">
        <w:rPr>
          <w:vertAlign w:val="superscript"/>
        </w:rPr>
        <w:fldChar w:fldCharType="end"/>
      </w:r>
    </w:p>
    <w:p w14:paraId="1E97DB98" w14:textId="77777777" w:rsidR="008E7846" w:rsidRPr="00A65602" w:rsidRDefault="008E7846" w:rsidP="008E7846">
      <w:pPr>
        <w:pStyle w:val="Heading3"/>
      </w:pPr>
      <w:bookmarkStart w:id="31" w:name="_Toc314842512"/>
      <w:bookmarkStart w:id="32" w:name="_Toc117510584"/>
      <w:r w:rsidRPr="00A65602">
        <w:t>Nonclinical</w:t>
      </w:r>
      <w:bookmarkEnd w:id="31"/>
      <w:bookmarkEnd w:id="32"/>
    </w:p>
    <w:p w14:paraId="35D84330" w14:textId="2147144F" w:rsidR="00AE00AB" w:rsidRPr="00A65602" w:rsidRDefault="00AE00AB" w:rsidP="00AE00AB">
      <w:r w:rsidRPr="00A65602">
        <w:t>The proposed dosage change does not impact on the original nonclinical safety assessment.</w:t>
      </w:r>
      <w:r w:rsidR="00F164EB" w:rsidRPr="008F7703">
        <w:rPr>
          <w:vertAlign w:val="superscript"/>
        </w:rPr>
        <w:fldChar w:fldCharType="begin"/>
      </w:r>
      <w:r w:rsidR="00F164EB" w:rsidRPr="008F7703">
        <w:rPr>
          <w:vertAlign w:val="superscript"/>
        </w:rPr>
        <w:instrText xml:space="preserve"> NOTEREF _Ref116641764 \h </w:instrText>
      </w:r>
      <w:r w:rsidR="00F164EB">
        <w:rPr>
          <w:vertAlign w:val="superscript"/>
        </w:rPr>
        <w:instrText xml:space="preserve"> \* MERGEFORMAT </w:instrText>
      </w:r>
      <w:r w:rsidR="00F164EB" w:rsidRPr="008F7703">
        <w:rPr>
          <w:vertAlign w:val="superscript"/>
        </w:rPr>
      </w:r>
      <w:r w:rsidR="00F164EB" w:rsidRPr="008F7703">
        <w:rPr>
          <w:vertAlign w:val="superscript"/>
        </w:rPr>
        <w:fldChar w:fldCharType="separate"/>
      </w:r>
      <w:r w:rsidR="00CE2EF4">
        <w:rPr>
          <w:vertAlign w:val="superscript"/>
        </w:rPr>
        <w:t>3</w:t>
      </w:r>
      <w:r w:rsidR="00F164EB" w:rsidRPr="008F7703">
        <w:rPr>
          <w:vertAlign w:val="superscript"/>
        </w:rPr>
        <w:fldChar w:fldCharType="end"/>
      </w:r>
      <w:r w:rsidRPr="00A65602">
        <w:t xml:space="preserve"> The proposed changes to nonclinical information in the draft P</w:t>
      </w:r>
      <w:r w:rsidR="00693F8C" w:rsidRPr="00A65602">
        <w:t>I</w:t>
      </w:r>
      <w:r w:rsidRPr="00A65602">
        <w:t xml:space="preserve"> (</w:t>
      </w:r>
      <w:r w:rsidR="00693F8C" w:rsidRPr="00A65602">
        <w:t xml:space="preserve">31 March 2021 </w:t>
      </w:r>
      <w:r w:rsidRPr="00A65602">
        <w:t>version) are acceptable.</w:t>
      </w:r>
    </w:p>
    <w:p w14:paraId="6D916232" w14:textId="77777777" w:rsidR="008E7846" w:rsidRPr="00A65602" w:rsidRDefault="008E7846" w:rsidP="008E7846">
      <w:pPr>
        <w:pStyle w:val="Heading3"/>
      </w:pPr>
      <w:bookmarkStart w:id="33" w:name="_Toc247691530"/>
      <w:bookmarkStart w:id="34" w:name="_Toc314842513"/>
      <w:bookmarkStart w:id="35" w:name="_Toc117510585"/>
      <w:r w:rsidRPr="00A65602">
        <w:lastRenderedPageBreak/>
        <w:t>Clinical</w:t>
      </w:r>
      <w:bookmarkEnd w:id="33"/>
      <w:bookmarkEnd w:id="34"/>
      <w:bookmarkEnd w:id="35"/>
    </w:p>
    <w:p w14:paraId="7328C947" w14:textId="77777777" w:rsidR="0074163C" w:rsidRPr="00A65602" w:rsidRDefault="0074163C" w:rsidP="0074163C">
      <w:pPr>
        <w:pStyle w:val="Heading4"/>
      </w:pPr>
      <w:bookmarkStart w:id="36" w:name="_Toc98931928"/>
      <w:r w:rsidRPr="00A65602">
        <w:t>Summary of clinical studies</w:t>
      </w:r>
      <w:bookmarkEnd w:id="36"/>
    </w:p>
    <w:p w14:paraId="7EBE979C" w14:textId="547091D7" w:rsidR="0074163C" w:rsidRDefault="0074163C" w:rsidP="0074163C">
      <w:r w:rsidRPr="00A65602">
        <w:t>The clinical dossier consisted of</w:t>
      </w:r>
      <w:r w:rsidR="00EB36D6" w:rsidRPr="00A65602">
        <w:t>:</w:t>
      </w:r>
    </w:p>
    <w:p w14:paraId="5B3A7528" w14:textId="11B2A0C5" w:rsidR="00BF7DA4" w:rsidRDefault="00BF7DA4" w:rsidP="008F7703">
      <w:pPr>
        <w:pStyle w:val="ListBullet"/>
      </w:pPr>
      <w:r>
        <w:t>one Phase I study: Study A2110</w:t>
      </w:r>
    </w:p>
    <w:p w14:paraId="6CAD5C84" w14:textId="7EBF8D02" w:rsidR="00BF7DA4" w:rsidRDefault="00BF7DA4" w:rsidP="008F7703">
      <w:pPr>
        <w:pStyle w:val="ListBullet"/>
      </w:pPr>
      <w:r>
        <w:t>one Phase II study: Study A2223</w:t>
      </w:r>
    </w:p>
    <w:p w14:paraId="07A79502" w14:textId="0186D18C" w:rsidR="00AE00AB" w:rsidRPr="00A65602" w:rsidRDefault="00BF7DA4" w:rsidP="00A66610">
      <w:pPr>
        <w:pStyle w:val="ListBullet"/>
      </w:pPr>
      <w:r>
        <w:t>four Phase III stud</w:t>
      </w:r>
      <w:r w:rsidR="00F164EB">
        <w:t>ies</w:t>
      </w:r>
      <w:r>
        <w:t xml:space="preserve">: Study A2302E1, </w:t>
      </w:r>
      <w:r w:rsidR="002600F8">
        <w:t xml:space="preserve">Study </w:t>
      </w:r>
      <w:r>
        <w:t xml:space="preserve">A2304E1, </w:t>
      </w:r>
      <w:r w:rsidR="002600F8">
        <w:t xml:space="preserve">Study </w:t>
      </w:r>
      <w:r>
        <w:t>A2318</w:t>
      </w:r>
      <w:r w:rsidR="002600F8">
        <w:t xml:space="preserve"> and Study </w:t>
      </w:r>
      <w:r>
        <w:t>A2324</w:t>
      </w:r>
      <w:r w:rsidR="008F7703">
        <w:t>.</w:t>
      </w:r>
    </w:p>
    <w:p w14:paraId="1AD6B529" w14:textId="29004D98" w:rsidR="00AE00AB" w:rsidRPr="00A65602" w:rsidRDefault="00AE00AB" w:rsidP="004946B9">
      <w:r w:rsidRPr="00A65602">
        <w:t xml:space="preserve">The proposed changes to the dosage guidance for plaque psoriasis are based on the findings from Study </w:t>
      </w:r>
      <w:r w:rsidR="00390805" w:rsidRPr="00A65602">
        <w:t>A</w:t>
      </w:r>
      <w:r w:rsidRPr="00A65602">
        <w:t>2324, supported by exposure-response (</w:t>
      </w:r>
      <w:r w:rsidR="002B15A2" w:rsidRPr="00A65602">
        <w:t>pharmacokinetics (</w:t>
      </w:r>
      <w:r w:rsidRPr="00A65602">
        <w:t>PK</w:t>
      </w:r>
      <w:r w:rsidR="002B15A2" w:rsidRPr="00A65602">
        <w:t>)</w:t>
      </w:r>
      <w:r w:rsidR="00693F8C" w:rsidRPr="00A65602">
        <w:noBreakHyphen/>
      </w:r>
      <w:r w:rsidR="007D0247" w:rsidRPr="00A65602">
        <w:t xml:space="preserve"> Psoriasis Area and Severity Index (</w:t>
      </w:r>
      <w:r w:rsidRPr="00A65602">
        <w:t>PASI</w:t>
      </w:r>
      <w:r w:rsidR="007D0247" w:rsidRPr="00A65602">
        <w:t>)</w:t>
      </w:r>
      <w:r w:rsidRPr="00A65602">
        <w:t>) modelling based on a data pool of 4,194</w:t>
      </w:r>
      <w:r w:rsidR="003A2B32">
        <w:t> </w:t>
      </w:r>
      <w:r w:rsidRPr="00A65602">
        <w:t>patients from 11</w:t>
      </w:r>
      <w:r w:rsidR="00BD27D6" w:rsidRPr="00A65602">
        <w:t> </w:t>
      </w:r>
      <w:r w:rsidRPr="00A65602">
        <w:t>adult psoriasis studies.</w:t>
      </w:r>
    </w:p>
    <w:p w14:paraId="39F0AFA0" w14:textId="77777777" w:rsidR="00AE00AB" w:rsidRPr="00A65602" w:rsidRDefault="00AE00AB" w:rsidP="004946B9">
      <w:pPr>
        <w:pStyle w:val="Heading4"/>
      </w:pPr>
      <w:r w:rsidRPr="00A65602">
        <w:t>Pharmacology</w:t>
      </w:r>
    </w:p>
    <w:p w14:paraId="618E5CC6" w14:textId="3B7DD456" w:rsidR="00AE00AB" w:rsidRPr="00A65602" w:rsidRDefault="00AE00AB" w:rsidP="004946B9">
      <w:pPr>
        <w:pStyle w:val="Heading5"/>
      </w:pPr>
      <w:r w:rsidRPr="00A65602">
        <w:t>Pharmacokinetics</w:t>
      </w:r>
    </w:p>
    <w:p w14:paraId="2D89F4FE" w14:textId="77777777" w:rsidR="00AE00AB" w:rsidRPr="00A65602" w:rsidRDefault="00AE00AB" w:rsidP="004946B9">
      <w:pPr>
        <w:pStyle w:val="Heading6"/>
      </w:pPr>
      <w:r w:rsidRPr="00A65602">
        <w:t>Study A2324</w:t>
      </w:r>
    </w:p>
    <w:p w14:paraId="388132A2" w14:textId="14F28306" w:rsidR="00430ABF" w:rsidRDefault="00AE00AB" w:rsidP="004946B9">
      <w:r w:rsidRPr="00A65602">
        <w:t>Study A2324 enrolled adults with moderate to severe plaque psoriasis and bodyweight ≥</w:t>
      </w:r>
      <w:r w:rsidR="00691081" w:rsidRPr="00A65602">
        <w:t> </w:t>
      </w:r>
      <w:r w:rsidRPr="00A65602">
        <w:t xml:space="preserve">90 kg. The details of the study are described in </w:t>
      </w:r>
      <w:r w:rsidR="00430ABF">
        <w:fldChar w:fldCharType="begin"/>
      </w:r>
      <w:r w:rsidR="00430ABF">
        <w:instrText xml:space="preserve"> REF _Ref92880580 \h </w:instrText>
      </w:r>
      <w:r w:rsidR="00430ABF">
        <w:fldChar w:fldCharType="separate"/>
      </w:r>
      <w:r w:rsidR="00CE2EF4" w:rsidRPr="00A65602">
        <w:t>Study A2324</w:t>
      </w:r>
      <w:r w:rsidR="00430ABF">
        <w:fldChar w:fldCharType="end"/>
      </w:r>
    </w:p>
    <w:p w14:paraId="43816022" w14:textId="7C4C69C6" w:rsidR="00430ABF" w:rsidRDefault="00AE00AB" w:rsidP="004946B9">
      <w:r w:rsidRPr="00A65602">
        <w:t xml:space="preserve">Secukinumab 300 mg </w:t>
      </w:r>
      <w:r w:rsidR="00430ABF">
        <w:t xml:space="preserve">was administered </w:t>
      </w:r>
      <w:r w:rsidR="00DF320D" w:rsidRPr="00A65602">
        <w:t xml:space="preserve">subcutaneously </w:t>
      </w:r>
      <w:r w:rsidRPr="00A65602">
        <w:t xml:space="preserve">as per the dosing schedule in </w:t>
      </w:r>
      <w:r w:rsidRPr="00A65602">
        <w:fldChar w:fldCharType="begin"/>
      </w:r>
      <w:r w:rsidRPr="00A65602">
        <w:instrText xml:space="preserve"> REF _Ref92803210 \h </w:instrText>
      </w:r>
      <w:r w:rsidR="004946B9" w:rsidRPr="00A65602">
        <w:instrText xml:space="preserve"> \* MERGEFORMAT </w:instrText>
      </w:r>
      <w:r w:rsidRPr="00A65602">
        <w:fldChar w:fldCharType="separate"/>
      </w:r>
      <w:r w:rsidR="00CE2EF4" w:rsidRPr="00B7603C">
        <w:t xml:space="preserve">Figure </w:t>
      </w:r>
      <w:r w:rsidR="00CE2EF4">
        <w:t>10</w:t>
      </w:r>
      <w:r w:rsidRPr="00A65602">
        <w:fldChar w:fldCharType="end"/>
      </w:r>
      <w:r w:rsidRPr="00A65602">
        <w:t xml:space="preserve">. Mean </w:t>
      </w:r>
      <w:proofErr w:type="spellStart"/>
      <w:r w:rsidR="002C63BD" w:rsidRPr="00A65602">
        <w:t>C</w:t>
      </w:r>
      <w:r w:rsidR="002C63BD" w:rsidRPr="00A65602">
        <w:rPr>
          <w:vertAlign w:val="subscript"/>
        </w:rPr>
        <w:t>trough</w:t>
      </w:r>
      <w:proofErr w:type="spellEnd"/>
      <w:r w:rsidRPr="00A65602">
        <w:t xml:space="preserve"> at Week 4 were similar in the secukinumab 300 mg </w:t>
      </w:r>
      <w:r w:rsidR="00F164EB">
        <w:t xml:space="preserve">once </w:t>
      </w:r>
      <w:r w:rsidR="00B3337A" w:rsidRPr="00A65602">
        <w:t>every</w:t>
      </w:r>
      <w:r w:rsidR="00F164EB">
        <w:t xml:space="preserve"> </w:t>
      </w:r>
      <w:r w:rsidR="00B3337A" w:rsidRPr="00A65602">
        <w:t>2</w:t>
      </w:r>
      <w:r w:rsidR="008F7703">
        <w:t> </w:t>
      </w:r>
      <w:r w:rsidR="00B3337A" w:rsidRPr="00A65602">
        <w:t xml:space="preserve">weeks </w:t>
      </w:r>
      <w:r w:rsidRPr="00A65602">
        <w:t xml:space="preserve">group and the secukinumab 300 mg </w:t>
      </w:r>
      <w:r w:rsidR="00F164EB">
        <w:t xml:space="preserve">once </w:t>
      </w:r>
      <w:r w:rsidR="007254C8" w:rsidRPr="00A65602">
        <w:t>every</w:t>
      </w:r>
      <w:r w:rsidR="00F164EB">
        <w:t xml:space="preserve"> </w:t>
      </w:r>
      <w:r w:rsidR="007254C8" w:rsidRPr="00A65602">
        <w:t>4</w:t>
      </w:r>
      <w:r w:rsidR="00F164EB">
        <w:t xml:space="preserve"> </w:t>
      </w:r>
      <w:r w:rsidR="007254C8" w:rsidRPr="00A65602">
        <w:t>weeks</w:t>
      </w:r>
      <w:r w:rsidRPr="00A65602">
        <w:t xml:space="preserve"> group due to the same induction regimen in both groups (</w:t>
      </w:r>
      <w:r w:rsidR="00F164EB">
        <w:t xml:space="preserve">see </w:t>
      </w:r>
      <w:r w:rsidRPr="00A65602">
        <w:fldChar w:fldCharType="begin"/>
      </w:r>
      <w:r w:rsidRPr="00A65602">
        <w:instrText xml:space="preserve"> REF _Ref92881616 \h </w:instrText>
      </w:r>
      <w:r w:rsidR="004946B9" w:rsidRPr="00A65602">
        <w:instrText xml:space="preserve"> \* MERGEFORMAT </w:instrText>
      </w:r>
      <w:r w:rsidRPr="00A65602">
        <w:fldChar w:fldCharType="separate"/>
      </w:r>
      <w:r w:rsidR="00CE2EF4" w:rsidRPr="00B7603C">
        <w:t xml:space="preserve">Figure </w:t>
      </w:r>
      <w:r w:rsidR="00CE2EF4">
        <w:t>1</w:t>
      </w:r>
      <w:r w:rsidRPr="00A65602">
        <w:fldChar w:fldCharType="end"/>
      </w:r>
      <w:r w:rsidRPr="00A65602">
        <w:t>).</w:t>
      </w:r>
    </w:p>
    <w:p w14:paraId="20887EAE" w14:textId="45D15C73" w:rsidR="00AE00AB" w:rsidRPr="00A65602" w:rsidRDefault="00AE00AB" w:rsidP="004946B9">
      <w:r w:rsidRPr="00A65602">
        <w:t xml:space="preserve">Mean </w:t>
      </w:r>
      <w:proofErr w:type="spellStart"/>
      <w:r w:rsidR="002C63BD" w:rsidRPr="00A65602">
        <w:t>C</w:t>
      </w:r>
      <w:r w:rsidR="002C63BD" w:rsidRPr="00A65602">
        <w:rPr>
          <w:vertAlign w:val="subscript"/>
        </w:rPr>
        <w:t>trough</w:t>
      </w:r>
      <w:proofErr w:type="spellEnd"/>
      <w:r w:rsidRPr="00A65602">
        <w:t xml:space="preserve"> </w:t>
      </w:r>
      <w:r w:rsidR="00430ABF">
        <w:t xml:space="preserve">concentrations </w:t>
      </w:r>
      <w:r w:rsidRPr="00A65602">
        <w:t xml:space="preserve">were higher at Week 4 than Week 16 due to weekly loading dosing until Week 4. At Week 16 and Week 24, mean </w:t>
      </w:r>
      <w:proofErr w:type="spellStart"/>
      <w:r w:rsidR="002C63BD" w:rsidRPr="00A65602">
        <w:t>C</w:t>
      </w:r>
      <w:r w:rsidR="002C63BD" w:rsidRPr="00A65602">
        <w:rPr>
          <w:vertAlign w:val="subscript"/>
        </w:rPr>
        <w:t>trough</w:t>
      </w:r>
      <w:proofErr w:type="spellEnd"/>
      <w:r w:rsidRPr="00A65602">
        <w:t xml:space="preserve"> were approximately 2-fold higher in the secukinumab 300 mg </w:t>
      </w:r>
      <w:r w:rsidR="00F164EB">
        <w:t xml:space="preserve">once </w:t>
      </w:r>
      <w:r w:rsidR="00B3337A" w:rsidRPr="00A65602">
        <w:t>every</w:t>
      </w:r>
      <w:r w:rsidR="00F164EB">
        <w:t xml:space="preserve"> </w:t>
      </w:r>
      <w:r w:rsidR="00B3337A" w:rsidRPr="00A65602">
        <w:t>2</w:t>
      </w:r>
      <w:r w:rsidR="00F164EB">
        <w:t xml:space="preserve"> </w:t>
      </w:r>
      <w:r w:rsidR="00B3337A" w:rsidRPr="00A65602">
        <w:t xml:space="preserve">weeks </w:t>
      </w:r>
      <w:r w:rsidRPr="00A65602">
        <w:t xml:space="preserve">group compared to the secukinumab 300 mg </w:t>
      </w:r>
      <w:r w:rsidR="00F164EB">
        <w:t xml:space="preserve">once </w:t>
      </w:r>
      <w:r w:rsidR="00B3337A" w:rsidRPr="00A65602">
        <w:t>every</w:t>
      </w:r>
      <w:r w:rsidR="00F164EB">
        <w:t xml:space="preserve"> </w:t>
      </w:r>
      <w:r w:rsidR="00B3337A" w:rsidRPr="00A65602">
        <w:t>4</w:t>
      </w:r>
      <w:r w:rsidR="00430ABF">
        <w:t xml:space="preserve"> </w:t>
      </w:r>
      <w:r w:rsidR="00B3337A" w:rsidRPr="00A65602">
        <w:t xml:space="preserve">weeks </w:t>
      </w:r>
      <w:r w:rsidRPr="00A65602">
        <w:t xml:space="preserve">group. Mean </w:t>
      </w:r>
      <w:proofErr w:type="spellStart"/>
      <w:r w:rsidR="002C63BD" w:rsidRPr="00A65602">
        <w:t>C</w:t>
      </w:r>
      <w:r w:rsidR="002C63BD" w:rsidRPr="00A65602">
        <w:rPr>
          <w:vertAlign w:val="subscript"/>
        </w:rPr>
        <w:t>trough</w:t>
      </w:r>
      <w:proofErr w:type="spellEnd"/>
      <w:r w:rsidRPr="00A65602">
        <w:t xml:space="preserve"> in the 300 mg </w:t>
      </w:r>
      <w:r w:rsidR="00430ABF">
        <w:t xml:space="preserve">once </w:t>
      </w:r>
      <w:r w:rsidR="007254C8" w:rsidRPr="00A65602">
        <w:t>every</w:t>
      </w:r>
      <w:r w:rsidR="00430ABF">
        <w:t xml:space="preserve"> </w:t>
      </w:r>
      <w:r w:rsidR="007254C8" w:rsidRPr="00A65602">
        <w:t>4</w:t>
      </w:r>
      <w:r w:rsidR="00430ABF">
        <w:t> </w:t>
      </w:r>
      <w:r w:rsidR="007254C8" w:rsidRPr="00A65602">
        <w:t>weeks</w:t>
      </w:r>
      <w:r w:rsidRPr="00A65602">
        <w:t xml:space="preserve"> </w:t>
      </w:r>
      <w:r w:rsidR="00164CC2" w:rsidRPr="00A65602">
        <w:t>non-responders</w:t>
      </w:r>
      <w:r w:rsidRPr="00A65602">
        <w:t xml:space="preserve"> </w:t>
      </w:r>
      <w:r w:rsidR="00430ABF">
        <w:t>‘</w:t>
      </w:r>
      <w:r w:rsidR="00416549" w:rsidRPr="00A65602">
        <w:t>up</w:t>
      </w:r>
      <w:r w:rsidR="00430ABF">
        <w:t>’</w:t>
      </w:r>
      <w:r w:rsidR="00416549" w:rsidRPr="00A65602">
        <w:t xml:space="preserve"> </w:t>
      </w:r>
      <w:r w:rsidRPr="00A65602">
        <w:t>group (</w:t>
      </w:r>
      <w:r w:rsidR="00430ABF">
        <w:t>patients that</w:t>
      </w:r>
      <w:r w:rsidR="00430ABF" w:rsidRPr="00A65602">
        <w:t xml:space="preserve"> </w:t>
      </w:r>
      <w:r w:rsidRPr="00A65602">
        <w:t xml:space="preserve">were up-titrated from 300 mg </w:t>
      </w:r>
      <w:r w:rsidR="007254C8" w:rsidRPr="00A65602">
        <w:t>every 4</w:t>
      </w:r>
      <w:r w:rsidR="00430ABF">
        <w:t> </w:t>
      </w:r>
      <w:r w:rsidR="007254C8" w:rsidRPr="00A65602">
        <w:t>weeks</w:t>
      </w:r>
      <w:r w:rsidRPr="00A65602">
        <w:t xml:space="preserve"> to 300 mg </w:t>
      </w:r>
      <w:r w:rsidR="00BC168F" w:rsidRPr="00A65602">
        <w:t>every 2 weeks</w:t>
      </w:r>
      <w:r w:rsidRPr="00A65602">
        <w:t xml:space="preserve"> at Week 16) were lower than the 300 mg </w:t>
      </w:r>
      <w:r w:rsidR="00B3337A" w:rsidRPr="00A65602">
        <w:t>every</w:t>
      </w:r>
      <w:r w:rsidR="00430ABF">
        <w:t xml:space="preserve"> </w:t>
      </w:r>
      <w:r w:rsidR="00B3337A" w:rsidRPr="00A65602">
        <w:t>2</w:t>
      </w:r>
      <w:r w:rsidR="00431D93">
        <w:t> </w:t>
      </w:r>
      <w:r w:rsidR="00B3337A" w:rsidRPr="00A65602">
        <w:t xml:space="preserve">weeks </w:t>
      </w:r>
      <w:r w:rsidRPr="00A65602">
        <w:t>group at Weeks 24 and 52, which may be attributable to differences in bodyweight between the groups (mean bodyweight 111.5</w:t>
      </w:r>
      <w:r w:rsidR="00B3337A" w:rsidRPr="00A65602">
        <w:t> </w:t>
      </w:r>
      <w:r w:rsidRPr="00A65602">
        <w:t xml:space="preserve">kg in the 300 mg </w:t>
      </w:r>
      <w:r w:rsidR="00B3337A" w:rsidRPr="00A65602">
        <w:t>every</w:t>
      </w:r>
      <w:r w:rsidR="00430ABF">
        <w:t xml:space="preserve"> </w:t>
      </w:r>
      <w:r w:rsidR="00B3337A" w:rsidRPr="00A65602">
        <w:t>2</w:t>
      </w:r>
      <w:r w:rsidR="00430ABF">
        <w:t xml:space="preserve"> </w:t>
      </w:r>
      <w:r w:rsidR="00B3337A" w:rsidRPr="00A65602">
        <w:t xml:space="preserve">weeks </w:t>
      </w:r>
      <w:r w:rsidRPr="00A65602">
        <w:t>group, 117.9</w:t>
      </w:r>
      <w:r w:rsidR="00431D93">
        <w:t> </w:t>
      </w:r>
      <w:r w:rsidRPr="00A65602">
        <w:t xml:space="preserve">kg in the 300 mg </w:t>
      </w:r>
      <w:r w:rsidR="007254C8" w:rsidRPr="00A65602">
        <w:t>every</w:t>
      </w:r>
      <w:r w:rsidR="00430ABF">
        <w:t xml:space="preserve"> </w:t>
      </w:r>
      <w:r w:rsidR="007254C8" w:rsidRPr="00A65602">
        <w:t>4</w:t>
      </w:r>
      <w:r w:rsidR="00430ABF">
        <w:t xml:space="preserve"> </w:t>
      </w:r>
      <w:r w:rsidR="007254C8" w:rsidRPr="00A65602">
        <w:t>weeks</w:t>
      </w:r>
      <w:r w:rsidRPr="00A65602">
        <w:t xml:space="preserve"> </w:t>
      </w:r>
      <w:r w:rsidR="00164CC2" w:rsidRPr="00A65602">
        <w:t>non</w:t>
      </w:r>
      <w:r w:rsidR="00B3337A" w:rsidRPr="00A65602">
        <w:noBreakHyphen/>
      </w:r>
      <w:r w:rsidR="00164CC2" w:rsidRPr="00A65602">
        <w:t>responders</w:t>
      </w:r>
      <w:r w:rsidRPr="00A65602">
        <w:t xml:space="preserve"> </w:t>
      </w:r>
      <w:r w:rsidR="00882FA9" w:rsidRPr="00A65602">
        <w:t>up g</w:t>
      </w:r>
      <w:r w:rsidRPr="00A65602">
        <w:t xml:space="preserve">roup). The last dose of secukinumab was administered at Week 48, so steady state levels were not observed at Week 52 in the 300 mg </w:t>
      </w:r>
      <w:r w:rsidR="00BC168F" w:rsidRPr="00A65602">
        <w:t>every 2 weeks</w:t>
      </w:r>
      <w:r w:rsidRPr="00A65602">
        <w:t xml:space="preserve"> and 300</w:t>
      </w:r>
      <w:r w:rsidR="003F2763" w:rsidRPr="00A65602">
        <w:t> </w:t>
      </w:r>
      <w:r w:rsidRPr="00A65602">
        <w:t xml:space="preserve">mg </w:t>
      </w:r>
      <w:r w:rsidR="00B3337A" w:rsidRPr="00A65602">
        <w:t>every</w:t>
      </w:r>
      <w:r w:rsidR="00430ABF">
        <w:t xml:space="preserve"> </w:t>
      </w:r>
      <w:r w:rsidR="00B3337A" w:rsidRPr="00A65602">
        <w:t>4</w:t>
      </w:r>
      <w:r w:rsidR="00430ABF">
        <w:t xml:space="preserve"> </w:t>
      </w:r>
      <w:r w:rsidR="00B3337A" w:rsidRPr="00A65602">
        <w:t xml:space="preserve">weeks </w:t>
      </w:r>
      <w:r w:rsidR="00164CC2" w:rsidRPr="00A65602">
        <w:t xml:space="preserve">non-responders </w:t>
      </w:r>
      <w:r w:rsidR="00882FA9" w:rsidRPr="00A65602">
        <w:t>up</w:t>
      </w:r>
      <w:r w:rsidRPr="00A65602">
        <w:t xml:space="preserve"> groups.</w:t>
      </w:r>
    </w:p>
    <w:p w14:paraId="7E5D2065" w14:textId="1218F47D" w:rsidR="00AE00AB" w:rsidRPr="00B7603C" w:rsidRDefault="00AE00AB" w:rsidP="00B7603C">
      <w:pPr>
        <w:pStyle w:val="FigureTitle"/>
      </w:pPr>
      <w:bookmarkStart w:id="37" w:name="_Ref92881616"/>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1</w:t>
      </w:r>
      <w:r w:rsidR="00A4590A">
        <w:rPr>
          <w:noProof/>
        </w:rPr>
        <w:fldChar w:fldCharType="end"/>
      </w:r>
      <w:bookmarkEnd w:id="37"/>
      <w:r w:rsidR="00EB497D" w:rsidRPr="00B7603C">
        <w:t>: Study A2324</w:t>
      </w:r>
      <w:r w:rsidRPr="00B7603C">
        <w:t xml:space="preserve"> Mean trough serum concentration-time profile for secukinumab</w:t>
      </w:r>
    </w:p>
    <w:p w14:paraId="55B0B15C" w14:textId="1BD566DA" w:rsidR="00AE00AB" w:rsidRPr="00A65602" w:rsidRDefault="00346365" w:rsidP="00B7603C">
      <w:r w:rsidRPr="00A65602">
        <w:rPr>
          <w:noProof/>
          <w:lang w:val="en-GB" w:eastAsia="en-GB"/>
        </w:rPr>
        <w:drawing>
          <wp:inline distT="0" distB="0" distL="0" distR="0" wp14:anchorId="7E225628" wp14:editId="5934055B">
            <wp:extent cx="5400040" cy="2969260"/>
            <wp:effectExtent l="0" t="0" r="0" b="2540"/>
            <wp:docPr id="23" name="Picture 23" descr="Figure 1: Study A2324 Mean trough serum concentration-time profile for secukinuma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1: Study A2324 Mean trough serum concentration-time profile for secukinumab"/>
                    <pic:cNvPicPr/>
                  </pic:nvPicPr>
                  <pic:blipFill>
                    <a:blip r:embed="rId16"/>
                    <a:stretch>
                      <a:fillRect/>
                    </a:stretch>
                  </pic:blipFill>
                  <pic:spPr>
                    <a:xfrm>
                      <a:off x="0" y="0"/>
                      <a:ext cx="5400040" cy="2969260"/>
                    </a:xfrm>
                    <a:prstGeom prst="rect">
                      <a:avLst/>
                    </a:prstGeom>
                  </pic:spPr>
                </pic:pic>
              </a:graphicData>
            </a:graphic>
          </wp:inline>
        </w:drawing>
      </w:r>
    </w:p>
    <w:p w14:paraId="2B280369" w14:textId="7F013C33" w:rsidR="00EB497D" w:rsidRPr="00B7603C" w:rsidRDefault="00EB497D" w:rsidP="00B7603C">
      <w:pPr>
        <w:pStyle w:val="FigureDescription"/>
      </w:pPr>
      <w:r w:rsidRPr="00B7603C">
        <w:t xml:space="preserve">Abbreviations: </w:t>
      </w:r>
      <w:proofErr w:type="spellStart"/>
      <w:r w:rsidRPr="00B7603C">
        <w:t>concn</w:t>
      </w:r>
      <w:proofErr w:type="spellEnd"/>
      <w:r w:rsidRPr="00B7603C">
        <w:t>. = concentration</w:t>
      </w:r>
      <w:r w:rsidR="001F4FAC" w:rsidRPr="00B7603C">
        <w:t xml:space="preserve">; </w:t>
      </w:r>
      <w:r w:rsidRPr="00B7603C">
        <w:t>NR =</w:t>
      </w:r>
      <w:r w:rsidR="001B47D7" w:rsidRPr="00B7603C">
        <w:t xml:space="preserve"> non-responders</w:t>
      </w:r>
      <w:r w:rsidR="001F4FAC" w:rsidRPr="00B7603C">
        <w:t xml:space="preserve">; </w:t>
      </w:r>
      <w:r w:rsidRPr="00B7603C">
        <w:t xml:space="preserve">Q2W = </w:t>
      </w:r>
      <w:r w:rsidR="004A0022" w:rsidRPr="00B7603C">
        <w:t>every 2 weeks</w:t>
      </w:r>
      <w:r w:rsidR="001F4FAC" w:rsidRPr="00B7603C">
        <w:t xml:space="preserve">; </w:t>
      </w:r>
      <w:r w:rsidRPr="00B7603C">
        <w:t>Q4W =</w:t>
      </w:r>
      <w:r w:rsidR="004A0022" w:rsidRPr="00B7603C">
        <w:t xml:space="preserve"> every 4</w:t>
      </w:r>
      <w:r w:rsidR="008F42D2" w:rsidRPr="00B7603C">
        <w:t> </w:t>
      </w:r>
      <w:r w:rsidR="004A0022" w:rsidRPr="00B7603C">
        <w:t>weeks</w:t>
      </w:r>
      <w:r w:rsidR="001F4FAC" w:rsidRPr="00B7603C">
        <w:t>.</w:t>
      </w:r>
    </w:p>
    <w:p w14:paraId="6D6F6976" w14:textId="5CDAF8D9" w:rsidR="00430ABF" w:rsidRPr="00B7603C" w:rsidRDefault="00430ABF" w:rsidP="00B7603C">
      <w:pPr>
        <w:pStyle w:val="FigureDescription"/>
      </w:pPr>
      <w:proofErr w:type="gramStart"/>
      <w:r w:rsidRPr="00B7603C">
        <w:t>The Q4W NR group,</w:t>
      </w:r>
      <w:proofErr w:type="gramEnd"/>
      <w:r w:rsidRPr="00B7603C">
        <w:t xml:space="preserve"> were non-responding patients that were up-titrated from 300 mg every 4 weeks to 300</w:t>
      </w:r>
      <w:r w:rsidR="00B7603C">
        <w:t> </w:t>
      </w:r>
      <w:r w:rsidRPr="00B7603C">
        <w:t>mg every 2 weeks.</w:t>
      </w:r>
    </w:p>
    <w:p w14:paraId="7690FB33" w14:textId="3A56EE59" w:rsidR="00AE00AB" w:rsidRPr="00A65602" w:rsidRDefault="00AE00AB" w:rsidP="004946B9">
      <w:r w:rsidRPr="00A65602">
        <w:t xml:space="preserve">The submission did not present PK data for the proposed secukinumab 300 mg </w:t>
      </w:r>
      <w:r w:rsidR="00430ABF">
        <w:t xml:space="preserve">once </w:t>
      </w:r>
      <w:r w:rsidR="00BC168F" w:rsidRPr="00A65602">
        <w:t>every</w:t>
      </w:r>
      <w:r w:rsidR="00430ABF">
        <w:t xml:space="preserve"> </w:t>
      </w:r>
      <w:r w:rsidR="00BC168F" w:rsidRPr="00A65602">
        <w:t>2</w:t>
      </w:r>
      <w:r w:rsidR="008F7703">
        <w:t> </w:t>
      </w:r>
      <w:r w:rsidR="00BC168F" w:rsidRPr="00A65602">
        <w:t>weeks</w:t>
      </w:r>
      <w:r w:rsidRPr="00A65602">
        <w:t xml:space="preserve"> dosing in patients &lt; 90 kg.</w:t>
      </w:r>
    </w:p>
    <w:p w14:paraId="3301B922" w14:textId="5EA7D7D9" w:rsidR="00AE00AB" w:rsidRPr="00A65602" w:rsidRDefault="00AE00AB" w:rsidP="004946B9">
      <w:pPr>
        <w:pStyle w:val="Heading5"/>
      </w:pPr>
      <w:r w:rsidRPr="00A65602">
        <w:t xml:space="preserve">Population </w:t>
      </w:r>
      <w:r w:rsidR="00693F8C" w:rsidRPr="00A65602">
        <w:t xml:space="preserve">pharmacokinetic </w:t>
      </w:r>
      <w:r w:rsidRPr="00A65602">
        <w:t>data</w:t>
      </w:r>
    </w:p>
    <w:p w14:paraId="64280C84" w14:textId="4A81B7C7" w:rsidR="00AE00AB" w:rsidRPr="00A65602" w:rsidRDefault="00AE00AB" w:rsidP="004946B9">
      <w:r w:rsidRPr="00A65602">
        <w:t xml:space="preserve">Data from 4,194 patients from 11 secukinumab studies in plaque psoriasis (excluding </w:t>
      </w:r>
      <w:r w:rsidR="003F2763" w:rsidRPr="00A65602">
        <w:t>Study </w:t>
      </w:r>
      <w:r w:rsidRPr="00A65602">
        <w:t xml:space="preserve">A2324) were used for the re-estimation of the </w:t>
      </w:r>
      <w:r w:rsidR="007D0247" w:rsidRPr="00A65602">
        <w:t>population pharmacokinetic (</w:t>
      </w:r>
      <w:proofErr w:type="spellStart"/>
      <w:r w:rsidR="003F2763" w:rsidRPr="00A65602">
        <w:t>P</w:t>
      </w:r>
      <w:r w:rsidRPr="00A65602">
        <w:t>opPK</w:t>
      </w:r>
      <w:proofErr w:type="spellEnd"/>
      <w:r w:rsidR="007D0247" w:rsidRPr="00A65602">
        <w:t>)</w:t>
      </w:r>
      <w:r w:rsidRPr="00A65602">
        <w:t xml:space="preserve"> model. </w:t>
      </w:r>
      <w:r w:rsidRPr="00A65602">
        <w:fldChar w:fldCharType="begin"/>
      </w:r>
      <w:r w:rsidRPr="00A65602">
        <w:instrText xml:space="preserve"> REF _Ref92981883 \h </w:instrText>
      </w:r>
      <w:r w:rsidR="004946B9" w:rsidRPr="00A65602">
        <w:instrText xml:space="preserve"> \* MERGEFORMAT </w:instrText>
      </w:r>
      <w:r w:rsidRPr="00A65602">
        <w:fldChar w:fldCharType="separate"/>
      </w:r>
      <w:r w:rsidR="00CE2EF4" w:rsidRPr="00B7603C">
        <w:t xml:space="preserve">Figure </w:t>
      </w:r>
      <w:r w:rsidR="00CE2EF4">
        <w:t>2</w:t>
      </w:r>
      <w:r w:rsidRPr="00A65602">
        <w:fldChar w:fldCharType="end"/>
      </w:r>
      <w:r w:rsidRPr="00A65602">
        <w:t xml:space="preserve"> shows the predicted PK profiles (median and 95% prediction interval) at steady state for secukinumab 300 mg </w:t>
      </w:r>
      <w:r w:rsidR="003E5A32">
        <w:t xml:space="preserve">once </w:t>
      </w:r>
      <w:r w:rsidR="007254C8" w:rsidRPr="00A65602">
        <w:t>every 4 weeks</w:t>
      </w:r>
      <w:r w:rsidRPr="00A65602">
        <w:t xml:space="preserve"> and 300 mg </w:t>
      </w:r>
      <w:r w:rsidR="003E5A32">
        <w:t xml:space="preserve">once </w:t>
      </w:r>
      <w:r w:rsidR="00BC168F" w:rsidRPr="00A65602">
        <w:t>every 2</w:t>
      </w:r>
      <w:r w:rsidR="00431D93">
        <w:t> </w:t>
      </w:r>
      <w:r w:rsidR="00BC168F" w:rsidRPr="00A65602">
        <w:t>weeks</w:t>
      </w:r>
      <w:r w:rsidRPr="00A65602">
        <w:t xml:space="preserve"> in patients ≥</w:t>
      </w:r>
      <w:r w:rsidR="007D0247" w:rsidRPr="00A65602">
        <w:t> </w:t>
      </w:r>
      <w:r w:rsidRPr="00A65602">
        <w:t>90 kg. The updated model reasonably describes the secukinumab concentration data from Study</w:t>
      </w:r>
      <w:r w:rsidR="003F2763" w:rsidRPr="00A65602">
        <w:t> </w:t>
      </w:r>
      <w:r w:rsidRPr="00A65602">
        <w:t>A2324.</w:t>
      </w:r>
    </w:p>
    <w:p w14:paraId="6F750283" w14:textId="202B0584" w:rsidR="00AE00AB" w:rsidRPr="00B7603C" w:rsidRDefault="00AE00AB" w:rsidP="00B7603C">
      <w:pPr>
        <w:pStyle w:val="FigureTitle"/>
      </w:pPr>
      <w:bookmarkStart w:id="38" w:name="_Ref92981883"/>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2</w:t>
      </w:r>
      <w:r w:rsidR="00A4590A">
        <w:rPr>
          <w:noProof/>
        </w:rPr>
        <w:fldChar w:fldCharType="end"/>
      </w:r>
      <w:bookmarkEnd w:id="38"/>
      <w:r w:rsidR="00EB497D" w:rsidRPr="00B7603C">
        <w:t>: Study A2324</w:t>
      </w:r>
      <w:r w:rsidRPr="00B7603C">
        <w:t xml:space="preserve"> Predicted steady</w:t>
      </w:r>
      <w:r w:rsidR="00EB497D" w:rsidRPr="00B7603C">
        <w:t xml:space="preserve"> </w:t>
      </w:r>
      <w:r w:rsidRPr="00B7603C">
        <w:t xml:space="preserve">state concentration profile during two consecutive doses for patients ≥ 90 kg treated with </w:t>
      </w:r>
      <w:r w:rsidR="003E5A32" w:rsidRPr="00B7603C">
        <w:t xml:space="preserve">secukinumab </w:t>
      </w:r>
      <w:r w:rsidRPr="00B7603C">
        <w:t xml:space="preserve">300 mg </w:t>
      </w:r>
      <w:r w:rsidR="003E5A32" w:rsidRPr="00B7603C">
        <w:t xml:space="preserve">once </w:t>
      </w:r>
      <w:r w:rsidR="007254C8" w:rsidRPr="00B7603C">
        <w:t>every 4 weeks</w:t>
      </w:r>
      <w:r w:rsidR="003E5A32" w:rsidRPr="00B7603C">
        <w:t>,</w:t>
      </w:r>
      <w:r w:rsidRPr="00B7603C">
        <w:t xml:space="preserve"> or 300</w:t>
      </w:r>
      <w:r w:rsidR="008F42D2" w:rsidRPr="00B7603C">
        <w:t> </w:t>
      </w:r>
      <w:r w:rsidRPr="00B7603C">
        <w:t xml:space="preserve">mg </w:t>
      </w:r>
      <w:r w:rsidR="003E5A32" w:rsidRPr="00B7603C">
        <w:t xml:space="preserve">once </w:t>
      </w:r>
      <w:r w:rsidR="00BC168F" w:rsidRPr="00B7603C">
        <w:t>every 2 weeks</w:t>
      </w:r>
      <w:r w:rsidRPr="00B7603C">
        <w:t xml:space="preserve"> </w:t>
      </w:r>
      <w:r w:rsidR="00EB497D" w:rsidRPr="00B7603C">
        <w:t>(m</w:t>
      </w:r>
      <w:r w:rsidRPr="00B7603C">
        <w:t>edian and 95% prediction interval</w:t>
      </w:r>
      <w:r w:rsidR="00EB497D" w:rsidRPr="00B7603C">
        <w:t>)</w:t>
      </w:r>
    </w:p>
    <w:p w14:paraId="76EE3E44" w14:textId="77777777" w:rsidR="00AE00AB" w:rsidRPr="00A65602" w:rsidRDefault="00AE00AB" w:rsidP="00B7603C">
      <w:r w:rsidRPr="00A65602">
        <w:rPr>
          <w:noProof/>
          <w:lang w:val="en-GB" w:eastAsia="en-GB"/>
        </w:rPr>
        <w:drawing>
          <wp:inline distT="0" distB="0" distL="0" distR="0" wp14:anchorId="33AC61CC" wp14:editId="5B5F420B">
            <wp:extent cx="4662535" cy="3292296"/>
            <wp:effectExtent l="0" t="0" r="5080" b="3810"/>
            <wp:docPr id="2" name="Picture 2" descr="Figure 2: Study A2324 Predicted steady state concentration profile during two consecutive doses for patients ≥ 90 kg treated with secukinumab 300 mg once every 4 weeks, or 300 mg once every 2 weeks (median and 95% prediction interv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Figure 2: Study A2324 Predicted steady state concentration profile during two consecutive doses for patients ≥ 90 kg treated with secukinumab 300 mg once every 4 weeks, or 300 mg once every 2 weeks (median and 95% prediction interval)"/>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4705680" cy="3322761"/>
                    </a:xfrm>
                    <a:prstGeom prst="rect">
                      <a:avLst/>
                    </a:prstGeom>
                    <a:noFill/>
                    <a:ln>
                      <a:noFill/>
                    </a:ln>
                  </pic:spPr>
                </pic:pic>
              </a:graphicData>
            </a:graphic>
          </wp:inline>
        </w:drawing>
      </w:r>
    </w:p>
    <w:p w14:paraId="484F3B57" w14:textId="3C95450F" w:rsidR="00EB497D" w:rsidRPr="00B7603C" w:rsidRDefault="00EB497D" w:rsidP="00B7603C">
      <w:pPr>
        <w:pStyle w:val="FigureDescription"/>
      </w:pPr>
      <w:r w:rsidRPr="00B7603C">
        <w:t xml:space="preserve">Abbreviations: Q2W = </w:t>
      </w:r>
      <w:r w:rsidR="004A0022" w:rsidRPr="00B7603C">
        <w:t>every 2 weeks</w:t>
      </w:r>
      <w:r w:rsidR="001F4FAC" w:rsidRPr="00B7603C">
        <w:t xml:space="preserve">; </w:t>
      </w:r>
      <w:r w:rsidRPr="00B7603C">
        <w:t>Q4W =</w:t>
      </w:r>
      <w:r w:rsidR="004A0022" w:rsidRPr="00B7603C">
        <w:t xml:space="preserve"> every 4 weeks</w:t>
      </w:r>
      <w:r w:rsidR="001F4FAC" w:rsidRPr="00B7603C">
        <w:t>.</w:t>
      </w:r>
    </w:p>
    <w:p w14:paraId="2CD7BF73" w14:textId="43CF710C" w:rsidR="00AE00AB" w:rsidRPr="00B7603C" w:rsidRDefault="00AE00AB" w:rsidP="00B7603C">
      <w:pPr>
        <w:pStyle w:val="FigureDescription"/>
      </w:pPr>
      <w:r w:rsidRPr="00B7603C">
        <w:t>Secukinumab concentration time</w:t>
      </w:r>
      <w:r w:rsidR="008F42D2" w:rsidRPr="00B7603C">
        <w:t xml:space="preserve"> </w:t>
      </w:r>
      <w:r w:rsidRPr="00B7603C">
        <w:t>course predicted at steady</w:t>
      </w:r>
      <w:r w:rsidR="00EB497D" w:rsidRPr="00B7603C">
        <w:t xml:space="preserve"> </w:t>
      </w:r>
      <w:r w:rsidRPr="00B7603C">
        <w:t xml:space="preserve">state from the re-estimated population </w:t>
      </w:r>
      <w:r w:rsidR="007D0247" w:rsidRPr="00B7603C">
        <w:t xml:space="preserve">pharmacokinetics </w:t>
      </w:r>
      <w:r w:rsidRPr="00B7603C">
        <w:t xml:space="preserve">model, for two regimens 300 mg </w:t>
      </w:r>
      <w:r w:rsidR="007254C8" w:rsidRPr="00B7603C">
        <w:t>every 4 weeks</w:t>
      </w:r>
      <w:r w:rsidRPr="00B7603C">
        <w:t xml:space="preserve"> and 300 mg </w:t>
      </w:r>
      <w:r w:rsidR="00BC168F" w:rsidRPr="00B7603C">
        <w:t>every 2 weeks</w:t>
      </w:r>
      <w:r w:rsidRPr="00B7603C">
        <w:t>. The simulation has been performed for 3300 patients with the same weight distribution as in Study</w:t>
      </w:r>
      <w:r w:rsidR="001F4FAC" w:rsidRPr="00B7603C">
        <w:t> </w:t>
      </w:r>
      <w:r w:rsidRPr="00B7603C">
        <w:t>A2324 and with random effects randomly drawn from the re-estimated variance-covariance matrix (OMEGA). The figure displays the median predicted time-course (solid line) and the 95% prediction interval (semi</w:t>
      </w:r>
      <w:r w:rsidR="009D368D" w:rsidRPr="00B7603C">
        <w:noBreakHyphen/>
      </w:r>
      <w:r w:rsidRPr="00B7603C">
        <w:t>transparent area).</w:t>
      </w:r>
    </w:p>
    <w:p w14:paraId="6BD86548" w14:textId="4FB99940" w:rsidR="00AE00AB" w:rsidRPr="00A65602" w:rsidRDefault="00AE00AB" w:rsidP="004946B9">
      <w:pPr>
        <w:pStyle w:val="Heading5"/>
      </w:pPr>
      <w:r w:rsidRPr="00A65602">
        <w:t>Exposure-response (</w:t>
      </w:r>
      <w:r w:rsidR="007D0247" w:rsidRPr="00A65602">
        <w:t>pharmacokinetics</w:t>
      </w:r>
      <w:r w:rsidRPr="00A65602">
        <w:t>-</w:t>
      </w:r>
      <w:r w:rsidR="007D0247" w:rsidRPr="00A65602">
        <w:t>Psoriasis Area and Severity Index</w:t>
      </w:r>
      <w:r w:rsidRPr="00A65602">
        <w:t>) modelling</w:t>
      </w:r>
    </w:p>
    <w:p w14:paraId="67B2786F" w14:textId="6CD8091D" w:rsidR="00AE00AB" w:rsidRPr="00A65602" w:rsidRDefault="00AE00AB" w:rsidP="004946B9">
      <w:r w:rsidRPr="00A65602">
        <w:t xml:space="preserve">The benefit of secukinumab 300 mg </w:t>
      </w:r>
      <w:r w:rsidR="003E5A32">
        <w:t xml:space="preserve">once </w:t>
      </w:r>
      <w:r w:rsidR="00BC168F" w:rsidRPr="00A65602">
        <w:t>every 2 weeks</w:t>
      </w:r>
      <w:r w:rsidRPr="00A65602">
        <w:t xml:space="preserve"> versus secukinumab 300 mg </w:t>
      </w:r>
      <w:r w:rsidR="003E5A32">
        <w:t xml:space="preserve">once </w:t>
      </w:r>
      <w:r w:rsidR="007254C8" w:rsidRPr="00A65602">
        <w:t>every 4</w:t>
      </w:r>
      <w:r w:rsidR="007D0247" w:rsidRPr="00A65602">
        <w:t> </w:t>
      </w:r>
      <w:r w:rsidR="007254C8" w:rsidRPr="00A65602">
        <w:t>weeks</w:t>
      </w:r>
      <w:r w:rsidRPr="00A65602">
        <w:t xml:space="preserve"> was explored using an exposure-response (PK-PASI) model. This model was an evolution from the previously used PK-PASI model that supported the original submission of secukinumab in psoriasis. The model was used to predict response in patients treated with the same dose of secukinumab for 52 weeks, as well as in patients who did not achieve </w:t>
      </w:r>
      <w:r w:rsidR="003E5A32">
        <w:t xml:space="preserve">a </w:t>
      </w:r>
      <w:r w:rsidRPr="00A65602">
        <w:t xml:space="preserve">PASI 90 </w:t>
      </w:r>
      <w:proofErr w:type="gramStart"/>
      <w:r w:rsidRPr="00A65602">
        <w:t>response</w:t>
      </w:r>
      <w:r w:rsidR="003E5A32">
        <w:t>;</w:t>
      </w:r>
      <w:proofErr w:type="gramEnd"/>
      <w:r w:rsidR="003E5A32">
        <w:rPr>
          <w:rStyle w:val="FootnoteReference"/>
        </w:rPr>
        <w:footnoteReference w:id="6"/>
      </w:r>
      <w:r w:rsidRPr="00A65602">
        <w:t xml:space="preserve"> after 16 weeks of treatment with secukinumab </w:t>
      </w:r>
      <w:r w:rsidR="003E5A32">
        <w:t xml:space="preserve">once </w:t>
      </w:r>
      <w:r w:rsidRPr="00A65602">
        <w:t xml:space="preserve">300 mg </w:t>
      </w:r>
      <w:r w:rsidR="007254C8" w:rsidRPr="00A65602">
        <w:t>every 4</w:t>
      </w:r>
      <w:r w:rsidR="007D0247" w:rsidRPr="00A65602">
        <w:t> </w:t>
      </w:r>
      <w:r w:rsidR="007254C8" w:rsidRPr="00A65602">
        <w:t>weeks</w:t>
      </w:r>
      <w:r w:rsidRPr="00A65602">
        <w:t>.</w:t>
      </w:r>
    </w:p>
    <w:p w14:paraId="44C32F23" w14:textId="729756BE" w:rsidR="00AE00AB" w:rsidRDefault="00AE00AB" w:rsidP="004946B9">
      <w:r w:rsidRPr="00A65602">
        <w:t>Data from Study A2324 was used for external validation of the PK-PASI model. The performance of the model relative to the PASI 90 response rates observed in Study</w:t>
      </w:r>
      <w:r w:rsidR="007D0247" w:rsidRPr="00A65602">
        <w:t> </w:t>
      </w:r>
      <w:r w:rsidRPr="00A65602">
        <w:t xml:space="preserve">A2324 is shown in </w:t>
      </w:r>
      <w:r w:rsidRPr="00A65602">
        <w:fldChar w:fldCharType="begin"/>
      </w:r>
      <w:r w:rsidRPr="00A65602">
        <w:instrText xml:space="preserve"> REF _Ref93042676 \h </w:instrText>
      </w:r>
      <w:r w:rsidR="004946B9" w:rsidRPr="00A65602">
        <w:instrText xml:space="preserve"> \* MERGEFORMAT </w:instrText>
      </w:r>
      <w:r w:rsidRPr="00A65602">
        <w:fldChar w:fldCharType="separate"/>
      </w:r>
      <w:r w:rsidR="00CE2EF4" w:rsidRPr="00B7603C">
        <w:t xml:space="preserve">Figure </w:t>
      </w:r>
      <w:r w:rsidR="00CE2EF4">
        <w:t>3</w:t>
      </w:r>
      <w:r w:rsidRPr="00A65602">
        <w:fldChar w:fldCharType="end"/>
      </w:r>
      <w:r w:rsidRPr="00A65602">
        <w:t xml:space="preserve">. The performance of the model relative to the PASI 90 response rates observed in patients in Study A2324 who were PASI 90 non-responders on 300 mg </w:t>
      </w:r>
      <w:r w:rsidR="003E5A32">
        <w:t xml:space="preserve">once </w:t>
      </w:r>
      <w:r w:rsidR="007254C8" w:rsidRPr="00A65602">
        <w:t>every 4</w:t>
      </w:r>
      <w:r w:rsidR="007D0247" w:rsidRPr="00A65602">
        <w:t> </w:t>
      </w:r>
      <w:r w:rsidR="007254C8" w:rsidRPr="00A65602">
        <w:t>weeks</w:t>
      </w:r>
      <w:r w:rsidRPr="00A65602">
        <w:t xml:space="preserve"> at Week 16 is shown in </w:t>
      </w:r>
      <w:r w:rsidRPr="00A65602">
        <w:fldChar w:fldCharType="begin"/>
      </w:r>
      <w:r w:rsidRPr="00A65602">
        <w:instrText xml:space="preserve"> REF _Ref93043893 \h </w:instrText>
      </w:r>
      <w:r w:rsidR="004946B9" w:rsidRPr="00A65602">
        <w:instrText xml:space="preserve"> \* MERGEFORMAT </w:instrText>
      </w:r>
      <w:r w:rsidRPr="00A65602">
        <w:fldChar w:fldCharType="separate"/>
      </w:r>
      <w:r w:rsidR="00CE2EF4" w:rsidRPr="00B7603C">
        <w:t xml:space="preserve">Figure </w:t>
      </w:r>
      <w:r w:rsidR="00CE2EF4">
        <w:t>4</w:t>
      </w:r>
      <w:r w:rsidRPr="00A65602">
        <w:fldChar w:fldCharType="end"/>
      </w:r>
      <w:r w:rsidRPr="00A65602">
        <w:t>, for patients who continued on 300</w:t>
      </w:r>
      <w:r w:rsidR="00431D93">
        <w:t> </w:t>
      </w:r>
      <w:r w:rsidRPr="00A65602">
        <w:t xml:space="preserve">mg </w:t>
      </w:r>
      <w:r w:rsidR="007254C8" w:rsidRPr="00A65602">
        <w:t>every 4</w:t>
      </w:r>
      <w:r w:rsidR="007D0247" w:rsidRPr="00A65602">
        <w:t> </w:t>
      </w:r>
      <w:r w:rsidR="007254C8" w:rsidRPr="00A65602">
        <w:t>weeks</w:t>
      </w:r>
      <w:r w:rsidRPr="00A65602">
        <w:t xml:space="preserve"> and for patients who were up-titrated to 300 mg </w:t>
      </w:r>
      <w:r w:rsidR="00BC168F" w:rsidRPr="00A65602">
        <w:t>every 2 weeks</w:t>
      </w:r>
      <w:r w:rsidRPr="00A65602">
        <w:t>.</w:t>
      </w:r>
    </w:p>
    <w:p w14:paraId="0B6F7365" w14:textId="6F053D88" w:rsidR="003E5A32" w:rsidRDefault="003E5A32">
      <w:pPr>
        <w:spacing w:before="0" w:after="200" w:line="0" w:lineRule="auto"/>
      </w:pPr>
      <w:r>
        <w:br w:type="page"/>
      </w:r>
    </w:p>
    <w:p w14:paraId="0EF43260" w14:textId="348690ED" w:rsidR="00AE00AB" w:rsidRPr="00B7603C" w:rsidRDefault="00AE00AB" w:rsidP="00B7603C">
      <w:pPr>
        <w:pStyle w:val="FigureTitle"/>
      </w:pPr>
      <w:bookmarkStart w:id="39" w:name="_Ref93042676"/>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3</w:t>
      </w:r>
      <w:r w:rsidR="00A4590A">
        <w:rPr>
          <w:noProof/>
        </w:rPr>
        <w:fldChar w:fldCharType="end"/>
      </w:r>
      <w:bookmarkEnd w:id="39"/>
      <w:r w:rsidR="00EB497D" w:rsidRPr="00B7603C">
        <w:t xml:space="preserve">: Study </w:t>
      </w:r>
      <w:r w:rsidR="00204DD0" w:rsidRPr="00B7603C">
        <w:t>A2324 PASI 90</w:t>
      </w:r>
      <w:r w:rsidRPr="00B7603C">
        <w:t xml:space="preserve"> response rate and its 95% </w:t>
      </w:r>
      <w:r w:rsidR="00EB497D" w:rsidRPr="00B7603C">
        <w:t xml:space="preserve">confidence interval </w:t>
      </w:r>
      <w:r w:rsidRPr="00B7603C">
        <w:t>(52</w:t>
      </w:r>
      <w:r w:rsidR="00204DD0" w:rsidRPr="00B7603C">
        <w:t> </w:t>
      </w:r>
      <w:r w:rsidRPr="00B7603C">
        <w:t xml:space="preserve">weeks) and corresponding prediction interval from the </w:t>
      </w:r>
      <w:r w:rsidR="00204DD0" w:rsidRPr="00B7603C">
        <w:t>PK</w:t>
      </w:r>
      <w:r w:rsidR="00204DD0" w:rsidRPr="00B7603C">
        <w:noBreakHyphen/>
        <w:t>PASI</w:t>
      </w:r>
      <w:r w:rsidR="008F42D2" w:rsidRPr="00B7603C">
        <w:t xml:space="preserve"> </w:t>
      </w:r>
      <w:r w:rsidRPr="00B7603C">
        <w:t>model</w:t>
      </w:r>
      <w:r w:rsidR="00204DD0" w:rsidRPr="00B7603C">
        <w:t>;</w:t>
      </w:r>
      <w:r w:rsidRPr="00B7603C">
        <w:t xml:space="preserve"> </w:t>
      </w:r>
      <w:r w:rsidR="00EB497D" w:rsidRPr="00B7603C">
        <w:t>a</w:t>
      </w:r>
      <w:r w:rsidRPr="00B7603C">
        <w:t xml:space="preserve">ll patients randomised to </w:t>
      </w:r>
      <w:r w:rsidR="00BC168F" w:rsidRPr="00B7603C">
        <w:t>every 2 weeks</w:t>
      </w:r>
      <w:r w:rsidRPr="00B7603C">
        <w:t xml:space="preserve"> or </w:t>
      </w:r>
      <w:r w:rsidR="007254C8" w:rsidRPr="00B7603C">
        <w:t>every 4 weeks</w:t>
      </w:r>
      <w:r w:rsidRPr="00B7603C">
        <w:t xml:space="preserve"> for 52 weeks (external qualification)</w:t>
      </w:r>
    </w:p>
    <w:p w14:paraId="2A53B2AF" w14:textId="4B4139B6" w:rsidR="00EB497D" w:rsidRPr="00A65602" w:rsidRDefault="00AE00AB" w:rsidP="00B7603C">
      <w:pPr>
        <w:rPr>
          <w:rFonts w:asciiTheme="minorHAnsi" w:eastAsiaTheme="minorHAnsi" w:hAnsiTheme="minorHAnsi" w:cs="Arial"/>
          <w:sz w:val="16"/>
          <w:szCs w:val="16"/>
        </w:rPr>
      </w:pPr>
      <w:r w:rsidRPr="00A65602">
        <w:rPr>
          <w:noProof/>
          <w:lang w:val="en-GB" w:eastAsia="en-GB"/>
        </w:rPr>
        <w:drawing>
          <wp:inline distT="0" distB="0" distL="0" distR="0" wp14:anchorId="21EDB705" wp14:editId="7A4E15F2">
            <wp:extent cx="5237430" cy="2113955"/>
            <wp:effectExtent l="0" t="0" r="1905" b="635"/>
            <wp:docPr id="6" name="Picture 6" descr="Figure 3: Study A2324 PASI 90 response rate and its 95% confidence interval (52 weeks) and corresponding prediction interval from the PK PASI model; all patients randomised to every 2 weeks or every 4 weeks for 52 weeks (external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Figure 3: Study A2324 PASI 90 response rate and its 95% confidence interval (52 weeks) and corresponding prediction interval from the PK PASI model; all patients randomised to every 2 weeks or every 4 weeks for 52 weeks (external qualification)"/>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282283" cy="2132059"/>
                    </a:xfrm>
                    <a:prstGeom prst="rect">
                      <a:avLst/>
                    </a:prstGeom>
                    <a:noFill/>
                    <a:ln>
                      <a:noFill/>
                    </a:ln>
                  </pic:spPr>
                </pic:pic>
              </a:graphicData>
            </a:graphic>
          </wp:inline>
        </w:drawing>
      </w:r>
    </w:p>
    <w:p w14:paraId="0A18581B" w14:textId="1A9B41B7" w:rsidR="00EB497D" w:rsidRPr="00B7603C" w:rsidRDefault="00EB497D" w:rsidP="00B7603C">
      <w:pPr>
        <w:pStyle w:val="FigureDescription"/>
      </w:pPr>
      <w:r w:rsidRPr="00B7603C">
        <w:t>Abbreviations: PASI</w:t>
      </w:r>
      <w:r w:rsidR="006359DD" w:rsidRPr="00B7603C">
        <w:t xml:space="preserve"> </w:t>
      </w:r>
      <w:r w:rsidRPr="00B7603C">
        <w:t>=</w:t>
      </w:r>
      <w:r w:rsidR="004A0022" w:rsidRPr="00B7603C">
        <w:t xml:space="preserve"> Psoriasis Area and Severity Index</w:t>
      </w:r>
      <w:r w:rsidR="008A7D29" w:rsidRPr="00B7603C">
        <w:t xml:space="preserve">; </w:t>
      </w:r>
      <w:r w:rsidR="00826FCF" w:rsidRPr="00B7603C">
        <w:t xml:space="preserve">PK = pharmacokinetics; </w:t>
      </w:r>
      <w:r w:rsidRPr="00B7603C">
        <w:t xml:space="preserve">Q2W = </w:t>
      </w:r>
      <w:r w:rsidR="004A0022" w:rsidRPr="00B7603C">
        <w:t>every 2</w:t>
      </w:r>
      <w:r w:rsidR="00431D93">
        <w:t> </w:t>
      </w:r>
      <w:r w:rsidR="004A0022" w:rsidRPr="00B7603C">
        <w:t>weeks</w:t>
      </w:r>
      <w:r w:rsidR="008A7D29" w:rsidRPr="00B7603C">
        <w:t xml:space="preserve">; </w:t>
      </w:r>
      <w:r w:rsidRPr="00B7603C">
        <w:t>Q4W =</w:t>
      </w:r>
      <w:r w:rsidR="004A0022" w:rsidRPr="00B7603C">
        <w:t xml:space="preserve"> every 4 weeks</w:t>
      </w:r>
      <w:r w:rsidR="008A7D29" w:rsidRPr="00B7603C">
        <w:t>.</w:t>
      </w:r>
    </w:p>
    <w:p w14:paraId="0DE68C89" w14:textId="02B056D9" w:rsidR="00204DD0" w:rsidRPr="00B7603C" w:rsidRDefault="00204DD0" w:rsidP="00B7603C">
      <w:pPr>
        <w:pStyle w:val="FigureDescription"/>
      </w:pPr>
      <w:r w:rsidRPr="00B7603C">
        <w:t>PASI 90 (Psoriasis Area and Severity Index 90) response: a 90% or more reduction (improvement) in PASI score from Baseline.</w:t>
      </w:r>
    </w:p>
    <w:p w14:paraId="4200794E" w14:textId="44AC230E" w:rsidR="00204DD0" w:rsidRPr="00B7603C" w:rsidRDefault="00204DD0" w:rsidP="00B7603C">
      <w:pPr>
        <w:pStyle w:val="FigureDescription"/>
      </w:pPr>
      <w:r w:rsidRPr="00B7603C">
        <w:t xml:space="preserve">PK-PASI: </w:t>
      </w:r>
      <w:r w:rsidR="00AD3AAD">
        <w:t>e</w:t>
      </w:r>
      <w:r w:rsidRPr="00B7603C">
        <w:t>xposure-response pharmacokinetic-PASI model.</w:t>
      </w:r>
    </w:p>
    <w:p w14:paraId="771E8E34" w14:textId="449A9D84" w:rsidR="00AE00AB" w:rsidRPr="00B7603C" w:rsidRDefault="00AE00AB" w:rsidP="00B7603C">
      <w:pPr>
        <w:pStyle w:val="FigureDescription"/>
      </w:pPr>
      <w:r w:rsidRPr="00B7603C">
        <w:t xml:space="preserve">The black line represents the PASI 90 response rate observed in </w:t>
      </w:r>
      <w:r w:rsidR="00390805" w:rsidRPr="00B7603C">
        <w:t xml:space="preserve">Study </w:t>
      </w:r>
      <w:proofErr w:type="gramStart"/>
      <w:r w:rsidRPr="00B7603C">
        <w:t>A2324</w:t>
      </w:r>
      <w:proofErr w:type="gramEnd"/>
      <w:r w:rsidRPr="00B7603C">
        <w:t xml:space="preserve"> and the vertical error bars are the</w:t>
      </w:r>
      <w:r w:rsidR="00EB497D" w:rsidRPr="00B7603C">
        <w:t xml:space="preserve"> </w:t>
      </w:r>
      <w:r w:rsidRPr="00B7603C">
        <w:t>corresponding 95% confidence intervals. The shaded area represents the 95% prediction interval for PASI 90</w:t>
      </w:r>
      <w:r w:rsidR="00EB497D" w:rsidRPr="00B7603C">
        <w:t xml:space="preserve"> </w:t>
      </w:r>
      <w:r w:rsidRPr="00B7603C">
        <w:t>response rates over time. The prediction interval is the distribution of PASI</w:t>
      </w:r>
      <w:r w:rsidR="008F42D2" w:rsidRPr="00B7603C">
        <w:t> </w:t>
      </w:r>
      <w:r w:rsidRPr="00B7603C">
        <w:t>90 response rates in studies similar as</w:t>
      </w:r>
      <w:r w:rsidR="00EB497D" w:rsidRPr="00B7603C">
        <w:t xml:space="preserve"> </w:t>
      </w:r>
      <w:r w:rsidR="009D368D" w:rsidRPr="00B7603C">
        <w:t xml:space="preserve">Study </w:t>
      </w:r>
      <w:r w:rsidRPr="00B7603C">
        <w:t xml:space="preserve">A2324 in terms of number of patients included in the study, their bodyweights, individual secukinumab </w:t>
      </w:r>
      <w:r w:rsidR="00927FD8" w:rsidRPr="00B7603C">
        <w:t>pharmacokinetic (</w:t>
      </w:r>
      <w:r w:rsidRPr="00B7603C">
        <w:t>PK</w:t>
      </w:r>
      <w:r w:rsidR="00927FD8" w:rsidRPr="00B7603C">
        <w:t>)</w:t>
      </w:r>
      <w:r w:rsidRPr="00B7603C">
        <w:t xml:space="preserve"> parameters, and baseline PASI scores, as calculated from PASI scores simulated from the PK-PASI model.</w:t>
      </w:r>
    </w:p>
    <w:p w14:paraId="6A4257F3" w14:textId="729D1730" w:rsidR="00AE00AB" w:rsidRPr="00B7603C" w:rsidRDefault="00AE00AB" w:rsidP="00B7603C">
      <w:pPr>
        <w:pStyle w:val="FigureTitle"/>
      </w:pPr>
      <w:bookmarkStart w:id="40" w:name="_Ref93043893"/>
      <w:r w:rsidRPr="00B7603C">
        <w:t xml:space="preserve">Figure </w:t>
      </w:r>
      <w:r w:rsidR="00A4590A">
        <w:fldChar w:fldCharType="begin"/>
      </w:r>
      <w:r w:rsidR="00A4590A">
        <w:instrText xml:space="preserve"> SEQ Figure \* ARABIC </w:instrText>
      </w:r>
      <w:r w:rsidR="00A4590A">
        <w:fldChar w:fldCharType="separate"/>
      </w:r>
      <w:r w:rsidR="00CE2EF4">
        <w:rPr>
          <w:noProof/>
        </w:rPr>
        <w:t>4</w:t>
      </w:r>
      <w:r w:rsidR="00A4590A">
        <w:rPr>
          <w:noProof/>
        </w:rPr>
        <w:fldChar w:fldCharType="end"/>
      </w:r>
      <w:bookmarkEnd w:id="40"/>
      <w:r w:rsidR="00EB497D" w:rsidRPr="00B7603C">
        <w:t xml:space="preserve">: Study A2324 </w:t>
      </w:r>
      <w:r w:rsidRPr="00B7603C">
        <w:t xml:space="preserve">Comparison of observed and model predicted </w:t>
      </w:r>
      <w:r w:rsidR="00204DD0" w:rsidRPr="00B7603C">
        <w:t>PASI</w:t>
      </w:r>
      <w:r w:rsidR="00723924" w:rsidRPr="00B7603C">
        <w:t> </w:t>
      </w:r>
      <w:r w:rsidR="00204DD0" w:rsidRPr="00B7603C">
        <w:t xml:space="preserve">90 </w:t>
      </w:r>
      <w:r w:rsidRPr="00B7603C">
        <w:t>response rate</w:t>
      </w:r>
      <w:r w:rsidR="00204DD0" w:rsidRPr="00B7603C">
        <w:t xml:space="preserve">; </w:t>
      </w:r>
      <w:r w:rsidR="00927FD8" w:rsidRPr="00B7603C">
        <w:t>s</w:t>
      </w:r>
      <w:r w:rsidRPr="00B7603C">
        <w:t xml:space="preserve">ubgroup of patients who were </w:t>
      </w:r>
      <w:r w:rsidR="0074127D" w:rsidRPr="00B7603C">
        <w:t>PASI</w:t>
      </w:r>
      <w:r w:rsidR="00927FD8" w:rsidRPr="00B7603C">
        <w:t xml:space="preserve"> </w:t>
      </w:r>
      <w:r w:rsidRPr="00B7603C">
        <w:t xml:space="preserve">90 non-responders on </w:t>
      </w:r>
      <w:r w:rsidR="007254C8" w:rsidRPr="00B7603C">
        <w:t>every 4</w:t>
      </w:r>
      <w:r w:rsidR="0074127D" w:rsidRPr="00B7603C">
        <w:t> </w:t>
      </w:r>
      <w:r w:rsidR="007254C8" w:rsidRPr="00B7603C">
        <w:t>weeks</w:t>
      </w:r>
      <w:r w:rsidRPr="00B7603C">
        <w:t xml:space="preserve"> at Week</w:t>
      </w:r>
      <w:r w:rsidR="00EB497D" w:rsidRPr="00B7603C">
        <w:t> </w:t>
      </w:r>
      <w:r w:rsidRPr="00B7603C">
        <w:t>16 (external qualification)</w:t>
      </w:r>
    </w:p>
    <w:p w14:paraId="77BE167F" w14:textId="77777777" w:rsidR="00EB497D" w:rsidRPr="00A65602" w:rsidRDefault="00AE00AB" w:rsidP="00B7603C">
      <w:pPr>
        <w:rPr>
          <w:rFonts w:asciiTheme="minorHAnsi" w:eastAsiaTheme="minorHAnsi" w:hAnsiTheme="minorHAnsi" w:cs="Arial"/>
          <w:sz w:val="16"/>
          <w:szCs w:val="16"/>
        </w:rPr>
      </w:pPr>
      <w:r w:rsidRPr="00A65602">
        <w:rPr>
          <w:noProof/>
          <w:lang w:val="en-GB" w:eastAsia="en-GB"/>
        </w:rPr>
        <w:drawing>
          <wp:inline distT="0" distB="0" distL="0" distR="0" wp14:anchorId="1C3C745E" wp14:editId="5877349D">
            <wp:extent cx="5244623" cy="2082297"/>
            <wp:effectExtent l="0" t="0" r="0" b="0"/>
            <wp:docPr id="11" name="Picture 11" descr="Figure 4: Study A2324 Comparison of observed and model predicted PASI 90 response rate; subgroup of patients who were PASI 90 non-responders on every 4 weeks at Week 16 (external qualific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Study A2324 Comparison of observed and model predicted PASI 90 response rate; subgroup of patients who were PASI 90 non-responders on every 4 weeks at Week 16 (external qualification)"/>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284740" cy="2098225"/>
                    </a:xfrm>
                    <a:prstGeom prst="rect">
                      <a:avLst/>
                    </a:prstGeom>
                    <a:noFill/>
                    <a:ln>
                      <a:noFill/>
                    </a:ln>
                  </pic:spPr>
                </pic:pic>
              </a:graphicData>
            </a:graphic>
          </wp:inline>
        </w:drawing>
      </w:r>
    </w:p>
    <w:p w14:paraId="133AEB01" w14:textId="7C571C8A" w:rsidR="00EB497D" w:rsidRPr="00B7603C" w:rsidRDefault="00EB497D" w:rsidP="00B7603C">
      <w:pPr>
        <w:pStyle w:val="FigureDescription"/>
      </w:pPr>
      <w:r w:rsidRPr="00B7603C">
        <w:t>Abbreviations: PASI =</w:t>
      </w:r>
      <w:r w:rsidR="004A0022" w:rsidRPr="00B7603C">
        <w:t xml:space="preserve"> Psoriasis Area and Severity Index</w:t>
      </w:r>
      <w:r w:rsidR="008A7D29" w:rsidRPr="00B7603C">
        <w:t xml:space="preserve">; </w:t>
      </w:r>
      <w:r w:rsidRPr="00B7603C">
        <w:t xml:space="preserve">Q2W = </w:t>
      </w:r>
      <w:r w:rsidR="004A0022" w:rsidRPr="00B7603C">
        <w:t>every 2 weeks</w:t>
      </w:r>
      <w:r w:rsidR="008A7D29" w:rsidRPr="00B7603C">
        <w:t xml:space="preserve">; </w:t>
      </w:r>
      <w:r w:rsidRPr="00B7603C">
        <w:t>Q4W =</w:t>
      </w:r>
      <w:r w:rsidR="004A0022" w:rsidRPr="00B7603C">
        <w:t xml:space="preserve"> every 4 weeks</w:t>
      </w:r>
      <w:r w:rsidR="008A7D29" w:rsidRPr="00B7603C">
        <w:t>.</w:t>
      </w:r>
    </w:p>
    <w:p w14:paraId="7D327633" w14:textId="77777777" w:rsidR="00204DD0" w:rsidRPr="00B7603C" w:rsidRDefault="00204DD0" w:rsidP="00B7603C">
      <w:pPr>
        <w:pStyle w:val="FigureDescription"/>
      </w:pPr>
      <w:r w:rsidRPr="00B7603C">
        <w:t>PASI 90 (Psoriasis Area and Severity Index 90) response: a 90% or more reduction (improvement) in PASI score from Baseline.</w:t>
      </w:r>
    </w:p>
    <w:p w14:paraId="0E34F73F" w14:textId="7A99AACA" w:rsidR="00AE00AB" w:rsidRPr="00B7603C" w:rsidRDefault="00AE00AB" w:rsidP="00B7603C">
      <w:pPr>
        <w:pStyle w:val="FigureDescription"/>
      </w:pPr>
      <w:r w:rsidRPr="00B7603C">
        <w:t xml:space="preserve">The black line represents the PASI 90 response rates observed in </w:t>
      </w:r>
      <w:r w:rsidR="009D368D" w:rsidRPr="00B7603C">
        <w:t xml:space="preserve">Study </w:t>
      </w:r>
      <w:proofErr w:type="gramStart"/>
      <w:r w:rsidRPr="00B7603C">
        <w:t>A2324</w:t>
      </w:r>
      <w:proofErr w:type="gramEnd"/>
      <w:r w:rsidRPr="00B7603C">
        <w:t xml:space="preserve"> and the vertical error bars are the corresponding 95% confidence interval. The shaded area represents the 95% prediction interval for PASI 90 response rates over time for the subgroup of patients who were not PASI 90 responders at Week 16. The prediction interval is the distribution of PASI 90 response rates in studies </w:t>
      </w:r>
      <w:proofErr w:type="gramStart"/>
      <w:r w:rsidRPr="00B7603C">
        <w:lastRenderedPageBreak/>
        <w:t>similar to</w:t>
      </w:r>
      <w:proofErr w:type="gramEnd"/>
      <w:r w:rsidRPr="00B7603C">
        <w:t xml:space="preserve"> </w:t>
      </w:r>
      <w:r w:rsidR="009D368D" w:rsidRPr="00B7603C">
        <w:t xml:space="preserve">Study </w:t>
      </w:r>
      <w:r w:rsidRPr="00B7603C">
        <w:t xml:space="preserve">A2324 in terms of number of patients included in the study, their bodyweights, individual secukinumab </w:t>
      </w:r>
      <w:r w:rsidR="009D368D" w:rsidRPr="00B7603C">
        <w:t>pharmacokinetics (</w:t>
      </w:r>
      <w:r w:rsidRPr="00B7603C">
        <w:t>PK</w:t>
      </w:r>
      <w:r w:rsidR="009D368D" w:rsidRPr="00B7603C">
        <w:t>)</w:t>
      </w:r>
      <w:r w:rsidRPr="00B7603C">
        <w:t xml:space="preserve"> parameters, and baseline PASI scores, as calculated from PASI scores simulated from the PK-PASI model.</w:t>
      </w:r>
    </w:p>
    <w:p w14:paraId="20FDE9EE" w14:textId="7439FF6A" w:rsidR="00AE00AB" w:rsidRPr="00A65602" w:rsidRDefault="00AE00AB" w:rsidP="004946B9">
      <w:r w:rsidRPr="00A65602">
        <w:t xml:space="preserve">The PK-PASI model was developed from a database of patients covering a broad range of bodyweights (36 to 219 kg), so the model was used to predict PASI 90 response following treatment with secukinumab 300 mg </w:t>
      </w:r>
      <w:r w:rsidR="00BC168F" w:rsidRPr="00A65602">
        <w:t>every 2 weeks</w:t>
      </w:r>
      <w:r w:rsidRPr="00A65602">
        <w:t xml:space="preserve"> and 300 mg </w:t>
      </w:r>
      <w:r w:rsidR="007254C8" w:rsidRPr="00A65602">
        <w:t>every 4 weeks</w:t>
      </w:r>
      <w:r w:rsidRPr="00A65602">
        <w:t xml:space="preserve"> in patients </w:t>
      </w:r>
      <w:r w:rsidR="003E5A32">
        <w:t xml:space="preserve">with bodyweight </w:t>
      </w:r>
      <w:r w:rsidRPr="00A65602">
        <w:t>≥</w:t>
      </w:r>
      <w:r w:rsidR="007D0247" w:rsidRPr="00A65602">
        <w:t> </w:t>
      </w:r>
      <w:r w:rsidRPr="00A65602">
        <w:t>90</w:t>
      </w:r>
      <w:r w:rsidR="00335480" w:rsidRPr="00A65602">
        <w:t xml:space="preserve"> </w:t>
      </w:r>
      <w:r w:rsidRPr="00A65602">
        <w:t>kg</w:t>
      </w:r>
      <w:r w:rsidR="003E5A32">
        <w:t>,</w:t>
      </w:r>
      <w:r w:rsidRPr="00A65602">
        <w:t xml:space="preserve"> and &lt; 90</w:t>
      </w:r>
      <w:r w:rsidR="00335480" w:rsidRPr="00A65602">
        <w:t xml:space="preserve"> </w:t>
      </w:r>
      <w:r w:rsidRPr="00A65602">
        <w:t>kg.</w:t>
      </w:r>
    </w:p>
    <w:p w14:paraId="48041239" w14:textId="2F7059AD" w:rsidR="00AE00AB" w:rsidRPr="00A65602" w:rsidRDefault="00AE00AB" w:rsidP="004946B9">
      <w:r w:rsidRPr="00A65602">
        <w:t xml:space="preserve">For patients </w:t>
      </w:r>
      <w:r w:rsidR="003E5A32">
        <w:t xml:space="preserve">with bodyweight </w:t>
      </w:r>
      <w:r w:rsidRPr="00A65602">
        <w:t>≥ 90</w:t>
      </w:r>
      <w:r w:rsidR="00335480" w:rsidRPr="00A65602">
        <w:t xml:space="preserve"> </w:t>
      </w:r>
      <w:r w:rsidRPr="00A65602">
        <w:t>kg, the modelling predicted:</w:t>
      </w:r>
    </w:p>
    <w:p w14:paraId="5F3BE87A" w14:textId="47751B2D" w:rsidR="00AE00AB" w:rsidRPr="00A65602" w:rsidRDefault="00AE00AB" w:rsidP="004946B9">
      <w:pPr>
        <w:pStyle w:val="ListBullet"/>
        <w:rPr>
          <w:rFonts w:asciiTheme="minorHAnsi" w:eastAsiaTheme="minorHAnsi" w:hAnsiTheme="minorHAnsi"/>
        </w:rPr>
      </w:pPr>
      <w:r w:rsidRPr="00A65602">
        <w:t>an improvement of approximately 15% in PASI 90 response at Week 52 in patients treated with secukinumab 300</w:t>
      </w:r>
      <w:r w:rsidR="003C5C0B" w:rsidRPr="00A65602">
        <w:t xml:space="preserve"> </w:t>
      </w:r>
      <w:r w:rsidRPr="00A65602">
        <w:t xml:space="preserve">mg </w:t>
      </w:r>
      <w:r w:rsidR="00BC168F" w:rsidRPr="00A65602">
        <w:t>every 2 weeks</w:t>
      </w:r>
      <w:r w:rsidRPr="00A65602">
        <w:t xml:space="preserve"> for 52 weeks compared with secukinumab 300</w:t>
      </w:r>
      <w:r w:rsidR="003C5C0B" w:rsidRPr="00A65602">
        <w:t xml:space="preserve"> </w:t>
      </w:r>
      <w:r w:rsidRPr="00A65602">
        <w:t xml:space="preserve">mg </w:t>
      </w:r>
      <w:r w:rsidR="007254C8" w:rsidRPr="00A65602">
        <w:t>every 4 weeks</w:t>
      </w:r>
      <w:r w:rsidRPr="00A65602">
        <w:t xml:space="preserve"> for 52 weeks (</w:t>
      </w:r>
      <w:r w:rsidR="007D0247" w:rsidRPr="00A65602">
        <w:t xml:space="preserve">see </w:t>
      </w:r>
      <w:r w:rsidRPr="00A65602">
        <w:fldChar w:fldCharType="begin"/>
      </w:r>
      <w:r w:rsidRPr="00A65602">
        <w:instrText xml:space="preserve"> REF _Ref93045901 \h </w:instrText>
      </w:r>
      <w:r w:rsidR="004946B9" w:rsidRPr="00A65602">
        <w:instrText xml:space="preserve"> \* MERGEFORMAT </w:instrText>
      </w:r>
      <w:r w:rsidRPr="00A65602">
        <w:fldChar w:fldCharType="separate"/>
      </w:r>
      <w:r w:rsidR="00CE2EF4" w:rsidRPr="00B7603C">
        <w:t xml:space="preserve">Figure </w:t>
      </w:r>
      <w:r w:rsidR="00CE2EF4">
        <w:rPr>
          <w:noProof/>
        </w:rPr>
        <w:t>5</w:t>
      </w:r>
      <w:r w:rsidRPr="00A65602">
        <w:fldChar w:fldCharType="end"/>
      </w:r>
      <w:r w:rsidR="007D0247" w:rsidRPr="00A65602">
        <w:t xml:space="preserve"> below</w:t>
      </w:r>
      <w:r w:rsidRPr="00A65602">
        <w:t>).</w:t>
      </w:r>
    </w:p>
    <w:p w14:paraId="18526D02" w14:textId="0EC7C945" w:rsidR="00AE00AB" w:rsidRPr="00A65602" w:rsidRDefault="00AE00AB" w:rsidP="004946B9">
      <w:pPr>
        <w:pStyle w:val="ListBullet"/>
      </w:pPr>
      <w:r w:rsidRPr="00A65602">
        <w:t xml:space="preserve">an improvement of approximately 20% in PASI 90 response at Week 52 in patients who do not achieve PASI 90 response at Week 16 on secukinumab 300 mg </w:t>
      </w:r>
      <w:r w:rsidR="007254C8" w:rsidRPr="00A65602">
        <w:t>every 4</w:t>
      </w:r>
      <w:r w:rsidR="007D0247" w:rsidRPr="00A65602">
        <w:t> </w:t>
      </w:r>
      <w:r w:rsidR="007254C8" w:rsidRPr="00A65602">
        <w:t>weeks</w:t>
      </w:r>
      <w:r w:rsidRPr="00A65602">
        <w:t xml:space="preserve"> and are then up-titrated to secukinumab 300</w:t>
      </w:r>
      <w:r w:rsidR="003C5C0B" w:rsidRPr="00A65602">
        <w:t xml:space="preserve"> </w:t>
      </w:r>
      <w:r w:rsidRPr="00A65602">
        <w:t xml:space="preserve">mg </w:t>
      </w:r>
      <w:r w:rsidR="00BC168F" w:rsidRPr="00A65602">
        <w:t>every 2 weeks</w:t>
      </w:r>
      <w:r w:rsidRPr="00A65602">
        <w:t xml:space="preserve"> for the rest of the 52 weeks, compared to non-responders who remain on 300 mg </w:t>
      </w:r>
      <w:r w:rsidR="007254C8" w:rsidRPr="00A65602">
        <w:t>every 4 weeks</w:t>
      </w:r>
      <w:r w:rsidRPr="00A65602">
        <w:t xml:space="preserve"> (</w:t>
      </w:r>
      <w:r w:rsidR="007D0247" w:rsidRPr="00A65602">
        <w:t xml:space="preserve">see </w:t>
      </w:r>
      <w:r w:rsidRPr="00A65602">
        <w:fldChar w:fldCharType="begin"/>
      </w:r>
      <w:r w:rsidRPr="00A65602">
        <w:instrText xml:space="preserve"> REF _Ref93045972 \h </w:instrText>
      </w:r>
      <w:r w:rsidR="004946B9" w:rsidRPr="00A65602">
        <w:instrText xml:space="preserve"> \* MERGEFORMAT </w:instrText>
      </w:r>
      <w:r w:rsidRPr="00A65602">
        <w:fldChar w:fldCharType="separate"/>
      </w:r>
      <w:r w:rsidR="00CE2EF4" w:rsidRPr="00B7603C">
        <w:t xml:space="preserve">Figure </w:t>
      </w:r>
      <w:r w:rsidR="00CE2EF4">
        <w:rPr>
          <w:noProof/>
        </w:rPr>
        <w:t>6</w:t>
      </w:r>
      <w:r w:rsidRPr="00A65602">
        <w:fldChar w:fldCharType="end"/>
      </w:r>
      <w:r w:rsidR="007D0247" w:rsidRPr="00A65602">
        <w:t xml:space="preserve"> below</w:t>
      </w:r>
      <w:r w:rsidRPr="00A65602">
        <w:t>).</w:t>
      </w:r>
    </w:p>
    <w:p w14:paraId="2D2CB3A7" w14:textId="678DB39B" w:rsidR="00AE00AB" w:rsidRPr="00B7603C" w:rsidRDefault="00AE00AB" w:rsidP="00B7603C">
      <w:pPr>
        <w:pStyle w:val="FigureTitle"/>
      </w:pPr>
      <w:bookmarkStart w:id="41" w:name="_Ref93045901"/>
      <w:r w:rsidRPr="00B7603C">
        <w:t xml:space="preserve">Figure </w:t>
      </w:r>
      <w:r w:rsidR="00A4590A">
        <w:fldChar w:fldCharType="begin"/>
      </w:r>
      <w:r w:rsidR="00A4590A">
        <w:instrText xml:space="preserve"> SEQ Figure \* ARABIC </w:instrText>
      </w:r>
      <w:r w:rsidR="00A4590A">
        <w:fldChar w:fldCharType="separate"/>
      </w:r>
      <w:r w:rsidR="00CE2EF4">
        <w:rPr>
          <w:noProof/>
        </w:rPr>
        <w:t>5</w:t>
      </w:r>
      <w:r w:rsidR="00A4590A">
        <w:rPr>
          <w:noProof/>
        </w:rPr>
        <w:fldChar w:fldCharType="end"/>
      </w:r>
      <w:bookmarkEnd w:id="41"/>
      <w:r w:rsidR="00EB497D" w:rsidRPr="00B7603C">
        <w:t>: Study A2324</w:t>
      </w:r>
      <w:r w:rsidRPr="00B7603C">
        <w:t xml:space="preserve"> Model-based predicted probability of </w:t>
      </w:r>
      <w:r w:rsidR="0074127D" w:rsidRPr="00B7603C">
        <w:t>PASI 90 response</w:t>
      </w:r>
      <w:r w:rsidRPr="00B7603C">
        <w:t xml:space="preserve"> following treatment with 300 mg </w:t>
      </w:r>
      <w:r w:rsidR="007254C8" w:rsidRPr="00B7603C">
        <w:t>every 4 weeks</w:t>
      </w:r>
      <w:r w:rsidRPr="00B7603C">
        <w:t xml:space="preserve"> or </w:t>
      </w:r>
      <w:r w:rsidR="00BC168F" w:rsidRPr="00B7603C">
        <w:t>every 2</w:t>
      </w:r>
      <w:r w:rsidR="00927FD8" w:rsidRPr="00B7603C">
        <w:t> </w:t>
      </w:r>
      <w:r w:rsidR="00BC168F" w:rsidRPr="00B7603C">
        <w:t>weeks</w:t>
      </w:r>
      <w:r w:rsidRPr="00B7603C">
        <w:t xml:space="preserve"> in </w:t>
      </w:r>
      <w:r w:rsidR="003E5A32" w:rsidRPr="00B7603C">
        <w:t xml:space="preserve">patients with </w:t>
      </w:r>
      <w:r w:rsidR="0074127D" w:rsidRPr="00B7603C">
        <w:t xml:space="preserve">bodyweight </w:t>
      </w:r>
      <w:r w:rsidRPr="00B7603C">
        <w:t>≥ 90 kg</w:t>
      </w:r>
    </w:p>
    <w:p w14:paraId="79318C25" w14:textId="1556D453" w:rsidR="003C5C0B" w:rsidRPr="00A65602" w:rsidRDefault="00AE00AB" w:rsidP="00B7603C">
      <w:pPr>
        <w:rPr>
          <w:rFonts w:asciiTheme="minorHAnsi" w:eastAsiaTheme="minorHAnsi" w:hAnsiTheme="minorHAnsi" w:cs="Arial"/>
          <w:sz w:val="16"/>
          <w:szCs w:val="16"/>
        </w:rPr>
      </w:pPr>
      <w:r w:rsidRPr="00A65602">
        <w:rPr>
          <w:noProof/>
          <w:lang w:val="en-GB" w:eastAsia="en-GB"/>
        </w:rPr>
        <w:drawing>
          <wp:inline distT="0" distB="0" distL="0" distR="0" wp14:anchorId="482F9505" wp14:editId="00AA1110">
            <wp:extent cx="3830594" cy="3629048"/>
            <wp:effectExtent l="0" t="0" r="0" b="0"/>
            <wp:docPr id="8" name="Picture 8" descr="Figure 5: Study A2324 Model-based predicted probability of PASI 90 response following treatment with 300 mg every 4 weeks or every 2 weeks in patients with bodyweight ≥ 90 k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Figure 5: Study A2324 Model-based predicted probability of PASI 90 response following treatment with 300 mg every 4 weeks or every 2 weeks in patients with bodyweight ≥ 90 k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935898" cy="3728811"/>
                    </a:xfrm>
                    <a:prstGeom prst="rect">
                      <a:avLst/>
                    </a:prstGeom>
                    <a:noFill/>
                    <a:ln>
                      <a:noFill/>
                    </a:ln>
                  </pic:spPr>
                </pic:pic>
              </a:graphicData>
            </a:graphic>
          </wp:inline>
        </w:drawing>
      </w:r>
    </w:p>
    <w:p w14:paraId="3652FBB7" w14:textId="47F58B9B" w:rsidR="006359DD" w:rsidRPr="00B7603C" w:rsidRDefault="006359DD" w:rsidP="00B7603C">
      <w:pPr>
        <w:pStyle w:val="FigureDescription"/>
      </w:pPr>
      <w:r w:rsidRPr="00B7603C">
        <w:t>Abbreviations: PASI =</w:t>
      </w:r>
      <w:r w:rsidR="004A0022" w:rsidRPr="00B7603C">
        <w:t xml:space="preserve"> Psoriasis Area and Severity Index</w:t>
      </w:r>
      <w:r w:rsidR="008A7D29" w:rsidRPr="00B7603C">
        <w:t xml:space="preserve">; </w:t>
      </w:r>
      <w:r w:rsidRPr="00B7603C">
        <w:t xml:space="preserve">Q2W = </w:t>
      </w:r>
      <w:r w:rsidR="004A0022" w:rsidRPr="00B7603C">
        <w:t>every 2 weeks</w:t>
      </w:r>
      <w:r w:rsidR="008A7D29" w:rsidRPr="00B7603C">
        <w:t xml:space="preserve">; </w:t>
      </w:r>
      <w:r w:rsidRPr="00B7603C">
        <w:t>Q4W =</w:t>
      </w:r>
      <w:r w:rsidR="004A0022" w:rsidRPr="00B7603C">
        <w:t xml:space="preserve"> every 4 weeks</w:t>
      </w:r>
      <w:r w:rsidR="008A7D29" w:rsidRPr="00B7603C">
        <w:t>.</w:t>
      </w:r>
    </w:p>
    <w:p w14:paraId="31F99B8B" w14:textId="6A7AB4ED" w:rsidR="0074127D" w:rsidRPr="00B7603C" w:rsidRDefault="0074127D" w:rsidP="00B7603C">
      <w:pPr>
        <w:pStyle w:val="FigureDescription"/>
      </w:pPr>
      <w:r w:rsidRPr="00B7603C">
        <w:t>PASI 90 (Psoriasis Area and Severity Index 90) response: a 90% or more reduction (improvement) in PASI score from Baseline.</w:t>
      </w:r>
    </w:p>
    <w:p w14:paraId="26F4E3EA" w14:textId="70088568" w:rsidR="00AE00AB" w:rsidRPr="00B7603C" w:rsidRDefault="00AE00AB" w:rsidP="00B7603C">
      <w:pPr>
        <w:pStyle w:val="FigureDescription"/>
      </w:pPr>
      <w:r w:rsidRPr="00B7603C">
        <w:t>The solid lines represent the proportion of PASI 90 response (</w:t>
      </w:r>
      <w:r w:rsidR="003C5C0B" w:rsidRPr="00B7603C">
        <w:t>that is,</w:t>
      </w:r>
      <w:r w:rsidRPr="00B7603C">
        <w:t xml:space="preserve"> the expected PASI 90 response rate) over time for a patient </w:t>
      </w:r>
      <w:r w:rsidR="00671C62" w:rsidRPr="00B7603C">
        <w:t>≥</w:t>
      </w:r>
      <w:r w:rsidRPr="00B7603C">
        <w:t xml:space="preserve"> 90 kg treated with </w:t>
      </w:r>
      <w:r w:rsidR="007254C8" w:rsidRPr="00B7603C">
        <w:t>every 4 weeks</w:t>
      </w:r>
      <w:r w:rsidRPr="00B7603C">
        <w:t xml:space="preserve"> (dark blue) or </w:t>
      </w:r>
      <w:r w:rsidR="00BC168F" w:rsidRPr="00B7603C">
        <w:t>every 2 weeks</w:t>
      </w:r>
      <w:r w:rsidRPr="00B7603C">
        <w:t xml:space="preserve"> (light blue) until Week 52 (last dose). The shaded areas represent the 95% confidence interval for the proportion of PASI</w:t>
      </w:r>
      <w:r w:rsidR="00671C62" w:rsidRPr="00B7603C">
        <w:t> </w:t>
      </w:r>
      <w:r w:rsidRPr="00B7603C">
        <w:t xml:space="preserve">90 response; these intervals account for the uncertainty on the estimated parameters of </w:t>
      </w:r>
      <w:r w:rsidR="00671C62" w:rsidRPr="00B7603C">
        <w:t>pharmacokinetics (PK)-</w:t>
      </w:r>
      <w:r w:rsidRPr="00B7603C">
        <w:t xml:space="preserve">PASI model and have been obtained by bootstrapping. The patients used for this simulation are </w:t>
      </w:r>
      <w:proofErr w:type="gramStart"/>
      <w:r w:rsidRPr="00B7603C">
        <w:t>similar to</w:t>
      </w:r>
      <w:proofErr w:type="gramEnd"/>
      <w:r w:rsidRPr="00B7603C">
        <w:t xml:space="preserve"> the ≥ 90 kg patients from </w:t>
      </w:r>
      <w:r w:rsidR="009D368D" w:rsidRPr="00B7603C">
        <w:t xml:space="preserve">Study </w:t>
      </w:r>
      <w:r w:rsidRPr="00B7603C">
        <w:t>A2302, in terms of bodyweight and baseline PASI.</w:t>
      </w:r>
    </w:p>
    <w:p w14:paraId="1BD83E1C" w14:textId="300AA02A" w:rsidR="00AE00AB" w:rsidRPr="00B7603C" w:rsidRDefault="00AE00AB" w:rsidP="00B7603C">
      <w:pPr>
        <w:pStyle w:val="FigureTitle"/>
      </w:pPr>
      <w:bookmarkStart w:id="42" w:name="_Ref93045972"/>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6</w:t>
      </w:r>
      <w:r w:rsidR="00A4590A">
        <w:rPr>
          <w:noProof/>
        </w:rPr>
        <w:fldChar w:fldCharType="end"/>
      </w:r>
      <w:bookmarkEnd w:id="42"/>
      <w:r w:rsidR="00EB497D" w:rsidRPr="00B7603C">
        <w:t>: Study A2324</w:t>
      </w:r>
      <w:r w:rsidRPr="00B7603C">
        <w:t xml:space="preserve"> Model-based predicted proportion of </w:t>
      </w:r>
      <w:r w:rsidR="0074127D" w:rsidRPr="00B7603C">
        <w:t xml:space="preserve">PASI 90 </w:t>
      </w:r>
      <w:r w:rsidRPr="00B7603C">
        <w:t xml:space="preserve">response following treatment with 300 mg </w:t>
      </w:r>
      <w:r w:rsidR="007254C8" w:rsidRPr="00B7603C">
        <w:t>every 4 weeks</w:t>
      </w:r>
      <w:r w:rsidRPr="00B7603C">
        <w:t xml:space="preserve"> or </w:t>
      </w:r>
      <w:r w:rsidR="00BC168F" w:rsidRPr="00B7603C">
        <w:t>every 2 weeks</w:t>
      </w:r>
      <w:r w:rsidRPr="00B7603C">
        <w:t xml:space="preserve"> in ≥ 90 kg non-responder patients at Week 16 (on </w:t>
      </w:r>
      <w:r w:rsidR="007254C8" w:rsidRPr="00B7603C">
        <w:t>every 4 weeks</w:t>
      </w:r>
      <w:r w:rsidRPr="00B7603C">
        <w:t>)</w:t>
      </w:r>
    </w:p>
    <w:p w14:paraId="60A299FF" w14:textId="288F7D43" w:rsidR="003C5C0B" w:rsidRPr="00A65602" w:rsidRDefault="00AE00AB" w:rsidP="00B7603C">
      <w:pPr>
        <w:rPr>
          <w:rFonts w:asciiTheme="minorHAnsi" w:eastAsiaTheme="minorHAnsi" w:hAnsiTheme="minorHAnsi" w:cs="Arial"/>
          <w:sz w:val="16"/>
          <w:szCs w:val="16"/>
        </w:rPr>
      </w:pPr>
      <w:r w:rsidRPr="00A65602">
        <w:rPr>
          <w:noProof/>
          <w:lang w:val="en-GB" w:eastAsia="en-GB"/>
        </w:rPr>
        <w:drawing>
          <wp:inline distT="0" distB="0" distL="0" distR="0" wp14:anchorId="6C7D1876" wp14:editId="383F4536">
            <wp:extent cx="3741626" cy="3233373"/>
            <wp:effectExtent l="0" t="0" r="0" b="5715"/>
            <wp:docPr id="9" name="Picture 9" descr="Figure 6: Study A2324 Model-based predicted proportion of PASI 90 response following treatment with 300 mg every 4 weeks or every 2 weeks in ≥ 90 kg non-responder patients at Week 16 (on every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Figure 6: Study A2324 Model-based predicted proportion of PASI 90 response following treatment with 300 mg every 4 weeks or every 2 weeks in ≥ 90 kg non-responder patients at Week 16 (on every 4 weeks)"/>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839999" cy="3318383"/>
                    </a:xfrm>
                    <a:prstGeom prst="rect">
                      <a:avLst/>
                    </a:prstGeom>
                    <a:noFill/>
                    <a:ln>
                      <a:noFill/>
                    </a:ln>
                  </pic:spPr>
                </pic:pic>
              </a:graphicData>
            </a:graphic>
          </wp:inline>
        </w:drawing>
      </w:r>
    </w:p>
    <w:p w14:paraId="4E677E00" w14:textId="63E8E1FA" w:rsidR="006359DD" w:rsidRPr="00B7603C" w:rsidRDefault="006359DD" w:rsidP="00B7603C">
      <w:pPr>
        <w:pStyle w:val="FigureDescription"/>
      </w:pPr>
      <w:r w:rsidRPr="00B7603C">
        <w:t>Abbreviations: PASI =</w:t>
      </w:r>
      <w:r w:rsidR="004A0022" w:rsidRPr="00B7603C">
        <w:t xml:space="preserve"> Psoriasis Area and Severity Index</w:t>
      </w:r>
      <w:r w:rsidR="008A7D29" w:rsidRPr="00B7603C">
        <w:t xml:space="preserve">; </w:t>
      </w:r>
      <w:r w:rsidRPr="00B7603C">
        <w:t xml:space="preserve">Q2W = </w:t>
      </w:r>
      <w:r w:rsidR="004A0022" w:rsidRPr="00B7603C">
        <w:t>every 2 weeks</w:t>
      </w:r>
      <w:r w:rsidR="008A7D29" w:rsidRPr="00B7603C">
        <w:t xml:space="preserve">; </w:t>
      </w:r>
      <w:r w:rsidRPr="00B7603C">
        <w:t>Q4W =</w:t>
      </w:r>
      <w:r w:rsidR="004A0022" w:rsidRPr="00B7603C">
        <w:t xml:space="preserve"> every 4 weeks</w:t>
      </w:r>
      <w:r w:rsidR="008A7D29" w:rsidRPr="00B7603C">
        <w:t>.</w:t>
      </w:r>
    </w:p>
    <w:p w14:paraId="78322389" w14:textId="38AB1A33" w:rsidR="0074127D" w:rsidRPr="00B7603C" w:rsidRDefault="0074127D" w:rsidP="00B7603C">
      <w:pPr>
        <w:pStyle w:val="FigureDescription"/>
      </w:pPr>
      <w:r w:rsidRPr="00B7603C">
        <w:t>PASI 90 (Psoriasis Area and Severity Index 90) response: a 90% or more reduction (improvement) in PASI score from Baseline.</w:t>
      </w:r>
    </w:p>
    <w:p w14:paraId="51D37131" w14:textId="4FF951E3" w:rsidR="00AE00AB" w:rsidRPr="00B7603C" w:rsidRDefault="00AE00AB" w:rsidP="00B7603C">
      <w:pPr>
        <w:pStyle w:val="FigureDescription"/>
      </w:pPr>
      <w:r w:rsidRPr="00B7603C">
        <w:t>The solid lines represent the proportion of PASI 90 response (</w:t>
      </w:r>
      <w:r w:rsidR="003C5C0B" w:rsidRPr="00B7603C">
        <w:t>that is,</w:t>
      </w:r>
      <w:r w:rsidRPr="00B7603C">
        <w:t xml:space="preserve"> the expected PASI 90 response rate) over time for a patient </w:t>
      </w:r>
      <w:r w:rsidR="003E5A32" w:rsidRPr="00B7603C">
        <w:t xml:space="preserve">with </w:t>
      </w:r>
      <w:r w:rsidRPr="00B7603C">
        <w:t>≥ 90 kg</w:t>
      </w:r>
      <w:r w:rsidR="003E5A32" w:rsidRPr="00B7603C">
        <w:t xml:space="preserve"> bodyweight</w:t>
      </w:r>
      <w:r w:rsidRPr="00B7603C">
        <w:t xml:space="preserve"> treated with </w:t>
      </w:r>
      <w:r w:rsidR="007254C8" w:rsidRPr="00B7603C">
        <w:t>every 4 weeks</w:t>
      </w:r>
      <w:r w:rsidRPr="00B7603C">
        <w:t xml:space="preserve"> (dark blue) or </w:t>
      </w:r>
      <w:r w:rsidR="00BC168F" w:rsidRPr="00B7603C">
        <w:t>every 2</w:t>
      </w:r>
      <w:r w:rsidR="00B7603C">
        <w:t> </w:t>
      </w:r>
      <w:r w:rsidR="00BC168F" w:rsidRPr="00B7603C">
        <w:t>weeks</w:t>
      </w:r>
      <w:r w:rsidRPr="00B7603C">
        <w:t xml:space="preserve"> (light blue) until Week 52 (last dose). The shaded areas represent the 95% confidence interval for the proportion of PASI</w:t>
      </w:r>
      <w:r w:rsidR="00671C62" w:rsidRPr="00B7603C">
        <w:t> </w:t>
      </w:r>
      <w:r w:rsidRPr="00B7603C">
        <w:t xml:space="preserve">90 response; these intervals account for the uncertainty on the estimated parameters of </w:t>
      </w:r>
      <w:r w:rsidR="00671C62" w:rsidRPr="00B7603C">
        <w:t>pharmacokinetics (</w:t>
      </w:r>
      <w:r w:rsidRPr="00B7603C">
        <w:t>PK</w:t>
      </w:r>
      <w:r w:rsidR="00671C62" w:rsidRPr="00B7603C">
        <w:t>)</w:t>
      </w:r>
      <w:r w:rsidRPr="00B7603C">
        <w:t xml:space="preserve">-PASI model and have been obtained by bootstrapping. The patients used for this simulation are </w:t>
      </w:r>
      <w:proofErr w:type="gramStart"/>
      <w:r w:rsidRPr="00B7603C">
        <w:t>similar to</w:t>
      </w:r>
      <w:proofErr w:type="gramEnd"/>
      <w:r w:rsidRPr="00B7603C">
        <w:t xml:space="preserve"> the ≥ 90 kg patients from </w:t>
      </w:r>
      <w:r w:rsidR="009D368D" w:rsidRPr="00B7603C">
        <w:t xml:space="preserve">Study </w:t>
      </w:r>
      <w:r w:rsidRPr="00B7603C">
        <w:t>A2302, in terms of bodyweight and baseline PASI.</w:t>
      </w:r>
    </w:p>
    <w:p w14:paraId="37AA4768" w14:textId="135BB645" w:rsidR="00AE00AB" w:rsidRPr="00A65602" w:rsidRDefault="00AE00AB" w:rsidP="004946B9">
      <w:r w:rsidRPr="00A65602">
        <w:t xml:space="preserve">For patients </w:t>
      </w:r>
      <w:r w:rsidR="003E5A32">
        <w:t xml:space="preserve">with </w:t>
      </w:r>
      <w:r w:rsidRPr="00A65602">
        <w:t>&lt; 90</w:t>
      </w:r>
      <w:r w:rsidR="00335480" w:rsidRPr="00A65602">
        <w:t xml:space="preserve"> </w:t>
      </w:r>
      <w:r w:rsidRPr="00A65602">
        <w:t>kg</w:t>
      </w:r>
      <w:r w:rsidR="003E5A32">
        <w:t xml:space="preserve"> bodyweight</w:t>
      </w:r>
      <w:r w:rsidRPr="00A65602">
        <w:t>, the modelling predicted:</w:t>
      </w:r>
    </w:p>
    <w:p w14:paraId="1A823C1F" w14:textId="73D56B14" w:rsidR="00AE00AB" w:rsidRPr="00A65602" w:rsidRDefault="00AE00AB" w:rsidP="004946B9">
      <w:pPr>
        <w:pStyle w:val="ListBullet"/>
      </w:pPr>
      <w:r w:rsidRPr="00A65602">
        <w:t>an improvement of approximately 10% in PASI 90 response at Week 52 in patients treated with secukinumab 300</w:t>
      </w:r>
      <w:r w:rsidR="003C5C0B" w:rsidRPr="00A65602">
        <w:t xml:space="preserve"> </w:t>
      </w:r>
      <w:r w:rsidRPr="00A65602">
        <w:t xml:space="preserve">mg </w:t>
      </w:r>
      <w:r w:rsidR="00BC168F" w:rsidRPr="00A65602">
        <w:t>every 2 weeks</w:t>
      </w:r>
      <w:r w:rsidRPr="00A65602">
        <w:t xml:space="preserve"> for 52 weeks compared with secukinumab 300</w:t>
      </w:r>
      <w:r w:rsidR="003C5C0B" w:rsidRPr="00A65602">
        <w:t xml:space="preserve"> </w:t>
      </w:r>
      <w:r w:rsidRPr="00A65602">
        <w:t xml:space="preserve">mg </w:t>
      </w:r>
      <w:r w:rsidR="007254C8" w:rsidRPr="00A65602">
        <w:t>every 4 weeks</w:t>
      </w:r>
      <w:r w:rsidRPr="00A65602">
        <w:t xml:space="preserve"> (</w:t>
      </w:r>
      <w:r w:rsidR="0089664C" w:rsidRPr="00A65602">
        <w:t xml:space="preserve">see </w:t>
      </w:r>
      <w:r w:rsidRPr="00A65602">
        <w:fldChar w:fldCharType="begin"/>
      </w:r>
      <w:r w:rsidRPr="00A65602">
        <w:instrText xml:space="preserve"> REF _Ref93046993 \h </w:instrText>
      </w:r>
      <w:r w:rsidR="004946B9" w:rsidRPr="00A65602">
        <w:instrText xml:space="preserve"> \* MERGEFORMAT </w:instrText>
      </w:r>
      <w:r w:rsidRPr="00A65602">
        <w:fldChar w:fldCharType="separate"/>
      </w:r>
      <w:r w:rsidR="00CE2EF4" w:rsidRPr="00B7603C">
        <w:t xml:space="preserve">Figure </w:t>
      </w:r>
      <w:r w:rsidR="00CE2EF4">
        <w:rPr>
          <w:noProof/>
        </w:rPr>
        <w:t>7</w:t>
      </w:r>
      <w:r w:rsidRPr="00A65602">
        <w:fldChar w:fldCharType="end"/>
      </w:r>
      <w:r w:rsidR="0089664C" w:rsidRPr="00A65602">
        <w:t xml:space="preserve"> below</w:t>
      </w:r>
      <w:r w:rsidRPr="00A65602">
        <w:t>).</w:t>
      </w:r>
    </w:p>
    <w:p w14:paraId="114934DA" w14:textId="3636C648" w:rsidR="00AE00AB" w:rsidRPr="00A65602" w:rsidRDefault="00AE00AB" w:rsidP="004946B9">
      <w:pPr>
        <w:pStyle w:val="ListBullet"/>
      </w:pPr>
      <w:r w:rsidRPr="00A65602">
        <w:t xml:space="preserve">an improvement of approximately 15% in PASI 90 response at Week 52 in patients who do not achieve PASI 90 response at Week 16 on secukinumab 300 mg </w:t>
      </w:r>
      <w:r w:rsidR="007254C8" w:rsidRPr="00A65602">
        <w:t>every 4</w:t>
      </w:r>
      <w:r w:rsidR="0089664C" w:rsidRPr="00A65602">
        <w:t> </w:t>
      </w:r>
      <w:r w:rsidR="007254C8" w:rsidRPr="00A65602">
        <w:t>weeks</w:t>
      </w:r>
      <w:r w:rsidRPr="00A65602">
        <w:t xml:space="preserve"> and are then up-titrated to secukinumab 300</w:t>
      </w:r>
      <w:r w:rsidR="003C5C0B" w:rsidRPr="00A65602">
        <w:t xml:space="preserve"> </w:t>
      </w:r>
      <w:r w:rsidRPr="00A65602">
        <w:t xml:space="preserve">mg </w:t>
      </w:r>
      <w:r w:rsidR="00BC168F" w:rsidRPr="00A65602">
        <w:t>every 2 weeks</w:t>
      </w:r>
      <w:r w:rsidRPr="00A65602">
        <w:t xml:space="preserve"> for rest of the 52 weeks, compared to non-responders who remain on 300 mg </w:t>
      </w:r>
      <w:r w:rsidR="007254C8" w:rsidRPr="00A65602">
        <w:t>every 4 weeks</w:t>
      </w:r>
      <w:r w:rsidRPr="00A65602">
        <w:t xml:space="preserve"> (</w:t>
      </w:r>
      <w:r w:rsidR="0089664C" w:rsidRPr="00A65602">
        <w:t xml:space="preserve">see </w:t>
      </w:r>
      <w:r w:rsidRPr="00A65602">
        <w:fldChar w:fldCharType="begin"/>
      </w:r>
      <w:r w:rsidRPr="00A65602">
        <w:instrText xml:space="preserve"> REF _Ref93047313 \h </w:instrText>
      </w:r>
      <w:r w:rsidR="004946B9" w:rsidRPr="00A65602">
        <w:instrText xml:space="preserve"> \* MERGEFORMAT </w:instrText>
      </w:r>
      <w:r w:rsidRPr="00A65602">
        <w:fldChar w:fldCharType="separate"/>
      </w:r>
      <w:r w:rsidR="00CE2EF4" w:rsidRPr="00B7603C">
        <w:t xml:space="preserve">Figure </w:t>
      </w:r>
      <w:r w:rsidR="00CE2EF4">
        <w:rPr>
          <w:noProof/>
        </w:rPr>
        <w:t>8</w:t>
      </w:r>
      <w:r w:rsidRPr="00A65602">
        <w:fldChar w:fldCharType="end"/>
      </w:r>
      <w:r w:rsidR="0089664C" w:rsidRPr="00A65602">
        <w:t xml:space="preserve"> below</w:t>
      </w:r>
      <w:r w:rsidRPr="00A65602">
        <w:t>).</w:t>
      </w:r>
    </w:p>
    <w:p w14:paraId="407D3C87" w14:textId="3906C9F2" w:rsidR="00AE00AB" w:rsidRPr="00B7603C" w:rsidRDefault="00AE00AB" w:rsidP="00B7603C">
      <w:pPr>
        <w:pStyle w:val="FigureTitle"/>
      </w:pPr>
      <w:bookmarkStart w:id="43" w:name="_Ref93046993"/>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7</w:t>
      </w:r>
      <w:r w:rsidR="00A4590A">
        <w:rPr>
          <w:noProof/>
        </w:rPr>
        <w:fldChar w:fldCharType="end"/>
      </w:r>
      <w:bookmarkEnd w:id="43"/>
      <w:r w:rsidR="00EB497D" w:rsidRPr="00B7603C">
        <w:t>: Study A2324</w:t>
      </w:r>
      <w:r w:rsidRPr="00B7603C">
        <w:t xml:space="preserve"> Model-based predicted proportion of </w:t>
      </w:r>
      <w:r w:rsidR="00795B22" w:rsidRPr="00B7603C">
        <w:t>PASI 90</w:t>
      </w:r>
      <w:r w:rsidRPr="00B7603C">
        <w:t xml:space="preserve"> response following treatment with 300 mg </w:t>
      </w:r>
      <w:r w:rsidR="007254C8" w:rsidRPr="00B7603C">
        <w:t>every 4 weeks</w:t>
      </w:r>
      <w:r w:rsidRPr="00B7603C">
        <w:t xml:space="preserve"> or </w:t>
      </w:r>
      <w:r w:rsidR="00BC168F" w:rsidRPr="00B7603C">
        <w:t>every 2</w:t>
      </w:r>
      <w:r w:rsidR="00671C62" w:rsidRPr="00B7603C">
        <w:t> </w:t>
      </w:r>
      <w:r w:rsidR="00BC168F" w:rsidRPr="00B7603C">
        <w:t>weeks</w:t>
      </w:r>
      <w:r w:rsidRPr="00B7603C">
        <w:t xml:space="preserve"> in </w:t>
      </w:r>
      <w:r w:rsidR="003E5A32" w:rsidRPr="00B7603C">
        <w:t xml:space="preserve">patients with </w:t>
      </w:r>
      <w:r w:rsidRPr="00B7603C">
        <w:t>&lt;</w:t>
      </w:r>
      <w:r w:rsidR="00795B22" w:rsidRPr="00B7603C">
        <w:t> </w:t>
      </w:r>
      <w:r w:rsidRPr="00B7603C">
        <w:t xml:space="preserve">90 kg </w:t>
      </w:r>
      <w:r w:rsidR="003E5A32" w:rsidRPr="00B7603C">
        <w:t>bodyweight</w:t>
      </w:r>
    </w:p>
    <w:p w14:paraId="1342629D" w14:textId="77777777" w:rsidR="003C5C0B" w:rsidRPr="00A65602" w:rsidRDefault="00AE00AB" w:rsidP="00B7603C">
      <w:pPr>
        <w:rPr>
          <w:rFonts w:asciiTheme="minorHAnsi" w:eastAsiaTheme="minorHAnsi" w:hAnsiTheme="minorHAnsi" w:cs="Arial"/>
          <w:sz w:val="16"/>
          <w:szCs w:val="16"/>
        </w:rPr>
      </w:pPr>
      <w:r w:rsidRPr="00A65602">
        <w:rPr>
          <w:noProof/>
          <w:lang w:val="en-GB" w:eastAsia="en-GB"/>
        </w:rPr>
        <w:drawing>
          <wp:inline distT="0" distB="0" distL="0" distR="0" wp14:anchorId="70DD54CA" wp14:editId="60459389">
            <wp:extent cx="3784349" cy="3279696"/>
            <wp:effectExtent l="0" t="0" r="6985" b="0"/>
            <wp:docPr id="10" name="Picture 10" descr="Figure 7: Study A2324 Model-based predicted proportion of PASI 90 response following treatment with 300 mg every 4 weeks or every 2 weeks in patients with &lt; 90 kg bodyweigh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Figure 7: Study A2324 Model-based predicted proportion of PASI 90 response following treatment with 300 mg every 4 weeks or every 2 weeks in patients with &lt; 90 kg bodyweight"/>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883545" cy="3365664"/>
                    </a:xfrm>
                    <a:prstGeom prst="rect">
                      <a:avLst/>
                    </a:prstGeom>
                    <a:noFill/>
                    <a:ln>
                      <a:noFill/>
                    </a:ln>
                  </pic:spPr>
                </pic:pic>
              </a:graphicData>
            </a:graphic>
          </wp:inline>
        </w:drawing>
      </w:r>
    </w:p>
    <w:p w14:paraId="43F18A3D" w14:textId="08566A5B" w:rsidR="006359DD" w:rsidRPr="00B7603C" w:rsidRDefault="006359DD" w:rsidP="00B7603C">
      <w:pPr>
        <w:pStyle w:val="FigureDescription"/>
      </w:pPr>
      <w:r w:rsidRPr="00B7603C">
        <w:t>Abbreviations: PASI =</w:t>
      </w:r>
      <w:r w:rsidR="004A0022" w:rsidRPr="00B7603C">
        <w:t xml:space="preserve"> Psoriasis Area and Severity Index</w:t>
      </w:r>
      <w:r w:rsidR="008A7D29" w:rsidRPr="00B7603C">
        <w:t xml:space="preserve">; </w:t>
      </w:r>
      <w:r w:rsidRPr="00B7603C">
        <w:t xml:space="preserve">Q2W = </w:t>
      </w:r>
      <w:r w:rsidR="004A0022" w:rsidRPr="00B7603C">
        <w:t>every 2 weeks</w:t>
      </w:r>
      <w:r w:rsidR="008A7D29" w:rsidRPr="00B7603C">
        <w:t xml:space="preserve">; </w:t>
      </w:r>
      <w:r w:rsidRPr="00B7603C">
        <w:t>Q4W =</w:t>
      </w:r>
      <w:r w:rsidR="004A0022" w:rsidRPr="00B7603C">
        <w:t xml:space="preserve"> every 4 weeks</w:t>
      </w:r>
      <w:r w:rsidR="008A7D29" w:rsidRPr="00B7603C">
        <w:t>.</w:t>
      </w:r>
    </w:p>
    <w:p w14:paraId="763ADFB9" w14:textId="15BCB13C" w:rsidR="00795B22" w:rsidRPr="00B7603C" w:rsidRDefault="00795B22" w:rsidP="00B7603C">
      <w:pPr>
        <w:pStyle w:val="FigureDescription"/>
      </w:pPr>
      <w:r w:rsidRPr="00B7603C">
        <w:t>PASI 90 (Psoriasis Area and Severity Index 90) response: a 90% or more reduction (improvement) in PASI score from Baseline.</w:t>
      </w:r>
    </w:p>
    <w:p w14:paraId="3A2CF6E3" w14:textId="2EF01F28" w:rsidR="00AE00AB" w:rsidRPr="00B7603C" w:rsidRDefault="00AE00AB" w:rsidP="00B7603C">
      <w:pPr>
        <w:pStyle w:val="FigureDescription"/>
      </w:pPr>
      <w:r w:rsidRPr="00B7603C">
        <w:t>The solid lines represent the proportion of PASI 90 response (</w:t>
      </w:r>
      <w:r w:rsidR="003C5C0B" w:rsidRPr="00B7603C">
        <w:t>that is</w:t>
      </w:r>
      <w:r w:rsidRPr="00B7603C">
        <w:t xml:space="preserve">, the expected PASI 90 response rate) over time for a patient </w:t>
      </w:r>
      <w:r w:rsidR="003E5A32" w:rsidRPr="00B7603C">
        <w:t xml:space="preserve">with bodyweight </w:t>
      </w:r>
      <w:r w:rsidRPr="00B7603C">
        <w:t xml:space="preserve">&lt; 90 kg treated with 300 mg </w:t>
      </w:r>
      <w:r w:rsidR="007254C8" w:rsidRPr="00B7603C">
        <w:t>every 4 weeks</w:t>
      </w:r>
      <w:r w:rsidRPr="00B7603C">
        <w:t xml:space="preserve"> (dark blue) or 300 mg </w:t>
      </w:r>
      <w:r w:rsidR="00BC168F" w:rsidRPr="00B7603C">
        <w:t>every 2</w:t>
      </w:r>
      <w:r w:rsidR="00671C62" w:rsidRPr="00B7603C">
        <w:t> </w:t>
      </w:r>
      <w:r w:rsidR="00BC168F" w:rsidRPr="00B7603C">
        <w:t>weeks</w:t>
      </w:r>
      <w:r w:rsidRPr="00B7603C">
        <w:t xml:space="preserve"> (light blue) until Week 52 (last dose). The shaded areas represent the 95% confidence interval for the proportion of PASI 90 response; these intervals account for the uncertainty on the estimated parameters of </w:t>
      </w:r>
      <w:r w:rsidR="00671C62" w:rsidRPr="00B7603C">
        <w:t>pharmacokinetics (PK)</w:t>
      </w:r>
      <w:r w:rsidRPr="00B7603C">
        <w:t xml:space="preserve">-PASI model and have been obtained by bootstrapping. The patients used for this simulation are </w:t>
      </w:r>
      <w:proofErr w:type="gramStart"/>
      <w:r w:rsidRPr="00B7603C">
        <w:t>similar to</w:t>
      </w:r>
      <w:proofErr w:type="gramEnd"/>
      <w:r w:rsidRPr="00B7603C">
        <w:t xml:space="preserve"> the &lt; 90 kg patients from </w:t>
      </w:r>
      <w:r w:rsidR="009D368D" w:rsidRPr="00B7603C">
        <w:t xml:space="preserve">Study </w:t>
      </w:r>
      <w:r w:rsidRPr="00B7603C">
        <w:t>A2302, in terms of bodyweight and baseline PASI.</w:t>
      </w:r>
    </w:p>
    <w:p w14:paraId="3C129EBF" w14:textId="14C80742" w:rsidR="003E5A32" w:rsidRPr="003E5A32" w:rsidRDefault="003E5A32" w:rsidP="00723924">
      <w:pPr>
        <w:spacing w:before="0" w:after="200" w:line="0" w:lineRule="auto"/>
      </w:pPr>
      <w:r>
        <w:br w:type="page"/>
      </w:r>
    </w:p>
    <w:p w14:paraId="6A083855" w14:textId="0F5852DA" w:rsidR="00AE00AB" w:rsidRPr="00B7603C" w:rsidRDefault="00AE00AB" w:rsidP="00B7603C">
      <w:pPr>
        <w:pStyle w:val="FigureTitle"/>
      </w:pPr>
      <w:bookmarkStart w:id="44" w:name="_Ref93047313"/>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8</w:t>
      </w:r>
      <w:r w:rsidR="00A4590A">
        <w:rPr>
          <w:noProof/>
        </w:rPr>
        <w:fldChar w:fldCharType="end"/>
      </w:r>
      <w:bookmarkEnd w:id="44"/>
      <w:r w:rsidR="00921C28" w:rsidRPr="00B7603C">
        <w:t>: Study A2324</w:t>
      </w:r>
      <w:r w:rsidRPr="00B7603C">
        <w:t xml:space="preserve"> Model-based predicted probability of </w:t>
      </w:r>
      <w:r w:rsidR="00795B22" w:rsidRPr="00B7603C">
        <w:t xml:space="preserve">PASI </w:t>
      </w:r>
      <w:r w:rsidRPr="00B7603C">
        <w:t xml:space="preserve">90 response following treatment with 300 mg </w:t>
      </w:r>
      <w:r w:rsidR="007254C8" w:rsidRPr="00B7603C">
        <w:t>every 4 weeks</w:t>
      </w:r>
      <w:r w:rsidRPr="00B7603C">
        <w:t xml:space="preserve"> or </w:t>
      </w:r>
      <w:r w:rsidR="00BC168F" w:rsidRPr="00B7603C">
        <w:t>every 2</w:t>
      </w:r>
      <w:r w:rsidR="00671C62" w:rsidRPr="00B7603C">
        <w:t> </w:t>
      </w:r>
      <w:r w:rsidR="00BC168F" w:rsidRPr="00B7603C">
        <w:t>weeks</w:t>
      </w:r>
      <w:r w:rsidRPr="00B7603C">
        <w:t xml:space="preserve"> in non-responder patients </w:t>
      </w:r>
      <w:r w:rsidR="003E5A32" w:rsidRPr="00B7603C">
        <w:t xml:space="preserve">with &lt; 90 kg bodyweight </w:t>
      </w:r>
      <w:r w:rsidRPr="00B7603C">
        <w:t xml:space="preserve">at Week 16 (on </w:t>
      </w:r>
      <w:r w:rsidR="007254C8" w:rsidRPr="00B7603C">
        <w:t>every 4 weeks</w:t>
      </w:r>
      <w:r w:rsidRPr="00B7603C">
        <w:t>)</w:t>
      </w:r>
    </w:p>
    <w:p w14:paraId="21FF040B" w14:textId="77777777" w:rsidR="003C5C0B" w:rsidRPr="00A65602" w:rsidRDefault="00AE00AB" w:rsidP="00B7603C">
      <w:pPr>
        <w:rPr>
          <w:rFonts w:asciiTheme="minorHAnsi" w:eastAsiaTheme="minorHAnsi" w:hAnsiTheme="minorHAnsi" w:cs="Arial"/>
          <w:sz w:val="16"/>
          <w:szCs w:val="16"/>
        </w:rPr>
      </w:pPr>
      <w:r w:rsidRPr="00A65602">
        <w:rPr>
          <w:noProof/>
          <w:lang w:val="en-GB" w:eastAsia="en-GB"/>
        </w:rPr>
        <w:drawing>
          <wp:inline distT="0" distB="0" distL="0" distR="0" wp14:anchorId="12FEDE0B" wp14:editId="76CD85CC">
            <wp:extent cx="3814802" cy="3168713"/>
            <wp:effectExtent l="0" t="0" r="0" b="0"/>
            <wp:docPr id="12" name="Picture 12" descr="Figure 8: Study A2324 Model-based predicted probability of PASI 90 response following treatment with 300 mg every 4 weeks or every 2 weeks in non-responder patients with &lt; 90 kg bodyweight at Week 16 (on every 4 wee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8: Study A2324 Model-based predicted probability of PASI 90 response following treatment with 300 mg every 4 weeks or every 2 weeks in non-responder patients with &lt; 90 kg bodyweight at Week 16 (on every 4 weeks)"/>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890811" cy="3231849"/>
                    </a:xfrm>
                    <a:prstGeom prst="rect">
                      <a:avLst/>
                    </a:prstGeom>
                    <a:noFill/>
                    <a:ln>
                      <a:noFill/>
                    </a:ln>
                  </pic:spPr>
                </pic:pic>
              </a:graphicData>
            </a:graphic>
          </wp:inline>
        </w:drawing>
      </w:r>
    </w:p>
    <w:p w14:paraId="326059FB" w14:textId="49381FAF" w:rsidR="006359DD" w:rsidRPr="00B7603C" w:rsidRDefault="006359DD" w:rsidP="00B7603C">
      <w:pPr>
        <w:pStyle w:val="FigureDescription"/>
      </w:pPr>
      <w:r w:rsidRPr="00B7603C">
        <w:t>Abbreviations: PASI =</w:t>
      </w:r>
      <w:r w:rsidR="004A0022" w:rsidRPr="00B7603C">
        <w:t xml:space="preserve"> Psoriasis Area and Severity Index</w:t>
      </w:r>
      <w:r w:rsidR="008A7D29" w:rsidRPr="00B7603C">
        <w:t xml:space="preserve">; </w:t>
      </w:r>
      <w:r w:rsidRPr="00B7603C">
        <w:t xml:space="preserve">Q2W = </w:t>
      </w:r>
      <w:r w:rsidR="004A0022" w:rsidRPr="00B7603C">
        <w:t>every 2 weeks</w:t>
      </w:r>
      <w:r w:rsidR="008A7D29" w:rsidRPr="00B7603C">
        <w:t xml:space="preserve">; </w:t>
      </w:r>
      <w:r w:rsidRPr="00B7603C">
        <w:t>Q4W =</w:t>
      </w:r>
      <w:r w:rsidR="004A0022" w:rsidRPr="00B7603C">
        <w:t xml:space="preserve"> every 4 weeks</w:t>
      </w:r>
      <w:r w:rsidR="008A7D29" w:rsidRPr="00B7603C">
        <w:t>.</w:t>
      </w:r>
    </w:p>
    <w:p w14:paraId="247FE123" w14:textId="77777777" w:rsidR="00795B22" w:rsidRPr="00B7603C" w:rsidRDefault="00795B22" w:rsidP="00B7603C">
      <w:pPr>
        <w:pStyle w:val="FigureDescription"/>
      </w:pPr>
      <w:r w:rsidRPr="00B7603C">
        <w:t>PASI 90 (Psoriasis Area and Severity Index 90) response: a 90% or more reduction (improvement) in PASI score from Baseline.</w:t>
      </w:r>
    </w:p>
    <w:p w14:paraId="5865F4DC" w14:textId="4B9CB2D7" w:rsidR="00AE00AB" w:rsidRPr="00B7603C" w:rsidRDefault="00AE00AB" w:rsidP="00B7603C">
      <w:pPr>
        <w:pStyle w:val="FigureDescription"/>
      </w:pPr>
      <w:r w:rsidRPr="00B7603C">
        <w:t>The solid lines represent the proportion of PASI 90 response (</w:t>
      </w:r>
      <w:r w:rsidR="003C5C0B" w:rsidRPr="00B7603C">
        <w:t>that is,</w:t>
      </w:r>
      <w:r w:rsidRPr="00B7603C">
        <w:t xml:space="preserve"> the expected PASI 90 response rate) over time for a patient &lt; 90 kg not responding at Week 16 while treated with </w:t>
      </w:r>
      <w:r w:rsidR="007254C8" w:rsidRPr="00B7603C">
        <w:t>every 4 weeks</w:t>
      </w:r>
      <w:r w:rsidRPr="00B7603C">
        <w:t xml:space="preserve">, as predicted from the </w:t>
      </w:r>
      <w:r w:rsidR="00AD3AAD" w:rsidRPr="00AD3AAD">
        <w:t>pharmacokinetic</w:t>
      </w:r>
      <w:r w:rsidR="00AD3AAD">
        <w:t>s</w:t>
      </w:r>
      <w:r w:rsidR="00AD3AAD" w:rsidRPr="00AD3AAD">
        <w:t xml:space="preserve"> </w:t>
      </w:r>
      <w:r w:rsidR="00AD3AAD">
        <w:t>(</w:t>
      </w:r>
      <w:r w:rsidRPr="00B7603C">
        <w:t>PK</w:t>
      </w:r>
      <w:r w:rsidR="00AD3AAD">
        <w:t>)</w:t>
      </w:r>
      <w:r w:rsidRPr="00B7603C">
        <w:t xml:space="preserve">-PASI model and subsequently treated with </w:t>
      </w:r>
      <w:r w:rsidR="007254C8" w:rsidRPr="00B7603C">
        <w:t>every 4 weeks</w:t>
      </w:r>
      <w:r w:rsidRPr="00B7603C">
        <w:t xml:space="preserve"> (dark blue) or </w:t>
      </w:r>
      <w:r w:rsidR="00BC168F" w:rsidRPr="00B7603C">
        <w:t>every 2</w:t>
      </w:r>
      <w:r w:rsidR="00671C62" w:rsidRPr="00B7603C">
        <w:t> </w:t>
      </w:r>
      <w:r w:rsidR="00BC168F" w:rsidRPr="00B7603C">
        <w:t>weeks</w:t>
      </w:r>
      <w:r w:rsidRPr="00B7603C">
        <w:t xml:space="preserve"> (light blue) until Week 52 (last dose). The shaded areas represent the 95% confidence interval for the proportion of PASI 90 response; these intervals account for the uncertainty on the on the estimated parameters of </w:t>
      </w:r>
      <w:r w:rsidR="00671C62" w:rsidRPr="00B7603C">
        <w:t>PK-</w:t>
      </w:r>
      <w:r w:rsidRPr="00B7603C">
        <w:t xml:space="preserve">PASI model and have been obtained by bootstrapping. The patients used for this simulation are </w:t>
      </w:r>
      <w:proofErr w:type="gramStart"/>
      <w:r w:rsidRPr="00B7603C">
        <w:t>similar to</w:t>
      </w:r>
      <w:proofErr w:type="gramEnd"/>
      <w:r w:rsidRPr="00B7603C">
        <w:t xml:space="preserve"> the &lt; 90 kg patients from </w:t>
      </w:r>
      <w:r w:rsidR="009D368D" w:rsidRPr="00B7603C">
        <w:t xml:space="preserve">Study </w:t>
      </w:r>
      <w:r w:rsidRPr="00B7603C">
        <w:t>A2302, in terms of bodyweight and baseline PASI.</w:t>
      </w:r>
    </w:p>
    <w:p w14:paraId="5A6F8FE9" w14:textId="63341235" w:rsidR="00AE00AB" w:rsidRPr="00A65602" w:rsidRDefault="00AE00AB" w:rsidP="004946B9">
      <w:r w:rsidRPr="00A65602">
        <w:t>For patients with baseline PASI score equal to 18 (the median value in Study A2324), the model predicts an improvement in PASI 90 response ranging from approximately 6% for patients weighing 50</w:t>
      </w:r>
      <w:r w:rsidR="00335480" w:rsidRPr="00A65602">
        <w:t xml:space="preserve"> </w:t>
      </w:r>
      <w:r w:rsidRPr="00A65602">
        <w:t>kg to approximately 14% for patients weighing 120</w:t>
      </w:r>
      <w:r w:rsidR="00335480" w:rsidRPr="00A65602">
        <w:t xml:space="preserve"> </w:t>
      </w:r>
      <w:r w:rsidRPr="00A65602">
        <w:t>kg with the secukinumab 300</w:t>
      </w:r>
      <w:r w:rsidR="003C5C0B" w:rsidRPr="00A65602">
        <w:t xml:space="preserve"> </w:t>
      </w:r>
      <w:r w:rsidRPr="00A65602">
        <w:t xml:space="preserve">mg </w:t>
      </w:r>
      <w:r w:rsidR="00BC168F" w:rsidRPr="00A65602">
        <w:t>every</w:t>
      </w:r>
      <w:r w:rsidR="00795B22">
        <w:t xml:space="preserve"> </w:t>
      </w:r>
      <w:r w:rsidR="00BC168F" w:rsidRPr="00A65602">
        <w:t>2</w:t>
      </w:r>
      <w:r w:rsidR="00795B22">
        <w:t xml:space="preserve"> </w:t>
      </w:r>
      <w:r w:rsidR="00BC168F" w:rsidRPr="00A65602">
        <w:t>weeks</w:t>
      </w:r>
      <w:r w:rsidRPr="00A65602">
        <w:t xml:space="preserve"> dose regimen.</w:t>
      </w:r>
    </w:p>
    <w:p w14:paraId="04F0BE62" w14:textId="7CE316DA" w:rsidR="00AE00AB" w:rsidRPr="00A65602" w:rsidRDefault="00AE00AB" w:rsidP="004946B9">
      <w:r w:rsidRPr="00A65602">
        <w:t xml:space="preserve">The concentration-efficacy response relationship was assessed in a pool of 788 patients weighing &lt; 90 kg and 729 patients weighing ≥ 90 kg from plaque psoriasis </w:t>
      </w:r>
      <w:r w:rsidR="009D368D" w:rsidRPr="00A65602">
        <w:t>Studies</w:t>
      </w:r>
      <w:r w:rsidR="00DF320D" w:rsidRPr="00A65602">
        <w:t> </w:t>
      </w:r>
      <w:r w:rsidRPr="00A65602">
        <w:t>A2302, A2303, A2308, A2309, and A2324 who were assigned to be treated with secukinumab 150</w:t>
      </w:r>
      <w:r w:rsidR="00DF320D" w:rsidRPr="00A65602">
        <w:t> </w:t>
      </w:r>
      <w:r w:rsidRPr="00A65602">
        <w:t xml:space="preserve">mg </w:t>
      </w:r>
      <w:r w:rsidR="007254C8" w:rsidRPr="00A65602">
        <w:t>every 4 weeks</w:t>
      </w:r>
      <w:r w:rsidRPr="00A65602">
        <w:t xml:space="preserve">, 300 mg </w:t>
      </w:r>
      <w:r w:rsidR="007254C8" w:rsidRPr="00A65602">
        <w:t>every 4 weeks</w:t>
      </w:r>
      <w:r w:rsidRPr="00A65602">
        <w:t xml:space="preserve">, or 300 mg </w:t>
      </w:r>
      <w:r w:rsidR="00BC168F" w:rsidRPr="00A65602">
        <w:t>every 2 weeks</w:t>
      </w:r>
      <w:r w:rsidRPr="00A65602">
        <w:t xml:space="preserve"> for 12 months (</w:t>
      </w:r>
      <w:r w:rsidR="00DF320D" w:rsidRPr="00A65602">
        <w:t>see</w:t>
      </w:r>
      <w:r w:rsidR="00200AE2">
        <w:t xml:space="preserve"> </w:t>
      </w:r>
      <w:r w:rsidR="00200AE2">
        <w:fldChar w:fldCharType="begin"/>
      </w:r>
      <w:r w:rsidR="00200AE2">
        <w:instrText xml:space="preserve"> REF _Ref117413695 \h </w:instrText>
      </w:r>
      <w:r w:rsidR="00200AE2">
        <w:fldChar w:fldCharType="separate"/>
      </w:r>
      <w:r w:rsidR="00CE2EF4" w:rsidRPr="00B7603C">
        <w:t xml:space="preserve">Figure </w:t>
      </w:r>
      <w:r w:rsidR="00CE2EF4">
        <w:rPr>
          <w:noProof/>
        </w:rPr>
        <w:t>9</w:t>
      </w:r>
      <w:r w:rsidR="00200AE2">
        <w:fldChar w:fldCharType="end"/>
      </w:r>
      <w:r w:rsidR="00384859">
        <w:t xml:space="preserve"> </w:t>
      </w:r>
      <w:r w:rsidR="00DF320D" w:rsidRPr="00A65602">
        <w:t>below</w:t>
      </w:r>
      <w:r w:rsidRPr="00A65602">
        <w:t>). The model predicted increasing PASI response with increasing secukinumab exposure (steady</w:t>
      </w:r>
      <w:r w:rsidR="00EB497D" w:rsidRPr="00A65602">
        <w:t xml:space="preserve"> </w:t>
      </w:r>
      <w:r w:rsidRPr="00A65602">
        <w:t>state average concentration), with the benefit appearing to plateau around 40 µg/mL to 50 µg/</w:t>
      </w:r>
      <w:proofErr w:type="spellStart"/>
      <w:r w:rsidRPr="00A65602">
        <w:t>mL.</w:t>
      </w:r>
      <w:proofErr w:type="spellEnd"/>
      <w:r w:rsidRPr="00A65602">
        <w:t xml:space="preserve"> These analyses suggest that patients ≥ 90 kg need higher drug concentrations than patients &lt; 90 kg to achieve similar efficacy.</w:t>
      </w:r>
    </w:p>
    <w:p w14:paraId="32AA2C97" w14:textId="40712799" w:rsidR="009D321E" w:rsidRPr="009D321E" w:rsidRDefault="009D321E" w:rsidP="003908B4">
      <w:pPr>
        <w:spacing w:before="0" w:after="200" w:line="0" w:lineRule="auto"/>
      </w:pPr>
      <w:bookmarkStart w:id="45" w:name="_Ref93052509"/>
      <w:r>
        <w:br w:type="page"/>
      </w:r>
    </w:p>
    <w:p w14:paraId="22C455D3" w14:textId="7F7385B9" w:rsidR="00AE00AB" w:rsidRPr="00B7603C" w:rsidRDefault="00AE00AB" w:rsidP="00B7603C">
      <w:pPr>
        <w:pStyle w:val="FigureTitle"/>
      </w:pPr>
      <w:bookmarkStart w:id="46" w:name="_Ref117413695"/>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9</w:t>
      </w:r>
      <w:r w:rsidR="00A4590A">
        <w:rPr>
          <w:noProof/>
        </w:rPr>
        <w:fldChar w:fldCharType="end"/>
      </w:r>
      <w:bookmarkEnd w:id="45"/>
      <w:bookmarkEnd w:id="46"/>
      <w:r w:rsidR="00EB497D" w:rsidRPr="00B7603C">
        <w:t>: Study A2324</w:t>
      </w:r>
      <w:r w:rsidRPr="00B7603C">
        <w:t xml:space="preserve"> </w:t>
      </w:r>
      <w:r w:rsidR="00795B22" w:rsidRPr="00B7603C">
        <w:t>PASI</w:t>
      </w:r>
      <w:r w:rsidR="00671C62" w:rsidRPr="00B7603C">
        <w:t xml:space="preserve"> </w:t>
      </w:r>
      <w:r w:rsidRPr="00B7603C">
        <w:t xml:space="preserve">percent changes from </w:t>
      </w:r>
      <w:r w:rsidR="00E13DE6" w:rsidRPr="00B7603C">
        <w:t>Baseline</w:t>
      </w:r>
      <w:r w:rsidR="00795B22" w:rsidRPr="00B7603C">
        <w:t>,</w:t>
      </w:r>
      <w:r w:rsidRPr="00B7603C">
        <w:t xml:space="preserve"> and </w:t>
      </w:r>
      <w:r w:rsidR="00795B22" w:rsidRPr="00B7603C">
        <w:t>PASI</w:t>
      </w:r>
      <w:r w:rsidR="00671C62" w:rsidRPr="00B7603C">
        <w:t xml:space="preserve"> </w:t>
      </w:r>
      <w:r w:rsidRPr="00B7603C">
        <w:t xml:space="preserve">75/90 responses at Week 52 versus secukinumab average concentration at steady state, by </w:t>
      </w:r>
      <w:r w:rsidR="009D321E" w:rsidRPr="00B7603C">
        <w:t>body</w:t>
      </w:r>
      <w:r w:rsidRPr="00B7603C">
        <w:t xml:space="preserve">weight category (pool of selected Phase </w:t>
      </w:r>
      <w:r w:rsidR="00671C62" w:rsidRPr="00B7603C">
        <w:t>III</w:t>
      </w:r>
      <w:r w:rsidRPr="00B7603C">
        <w:t xml:space="preserve"> studies)</w:t>
      </w:r>
    </w:p>
    <w:p w14:paraId="1528B60B" w14:textId="77777777" w:rsidR="006359DD" w:rsidRPr="00A65602" w:rsidRDefault="00AE00AB" w:rsidP="00B7603C">
      <w:pPr>
        <w:rPr>
          <w:rFonts w:asciiTheme="minorHAnsi" w:eastAsiaTheme="minorHAnsi" w:hAnsiTheme="minorHAnsi" w:cs="Arial"/>
          <w:sz w:val="16"/>
          <w:szCs w:val="16"/>
        </w:rPr>
      </w:pPr>
      <w:r w:rsidRPr="00A65602">
        <w:rPr>
          <w:noProof/>
          <w:lang w:val="en-GB" w:eastAsia="en-GB"/>
        </w:rPr>
        <w:drawing>
          <wp:inline distT="0" distB="0" distL="0" distR="0" wp14:anchorId="4814850A" wp14:editId="0F9CF3CD">
            <wp:extent cx="5157619" cy="2792995"/>
            <wp:effectExtent l="0" t="0" r="5080" b="7620"/>
            <wp:docPr id="13" name="Picture 13" descr="Figure 9: Study A2324 PASI percent changes from Baseline, and PASI 75/90 responses at Week 52 versus secukinumab average concentration at steady state, by bodyweight category (pool of selected Phase III stud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9: Study A2324 PASI percent changes from Baseline, and PASI 75/90 responses at Week 52 versus secukinumab average concentration at steady state, by bodyweight category (pool of selected Phase III studies)"/>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26987" cy="2830560"/>
                    </a:xfrm>
                    <a:prstGeom prst="rect">
                      <a:avLst/>
                    </a:prstGeom>
                    <a:noFill/>
                    <a:ln>
                      <a:noFill/>
                    </a:ln>
                  </pic:spPr>
                </pic:pic>
              </a:graphicData>
            </a:graphic>
          </wp:inline>
        </w:drawing>
      </w:r>
    </w:p>
    <w:p w14:paraId="53A36761" w14:textId="35DC18A0" w:rsidR="006359DD" w:rsidRPr="00B7603C" w:rsidRDefault="006359DD" w:rsidP="00B7603C">
      <w:pPr>
        <w:pStyle w:val="FigureDescription"/>
      </w:pPr>
      <w:r w:rsidRPr="00B7603C">
        <w:t xml:space="preserve">Abbreviations: </w:t>
      </w:r>
      <w:proofErr w:type="spellStart"/>
      <w:r w:rsidRPr="00B7603C">
        <w:t>Cavg</w:t>
      </w:r>
      <w:proofErr w:type="spellEnd"/>
      <w:r w:rsidRPr="00B7603C">
        <w:t xml:space="preserve"> =</w:t>
      </w:r>
      <w:r w:rsidR="008A7D29" w:rsidRPr="00B7603C">
        <w:t xml:space="preserve"> average concentration; </w:t>
      </w:r>
      <w:r w:rsidR="00992696" w:rsidRPr="00B7603C">
        <w:t>CI = confidence interval</w:t>
      </w:r>
      <w:r w:rsidR="008A7D29" w:rsidRPr="00B7603C">
        <w:t xml:space="preserve">; </w:t>
      </w:r>
      <w:r w:rsidRPr="00B7603C">
        <w:t>PASI =</w:t>
      </w:r>
      <w:r w:rsidR="004A0022" w:rsidRPr="00B7603C">
        <w:t xml:space="preserve"> Psoriasis Area and Severity Index</w:t>
      </w:r>
      <w:r w:rsidR="008A7D29" w:rsidRPr="00B7603C">
        <w:t xml:space="preserve">; </w:t>
      </w:r>
      <w:r w:rsidRPr="00B7603C">
        <w:t xml:space="preserve">Q2W = </w:t>
      </w:r>
      <w:r w:rsidR="004A0022" w:rsidRPr="00B7603C">
        <w:t>every 2 weeks</w:t>
      </w:r>
      <w:r w:rsidR="008A7D29" w:rsidRPr="00B7603C">
        <w:t xml:space="preserve">; </w:t>
      </w:r>
      <w:r w:rsidRPr="00B7603C">
        <w:t>Q4W =</w:t>
      </w:r>
      <w:r w:rsidR="004A0022" w:rsidRPr="00B7603C">
        <w:t xml:space="preserve"> every 4 weeks</w:t>
      </w:r>
      <w:r w:rsidR="008A7D29" w:rsidRPr="00B7603C">
        <w:t xml:space="preserve">; </w:t>
      </w:r>
      <w:r w:rsidRPr="00B7603C">
        <w:t xml:space="preserve">WT = </w:t>
      </w:r>
      <w:r w:rsidR="008A7D29" w:rsidRPr="00B7603C">
        <w:t>wildtype.</w:t>
      </w:r>
    </w:p>
    <w:p w14:paraId="57A974E3" w14:textId="1D92DE88" w:rsidR="00795B22" w:rsidRPr="00B7603C" w:rsidRDefault="00795B22" w:rsidP="00B7603C">
      <w:pPr>
        <w:pStyle w:val="FigureDescription"/>
      </w:pPr>
      <w:r w:rsidRPr="00B7603C">
        <w:t xml:space="preserve">PASI </w:t>
      </w:r>
      <w:r w:rsidR="00723924" w:rsidRPr="00B7603C">
        <w:t>75</w:t>
      </w:r>
      <w:r w:rsidRPr="00B7603C">
        <w:t xml:space="preserve"> (Psoriasis Area and Severity Index 75) response: a 75% or more reduction (improvement) in PASI score from Baseline.</w:t>
      </w:r>
    </w:p>
    <w:p w14:paraId="49E28AF2" w14:textId="1709FD41" w:rsidR="00795B22" w:rsidRPr="00B7603C" w:rsidRDefault="00795B22" w:rsidP="00B7603C">
      <w:pPr>
        <w:pStyle w:val="FigureDescription"/>
      </w:pPr>
      <w:r w:rsidRPr="00B7603C">
        <w:t>PASI 90 (Psoriasis Area and Severity Index 90) response: a 90% or more reduction (improvement) in PASI score from Baseline.</w:t>
      </w:r>
    </w:p>
    <w:p w14:paraId="38DA83AD" w14:textId="33D8D3D3" w:rsidR="00AE00AB" w:rsidRPr="00B7603C" w:rsidRDefault="00AE00AB" w:rsidP="00B7603C">
      <w:pPr>
        <w:pStyle w:val="FigureDescription"/>
      </w:pPr>
      <w:r w:rsidRPr="00B7603C">
        <w:t>Dots and vertical bars represent the median percentage of PASI 90 responders at Month 12 (left), percentage of PASI 90 responders at Week 52 (middle), and percentage of PASI</w:t>
      </w:r>
      <w:r w:rsidR="00C85ADE" w:rsidRPr="00B7603C">
        <w:t xml:space="preserve"> </w:t>
      </w:r>
      <w:r w:rsidRPr="00B7603C">
        <w:t>75 responders at Week</w:t>
      </w:r>
      <w:r w:rsidR="002B2CAC" w:rsidRPr="00B7603C">
        <w:t> </w:t>
      </w:r>
      <w:r w:rsidRPr="00B7603C">
        <w:t xml:space="preserve">52 (right), and the associated 66% confidence intervals, obtained by bootstrapping and exact methods. The analysis includes 640, 727, and 150 patients assigned to either of 150 mg </w:t>
      </w:r>
      <w:r w:rsidR="007254C8" w:rsidRPr="00B7603C">
        <w:t>every 4</w:t>
      </w:r>
      <w:r w:rsidR="002B2CAC" w:rsidRPr="00B7603C">
        <w:t> </w:t>
      </w:r>
      <w:r w:rsidR="007254C8" w:rsidRPr="00B7603C">
        <w:t>weeks</w:t>
      </w:r>
      <w:r w:rsidRPr="00B7603C">
        <w:t>, 300</w:t>
      </w:r>
      <w:r w:rsidR="002B2CAC" w:rsidRPr="00B7603C">
        <w:t> </w:t>
      </w:r>
      <w:r w:rsidRPr="00B7603C">
        <w:t xml:space="preserve">mg </w:t>
      </w:r>
      <w:r w:rsidR="007254C8" w:rsidRPr="00B7603C">
        <w:t>every 4 weeks</w:t>
      </w:r>
      <w:r w:rsidRPr="00B7603C">
        <w:t xml:space="preserve">, or 300 mg </w:t>
      </w:r>
      <w:r w:rsidR="00BC168F" w:rsidRPr="00B7603C">
        <w:t>every 2 weeks</w:t>
      </w:r>
      <w:r w:rsidRPr="00B7603C">
        <w:t xml:space="preserve">, respectively, in </w:t>
      </w:r>
      <w:r w:rsidR="009D368D" w:rsidRPr="00B7603C">
        <w:t xml:space="preserve">Studies </w:t>
      </w:r>
      <w:r w:rsidRPr="00B7603C">
        <w:t xml:space="preserve">A2302, A2303, A2308, A2309, and A2324. The statistics are calculated by secukinumab </w:t>
      </w:r>
      <w:r w:rsidR="00AD3AAD" w:rsidRPr="00AD3AAD">
        <w:t xml:space="preserve">pharmacokinetic </w:t>
      </w:r>
      <w:r w:rsidR="00AD3AAD">
        <w:t>(</w:t>
      </w:r>
      <w:r w:rsidRPr="00B7603C">
        <w:t>PK</w:t>
      </w:r>
      <w:r w:rsidR="00AD3AAD">
        <w:t>)</w:t>
      </w:r>
      <w:r w:rsidRPr="00B7603C">
        <w:t xml:space="preserve"> metric bin and bodyweight category (&lt;</w:t>
      </w:r>
      <w:r w:rsidR="00C85ADE" w:rsidRPr="00B7603C">
        <w:t> </w:t>
      </w:r>
      <w:r w:rsidRPr="00B7603C">
        <w:t>90</w:t>
      </w:r>
      <w:r w:rsidR="00C85ADE" w:rsidRPr="00B7603C">
        <w:t> </w:t>
      </w:r>
      <w:r w:rsidRPr="00B7603C">
        <w:t xml:space="preserve">kg and ≥ 90 kg). The PK metric is the individual average steady state </w:t>
      </w:r>
      <w:proofErr w:type="spellStart"/>
      <w:r w:rsidRPr="00B7603C">
        <w:t>secukinumab</w:t>
      </w:r>
      <w:proofErr w:type="spellEnd"/>
      <w:r w:rsidRPr="00B7603C">
        <w:t xml:space="preserve"> concentration (</w:t>
      </w:r>
      <w:proofErr w:type="spellStart"/>
      <w:r w:rsidRPr="00B7603C">
        <w:t>Cavg</w:t>
      </w:r>
      <w:proofErr w:type="spellEnd"/>
      <w:r w:rsidRPr="00B7603C">
        <w:t>), as predicted for each patient included in the analysis from the population PK model. The bins are specific to the weight category and are determined to cut the sample size in equal numbers in each bin. The statistics are</w:t>
      </w:r>
      <w:r w:rsidR="003C5C0B" w:rsidRPr="00B7603C">
        <w:t xml:space="preserve"> </w:t>
      </w:r>
      <w:r w:rsidRPr="00B7603C">
        <w:t xml:space="preserve">plotted versus the </w:t>
      </w:r>
      <w:proofErr w:type="spellStart"/>
      <w:r w:rsidRPr="00B7603C">
        <w:t>Cavg</w:t>
      </w:r>
      <w:proofErr w:type="spellEnd"/>
      <w:r w:rsidRPr="00B7603C">
        <w:t xml:space="preserve"> median in the bin. The horizontal bars at the bottom of the plot represent the </w:t>
      </w:r>
      <w:proofErr w:type="spellStart"/>
      <w:r w:rsidRPr="00B7603C">
        <w:t>Cavg</w:t>
      </w:r>
      <w:proofErr w:type="spellEnd"/>
      <w:r w:rsidRPr="00B7603C">
        <w:t xml:space="preserve"> interquartile range (</w:t>
      </w:r>
      <w:r w:rsidR="003C5C0B" w:rsidRPr="00B7603C">
        <w:t>that is,</w:t>
      </w:r>
      <w:r w:rsidRPr="00B7603C">
        <w:t xml:space="preserve"> from the </w:t>
      </w:r>
      <w:r w:rsidR="00C85ADE" w:rsidRPr="00B7603C">
        <w:t xml:space="preserve">twenty fifth </w:t>
      </w:r>
      <w:r w:rsidRPr="00B7603C">
        <w:t xml:space="preserve">to the </w:t>
      </w:r>
      <w:r w:rsidR="00C85ADE" w:rsidRPr="00B7603C">
        <w:t>seventy fifth</w:t>
      </w:r>
      <w:r w:rsidRPr="00B7603C">
        <w:t xml:space="preserve"> percentiles) for three relevant groups: 300 mg </w:t>
      </w:r>
      <w:r w:rsidR="007254C8" w:rsidRPr="00B7603C">
        <w:t>every 4 weeks</w:t>
      </w:r>
      <w:r w:rsidRPr="00B7603C">
        <w:t xml:space="preserve"> for &lt;</w:t>
      </w:r>
      <w:r w:rsidR="00C85ADE" w:rsidRPr="00B7603C">
        <w:t> </w:t>
      </w:r>
      <w:r w:rsidRPr="00B7603C">
        <w:t xml:space="preserve">90 kg patients, 300 mg </w:t>
      </w:r>
      <w:r w:rsidR="007254C8" w:rsidRPr="00B7603C">
        <w:t>every 4</w:t>
      </w:r>
      <w:r w:rsidR="002B2CAC" w:rsidRPr="00B7603C">
        <w:t> </w:t>
      </w:r>
      <w:r w:rsidR="007254C8" w:rsidRPr="00B7603C">
        <w:t>weeks</w:t>
      </w:r>
      <w:r w:rsidRPr="00B7603C">
        <w:t xml:space="preserve"> for ≥ 90 kg patients, and 300 mg </w:t>
      </w:r>
      <w:r w:rsidR="00BC168F" w:rsidRPr="00B7603C">
        <w:t>every 2 weeks</w:t>
      </w:r>
      <w:r w:rsidRPr="00B7603C">
        <w:t xml:space="preserve"> for ≥ 90 kg patients obtained for the corresponding patients included in the analysis; the symbols (square for </w:t>
      </w:r>
      <w:r w:rsidR="007254C8" w:rsidRPr="00B7603C">
        <w:t>every 4 weeks</w:t>
      </w:r>
      <w:r w:rsidRPr="00B7603C">
        <w:t xml:space="preserve"> and diamond for 300 mg </w:t>
      </w:r>
      <w:r w:rsidR="00BC168F" w:rsidRPr="00B7603C">
        <w:t>every 2</w:t>
      </w:r>
      <w:r w:rsidR="002B2CAC" w:rsidRPr="00B7603C">
        <w:t> </w:t>
      </w:r>
      <w:r w:rsidR="00BC168F" w:rsidRPr="00B7603C">
        <w:t>weeks</w:t>
      </w:r>
      <w:r w:rsidRPr="00B7603C">
        <w:t xml:space="preserve">) represent the corresponding </w:t>
      </w:r>
      <w:proofErr w:type="spellStart"/>
      <w:r w:rsidRPr="00B7603C">
        <w:t>Cavg</w:t>
      </w:r>
      <w:proofErr w:type="spellEnd"/>
      <w:r w:rsidRPr="00B7603C">
        <w:t xml:space="preserve"> medians.</w:t>
      </w:r>
    </w:p>
    <w:p w14:paraId="31FA64E2" w14:textId="77777777" w:rsidR="00AE00AB" w:rsidRPr="00A65602" w:rsidRDefault="00AE00AB" w:rsidP="004946B9">
      <w:pPr>
        <w:pStyle w:val="Heading4"/>
      </w:pPr>
      <w:r w:rsidRPr="00A65602">
        <w:t>Efficacy</w:t>
      </w:r>
    </w:p>
    <w:p w14:paraId="6DFCEE31" w14:textId="77777777" w:rsidR="00AE00AB" w:rsidRPr="00A65602" w:rsidRDefault="00AE00AB" w:rsidP="004946B9">
      <w:pPr>
        <w:pStyle w:val="Heading5"/>
      </w:pPr>
      <w:bookmarkStart w:id="47" w:name="_Ref92880580"/>
      <w:r w:rsidRPr="00A65602">
        <w:t>Study A2324</w:t>
      </w:r>
      <w:bookmarkEnd w:id="47"/>
    </w:p>
    <w:p w14:paraId="1B4AC191" w14:textId="57798271" w:rsidR="00AE00AB" w:rsidRPr="00A65602" w:rsidRDefault="00AE00AB" w:rsidP="004946B9">
      <w:r w:rsidRPr="00A65602">
        <w:t xml:space="preserve">Study A2324 was a 52-week, Phase </w:t>
      </w:r>
      <w:proofErr w:type="spellStart"/>
      <w:r w:rsidRPr="00A65602">
        <w:t>IIIb</w:t>
      </w:r>
      <w:proofErr w:type="spellEnd"/>
      <w:r w:rsidRPr="00A65602">
        <w:t>, multicentre, randomised, double</w:t>
      </w:r>
      <w:r w:rsidR="00DF320D" w:rsidRPr="00A65602">
        <w:t xml:space="preserve"> </w:t>
      </w:r>
      <w:r w:rsidRPr="00A65602">
        <w:t xml:space="preserve">blind, parallel group study to evaluate the short-term (16 weeks) and long-term (up to 52 weeks) efficacy, safety, and tolerability of secukinumab 300 mg </w:t>
      </w:r>
      <w:r w:rsidR="00BC168F" w:rsidRPr="00A65602">
        <w:t>every 2 weeks</w:t>
      </w:r>
      <w:r w:rsidRPr="00A65602">
        <w:t xml:space="preserve"> </w:t>
      </w:r>
      <w:r w:rsidR="00DF320D" w:rsidRPr="00A65602">
        <w:t xml:space="preserve">subcutaneously </w:t>
      </w:r>
      <w:r w:rsidRPr="00A65602">
        <w:t xml:space="preserve">compared with 300 mg </w:t>
      </w:r>
      <w:r w:rsidR="007254C8" w:rsidRPr="00A65602">
        <w:t>every 4 weeks</w:t>
      </w:r>
      <w:r w:rsidRPr="00A65602">
        <w:t xml:space="preserve"> as maintenance treatment in adult patients with moderate to severe chronic plaque psoriasis and bodyweight ≥</w:t>
      </w:r>
      <w:r w:rsidR="008B4E75" w:rsidRPr="00A65602">
        <w:t xml:space="preserve"> </w:t>
      </w:r>
      <w:r w:rsidRPr="00A65602">
        <w:t>90 kg.</w:t>
      </w:r>
    </w:p>
    <w:p w14:paraId="1DF0A395" w14:textId="51AB4405" w:rsidR="00AE00AB" w:rsidRDefault="00AE00AB" w:rsidP="004946B9">
      <w:r w:rsidRPr="00A65602">
        <w:t xml:space="preserve">Study A2324 was conducted as a post-approval commitment to the US FDA, to evaluate the treatment effect and safety profile of a higher exposure of secukinumab in psoriasis </w:t>
      </w:r>
      <w:r w:rsidRPr="00A65602">
        <w:lastRenderedPageBreak/>
        <w:t>patients with higher bodyweight, and to explore the option of exposure escalation for those who cannot achieve the therapeutic goal with secukinumab 300</w:t>
      </w:r>
      <w:r w:rsidR="003C5C0B" w:rsidRPr="00A65602">
        <w:t xml:space="preserve"> </w:t>
      </w:r>
      <w:r w:rsidRPr="00A65602">
        <w:t xml:space="preserve">mg </w:t>
      </w:r>
      <w:r w:rsidR="007254C8" w:rsidRPr="00A65602">
        <w:t>every 4</w:t>
      </w:r>
      <w:r w:rsidR="00DF320D" w:rsidRPr="00A65602">
        <w:t> </w:t>
      </w:r>
      <w:r w:rsidR="007254C8" w:rsidRPr="00A65602">
        <w:t>weeks</w:t>
      </w:r>
      <w:r w:rsidRPr="00A65602">
        <w:t xml:space="preserve">. Exposure-response modelling in the original plaque psoriasis </w:t>
      </w:r>
      <w:r w:rsidR="00BC168F" w:rsidRPr="00A65602">
        <w:t>submission</w:t>
      </w:r>
      <w:r w:rsidRPr="00A65602">
        <w:t xml:space="preserve"> showed that </w:t>
      </w:r>
      <w:proofErr w:type="spellStart"/>
      <w:r w:rsidR="002C63BD" w:rsidRPr="00A65602">
        <w:t>C</w:t>
      </w:r>
      <w:r w:rsidR="002C63BD" w:rsidRPr="00A65602">
        <w:rPr>
          <w:vertAlign w:val="subscript"/>
        </w:rPr>
        <w:t>trough</w:t>
      </w:r>
      <w:proofErr w:type="spellEnd"/>
      <w:r w:rsidRPr="00A65602">
        <w:t xml:space="preserve"> and clinical response rates were generally higher in patients </w:t>
      </w:r>
      <w:r w:rsidR="00E5633B">
        <w:t xml:space="preserve">with bodyweight </w:t>
      </w:r>
      <w:r w:rsidRPr="00A65602">
        <w:t>&lt;</w:t>
      </w:r>
      <w:r w:rsidR="00E5633B">
        <w:t> </w:t>
      </w:r>
      <w:r w:rsidRPr="00A65602">
        <w:t>90</w:t>
      </w:r>
      <w:r w:rsidR="00E5633B">
        <w:t> </w:t>
      </w:r>
      <w:r w:rsidRPr="00A65602">
        <w:t>kg compared to patients ≥ 90 kg, suggesting the possibility of a greater response rate if secukinumab exposures were increased in patients with bodyweight ≥ 90 kg. In designing Study</w:t>
      </w:r>
      <w:r w:rsidR="00DF320D" w:rsidRPr="00A65602">
        <w:t> </w:t>
      </w:r>
      <w:r w:rsidRPr="00A65602">
        <w:t xml:space="preserve">A2324, the </w:t>
      </w:r>
      <w:r w:rsidR="00AA3BF1" w:rsidRPr="00A65602">
        <w:t>sponsor</w:t>
      </w:r>
      <w:r w:rsidRPr="00A65602">
        <w:t xml:space="preserve"> considered a range of models to predict response rates with higher dosage regimens (450 mg </w:t>
      </w:r>
      <w:r w:rsidR="007254C8" w:rsidRPr="00A65602">
        <w:t>every 4 weeks</w:t>
      </w:r>
      <w:r w:rsidR="00DF320D" w:rsidRPr="00A65602">
        <w:t>,</w:t>
      </w:r>
      <w:r w:rsidRPr="00A65602">
        <w:t xml:space="preserve"> 300 mg </w:t>
      </w:r>
      <w:r w:rsidR="00BC168F" w:rsidRPr="00A65602">
        <w:t>every 2 weeks</w:t>
      </w:r>
      <w:r w:rsidRPr="00A65602">
        <w:t xml:space="preserve"> or 600</w:t>
      </w:r>
      <w:r w:rsidR="00E5633B">
        <w:t> </w:t>
      </w:r>
      <w:r w:rsidRPr="00A65602">
        <w:t xml:space="preserve">mg </w:t>
      </w:r>
      <w:r w:rsidR="007254C8" w:rsidRPr="00A65602">
        <w:t>every 4 weeks</w:t>
      </w:r>
      <w:r w:rsidRPr="00A65602">
        <w:t xml:space="preserve">) compared to 300 mg </w:t>
      </w:r>
      <w:r w:rsidR="007254C8" w:rsidRPr="00A65602">
        <w:t>every 4 weeks</w:t>
      </w:r>
      <w:r w:rsidRPr="00A65602">
        <w:t xml:space="preserve"> in patients ≥ 90 kg (and ≥</w:t>
      </w:r>
      <w:r w:rsidR="00E5633B">
        <w:t> </w:t>
      </w:r>
      <w:r w:rsidRPr="00A65602">
        <w:t>100</w:t>
      </w:r>
      <w:r w:rsidR="00E5633B">
        <w:t> </w:t>
      </w:r>
      <w:r w:rsidRPr="00A65602">
        <w:t xml:space="preserve">kg). Based on these analyses, the </w:t>
      </w:r>
      <w:r w:rsidR="00AA3BF1" w:rsidRPr="00A65602">
        <w:t>sponsor</w:t>
      </w:r>
      <w:r w:rsidRPr="00A65602">
        <w:t xml:space="preserve"> selected 300</w:t>
      </w:r>
      <w:r w:rsidR="003C5C0B" w:rsidRPr="00A65602">
        <w:t xml:space="preserve"> </w:t>
      </w:r>
      <w:r w:rsidRPr="00A65602">
        <w:t xml:space="preserve">mg </w:t>
      </w:r>
      <w:r w:rsidR="00BC168F" w:rsidRPr="00A65602">
        <w:t>every 2 weeks</w:t>
      </w:r>
      <w:r w:rsidRPr="00A65602">
        <w:t xml:space="preserve"> as the higher dosage regimen for this study evaluating PASI 90 response at Week 16 in patients ≥</w:t>
      </w:r>
      <w:r w:rsidR="00E5633B">
        <w:t> </w:t>
      </w:r>
      <w:r w:rsidRPr="00A65602">
        <w:t>90 kg.</w:t>
      </w:r>
    </w:p>
    <w:p w14:paraId="2EBBE5B9" w14:textId="08EE5E25" w:rsidR="00795B22" w:rsidRPr="00A65602" w:rsidRDefault="00795B22" w:rsidP="00723924">
      <w:pPr>
        <w:pStyle w:val="Heading6"/>
      </w:pPr>
      <w:r>
        <w:t>Objectives</w:t>
      </w:r>
    </w:p>
    <w:p w14:paraId="33C03EAE" w14:textId="6BCBE86A" w:rsidR="00AE00AB" w:rsidRPr="00A65602" w:rsidRDefault="00AE00AB" w:rsidP="004946B9">
      <w:r w:rsidRPr="00A65602">
        <w:t>The primary objective was to demonstrate the efficacy of secukinumab 300</w:t>
      </w:r>
      <w:r w:rsidR="003C5C0B" w:rsidRPr="00A65602">
        <w:t xml:space="preserve"> </w:t>
      </w:r>
      <w:r w:rsidRPr="00A65602">
        <w:t xml:space="preserve">mg </w:t>
      </w:r>
      <w:r w:rsidR="00BC168F" w:rsidRPr="00A65602">
        <w:t>every 2</w:t>
      </w:r>
      <w:r w:rsidR="00DF320D" w:rsidRPr="00A65602">
        <w:t> </w:t>
      </w:r>
      <w:r w:rsidR="00BC168F" w:rsidRPr="00A65602">
        <w:t>weeks</w:t>
      </w:r>
      <w:r w:rsidRPr="00A65602">
        <w:t xml:space="preserve"> in comparison to secukinumab 300</w:t>
      </w:r>
      <w:r w:rsidR="003C5C0B" w:rsidRPr="00A65602">
        <w:t xml:space="preserve"> </w:t>
      </w:r>
      <w:r w:rsidRPr="00A65602">
        <w:t xml:space="preserve">mg </w:t>
      </w:r>
      <w:r w:rsidR="007254C8" w:rsidRPr="00A65602">
        <w:t>every 4 weeks</w:t>
      </w:r>
      <w:r w:rsidRPr="00A65602">
        <w:t xml:space="preserve"> with respect to PASI</w:t>
      </w:r>
      <w:r w:rsidR="00DF320D" w:rsidRPr="00A65602">
        <w:t> </w:t>
      </w:r>
      <w:r w:rsidRPr="00A65602">
        <w:t>90 response at Week 16.</w:t>
      </w:r>
    </w:p>
    <w:p w14:paraId="713171D9" w14:textId="77777777" w:rsidR="00AE00AB" w:rsidRPr="00A65602" w:rsidRDefault="00AE00AB" w:rsidP="004946B9">
      <w:r w:rsidRPr="00A65602">
        <w:t>The secondary objectives were:</w:t>
      </w:r>
    </w:p>
    <w:p w14:paraId="10E98D78" w14:textId="69A9F4E1" w:rsidR="00AE00AB" w:rsidRPr="00A65602" w:rsidRDefault="00AE00AB" w:rsidP="004946B9">
      <w:pPr>
        <w:pStyle w:val="ListBullet"/>
      </w:pPr>
      <w:r w:rsidRPr="00A65602">
        <w:t>to demonstrate the efficacy of secukinumab 300</w:t>
      </w:r>
      <w:r w:rsidR="003C5C0B" w:rsidRPr="00A65602">
        <w:t xml:space="preserve"> </w:t>
      </w:r>
      <w:r w:rsidRPr="00A65602">
        <w:t>mg every 2 weeks in comparison to secukinumab 300</w:t>
      </w:r>
      <w:r w:rsidR="003C5C0B" w:rsidRPr="00A65602">
        <w:t xml:space="preserve"> </w:t>
      </w:r>
      <w:r w:rsidRPr="00A65602">
        <w:t xml:space="preserve">mg every 4 weeks with respect to Investigator’s Global Assessment </w:t>
      </w:r>
      <w:r w:rsidR="00DF320D" w:rsidRPr="00A65602">
        <w:t>(IGA)</w:t>
      </w:r>
      <w:r w:rsidR="00CC059B">
        <w:t xml:space="preserve"> in psoriasis, (modified 2011);</w:t>
      </w:r>
      <w:bookmarkStart w:id="48" w:name="_Ref116644534"/>
      <w:r w:rsidR="00AA73B0">
        <w:rPr>
          <w:rStyle w:val="FootnoteReference"/>
        </w:rPr>
        <w:footnoteReference w:id="7"/>
      </w:r>
      <w:bookmarkEnd w:id="48"/>
      <w:r w:rsidR="00CC059B">
        <w:rPr>
          <w:vertAlign w:val="superscript"/>
        </w:rPr>
        <w:t>,</w:t>
      </w:r>
      <w:r w:rsidR="00CC059B">
        <w:rPr>
          <w:rStyle w:val="FootnoteReference"/>
        </w:rPr>
        <w:footnoteReference w:id="8"/>
      </w:r>
      <w:r w:rsidR="00DF320D" w:rsidRPr="00A65602">
        <w:t xml:space="preserve"> </w:t>
      </w:r>
      <w:r w:rsidR="00335480" w:rsidRPr="00A65602">
        <w:t xml:space="preserve">score of </w:t>
      </w:r>
      <w:r w:rsidRPr="00A65602">
        <w:t>0 or 1 response at Week 16.</w:t>
      </w:r>
    </w:p>
    <w:p w14:paraId="6AE4DCFA" w14:textId="3A61FC59" w:rsidR="00AE00AB" w:rsidRPr="00A65602" w:rsidRDefault="00AE00AB" w:rsidP="004946B9">
      <w:pPr>
        <w:pStyle w:val="ListBullet"/>
      </w:pPr>
      <w:r w:rsidRPr="00A65602">
        <w:t>to investigate the clinical safety and tolerability of secukinumab 300</w:t>
      </w:r>
      <w:r w:rsidR="003C5C0B" w:rsidRPr="00A65602">
        <w:t xml:space="preserve"> </w:t>
      </w:r>
      <w:r w:rsidRPr="00A65602">
        <w:t xml:space="preserve">mg </w:t>
      </w:r>
      <w:r w:rsidR="00BC168F" w:rsidRPr="00A65602">
        <w:t>every 2</w:t>
      </w:r>
      <w:r w:rsidR="00DF320D" w:rsidRPr="00A65602">
        <w:t> </w:t>
      </w:r>
      <w:r w:rsidR="00BC168F" w:rsidRPr="00A65602">
        <w:t>weeks</w:t>
      </w:r>
      <w:r w:rsidRPr="00A65602">
        <w:t xml:space="preserve"> as assessed by vital signs, clinical laboratory variables, </w:t>
      </w:r>
      <w:proofErr w:type="gramStart"/>
      <w:r w:rsidRPr="00A65602">
        <w:t>electrocardiogram</w:t>
      </w:r>
      <w:proofErr w:type="gramEnd"/>
      <w:r w:rsidRPr="00A65602">
        <w:t xml:space="preserve"> and adverse events (AEs) monitoring in comparison to secukinumab 300</w:t>
      </w:r>
      <w:r w:rsidR="003C5C0B" w:rsidRPr="00A65602">
        <w:t xml:space="preserve"> </w:t>
      </w:r>
      <w:r w:rsidRPr="00A65602">
        <w:t xml:space="preserve">mg </w:t>
      </w:r>
      <w:r w:rsidR="007254C8" w:rsidRPr="00A65602">
        <w:t>every 4 weeks</w:t>
      </w:r>
      <w:r w:rsidRPr="00A65602">
        <w:t>.</w:t>
      </w:r>
    </w:p>
    <w:p w14:paraId="68FE5F59" w14:textId="325D5646" w:rsidR="00AE00AB" w:rsidRDefault="00AE00AB" w:rsidP="004946B9">
      <w:r w:rsidRPr="00A65602">
        <w:t xml:space="preserve">The study was conducted from 25 June 2018 to 15 July 2020 in </w:t>
      </w:r>
      <w:r w:rsidR="00DF320D" w:rsidRPr="00A65602">
        <w:t xml:space="preserve">the </w:t>
      </w:r>
      <w:r w:rsidRPr="00A65602">
        <w:t>USA (38 centres), Russia (7</w:t>
      </w:r>
      <w:r w:rsidR="00DF320D" w:rsidRPr="00A65602">
        <w:t xml:space="preserve"> centres</w:t>
      </w:r>
      <w:r w:rsidRPr="00A65602">
        <w:t>), Canada (6</w:t>
      </w:r>
      <w:r w:rsidR="00DF320D" w:rsidRPr="00A65602">
        <w:t xml:space="preserve"> centres</w:t>
      </w:r>
      <w:r w:rsidRPr="00A65602">
        <w:t>), Germany (6</w:t>
      </w:r>
      <w:r w:rsidR="00DF320D" w:rsidRPr="00A65602">
        <w:t xml:space="preserve"> centres</w:t>
      </w:r>
      <w:r w:rsidRPr="00A65602">
        <w:t>), Italy (5</w:t>
      </w:r>
      <w:r w:rsidR="00DF320D" w:rsidRPr="00A65602">
        <w:t xml:space="preserve"> centres</w:t>
      </w:r>
      <w:r w:rsidRPr="00A65602">
        <w:t>), Hungary (3</w:t>
      </w:r>
      <w:r w:rsidR="00E5633B">
        <w:t> </w:t>
      </w:r>
      <w:r w:rsidR="00DF320D" w:rsidRPr="00A65602">
        <w:t>centres</w:t>
      </w:r>
      <w:r w:rsidRPr="00A65602">
        <w:t>), and Czech Republic (2</w:t>
      </w:r>
      <w:r w:rsidR="00DF320D" w:rsidRPr="00A65602">
        <w:t xml:space="preserve"> centres</w:t>
      </w:r>
      <w:r w:rsidRPr="00A65602">
        <w:t>).</w:t>
      </w:r>
    </w:p>
    <w:p w14:paraId="2FCF5F93" w14:textId="58D53568" w:rsidR="00795B22" w:rsidRPr="00A65602" w:rsidRDefault="00795B22" w:rsidP="00723924">
      <w:pPr>
        <w:pStyle w:val="Heading6"/>
      </w:pPr>
      <w:r>
        <w:t>Study design</w:t>
      </w:r>
    </w:p>
    <w:p w14:paraId="019CD558" w14:textId="28CCA4BF" w:rsidR="00AE00AB" w:rsidRPr="00A65602" w:rsidRDefault="00AE00AB" w:rsidP="004946B9">
      <w:r w:rsidRPr="00A65602">
        <w:t xml:space="preserve">The study design is shown in </w:t>
      </w:r>
      <w:r w:rsidRPr="00A65602">
        <w:fldChar w:fldCharType="begin"/>
      </w:r>
      <w:r w:rsidRPr="00A65602">
        <w:instrText xml:space="preserve"> REF _Ref92803210 \h </w:instrText>
      </w:r>
      <w:r w:rsidR="004946B9" w:rsidRPr="00A65602">
        <w:instrText xml:space="preserve"> \* MERGEFORMAT </w:instrText>
      </w:r>
      <w:r w:rsidRPr="00A65602">
        <w:fldChar w:fldCharType="separate"/>
      </w:r>
      <w:r w:rsidR="00CE2EF4" w:rsidRPr="00B7603C">
        <w:t xml:space="preserve">Figure </w:t>
      </w:r>
      <w:r w:rsidR="00CE2EF4">
        <w:t>10</w:t>
      </w:r>
      <w:r w:rsidRPr="00A65602">
        <w:fldChar w:fldCharType="end"/>
      </w:r>
      <w:r w:rsidR="00DF320D" w:rsidRPr="00A65602">
        <w:t xml:space="preserve"> below</w:t>
      </w:r>
      <w:r w:rsidRPr="00A65602">
        <w:t>. Treatment with secukinumab 300</w:t>
      </w:r>
      <w:r w:rsidR="00DF320D" w:rsidRPr="00A65602">
        <w:t> </w:t>
      </w:r>
      <w:r w:rsidRPr="00A65602">
        <w:t xml:space="preserve">mg </w:t>
      </w:r>
      <w:r w:rsidR="00DF320D" w:rsidRPr="00A65602">
        <w:t>subcutaneously</w:t>
      </w:r>
      <w:r w:rsidRPr="00A65602">
        <w:t xml:space="preserve"> (2 injections of secukinumab 150 mg) or matching placebo was administered as per the treatment schedule shown in </w:t>
      </w:r>
      <w:r w:rsidRPr="00A65602">
        <w:fldChar w:fldCharType="begin"/>
      </w:r>
      <w:r w:rsidRPr="00A65602">
        <w:instrText xml:space="preserve"> REF _Ref92803210 \h </w:instrText>
      </w:r>
      <w:r w:rsidR="004946B9" w:rsidRPr="00A65602">
        <w:instrText xml:space="preserve"> \* MERGEFORMAT </w:instrText>
      </w:r>
      <w:r w:rsidRPr="00A65602">
        <w:fldChar w:fldCharType="separate"/>
      </w:r>
      <w:r w:rsidR="00CE2EF4" w:rsidRPr="00B7603C">
        <w:t xml:space="preserve">Figure </w:t>
      </w:r>
      <w:r w:rsidR="00CE2EF4">
        <w:t>10</w:t>
      </w:r>
      <w:r w:rsidRPr="00A65602">
        <w:fldChar w:fldCharType="end"/>
      </w:r>
      <w:r w:rsidR="00DF320D" w:rsidRPr="00A65602">
        <w:t xml:space="preserve"> below</w:t>
      </w:r>
      <w:r w:rsidRPr="00A65602">
        <w:t>.</w:t>
      </w:r>
    </w:p>
    <w:p w14:paraId="78B135AE" w14:textId="3F134189" w:rsidR="00AE00AB" w:rsidRPr="00B7603C" w:rsidRDefault="00AE00AB" w:rsidP="00B7603C">
      <w:pPr>
        <w:pStyle w:val="FigureTitle"/>
      </w:pPr>
      <w:bookmarkStart w:id="49" w:name="_Ref92803210"/>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10</w:t>
      </w:r>
      <w:r w:rsidR="00A4590A">
        <w:rPr>
          <w:noProof/>
        </w:rPr>
        <w:fldChar w:fldCharType="end"/>
      </w:r>
      <w:bookmarkEnd w:id="49"/>
      <w:r w:rsidR="006359DD" w:rsidRPr="00B7603C">
        <w:t>: Study A2324</w:t>
      </w:r>
      <w:r w:rsidRPr="00B7603C">
        <w:t xml:space="preserve"> Study design</w:t>
      </w:r>
    </w:p>
    <w:p w14:paraId="41655491" w14:textId="479B04AF" w:rsidR="00AE00AB" w:rsidRPr="00A65602" w:rsidRDefault="00AE00AB" w:rsidP="00B7603C">
      <w:pPr>
        <w:rPr>
          <w:rFonts w:asciiTheme="minorHAnsi" w:eastAsiaTheme="minorHAnsi" w:hAnsiTheme="minorHAnsi"/>
          <w:lang w:eastAsia="ja-JP"/>
        </w:rPr>
      </w:pPr>
      <w:r w:rsidRPr="00A65602">
        <w:rPr>
          <w:noProof/>
          <w:lang w:val="en-GB" w:eastAsia="en-GB"/>
        </w:rPr>
        <w:drawing>
          <wp:inline distT="0" distB="0" distL="0" distR="0" wp14:anchorId="0C065C8B" wp14:editId="68999AAB">
            <wp:extent cx="5196689" cy="3309041"/>
            <wp:effectExtent l="0" t="0" r="4445" b="5715"/>
            <wp:docPr id="40" name="Picture 40" descr="Figure 10: Study A2324 Study design&#10;&#10;Study A2324 was a 52 week multicenter, randomised, double blind, parallel group study consisting of 4 periods: screening (up to 4 weeks), Treatment Period 1 (16 weeks), Treatment Period 2 (36 weeks) and a post treatment follow up of 8 weeks. To mitigate the risk of randomisation errors at Week 16, a single randomisation process (for both Treatment Period 1 and 2) was performed at the Baseline visit. Patients were randomised at the Baseline visit in a 2:1:1 ratio into one of the treatment groups.&#10;&#10;Treatment Period 1: eligible patients were randomised in a 1:1 ratio:&#10;• Secukinumab 300 mg every 2 weeks: Secukinumab 300 mg at Baseline, at Week 1, 2 and 3; and 300 mg every 2 weeks thereafter starting from Week 4.&#10;• Secukinumab 300 mg every 4 weeks: Secukinumab 300 mg at Baseline, at Week 1, 2 and 3; and 300 mg every 4 weeks thereafter starting from Week 4.&#10;&#10;Treatment Period 2 (Week 16 post dose to Week 52): At Week 16, all patients were assessed for Psoriasis Area Severity Index (PASI) 90 response status, and allocated to the following groups:&#10;• Secukinumab 300 mg every 2 weeks: patients remained on secukinumab 300 mg every 2 weeks until the end of treatment.&#10;• Secukinumab 300 mg every 4 weeks: patients continued on secukinumab 300 mg every 4 weeks during Treatment Period 2 regardless of their PASI 90 response status (responders and non-responders) at Week 16.&#10;• Secukinumab 300 mg every 4 weeks possible up-titration: patients received secukinumab 300 mg every 4 weeks up to Week 16, and then based on their PASI 90 response status at Week 16:&#10;o PASI 90 responders: remained on secukinumab 300 mg every 4 weeks during Treatment Period 2&#10;o PASI 90 non-responders (every 4 weeks non-responder up): were up-titrated to secukinumab 300 mg every 2 weeks during Treatment Period 2."/>
            <wp:cNvGraphicFramePr/>
            <a:graphic xmlns:a="http://schemas.openxmlformats.org/drawingml/2006/main">
              <a:graphicData uri="http://schemas.openxmlformats.org/drawingml/2006/picture">
                <pic:pic xmlns:pic="http://schemas.openxmlformats.org/drawingml/2006/picture">
                  <pic:nvPicPr>
                    <pic:cNvPr id="40" name="Picture 40" descr="Figure 10: Study A2324 Study design&#10;&#10;Study A2324 was a 52 week multicenter, randomised, double blind, parallel group study consisting of 4 periods: screening (up to 4 weeks), Treatment Period 1 (16 weeks), Treatment Period 2 (36 weeks) and a post treatment follow up of 8 weeks. To mitigate the risk of randomisation errors at Week 16, a single randomisation process (for both Treatment Period 1 and 2) was performed at the Baseline visit. Patients were randomised at the Baseline visit in a 2:1:1 ratio into one of the treatment groups.&#10;&#10;Treatment Period 1: eligible patients were randomised in a 1:1 ratio:&#10;• Secukinumab 300 mg every 2 weeks: Secukinumab 300 mg at Baseline, at Week 1, 2 and 3; and 300 mg every 2 weeks thereafter starting from Week 4.&#10;• Secukinumab 300 mg every 4 weeks: Secukinumab 300 mg at Baseline, at Week 1, 2 and 3; and 300 mg every 4 weeks thereafter starting from Week 4.&#10;&#10;Treatment Period 2 (Week 16 post dose to Week 52): At Week 16, all patients were assessed for Psoriasis Area Severity Index (PASI) 90 response status, and allocated to the following groups:&#10;• Secukinumab 300 mg every 2 weeks: patients remained on secukinumab 300 mg every 2 weeks until the end of treatment.&#10;• Secukinumab 300 mg every 4 weeks: patients continued on secukinumab 300 mg every 4 weeks during Treatment Period 2 regardless of their PASI 90 response status (responders and non-responders) at Week 16.&#10;• Secukinumab 300 mg every 4 weeks possible up-titration: patients received secukinumab 300 mg every 4 weeks up to Week 16, and then based on their PASI 90 response status at Week 16:&#10;o PASI 90 responders: remained on secukinumab 300 mg every 4 weeks during Treatment Period 2&#10;o PASI 90 non-responders (every 4 weeks non-responder up): were up-titrated to secukinumab 300 mg every 2 weeks during Treatment Period 2."/>
                    <pic:cNvPicPr/>
                  </pic:nvPicPr>
                  <pic:blipFill>
                    <a:blip r:embed="rId25"/>
                    <a:stretch>
                      <a:fillRect/>
                    </a:stretch>
                  </pic:blipFill>
                  <pic:spPr>
                    <a:xfrm>
                      <a:off x="0" y="0"/>
                      <a:ext cx="5247535" cy="3341418"/>
                    </a:xfrm>
                    <a:prstGeom prst="rect">
                      <a:avLst/>
                    </a:prstGeom>
                  </pic:spPr>
                </pic:pic>
              </a:graphicData>
            </a:graphic>
          </wp:inline>
        </w:drawing>
      </w:r>
    </w:p>
    <w:p w14:paraId="210F91D5" w14:textId="47DA03D1" w:rsidR="006359DD" w:rsidRPr="00B7603C" w:rsidRDefault="006359DD" w:rsidP="00B7603C">
      <w:pPr>
        <w:pStyle w:val="FigureDescription"/>
      </w:pPr>
      <w:r w:rsidRPr="00B7603C">
        <w:t xml:space="preserve">Abbreviations: </w:t>
      </w:r>
      <w:r w:rsidR="008A7D29" w:rsidRPr="00B7603C">
        <w:t xml:space="preserve">EOT = end of treatment; NR = PASI 90 non-responders; Q2W = every 2 weeks; Q4W = every 4 weeks; R = PASI 90 responders; </w:t>
      </w:r>
      <w:proofErr w:type="spellStart"/>
      <w:r w:rsidR="008A7D29" w:rsidRPr="00B7603C">
        <w:t>s.c.</w:t>
      </w:r>
      <w:proofErr w:type="spellEnd"/>
      <w:r w:rsidR="008A7D29" w:rsidRPr="00B7603C">
        <w:t xml:space="preserve"> = subcutaneous; </w:t>
      </w:r>
      <w:proofErr w:type="spellStart"/>
      <w:r w:rsidRPr="00B7603C">
        <w:t>Wk</w:t>
      </w:r>
      <w:proofErr w:type="spellEnd"/>
      <w:r w:rsidRPr="00B7603C">
        <w:t xml:space="preserve"> = </w:t>
      </w:r>
      <w:r w:rsidR="001B47D7" w:rsidRPr="00B7603C">
        <w:t>Week</w:t>
      </w:r>
      <w:r w:rsidR="008A7D29" w:rsidRPr="00B7603C">
        <w:t>.</w:t>
      </w:r>
    </w:p>
    <w:p w14:paraId="5EAB818E" w14:textId="77777777" w:rsidR="00795B22" w:rsidRPr="00B7603C" w:rsidRDefault="00795B22" w:rsidP="00B7603C">
      <w:pPr>
        <w:pStyle w:val="FigureDescription"/>
      </w:pPr>
      <w:r w:rsidRPr="00B7603C">
        <w:t>PASI 90 (Psoriasis Area and Severity Index 90) response: a 90% or more reduction (improvement) in PASI score from Baseline.</w:t>
      </w:r>
    </w:p>
    <w:p w14:paraId="676A0388" w14:textId="6BE51082" w:rsidR="00AE00AB" w:rsidRPr="00A65602" w:rsidRDefault="00AE00AB" w:rsidP="004946B9">
      <w:r w:rsidRPr="00A65602">
        <w:t>Key inclusion criteria included:</w:t>
      </w:r>
    </w:p>
    <w:p w14:paraId="691675D6" w14:textId="41C388D5" w:rsidR="00AE00AB" w:rsidRPr="00A65602" w:rsidRDefault="00D6242E" w:rsidP="004946B9">
      <w:pPr>
        <w:pStyle w:val="ListBullet"/>
        <w:rPr>
          <w:rFonts w:asciiTheme="minorHAnsi" w:eastAsiaTheme="minorHAnsi" w:hAnsiTheme="minorHAnsi"/>
        </w:rPr>
      </w:pPr>
      <w:r w:rsidRPr="00A65602">
        <w:t>b</w:t>
      </w:r>
      <w:r w:rsidR="00AE00AB" w:rsidRPr="00A65602">
        <w:t>ody</w:t>
      </w:r>
      <w:r w:rsidR="00AE00AB" w:rsidRPr="00A65602">
        <w:rPr>
          <w:bCs/>
        </w:rPr>
        <w:t>weight ≥ 90</w:t>
      </w:r>
      <w:r w:rsidR="00335480" w:rsidRPr="00A65602">
        <w:rPr>
          <w:bCs/>
        </w:rPr>
        <w:t xml:space="preserve"> </w:t>
      </w:r>
      <w:r w:rsidR="00AE00AB" w:rsidRPr="00A65602">
        <w:rPr>
          <w:bCs/>
        </w:rPr>
        <w:t>kg</w:t>
      </w:r>
      <w:r w:rsidR="00AE00AB" w:rsidRPr="00A65602">
        <w:t xml:space="preserve"> at randomisation</w:t>
      </w:r>
    </w:p>
    <w:p w14:paraId="1DB36F22" w14:textId="4EDF06EA" w:rsidR="00AE00AB" w:rsidRPr="00A65602" w:rsidRDefault="00D6242E" w:rsidP="004946B9">
      <w:pPr>
        <w:pStyle w:val="ListBullet"/>
      </w:pPr>
      <w:r w:rsidRPr="00A65602">
        <w:t>a</w:t>
      </w:r>
      <w:r w:rsidR="00AE00AB" w:rsidRPr="00A65602">
        <w:t>ged ≥ 18 years at screening</w:t>
      </w:r>
    </w:p>
    <w:p w14:paraId="07BB1D68" w14:textId="3C64DF16" w:rsidR="00AE00AB" w:rsidRPr="00A65602" w:rsidRDefault="00D6242E" w:rsidP="004946B9">
      <w:pPr>
        <w:pStyle w:val="ListBullet"/>
      </w:pPr>
      <w:r w:rsidRPr="00A65602">
        <w:t xml:space="preserve">chronic </w:t>
      </w:r>
      <w:r w:rsidR="00AE00AB" w:rsidRPr="00A65602">
        <w:t>plaque</w:t>
      </w:r>
      <w:r w:rsidR="00335480" w:rsidRPr="00A65602">
        <w:t xml:space="preserve"> </w:t>
      </w:r>
      <w:r w:rsidR="00AE00AB" w:rsidRPr="00A65602">
        <w:t>type psoriasis present for at least 6 months and diagnosed before randomisation</w:t>
      </w:r>
    </w:p>
    <w:p w14:paraId="3063DF25" w14:textId="2095EDA1" w:rsidR="00AE00AB" w:rsidRPr="00A65602" w:rsidRDefault="00D6242E" w:rsidP="004946B9">
      <w:pPr>
        <w:pStyle w:val="ListBullet"/>
      </w:pPr>
      <w:r w:rsidRPr="00A65602">
        <w:t xml:space="preserve">moderate </w:t>
      </w:r>
      <w:r w:rsidR="00AE00AB" w:rsidRPr="00A65602">
        <w:t>to severe psoriasis as defined by:</w:t>
      </w:r>
    </w:p>
    <w:p w14:paraId="02746969" w14:textId="5216AA46" w:rsidR="00AE00AB" w:rsidRPr="00A65602" w:rsidRDefault="00DF320D" w:rsidP="004946B9">
      <w:pPr>
        <w:pStyle w:val="ListBullet2"/>
      </w:pPr>
      <w:r w:rsidRPr="00A65602">
        <w:t>Psoriasis Area Severity Index (</w:t>
      </w:r>
      <w:r w:rsidR="00AE00AB" w:rsidRPr="00A65602">
        <w:t>PASI</w:t>
      </w:r>
      <w:r w:rsidRPr="00A65602">
        <w:t>)</w:t>
      </w:r>
      <w:r w:rsidR="00AE00AB" w:rsidRPr="00A65602">
        <w:t xml:space="preserve"> score of 12 or greater, and</w:t>
      </w:r>
    </w:p>
    <w:p w14:paraId="46FC81E3" w14:textId="17314609" w:rsidR="00AE00AB" w:rsidRPr="00A65602" w:rsidRDefault="00DF320D" w:rsidP="004946B9">
      <w:pPr>
        <w:pStyle w:val="ListBullet2"/>
      </w:pPr>
      <w:r w:rsidRPr="00A65602">
        <w:t>Investigator’s Global Assessment (</w:t>
      </w:r>
      <w:r w:rsidR="00AE00AB" w:rsidRPr="00A65602">
        <w:t>IGA</w:t>
      </w:r>
      <w:r w:rsidRPr="00A65602">
        <w:t>)</w:t>
      </w:r>
      <w:r w:rsidR="00AE00AB" w:rsidRPr="00A65602">
        <w:t xml:space="preserve"> mod</w:t>
      </w:r>
      <w:r w:rsidRPr="00A65602">
        <w:t>ified</w:t>
      </w:r>
      <w:r w:rsidR="00AE00AB" w:rsidRPr="00A65602">
        <w:t xml:space="preserve"> 2011 score of 3 or greater (based on a static scale of 0</w:t>
      </w:r>
      <w:r w:rsidR="00D6242E" w:rsidRPr="00A65602">
        <w:t xml:space="preserve"> to </w:t>
      </w:r>
      <w:r w:rsidR="00AE00AB" w:rsidRPr="00A65602">
        <w:t>4)</w:t>
      </w:r>
      <w:r w:rsidR="00CC059B">
        <w:t>;</w:t>
      </w:r>
      <w:r w:rsidR="00CC059B" w:rsidRPr="00723924">
        <w:rPr>
          <w:vertAlign w:val="superscript"/>
        </w:rPr>
        <w:fldChar w:fldCharType="begin"/>
      </w:r>
      <w:r w:rsidR="00CC059B" w:rsidRPr="00723924">
        <w:rPr>
          <w:vertAlign w:val="superscript"/>
        </w:rPr>
        <w:instrText xml:space="preserve"> NOTEREF _Ref116644534 \h </w:instrText>
      </w:r>
      <w:r w:rsidR="00CC059B">
        <w:rPr>
          <w:vertAlign w:val="superscript"/>
        </w:rPr>
        <w:instrText xml:space="preserve"> \* MERGEFORMAT </w:instrText>
      </w:r>
      <w:r w:rsidR="00CC059B" w:rsidRPr="00723924">
        <w:rPr>
          <w:vertAlign w:val="superscript"/>
        </w:rPr>
      </w:r>
      <w:r w:rsidR="00CC059B" w:rsidRPr="00723924">
        <w:rPr>
          <w:vertAlign w:val="superscript"/>
        </w:rPr>
        <w:fldChar w:fldCharType="separate"/>
      </w:r>
      <w:r w:rsidR="00CE2EF4">
        <w:rPr>
          <w:vertAlign w:val="superscript"/>
        </w:rPr>
        <w:t>7</w:t>
      </w:r>
      <w:r w:rsidR="00CC059B" w:rsidRPr="00723924">
        <w:rPr>
          <w:vertAlign w:val="superscript"/>
        </w:rPr>
        <w:fldChar w:fldCharType="end"/>
      </w:r>
      <w:r w:rsidR="00AE00AB" w:rsidRPr="00A65602">
        <w:t xml:space="preserve"> and</w:t>
      </w:r>
    </w:p>
    <w:p w14:paraId="600FC9C4" w14:textId="2356EB16" w:rsidR="00AE00AB" w:rsidRPr="00A65602" w:rsidRDefault="00D6242E" w:rsidP="004946B9">
      <w:pPr>
        <w:pStyle w:val="ListBullet2"/>
      </w:pPr>
      <w:r w:rsidRPr="00A65602">
        <w:t xml:space="preserve">body surface area </w:t>
      </w:r>
      <w:r w:rsidR="00AE00AB" w:rsidRPr="00A65602">
        <w:t>affected by plaque</w:t>
      </w:r>
      <w:r w:rsidRPr="00A65602">
        <w:t xml:space="preserve"> </w:t>
      </w:r>
      <w:r w:rsidR="00AE00AB" w:rsidRPr="00A65602">
        <w:t>type psoriasis of 10% or greater</w:t>
      </w:r>
    </w:p>
    <w:p w14:paraId="58BC4F0D" w14:textId="13010B2D" w:rsidR="00AE00AB" w:rsidRPr="00A65602" w:rsidRDefault="00D6242E" w:rsidP="004946B9">
      <w:pPr>
        <w:pStyle w:val="ListBullet"/>
      </w:pPr>
      <w:r w:rsidRPr="00A65602">
        <w:t xml:space="preserve">candidate </w:t>
      </w:r>
      <w:r w:rsidR="00AE00AB" w:rsidRPr="00A65602">
        <w:t>for systemic therapy, which was defined as a subject having moderate to severe chronic plaque</w:t>
      </w:r>
      <w:r w:rsidRPr="00A65602">
        <w:t xml:space="preserve"> </w:t>
      </w:r>
      <w:r w:rsidR="00AE00AB" w:rsidRPr="00A65602">
        <w:t>type psoriasis that was inadequately controlled by:</w:t>
      </w:r>
    </w:p>
    <w:p w14:paraId="4B318050" w14:textId="77777777" w:rsidR="00AE00AB" w:rsidRPr="00A65602" w:rsidRDefault="00AE00AB" w:rsidP="004946B9">
      <w:pPr>
        <w:pStyle w:val="ListBullet2"/>
      </w:pPr>
      <w:r w:rsidRPr="00A65602">
        <w:t>topical treatment and/or,</w:t>
      </w:r>
    </w:p>
    <w:p w14:paraId="451447B1" w14:textId="77777777" w:rsidR="00AE00AB" w:rsidRPr="00A65602" w:rsidRDefault="00AE00AB" w:rsidP="004946B9">
      <w:pPr>
        <w:pStyle w:val="ListBullet2"/>
      </w:pPr>
      <w:r w:rsidRPr="00A65602">
        <w:t>phototherapy and/or,</w:t>
      </w:r>
    </w:p>
    <w:p w14:paraId="360F27D8" w14:textId="77777777" w:rsidR="00AE00AB" w:rsidRPr="00A65602" w:rsidRDefault="00AE00AB" w:rsidP="004946B9">
      <w:pPr>
        <w:pStyle w:val="ListBullet2"/>
      </w:pPr>
      <w:r w:rsidRPr="00A65602">
        <w:t>previous systemic therapy.</w:t>
      </w:r>
    </w:p>
    <w:p w14:paraId="1604E80D" w14:textId="0E349199" w:rsidR="00795B22" w:rsidRDefault="00795B22" w:rsidP="00723924">
      <w:pPr>
        <w:pStyle w:val="Heading6"/>
      </w:pPr>
      <w:r>
        <w:t>Study populations</w:t>
      </w:r>
    </w:p>
    <w:p w14:paraId="7E785B70" w14:textId="0AD9F997" w:rsidR="00AE00AB" w:rsidRPr="00A65602" w:rsidRDefault="00D6242E" w:rsidP="004946B9">
      <w:r w:rsidRPr="00A65602">
        <w:t xml:space="preserve">Three hundred and </w:t>
      </w:r>
      <w:r w:rsidR="002D7E43" w:rsidRPr="00A65602">
        <w:t>thirty-one</w:t>
      </w:r>
      <w:r w:rsidRPr="00A65602">
        <w:t xml:space="preserve"> (</w:t>
      </w:r>
      <w:r w:rsidR="00AE00AB" w:rsidRPr="00A65602">
        <w:t>331</w:t>
      </w:r>
      <w:r w:rsidRPr="00A65602">
        <w:t>)</w:t>
      </w:r>
      <w:r w:rsidR="00AE00AB" w:rsidRPr="00A65602">
        <w:t xml:space="preserve"> patients were randomised in the study, 165 to secukinumab 300 mg </w:t>
      </w:r>
      <w:r w:rsidR="00BC168F" w:rsidRPr="00A65602">
        <w:t>every 2 weeks</w:t>
      </w:r>
      <w:r w:rsidR="00AE00AB" w:rsidRPr="00A65602">
        <w:t xml:space="preserve"> and 166 to secukinumab 300 mg </w:t>
      </w:r>
      <w:r w:rsidR="007254C8" w:rsidRPr="00A65602">
        <w:t>every 4 weeks</w:t>
      </w:r>
      <w:r w:rsidR="00AE00AB" w:rsidRPr="00A65602">
        <w:t xml:space="preserve">. </w:t>
      </w:r>
      <w:r w:rsidR="00335480" w:rsidRPr="00A65602">
        <w:t>Three hundred and twenty (</w:t>
      </w:r>
      <w:r w:rsidR="00AE00AB" w:rsidRPr="00A65602">
        <w:t>320</w:t>
      </w:r>
      <w:r w:rsidR="00335480" w:rsidRPr="00A65602">
        <w:t>)</w:t>
      </w:r>
      <w:r w:rsidRPr="00A65602">
        <w:t> </w:t>
      </w:r>
      <w:r w:rsidR="00AE00AB" w:rsidRPr="00A65602">
        <w:t>patients (96.7%) completed Treatment Period</w:t>
      </w:r>
      <w:r w:rsidR="002D58B4">
        <w:t> </w:t>
      </w:r>
      <w:r w:rsidR="00AE00AB" w:rsidRPr="00A65602">
        <w:t>1 (Week</w:t>
      </w:r>
      <w:r w:rsidR="00CC059B">
        <w:t> </w:t>
      </w:r>
      <w:r w:rsidR="00AE00AB" w:rsidRPr="00A65602">
        <w:t>16), and 293 (88.5%) completed the entire study (Week 52). At Week 16, 71</w:t>
      </w:r>
      <w:r w:rsidR="00CC059B">
        <w:t> </w:t>
      </w:r>
      <w:r w:rsidR="00AE00AB" w:rsidRPr="00A65602">
        <w:t>patients in the 300</w:t>
      </w:r>
      <w:r w:rsidR="00335480" w:rsidRPr="00A65602">
        <w:t> </w:t>
      </w:r>
      <w:r w:rsidR="00AE00AB" w:rsidRPr="00A65602">
        <w:t xml:space="preserve">mg </w:t>
      </w:r>
      <w:r w:rsidR="00B3337A" w:rsidRPr="00A65602">
        <w:t>every</w:t>
      </w:r>
      <w:r w:rsidR="00CC059B">
        <w:t xml:space="preserve"> </w:t>
      </w:r>
      <w:r w:rsidR="00B3337A" w:rsidRPr="00A65602">
        <w:t>4</w:t>
      </w:r>
      <w:r w:rsidR="00CC059B">
        <w:t xml:space="preserve"> </w:t>
      </w:r>
      <w:r w:rsidR="00B3337A" w:rsidRPr="00A65602">
        <w:t>weeks</w:t>
      </w:r>
      <w:r w:rsidR="00AE00AB" w:rsidRPr="00A65602">
        <w:t xml:space="preserve"> group were PASI 90 non-responders. Of these, </w:t>
      </w:r>
      <w:r w:rsidR="00AE00AB" w:rsidRPr="00A65602">
        <w:lastRenderedPageBreak/>
        <w:t>40</w:t>
      </w:r>
      <w:r w:rsidR="00CC059B">
        <w:t> </w:t>
      </w:r>
      <w:r w:rsidR="00AE00AB" w:rsidRPr="00A65602">
        <w:t>patients remained on 300</w:t>
      </w:r>
      <w:r w:rsidRPr="00A65602">
        <w:t> </w:t>
      </w:r>
      <w:r w:rsidR="00AE00AB" w:rsidRPr="00A65602">
        <w:t xml:space="preserve">mg </w:t>
      </w:r>
      <w:r w:rsidR="007254C8" w:rsidRPr="00A65602">
        <w:t>every 4 weeks</w:t>
      </w:r>
      <w:r w:rsidR="00AE00AB" w:rsidRPr="00A65602">
        <w:t xml:space="preserve"> (300 mg </w:t>
      </w:r>
      <w:r w:rsidR="007254C8" w:rsidRPr="00A65602">
        <w:t>every</w:t>
      </w:r>
      <w:r w:rsidR="00CC059B">
        <w:t xml:space="preserve"> </w:t>
      </w:r>
      <w:r w:rsidR="007254C8" w:rsidRPr="00A65602">
        <w:t>4</w:t>
      </w:r>
      <w:r w:rsidR="00CC059B">
        <w:t xml:space="preserve"> </w:t>
      </w:r>
      <w:r w:rsidR="007254C8" w:rsidRPr="00A65602">
        <w:t>weeks</w:t>
      </w:r>
      <w:r w:rsidR="00AE00AB" w:rsidRPr="00A65602">
        <w:t xml:space="preserve"> </w:t>
      </w:r>
      <w:r w:rsidR="00164CC2" w:rsidRPr="00A65602">
        <w:t>non-responders</w:t>
      </w:r>
      <w:r w:rsidR="00AE00AB" w:rsidRPr="00A65602">
        <w:t xml:space="preserve"> stay group) and 31</w:t>
      </w:r>
      <w:r w:rsidR="00335480" w:rsidRPr="00A65602">
        <w:t> </w:t>
      </w:r>
      <w:r w:rsidR="00AE00AB" w:rsidRPr="00A65602">
        <w:t xml:space="preserve">patients were </w:t>
      </w:r>
      <w:proofErr w:type="gramStart"/>
      <w:r w:rsidR="00AE00AB" w:rsidRPr="00A65602">
        <w:t>up-titrated</w:t>
      </w:r>
      <w:proofErr w:type="gramEnd"/>
      <w:r w:rsidR="00AE00AB" w:rsidRPr="00A65602">
        <w:t xml:space="preserve"> to 300 mg </w:t>
      </w:r>
      <w:r w:rsidR="00BC168F" w:rsidRPr="00A65602">
        <w:t>every 2 weeks</w:t>
      </w:r>
      <w:r w:rsidR="00AE00AB" w:rsidRPr="00A65602">
        <w:t xml:space="preserve"> (300 mg </w:t>
      </w:r>
      <w:r w:rsidR="007254C8" w:rsidRPr="00A65602">
        <w:t>every</w:t>
      </w:r>
      <w:r w:rsidR="00CC059B">
        <w:t xml:space="preserve"> </w:t>
      </w:r>
      <w:r w:rsidR="007254C8" w:rsidRPr="00A65602">
        <w:t>4</w:t>
      </w:r>
      <w:r w:rsidR="00CC059B">
        <w:t> </w:t>
      </w:r>
      <w:r w:rsidR="007254C8" w:rsidRPr="00A65602">
        <w:t>weeks</w:t>
      </w:r>
      <w:r w:rsidR="00AE00AB" w:rsidRPr="00A65602">
        <w:t xml:space="preserve"> </w:t>
      </w:r>
      <w:r w:rsidR="00164CC2" w:rsidRPr="00A65602">
        <w:t>non</w:t>
      </w:r>
      <w:r w:rsidR="00335480" w:rsidRPr="00A65602">
        <w:noBreakHyphen/>
      </w:r>
      <w:r w:rsidR="00164CC2" w:rsidRPr="00A65602">
        <w:t>responders</w:t>
      </w:r>
      <w:r w:rsidR="00AE00AB" w:rsidRPr="00A65602">
        <w:t xml:space="preserve"> up group).</w:t>
      </w:r>
    </w:p>
    <w:p w14:paraId="6A58CCF3" w14:textId="06A872F9" w:rsidR="00AE00AB" w:rsidRDefault="00AE00AB" w:rsidP="004946B9">
      <w:r w:rsidRPr="00A65602">
        <w:t>The baseline demographic characteristics were generally well</w:t>
      </w:r>
      <w:r w:rsidR="00335480" w:rsidRPr="00A65602">
        <w:t>-</w:t>
      </w:r>
      <w:r w:rsidRPr="00A65602">
        <w:t xml:space="preserve">balanced between the two treatment groups. Overall, 74.9% of subjects were male, and </w:t>
      </w:r>
      <w:proofErr w:type="gramStart"/>
      <w:r w:rsidRPr="00A65602">
        <w:t>the majority of</w:t>
      </w:r>
      <w:proofErr w:type="gramEnd"/>
      <w:r w:rsidRPr="00A65602">
        <w:t xml:space="preserve"> subjects were White (92.4%) and &lt; 65 years (90.6%). All subjects weighed at least 90 kg at </w:t>
      </w:r>
      <w:r w:rsidR="00431D93" w:rsidRPr="00A65602">
        <w:t>Baseline and</w:t>
      </w:r>
      <w:r w:rsidRPr="00A65602">
        <w:t xml:space="preserve"> had a baseline PASI score of at least 12.</w:t>
      </w:r>
    </w:p>
    <w:p w14:paraId="2A4B2976" w14:textId="09F6E441" w:rsidR="00795B22" w:rsidRPr="00A65602" w:rsidRDefault="00795B22" w:rsidP="002D58B4">
      <w:pPr>
        <w:pStyle w:val="Heading6"/>
      </w:pPr>
      <w:r>
        <w:t>Efficacy endpoints</w:t>
      </w:r>
    </w:p>
    <w:p w14:paraId="6BBB6A74" w14:textId="5F10E10B" w:rsidR="00AE00AB" w:rsidRPr="00A65602" w:rsidRDefault="00AE00AB" w:rsidP="004946B9">
      <w:r w:rsidRPr="00A65602">
        <w:t xml:space="preserve">The primary efficacy endpoint was PASI 90 response at Week 16 (percentage of subjects who achieve ≥ 90% reduction in PASI score at Week 16 compared to </w:t>
      </w:r>
      <w:r w:rsidR="00E13DE6" w:rsidRPr="00A65602">
        <w:t>Baseline</w:t>
      </w:r>
      <w:r w:rsidRPr="00A65602">
        <w:t xml:space="preserve">). The secondary efficacy endpoint was IGA </w:t>
      </w:r>
      <w:r w:rsidR="00F1642E" w:rsidRPr="00A65602">
        <w:t xml:space="preserve">score of </w:t>
      </w:r>
      <w:r w:rsidRPr="00A65602">
        <w:t>0</w:t>
      </w:r>
      <w:r w:rsidR="00F1642E" w:rsidRPr="00A65602">
        <w:t xml:space="preserve"> or </w:t>
      </w:r>
      <w:r w:rsidRPr="00A65602">
        <w:t>1 response at Week 16 (percentage of subjects who achieve IGA mod</w:t>
      </w:r>
      <w:r w:rsidR="00335480" w:rsidRPr="00A65602">
        <w:t>ified</w:t>
      </w:r>
      <w:r w:rsidRPr="00A65602">
        <w:t xml:space="preserve"> 2011 </w:t>
      </w:r>
      <w:r w:rsidR="00335480" w:rsidRPr="00A65602">
        <w:t xml:space="preserve">score of </w:t>
      </w:r>
      <w:r w:rsidRPr="00A65602">
        <w:t xml:space="preserve">0 or 1 and improved by at least 2 points on the IGA scale at Week 16 compared to </w:t>
      </w:r>
      <w:r w:rsidR="00E13DE6" w:rsidRPr="00A65602">
        <w:t>Baseline</w:t>
      </w:r>
      <w:r w:rsidRPr="00A65602">
        <w:t>). Exploratory efficacy variables included PASI 50</w:t>
      </w:r>
      <w:r w:rsidR="00F1642E" w:rsidRPr="00A65602">
        <w:t xml:space="preserve">, </w:t>
      </w:r>
      <w:r w:rsidRPr="00A65602">
        <w:t>75</w:t>
      </w:r>
      <w:r w:rsidR="00F1642E" w:rsidRPr="00A65602">
        <w:t xml:space="preserve">, </w:t>
      </w:r>
      <w:r w:rsidRPr="00A65602">
        <w:t>90</w:t>
      </w:r>
      <w:r w:rsidR="00F1642E" w:rsidRPr="00A65602">
        <w:t xml:space="preserve"> and </w:t>
      </w:r>
      <w:r w:rsidRPr="00A65602">
        <w:t xml:space="preserve">100 and IGA </w:t>
      </w:r>
      <w:r w:rsidR="00335480" w:rsidRPr="00A65602">
        <w:t xml:space="preserve">modified </w:t>
      </w:r>
      <w:r w:rsidRPr="00A65602">
        <w:t>2011 responses after up-titration in PASI</w:t>
      </w:r>
      <w:r w:rsidR="00F1642E" w:rsidRPr="00A65602">
        <w:t> </w:t>
      </w:r>
      <w:r w:rsidRPr="00A65602">
        <w:t xml:space="preserve">90 non-responders at Week 16 receiving secukinumab 300 mg </w:t>
      </w:r>
      <w:r w:rsidR="007254C8" w:rsidRPr="00A65602">
        <w:t>every 4 weeks</w:t>
      </w:r>
      <w:r w:rsidRPr="00A65602">
        <w:t>, at Week 32 and up to Week 52, PASI 50</w:t>
      </w:r>
      <w:r w:rsidR="00F1642E" w:rsidRPr="00A65602">
        <w:t xml:space="preserve">, </w:t>
      </w:r>
      <w:r w:rsidRPr="00A65602">
        <w:t>75</w:t>
      </w:r>
      <w:r w:rsidR="00F1642E" w:rsidRPr="00A65602">
        <w:t xml:space="preserve">, </w:t>
      </w:r>
      <w:r w:rsidRPr="00A65602">
        <w:t>90</w:t>
      </w:r>
      <w:r w:rsidR="00F1642E" w:rsidRPr="00A65602">
        <w:t xml:space="preserve"> and </w:t>
      </w:r>
      <w:r w:rsidRPr="00A65602">
        <w:t>100</w:t>
      </w:r>
      <w:r w:rsidR="00F1642E" w:rsidRPr="00A65602">
        <w:t>,</w:t>
      </w:r>
      <w:r w:rsidRPr="00A65602">
        <w:t xml:space="preserve"> and IGA </w:t>
      </w:r>
      <w:r w:rsidR="00335480" w:rsidRPr="00A65602">
        <w:t xml:space="preserve">modified </w:t>
      </w:r>
      <w:r w:rsidRPr="00A65602">
        <w:t xml:space="preserve">2011 </w:t>
      </w:r>
      <w:r w:rsidR="00335480" w:rsidRPr="00A65602">
        <w:t xml:space="preserve">score of </w:t>
      </w:r>
      <w:r w:rsidRPr="00A65602">
        <w:t xml:space="preserve">0 or 1 responses over time, PASI score over time, IGA </w:t>
      </w:r>
      <w:r w:rsidR="00335480" w:rsidRPr="00A65602">
        <w:t xml:space="preserve">modified </w:t>
      </w:r>
      <w:r w:rsidRPr="00A65602">
        <w:t>2011 score over time, relapse and rebound. Patient Reported Outcomes</w:t>
      </w:r>
      <w:r w:rsidR="00AA73B0">
        <w:t>;</w:t>
      </w:r>
      <w:r w:rsidR="00AA73B0">
        <w:rPr>
          <w:rStyle w:val="FootnoteReference"/>
        </w:rPr>
        <w:footnoteReference w:id="9"/>
      </w:r>
      <w:r w:rsidRPr="00A65602">
        <w:t xml:space="preserve"> included Dermatology Life Quality Index.</w:t>
      </w:r>
      <w:r w:rsidR="00605611">
        <w:rPr>
          <w:rStyle w:val="FootnoteReference"/>
        </w:rPr>
        <w:footnoteReference w:id="10"/>
      </w:r>
    </w:p>
    <w:p w14:paraId="0FEFDEBA" w14:textId="6748CAE7" w:rsidR="00AE00AB" w:rsidRDefault="00AE00AB" w:rsidP="004946B9">
      <w:r w:rsidRPr="00A65602">
        <w:t xml:space="preserve">The analysis of efficacy variables was based on the full analysis set. The statistical hypotheses for the primary and secondary endpoints were tested sequentially at </w:t>
      </w:r>
      <w:r w:rsidR="00CC059B">
        <w:t>an alpha</w:t>
      </w:r>
      <w:r w:rsidR="00F1642E" w:rsidRPr="00A65602">
        <w:t> </w:t>
      </w:r>
      <w:r w:rsidRPr="00A65602">
        <w:t>=</w:t>
      </w:r>
      <w:r w:rsidR="00F1642E" w:rsidRPr="00A65602">
        <w:t> </w:t>
      </w:r>
      <w:r w:rsidRPr="00A65602">
        <w:t>2.5% (one-sided).</w:t>
      </w:r>
    </w:p>
    <w:p w14:paraId="2F02B4C3" w14:textId="61861B40" w:rsidR="00795B22" w:rsidRPr="00A65602" w:rsidRDefault="00795B22" w:rsidP="002D58B4">
      <w:pPr>
        <w:pStyle w:val="Heading6"/>
      </w:pPr>
      <w:r>
        <w:t>Results</w:t>
      </w:r>
    </w:p>
    <w:p w14:paraId="00403F58" w14:textId="2F2036FF" w:rsidR="00AE00AB" w:rsidRPr="00A65602" w:rsidRDefault="00AE00AB" w:rsidP="004946B9">
      <w:r w:rsidRPr="00A65602">
        <w:t>The study met its primary endpoint. PASI 90 response at Week 16 was 73.2% in the 300</w:t>
      </w:r>
      <w:r w:rsidR="00F1642E" w:rsidRPr="00A65602">
        <w:t> </w:t>
      </w:r>
      <w:r w:rsidRPr="00A65602">
        <w:t xml:space="preserve">mg </w:t>
      </w:r>
      <w:r w:rsidR="00BC168F" w:rsidRPr="00A65602">
        <w:t>every</w:t>
      </w:r>
      <w:r w:rsidR="00CC059B">
        <w:t xml:space="preserve"> </w:t>
      </w:r>
      <w:r w:rsidR="00BC168F" w:rsidRPr="00A65602">
        <w:t>2</w:t>
      </w:r>
      <w:r w:rsidR="00CC059B">
        <w:t xml:space="preserve"> </w:t>
      </w:r>
      <w:r w:rsidR="00BC168F" w:rsidRPr="00A65602">
        <w:t>weeks</w:t>
      </w:r>
      <w:r w:rsidRPr="00A65602">
        <w:t xml:space="preserve"> group and 55.5% in the 300 mg </w:t>
      </w:r>
      <w:r w:rsidR="00B3337A" w:rsidRPr="00A65602">
        <w:t>every</w:t>
      </w:r>
      <w:r w:rsidR="00CC059B">
        <w:t xml:space="preserve"> </w:t>
      </w:r>
      <w:r w:rsidR="00B3337A" w:rsidRPr="00A65602">
        <w:t>4</w:t>
      </w:r>
      <w:r w:rsidR="00CC059B">
        <w:t xml:space="preserve"> </w:t>
      </w:r>
      <w:r w:rsidR="00B3337A" w:rsidRPr="00A65602">
        <w:t xml:space="preserve">weeks </w:t>
      </w:r>
      <w:r w:rsidRPr="00A65602">
        <w:t>group, a difference of 17.7% (</w:t>
      </w:r>
      <w:r w:rsidR="00F1642E" w:rsidRPr="00A65602">
        <w:t xml:space="preserve">see </w:t>
      </w:r>
      <w:r w:rsidRPr="00A65602">
        <w:fldChar w:fldCharType="begin"/>
      </w:r>
      <w:r w:rsidRPr="00A65602">
        <w:instrText xml:space="preserve"> REF _Ref92812738 \h </w:instrText>
      </w:r>
      <w:r w:rsidR="004946B9" w:rsidRPr="00A65602">
        <w:instrText xml:space="preserve"> \* MERGEFORMAT </w:instrText>
      </w:r>
      <w:r w:rsidRPr="00A65602">
        <w:fldChar w:fldCharType="separate"/>
      </w:r>
      <w:r w:rsidR="00CE2EF4" w:rsidRPr="00B7603C">
        <w:t xml:space="preserve">Table </w:t>
      </w:r>
      <w:r w:rsidR="00CE2EF4">
        <w:t>2</w:t>
      </w:r>
      <w:r w:rsidRPr="00A65602">
        <w:fldChar w:fldCharType="end"/>
      </w:r>
      <w:r w:rsidR="00F1642E" w:rsidRPr="00A65602">
        <w:t xml:space="preserve"> below</w:t>
      </w:r>
      <w:r w:rsidRPr="00A65602">
        <w:t>). A sensitivity analysis of the primary endpoint using modified non</w:t>
      </w:r>
      <w:r w:rsidR="00335480" w:rsidRPr="00A65602">
        <w:noBreakHyphen/>
      </w:r>
      <w:r w:rsidRPr="00A65602">
        <w:t>responder imputation was consistent with the primary analysis (multiple imputation).</w:t>
      </w:r>
    </w:p>
    <w:p w14:paraId="3BCAC82B" w14:textId="11D0554C" w:rsidR="00AE00AB" w:rsidRPr="00B7603C" w:rsidRDefault="00AE00AB" w:rsidP="00B7603C">
      <w:pPr>
        <w:pStyle w:val="TableTitle"/>
      </w:pPr>
      <w:bookmarkStart w:id="50" w:name="_Ref92812738"/>
      <w:r w:rsidRPr="00B7603C">
        <w:t xml:space="preserve">Table </w:t>
      </w:r>
      <w:r w:rsidR="00A4590A">
        <w:fldChar w:fldCharType="begin"/>
      </w:r>
      <w:r w:rsidR="00A4590A">
        <w:instrText xml:space="preserve"> SEQ Table \* ARABIC </w:instrText>
      </w:r>
      <w:r w:rsidR="00A4590A">
        <w:fldChar w:fldCharType="separate"/>
      </w:r>
      <w:r w:rsidR="00CE2EF4">
        <w:rPr>
          <w:noProof/>
        </w:rPr>
        <w:t>2</w:t>
      </w:r>
      <w:r w:rsidR="00A4590A">
        <w:rPr>
          <w:noProof/>
        </w:rPr>
        <w:fldChar w:fldCharType="end"/>
      </w:r>
      <w:bookmarkEnd w:id="50"/>
      <w:r w:rsidR="006359DD" w:rsidRPr="00B7603C">
        <w:t>: Study A2324</w:t>
      </w:r>
      <w:r w:rsidRPr="00B7603C">
        <w:t xml:space="preserve"> Analysis of </w:t>
      </w:r>
      <w:r w:rsidR="00795B22" w:rsidRPr="00B7603C">
        <w:t xml:space="preserve">PASI </w:t>
      </w:r>
      <w:r w:rsidRPr="00B7603C">
        <w:t>90 response at Week 16 (multiple imputation</w:t>
      </w:r>
      <w:r w:rsidR="002B2CAC" w:rsidRPr="00B7603C">
        <w:t xml:space="preserve">, </w:t>
      </w:r>
      <w:r w:rsidR="00914095" w:rsidRPr="00B7603C">
        <w:t>full analysis set</w:t>
      </w:r>
      <w:r w:rsidRPr="00B7603C">
        <w:t>)</w:t>
      </w:r>
    </w:p>
    <w:p w14:paraId="73AD50C8" w14:textId="77777777" w:rsidR="006359DD" w:rsidRPr="00A65602" w:rsidRDefault="00AE00AB" w:rsidP="00B7603C">
      <w:pPr>
        <w:rPr>
          <w:lang w:eastAsia="ja-JP"/>
        </w:rPr>
      </w:pPr>
      <w:r w:rsidRPr="00A65602">
        <w:rPr>
          <w:noProof/>
          <w:lang w:val="en-GB" w:eastAsia="en-GB"/>
        </w:rPr>
        <w:drawing>
          <wp:inline distT="0" distB="0" distL="0" distR="0" wp14:anchorId="382EDF4D" wp14:editId="48BA1F5C">
            <wp:extent cx="5343099" cy="812042"/>
            <wp:effectExtent l="0" t="0" r="0" b="7620"/>
            <wp:docPr id="53" name="Picture 53" descr="Table 2: Study A2324 Analysis of PASI 90 response at Week 16 (multiple imputation, full analysis set)"/>
            <wp:cNvGraphicFramePr/>
            <a:graphic xmlns:a="http://schemas.openxmlformats.org/drawingml/2006/main">
              <a:graphicData uri="http://schemas.openxmlformats.org/drawingml/2006/picture">
                <pic:pic xmlns:pic="http://schemas.openxmlformats.org/drawingml/2006/picture">
                  <pic:nvPicPr>
                    <pic:cNvPr id="53" name="Picture 53" descr="Table 2: Study A2324 Analysis of PASI 90 response at Week 16 (multiple imputation, full analysis set)"/>
                    <pic:cNvPicPr/>
                  </pic:nvPicPr>
                  <pic:blipFill>
                    <a:blip r:embed="rId26"/>
                    <a:stretch>
                      <a:fillRect/>
                    </a:stretch>
                  </pic:blipFill>
                  <pic:spPr>
                    <a:xfrm>
                      <a:off x="0" y="0"/>
                      <a:ext cx="5383571" cy="818193"/>
                    </a:xfrm>
                    <a:prstGeom prst="rect">
                      <a:avLst/>
                    </a:prstGeom>
                  </pic:spPr>
                </pic:pic>
              </a:graphicData>
            </a:graphic>
          </wp:inline>
        </w:drawing>
      </w:r>
    </w:p>
    <w:p w14:paraId="41F8B02F" w14:textId="4614CA80" w:rsidR="006359DD" w:rsidRDefault="006359DD" w:rsidP="00B7603C">
      <w:pPr>
        <w:pStyle w:val="TableDescription"/>
      </w:pPr>
      <w:r w:rsidRPr="00A65602">
        <w:t>Abbreviations: AIN457 =</w:t>
      </w:r>
      <w:r w:rsidR="004A0022" w:rsidRPr="00A65602">
        <w:t xml:space="preserve"> secukinumab</w:t>
      </w:r>
      <w:r w:rsidR="008A7D29" w:rsidRPr="00A65602">
        <w:t xml:space="preserve">; </w:t>
      </w:r>
      <w:r w:rsidR="00992696" w:rsidRPr="00A65602">
        <w:t>CI = confidence interval</w:t>
      </w:r>
      <w:r w:rsidR="008A7D29" w:rsidRPr="00A65602">
        <w:t xml:space="preserve">; </w:t>
      </w:r>
      <w:r w:rsidR="00AE00AB" w:rsidRPr="00A65602">
        <w:t>m = number of patients evaluable. n*</w:t>
      </w:r>
      <w:r w:rsidR="00CC059B">
        <w:t> </w:t>
      </w:r>
      <w:r w:rsidR="00AE00AB" w:rsidRPr="00A65602">
        <w:t>=</w:t>
      </w:r>
      <w:r w:rsidR="00CC059B">
        <w:t> </w:t>
      </w:r>
      <w:r w:rsidR="00AE00AB" w:rsidRPr="00A65602">
        <w:t>rounded average number of patients with response in 100 imputations</w:t>
      </w:r>
      <w:r w:rsidR="008A7D29" w:rsidRPr="00A65602">
        <w:t xml:space="preserve">; </w:t>
      </w:r>
      <w:r w:rsidRPr="00A65602">
        <w:t>PASI =</w:t>
      </w:r>
      <w:r w:rsidR="004A0022" w:rsidRPr="00A65602">
        <w:t xml:space="preserve"> Psoriasis Area and Severity Index</w:t>
      </w:r>
      <w:r w:rsidR="008A7D29" w:rsidRPr="00A65602">
        <w:t>.</w:t>
      </w:r>
    </w:p>
    <w:p w14:paraId="1D4E6CCA" w14:textId="0F196741" w:rsidR="00795B22" w:rsidRPr="00A65602" w:rsidRDefault="00795B22" w:rsidP="00B7603C">
      <w:pPr>
        <w:pStyle w:val="TableDescription"/>
      </w:pPr>
      <w:r>
        <w:t>PASI 90 (Psoriasis Area and Severity Index 90) response: a 90% or more reduction (improvement) in PASI score from Baseline.</w:t>
      </w:r>
    </w:p>
    <w:p w14:paraId="0B3AF444" w14:textId="4D181613" w:rsidR="00AE00AB" w:rsidRDefault="00AE00AB" w:rsidP="004946B9">
      <w:r w:rsidRPr="00A65602">
        <w:t>The study did not meet the secondary efficacy endpoint. IGA</w:t>
      </w:r>
      <w:r w:rsidR="00F1642E" w:rsidRPr="00A65602">
        <w:t xml:space="preserve"> score of</w:t>
      </w:r>
      <w:r w:rsidRPr="00A65602">
        <w:t xml:space="preserve"> 0</w:t>
      </w:r>
      <w:r w:rsidR="00F1642E" w:rsidRPr="00A65602">
        <w:t xml:space="preserve"> or </w:t>
      </w:r>
      <w:r w:rsidRPr="00A65602">
        <w:t xml:space="preserve">1 response at Week 16 was numerically higher in the secukinumab 300 mg </w:t>
      </w:r>
      <w:r w:rsidR="00B3337A" w:rsidRPr="00A65602">
        <w:t>every</w:t>
      </w:r>
      <w:r w:rsidR="00CC059B">
        <w:t xml:space="preserve"> </w:t>
      </w:r>
      <w:r w:rsidR="00B3337A" w:rsidRPr="00A65602">
        <w:t>2</w:t>
      </w:r>
      <w:r w:rsidR="00CC059B">
        <w:t xml:space="preserve"> </w:t>
      </w:r>
      <w:r w:rsidR="00B3337A" w:rsidRPr="00A65602">
        <w:t xml:space="preserve">weeks </w:t>
      </w:r>
      <w:r w:rsidRPr="00A65602">
        <w:t xml:space="preserve">group (74.2%) compared to the secukinumab 300 mg </w:t>
      </w:r>
      <w:r w:rsidR="00B3337A" w:rsidRPr="00A65602">
        <w:t>every</w:t>
      </w:r>
      <w:r w:rsidR="00CC059B">
        <w:t xml:space="preserve"> </w:t>
      </w:r>
      <w:r w:rsidR="00B3337A" w:rsidRPr="00A65602">
        <w:t>4</w:t>
      </w:r>
      <w:r w:rsidR="00CC059B">
        <w:t xml:space="preserve"> </w:t>
      </w:r>
      <w:r w:rsidR="00B3337A" w:rsidRPr="00A65602">
        <w:t xml:space="preserve">weeks </w:t>
      </w:r>
      <w:r w:rsidRPr="00A65602">
        <w:t>group (65.9%), but the difference was not statistically significant (</w:t>
      </w:r>
      <w:r w:rsidR="00F1642E" w:rsidRPr="00A65602">
        <w:t xml:space="preserve">see </w:t>
      </w:r>
      <w:r w:rsidRPr="00A65602">
        <w:fldChar w:fldCharType="begin"/>
      </w:r>
      <w:r w:rsidRPr="00A65602">
        <w:instrText xml:space="preserve"> REF _Ref92873794 \h </w:instrText>
      </w:r>
      <w:r w:rsidR="004946B9" w:rsidRPr="00A65602">
        <w:instrText xml:space="preserve"> \* MERGEFORMAT </w:instrText>
      </w:r>
      <w:r w:rsidRPr="00A65602">
        <w:fldChar w:fldCharType="separate"/>
      </w:r>
      <w:r w:rsidR="00CE2EF4" w:rsidRPr="00B7603C">
        <w:t xml:space="preserve">Table </w:t>
      </w:r>
      <w:r w:rsidR="00CE2EF4">
        <w:t>3</w:t>
      </w:r>
      <w:r w:rsidRPr="00A65602">
        <w:fldChar w:fldCharType="end"/>
      </w:r>
      <w:r w:rsidR="00F1642E" w:rsidRPr="00A65602">
        <w:t xml:space="preserve"> below</w:t>
      </w:r>
      <w:r w:rsidRPr="00A65602">
        <w:t>). Exploratory efficacy outcomes are shown in</w:t>
      </w:r>
      <w:r w:rsidR="00422711">
        <w:t xml:space="preserve"> </w:t>
      </w:r>
      <w:r w:rsidR="00422711">
        <w:fldChar w:fldCharType="begin"/>
      </w:r>
      <w:r w:rsidR="00422711">
        <w:instrText xml:space="preserve"> REF _Ref111716187 \h </w:instrText>
      </w:r>
      <w:r w:rsidR="00422711">
        <w:fldChar w:fldCharType="separate"/>
      </w:r>
      <w:r w:rsidR="00CE2EF4" w:rsidRPr="00B7603C">
        <w:t xml:space="preserve">Figure </w:t>
      </w:r>
      <w:r w:rsidR="00CE2EF4">
        <w:rPr>
          <w:noProof/>
        </w:rPr>
        <w:t>11</w:t>
      </w:r>
      <w:r w:rsidR="00422711">
        <w:fldChar w:fldCharType="end"/>
      </w:r>
      <w:r w:rsidR="00422711">
        <w:t xml:space="preserve"> and </w:t>
      </w:r>
      <w:r w:rsidR="00422711">
        <w:fldChar w:fldCharType="begin"/>
      </w:r>
      <w:r w:rsidR="00422711">
        <w:instrText xml:space="preserve"> REF _Ref92875933 \h </w:instrText>
      </w:r>
      <w:r w:rsidR="00422711">
        <w:fldChar w:fldCharType="separate"/>
      </w:r>
      <w:r w:rsidR="00CE2EF4" w:rsidRPr="00B7603C">
        <w:t xml:space="preserve">Figure </w:t>
      </w:r>
      <w:r w:rsidR="00CE2EF4">
        <w:rPr>
          <w:noProof/>
        </w:rPr>
        <w:t>12</w:t>
      </w:r>
      <w:r w:rsidR="00422711">
        <w:fldChar w:fldCharType="end"/>
      </w:r>
      <w:r w:rsidR="00F1642E" w:rsidRPr="00A65602">
        <w:t xml:space="preserve"> below</w:t>
      </w:r>
      <w:r w:rsidRPr="00A65602">
        <w:t>.</w:t>
      </w:r>
    </w:p>
    <w:p w14:paraId="06F7F433" w14:textId="3535BDA4" w:rsidR="00935F9A" w:rsidRPr="00A65602" w:rsidRDefault="00935F9A" w:rsidP="002D58B4">
      <w:pPr>
        <w:spacing w:before="0" w:after="200" w:line="0" w:lineRule="auto"/>
      </w:pPr>
      <w:r>
        <w:br w:type="page"/>
      </w:r>
    </w:p>
    <w:p w14:paraId="6FB98E52" w14:textId="4E0864D9" w:rsidR="00AE00AB" w:rsidRPr="00B7603C" w:rsidRDefault="00AE00AB" w:rsidP="00B7603C">
      <w:pPr>
        <w:pStyle w:val="TableTitle"/>
      </w:pPr>
      <w:bookmarkStart w:id="51" w:name="_Ref92873794"/>
      <w:r w:rsidRPr="00B7603C">
        <w:lastRenderedPageBreak/>
        <w:t xml:space="preserve">Table </w:t>
      </w:r>
      <w:r w:rsidR="00A4590A">
        <w:fldChar w:fldCharType="begin"/>
      </w:r>
      <w:r w:rsidR="00A4590A">
        <w:instrText xml:space="preserve"> SEQ Table \* ARABIC </w:instrText>
      </w:r>
      <w:r w:rsidR="00A4590A">
        <w:fldChar w:fldCharType="separate"/>
      </w:r>
      <w:r w:rsidR="00CE2EF4">
        <w:rPr>
          <w:noProof/>
        </w:rPr>
        <w:t>3</w:t>
      </w:r>
      <w:r w:rsidR="00A4590A">
        <w:rPr>
          <w:noProof/>
        </w:rPr>
        <w:fldChar w:fldCharType="end"/>
      </w:r>
      <w:bookmarkEnd w:id="51"/>
      <w:r w:rsidR="006359DD" w:rsidRPr="00B7603C">
        <w:t>: Study A2324</w:t>
      </w:r>
      <w:r w:rsidRPr="00B7603C">
        <w:t xml:space="preserve"> Logistic regression analysis of </w:t>
      </w:r>
      <w:r w:rsidR="00795B22" w:rsidRPr="00B7603C">
        <w:t xml:space="preserve">IGA </w:t>
      </w:r>
      <w:r w:rsidR="00935F9A" w:rsidRPr="00B7603C">
        <w:t>score</w:t>
      </w:r>
      <w:r w:rsidR="00795B22" w:rsidRPr="00B7603C">
        <w:t>s</w:t>
      </w:r>
      <w:r w:rsidR="00935F9A" w:rsidRPr="00B7603C">
        <w:t xml:space="preserve"> </w:t>
      </w:r>
      <w:r w:rsidR="00335480" w:rsidRPr="00B7603C">
        <w:t xml:space="preserve">of </w:t>
      </w:r>
      <w:r w:rsidRPr="00B7603C">
        <w:t>0 or 1 response</w:t>
      </w:r>
      <w:r w:rsidR="00795B22" w:rsidRPr="00B7603C">
        <w:t>s</w:t>
      </w:r>
      <w:r w:rsidRPr="00B7603C">
        <w:t xml:space="preserve"> at Week 16 (multiple imputation</w:t>
      </w:r>
      <w:r w:rsidR="002B2CAC" w:rsidRPr="00B7603C">
        <w:t xml:space="preserve">, </w:t>
      </w:r>
      <w:r w:rsidR="00914095" w:rsidRPr="00B7603C">
        <w:t>full analysis set</w:t>
      </w:r>
      <w:r w:rsidRPr="00B7603C">
        <w:t>)</w:t>
      </w:r>
    </w:p>
    <w:p w14:paraId="5FCAA665" w14:textId="77777777" w:rsidR="00111206" w:rsidRPr="00A65602" w:rsidRDefault="00AE00AB" w:rsidP="00B7603C">
      <w:pPr>
        <w:rPr>
          <w:lang w:eastAsia="ja-JP"/>
        </w:rPr>
      </w:pPr>
      <w:r w:rsidRPr="00A65602">
        <w:rPr>
          <w:noProof/>
          <w:lang w:val="en-GB" w:eastAsia="en-GB"/>
        </w:rPr>
        <w:drawing>
          <wp:inline distT="0" distB="0" distL="0" distR="0" wp14:anchorId="292D169E" wp14:editId="46E09444">
            <wp:extent cx="5370394" cy="866633"/>
            <wp:effectExtent l="0" t="0" r="1905" b="0"/>
            <wp:docPr id="54" name="Picture 54" descr="Table 3: Study A2324 Logistic regression analysis of IGA scores of 0 or 1 responses at Week 16 (multiple imputation, full analysis set)"/>
            <wp:cNvGraphicFramePr/>
            <a:graphic xmlns:a="http://schemas.openxmlformats.org/drawingml/2006/main">
              <a:graphicData uri="http://schemas.openxmlformats.org/drawingml/2006/picture">
                <pic:pic xmlns:pic="http://schemas.openxmlformats.org/drawingml/2006/picture">
                  <pic:nvPicPr>
                    <pic:cNvPr id="54" name="Picture 54" descr="Table 3: Study A2324 Logistic regression analysis of IGA scores of 0 or 1 responses at Week 16 (multiple imputation, full analysis set)"/>
                    <pic:cNvPicPr/>
                  </pic:nvPicPr>
                  <pic:blipFill>
                    <a:blip r:embed="rId27"/>
                    <a:stretch>
                      <a:fillRect/>
                    </a:stretch>
                  </pic:blipFill>
                  <pic:spPr>
                    <a:xfrm>
                      <a:off x="0" y="0"/>
                      <a:ext cx="5405643" cy="872321"/>
                    </a:xfrm>
                    <a:prstGeom prst="rect">
                      <a:avLst/>
                    </a:prstGeom>
                  </pic:spPr>
                </pic:pic>
              </a:graphicData>
            </a:graphic>
          </wp:inline>
        </w:drawing>
      </w:r>
    </w:p>
    <w:p w14:paraId="3C95D3C7" w14:textId="6EA5C167" w:rsidR="00AE00AB" w:rsidRPr="00B7603C" w:rsidRDefault="006359DD" w:rsidP="00B7603C">
      <w:pPr>
        <w:pStyle w:val="TableDescription"/>
      </w:pPr>
      <w:r w:rsidRPr="00B7603C">
        <w:t>Abbreviations: AIN457 =</w:t>
      </w:r>
      <w:r w:rsidR="004A0022" w:rsidRPr="00B7603C">
        <w:t xml:space="preserve"> secukinumab</w:t>
      </w:r>
      <w:r w:rsidR="008A7D29" w:rsidRPr="00B7603C">
        <w:t xml:space="preserve">; </w:t>
      </w:r>
      <w:r w:rsidR="00992696" w:rsidRPr="00B7603C">
        <w:t>CI = confidence interval</w:t>
      </w:r>
      <w:r w:rsidR="008A7D29" w:rsidRPr="00B7603C">
        <w:t xml:space="preserve">; </w:t>
      </w:r>
      <w:r w:rsidRPr="00B7603C">
        <w:t xml:space="preserve">IGA = </w:t>
      </w:r>
      <w:r w:rsidR="004A0022" w:rsidRPr="00B7603C">
        <w:t>Investigator’s Global Assessment</w:t>
      </w:r>
      <w:r w:rsidR="00795B22" w:rsidRPr="00B7603C">
        <w:t xml:space="preserve"> (modified 2011)</w:t>
      </w:r>
      <w:r w:rsidR="008A7D29" w:rsidRPr="00B7603C">
        <w:t xml:space="preserve">; </w:t>
      </w:r>
      <w:r w:rsidR="00AE00AB" w:rsidRPr="00B7603C">
        <w:t>m = number of patients evaluable. n* = rounded average number of patients with response in 100 imputations</w:t>
      </w:r>
      <w:r w:rsidR="008A7D29" w:rsidRPr="00B7603C">
        <w:t>.</w:t>
      </w:r>
    </w:p>
    <w:p w14:paraId="2DDC600C" w14:textId="77777777" w:rsidR="00795B22" w:rsidRPr="00B7603C" w:rsidRDefault="00795B22" w:rsidP="00B7603C">
      <w:pPr>
        <w:pStyle w:val="TableDescription"/>
      </w:pPr>
      <w:r w:rsidRPr="00B7603C">
        <w:t>The Investigator’s Global Assessment (IGA) scale (psoriasis) is a five-point scale that provides a point in time global clinical assessment of psoriasis severity ranging from 0 to 4, where:</w:t>
      </w:r>
    </w:p>
    <w:p w14:paraId="7A5D6B5F" w14:textId="77777777" w:rsidR="00795B22" w:rsidRPr="00B7603C" w:rsidRDefault="00795B22" w:rsidP="00B7603C">
      <w:pPr>
        <w:pStyle w:val="TableDescription"/>
      </w:pPr>
      <w:r w:rsidRPr="00B7603C">
        <w:t>0 = clear (no signs of psoriasis, some post-inflammatory hyperpigmentation may be present</w:t>
      </w:r>
      <w:proofErr w:type="gramStart"/>
      <w:r w:rsidRPr="00B7603C">
        <w:t>);</w:t>
      </w:r>
      <w:proofErr w:type="gramEnd"/>
    </w:p>
    <w:p w14:paraId="6CED127F" w14:textId="77777777" w:rsidR="00795B22" w:rsidRPr="00B7603C" w:rsidRDefault="00795B22" w:rsidP="00B7603C">
      <w:pPr>
        <w:pStyle w:val="TableDescription"/>
      </w:pPr>
      <w:r w:rsidRPr="00B7603C">
        <w:t>1 = almost clear (no thickening, normal or pink coloration</w:t>
      </w:r>
      <w:proofErr w:type="gramStart"/>
      <w:r w:rsidRPr="00B7603C">
        <w:t>);</w:t>
      </w:r>
      <w:proofErr w:type="gramEnd"/>
    </w:p>
    <w:p w14:paraId="5DEB7D0F" w14:textId="77777777" w:rsidR="00795B22" w:rsidRPr="00B7603C" w:rsidRDefault="00795B22" w:rsidP="00B7603C">
      <w:pPr>
        <w:pStyle w:val="TableDescription"/>
      </w:pPr>
      <w:r w:rsidRPr="00B7603C">
        <w:t>2 = mild (mild thickening, pink to light red coloration</w:t>
      </w:r>
      <w:proofErr w:type="gramStart"/>
      <w:r w:rsidRPr="00B7603C">
        <w:t>);</w:t>
      </w:r>
      <w:proofErr w:type="gramEnd"/>
    </w:p>
    <w:p w14:paraId="2E298A15" w14:textId="77777777" w:rsidR="00795B22" w:rsidRPr="00B7603C" w:rsidRDefault="00795B22" w:rsidP="00B7603C">
      <w:pPr>
        <w:pStyle w:val="TableDescription"/>
      </w:pPr>
      <w:r w:rsidRPr="00B7603C">
        <w:t>3 = moderate (moderate thickening, dull to bright red</w:t>
      </w:r>
      <w:proofErr w:type="gramStart"/>
      <w:r w:rsidRPr="00B7603C">
        <w:t>);</w:t>
      </w:r>
      <w:proofErr w:type="gramEnd"/>
    </w:p>
    <w:p w14:paraId="32C18D07" w14:textId="0AA3151C" w:rsidR="00795B22" w:rsidRPr="00B7603C" w:rsidRDefault="00795B22" w:rsidP="00B7603C">
      <w:pPr>
        <w:pStyle w:val="TableDescription"/>
      </w:pPr>
      <w:r w:rsidRPr="00B7603C">
        <w:t>4 = severe (severe thickening, bright to deep red).</w:t>
      </w:r>
    </w:p>
    <w:p w14:paraId="49F933DA" w14:textId="77777777" w:rsidR="00605611" w:rsidRDefault="00605611" w:rsidP="00921C28">
      <w:pPr>
        <w:pStyle w:val="FigureTitle"/>
      </w:pPr>
      <w:bookmarkStart w:id="52" w:name="_Ref92875765"/>
      <w:r>
        <w:br w:type="page"/>
      </w:r>
    </w:p>
    <w:p w14:paraId="5AEA5A06" w14:textId="679EFC3E" w:rsidR="00AE00AB" w:rsidRPr="00B7603C" w:rsidRDefault="00AE00AB" w:rsidP="00B7603C">
      <w:pPr>
        <w:pStyle w:val="FigureTitle"/>
      </w:pPr>
      <w:bookmarkStart w:id="53" w:name="_Ref111716187"/>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11</w:t>
      </w:r>
      <w:r w:rsidR="00A4590A">
        <w:rPr>
          <w:noProof/>
        </w:rPr>
        <w:fldChar w:fldCharType="end"/>
      </w:r>
      <w:bookmarkEnd w:id="52"/>
      <w:bookmarkEnd w:id="53"/>
      <w:r w:rsidR="006359DD" w:rsidRPr="00B7603C">
        <w:t>: Study A2324</w:t>
      </w:r>
      <w:r w:rsidRPr="00B7603C">
        <w:t xml:space="preserve"> Time course of </w:t>
      </w:r>
      <w:r w:rsidR="00795B22" w:rsidRPr="00B7603C">
        <w:t>PASI</w:t>
      </w:r>
      <w:r w:rsidR="002B2CAC" w:rsidRPr="00B7603C">
        <w:t xml:space="preserve"> </w:t>
      </w:r>
      <w:r w:rsidRPr="00B7603C">
        <w:t>75, 90, 100</w:t>
      </w:r>
      <w:r w:rsidR="00795B22" w:rsidRPr="00B7603C">
        <w:t>;</w:t>
      </w:r>
      <w:r w:rsidRPr="00B7603C">
        <w:t xml:space="preserve"> and </w:t>
      </w:r>
      <w:r w:rsidR="00795B22" w:rsidRPr="00B7603C">
        <w:t xml:space="preserve">IGA </w:t>
      </w:r>
      <w:r w:rsidR="00335480" w:rsidRPr="00B7603C">
        <w:t>score</w:t>
      </w:r>
      <w:r w:rsidR="00795B22" w:rsidRPr="00B7603C">
        <w:t>s</w:t>
      </w:r>
      <w:r w:rsidR="00335480" w:rsidRPr="00B7603C">
        <w:t xml:space="preserve"> of </w:t>
      </w:r>
      <w:r w:rsidRPr="00B7603C">
        <w:t>0</w:t>
      </w:r>
      <w:r w:rsidR="00335480" w:rsidRPr="00B7603C">
        <w:t xml:space="preserve"> or </w:t>
      </w:r>
      <w:r w:rsidRPr="00B7603C">
        <w:t xml:space="preserve">1 responders </w:t>
      </w:r>
      <w:r w:rsidR="008B4E75" w:rsidRPr="00B7603C">
        <w:t>(</w:t>
      </w:r>
      <w:r w:rsidRPr="00B7603C">
        <w:t xml:space="preserve">estimate and 95% </w:t>
      </w:r>
      <w:r w:rsidR="002B2CAC" w:rsidRPr="00B7603C">
        <w:t>confidence interval</w:t>
      </w:r>
      <w:r w:rsidR="00461B07" w:rsidRPr="00B7603C">
        <w:t xml:space="preserve">, </w:t>
      </w:r>
      <w:r w:rsidRPr="00B7603C">
        <w:t xml:space="preserve">multiple imputation) in </w:t>
      </w:r>
      <w:r w:rsidR="00795B22" w:rsidRPr="00B7603C">
        <w:t>PASI</w:t>
      </w:r>
      <w:r w:rsidR="00431D93">
        <w:t> </w:t>
      </w:r>
      <w:r w:rsidRPr="00B7603C">
        <w:t>90 non-responders at Week 16</w:t>
      </w:r>
      <w:r w:rsidR="002B2CAC" w:rsidRPr="00B7603C">
        <w:t xml:space="preserve"> </w:t>
      </w:r>
      <w:r w:rsidR="00D6242E" w:rsidRPr="00B7603C">
        <w:t>Treatment Period</w:t>
      </w:r>
      <w:r w:rsidRPr="00B7603C">
        <w:t xml:space="preserve"> 2</w:t>
      </w:r>
    </w:p>
    <w:p w14:paraId="16E70A4E" w14:textId="3F0B3093" w:rsidR="00346365" w:rsidRPr="00A65602" w:rsidRDefault="00346365" w:rsidP="00B7603C">
      <w:r w:rsidRPr="00A65602">
        <w:rPr>
          <w:noProof/>
          <w:lang w:val="en-GB" w:eastAsia="en-GB"/>
        </w:rPr>
        <w:drawing>
          <wp:inline distT="0" distB="0" distL="0" distR="0" wp14:anchorId="2B535AD5" wp14:editId="542C8DE8">
            <wp:extent cx="4310020" cy="6544600"/>
            <wp:effectExtent l="0" t="0" r="0" b="8890"/>
            <wp:docPr id="24" name="Picture 24" descr="Figure 11: Study A2324 Time course of PASI 75, 90, 100; and IGA scores of 0 or 1 responders (estimate and 95% confidence interval, multiple imputation) in PASI 90 non-responders at Week 16 Treatment Perio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Figure 11: Study A2324 Time course of PASI 75, 90, 100; and IGA scores of 0 or 1 responders (estimate and 95% confidence interval, multiple imputation) in PASI 90 non-responders at Week 16 Treatment Period 2"/>
                    <pic:cNvPicPr/>
                  </pic:nvPicPr>
                  <pic:blipFill>
                    <a:blip r:embed="rId28"/>
                    <a:stretch>
                      <a:fillRect/>
                    </a:stretch>
                  </pic:blipFill>
                  <pic:spPr>
                    <a:xfrm>
                      <a:off x="0" y="0"/>
                      <a:ext cx="4337867" cy="6586884"/>
                    </a:xfrm>
                    <a:prstGeom prst="rect">
                      <a:avLst/>
                    </a:prstGeom>
                  </pic:spPr>
                </pic:pic>
              </a:graphicData>
            </a:graphic>
          </wp:inline>
        </w:drawing>
      </w:r>
    </w:p>
    <w:p w14:paraId="1E73995E" w14:textId="55C2C84F" w:rsidR="00212CB5" w:rsidRPr="00B7603C" w:rsidRDefault="006359DD" w:rsidP="00B7603C">
      <w:pPr>
        <w:pStyle w:val="FigureDescription"/>
      </w:pPr>
      <w:r w:rsidRPr="00B7603C">
        <w:t xml:space="preserve">Abbreviations: </w:t>
      </w:r>
      <w:r w:rsidR="008A7D29" w:rsidRPr="00B7603C">
        <w:t>AIN457 = secukinumab; IGA = Investigator’s Global Assessment</w:t>
      </w:r>
      <w:r w:rsidR="002D58B4" w:rsidRPr="00B7603C">
        <w:t xml:space="preserve"> (modified 2011)</w:t>
      </w:r>
      <w:r w:rsidR="008A7D29" w:rsidRPr="00B7603C">
        <w:t xml:space="preserve">; N = number of subjects; NR = non-responders; </w:t>
      </w:r>
      <w:r w:rsidRPr="00B7603C">
        <w:t xml:space="preserve">PASI = </w:t>
      </w:r>
      <w:r w:rsidR="004A0022" w:rsidRPr="00B7603C">
        <w:t>Psoriasis Area and Severity Index</w:t>
      </w:r>
      <w:r w:rsidR="008A7D29" w:rsidRPr="00B7603C">
        <w:t xml:space="preserve">; </w:t>
      </w:r>
      <w:r w:rsidRPr="00B7603C">
        <w:t>Q4W =</w:t>
      </w:r>
      <w:r w:rsidR="004A0022" w:rsidRPr="00B7603C">
        <w:t xml:space="preserve"> every 4</w:t>
      </w:r>
      <w:r w:rsidR="00431D93">
        <w:t> </w:t>
      </w:r>
      <w:r w:rsidR="004A0022" w:rsidRPr="00B7603C">
        <w:t>weeks</w:t>
      </w:r>
      <w:r w:rsidR="008A7D29" w:rsidRPr="00B7603C">
        <w:t>.</w:t>
      </w:r>
    </w:p>
    <w:p w14:paraId="0677C8BB" w14:textId="77777777" w:rsidR="00212CB5" w:rsidRPr="00B7603C" w:rsidRDefault="00212CB5" w:rsidP="00B7603C">
      <w:pPr>
        <w:pStyle w:val="FigureDescription"/>
      </w:pPr>
      <w:r w:rsidRPr="00B7603C">
        <w:t>PASI 75/90/100 (Psoriasis Area and Severity Index 75/90/100) response: a 75%/90%/100% or more reduction (improvement) in PASI score from Baseline.</w:t>
      </w:r>
    </w:p>
    <w:p w14:paraId="3C5C4EE7" w14:textId="77777777" w:rsidR="00212CB5" w:rsidRPr="00B7603C" w:rsidRDefault="00212CB5" w:rsidP="00B7603C">
      <w:pPr>
        <w:pStyle w:val="FigureDescription"/>
      </w:pPr>
      <w:r w:rsidRPr="00B7603C">
        <w:t>The Investigator’s Global Assessment (IGA) scale (psoriasis) is a five-point scale that provides a point</w:t>
      </w:r>
      <w:r w:rsidRPr="00B7603C">
        <w:noBreakHyphen/>
        <w:t>in</w:t>
      </w:r>
      <w:r w:rsidRPr="00B7603C">
        <w:noBreakHyphen/>
        <w:t>time global clinical assessment of psoriasis severity ranging from 0 to 4, where:</w:t>
      </w:r>
    </w:p>
    <w:p w14:paraId="3C4BCAC3" w14:textId="77777777" w:rsidR="00212CB5" w:rsidRPr="00B7603C" w:rsidRDefault="00212CB5" w:rsidP="00B7603C">
      <w:pPr>
        <w:pStyle w:val="FigureDescription"/>
      </w:pPr>
      <w:r w:rsidRPr="00B7603C">
        <w:t>0 = clear (no signs of psoriasis, some post-inflammatory hyperpigmentation may be present</w:t>
      </w:r>
      <w:proofErr w:type="gramStart"/>
      <w:r w:rsidRPr="00B7603C">
        <w:t>);</w:t>
      </w:r>
      <w:proofErr w:type="gramEnd"/>
    </w:p>
    <w:p w14:paraId="42AE6252" w14:textId="77777777" w:rsidR="00212CB5" w:rsidRPr="00B7603C" w:rsidRDefault="00212CB5" w:rsidP="00B7603C">
      <w:pPr>
        <w:pStyle w:val="FigureDescription"/>
      </w:pPr>
      <w:r w:rsidRPr="00B7603C">
        <w:t>1 = almost clear (no thickening, normal or pink coloration</w:t>
      </w:r>
      <w:proofErr w:type="gramStart"/>
      <w:r w:rsidRPr="00B7603C">
        <w:t>);</w:t>
      </w:r>
      <w:proofErr w:type="gramEnd"/>
    </w:p>
    <w:p w14:paraId="36FEC892" w14:textId="77777777" w:rsidR="00212CB5" w:rsidRPr="00B7603C" w:rsidRDefault="00212CB5" w:rsidP="00B7603C">
      <w:pPr>
        <w:pStyle w:val="FigureDescription"/>
      </w:pPr>
      <w:r w:rsidRPr="00B7603C">
        <w:lastRenderedPageBreak/>
        <w:t>2 = mild (mild thickening, pink to light red coloration</w:t>
      </w:r>
      <w:proofErr w:type="gramStart"/>
      <w:r w:rsidRPr="00B7603C">
        <w:t>);</w:t>
      </w:r>
      <w:proofErr w:type="gramEnd"/>
    </w:p>
    <w:p w14:paraId="4207FDBA" w14:textId="77777777" w:rsidR="002D58B4" w:rsidRPr="00B7603C" w:rsidRDefault="00212CB5" w:rsidP="00B7603C">
      <w:pPr>
        <w:pStyle w:val="FigureDescription"/>
      </w:pPr>
      <w:r w:rsidRPr="00B7603C">
        <w:t>3 = moderate (moderate thickening, dull to bright red</w:t>
      </w:r>
      <w:proofErr w:type="gramStart"/>
      <w:r w:rsidRPr="00B7603C">
        <w:t>);</w:t>
      </w:r>
      <w:proofErr w:type="gramEnd"/>
    </w:p>
    <w:p w14:paraId="076C6390" w14:textId="5D7DE6B1" w:rsidR="00212CB5" w:rsidRPr="00B7603C" w:rsidRDefault="00212CB5" w:rsidP="00B7603C">
      <w:pPr>
        <w:pStyle w:val="FigureDescription"/>
      </w:pPr>
      <w:r w:rsidRPr="00B7603C">
        <w:t>4 = severe (severe thickening, bright to deep red).</w:t>
      </w:r>
    </w:p>
    <w:p w14:paraId="7A263DFE" w14:textId="0F4F82BC" w:rsidR="00AE00AB" w:rsidRPr="00B7603C" w:rsidRDefault="00AE00AB" w:rsidP="00B7603C">
      <w:pPr>
        <w:pStyle w:val="FigureTitle"/>
      </w:pPr>
      <w:bookmarkStart w:id="54" w:name="_Ref92875933"/>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12</w:t>
      </w:r>
      <w:r w:rsidR="00A4590A">
        <w:rPr>
          <w:noProof/>
        </w:rPr>
        <w:fldChar w:fldCharType="end"/>
      </w:r>
      <w:bookmarkEnd w:id="54"/>
      <w:r w:rsidR="006359DD" w:rsidRPr="00B7603C">
        <w:t xml:space="preserve">: Study A2324 </w:t>
      </w:r>
      <w:r w:rsidRPr="00B7603C">
        <w:t>Time course of</w:t>
      </w:r>
      <w:r w:rsidR="00212CB5" w:rsidRPr="00B7603C">
        <w:t xml:space="preserve"> PASI </w:t>
      </w:r>
      <w:r w:rsidRPr="00B7603C">
        <w:t xml:space="preserve">75, 90, 100 </w:t>
      </w:r>
      <w:r w:rsidR="00212CB5" w:rsidRPr="00B7603C">
        <w:t xml:space="preserve">responses, and IGA </w:t>
      </w:r>
      <w:r w:rsidR="00335480" w:rsidRPr="00B7603C">
        <w:t xml:space="preserve">score of </w:t>
      </w:r>
      <w:r w:rsidRPr="00B7603C">
        <w:t>0</w:t>
      </w:r>
      <w:r w:rsidR="00335480" w:rsidRPr="00B7603C">
        <w:t xml:space="preserve"> or </w:t>
      </w:r>
      <w:r w:rsidRPr="00B7603C">
        <w:t xml:space="preserve">1 responders (estimate and 95% </w:t>
      </w:r>
      <w:r w:rsidR="009F4D60" w:rsidRPr="00B7603C">
        <w:t xml:space="preserve">confidence interval, </w:t>
      </w:r>
      <w:r w:rsidRPr="00B7603C">
        <w:t xml:space="preserve">multiple imputation) </w:t>
      </w:r>
      <w:r w:rsidR="008B4E75" w:rsidRPr="00B7603C">
        <w:t xml:space="preserve">of the </w:t>
      </w:r>
      <w:r w:rsidR="009F4D60" w:rsidRPr="00B7603C">
        <w:t>entire treatment period (full analysis set)</w:t>
      </w:r>
    </w:p>
    <w:p w14:paraId="6D2A79CF" w14:textId="04CDC863" w:rsidR="00346365" w:rsidRPr="00A65602" w:rsidRDefault="00346365" w:rsidP="00B7603C">
      <w:r w:rsidRPr="00A65602">
        <w:rPr>
          <w:noProof/>
          <w:lang w:val="en-GB" w:eastAsia="en-GB"/>
        </w:rPr>
        <w:drawing>
          <wp:inline distT="0" distB="0" distL="0" distR="0" wp14:anchorId="658D4419" wp14:editId="49F7B538">
            <wp:extent cx="5400040" cy="7990205"/>
            <wp:effectExtent l="0" t="0" r="0" b="0"/>
            <wp:docPr id="1" name="Picture 1" descr="Figure 12: Study A2324 Time course of PASI 75, 90, 100 responses, and IGA score of 0 or 1 responders (estimate and 95% confidence interval, multiple imputation) of the entire treatment period (full analysis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Figure 12: Study A2324 Time course of PASI 75, 90, 100 responses, and IGA score of 0 or 1 responders (estimate and 95% confidence interval, multiple imputation) of the entire treatment period (full analysis set)"/>
                    <pic:cNvPicPr/>
                  </pic:nvPicPr>
                  <pic:blipFill>
                    <a:blip r:embed="rId29"/>
                    <a:stretch>
                      <a:fillRect/>
                    </a:stretch>
                  </pic:blipFill>
                  <pic:spPr>
                    <a:xfrm>
                      <a:off x="0" y="0"/>
                      <a:ext cx="5400040" cy="7990205"/>
                    </a:xfrm>
                    <a:prstGeom prst="rect">
                      <a:avLst/>
                    </a:prstGeom>
                  </pic:spPr>
                </pic:pic>
              </a:graphicData>
            </a:graphic>
          </wp:inline>
        </w:drawing>
      </w:r>
    </w:p>
    <w:p w14:paraId="584F0C03" w14:textId="7ABEE18F" w:rsidR="0051427D" w:rsidRPr="00B7603C" w:rsidRDefault="0051427D" w:rsidP="00B7603C">
      <w:pPr>
        <w:pStyle w:val="FigureDescription"/>
      </w:pPr>
      <w:r w:rsidRPr="00B7603C">
        <w:lastRenderedPageBreak/>
        <w:t xml:space="preserve">Abbreviations: </w:t>
      </w:r>
      <w:r w:rsidR="008A7D29" w:rsidRPr="00B7603C">
        <w:t>AIN457 = secukinumab; IGA = Investigator’s Global Assessment</w:t>
      </w:r>
      <w:r w:rsidR="002D58B4" w:rsidRPr="00B7603C">
        <w:t xml:space="preserve"> (modified 2011)</w:t>
      </w:r>
      <w:r w:rsidR="008A7D29" w:rsidRPr="00B7603C">
        <w:t xml:space="preserve">; N = number of subjects; NR = non-responders; </w:t>
      </w:r>
      <w:r w:rsidRPr="00B7603C">
        <w:t xml:space="preserve">PASI = </w:t>
      </w:r>
      <w:r w:rsidR="004A0022" w:rsidRPr="00B7603C">
        <w:t>Psoriasis Area and Severity Index</w:t>
      </w:r>
      <w:r w:rsidR="008A7D29" w:rsidRPr="00B7603C">
        <w:t xml:space="preserve">; </w:t>
      </w:r>
      <w:r w:rsidRPr="00B7603C">
        <w:t>Q4W =</w:t>
      </w:r>
      <w:r w:rsidR="004A0022" w:rsidRPr="00B7603C">
        <w:t xml:space="preserve"> every 4</w:t>
      </w:r>
      <w:r w:rsidR="00431D93">
        <w:t> </w:t>
      </w:r>
      <w:r w:rsidR="004A0022" w:rsidRPr="00B7603C">
        <w:t>weeks</w:t>
      </w:r>
      <w:r w:rsidR="008A7D29" w:rsidRPr="00B7603C">
        <w:t>.</w:t>
      </w:r>
    </w:p>
    <w:p w14:paraId="0389F2F2" w14:textId="77777777" w:rsidR="00212CB5" w:rsidRPr="00B7603C" w:rsidRDefault="00212CB5" w:rsidP="00B7603C">
      <w:pPr>
        <w:pStyle w:val="FigureDescription"/>
      </w:pPr>
      <w:r w:rsidRPr="00B7603C">
        <w:t>PASI 75/90/100 (Psoriasis Area and Severity Index 75/90/100) response: a 75%/90%/100% or more reduction (improvement) in PASI score from Baseline.</w:t>
      </w:r>
    </w:p>
    <w:p w14:paraId="07BEBC71" w14:textId="77777777" w:rsidR="002D58B4" w:rsidRPr="00B7603C" w:rsidRDefault="00212CB5" w:rsidP="00B7603C">
      <w:pPr>
        <w:pStyle w:val="FigureDescription"/>
      </w:pPr>
      <w:r w:rsidRPr="00B7603C">
        <w:t>The Investigator’s Global Assessment (IGA) scale (psoriasis) is a five-point scale that provides a point in time global clinical assessment of psoriasis severity ranging from 0 to 4, where:</w:t>
      </w:r>
    </w:p>
    <w:p w14:paraId="4743D5F7" w14:textId="77777777" w:rsidR="002D58B4" w:rsidRPr="00B7603C" w:rsidRDefault="00212CB5" w:rsidP="00B7603C">
      <w:pPr>
        <w:pStyle w:val="FigureDescription"/>
      </w:pPr>
      <w:r w:rsidRPr="00B7603C">
        <w:t>0 = clear (no signs of psoriasis, some post-inflammatory hyperpigmentation may be present</w:t>
      </w:r>
      <w:proofErr w:type="gramStart"/>
      <w:r w:rsidRPr="00B7603C">
        <w:t>);</w:t>
      </w:r>
      <w:proofErr w:type="gramEnd"/>
    </w:p>
    <w:p w14:paraId="25DB08EF" w14:textId="77777777" w:rsidR="002D58B4" w:rsidRPr="00B7603C" w:rsidRDefault="00212CB5" w:rsidP="00B7603C">
      <w:pPr>
        <w:pStyle w:val="FigureDescription"/>
      </w:pPr>
      <w:r w:rsidRPr="00B7603C">
        <w:t>1 = almost clear (no thickening, normal or pink coloration</w:t>
      </w:r>
      <w:proofErr w:type="gramStart"/>
      <w:r w:rsidRPr="00B7603C">
        <w:t>);</w:t>
      </w:r>
      <w:proofErr w:type="gramEnd"/>
    </w:p>
    <w:p w14:paraId="1619286A" w14:textId="77777777" w:rsidR="002D58B4" w:rsidRPr="00B7603C" w:rsidRDefault="00212CB5" w:rsidP="00B7603C">
      <w:pPr>
        <w:pStyle w:val="FigureDescription"/>
      </w:pPr>
      <w:r w:rsidRPr="00B7603C">
        <w:t>2 = mild (mild thickening, pink to light red coloration</w:t>
      </w:r>
      <w:proofErr w:type="gramStart"/>
      <w:r w:rsidRPr="00B7603C">
        <w:t>);</w:t>
      </w:r>
      <w:proofErr w:type="gramEnd"/>
    </w:p>
    <w:p w14:paraId="3C6E88FF" w14:textId="77777777" w:rsidR="002D58B4" w:rsidRPr="00B7603C" w:rsidRDefault="00212CB5" w:rsidP="00B7603C">
      <w:pPr>
        <w:pStyle w:val="FigureDescription"/>
      </w:pPr>
      <w:r w:rsidRPr="00B7603C">
        <w:t>3 = moderate (moderate thickening, dull to bright red</w:t>
      </w:r>
      <w:proofErr w:type="gramStart"/>
      <w:r w:rsidRPr="00B7603C">
        <w:t>);</w:t>
      </w:r>
      <w:proofErr w:type="gramEnd"/>
    </w:p>
    <w:p w14:paraId="7DF646AA" w14:textId="75D30B89" w:rsidR="00212CB5" w:rsidRPr="00B7603C" w:rsidRDefault="00212CB5" w:rsidP="00B7603C">
      <w:pPr>
        <w:pStyle w:val="FigureDescription"/>
      </w:pPr>
      <w:r w:rsidRPr="00B7603C">
        <w:t>4 = severe (severe thickening, bright to deep red).</w:t>
      </w:r>
    </w:p>
    <w:p w14:paraId="601641D6" w14:textId="7A8A4D58" w:rsidR="00212CB5" w:rsidRPr="00A65602" w:rsidRDefault="00212CB5" w:rsidP="00921C28">
      <w:pPr>
        <w:pStyle w:val="FigureDescription"/>
      </w:pPr>
      <w:r>
        <w:br w:type="page"/>
      </w:r>
    </w:p>
    <w:p w14:paraId="77AC24FA" w14:textId="77777777" w:rsidR="00AE00AB" w:rsidRPr="00A65602" w:rsidRDefault="00AE00AB" w:rsidP="004946B9">
      <w:pPr>
        <w:pStyle w:val="Heading4"/>
      </w:pPr>
      <w:r w:rsidRPr="00A65602">
        <w:lastRenderedPageBreak/>
        <w:t>Safety</w:t>
      </w:r>
    </w:p>
    <w:p w14:paraId="2213797E" w14:textId="3B15A93F" w:rsidR="00AE00AB" w:rsidRPr="00A65602" w:rsidRDefault="00AE00AB" w:rsidP="004946B9">
      <w:r w:rsidRPr="00A65602">
        <w:t xml:space="preserve">The safety profile of secukinumab 300 mg </w:t>
      </w:r>
      <w:r w:rsidR="00935F9A">
        <w:t xml:space="preserve">given once </w:t>
      </w:r>
      <w:r w:rsidR="007254C8" w:rsidRPr="00A65602">
        <w:t>every 4 weeks</w:t>
      </w:r>
      <w:r w:rsidRPr="00A65602">
        <w:t xml:space="preserve"> as maintenance treatment of moderate to severe plaque psoriasis is well</w:t>
      </w:r>
      <w:r w:rsidR="00335480" w:rsidRPr="00A65602">
        <w:t>-</w:t>
      </w:r>
      <w:r w:rsidRPr="00A65602">
        <w:t xml:space="preserve">established. Study A2324 evaluated the safety of the proposed 300 mg </w:t>
      </w:r>
      <w:r w:rsidR="00935F9A">
        <w:t xml:space="preserve">once </w:t>
      </w:r>
      <w:r w:rsidR="00BC168F" w:rsidRPr="00A65602">
        <w:t>every</w:t>
      </w:r>
      <w:r w:rsidR="00935F9A">
        <w:t xml:space="preserve"> </w:t>
      </w:r>
      <w:r w:rsidR="00BC168F" w:rsidRPr="00A65602">
        <w:t>2</w:t>
      </w:r>
      <w:r w:rsidR="00935F9A">
        <w:t xml:space="preserve"> </w:t>
      </w:r>
      <w:r w:rsidR="00BC168F" w:rsidRPr="00A65602">
        <w:t>weeks</w:t>
      </w:r>
      <w:r w:rsidRPr="00A65602">
        <w:t xml:space="preserve"> dosing regimen in the treatment moderate to severe plaque psoriasis in patients with baseline bodyweight ≥</w:t>
      </w:r>
      <w:r w:rsidR="00935F9A">
        <w:t> </w:t>
      </w:r>
      <w:r w:rsidRPr="00A65602">
        <w:t>90</w:t>
      </w:r>
      <w:r w:rsidR="00935F9A">
        <w:t> </w:t>
      </w:r>
      <w:r w:rsidRPr="00A65602">
        <w:t xml:space="preserve">kg. The submission did not present safety data for 300 mg </w:t>
      </w:r>
      <w:r w:rsidR="00BC168F" w:rsidRPr="00A65602">
        <w:t>every 2 weeks</w:t>
      </w:r>
      <w:r w:rsidRPr="00A65602">
        <w:t xml:space="preserve"> in patients &lt;</w:t>
      </w:r>
      <w:r w:rsidR="00935F9A">
        <w:t> </w:t>
      </w:r>
      <w:r w:rsidRPr="00A65602">
        <w:t xml:space="preserve">90 </w:t>
      </w:r>
      <w:proofErr w:type="gramStart"/>
      <w:r w:rsidRPr="00A65602">
        <w:t>kg, but</w:t>
      </w:r>
      <w:proofErr w:type="gramEnd"/>
      <w:r w:rsidRPr="00A65602">
        <w:t xml:space="preserve"> included modelling analyses to support the safety of secukinumab 300</w:t>
      </w:r>
      <w:r w:rsidR="00431D93">
        <w:t> </w:t>
      </w:r>
      <w:r w:rsidRPr="00A65602">
        <w:t xml:space="preserve">mg </w:t>
      </w:r>
      <w:r w:rsidR="00BC168F" w:rsidRPr="00A65602">
        <w:t>every 2 weeks</w:t>
      </w:r>
      <w:r w:rsidRPr="00A65602">
        <w:t xml:space="preserve"> in patients &lt; 90 kg.</w:t>
      </w:r>
    </w:p>
    <w:p w14:paraId="60289530" w14:textId="24F3052D" w:rsidR="00AE00AB" w:rsidRDefault="00AE00AB" w:rsidP="004946B9">
      <w:pPr>
        <w:pStyle w:val="Heading5"/>
      </w:pPr>
      <w:r w:rsidRPr="00A65602">
        <w:t>Study A2324</w:t>
      </w:r>
    </w:p>
    <w:p w14:paraId="1A1A6405" w14:textId="3495AD57" w:rsidR="00935F9A" w:rsidRPr="00204DD0" w:rsidRDefault="00935F9A" w:rsidP="002D58B4">
      <w:pPr>
        <w:pStyle w:val="Heading6"/>
      </w:pPr>
      <w:r>
        <w:t>Exposure</w:t>
      </w:r>
    </w:p>
    <w:p w14:paraId="0FF0380B" w14:textId="27B0EE43" w:rsidR="00AE00AB" w:rsidRPr="00A65602" w:rsidRDefault="00AE00AB" w:rsidP="004946B9">
      <w:r w:rsidRPr="00A65602">
        <w:t xml:space="preserve">Exposure to study treatment is shown in </w:t>
      </w:r>
      <w:r w:rsidRPr="00A65602">
        <w:fldChar w:fldCharType="begin"/>
      </w:r>
      <w:r w:rsidRPr="00A65602">
        <w:instrText xml:space="preserve"> REF _Ref94606059 \h </w:instrText>
      </w:r>
      <w:r w:rsidR="004946B9" w:rsidRPr="00A65602">
        <w:instrText xml:space="preserve"> \* MERGEFORMAT </w:instrText>
      </w:r>
      <w:r w:rsidRPr="00A65602">
        <w:fldChar w:fldCharType="separate"/>
      </w:r>
      <w:r w:rsidR="00CE2EF4" w:rsidRPr="00B7603C">
        <w:t xml:space="preserve">Table </w:t>
      </w:r>
      <w:r w:rsidR="00CE2EF4">
        <w:t>4</w:t>
      </w:r>
      <w:r w:rsidRPr="00A65602">
        <w:fldChar w:fldCharType="end"/>
      </w:r>
      <w:r w:rsidR="00F1642E" w:rsidRPr="00A65602">
        <w:t xml:space="preserve"> below</w:t>
      </w:r>
      <w:r w:rsidRPr="00A65602">
        <w:t>.</w:t>
      </w:r>
    </w:p>
    <w:p w14:paraId="0DA2BD2A" w14:textId="590C497C" w:rsidR="00AE00AB" w:rsidRPr="00B7603C" w:rsidRDefault="00AE00AB" w:rsidP="00B7603C">
      <w:pPr>
        <w:pStyle w:val="TableTitle"/>
      </w:pPr>
      <w:bookmarkStart w:id="55" w:name="_Ref94606059"/>
      <w:r w:rsidRPr="00B7603C">
        <w:t xml:space="preserve">Table </w:t>
      </w:r>
      <w:r w:rsidR="00A4590A">
        <w:fldChar w:fldCharType="begin"/>
      </w:r>
      <w:r w:rsidR="00A4590A">
        <w:instrText xml:space="preserve"> SEQ Table \* ARABIC </w:instrText>
      </w:r>
      <w:r w:rsidR="00A4590A">
        <w:fldChar w:fldCharType="separate"/>
      </w:r>
      <w:r w:rsidR="00CE2EF4">
        <w:rPr>
          <w:noProof/>
        </w:rPr>
        <w:t>4</w:t>
      </w:r>
      <w:r w:rsidR="00A4590A">
        <w:rPr>
          <w:noProof/>
        </w:rPr>
        <w:fldChar w:fldCharType="end"/>
      </w:r>
      <w:bookmarkEnd w:id="55"/>
      <w:r w:rsidR="006359DD" w:rsidRPr="00B7603C">
        <w:t>: Study A2324</w:t>
      </w:r>
      <w:r w:rsidRPr="00B7603C">
        <w:t xml:space="preserve"> Duration of exposure to study treatment </w:t>
      </w:r>
      <w:r w:rsidR="008B4E75" w:rsidRPr="00B7603C">
        <w:t xml:space="preserve">of the </w:t>
      </w:r>
      <w:r w:rsidR="009F4D60" w:rsidRPr="00B7603C">
        <w:t>entire study period (safety set)</w:t>
      </w:r>
    </w:p>
    <w:p w14:paraId="373FAC74" w14:textId="226C6F6F" w:rsidR="00AE00AB" w:rsidRPr="00A65602" w:rsidRDefault="00AE00AB" w:rsidP="00B7603C">
      <w:pPr>
        <w:rPr>
          <w:lang w:eastAsia="ja-JP"/>
        </w:rPr>
      </w:pPr>
      <w:r w:rsidRPr="00A65602">
        <w:rPr>
          <w:noProof/>
          <w:lang w:val="en-GB" w:eastAsia="en-GB"/>
        </w:rPr>
        <w:drawing>
          <wp:inline distT="0" distB="0" distL="0" distR="0" wp14:anchorId="576F2E55" wp14:editId="059D4227">
            <wp:extent cx="5306160" cy="4616485"/>
            <wp:effectExtent l="0" t="0" r="8890" b="0"/>
            <wp:docPr id="46" name="Picture 46" descr="Table 4: Study A2324 Duration of exposure to study treatment of the entire study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Picture 46" descr="Table 4: Study A2324 Duration of exposure to study treatment of the entire study period (safety set)"/>
                    <pic:cNvPicPr/>
                  </pic:nvPicPr>
                  <pic:blipFill>
                    <a:blip r:embed="rId30"/>
                    <a:stretch>
                      <a:fillRect/>
                    </a:stretch>
                  </pic:blipFill>
                  <pic:spPr>
                    <a:xfrm>
                      <a:off x="0" y="0"/>
                      <a:ext cx="5386426" cy="4686318"/>
                    </a:xfrm>
                    <a:prstGeom prst="rect">
                      <a:avLst/>
                    </a:prstGeom>
                  </pic:spPr>
                </pic:pic>
              </a:graphicData>
            </a:graphic>
          </wp:inline>
        </w:drawing>
      </w:r>
    </w:p>
    <w:p w14:paraId="0B811886" w14:textId="27EF42EE" w:rsidR="008A7D29" w:rsidRPr="00B7603C" w:rsidRDefault="00AA2AFF" w:rsidP="00B7603C">
      <w:pPr>
        <w:pStyle w:val="TableDescription"/>
      </w:pPr>
      <w:r w:rsidRPr="00B7603C">
        <w:t>Abbreviations:</w:t>
      </w:r>
      <w:r w:rsidR="008A7D29" w:rsidRPr="00B7603C">
        <w:t xml:space="preserve"> </w:t>
      </w:r>
      <w:r w:rsidRPr="00B7603C">
        <w:t>AIN457 =</w:t>
      </w:r>
      <w:r w:rsidR="004A0022" w:rsidRPr="00B7603C">
        <w:t xml:space="preserve"> secukinumab</w:t>
      </w:r>
      <w:r w:rsidR="008A7D29" w:rsidRPr="00B7603C">
        <w:t xml:space="preserve">; </w:t>
      </w:r>
      <w:r w:rsidRPr="00B7603C">
        <w:t xml:space="preserve">n = </w:t>
      </w:r>
      <w:r w:rsidR="001B47D7" w:rsidRPr="00B7603C">
        <w:t>number of subjects</w:t>
      </w:r>
      <w:r w:rsidR="008A7D29" w:rsidRPr="00B7603C">
        <w:t xml:space="preserve">; </w:t>
      </w:r>
      <w:r w:rsidRPr="00B7603C">
        <w:t>NR =</w:t>
      </w:r>
      <w:r w:rsidR="001B47D7" w:rsidRPr="00B7603C">
        <w:t xml:space="preserve"> non-responders</w:t>
      </w:r>
      <w:r w:rsidR="008A7D29" w:rsidRPr="00B7603C">
        <w:t xml:space="preserve">; </w:t>
      </w:r>
      <w:r w:rsidRPr="00B7603C">
        <w:t xml:space="preserve">Q1 = </w:t>
      </w:r>
      <w:r w:rsidR="008A7D29" w:rsidRPr="00B7603C">
        <w:t xml:space="preserve">first quarter; </w:t>
      </w:r>
      <w:r w:rsidRPr="00B7603C">
        <w:t xml:space="preserve">Q3 = </w:t>
      </w:r>
      <w:r w:rsidR="008A7D29" w:rsidRPr="00B7603C">
        <w:t xml:space="preserve">third quarter; </w:t>
      </w:r>
      <w:r w:rsidRPr="00B7603C">
        <w:t xml:space="preserve">Q2W </w:t>
      </w:r>
      <w:r w:rsidR="004A0022" w:rsidRPr="00B7603C">
        <w:t>= every 2 weeks</w:t>
      </w:r>
      <w:r w:rsidR="008A7D29" w:rsidRPr="00B7603C">
        <w:t xml:space="preserve">; </w:t>
      </w:r>
      <w:r w:rsidRPr="00B7603C">
        <w:t>Q4W =</w:t>
      </w:r>
      <w:r w:rsidR="004A0022" w:rsidRPr="00B7603C">
        <w:t xml:space="preserve"> every 4 weeks</w:t>
      </w:r>
      <w:r w:rsidR="008A7D29" w:rsidRPr="00B7603C">
        <w:t>; SD = standard deviation.</w:t>
      </w:r>
    </w:p>
    <w:p w14:paraId="20C7C0D3" w14:textId="23BCB398" w:rsidR="00AE00AB" w:rsidRPr="00B7603C" w:rsidRDefault="00AE00AB" w:rsidP="00B7603C">
      <w:pPr>
        <w:pStyle w:val="TableDescription"/>
      </w:pPr>
      <w:r w:rsidRPr="00B7603C">
        <w:t>Duration of exposure to treatment is defined as min</w:t>
      </w:r>
      <w:r w:rsidR="00FB61F3" w:rsidRPr="00B7603C">
        <w:t>imum</w:t>
      </w:r>
      <w:r w:rsidR="00AA2AFF" w:rsidRPr="00B7603C">
        <w:t xml:space="preserve"> </w:t>
      </w:r>
      <w:r w:rsidRPr="00B7603C">
        <w:t>(end of study period, last dose +</w:t>
      </w:r>
      <w:r w:rsidR="008B4E75" w:rsidRPr="00B7603C">
        <w:t xml:space="preserve"> </w:t>
      </w:r>
      <w:r w:rsidRPr="00B7603C">
        <w:t xml:space="preserve">84 days) </w:t>
      </w:r>
      <w:r w:rsidR="008B4E75" w:rsidRPr="00B7603C">
        <w:t>-</w:t>
      </w:r>
      <w:r w:rsidRPr="00B7603C">
        <w:t xml:space="preserve"> start date of study treatment + 1.</w:t>
      </w:r>
    </w:p>
    <w:p w14:paraId="21B02CDB" w14:textId="30D81288" w:rsidR="00111206" w:rsidRPr="00B7603C" w:rsidRDefault="00AE00AB" w:rsidP="00B7603C">
      <w:pPr>
        <w:pStyle w:val="TableDescription"/>
      </w:pPr>
      <w:r w:rsidRPr="00B7603C">
        <w:t>Subject</w:t>
      </w:r>
      <w:r w:rsidR="008B4E75" w:rsidRPr="00B7603C">
        <w:t xml:space="preserve"> </w:t>
      </w:r>
      <w:r w:rsidRPr="00B7603C">
        <w:t>time in subject years is calculated as a sum of individual subject durations in days divided by 365.25.</w:t>
      </w:r>
    </w:p>
    <w:p w14:paraId="73E8FC21" w14:textId="5A2730C6" w:rsidR="00935F9A" w:rsidRDefault="00935F9A" w:rsidP="003908B4">
      <w:pPr>
        <w:pStyle w:val="Heading6"/>
      </w:pPr>
      <w:r>
        <w:t>Adverse events</w:t>
      </w:r>
    </w:p>
    <w:p w14:paraId="05321F0D" w14:textId="6F6EDE62" w:rsidR="00AE00AB" w:rsidRPr="00A65602" w:rsidRDefault="00AE00AB" w:rsidP="004946B9">
      <w:r w:rsidRPr="00A65602">
        <w:t xml:space="preserve">The overall incidence of </w:t>
      </w:r>
      <w:r w:rsidR="00935F9A">
        <w:t>adverse events (</w:t>
      </w:r>
      <w:r w:rsidRPr="00A65602">
        <w:t>AEs</w:t>
      </w:r>
      <w:r w:rsidR="00935F9A">
        <w:t>)</w:t>
      </w:r>
      <w:r w:rsidRPr="00A65602">
        <w:t xml:space="preserve"> was slightly higher in the </w:t>
      </w:r>
      <w:r w:rsidR="00935F9A">
        <w:t xml:space="preserve">once </w:t>
      </w:r>
      <w:r w:rsidR="00BC168F" w:rsidRPr="00A65602">
        <w:t>every</w:t>
      </w:r>
      <w:r w:rsidR="00935F9A">
        <w:t xml:space="preserve"> </w:t>
      </w:r>
      <w:r w:rsidR="00BC168F" w:rsidRPr="00A65602">
        <w:t>2</w:t>
      </w:r>
      <w:r w:rsidR="00935F9A">
        <w:t> </w:t>
      </w:r>
      <w:r w:rsidR="00BC168F" w:rsidRPr="00A65602">
        <w:t>weeks</w:t>
      </w:r>
      <w:r w:rsidR="00935F9A">
        <w:t xml:space="preserve"> dosage</w:t>
      </w:r>
      <w:r w:rsidRPr="00A65602">
        <w:t xml:space="preserve"> group than </w:t>
      </w:r>
      <w:proofErr w:type="gramStart"/>
      <w:r w:rsidRPr="00A65602">
        <w:t xml:space="preserve">the </w:t>
      </w:r>
      <w:r w:rsidR="007254C8" w:rsidRPr="00A65602">
        <w:t>every</w:t>
      </w:r>
      <w:proofErr w:type="gramEnd"/>
      <w:r w:rsidR="00935F9A">
        <w:t xml:space="preserve"> </w:t>
      </w:r>
      <w:r w:rsidR="007254C8" w:rsidRPr="00A65602">
        <w:t>4</w:t>
      </w:r>
      <w:r w:rsidR="00935F9A">
        <w:t xml:space="preserve"> </w:t>
      </w:r>
      <w:r w:rsidR="007254C8" w:rsidRPr="00A65602">
        <w:t>weeks</w:t>
      </w:r>
      <w:r w:rsidRPr="00A65602">
        <w:t xml:space="preserve"> group over the entire study period (</w:t>
      </w:r>
      <w:r w:rsidR="00F1642E" w:rsidRPr="00A65602">
        <w:t xml:space="preserve">see </w:t>
      </w:r>
      <w:r w:rsidRPr="00A65602">
        <w:lastRenderedPageBreak/>
        <w:fldChar w:fldCharType="begin"/>
      </w:r>
      <w:r w:rsidRPr="00A65602">
        <w:instrText xml:space="preserve"> REF _Ref94607690 \h </w:instrText>
      </w:r>
      <w:r w:rsidR="004946B9" w:rsidRPr="00A65602">
        <w:instrText xml:space="preserve"> \* MERGEFORMAT </w:instrText>
      </w:r>
      <w:r w:rsidRPr="00A65602">
        <w:fldChar w:fldCharType="separate"/>
      </w:r>
      <w:r w:rsidR="00CE2EF4" w:rsidRPr="00B7603C">
        <w:t xml:space="preserve">Table </w:t>
      </w:r>
      <w:r w:rsidR="00CE2EF4">
        <w:t>5</w:t>
      </w:r>
      <w:r w:rsidRPr="00A65602">
        <w:fldChar w:fldCharType="end"/>
      </w:r>
      <w:r w:rsidR="00F1642E" w:rsidRPr="00A65602">
        <w:t xml:space="preserve"> below</w:t>
      </w:r>
      <w:r w:rsidRPr="00A65602">
        <w:t xml:space="preserve">). The incidence of AEs assessed as possibly related to the study drug was 20.6% in </w:t>
      </w:r>
      <w:proofErr w:type="gramStart"/>
      <w:r w:rsidRPr="00A65602">
        <w:t xml:space="preserve">the </w:t>
      </w:r>
      <w:r w:rsidR="00BC168F" w:rsidRPr="00A65602">
        <w:t>every</w:t>
      </w:r>
      <w:proofErr w:type="gramEnd"/>
      <w:r w:rsidR="00935F9A">
        <w:t xml:space="preserve"> </w:t>
      </w:r>
      <w:r w:rsidR="00BC168F" w:rsidRPr="00A65602">
        <w:t>2</w:t>
      </w:r>
      <w:r w:rsidR="00935F9A">
        <w:t xml:space="preserve"> </w:t>
      </w:r>
      <w:r w:rsidR="00BC168F" w:rsidRPr="00A65602">
        <w:t>weeks</w:t>
      </w:r>
      <w:r w:rsidRPr="00A65602">
        <w:t xml:space="preserve"> group and 21.6% in the </w:t>
      </w:r>
      <w:r w:rsidR="007254C8" w:rsidRPr="00A65602">
        <w:t>every</w:t>
      </w:r>
      <w:r w:rsidR="00935F9A">
        <w:t xml:space="preserve"> </w:t>
      </w:r>
      <w:r w:rsidR="007254C8" w:rsidRPr="00A65602">
        <w:t>4</w:t>
      </w:r>
      <w:r w:rsidR="00935F9A">
        <w:t xml:space="preserve"> </w:t>
      </w:r>
      <w:r w:rsidR="007254C8" w:rsidRPr="00A65602">
        <w:t>weeks</w:t>
      </w:r>
      <w:r w:rsidRPr="00A65602">
        <w:t xml:space="preserve"> group. The majority of AEs in </w:t>
      </w:r>
      <w:proofErr w:type="gramStart"/>
      <w:r w:rsidRPr="00A65602">
        <w:t xml:space="preserve">the </w:t>
      </w:r>
      <w:r w:rsidR="00BC168F" w:rsidRPr="00A65602">
        <w:t>every</w:t>
      </w:r>
      <w:proofErr w:type="gramEnd"/>
      <w:r w:rsidR="00935F9A">
        <w:t xml:space="preserve"> </w:t>
      </w:r>
      <w:r w:rsidR="00BC168F" w:rsidRPr="00A65602">
        <w:t>2</w:t>
      </w:r>
      <w:r w:rsidR="00935F9A">
        <w:t xml:space="preserve"> </w:t>
      </w:r>
      <w:r w:rsidR="00BC168F" w:rsidRPr="00A65602">
        <w:t>weeks</w:t>
      </w:r>
      <w:r w:rsidRPr="00A65602">
        <w:t xml:space="preserve"> and </w:t>
      </w:r>
      <w:r w:rsidR="007254C8" w:rsidRPr="00A65602">
        <w:t>every</w:t>
      </w:r>
      <w:r w:rsidR="00935F9A">
        <w:t xml:space="preserve"> </w:t>
      </w:r>
      <w:r w:rsidR="007254C8" w:rsidRPr="00A65602">
        <w:t>4</w:t>
      </w:r>
      <w:r w:rsidR="00935F9A">
        <w:t xml:space="preserve"> </w:t>
      </w:r>
      <w:r w:rsidR="007254C8" w:rsidRPr="00A65602">
        <w:t>weeks</w:t>
      </w:r>
      <w:r w:rsidRPr="00A65602">
        <w:t xml:space="preserve"> groups were of mild to moderate intensity. Severe AEs were reported for a higher proportion of patients in </w:t>
      </w:r>
      <w:proofErr w:type="gramStart"/>
      <w:r w:rsidRPr="00A65602">
        <w:t xml:space="preserve">the </w:t>
      </w:r>
      <w:r w:rsidR="00B3337A" w:rsidRPr="00A65602">
        <w:t>every</w:t>
      </w:r>
      <w:proofErr w:type="gramEnd"/>
      <w:r w:rsidR="00935F9A">
        <w:t xml:space="preserve"> </w:t>
      </w:r>
      <w:r w:rsidR="00B3337A" w:rsidRPr="00A65602">
        <w:t>4</w:t>
      </w:r>
      <w:r w:rsidR="00935F9A">
        <w:t xml:space="preserve"> </w:t>
      </w:r>
      <w:r w:rsidR="00B3337A" w:rsidRPr="00A65602">
        <w:t xml:space="preserve">weeks </w:t>
      </w:r>
      <w:r w:rsidRPr="00A65602">
        <w:t xml:space="preserve">group than in the </w:t>
      </w:r>
      <w:r w:rsidR="00BC168F" w:rsidRPr="00A65602">
        <w:t>every</w:t>
      </w:r>
      <w:r w:rsidR="00935F9A">
        <w:t xml:space="preserve"> </w:t>
      </w:r>
      <w:r w:rsidR="00BC168F" w:rsidRPr="00A65602">
        <w:t>2</w:t>
      </w:r>
      <w:r w:rsidR="00935F9A">
        <w:t xml:space="preserve"> </w:t>
      </w:r>
      <w:r w:rsidR="00BC168F" w:rsidRPr="00A65602">
        <w:t>weeks</w:t>
      </w:r>
      <w:r w:rsidRPr="00A65602">
        <w:t xml:space="preserve"> group: 13 patients (9.7%) </w:t>
      </w:r>
      <w:r w:rsidR="00B3337A" w:rsidRPr="00A65602">
        <w:t>versus</w:t>
      </w:r>
      <w:r w:rsidRPr="00A65602">
        <w:t xml:space="preserve"> 7 patients (4.2%). One patient in </w:t>
      </w:r>
      <w:proofErr w:type="gramStart"/>
      <w:r w:rsidRPr="00A65602">
        <w:t xml:space="preserve">the </w:t>
      </w:r>
      <w:r w:rsidR="00B3337A" w:rsidRPr="00A65602">
        <w:t>every</w:t>
      </w:r>
      <w:proofErr w:type="gramEnd"/>
      <w:r w:rsidR="00935F9A">
        <w:t xml:space="preserve"> </w:t>
      </w:r>
      <w:r w:rsidR="00B3337A" w:rsidRPr="00A65602">
        <w:t>4</w:t>
      </w:r>
      <w:r w:rsidR="00935F9A">
        <w:t xml:space="preserve"> </w:t>
      </w:r>
      <w:r w:rsidR="00B3337A" w:rsidRPr="00A65602">
        <w:t xml:space="preserve">weeks </w:t>
      </w:r>
      <w:r w:rsidRPr="00A65602">
        <w:t>group died from unrelated causes.</w:t>
      </w:r>
    </w:p>
    <w:p w14:paraId="6EDDE36D" w14:textId="44D4D3A6" w:rsidR="00AE00AB" w:rsidRPr="00A65602" w:rsidRDefault="00AE00AB" w:rsidP="004946B9">
      <w:r w:rsidRPr="00A65602">
        <w:t xml:space="preserve">During the entire study period, the incidence of serious </w:t>
      </w:r>
      <w:r w:rsidR="00F1642E" w:rsidRPr="00A65602">
        <w:t xml:space="preserve">adverse events </w:t>
      </w:r>
      <w:r w:rsidRPr="00A65602">
        <w:t xml:space="preserve">(SAEs) was higher in </w:t>
      </w:r>
      <w:proofErr w:type="gramStart"/>
      <w:r w:rsidRPr="00A65602">
        <w:t xml:space="preserve">the </w:t>
      </w:r>
      <w:r w:rsidR="00B3337A" w:rsidRPr="00A65602">
        <w:t>every</w:t>
      </w:r>
      <w:proofErr w:type="gramEnd"/>
      <w:r w:rsidR="00935F9A">
        <w:t xml:space="preserve"> </w:t>
      </w:r>
      <w:r w:rsidR="00B3337A" w:rsidRPr="00A65602">
        <w:t>4</w:t>
      </w:r>
      <w:r w:rsidR="00935F9A">
        <w:t xml:space="preserve"> </w:t>
      </w:r>
      <w:r w:rsidR="00B3337A" w:rsidRPr="00A65602">
        <w:t>weeks</w:t>
      </w:r>
      <w:r w:rsidRPr="00A65602">
        <w:t xml:space="preserve"> group than the </w:t>
      </w:r>
      <w:r w:rsidR="00B3337A" w:rsidRPr="00A65602">
        <w:t>every</w:t>
      </w:r>
      <w:r w:rsidR="00935F9A">
        <w:t xml:space="preserve"> </w:t>
      </w:r>
      <w:r w:rsidR="00B3337A" w:rsidRPr="00A65602">
        <w:t>2</w:t>
      </w:r>
      <w:r w:rsidR="00935F9A">
        <w:t xml:space="preserve"> </w:t>
      </w:r>
      <w:r w:rsidR="00B3337A" w:rsidRPr="00A65602">
        <w:t xml:space="preserve">weeks </w:t>
      </w:r>
      <w:r w:rsidRPr="00A65602">
        <w:t xml:space="preserve">group (13.4% </w:t>
      </w:r>
      <w:r w:rsidR="00B3337A" w:rsidRPr="00A65602">
        <w:t>versus</w:t>
      </w:r>
      <w:r w:rsidRPr="00A65602">
        <w:t xml:space="preserve"> 8.5%). None of the SAEs by </w:t>
      </w:r>
      <w:r w:rsidR="00F1642E" w:rsidRPr="00A65602">
        <w:t>Preferred Term (P</w:t>
      </w:r>
      <w:r w:rsidRPr="00A65602">
        <w:t>T</w:t>
      </w:r>
      <w:r w:rsidR="00F1642E" w:rsidRPr="00A65602">
        <w:t>)</w:t>
      </w:r>
      <w:r w:rsidRPr="00A65602">
        <w:t xml:space="preserve"> in </w:t>
      </w:r>
      <w:proofErr w:type="gramStart"/>
      <w:r w:rsidRPr="00A65602">
        <w:t xml:space="preserve">the </w:t>
      </w:r>
      <w:r w:rsidR="00B3337A" w:rsidRPr="00A65602">
        <w:t>every</w:t>
      </w:r>
      <w:proofErr w:type="gramEnd"/>
      <w:r w:rsidR="00935F9A">
        <w:t xml:space="preserve"> </w:t>
      </w:r>
      <w:r w:rsidR="00B3337A" w:rsidRPr="00A65602">
        <w:t>2</w:t>
      </w:r>
      <w:r w:rsidR="00935F9A">
        <w:t xml:space="preserve"> </w:t>
      </w:r>
      <w:r w:rsidR="00B3337A" w:rsidRPr="00A65602">
        <w:t xml:space="preserve">weeks </w:t>
      </w:r>
      <w:r w:rsidRPr="00A65602">
        <w:t xml:space="preserve">group or </w:t>
      </w:r>
      <w:r w:rsidR="00B3337A" w:rsidRPr="00A65602">
        <w:t>every</w:t>
      </w:r>
      <w:r w:rsidR="00935F9A">
        <w:t xml:space="preserve"> </w:t>
      </w:r>
      <w:r w:rsidR="00B3337A" w:rsidRPr="00A65602">
        <w:t>4</w:t>
      </w:r>
      <w:r w:rsidR="00935F9A">
        <w:t xml:space="preserve"> </w:t>
      </w:r>
      <w:r w:rsidR="00B3337A" w:rsidRPr="00A65602">
        <w:t xml:space="preserve">weeks </w:t>
      </w:r>
      <w:r w:rsidRPr="00A65602">
        <w:t xml:space="preserve">group occurred in more than one patient each except for non-cardiac chest pain (2 patients in </w:t>
      </w:r>
      <w:r w:rsidR="00F1642E" w:rsidRPr="00A65602">
        <w:t xml:space="preserve">the </w:t>
      </w:r>
      <w:r w:rsidR="00BC168F" w:rsidRPr="00A65602">
        <w:t>every</w:t>
      </w:r>
      <w:r w:rsidR="00935F9A">
        <w:t xml:space="preserve"> </w:t>
      </w:r>
      <w:r w:rsidR="00BC168F" w:rsidRPr="00A65602">
        <w:t>2</w:t>
      </w:r>
      <w:r w:rsidR="00935F9A">
        <w:t xml:space="preserve"> </w:t>
      </w:r>
      <w:r w:rsidR="00BC168F" w:rsidRPr="00A65602">
        <w:t>weeks</w:t>
      </w:r>
      <w:r w:rsidR="00F1642E" w:rsidRPr="00A65602">
        <w:t xml:space="preserve"> group</w:t>
      </w:r>
      <w:r w:rsidRPr="00A65602">
        <w:t xml:space="preserve">) and sepsis (2 patients in </w:t>
      </w:r>
      <w:r w:rsidR="00F1642E" w:rsidRPr="00A65602">
        <w:t xml:space="preserve">the </w:t>
      </w:r>
      <w:r w:rsidR="007254C8" w:rsidRPr="00A65602">
        <w:t>every</w:t>
      </w:r>
      <w:r w:rsidR="00935F9A">
        <w:t xml:space="preserve"> </w:t>
      </w:r>
      <w:r w:rsidR="007254C8" w:rsidRPr="00A65602">
        <w:t>4</w:t>
      </w:r>
      <w:r w:rsidR="00935F9A">
        <w:t xml:space="preserve"> </w:t>
      </w:r>
      <w:r w:rsidR="007254C8" w:rsidRPr="00A65602">
        <w:t>weeks</w:t>
      </w:r>
      <w:r w:rsidR="00F1642E" w:rsidRPr="00A65602">
        <w:t xml:space="preserve"> group</w:t>
      </w:r>
      <w:r w:rsidRPr="00A65602">
        <w:t xml:space="preserve">). AEs leading to study treatment discontinuation were reported for 9 patients (6.7%) in </w:t>
      </w:r>
      <w:proofErr w:type="gramStart"/>
      <w:r w:rsidRPr="00A65602">
        <w:t xml:space="preserve">the </w:t>
      </w:r>
      <w:r w:rsidR="00B3337A" w:rsidRPr="00A65602">
        <w:t>every</w:t>
      </w:r>
      <w:proofErr w:type="gramEnd"/>
      <w:r w:rsidR="00935F9A">
        <w:t xml:space="preserve"> </w:t>
      </w:r>
      <w:r w:rsidR="00B3337A" w:rsidRPr="00A65602">
        <w:t>4</w:t>
      </w:r>
      <w:r w:rsidR="00935F9A">
        <w:t xml:space="preserve"> </w:t>
      </w:r>
      <w:r w:rsidR="00B3337A" w:rsidRPr="00A65602">
        <w:t xml:space="preserve">weeks </w:t>
      </w:r>
      <w:r w:rsidRPr="00A65602">
        <w:t xml:space="preserve">group and 4 patients (2.4%) in the </w:t>
      </w:r>
      <w:r w:rsidR="00B3337A" w:rsidRPr="00A65602">
        <w:t>every</w:t>
      </w:r>
      <w:r w:rsidR="00935F9A">
        <w:t xml:space="preserve"> </w:t>
      </w:r>
      <w:r w:rsidR="00B3337A" w:rsidRPr="00A65602">
        <w:t>2</w:t>
      </w:r>
      <w:r w:rsidR="00935F9A">
        <w:t xml:space="preserve"> </w:t>
      </w:r>
      <w:r w:rsidR="00B3337A" w:rsidRPr="00A65602">
        <w:t xml:space="preserve">weeks </w:t>
      </w:r>
      <w:r w:rsidRPr="00A65602">
        <w:t>group during the entire study period.</w:t>
      </w:r>
    </w:p>
    <w:p w14:paraId="516AC528" w14:textId="55E51FD8" w:rsidR="00AE00AB" w:rsidRPr="00B7603C" w:rsidRDefault="00AE00AB" w:rsidP="00B7603C">
      <w:pPr>
        <w:pStyle w:val="TableTitle"/>
      </w:pPr>
      <w:bookmarkStart w:id="56" w:name="_Ref94607690"/>
      <w:r w:rsidRPr="00B7603C">
        <w:t xml:space="preserve">Table </w:t>
      </w:r>
      <w:r w:rsidR="00A4590A">
        <w:fldChar w:fldCharType="begin"/>
      </w:r>
      <w:r w:rsidR="00A4590A">
        <w:instrText xml:space="preserve"> SEQ Table \* ARABIC </w:instrText>
      </w:r>
      <w:r w:rsidR="00A4590A">
        <w:fldChar w:fldCharType="separate"/>
      </w:r>
      <w:r w:rsidR="00CE2EF4">
        <w:rPr>
          <w:noProof/>
        </w:rPr>
        <w:t>5</w:t>
      </w:r>
      <w:r w:rsidR="00A4590A">
        <w:rPr>
          <w:noProof/>
        </w:rPr>
        <w:fldChar w:fldCharType="end"/>
      </w:r>
      <w:bookmarkEnd w:id="56"/>
      <w:r w:rsidR="006359DD" w:rsidRPr="00B7603C">
        <w:t>: Study A2324</w:t>
      </w:r>
      <w:r w:rsidRPr="00B7603C">
        <w:t xml:space="preserve"> Most frequent (≥ 5 % in any treatment group) </w:t>
      </w:r>
      <w:r w:rsidR="009F4D60" w:rsidRPr="00B7603C">
        <w:t>treatment emergent adverse event</w:t>
      </w:r>
      <w:r w:rsidRPr="00B7603C">
        <w:t xml:space="preserve"> by </w:t>
      </w:r>
      <w:r w:rsidR="009F4D60" w:rsidRPr="00B7603C">
        <w:t xml:space="preserve">Preferred Term </w:t>
      </w:r>
      <w:r w:rsidR="008B4E75" w:rsidRPr="00B7603C">
        <w:t xml:space="preserve">of the </w:t>
      </w:r>
      <w:r w:rsidR="009F4D60" w:rsidRPr="00B7603C">
        <w:t>entire study period (safety set)</w:t>
      </w:r>
    </w:p>
    <w:p w14:paraId="081A736A" w14:textId="54382A22" w:rsidR="00AE00AB" w:rsidRPr="00A65602" w:rsidRDefault="00AE00AB" w:rsidP="00B7603C">
      <w:pPr>
        <w:rPr>
          <w:lang w:eastAsia="ja-JP"/>
        </w:rPr>
      </w:pPr>
      <w:r w:rsidRPr="00A65602">
        <w:rPr>
          <w:noProof/>
          <w:lang w:val="en-GB" w:eastAsia="en-GB"/>
        </w:rPr>
        <w:drawing>
          <wp:inline distT="0" distB="0" distL="0" distR="0" wp14:anchorId="51686D6E" wp14:editId="096499C6">
            <wp:extent cx="5118989" cy="4008532"/>
            <wp:effectExtent l="0" t="0" r="5715" b="0"/>
            <wp:docPr id="58" name="Picture 58" descr="Table 5: Study A2324 Most frequent (≥ 5 % in any treatment group) treatment emergent adverse event by Preferred Term of the entire study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Picture 58" descr="Table 5: Study A2324 Most frequent (≥ 5 % in any treatment group) treatment emergent adverse event by Preferred Term of the entire study period (safety set)"/>
                    <pic:cNvPicPr/>
                  </pic:nvPicPr>
                  <pic:blipFill>
                    <a:blip r:embed="rId31"/>
                    <a:stretch>
                      <a:fillRect/>
                    </a:stretch>
                  </pic:blipFill>
                  <pic:spPr>
                    <a:xfrm>
                      <a:off x="0" y="0"/>
                      <a:ext cx="5170070" cy="4048532"/>
                    </a:xfrm>
                    <a:prstGeom prst="rect">
                      <a:avLst/>
                    </a:prstGeom>
                  </pic:spPr>
                </pic:pic>
              </a:graphicData>
            </a:graphic>
          </wp:inline>
        </w:drawing>
      </w:r>
    </w:p>
    <w:p w14:paraId="3F608203" w14:textId="6ED31C14" w:rsidR="00AA2AFF" w:rsidRPr="00B7603C" w:rsidRDefault="00AA2AFF" w:rsidP="00B7603C">
      <w:pPr>
        <w:pStyle w:val="TableDescription"/>
      </w:pPr>
      <w:r w:rsidRPr="00B7603C">
        <w:t>Abbreviations: AIN457 =</w:t>
      </w:r>
      <w:r w:rsidR="004A0022" w:rsidRPr="00B7603C">
        <w:t xml:space="preserve"> secukinumab</w:t>
      </w:r>
      <w:r w:rsidR="008A7D29" w:rsidRPr="00B7603C">
        <w:t xml:space="preserve">; N = number of subjects; n = number of subjects in group; NR = non-responders; </w:t>
      </w:r>
      <w:r w:rsidRPr="00B7603C">
        <w:t>Q2W</w:t>
      </w:r>
      <w:r w:rsidR="004A0022" w:rsidRPr="00B7603C">
        <w:t xml:space="preserve"> = every 2 weeks</w:t>
      </w:r>
      <w:r w:rsidR="008A7D29" w:rsidRPr="00B7603C">
        <w:t xml:space="preserve">; </w:t>
      </w:r>
      <w:r w:rsidRPr="00B7603C">
        <w:t>Q4W</w:t>
      </w:r>
      <w:r w:rsidR="004A0022" w:rsidRPr="00B7603C">
        <w:t xml:space="preserve"> = every 4 weeks</w:t>
      </w:r>
      <w:r w:rsidR="008A7D29" w:rsidRPr="00B7603C">
        <w:t>.</w:t>
      </w:r>
    </w:p>
    <w:p w14:paraId="79CA61DA" w14:textId="0E2066A7" w:rsidR="00AE00AB" w:rsidRPr="00B7603C" w:rsidRDefault="00AE00AB" w:rsidP="00B7603C">
      <w:pPr>
        <w:pStyle w:val="TableDescription"/>
      </w:pPr>
      <w:r w:rsidRPr="00B7603C">
        <w:t xml:space="preserve">Preferred </w:t>
      </w:r>
      <w:r w:rsidR="008B4E75" w:rsidRPr="00B7603C">
        <w:t>Term</w:t>
      </w:r>
      <w:r w:rsidRPr="00B7603C">
        <w:t>s are sorted in descending frequency of AEs in the secukinumab 300</w:t>
      </w:r>
      <w:r w:rsidR="003C5C0B" w:rsidRPr="00B7603C">
        <w:t xml:space="preserve"> </w:t>
      </w:r>
      <w:r w:rsidRPr="00B7603C">
        <w:t xml:space="preserve">mg </w:t>
      </w:r>
      <w:r w:rsidR="00BC168F" w:rsidRPr="00B7603C">
        <w:t>every 2</w:t>
      </w:r>
      <w:r w:rsidR="008B4E75" w:rsidRPr="00B7603C">
        <w:t> </w:t>
      </w:r>
      <w:r w:rsidR="00BC168F" w:rsidRPr="00B7603C">
        <w:t>weeks</w:t>
      </w:r>
      <w:r w:rsidRPr="00B7603C">
        <w:t xml:space="preserve"> column.</w:t>
      </w:r>
    </w:p>
    <w:p w14:paraId="132D00B5" w14:textId="7FD17C5A" w:rsidR="00AA2AFF" w:rsidRPr="00B7603C" w:rsidRDefault="00AE00AB" w:rsidP="00B7603C">
      <w:pPr>
        <w:pStyle w:val="TableDescription"/>
      </w:pPr>
      <w:r w:rsidRPr="00B7603C">
        <w:t xml:space="preserve">A subject with multiple </w:t>
      </w:r>
      <w:r w:rsidR="008B4E75" w:rsidRPr="00B7603C">
        <w:t>adverse events</w:t>
      </w:r>
      <w:r w:rsidRPr="00B7603C">
        <w:t xml:space="preserve"> with the same </w:t>
      </w:r>
      <w:r w:rsidR="008B4E75" w:rsidRPr="00B7603C">
        <w:t>Preferred Term</w:t>
      </w:r>
      <w:r w:rsidRPr="00B7603C">
        <w:t xml:space="preserve"> is counted only once for that </w:t>
      </w:r>
      <w:r w:rsidR="008B4E75" w:rsidRPr="00B7603C">
        <w:t>Preferred Term</w:t>
      </w:r>
      <w:r w:rsidRPr="00B7603C">
        <w:t>.</w:t>
      </w:r>
    </w:p>
    <w:p w14:paraId="28427DB4" w14:textId="226F468F" w:rsidR="00AE00AB" w:rsidRPr="00A65602" w:rsidRDefault="00AE00AB" w:rsidP="004946B9">
      <w:r w:rsidRPr="00A65602">
        <w:t xml:space="preserve">The incidence of important identified and potential risks over the entire study period is shown in </w:t>
      </w:r>
      <w:r w:rsidRPr="00A65602">
        <w:fldChar w:fldCharType="begin"/>
      </w:r>
      <w:r w:rsidRPr="00A65602">
        <w:instrText xml:space="preserve"> REF _Ref94608378 \h </w:instrText>
      </w:r>
      <w:r w:rsidR="004946B9" w:rsidRPr="00A65602">
        <w:instrText xml:space="preserve"> \* MERGEFORMAT </w:instrText>
      </w:r>
      <w:r w:rsidRPr="00A65602">
        <w:fldChar w:fldCharType="separate"/>
      </w:r>
      <w:r w:rsidR="00CE2EF4" w:rsidRPr="00B7603C">
        <w:t xml:space="preserve">Table </w:t>
      </w:r>
      <w:r w:rsidR="00CE2EF4">
        <w:t>6</w:t>
      </w:r>
      <w:r w:rsidRPr="00A65602">
        <w:fldChar w:fldCharType="end"/>
      </w:r>
      <w:r w:rsidR="00F1642E" w:rsidRPr="00A65602">
        <w:t xml:space="preserve"> below</w:t>
      </w:r>
      <w:r w:rsidRPr="00A65602">
        <w:t>. The most frequently reported infections were upper respiratory tract infections (</w:t>
      </w:r>
      <w:r w:rsidR="00F1642E" w:rsidRPr="00A65602">
        <w:t>High Level Term (</w:t>
      </w:r>
      <w:r w:rsidRPr="00A65602">
        <w:t>HLT</w:t>
      </w:r>
      <w:r w:rsidR="00F1642E" w:rsidRPr="00A65602">
        <w:t>)</w:t>
      </w:r>
      <w:r w:rsidRPr="00A65602">
        <w:t xml:space="preserve">): </w:t>
      </w:r>
      <w:r w:rsidR="00BC168F" w:rsidRPr="00A65602">
        <w:t>every 2 weeks</w:t>
      </w:r>
      <w:r w:rsidRPr="00A65602">
        <w:t xml:space="preserve"> 29.7% </w:t>
      </w:r>
      <w:r w:rsidR="00B3337A" w:rsidRPr="00A65602">
        <w:t>versus</w:t>
      </w:r>
      <w:r w:rsidRPr="00A65602">
        <w:t xml:space="preserve"> </w:t>
      </w:r>
      <w:r w:rsidR="007254C8" w:rsidRPr="00A65602">
        <w:t>every 4 weeks</w:t>
      </w:r>
      <w:r w:rsidRPr="00A65602">
        <w:t xml:space="preserve"> 26.9%. Oral herpes (PT) was reported in 3 (1.8%) patients in </w:t>
      </w:r>
      <w:proofErr w:type="gramStart"/>
      <w:r w:rsidRPr="00A65602">
        <w:t xml:space="preserve">the </w:t>
      </w:r>
      <w:r w:rsidR="00B3337A" w:rsidRPr="00A65602">
        <w:t>every</w:t>
      </w:r>
      <w:proofErr w:type="gramEnd"/>
      <w:r w:rsidR="00935F9A">
        <w:t xml:space="preserve"> </w:t>
      </w:r>
      <w:r w:rsidR="00B3337A" w:rsidRPr="00A65602">
        <w:t>2</w:t>
      </w:r>
      <w:r w:rsidR="00935F9A">
        <w:t xml:space="preserve"> </w:t>
      </w:r>
      <w:r w:rsidR="00B3337A" w:rsidRPr="00A65602">
        <w:t xml:space="preserve">weeks </w:t>
      </w:r>
      <w:r w:rsidRPr="00A65602">
        <w:t xml:space="preserve">group and </w:t>
      </w:r>
      <w:r w:rsidR="00F1642E" w:rsidRPr="00A65602">
        <w:t>one</w:t>
      </w:r>
      <w:r w:rsidRPr="00A65602">
        <w:t xml:space="preserve"> (0.7%) patient in </w:t>
      </w:r>
      <w:r w:rsidR="00B3337A" w:rsidRPr="00A65602">
        <w:t>every</w:t>
      </w:r>
      <w:r w:rsidR="00935F9A">
        <w:t xml:space="preserve"> </w:t>
      </w:r>
      <w:r w:rsidR="00B3337A" w:rsidRPr="00A65602">
        <w:t>4</w:t>
      </w:r>
      <w:r w:rsidR="00935F9A">
        <w:t xml:space="preserve"> </w:t>
      </w:r>
      <w:r w:rsidR="00B3337A" w:rsidRPr="00A65602">
        <w:t>weeks</w:t>
      </w:r>
      <w:r w:rsidRPr="00A65602">
        <w:t xml:space="preserve"> group, and herpes zoster (PT) was reported in 3</w:t>
      </w:r>
      <w:r w:rsidR="00F1642E" w:rsidRPr="00A65602">
        <w:t> </w:t>
      </w:r>
      <w:r w:rsidRPr="00A65602">
        <w:t xml:space="preserve">(2.2%) patients in the </w:t>
      </w:r>
      <w:r w:rsidR="00B3337A" w:rsidRPr="00A65602">
        <w:t>every</w:t>
      </w:r>
      <w:r w:rsidR="00935F9A">
        <w:t xml:space="preserve"> </w:t>
      </w:r>
      <w:r w:rsidR="00B3337A" w:rsidRPr="00A65602">
        <w:t>4</w:t>
      </w:r>
      <w:r w:rsidR="00935F9A">
        <w:t xml:space="preserve"> </w:t>
      </w:r>
      <w:r w:rsidR="00B3337A" w:rsidRPr="00A65602">
        <w:t>weeks</w:t>
      </w:r>
      <w:r w:rsidRPr="00A65602">
        <w:t xml:space="preserve"> group. Candida infections (HLT) were reported in </w:t>
      </w:r>
      <w:r w:rsidRPr="00A65602">
        <w:lastRenderedPageBreak/>
        <w:t>3</w:t>
      </w:r>
      <w:r w:rsidR="00F1642E" w:rsidRPr="00A65602">
        <w:t> </w:t>
      </w:r>
      <w:r w:rsidRPr="00A65602">
        <w:t xml:space="preserve">patients (1.8%) in </w:t>
      </w:r>
      <w:proofErr w:type="gramStart"/>
      <w:r w:rsidRPr="00A65602">
        <w:t xml:space="preserve">the </w:t>
      </w:r>
      <w:r w:rsidR="00B3337A" w:rsidRPr="00A65602">
        <w:t>every</w:t>
      </w:r>
      <w:proofErr w:type="gramEnd"/>
      <w:r w:rsidR="00935F9A">
        <w:t xml:space="preserve"> </w:t>
      </w:r>
      <w:r w:rsidR="00B3337A" w:rsidRPr="00A65602">
        <w:t>2</w:t>
      </w:r>
      <w:r w:rsidR="00935F9A">
        <w:t xml:space="preserve"> </w:t>
      </w:r>
      <w:r w:rsidR="00B3337A" w:rsidRPr="00A65602">
        <w:t>weeks</w:t>
      </w:r>
      <w:r w:rsidRPr="00A65602">
        <w:t xml:space="preserve"> group and 6 patients (4.5%) in the </w:t>
      </w:r>
      <w:r w:rsidR="00B3337A" w:rsidRPr="00A65602">
        <w:t>every</w:t>
      </w:r>
      <w:r w:rsidR="00935F9A">
        <w:t xml:space="preserve"> </w:t>
      </w:r>
      <w:r w:rsidR="00B3337A" w:rsidRPr="00A65602">
        <w:t>4</w:t>
      </w:r>
      <w:r w:rsidR="00935F9A">
        <w:t xml:space="preserve"> </w:t>
      </w:r>
      <w:r w:rsidR="00B3337A" w:rsidRPr="00A65602">
        <w:t xml:space="preserve">weeks </w:t>
      </w:r>
      <w:r w:rsidRPr="00A65602">
        <w:t>group. The incidence of hypersensitivity (</w:t>
      </w:r>
      <w:r w:rsidR="009C52CE" w:rsidRPr="00A65602">
        <w:t>Standardised Medical Dictionary for Regulatory Activities (MedDRA)</w:t>
      </w:r>
      <w:r w:rsidR="00F5213E">
        <w:rPr>
          <w:rStyle w:val="FootnoteReference"/>
        </w:rPr>
        <w:footnoteReference w:id="11"/>
      </w:r>
      <w:r w:rsidR="009C52CE" w:rsidRPr="00A65602">
        <w:t xml:space="preserve"> Query (</w:t>
      </w:r>
      <w:r w:rsidRPr="00A65602">
        <w:t>SMQ</w:t>
      </w:r>
      <w:r w:rsidR="009C52CE" w:rsidRPr="00A65602">
        <w:t>)</w:t>
      </w:r>
      <w:r w:rsidRPr="00A65602">
        <w:t>)</w:t>
      </w:r>
      <w:r w:rsidR="00F5213E">
        <w:rPr>
          <w:rStyle w:val="FootnoteReference"/>
        </w:rPr>
        <w:footnoteReference w:id="12"/>
      </w:r>
      <w:r w:rsidRPr="00A65602">
        <w:t xml:space="preserve"> was 8.5% in the </w:t>
      </w:r>
      <w:r w:rsidR="003908B4">
        <w:t xml:space="preserve">once </w:t>
      </w:r>
      <w:r w:rsidR="00B3337A" w:rsidRPr="00A65602">
        <w:t>every</w:t>
      </w:r>
      <w:r w:rsidR="003908B4">
        <w:t xml:space="preserve"> </w:t>
      </w:r>
      <w:r w:rsidR="00B3337A" w:rsidRPr="00A65602">
        <w:t>2</w:t>
      </w:r>
      <w:r w:rsidR="003908B4">
        <w:t xml:space="preserve"> </w:t>
      </w:r>
      <w:r w:rsidR="00B3337A" w:rsidRPr="00A65602">
        <w:t xml:space="preserve">weeks </w:t>
      </w:r>
      <w:r w:rsidRPr="00A65602">
        <w:t xml:space="preserve">group and 4.5% in </w:t>
      </w:r>
      <w:proofErr w:type="gramStart"/>
      <w:r w:rsidRPr="00A65602">
        <w:t xml:space="preserve">the </w:t>
      </w:r>
      <w:r w:rsidR="00B3337A" w:rsidRPr="00A65602">
        <w:t>every</w:t>
      </w:r>
      <w:proofErr w:type="gramEnd"/>
      <w:r w:rsidR="00935F9A">
        <w:t xml:space="preserve"> </w:t>
      </w:r>
      <w:r w:rsidR="00B3337A" w:rsidRPr="00A65602">
        <w:t>4</w:t>
      </w:r>
      <w:r w:rsidR="00935F9A">
        <w:t xml:space="preserve"> </w:t>
      </w:r>
      <w:r w:rsidR="00B3337A" w:rsidRPr="00A65602">
        <w:t xml:space="preserve">weeks </w:t>
      </w:r>
      <w:r w:rsidRPr="00A65602">
        <w:t>group. This difference was mainly driven by the events (PTs) of dermatitis, dermatitis contact and urticaria. The incidence of neutropaenia (</w:t>
      </w:r>
      <w:r w:rsidR="00F1642E" w:rsidRPr="00A65602">
        <w:t>Novartis Medical Dictionary for Regulatory Activities (MedDRA) Query (</w:t>
      </w:r>
      <w:r w:rsidRPr="00A65602">
        <w:t>NMQ</w:t>
      </w:r>
      <w:r w:rsidR="00F1642E" w:rsidRPr="00A65602">
        <w:t>)</w:t>
      </w:r>
      <w:r w:rsidRPr="00A65602">
        <w:t xml:space="preserve">) was similar in </w:t>
      </w:r>
      <w:proofErr w:type="gramStart"/>
      <w:r w:rsidRPr="00A65602">
        <w:t xml:space="preserve">the </w:t>
      </w:r>
      <w:r w:rsidR="00B3337A" w:rsidRPr="00A65602">
        <w:t>every</w:t>
      </w:r>
      <w:proofErr w:type="gramEnd"/>
      <w:r w:rsidR="00935F9A">
        <w:t xml:space="preserve"> </w:t>
      </w:r>
      <w:r w:rsidR="00B3337A" w:rsidRPr="00A65602">
        <w:t>2</w:t>
      </w:r>
      <w:r w:rsidR="00935F9A">
        <w:t xml:space="preserve"> </w:t>
      </w:r>
      <w:r w:rsidR="00B3337A" w:rsidRPr="00A65602">
        <w:t xml:space="preserve">weeks </w:t>
      </w:r>
      <w:r w:rsidRPr="00A65602">
        <w:t xml:space="preserve">and </w:t>
      </w:r>
      <w:r w:rsidR="00B3337A" w:rsidRPr="00A65602">
        <w:t>every</w:t>
      </w:r>
      <w:r w:rsidR="00935F9A">
        <w:t xml:space="preserve"> </w:t>
      </w:r>
      <w:r w:rsidR="00B3337A" w:rsidRPr="00A65602">
        <w:t>4</w:t>
      </w:r>
      <w:r w:rsidR="00935F9A">
        <w:t xml:space="preserve"> </w:t>
      </w:r>
      <w:r w:rsidR="00B3337A" w:rsidRPr="00A65602">
        <w:t xml:space="preserve">weeks </w:t>
      </w:r>
      <w:r w:rsidRPr="00A65602">
        <w:t>groups.</w:t>
      </w:r>
    </w:p>
    <w:p w14:paraId="19DD2993" w14:textId="04A60E9C" w:rsidR="00AE00AB" w:rsidRPr="00B7603C" w:rsidRDefault="00AE00AB" w:rsidP="00B7603C">
      <w:pPr>
        <w:pStyle w:val="TableTitle"/>
      </w:pPr>
      <w:bookmarkStart w:id="57" w:name="_Ref94608378"/>
      <w:r w:rsidRPr="00B7603C">
        <w:t xml:space="preserve">Table </w:t>
      </w:r>
      <w:r w:rsidR="00A4590A">
        <w:fldChar w:fldCharType="begin"/>
      </w:r>
      <w:r w:rsidR="00A4590A">
        <w:instrText xml:space="preserve"> SEQ Table \* ARABIC </w:instrText>
      </w:r>
      <w:r w:rsidR="00A4590A">
        <w:fldChar w:fldCharType="separate"/>
      </w:r>
      <w:r w:rsidR="00CE2EF4">
        <w:rPr>
          <w:noProof/>
        </w:rPr>
        <w:t>6</w:t>
      </w:r>
      <w:r w:rsidR="00A4590A">
        <w:rPr>
          <w:noProof/>
        </w:rPr>
        <w:fldChar w:fldCharType="end"/>
      </w:r>
      <w:bookmarkEnd w:id="57"/>
      <w:r w:rsidR="006359DD" w:rsidRPr="00B7603C">
        <w:t>: Study A2324</w:t>
      </w:r>
      <w:r w:rsidRPr="00B7603C">
        <w:t xml:space="preserve"> Important identified and potential risks based on all adverse events </w:t>
      </w:r>
      <w:r w:rsidR="008B4E75" w:rsidRPr="00B7603C">
        <w:t xml:space="preserve">of the </w:t>
      </w:r>
      <w:r w:rsidR="009F4D60" w:rsidRPr="00B7603C">
        <w:t>entire study period (safety set)</w:t>
      </w:r>
    </w:p>
    <w:p w14:paraId="5490B54F" w14:textId="7EDFC7B0" w:rsidR="00AE00AB" w:rsidRPr="00A65602" w:rsidRDefault="00AE00AB" w:rsidP="00B7603C">
      <w:pPr>
        <w:rPr>
          <w:lang w:eastAsia="ja-JP"/>
        </w:rPr>
      </w:pPr>
      <w:r w:rsidRPr="00A65602">
        <w:rPr>
          <w:noProof/>
          <w:lang w:val="en-GB" w:eastAsia="en-GB"/>
        </w:rPr>
        <w:drawing>
          <wp:inline distT="0" distB="0" distL="0" distR="0" wp14:anchorId="291B3B4A" wp14:editId="6F33AD48">
            <wp:extent cx="4562114" cy="2834098"/>
            <wp:effectExtent l="0" t="0" r="0" b="4445"/>
            <wp:docPr id="65" name="Picture 65" descr="Table 6: Study A2324 Important identified and potential risks based on all adverse events of the entire study period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Picture 65" descr="Table 6: Study A2324 Important identified and potential risks based on all adverse events of the entire study period (safety set)"/>
                    <pic:cNvPicPr/>
                  </pic:nvPicPr>
                  <pic:blipFill rotWithShape="1">
                    <a:blip r:embed="rId32"/>
                    <a:srcRect b="1418"/>
                    <a:stretch/>
                  </pic:blipFill>
                  <pic:spPr bwMode="auto">
                    <a:xfrm>
                      <a:off x="0" y="0"/>
                      <a:ext cx="4625963" cy="2873763"/>
                    </a:xfrm>
                    <a:prstGeom prst="rect">
                      <a:avLst/>
                    </a:prstGeom>
                    <a:ln>
                      <a:noFill/>
                    </a:ln>
                    <a:extLst>
                      <a:ext uri="{53640926-AAD7-44D8-BBD7-CCE9431645EC}">
                        <a14:shadowObscured xmlns:a14="http://schemas.microsoft.com/office/drawing/2010/main"/>
                      </a:ext>
                    </a:extLst>
                  </pic:spPr>
                </pic:pic>
              </a:graphicData>
            </a:graphic>
          </wp:inline>
        </w:drawing>
      </w:r>
    </w:p>
    <w:p w14:paraId="5546BF3A" w14:textId="3D2D43A7" w:rsidR="00AA2AFF" w:rsidRPr="00B7603C" w:rsidRDefault="00AA2AFF" w:rsidP="00B7603C">
      <w:pPr>
        <w:pStyle w:val="TableDescription"/>
      </w:pPr>
      <w:r w:rsidRPr="00B7603C">
        <w:t>Abbreviations: AIN457 =</w:t>
      </w:r>
      <w:r w:rsidR="004A0022" w:rsidRPr="00B7603C">
        <w:t xml:space="preserve"> secukinumab</w:t>
      </w:r>
      <w:r w:rsidR="008A7D29" w:rsidRPr="00B7603C">
        <w:t>; MACE = major adverse cardiovascular event; MI =</w:t>
      </w:r>
      <w:r w:rsidR="008A7D29" w:rsidRPr="00B7603C">
        <w:rPr>
          <w:rStyle w:val="Heading1Char"/>
          <w:rFonts w:ascii="Cambria" w:eastAsia="Cambria" w:hAnsi="Cambria" w:cs="Times New Roman"/>
          <w:b w:val="0"/>
          <w:bCs w:val="0"/>
          <w:sz w:val="19"/>
          <w:szCs w:val="19"/>
        </w:rPr>
        <w:t xml:space="preserve"> </w:t>
      </w:r>
      <w:r w:rsidR="008A7D29" w:rsidRPr="00B7603C">
        <w:rPr>
          <w:rStyle w:val="Emphasis"/>
          <w:i w:val="0"/>
          <w:iCs w:val="0"/>
        </w:rPr>
        <w:t xml:space="preserve">myocardial infarction; </w:t>
      </w:r>
      <w:r w:rsidR="008A7D29" w:rsidRPr="00B7603C">
        <w:t xml:space="preserve">NMQ = Novartis Medical Dictionary for Regulatory Activities (MedDRA) Query; N = number of subjects; n = number of subjects in group; NR = non-responders; </w:t>
      </w:r>
      <w:r w:rsidRPr="00B7603C">
        <w:t>Q2W</w:t>
      </w:r>
      <w:r w:rsidR="004A0022" w:rsidRPr="00B7603C">
        <w:t xml:space="preserve"> = every 2 weeks</w:t>
      </w:r>
      <w:r w:rsidR="008A7D29" w:rsidRPr="00B7603C">
        <w:t xml:space="preserve">; </w:t>
      </w:r>
      <w:r w:rsidRPr="00B7603C">
        <w:t xml:space="preserve">Q4W </w:t>
      </w:r>
      <w:r w:rsidR="004A0022" w:rsidRPr="00B7603C">
        <w:t>= every 4</w:t>
      </w:r>
      <w:r w:rsidR="00B7603C">
        <w:t> </w:t>
      </w:r>
      <w:r w:rsidR="004A0022" w:rsidRPr="00B7603C">
        <w:t>weeks</w:t>
      </w:r>
      <w:r w:rsidR="008A7D29" w:rsidRPr="00B7603C">
        <w:t xml:space="preserve">; SMQ = Standardised Medical Dictionary for Regulatory Activities (MedDRA) Query; </w:t>
      </w:r>
      <w:r w:rsidRPr="00B7603C">
        <w:t>SOC</w:t>
      </w:r>
      <w:r w:rsidR="004A0022" w:rsidRPr="00B7603C">
        <w:t xml:space="preserve"> = System Organ Class</w:t>
      </w:r>
      <w:r w:rsidR="008A7D29" w:rsidRPr="00B7603C">
        <w:t>.</w:t>
      </w:r>
    </w:p>
    <w:p w14:paraId="4E88676C" w14:textId="730B51E7" w:rsidR="00AE00AB" w:rsidRPr="00B7603C" w:rsidRDefault="00AE00AB" w:rsidP="00B7603C">
      <w:pPr>
        <w:pStyle w:val="TableDescription"/>
      </w:pPr>
      <w:r w:rsidRPr="00B7603C">
        <w:t>Risk levels are not mutually exclusive.</w:t>
      </w:r>
    </w:p>
    <w:p w14:paraId="61F47E43" w14:textId="1B233771" w:rsidR="00AE00AB" w:rsidRPr="00A65602" w:rsidRDefault="00AE00AB" w:rsidP="00111206">
      <w:r w:rsidRPr="00A65602">
        <w:t>The submission included cross-study comparisons (</w:t>
      </w:r>
      <w:r w:rsidR="002C4761" w:rsidRPr="00A65602">
        <w:t xml:space="preserve">see </w:t>
      </w:r>
      <w:r w:rsidRPr="00A65602">
        <w:fldChar w:fldCharType="begin"/>
      </w:r>
      <w:r w:rsidRPr="00A65602">
        <w:instrText xml:space="preserve"> REF _Ref94611044 \h </w:instrText>
      </w:r>
      <w:r w:rsidR="00111206" w:rsidRPr="00A65602">
        <w:instrText xml:space="preserve"> \* MERGEFORMAT </w:instrText>
      </w:r>
      <w:r w:rsidRPr="00A65602">
        <w:fldChar w:fldCharType="separate"/>
      </w:r>
      <w:r w:rsidR="00CE2EF4" w:rsidRPr="00B7603C">
        <w:t xml:space="preserve">Table </w:t>
      </w:r>
      <w:r w:rsidR="00CE2EF4">
        <w:t>7</w:t>
      </w:r>
      <w:r w:rsidRPr="00A65602">
        <w:fldChar w:fldCharType="end"/>
      </w:r>
      <w:r w:rsidR="002C4761" w:rsidRPr="00A65602">
        <w:t xml:space="preserve"> below</w:t>
      </w:r>
      <w:r w:rsidRPr="00A65602">
        <w:t>) of the incidence of clinically significant AEs observed in Study A2324 and prior pivotal studies (Study</w:t>
      </w:r>
      <w:r w:rsidR="002C4761" w:rsidRPr="00A65602">
        <w:t> </w:t>
      </w:r>
      <w:r w:rsidRPr="00A65602">
        <w:t>A2302, A2303, A2308, and A2309).</w:t>
      </w:r>
    </w:p>
    <w:p w14:paraId="7B9CBCFC" w14:textId="26F774EF" w:rsidR="00AE00AB" w:rsidRPr="00B7603C" w:rsidRDefault="00AE00AB" w:rsidP="00B7603C">
      <w:pPr>
        <w:pStyle w:val="TableTitle"/>
      </w:pPr>
      <w:bookmarkStart w:id="58" w:name="_Ref94611044"/>
      <w:r w:rsidRPr="00B7603C">
        <w:lastRenderedPageBreak/>
        <w:t xml:space="preserve">Table </w:t>
      </w:r>
      <w:r w:rsidR="00A4590A">
        <w:fldChar w:fldCharType="begin"/>
      </w:r>
      <w:r w:rsidR="00A4590A">
        <w:instrText xml:space="preserve"> SEQ Table \* </w:instrText>
      </w:r>
      <w:r w:rsidR="00A4590A">
        <w:instrText xml:space="preserve">ARABIC </w:instrText>
      </w:r>
      <w:r w:rsidR="00A4590A">
        <w:fldChar w:fldCharType="separate"/>
      </w:r>
      <w:r w:rsidR="00CE2EF4">
        <w:rPr>
          <w:noProof/>
        </w:rPr>
        <w:t>7</w:t>
      </w:r>
      <w:r w:rsidR="00A4590A">
        <w:rPr>
          <w:noProof/>
        </w:rPr>
        <w:fldChar w:fldCharType="end"/>
      </w:r>
      <w:bookmarkEnd w:id="58"/>
      <w:r w:rsidR="006359DD" w:rsidRPr="00B7603C">
        <w:t xml:space="preserve">: </w:t>
      </w:r>
      <w:r w:rsidR="009F4D60" w:rsidRPr="00B7603C">
        <w:t xml:space="preserve">Study A2324 versus </w:t>
      </w:r>
      <w:r w:rsidR="008B4E75" w:rsidRPr="00B7603C">
        <w:t xml:space="preserve">Studies A2302, A2303, A2308 and A2309 Clinically </w:t>
      </w:r>
      <w:r w:rsidRPr="00B7603C">
        <w:t>significant safety (exposure adjusted incidence rates and incidence rate ratios)</w:t>
      </w:r>
      <w:r w:rsidR="009F4D60" w:rsidRPr="00B7603C">
        <w:t xml:space="preserve"> </w:t>
      </w:r>
      <w:r w:rsidR="007D76BE" w:rsidRPr="00B7603C">
        <w:t>up</w:t>
      </w:r>
      <w:r w:rsidRPr="00B7603C">
        <w:t xml:space="preserve"> to Week 52/60 (</w:t>
      </w:r>
      <w:r w:rsidR="009F4D60" w:rsidRPr="00B7603C">
        <w:t>safety set)</w:t>
      </w:r>
    </w:p>
    <w:p w14:paraId="470AF7EC" w14:textId="0CC97AE4" w:rsidR="00AE00AB" w:rsidRPr="00A65602" w:rsidRDefault="00AE00AB" w:rsidP="00B7603C">
      <w:pPr>
        <w:rPr>
          <w:lang w:eastAsia="ja-JP"/>
        </w:rPr>
      </w:pPr>
      <w:r w:rsidRPr="00A65602">
        <w:rPr>
          <w:noProof/>
          <w:lang w:val="en-GB" w:eastAsia="en-GB"/>
        </w:rPr>
        <w:drawing>
          <wp:inline distT="0" distB="0" distL="0" distR="0" wp14:anchorId="62D05764" wp14:editId="0122BFCA">
            <wp:extent cx="5295900" cy="4316186"/>
            <wp:effectExtent l="0" t="0" r="0" b="8255"/>
            <wp:docPr id="64" name="Picture 64" descr="Table 7: Study A2324 versus Studies A2302, A2303, A2308 and A2309 Clinically significant safety (exposure adjusted incidence rates and incidence rate ratios) up to Week 52/60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Picture 64" descr="Table 7: Study A2324 versus Studies A2302, A2303, A2308 and A2309 Clinically significant safety (exposure adjusted incidence rates and incidence rate ratios) up to Week 52/60 (safety set)"/>
                    <pic:cNvPicPr/>
                  </pic:nvPicPr>
                  <pic:blipFill>
                    <a:blip r:embed="rId33"/>
                    <a:stretch>
                      <a:fillRect/>
                    </a:stretch>
                  </pic:blipFill>
                  <pic:spPr>
                    <a:xfrm>
                      <a:off x="0" y="0"/>
                      <a:ext cx="5374846" cy="4380527"/>
                    </a:xfrm>
                    <a:prstGeom prst="rect">
                      <a:avLst/>
                    </a:prstGeom>
                  </pic:spPr>
                </pic:pic>
              </a:graphicData>
            </a:graphic>
          </wp:inline>
        </w:drawing>
      </w:r>
    </w:p>
    <w:p w14:paraId="6AD5E6A7" w14:textId="67B6AF27" w:rsidR="00AA2AFF" w:rsidRPr="00B7603C" w:rsidRDefault="00AA2AFF" w:rsidP="00B7603C">
      <w:pPr>
        <w:pStyle w:val="TableDescription"/>
      </w:pPr>
      <w:r w:rsidRPr="00B7603C">
        <w:t xml:space="preserve">Abbreviations: </w:t>
      </w:r>
      <w:r w:rsidR="008A7D29" w:rsidRPr="00B7603C">
        <w:t xml:space="preserve">AE = adverse event; </w:t>
      </w:r>
      <w:r w:rsidR="00992696" w:rsidRPr="00B7603C">
        <w:t>CI = confidence interval</w:t>
      </w:r>
      <w:r w:rsidR="008A7D29" w:rsidRPr="00B7603C">
        <w:t>; HLT = High Level Term;</w:t>
      </w:r>
      <w:r w:rsidR="00675A51" w:rsidRPr="00B7603C">
        <w:t xml:space="preserve"> NMQ = Novartis Medical Dictionary for Regulatory Activities (MedDRA) Query;</w:t>
      </w:r>
      <w:r w:rsidR="008A7D29" w:rsidRPr="00B7603C">
        <w:t xml:space="preserve"> PT = Preferred Term; </w:t>
      </w:r>
      <w:r w:rsidRPr="00B7603C">
        <w:t>Q4W =</w:t>
      </w:r>
      <w:r w:rsidR="004A0022" w:rsidRPr="00B7603C">
        <w:t xml:space="preserve"> every 4</w:t>
      </w:r>
      <w:r w:rsidR="00431D93">
        <w:t> </w:t>
      </w:r>
      <w:r w:rsidR="004A0022" w:rsidRPr="00B7603C">
        <w:t>weeks</w:t>
      </w:r>
      <w:r w:rsidR="008A7D29" w:rsidRPr="00B7603C">
        <w:t xml:space="preserve">; </w:t>
      </w:r>
      <w:r w:rsidRPr="00B7603C">
        <w:t>Q2W =</w:t>
      </w:r>
      <w:r w:rsidR="004A0022" w:rsidRPr="00B7603C">
        <w:t xml:space="preserve"> every 2 weeks</w:t>
      </w:r>
      <w:r w:rsidR="008A7D29" w:rsidRPr="00B7603C">
        <w:t xml:space="preserve">; </w:t>
      </w:r>
      <w:r w:rsidRPr="00B7603C">
        <w:t>SAE =</w:t>
      </w:r>
      <w:r w:rsidR="004A0022" w:rsidRPr="00B7603C">
        <w:t xml:space="preserve"> serious adverse event</w:t>
      </w:r>
      <w:r w:rsidR="008A7D29" w:rsidRPr="00B7603C">
        <w:t xml:space="preserve">; </w:t>
      </w:r>
      <w:r w:rsidRPr="00B7603C">
        <w:t>SOC =</w:t>
      </w:r>
      <w:r w:rsidR="004A0022" w:rsidRPr="00B7603C">
        <w:t xml:space="preserve"> System Organ Classes</w:t>
      </w:r>
      <w:r w:rsidR="008A7D29" w:rsidRPr="00B7603C">
        <w:t xml:space="preserve">; </w:t>
      </w:r>
      <w:r w:rsidRPr="00B7603C">
        <w:t>vs =</w:t>
      </w:r>
      <w:r w:rsidR="004A0022" w:rsidRPr="00B7603C">
        <w:t xml:space="preserve"> versus</w:t>
      </w:r>
      <w:r w:rsidR="00675A51" w:rsidRPr="00B7603C">
        <w:t>.</w:t>
      </w:r>
    </w:p>
    <w:p w14:paraId="5AE5AB0D" w14:textId="77777777" w:rsidR="00675A51" w:rsidRPr="00B7603C" w:rsidRDefault="00AE00AB" w:rsidP="00B7603C">
      <w:pPr>
        <w:pStyle w:val="TableDescription"/>
      </w:pPr>
      <w:r w:rsidRPr="00B7603C">
        <w:t>Duration of exposure was 60 weeks in Study A2324 and 52 weeks in adult pivotal studies.</w:t>
      </w:r>
    </w:p>
    <w:p w14:paraId="0C3F4883" w14:textId="6048DBBE" w:rsidR="00111206" w:rsidRPr="00B7603C" w:rsidRDefault="00AE00AB" w:rsidP="00B7603C">
      <w:pPr>
        <w:pStyle w:val="TableDescription"/>
      </w:pPr>
      <w:r w:rsidRPr="00B7603C">
        <w:t>Adult pivotal studies</w:t>
      </w:r>
      <w:r w:rsidR="008B4E75" w:rsidRPr="00B7603C">
        <w:t>:</w:t>
      </w:r>
      <w:r w:rsidRPr="00B7603C">
        <w:t xml:space="preserve"> </w:t>
      </w:r>
      <w:r w:rsidR="00390805" w:rsidRPr="00B7603C">
        <w:t xml:space="preserve">Studies </w:t>
      </w:r>
      <w:r w:rsidRPr="00B7603C">
        <w:t>A2302, A2303, A2308 and A2309</w:t>
      </w:r>
      <w:r w:rsidR="008B4E75" w:rsidRPr="00B7603C">
        <w:t>.</w:t>
      </w:r>
    </w:p>
    <w:p w14:paraId="33333350" w14:textId="5E087783" w:rsidR="00AE00AB" w:rsidRPr="00A65602" w:rsidRDefault="00AE00AB" w:rsidP="00111206">
      <w:r w:rsidRPr="00A65602">
        <w:t xml:space="preserve">The submission did not present safety data for patients </w:t>
      </w:r>
      <w:r w:rsidR="00935F9A">
        <w:t xml:space="preserve">with bodyweight </w:t>
      </w:r>
      <w:r w:rsidRPr="00A65602">
        <w:t xml:space="preserve">&lt; 90 kg treated with 300 mg </w:t>
      </w:r>
      <w:r w:rsidR="00BC168F" w:rsidRPr="00A65602">
        <w:t xml:space="preserve">every 2 </w:t>
      </w:r>
      <w:proofErr w:type="gramStart"/>
      <w:r w:rsidR="00BC168F" w:rsidRPr="00A65602">
        <w:t>weeks</w:t>
      </w:r>
      <w:r w:rsidRPr="00A65602">
        <w:t>, but</w:t>
      </w:r>
      <w:proofErr w:type="gramEnd"/>
      <w:r w:rsidRPr="00A65602">
        <w:t xml:space="preserve"> included modelling analyses to support the safety of 300</w:t>
      </w:r>
      <w:r w:rsidR="00935F9A">
        <w:t> </w:t>
      </w:r>
      <w:r w:rsidRPr="00A65602">
        <w:t xml:space="preserve">mg </w:t>
      </w:r>
      <w:r w:rsidR="00BC168F" w:rsidRPr="00A65602">
        <w:t>every 2 weeks</w:t>
      </w:r>
      <w:r w:rsidRPr="00A65602">
        <w:t xml:space="preserve"> in patients &lt; 90 kg.</w:t>
      </w:r>
      <w:r w:rsidR="002C4761" w:rsidRPr="00A65602">
        <w:t xml:space="preserve"> </w:t>
      </w:r>
      <w:r w:rsidRPr="00A65602">
        <w:t xml:space="preserve">The </w:t>
      </w:r>
      <w:r w:rsidR="00AA3BF1" w:rsidRPr="00A65602">
        <w:t>sponsor</w:t>
      </w:r>
      <w:r w:rsidRPr="00A65602">
        <w:t xml:space="preserve"> used two different methods to model the safety of 300 mg </w:t>
      </w:r>
      <w:r w:rsidR="00BC168F" w:rsidRPr="00A65602">
        <w:t>every 2 weeks</w:t>
      </w:r>
      <w:r w:rsidRPr="00A65602">
        <w:t xml:space="preserve"> in patients &lt; 90 kg.</w:t>
      </w:r>
    </w:p>
    <w:p w14:paraId="4E4444E0" w14:textId="7517FE7F" w:rsidR="00AE00AB" w:rsidRPr="00A65602" w:rsidRDefault="00AE00AB" w:rsidP="00111206">
      <w:r w:rsidRPr="00A65602">
        <w:t xml:space="preserve">The first method involved 2,639 patients in the secukinumab psoriasis safety data pool who had concentration data and were treated with 150 mg </w:t>
      </w:r>
      <w:r w:rsidR="007254C8" w:rsidRPr="00A65602">
        <w:t>every 4 weeks</w:t>
      </w:r>
      <w:r w:rsidRPr="00A65602">
        <w:t xml:space="preserve">, 300 mg </w:t>
      </w:r>
      <w:r w:rsidR="007254C8" w:rsidRPr="00A65602">
        <w:t>every 4</w:t>
      </w:r>
      <w:r w:rsidR="002C4761" w:rsidRPr="00A65602">
        <w:t> </w:t>
      </w:r>
      <w:r w:rsidR="007254C8" w:rsidRPr="00A65602">
        <w:t>weeks</w:t>
      </w:r>
      <w:r w:rsidRPr="00A65602">
        <w:t xml:space="preserve">, or 300 mg </w:t>
      </w:r>
      <w:r w:rsidR="00BC168F" w:rsidRPr="00A65602">
        <w:t>every 2 weeks</w:t>
      </w:r>
      <w:r w:rsidRPr="00A65602">
        <w:t xml:space="preserve"> for one year (noting that </w:t>
      </w:r>
      <w:proofErr w:type="gramStart"/>
      <w:r w:rsidRPr="00A65602">
        <w:t>all of</w:t>
      </w:r>
      <w:proofErr w:type="gramEnd"/>
      <w:r w:rsidRPr="00A65602">
        <w:t xml:space="preserve"> the patients treated with 300 mg </w:t>
      </w:r>
      <w:r w:rsidR="00BC168F" w:rsidRPr="00A65602">
        <w:t>every 2 weeks</w:t>
      </w:r>
      <w:r w:rsidRPr="00A65602">
        <w:t xml:space="preserve"> were from </w:t>
      </w:r>
      <w:r w:rsidR="00390805" w:rsidRPr="00A65602">
        <w:t xml:space="preserve">Study </w:t>
      </w:r>
      <w:r w:rsidRPr="00A65602">
        <w:t xml:space="preserve">A2324, so had baseline bodyweight ≥ 90 kg). </w:t>
      </w:r>
      <w:r w:rsidR="002C4761" w:rsidRPr="00A65602">
        <w:t xml:space="preserve">Adverse events </w:t>
      </w:r>
      <w:r w:rsidRPr="00A65602">
        <w:t>of special interest</w:t>
      </w:r>
      <w:r w:rsidR="002C4761" w:rsidRPr="00A65602">
        <w:t xml:space="preserve"> (AESIs)</w:t>
      </w:r>
      <w:r w:rsidRPr="00A65602">
        <w:t xml:space="preserve"> were infection-related AEs, including </w:t>
      </w:r>
      <w:r w:rsidR="002C4761" w:rsidRPr="00A65602">
        <w:t xml:space="preserve">infections and infestations </w:t>
      </w:r>
      <w:r w:rsidRPr="00A65602">
        <w:t>(S</w:t>
      </w:r>
      <w:r w:rsidR="002C4761" w:rsidRPr="00A65602">
        <w:t xml:space="preserve">ystem Organ </w:t>
      </w:r>
      <w:r w:rsidR="00A65602" w:rsidRPr="00A65602">
        <w:t>C</w:t>
      </w:r>
      <w:r w:rsidR="002C4761" w:rsidRPr="00A65602">
        <w:t>lass (S</w:t>
      </w:r>
      <w:r w:rsidRPr="00A65602">
        <w:t>OC)</w:t>
      </w:r>
      <w:r w:rsidR="002C4761" w:rsidRPr="00A65602">
        <w:t>)</w:t>
      </w:r>
      <w:r w:rsidRPr="00A65602">
        <w:t xml:space="preserve">, </w:t>
      </w:r>
      <w:r w:rsidR="002C4761" w:rsidRPr="00A65602">
        <w:t xml:space="preserve">serious infections and infestations </w:t>
      </w:r>
      <w:r w:rsidRPr="00A65602">
        <w:t xml:space="preserve">(SOC), Candida infections (HLT) and </w:t>
      </w:r>
      <w:r w:rsidR="00882FA9" w:rsidRPr="00A65602">
        <w:t>up</w:t>
      </w:r>
      <w:r w:rsidRPr="00A65602">
        <w:t xml:space="preserve">per respiratory tract infections (HLT). </w:t>
      </w:r>
      <w:r w:rsidRPr="00A65602">
        <w:fldChar w:fldCharType="begin"/>
      </w:r>
      <w:r w:rsidRPr="00A65602">
        <w:instrText xml:space="preserve"> REF _Ref94615596 \h </w:instrText>
      </w:r>
      <w:r w:rsidR="00111206" w:rsidRPr="00A65602">
        <w:instrText xml:space="preserve"> \* MERGEFORMAT </w:instrText>
      </w:r>
      <w:r w:rsidRPr="00A65602">
        <w:fldChar w:fldCharType="separate"/>
      </w:r>
      <w:r w:rsidR="00CE2EF4" w:rsidRPr="00B7603C">
        <w:t xml:space="preserve">Table </w:t>
      </w:r>
      <w:r w:rsidR="00CE2EF4">
        <w:t>8</w:t>
      </w:r>
      <w:r w:rsidRPr="00A65602">
        <w:fldChar w:fldCharType="end"/>
      </w:r>
      <w:r w:rsidRPr="00A65602">
        <w:t xml:space="preserve"> shows the incidence of AE</w:t>
      </w:r>
      <w:r w:rsidR="002C4761" w:rsidRPr="00A65602">
        <w:t>SI</w:t>
      </w:r>
      <w:r w:rsidRPr="00A65602">
        <w:t xml:space="preserve">s by average secukinumab concentration at steady state. The relationship between average secukinumab concentration at steady state and the incidence of </w:t>
      </w:r>
      <w:r w:rsidR="002C4761" w:rsidRPr="00A65602">
        <w:t xml:space="preserve">AESIs </w:t>
      </w:r>
      <w:r w:rsidRPr="00A65602">
        <w:t>during one year was modelled using logistic regression analysis (</w:t>
      </w:r>
      <w:r w:rsidR="00EE513B" w:rsidRPr="00A65602">
        <w:t xml:space="preserve">see </w:t>
      </w:r>
      <w:r w:rsidRPr="00A65602">
        <w:fldChar w:fldCharType="begin"/>
      </w:r>
      <w:r w:rsidRPr="00A65602">
        <w:instrText xml:space="preserve"> REF _Ref94615988 \h </w:instrText>
      </w:r>
      <w:r w:rsidR="00111206" w:rsidRPr="00A65602">
        <w:instrText xml:space="preserve"> \* MERGEFORMAT </w:instrText>
      </w:r>
      <w:r w:rsidRPr="00A65602">
        <w:fldChar w:fldCharType="separate"/>
      </w:r>
      <w:r w:rsidR="00CE2EF4" w:rsidRPr="00B7603C">
        <w:t xml:space="preserve">Table </w:t>
      </w:r>
      <w:r w:rsidR="00CE2EF4">
        <w:t>9</w:t>
      </w:r>
      <w:r w:rsidRPr="00A65602">
        <w:fldChar w:fldCharType="end"/>
      </w:r>
      <w:r w:rsidRPr="00A65602">
        <w:t xml:space="preserve">, </w:t>
      </w:r>
      <w:r w:rsidRPr="00A65602">
        <w:fldChar w:fldCharType="begin"/>
      </w:r>
      <w:r w:rsidRPr="00A65602">
        <w:instrText xml:space="preserve"> REF _Ref94617066 \h </w:instrText>
      </w:r>
      <w:r w:rsidR="00111206" w:rsidRPr="00A65602">
        <w:instrText xml:space="preserve"> \* MERGEFORMAT </w:instrText>
      </w:r>
      <w:r w:rsidRPr="00A65602">
        <w:fldChar w:fldCharType="separate"/>
      </w:r>
      <w:r w:rsidR="00CE2EF4" w:rsidRPr="00B7603C">
        <w:t xml:space="preserve">Figure </w:t>
      </w:r>
      <w:r w:rsidR="00CE2EF4">
        <w:rPr>
          <w:noProof/>
        </w:rPr>
        <w:t>13</w:t>
      </w:r>
      <w:r w:rsidRPr="00A65602">
        <w:fldChar w:fldCharType="end"/>
      </w:r>
      <w:r w:rsidR="00EE513B" w:rsidRPr="00A65602">
        <w:t xml:space="preserve"> below</w:t>
      </w:r>
      <w:r w:rsidRPr="00A65602">
        <w:t>).</w:t>
      </w:r>
    </w:p>
    <w:p w14:paraId="7550AAC3" w14:textId="626684D7" w:rsidR="00AE00AB" w:rsidRPr="00B7603C" w:rsidRDefault="00AE00AB" w:rsidP="00B7603C">
      <w:pPr>
        <w:pStyle w:val="TableTitle"/>
      </w:pPr>
      <w:bookmarkStart w:id="59" w:name="_Ref94615596"/>
      <w:r w:rsidRPr="00B7603C">
        <w:lastRenderedPageBreak/>
        <w:t xml:space="preserve">Table </w:t>
      </w:r>
      <w:r w:rsidR="00A4590A">
        <w:fldChar w:fldCharType="begin"/>
      </w:r>
      <w:r w:rsidR="00A4590A">
        <w:instrText xml:space="preserve"> SEQ Table \* ARABIC </w:instrText>
      </w:r>
      <w:r w:rsidR="00A4590A">
        <w:fldChar w:fldCharType="separate"/>
      </w:r>
      <w:r w:rsidR="00CE2EF4">
        <w:rPr>
          <w:noProof/>
        </w:rPr>
        <w:t>8</w:t>
      </w:r>
      <w:r w:rsidR="00A4590A">
        <w:rPr>
          <w:noProof/>
        </w:rPr>
        <w:fldChar w:fldCharType="end"/>
      </w:r>
      <w:bookmarkEnd w:id="59"/>
      <w:r w:rsidR="006359DD" w:rsidRPr="00B7603C">
        <w:t>: Study A2324</w:t>
      </w:r>
      <w:r w:rsidRPr="00B7603C">
        <w:t xml:space="preserve"> Incidence rate at one year for </w:t>
      </w:r>
      <w:r w:rsidR="007D76BE" w:rsidRPr="00B7603C">
        <w:t xml:space="preserve">adverse event </w:t>
      </w:r>
      <w:r w:rsidRPr="00B7603C">
        <w:t>of special interest by average secukinumab concentration (</w:t>
      </w:r>
      <w:r w:rsidR="00AA2AFF" w:rsidRPr="00B7603C">
        <w:t>µ</w:t>
      </w:r>
      <w:r w:rsidRPr="00B7603C">
        <w:t>g/mL) at steady state ranges (</w:t>
      </w:r>
      <w:r w:rsidR="00AA2AFF" w:rsidRPr="00B7603C">
        <w:t>s</w:t>
      </w:r>
      <w:r w:rsidRPr="00B7603C">
        <w:t>afety set)</w:t>
      </w:r>
    </w:p>
    <w:p w14:paraId="5F0833BD" w14:textId="77777777" w:rsidR="00AA2AFF" w:rsidRPr="00A65602" w:rsidRDefault="00AE00AB" w:rsidP="00B7603C">
      <w:pPr>
        <w:rPr>
          <w:rFonts w:asciiTheme="majorHAnsi" w:eastAsiaTheme="minorHAnsi" w:hAnsiTheme="majorHAnsi" w:cstheme="majorHAnsi"/>
          <w:color w:val="000000"/>
          <w:sz w:val="16"/>
          <w:szCs w:val="16"/>
        </w:rPr>
      </w:pPr>
      <w:r w:rsidRPr="00A65602">
        <w:rPr>
          <w:noProof/>
          <w:lang w:val="en-GB" w:eastAsia="en-GB"/>
        </w:rPr>
        <w:drawing>
          <wp:inline distT="0" distB="0" distL="0" distR="0" wp14:anchorId="67781120" wp14:editId="3B22DED8">
            <wp:extent cx="5194780" cy="1954516"/>
            <wp:effectExtent l="0" t="0" r="6350" b="8255"/>
            <wp:docPr id="14" name="Picture 14" descr="Table 8: Study A2324 Incidence rate at one year for adverse event of special interest by average secukinumab concentration (µg/mL) at steady state ranges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Table 8: Study A2324 Incidence rate at one year for adverse event of special interest by average secukinumab concentration (µg/mL) at steady state ranges (safety set)"/>
                    <pic:cNvPicPr/>
                  </pic:nvPicPr>
                  <pic:blipFill>
                    <a:blip r:embed="rId34"/>
                    <a:stretch>
                      <a:fillRect/>
                    </a:stretch>
                  </pic:blipFill>
                  <pic:spPr>
                    <a:xfrm>
                      <a:off x="0" y="0"/>
                      <a:ext cx="5254845" cy="1977115"/>
                    </a:xfrm>
                    <a:prstGeom prst="rect">
                      <a:avLst/>
                    </a:prstGeom>
                  </pic:spPr>
                </pic:pic>
              </a:graphicData>
            </a:graphic>
          </wp:inline>
        </w:drawing>
      </w:r>
    </w:p>
    <w:p w14:paraId="35885CD3" w14:textId="5654F4DC" w:rsidR="00061F8D" w:rsidRPr="00B7603C" w:rsidRDefault="00675A51" w:rsidP="00B7603C">
      <w:pPr>
        <w:pStyle w:val="TableDescription"/>
      </w:pPr>
      <w:r w:rsidRPr="00B7603C">
        <w:t xml:space="preserve">Abbreviations: </w:t>
      </w:r>
      <w:proofErr w:type="spellStart"/>
      <w:proofErr w:type="gramStart"/>
      <w:r w:rsidR="00AA2AFF" w:rsidRPr="00B7603C">
        <w:t>Cavg,ss</w:t>
      </w:r>
      <w:proofErr w:type="spellEnd"/>
      <w:proofErr w:type="gramEnd"/>
      <w:r w:rsidR="00AA2AFF" w:rsidRPr="00B7603C">
        <w:t xml:space="preserve"> =</w:t>
      </w:r>
      <w:r w:rsidRPr="00B7603C">
        <w:t xml:space="preserve"> average concentration at steady state; HLT = High Level Term; </w:t>
      </w:r>
      <w:r w:rsidR="00061F8D" w:rsidRPr="00B7603C">
        <w:t>N =</w:t>
      </w:r>
      <w:r w:rsidR="001B47D7" w:rsidRPr="00B7603C">
        <w:t xml:space="preserve"> number of subjects</w:t>
      </w:r>
      <w:r w:rsidRPr="00B7603C">
        <w:t xml:space="preserve">; </w:t>
      </w:r>
      <w:r w:rsidR="00061F8D" w:rsidRPr="00B7603C">
        <w:t>n =</w:t>
      </w:r>
      <w:r w:rsidR="001B47D7" w:rsidRPr="00B7603C">
        <w:t xml:space="preserve"> number of subjects in group</w:t>
      </w:r>
      <w:r w:rsidRPr="00B7603C">
        <w:t xml:space="preserve">; </w:t>
      </w:r>
      <w:r w:rsidR="00061F8D" w:rsidRPr="00B7603C">
        <w:t>SOC =</w:t>
      </w:r>
      <w:r w:rsidR="004A0022" w:rsidRPr="00B7603C">
        <w:t xml:space="preserve"> System Organ Classes</w:t>
      </w:r>
      <w:r w:rsidRPr="00B7603C">
        <w:t>.</w:t>
      </w:r>
    </w:p>
    <w:p w14:paraId="2586D14E" w14:textId="0C89284D" w:rsidR="00111206" w:rsidRPr="00B7603C" w:rsidRDefault="00AE00AB" w:rsidP="00B7603C">
      <w:pPr>
        <w:pStyle w:val="TableDescription"/>
      </w:pPr>
      <w:r w:rsidRPr="00B7603C">
        <w:t xml:space="preserve">The safety data from secukinumab psoriasis Phase III studies: </w:t>
      </w:r>
      <w:r w:rsidR="009D368D" w:rsidRPr="00B7603C">
        <w:t xml:space="preserve">Studies </w:t>
      </w:r>
      <w:r w:rsidR="008B4E75" w:rsidRPr="00B7603C">
        <w:t>A</w:t>
      </w:r>
      <w:r w:rsidRPr="00B7603C">
        <w:t>2302</w:t>
      </w:r>
      <w:r w:rsidR="008B4E75" w:rsidRPr="00B7603C">
        <w:rPr>
          <w:rFonts w:hint="eastAsia"/>
        </w:rPr>
        <w:t>,</w:t>
      </w:r>
      <w:r w:rsidR="00B7603C">
        <w:t xml:space="preserve"> </w:t>
      </w:r>
      <w:r w:rsidR="008B4E75" w:rsidRPr="00B7603C">
        <w:t>A</w:t>
      </w:r>
      <w:r w:rsidRPr="00B7603C">
        <w:t xml:space="preserve">2303, </w:t>
      </w:r>
      <w:r w:rsidR="008B4E75" w:rsidRPr="00B7603C">
        <w:t>A</w:t>
      </w:r>
      <w:r w:rsidRPr="00B7603C">
        <w:t xml:space="preserve">2304, </w:t>
      </w:r>
      <w:r w:rsidR="008B4E75" w:rsidRPr="00B7603C">
        <w:t>A</w:t>
      </w:r>
      <w:r w:rsidRPr="00B7603C">
        <w:t xml:space="preserve">2308, </w:t>
      </w:r>
      <w:r w:rsidR="008B4E75" w:rsidRPr="00B7603C">
        <w:t>A</w:t>
      </w:r>
      <w:r w:rsidRPr="00B7603C">
        <w:t xml:space="preserve">2309, </w:t>
      </w:r>
      <w:r w:rsidR="008B4E75" w:rsidRPr="00B7603C">
        <w:t>A</w:t>
      </w:r>
      <w:r w:rsidRPr="00B7603C">
        <w:t xml:space="preserve">2312, </w:t>
      </w:r>
      <w:r w:rsidR="008B4E75" w:rsidRPr="00B7603C">
        <w:t>A</w:t>
      </w:r>
      <w:r w:rsidRPr="00B7603C">
        <w:t xml:space="preserve">2313, </w:t>
      </w:r>
      <w:r w:rsidR="008B4E75" w:rsidRPr="00B7603C">
        <w:t>A</w:t>
      </w:r>
      <w:r w:rsidRPr="00B7603C">
        <w:t xml:space="preserve">2323, </w:t>
      </w:r>
      <w:r w:rsidR="008B4E75" w:rsidRPr="00B7603C">
        <w:t>A</w:t>
      </w:r>
      <w:r w:rsidRPr="00B7603C">
        <w:t xml:space="preserve">2324 and </w:t>
      </w:r>
      <w:r w:rsidR="008B4E75" w:rsidRPr="00B7603C">
        <w:t>A</w:t>
      </w:r>
      <w:r w:rsidRPr="00B7603C">
        <w:t>2325 were included in the analysis.</w:t>
      </w:r>
    </w:p>
    <w:p w14:paraId="01490400" w14:textId="048EAA29" w:rsidR="00AE00AB" w:rsidRPr="00B7603C" w:rsidRDefault="00AE00AB" w:rsidP="00B7603C">
      <w:pPr>
        <w:pStyle w:val="TableTitle"/>
      </w:pPr>
      <w:bookmarkStart w:id="60" w:name="_Ref94615988"/>
      <w:r w:rsidRPr="00B7603C">
        <w:t xml:space="preserve">Table </w:t>
      </w:r>
      <w:r w:rsidR="00A4590A">
        <w:fldChar w:fldCharType="begin"/>
      </w:r>
      <w:r w:rsidR="00A4590A">
        <w:instrText xml:space="preserve"> SEQ Table \* ARA</w:instrText>
      </w:r>
      <w:r w:rsidR="00A4590A">
        <w:instrText xml:space="preserve">BIC </w:instrText>
      </w:r>
      <w:r w:rsidR="00A4590A">
        <w:fldChar w:fldCharType="separate"/>
      </w:r>
      <w:r w:rsidR="00CE2EF4">
        <w:rPr>
          <w:noProof/>
        </w:rPr>
        <w:t>9</w:t>
      </w:r>
      <w:r w:rsidR="00A4590A">
        <w:rPr>
          <w:noProof/>
        </w:rPr>
        <w:fldChar w:fldCharType="end"/>
      </w:r>
      <w:bookmarkEnd w:id="60"/>
      <w:r w:rsidR="006359DD" w:rsidRPr="00B7603C">
        <w:t>: Study A2324</w:t>
      </w:r>
      <w:r w:rsidRPr="00B7603C">
        <w:t xml:space="preserve"> Predicted incidence rate of </w:t>
      </w:r>
      <w:r w:rsidR="007D76BE" w:rsidRPr="00B7603C">
        <w:t>adverse event</w:t>
      </w:r>
      <w:r w:rsidRPr="00B7603C">
        <w:t xml:space="preserve"> of special interest in one year by logistic regression model (</w:t>
      </w:r>
      <w:r w:rsidR="007D76BE" w:rsidRPr="00B7603C">
        <w:t>safety set)</w:t>
      </w:r>
    </w:p>
    <w:p w14:paraId="41D1292C" w14:textId="3A3948F9" w:rsidR="00EB497D" w:rsidRPr="00A65602" w:rsidRDefault="00AE00AB" w:rsidP="00B7603C">
      <w:pPr>
        <w:rPr>
          <w:rFonts w:ascii="Arial" w:eastAsiaTheme="minorHAnsi" w:hAnsi="Arial" w:cs="Arial"/>
          <w:color w:val="000000"/>
          <w:sz w:val="16"/>
          <w:szCs w:val="16"/>
        </w:rPr>
      </w:pPr>
      <w:r w:rsidRPr="00A65602">
        <w:rPr>
          <w:noProof/>
          <w:lang w:val="en-GB" w:eastAsia="en-GB"/>
        </w:rPr>
        <w:drawing>
          <wp:inline distT="0" distB="0" distL="0" distR="0" wp14:anchorId="206D6A2E" wp14:editId="0B6CC6A1">
            <wp:extent cx="5271617" cy="1463040"/>
            <wp:effectExtent l="0" t="0" r="5715" b="3810"/>
            <wp:docPr id="15" name="Picture 15" descr="Table 9: Study A2324 Predicted incidence rate of adverse event of special interest in one year by logistic regression model (safety s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Table 9: Study A2324 Predicted incidence rate of adverse event of special interest in one year by logistic regression model (safety set)"/>
                    <pic:cNvPicPr/>
                  </pic:nvPicPr>
                  <pic:blipFill>
                    <a:blip r:embed="rId35"/>
                    <a:stretch>
                      <a:fillRect/>
                    </a:stretch>
                  </pic:blipFill>
                  <pic:spPr>
                    <a:xfrm>
                      <a:off x="0" y="0"/>
                      <a:ext cx="5377571" cy="1492445"/>
                    </a:xfrm>
                    <a:prstGeom prst="rect">
                      <a:avLst/>
                    </a:prstGeom>
                  </pic:spPr>
                </pic:pic>
              </a:graphicData>
            </a:graphic>
          </wp:inline>
        </w:drawing>
      </w:r>
    </w:p>
    <w:p w14:paraId="12F7202B" w14:textId="43BBDF8C" w:rsidR="00061F8D" w:rsidRPr="00B7603C" w:rsidRDefault="00061F8D" w:rsidP="00B7603C">
      <w:pPr>
        <w:pStyle w:val="TableDescription"/>
      </w:pPr>
      <w:r w:rsidRPr="00B7603C">
        <w:t>Abbreviations: AIN457 =</w:t>
      </w:r>
      <w:r w:rsidR="004A0022" w:rsidRPr="00B7603C">
        <w:t xml:space="preserve"> </w:t>
      </w:r>
      <w:proofErr w:type="spellStart"/>
      <w:r w:rsidR="004A0022" w:rsidRPr="00B7603C">
        <w:t>secukinumab</w:t>
      </w:r>
      <w:proofErr w:type="spellEnd"/>
      <w:r w:rsidR="00675A51" w:rsidRPr="00B7603C">
        <w:t xml:space="preserve">; </w:t>
      </w:r>
      <w:proofErr w:type="spellStart"/>
      <w:proofErr w:type="gramStart"/>
      <w:r w:rsidRPr="00B7603C">
        <w:t>Cavg,ss</w:t>
      </w:r>
      <w:proofErr w:type="spellEnd"/>
      <w:proofErr w:type="gramEnd"/>
      <w:r w:rsidRPr="00B7603C">
        <w:t xml:space="preserve"> =</w:t>
      </w:r>
      <w:r w:rsidR="00675A51" w:rsidRPr="00B7603C">
        <w:t xml:space="preserve"> average concentration at steady state; CI = confidence interval; HLT = High Level Term; IR = incidence rate; Q2W = every 2 weeks; Q4W = every 4 weeks; </w:t>
      </w:r>
      <w:r w:rsidRPr="00B7603C">
        <w:t>SOC =</w:t>
      </w:r>
      <w:r w:rsidR="004A0022" w:rsidRPr="00B7603C">
        <w:t xml:space="preserve"> infections and infestations</w:t>
      </w:r>
      <w:r w:rsidR="00675A51" w:rsidRPr="00B7603C">
        <w:t>.</w:t>
      </w:r>
    </w:p>
    <w:p w14:paraId="5E994CC4" w14:textId="6614A59A" w:rsidR="00111206" w:rsidRPr="00B7603C" w:rsidRDefault="00AE00AB" w:rsidP="00B7603C">
      <w:pPr>
        <w:pStyle w:val="FigureTitle"/>
      </w:pPr>
      <w:bookmarkStart w:id="61" w:name="_Ref94617066"/>
      <w:r w:rsidRPr="00B7603C">
        <w:lastRenderedPageBreak/>
        <w:t xml:space="preserve">Figure </w:t>
      </w:r>
      <w:r w:rsidR="00A4590A">
        <w:fldChar w:fldCharType="begin"/>
      </w:r>
      <w:r w:rsidR="00A4590A">
        <w:instrText xml:space="preserve"> SEQ Figure \* ARABIC </w:instrText>
      </w:r>
      <w:r w:rsidR="00A4590A">
        <w:fldChar w:fldCharType="separate"/>
      </w:r>
      <w:r w:rsidR="00CE2EF4">
        <w:rPr>
          <w:noProof/>
        </w:rPr>
        <w:t>13</w:t>
      </w:r>
      <w:r w:rsidR="00A4590A">
        <w:rPr>
          <w:noProof/>
        </w:rPr>
        <w:fldChar w:fldCharType="end"/>
      </w:r>
      <w:bookmarkEnd w:id="61"/>
      <w:r w:rsidR="006359DD" w:rsidRPr="00B7603C">
        <w:t>: Study A2324</w:t>
      </w:r>
      <w:r w:rsidRPr="00B7603C">
        <w:t xml:space="preserve"> Estimated relationship between secukinumab average concentration at steady</w:t>
      </w:r>
      <w:r w:rsidR="00EB497D" w:rsidRPr="00B7603C">
        <w:t xml:space="preserve"> </w:t>
      </w:r>
      <w:r w:rsidRPr="00B7603C">
        <w:t xml:space="preserve">state and incidence of specific </w:t>
      </w:r>
      <w:r w:rsidR="007D76BE" w:rsidRPr="00B7603C">
        <w:t>adverse events</w:t>
      </w:r>
    </w:p>
    <w:p w14:paraId="6CC50F7C" w14:textId="7846FB69" w:rsidR="00F862A2" w:rsidRPr="00A65602" w:rsidRDefault="00F862A2" w:rsidP="00B7603C">
      <w:r w:rsidRPr="00A65602">
        <w:rPr>
          <w:noProof/>
          <w:lang w:val="en-GB" w:eastAsia="en-GB"/>
        </w:rPr>
        <w:drawing>
          <wp:inline distT="0" distB="0" distL="0" distR="0" wp14:anchorId="5627E354" wp14:editId="31E34F8C">
            <wp:extent cx="3818787" cy="8358111"/>
            <wp:effectExtent l="0" t="0" r="0" b="5080"/>
            <wp:docPr id="25" name="Picture 25" descr="Figure 13: Study A2324 Estimated relationship between secukinumab average concentration at steady state and incidence of specific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3: Study A2324 Estimated relationship between secukinumab average concentration at steady state and incidence of specific adverse events"/>
                    <pic:cNvPicPr/>
                  </pic:nvPicPr>
                  <pic:blipFill>
                    <a:blip r:embed="rId36"/>
                    <a:stretch>
                      <a:fillRect/>
                    </a:stretch>
                  </pic:blipFill>
                  <pic:spPr>
                    <a:xfrm>
                      <a:off x="0" y="0"/>
                      <a:ext cx="3840970" cy="8406663"/>
                    </a:xfrm>
                    <a:prstGeom prst="rect">
                      <a:avLst/>
                    </a:prstGeom>
                  </pic:spPr>
                </pic:pic>
              </a:graphicData>
            </a:graphic>
          </wp:inline>
        </w:drawing>
      </w:r>
    </w:p>
    <w:p w14:paraId="1BBD7003" w14:textId="3F351DE9" w:rsidR="00061F8D" w:rsidRPr="00B7603C" w:rsidRDefault="00675A51" w:rsidP="00B7603C">
      <w:pPr>
        <w:pStyle w:val="FigureDescription"/>
      </w:pPr>
      <w:r w:rsidRPr="00B7603C">
        <w:lastRenderedPageBreak/>
        <w:t xml:space="preserve">Abbreviations: HLT = High Level Term; SE = standard error; </w:t>
      </w:r>
      <w:r w:rsidR="00061F8D" w:rsidRPr="00B7603C">
        <w:t>SOC =</w:t>
      </w:r>
      <w:r w:rsidR="004A0022" w:rsidRPr="00B7603C">
        <w:t xml:space="preserve"> System Organ Classes</w:t>
      </w:r>
      <w:r w:rsidRPr="00B7603C">
        <w:t>.</w:t>
      </w:r>
    </w:p>
    <w:p w14:paraId="0A26ECD1" w14:textId="77777777" w:rsidR="00EE513B" w:rsidRPr="00B7603C" w:rsidRDefault="00AE00AB" w:rsidP="00B7603C">
      <w:pPr>
        <w:pStyle w:val="FigureDescription"/>
      </w:pPr>
      <w:r w:rsidRPr="00B7603C">
        <w:t>The dots and the vertical bars represent the observed incidence rate and standard error by range of average</w:t>
      </w:r>
      <w:r w:rsidR="00061F8D" w:rsidRPr="00B7603C">
        <w:t xml:space="preserve"> </w:t>
      </w:r>
      <w:r w:rsidRPr="00B7603C">
        <w:t>secukinumab concentration at steady state (0</w:t>
      </w:r>
      <w:r w:rsidR="008B4E75" w:rsidRPr="00B7603C">
        <w:t xml:space="preserve"> to </w:t>
      </w:r>
      <w:r w:rsidRPr="00B7603C">
        <w:t>20, 20</w:t>
      </w:r>
      <w:r w:rsidR="008B4E75" w:rsidRPr="00B7603C">
        <w:t xml:space="preserve"> to </w:t>
      </w:r>
      <w:r w:rsidRPr="00B7603C">
        <w:t>30, 30</w:t>
      </w:r>
      <w:r w:rsidR="008B4E75" w:rsidRPr="00B7603C">
        <w:t xml:space="preserve"> to </w:t>
      </w:r>
      <w:r w:rsidRPr="00B7603C">
        <w:t>40, 40</w:t>
      </w:r>
      <w:r w:rsidR="008B4E75" w:rsidRPr="00B7603C">
        <w:t xml:space="preserve"> to </w:t>
      </w:r>
      <w:r w:rsidRPr="00B7603C">
        <w:t>50, 50</w:t>
      </w:r>
      <w:r w:rsidR="008B4E75" w:rsidRPr="00B7603C">
        <w:t xml:space="preserve"> to </w:t>
      </w:r>
      <w:r w:rsidRPr="00B7603C">
        <w:t>60, 60</w:t>
      </w:r>
      <w:r w:rsidR="008B4E75" w:rsidRPr="00B7603C">
        <w:t xml:space="preserve"> to </w:t>
      </w:r>
      <w:r w:rsidRPr="00B7603C">
        <w:t>70, 70</w:t>
      </w:r>
      <w:r w:rsidR="008B4E75" w:rsidRPr="00B7603C">
        <w:t xml:space="preserve"> to </w:t>
      </w:r>
      <w:r w:rsidRPr="00B7603C">
        <w:t>80, 80</w:t>
      </w:r>
      <w:r w:rsidR="008B4E75" w:rsidRPr="00B7603C">
        <w:t xml:space="preserve"> to </w:t>
      </w:r>
      <w:r w:rsidRPr="00B7603C">
        <w:t>100, and ≥</w:t>
      </w:r>
      <w:r w:rsidR="00061F8D" w:rsidRPr="00B7603C">
        <w:t xml:space="preserve"> </w:t>
      </w:r>
      <w:r w:rsidRPr="00B7603C">
        <w:t>100</w:t>
      </w:r>
      <w:r w:rsidR="00061F8D" w:rsidRPr="00B7603C">
        <w:t xml:space="preserve"> </w:t>
      </w:r>
      <w:r w:rsidR="007D76BE" w:rsidRPr="00B7603C">
        <w:t>µ</w:t>
      </w:r>
      <w:r w:rsidRPr="00B7603C">
        <w:t xml:space="preserve">g/mL). The regression curve and the grey area represent the incidence rate and 95% </w:t>
      </w:r>
      <w:r w:rsidR="007D76BE" w:rsidRPr="00B7603C">
        <w:t>confidence intervals</w:t>
      </w:r>
      <w:r w:rsidRPr="00B7603C">
        <w:t xml:space="preserve"> as a function of the average secukinumab concentration at steady state, as predicted from the logistic regression models. The predicted incidence rate in the figures is expressed as the predicted proportion of patients experiencing the</w:t>
      </w:r>
      <w:r w:rsidR="00061F8D" w:rsidRPr="00B7603C">
        <w:t xml:space="preserve"> </w:t>
      </w:r>
      <w:r w:rsidRPr="00B7603C">
        <w:t xml:space="preserve">specific </w:t>
      </w:r>
      <w:r w:rsidR="007D76BE" w:rsidRPr="00B7603C">
        <w:t>adverse events</w:t>
      </w:r>
      <w:r w:rsidRPr="00B7603C">
        <w:t>.</w:t>
      </w:r>
      <w:bookmarkStart w:id="62" w:name="_Ref94617853"/>
    </w:p>
    <w:p w14:paraId="588F6881" w14:textId="421812E6" w:rsidR="00EE513B" w:rsidRPr="00A65602" w:rsidRDefault="00EE513B" w:rsidP="00EE513B">
      <w:r w:rsidRPr="00A65602">
        <w:t>The second method included 3,993 patients in the secukinumab psoriasis pooled clinical database with available dose and concentration data. The relationship between time varying metrics of the secukinumab concentration (PK metrics) and the hazard of the first AE (the risk of experiencing a first event on a given day) was analysed using a time</w:t>
      </w:r>
      <w:r w:rsidRPr="00A65602">
        <w:noBreakHyphen/>
        <w:t>to</w:t>
      </w:r>
      <w:r w:rsidRPr="00A65602">
        <w:noBreakHyphen/>
        <w:t>event semiparametric (</w:t>
      </w:r>
      <w:r w:rsidR="00AA73B0">
        <w:t>C</w:t>
      </w:r>
      <w:r w:rsidR="00013D1F" w:rsidRPr="00013D1F">
        <w:t>ox proportional hazard mode</w:t>
      </w:r>
      <w:r w:rsidR="00AA73B0">
        <w:t>l</w:t>
      </w:r>
      <w:r w:rsidRPr="00A65602">
        <w:t>) approach. Two models were used to assess the functional relationship between secukinumab concentration and hazard of AE (see</w:t>
      </w:r>
      <w:r w:rsidR="00013D1F">
        <w:t xml:space="preserve"> </w:t>
      </w:r>
      <w:r w:rsidR="00013D1F">
        <w:fldChar w:fldCharType="begin"/>
      </w:r>
      <w:r w:rsidR="00013D1F">
        <w:instrText xml:space="preserve"> REF _Ref111662275 \h </w:instrText>
      </w:r>
      <w:r w:rsidR="00013D1F">
        <w:fldChar w:fldCharType="separate"/>
      </w:r>
      <w:r w:rsidR="00CE2EF4" w:rsidRPr="00B7603C">
        <w:t xml:space="preserve">Figure </w:t>
      </w:r>
      <w:r w:rsidR="00CE2EF4">
        <w:rPr>
          <w:noProof/>
        </w:rPr>
        <w:t>14</w:t>
      </w:r>
      <w:r w:rsidR="00013D1F">
        <w:fldChar w:fldCharType="end"/>
      </w:r>
      <w:r w:rsidRPr="00A65602">
        <w:t xml:space="preserve"> below).</w:t>
      </w:r>
    </w:p>
    <w:p w14:paraId="6CB846B7" w14:textId="450458C2" w:rsidR="00AE00AB" w:rsidRPr="00B7603C" w:rsidRDefault="00AE00AB" w:rsidP="00B7603C">
      <w:pPr>
        <w:pStyle w:val="FigureTitle"/>
      </w:pPr>
      <w:bookmarkStart w:id="63" w:name="_Ref111662275"/>
      <w:r w:rsidRPr="00B7603C">
        <w:lastRenderedPageBreak/>
        <w:t xml:space="preserve">Figure </w:t>
      </w:r>
      <w:r w:rsidR="00A4590A">
        <w:fldChar w:fldCharType="begin"/>
      </w:r>
      <w:r w:rsidR="00A4590A">
        <w:instrText xml:space="preserve"> SEQ Figure \* A</w:instrText>
      </w:r>
      <w:r w:rsidR="00A4590A">
        <w:instrText xml:space="preserve">RABIC </w:instrText>
      </w:r>
      <w:r w:rsidR="00A4590A">
        <w:fldChar w:fldCharType="separate"/>
      </w:r>
      <w:r w:rsidR="00CE2EF4">
        <w:rPr>
          <w:noProof/>
        </w:rPr>
        <w:t>14</w:t>
      </w:r>
      <w:r w:rsidR="00A4590A">
        <w:rPr>
          <w:noProof/>
        </w:rPr>
        <w:fldChar w:fldCharType="end"/>
      </w:r>
      <w:bookmarkEnd w:id="62"/>
      <w:bookmarkEnd w:id="63"/>
      <w:r w:rsidR="006359DD" w:rsidRPr="00B7603C">
        <w:t>: Study A2324</w:t>
      </w:r>
      <w:r w:rsidRPr="00B7603C">
        <w:t xml:space="preserve"> Estimated relationship between secukinumab exposure and incidence of </w:t>
      </w:r>
      <w:r w:rsidR="00B90344" w:rsidRPr="00B7603C">
        <w:t xml:space="preserve">all </w:t>
      </w:r>
      <w:proofErr w:type="gramStart"/>
      <w:r w:rsidR="00B90344" w:rsidRPr="00B7603C">
        <w:t>infections</w:t>
      </w:r>
      <w:proofErr w:type="gramEnd"/>
      <w:r w:rsidR="00B90344" w:rsidRPr="00B7603C">
        <w:t xml:space="preserve"> adverse </w:t>
      </w:r>
      <w:r w:rsidR="00675A51" w:rsidRPr="00B7603C">
        <w:t>event</w:t>
      </w:r>
      <w:r w:rsidRPr="00B7603C">
        <w:t xml:space="preserve">s, upper respiratory tract infections </w:t>
      </w:r>
      <w:r w:rsidR="00675A51" w:rsidRPr="00B7603C">
        <w:t>adverse events</w:t>
      </w:r>
      <w:r w:rsidRPr="00B7603C">
        <w:t xml:space="preserve">, Candida infections </w:t>
      </w:r>
      <w:r w:rsidR="00675A51" w:rsidRPr="00B7603C">
        <w:t>adverse events</w:t>
      </w:r>
      <w:r w:rsidRPr="00B7603C">
        <w:t xml:space="preserve">, and </w:t>
      </w:r>
      <w:r w:rsidR="006D375C" w:rsidRPr="00B7603C">
        <w:t xml:space="preserve">serious infections </w:t>
      </w:r>
      <w:r w:rsidR="00675A51" w:rsidRPr="00B7603C">
        <w:t>adverse events</w:t>
      </w:r>
    </w:p>
    <w:p w14:paraId="426AB6A5" w14:textId="75603526" w:rsidR="00F862A2" w:rsidRPr="00A65602" w:rsidRDefault="00F862A2" w:rsidP="00B7603C">
      <w:r w:rsidRPr="00A65602">
        <w:rPr>
          <w:noProof/>
          <w:lang w:val="en-GB" w:eastAsia="en-GB"/>
        </w:rPr>
        <w:drawing>
          <wp:inline distT="0" distB="0" distL="0" distR="0" wp14:anchorId="06E3FC60" wp14:editId="19FFEAE4">
            <wp:extent cx="4992130" cy="8068771"/>
            <wp:effectExtent l="0" t="0" r="0" b="8890"/>
            <wp:docPr id="26" name="Picture 26" descr="Figure 14: Study A2324 Estimated relationship between secukinumab exposure and incidence of all infections adverse events, upper respiratory tract infections adverse events, Candida infections adverse events, and serious infections adverse even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4: Study A2324 Estimated relationship between secukinumab exposure and incidence of all infections adverse events, upper respiratory tract infections adverse events, Candida infections adverse events, and serious infections adverse events"/>
                    <pic:cNvPicPr/>
                  </pic:nvPicPr>
                  <pic:blipFill>
                    <a:blip r:embed="rId37"/>
                    <a:stretch>
                      <a:fillRect/>
                    </a:stretch>
                  </pic:blipFill>
                  <pic:spPr>
                    <a:xfrm>
                      <a:off x="0" y="0"/>
                      <a:ext cx="5007513" cy="8093635"/>
                    </a:xfrm>
                    <a:prstGeom prst="rect">
                      <a:avLst/>
                    </a:prstGeom>
                  </pic:spPr>
                </pic:pic>
              </a:graphicData>
            </a:graphic>
          </wp:inline>
        </w:drawing>
      </w:r>
    </w:p>
    <w:p w14:paraId="2E8A5B72" w14:textId="197E5C16" w:rsidR="00992696" w:rsidRPr="00371B10" w:rsidRDefault="00F862A2" w:rsidP="00371B10">
      <w:pPr>
        <w:pStyle w:val="FigureDescription"/>
      </w:pPr>
      <w:r w:rsidRPr="00A65602">
        <w:br w:type="page"/>
      </w:r>
      <w:r w:rsidR="00675A51" w:rsidRPr="00371B10">
        <w:lastRenderedPageBreak/>
        <w:t xml:space="preserve">Abbreviations: </w:t>
      </w:r>
      <w:proofErr w:type="spellStart"/>
      <w:r w:rsidR="00992696" w:rsidRPr="00371B10">
        <w:t>Cavg</w:t>
      </w:r>
      <w:proofErr w:type="spellEnd"/>
      <w:r w:rsidR="00992696" w:rsidRPr="00371B10">
        <w:t xml:space="preserve"> =</w:t>
      </w:r>
      <w:r w:rsidR="00675A51" w:rsidRPr="00371B10">
        <w:t xml:space="preserve"> average concentration; </w:t>
      </w:r>
      <w:proofErr w:type="spellStart"/>
      <w:r w:rsidR="00675A51" w:rsidRPr="00371B10">
        <w:t>p</w:t>
      </w:r>
      <w:r w:rsidR="00992696" w:rsidRPr="00371B10">
        <w:t>bo</w:t>
      </w:r>
      <w:proofErr w:type="spellEnd"/>
      <w:r w:rsidR="00992696" w:rsidRPr="00371B10">
        <w:t xml:space="preserve"> =</w:t>
      </w:r>
      <w:r w:rsidR="004A0022" w:rsidRPr="00371B10">
        <w:t xml:space="preserve"> placebo</w:t>
      </w:r>
      <w:r w:rsidR="00675A51" w:rsidRPr="00371B10">
        <w:t xml:space="preserve">; </w:t>
      </w:r>
      <w:r w:rsidR="00992696" w:rsidRPr="00371B10">
        <w:t>Q2W =</w:t>
      </w:r>
      <w:r w:rsidR="004A0022" w:rsidRPr="00371B10">
        <w:t xml:space="preserve"> every 2 weeks</w:t>
      </w:r>
      <w:r w:rsidR="00675A51" w:rsidRPr="00371B10">
        <w:t xml:space="preserve">; </w:t>
      </w:r>
      <w:r w:rsidR="00992696" w:rsidRPr="00371B10">
        <w:t>Q4W =</w:t>
      </w:r>
      <w:r w:rsidR="004A0022" w:rsidRPr="00371B10">
        <w:t xml:space="preserve"> every 4</w:t>
      </w:r>
      <w:r w:rsidR="00B90344" w:rsidRPr="00371B10">
        <w:t> </w:t>
      </w:r>
      <w:r w:rsidR="004A0022" w:rsidRPr="00371B10">
        <w:t>weeks</w:t>
      </w:r>
      <w:r w:rsidR="00675A51" w:rsidRPr="00371B10">
        <w:t>.</w:t>
      </w:r>
    </w:p>
    <w:p w14:paraId="3AED323E" w14:textId="66A850E0" w:rsidR="00111206" w:rsidRPr="00371B10" w:rsidRDefault="00AE00AB" w:rsidP="00371B10">
      <w:pPr>
        <w:pStyle w:val="FigureDescription"/>
      </w:pPr>
      <w:r w:rsidRPr="00371B10">
        <w:t xml:space="preserve">The figure displays predicted fraction and 95% confidence intervals for </w:t>
      </w:r>
      <w:r w:rsidR="00B90344" w:rsidRPr="00371B10">
        <w:t>all infections adverse events (</w:t>
      </w:r>
      <w:r w:rsidRPr="00371B10">
        <w:t>AEs</w:t>
      </w:r>
      <w:r w:rsidR="00B90344" w:rsidRPr="00371B10">
        <w:t>)</w:t>
      </w:r>
      <w:r w:rsidRPr="00371B10">
        <w:t xml:space="preserve">, </w:t>
      </w:r>
      <w:r w:rsidR="00B90344" w:rsidRPr="00371B10">
        <w:t>upper respirator</w:t>
      </w:r>
      <w:r w:rsidRPr="00371B10">
        <w:t xml:space="preserve">y tract infections AEs, Candida infections AEs, and </w:t>
      </w:r>
      <w:r w:rsidR="00B90344" w:rsidRPr="00371B10">
        <w:t xml:space="preserve">serious infections </w:t>
      </w:r>
      <w:r w:rsidRPr="00371B10">
        <w:t>AEs obtained from the model adjusted for secukinumab concentration discreti</w:t>
      </w:r>
      <w:r w:rsidR="00BC168F" w:rsidRPr="00371B10">
        <w:t>s</w:t>
      </w:r>
      <w:r w:rsidRPr="00371B10">
        <w:t>ed in 11 bins (Model 2; left),</w:t>
      </w:r>
      <w:r w:rsidR="00B90344" w:rsidRPr="00371B10">
        <w:t xml:space="preserve"> </w:t>
      </w:r>
      <w:r w:rsidRPr="00371B10">
        <w:t>and from the model adjusted for a spline transformation of the secukinumab concentration (Model</w:t>
      </w:r>
      <w:r w:rsidR="008B4E75" w:rsidRPr="00371B10">
        <w:t> </w:t>
      </w:r>
      <w:r w:rsidRPr="00371B10">
        <w:t xml:space="preserve">1; right). The </w:t>
      </w:r>
      <w:r w:rsidR="00B90344" w:rsidRPr="00371B10">
        <w:t>pharmacokinetic (</w:t>
      </w:r>
      <w:r w:rsidRPr="00371B10">
        <w:t>PK</w:t>
      </w:r>
      <w:r w:rsidR="00B90344" w:rsidRPr="00371B10">
        <w:t>)</w:t>
      </w:r>
      <w:r w:rsidRPr="00371B10">
        <w:t xml:space="preserve"> metric used for the analysis presented in this figure is the running average secukinumab concentration over the last 28 days. The five ranges of concentration displayed in the figures represent the </w:t>
      </w:r>
      <w:r w:rsidR="00B90344" w:rsidRPr="00371B10">
        <w:t>first</w:t>
      </w:r>
      <w:r w:rsidRPr="00371B10">
        <w:t xml:space="preserve"> quartile, median, and </w:t>
      </w:r>
      <w:r w:rsidR="00B90344" w:rsidRPr="00371B10">
        <w:t>third</w:t>
      </w:r>
      <w:r w:rsidRPr="00371B10">
        <w:t xml:space="preserve"> quartile of the PK metric averaged across the one-year period for the following 300 mg secukinumab regimens (all include 300 mg </w:t>
      </w:r>
      <w:r w:rsidR="00B90344" w:rsidRPr="00371B10">
        <w:t>every week</w:t>
      </w:r>
      <w:r w:rsidRPr="00371B10">
        <w:t xml:space="preserve"> till Week</w:t>
      </w:r>
      <w:r w:rsidR="00B90344" w:rsidRPr="00371B10">
        <w:t> </w:t>
      </w:r>
      <w:r w:rsidRPr="00371B10">
        <w:t xml:space="preserve">4): </w:t>
      </w:r>
      <w:r w:rsidR="00B90344" w:rsidRPr="00371B10">
        <w:t>every 4 weeks</w:t>
      </w:r>
      <w:r w:rsidRPr="00371B10">
        <w:t xml:space="preserve"> in &lt;</w:t>
      </w:r>
      <w:r w:rsidR="00B90344" w:rsidRPr="00371B10">
        <w:t xml:space="preserve"> </w:t>
      </w:r>
      <w:r w:rsidRPr="00371B10">
        <w:t>90 and ≥</w:t>
      </w:r>
      <w:r w:rsidR="00B90344" w:rsidRPr="00371B10">
        <w:t xml:space="preserve"> </w:t>
      </w:r>
      <w:r w:rsidRPr="00371B10">
        <w:t xml:space="preserve">90 kg patients and </w:t>
      </w:r>
      <w:r w:rsidR="00B90344" w:rsidRPr="00371B10">
        <w:t>every 2 weeks</w:t>
      </w:r>
      <w:r w:rsidRPr="00371B10">
        <w:t xml:space="preserve"> in &lt;</w:t>
      </w:r>
      <w:r w:rsidR="00B90344" w:rsidRPr="00371B10">
        <w:t xml:space="preserve"> </w:t>
      </w:r>
      <w:r w:rsidRPr="00371B10">
        <w:t>90 and ≥</w:t>
      </w:r>
      <w:r w:rsidR="00B90344" w:rsidRPr="00371B10">
        <w:t> </w:t>
      </w:r>
      <w:r w:rsidRPr="00371B10">
        <w:t>90 kg patients.</w:t>
      </w:r>
    </w:p>
    <w:p w14:paraId="3DC6BF89" w14:textId="77777777" w:rsidR="008E7846" w:rsidRPr="00A65602" w:rsidRDefault="00386150" w:rsidP="007B6132">
      <w:pPr>
        <w:pStyle w:val="Heading3"/>
        <w:rPr>
          <w:lang w:eastAsia="en-AU"/>
        </w:rPr>
      </w:pPr>
      <w:bookmarkStart w:id="64" w:name="_Toc314842514"/>
      <w:bookmarkStart w:id="65" w:name="_Toc117510586"/>
      <w:r w:rsidRPr="00A65602">
        <w:rPr>
          <w:lang w:eastAsia="en-AU"/>
        </w:rPr>
        <w:t>Risk m</w:t>
      </w:r>
      <w:r w:rsidR="008E7846" w:rsidRPr="00A65602">
        <w:rPr>
          <w:lang w:eastAsia="en-AU"/>
        </w:rPr>
        <w:t xml:space="preserve">anagement </w:t>
      </w:r>
      <w:r w:rsidRPr="00A65602">
        <w:rPr>
          <w:lang w:eastAsia="en-AU"/>
        </w:rPr>
        <w:t>p</w:t>
      </w:r>
      <w:r w:rsidR="008E7846" w:rsidRPr="00A65602">
        <w:rPr>
          <w:lang w:eastAsia="en-AU"/>
        </w:rPr>
        <w:t>lan</w:t>
      </w:r>
      <w:bookmarkEnd w:id="64"/>
      <w:bookmarkEnd w:id="65"/>
    </w:p>
    <w:p w14:paraId="25B82CB0" w14:textId="77777777" w:rsidR="0074163C" w:rsidRPr="00A65602" w:rsidRDefault="0074163C" w:rsidP="0074163C">
      <w:bookmarkStart w:id="66" w:name="_Toc247691531"/>
      <w:bookmarkStart w:id="67" w:name="_Toc314842515"/>
      <w:bookmarkStart w:id="68" w:name="_Toc196046505"/>
      <w:bookmarkStart w:id="69" w:name="_Toc196046949"/>
      <w:r w:rsidRPr="00A65602">
        <w:t>The sponsor is required to comply with product vigilance and risk minimisation requirements.</w:t>
      </w:r>
    </w:p>
    <w:p w14:paraId="25972BBD" w14:textId="77777777" w:rsidR="008E7846" w:rsidRPr="00A65602" w:rsidRDefault="00AA0ED0" w:rsidP="008E7846">
      <w:pPr>
        <w:pStyle w:val="Heading3"/>
      </w:pPr>
      <w:bookmarkStart w:id="70" w:name="_Toc117510587"/>
      <w:r w:rsidRPr="00A65602">
        <w:t>Risk-benefit a</w:t>
      </w:r>
      <w:r w:rsidR="008E7846" w:rsidRPr="00A65602">
        <w:t>nalysis</w:t>
      </w:r>
      <w:bookmarkEnd w:id="66"/>
      <w:bookmarkEnd w:id="67"/>
      <w:bookmarkEnd w:id="70"/>
    </w:p>
    <w:p w14:paraId="3375B64C" w14:textId="77777777" w:rsidR="0074163C" w:rsidRPr="00A65602" w:rsidRDefault="0074163C" w:rsidP="0074163C">
      <w:pPr>
        <w:pStyle w:val="Heading4"/>
      </w:pPr>
      <w:bookmarkStart w:id="71" w:name="_Toc98931932"/>
      <w:r w:rsidRPr="00A65602">
        <w:t>Delegate’s considerations</w:t>
      </w:r>
      <w:bookmarkEnd w:id="71"/>
    </w:p>
    <w:p w14:paraId="06EC5D07" w14:textId="77777777" w:rsidR="00AE00AB" w:rsidRPr="00A65602" w:rsidRDefault="00AE00AB" w:rsidP="00AE00AB">
      <w:pPr>
        <w:pStyle w:val="Heading5"/>
      </w:pPr>
      <w:r w:rsidRPr="00A65602">
        <w:t>Efficacy</w:t>
      </w:r>
    </w:p>
    <w:p w14:paraId="1403747F" w14:textId="05DDD767" w:rsidR="000E7A54" w:rsidRDefault="00AE00AB" w:rsidP="00AE00AB">
      <w:r w:rsidRPr="00A65602">
        <w:t xml:space="preserve">The efficacy of the proposed 300 mg </w:t>
      </w:r>
      <w:r w:rsidR="000B5BBF">
        <w:t xml:space="preserve">secukinumab </w:t>
      </w:r>
      <w:r w:rsidR="000E7A54">
        <w:t xml:space="preserve">once </w:t>
      </w:r>
      <w:r w:rsidR="00BC168F" w:rsidRPr="00A65602">
        <w:t>every 2 weeks</w:t>
      </w:r>
      <w:r w:rsidRPr="00A65602">
        <w:t xml:space="preserve"> maintenance dosing option in patients with plaque psoriasis is based on the findings from Study A2324, supported by exposure</w:t>
      </w:r>
      <w:r w:rsidR="00EE513B" w:rsidRPr="00A65602">
        <w:noBreakHyphen/>
      </w:r>
      <w:r w:rsidRPr="00A65602">
        <w:t>response (PK-PASI) modelling based on a data pool of 4,194</w:t>
      </w:r>
      <w:r w:rsidR="000E7A54">
        <w:t> </w:t>
      </w:r>
      <w:r w:rsidRPr="00A65602">
        <w:t>patients from 11</w:t>
      </w:r>
      <w:r w:rsidR="00EE513B" w:rsidRPr="00A65602">
        <w:t> </w:t>
      </w:r>
      <w:r w:rsidRPr="00A65602">
        <w:t>adult psoriasis studies.</w:t>
      </w:r>
    </w:p>
    <w:p w14:paraId="34B98606" w14:textId="2A9D32BB" w:rsidR="00AE00AB" w:rsidRPr="00A65602" w:rsidRDefault="00AE00AB" w:rsidP="00AE00AB">
      <w:r w:rsidRPr="00A65602">
        <w:t xml:space="preserve">Study A2324 evaluated the proposed higher maintenance dosage only in patients of bodyweight ≥ 90 kg. There are no clinical trial data assessing 300 mg </w:t>
      </w:r>
      <w:r w:rsidR="00BC168F" w:rsidRPr="00A65602">
        <w:t>every 2 weeks</w:t>
      </w:r>
      <w:r w:rsidRPr="00A65602">
        <w:t xml:space="preserve"> in patients &lt; 90 kg, so the proposed new dosage for patients &lt;</w:t>
      </w:r>
      <w:r w:rsidR="00EE513B" w:rsidRPr="00A65602">
        <w:t> </w:t>
      </w:r>
      <w:r w:rsidRPr="00A65602">
        <w:t>90</w:t>
      </w:r>
      <w:r w:rsidR="00EE513B" w:rsidRPr="00A65602">
        <w:t> </w:t>
      </w:r>
      <w:r w:rsidRPr="00A65602">
        <w:t>kg bodyweight is based only on modelling.</w:t>
      </w:r>
    </w:p>
    <w:p w14:paraId="4C575BA9" w14:textId="187701D0" w:rsidR="00AE00AB" w:rsidRPr="00A65602" w:rsidRDefault="00AE00AB" w:rsidP="00AE00AB">
      <w:r w:rsidRPr="00A65602">
        <w:t>Study A2324 met its primary endpoint, demonstrating superiority of secukinumab 300</w:t>
      </w:r>
      <w:r w:rsidR="00EE513B" w:rsidRPr="00A65602">
        <w:t> </w:t>
      </w:r>
      <w:r w:rsidRPr="00A65602">
        <w:t xml:space="preserve">mg </w:t>
      </w:r>
      <w:r w:rsidR="00BC168F" w:rsidRPr="00A65602">
        <w:t>every 2 weeks</w:t>
      </w:r>
      <w:r w:rsidRPr="00A65602">
        <w:t xml:space="preserve"> over secukinumab 300 mg </w:t>
      </w:r>
      <w:r w:rsidR="007254C8" w:rsidRPr="00A65602">
        <w:t>every 4 weeks</w:t>
      </w:r>
      <w:r w:rsidRPr="00A65602">
        <w:t xml:space="preserve"> for PASI 90 response at Week</w:t>
      </w:r>
      <w:r w:rsidR="00EE513B" w:rsidRPr="00A65602">
        <w:t> </w:t>
      </w:r>
      <w:r w:rsidRPr="00A65602">
        <w:t>16 in patients ≥ 90 kg bodyweight. PASI 90 response at Week 16 was 73.2% in the 300</w:t>
      </w:r>
      <w:r w:rsidR="00EE513B" w:rsidRPr="00A65602">
        <w:t> </w:t>
      </w:r>
      <w:r w:rsidRPr="00A65602">
        <w:t xml:space="preserve">mg </w:t>
      </w:r>
      <w:r w:rsidR="00B3337A" w:rsidRPr="00A65602">
        <w:t>every</w:t>
      </w:r>
      <w:r w:rsidR="000E7A54">
        <w:t xml:space="preserve"> </w:t>
      </w:r>
      <w:r w:rsidR="00B3337A" w:rsidRPr="00A65602">
        <w:t>2</w:t>
      </w:r>
      <w:r w:rsidR="000E7A54">
        <w:t xml:space="preserve"> </w:t>
      </w:r>
      <w:r w:rsidR="00B3337A" w:rsidRPr="00A65602">
        <w:t xml:space="preserve">weeks </w:t>
      </w:r>
      <w:r w:rsidRPr="00A65602">
        <w:t xml:space="preserve">group and 55.5% in the 300 mg </w:t>
      </w:r>
      <w:r w:rsidR="00B3337A" w:rsidRPr="00A65602">
        <w:t>every</w:t>
      </w:r>
      <w:r w:rsidR="000E7A54">
        <w:t xml:space="preserve"> </w:t>
      </w:r>
      <w:r w:rsidR="00B3337A" w:rsidRPr="00A65602">
        <w:t>4</w:t>
      </w:r>
      <w:r w:rsidR="000E7A54">
        <w:t xml:space="preserve"> </w:t>
      </w:r>
      <w:r w:rsidR="00B3337A" w:rsidRPr="00A65602">
        <w:t xml:space="preserve">weeks </w:t>
      </w:r>
      <w:r w:rsidRPr="00A65602">
        <w:t>group, a difference of 17.7% (95% CI: 7.45, 27.98). The difference in PASI 90 response at Week 16 was statistically significant and clinically meaningful, and the benefit was maintained through to Week</w:t>
      </w:r>
      <w:r w:rsidR="00431D93">
        <w:t> </w:t>
      </w:r>
      <w:r w:rsidRPr="00A65602">
        <w:t>52.</w:t>
      </w:r>
    </w:p>
    <w:p w14:paraId="4E64472C" w14:textId="630A1887" w:rsidR="00AE00AB" w:rsidRPr="00A65602" w:rsidRDefault="00AE00AB" w:rsidP="00AE00AB">
      <w:r w:rsidRPr="00A65602">
        <w:t xml:space="preserve">The efficacy findings from Study A2324 were supported by PK-PASI modelling analyses which predicted an improvement of </w:t>
      </w:r>
      <w:r w:rsidR="003C5C0B" w:rsidRPr="00A65602">
        <w:t xml:space="preserve">approximately </w:t>
      </w:r>
      <w:r w:rsidRPr="00A65602">
        <w:t>15% in PASI 90 response at Week</w:t>
      </w:r>
      <w:r w:rsidR="00EE513B" w:rsidRPr="00A65602">
        <w:t> </w:t>
      </w:r>
      <w:r w:rsidRPr="00A65602">
        <w:t>52 in patients</w:t>
      </w:r>
      <w:r w:rsidR="000E7A54">
        <w:t xml:space="preserve"> with bodyweight</w:t>
      </w:r>
      <w:r w:rsidRPr="00A65602">
        <w:t xml:space="preserve"> ≥ 90 kg treated with secukinumab 300</w:t>
      </w:r>
      <w:r w:rsidR="003C5C0B" w:rsidRPr="00A65602">
        <w:t xml:space="preserve"> </w:t>
      </w:r>
      <w:r w:rsidRPr="00A65602">
        <w:t xml:space="preserve">mg </w:t>
      </w:r>
      <w:r w:rsidR="00BC168F" w:rsidRPr="00A65602">
        <w:t>every 2 weeks</w:t>
      </w:r>
      <w:r w:rsidRPr="00A65602">
        <w:t xml:space="preserve"> for 52 weeks compared with secukinumab 300</w:t>
      </w:r>
      <w:r w:rsidR="003C5C0B" w:rsidRPr="00A65602">
        <w:t xml:space="preserve"> </w:t>
      </w:r>
      <w:r w:rsidRPr="00A65602">
        <w:t xml:space="preserve">mg </w:t>
      </w:r>
      <w:r w:rsidR="007254C8" w:rsidRPr="00A65602">
        <w:t>every 4 weeks</w:t>
      </w:r>
      <w:r w:rsidRPr="00A65602">
        <w:t xml:space="preserve"> for 52 weeks. The modelling also predicted an improvement of </w:t>
      </w:r>
      <w:r w:rsidR="003C5C0B" w:rsidRPr="00A65602">
        <w:t xml:space="preserve">approximately </w:t>
      </w:r>
      <w:r w:rsidRPr="00A65602">
        <w:t>20% in PASI 90 response at Week 52 in patients ≥ 90 kg who do not achieve PASI 90 response at Week 16 on secukinumab 300</w:t>
      </w:r>
      <w:r w:rsidR="00EE513B" w:rsidRPr="00A65602">
        <w:t> </w:t>
      </w:r>
      <w:r w:rsidRPr="00A65602">
        <w:t xml:space="preserve">mg </w:t>
      </w:r>
      <w:r w:rsidR="007254C8" w:rsidRPr="00A65602">
        <w:t>every 4 weeks</w:t>
      </w:r>
      <w:r w:rsidRPr="00A65602">
        <w:t xml:space="preserve"> and are then </w:t>
      </w:r>
      <w:proofErr w:type="gramStart"/>
      <w:r w:rsidRPr="00A65602">
        <w:t>up-titrated</w:t>
      </w:r>
      <w:proofErr w:type="gramEnd"/>
      <w:r w:rsidRPr="00A65602">
        <w:t xml:space="preserve"> to secukinumab 300</w:t>
      </w:r>
      <w:r w:rsidR="003C5C0B" w:rsidRPr="00A65602">
        <w:t xml:space="preserve"> </w:t>
      </w:r>
      <w:r w:rsidRPr="00A65602">
        <w:t xml:space="preserve">mg </w:t>
      </w:r>
      <w:r w:rsidR="00BC168F" w:rsidRPr="00A65602">
        <w:t>every 2 weeks</w:t>
      </w:r>
      <w:r w:rsidRPr="00A65602">
        <w:t xml:space="preserve"> for the rest of the 52 weeks, compared to non-responders who remain on 300 mg </w:t>
      </w:r>
      <w:r w:rsidR="007254C8" w:rsidRPr="00A65602">
        <w:t>every 4 weeks</w:t>
      </w:r>
      <w:r w:rsidRPr="00A65602">
        <w:t>.</w:t>
      </w:r>
    </w:p>
    <w:p w14:paraId="780B4896" w14:textId="63345B21" w:rsidR="00AE00AB" w:rsidRPr="00A65602" w:rsidRDefault="00AE00AB" w:rsidP="00AE00AB">
      <w:r w:rsidRPr="00A65602">
        <w:t xml:space="preserve">No clinical trial data were presented for patients </w:t>
      </w:r>
      <w:r w:rsidR="000E7A54">
        <w:t xml:space="preserve">with bodyweight </w:t>
      </w:r>
      <w:r w:rsidRPr="00A65602">
        <w:t xml:space="preserve">&lt; 90 kg. The evidence for efficacy in this population is derived from PK-PASI modelling. The modelling predicted an improvement of </w:t>
      </w:r>
      <w:r w:rsidR="003C5C0B" w:rsidRPr="00A65602">
        <w:t xml:space="preserve">approximately </w:t>
      </w:r>
      <w:r w:rsidRPr="00A65602">
        <w:t>10% in PASI 90 response at Week 52 in patients &lt;</w:t>
      </w:r>
      <w:r w:rsidR="00431D93">
        <w:t> </w:t>
      </w:r>
      <w:r w:rsidRPr="00A65602">
        <w:t>90</w:t>
      </w:r>
      <w:r w:rsidR="00431D93">
        <w:t> </w:t>
      </w:r>
      <w:r w:rsidRPr="00A65602">
        <w:t>kg treated with secukinumab 300</w:t>
      </w:r>
      <w:r w:rsidR="003C5C0B" w:rsidRPr="00A65602">
        <w:t xml:space="preserve"> </w:t>
      </w:r>
      <w:r w:rsidRPr="00A65602">
        <w:t xml:space="preserve">mg </w:t>
      </w:r>
      <w:r w:rsidR="00BC168F" w:rsidRPr="00A65602">
        <w:t>every 2 weeks</w:t>
      </w:r>
      <w:r w:rsidRPr="00A65602">
        <w:t xml:space="preserve"> for 52 weeks compared with secukinumab 300</w:t>
      </w:r>
      <w:r w:rsidR="00EE513B" w:rsidRPr="00A65602">
        <w:t> </w:t>
      </w:r>
      <w:r w:rsidRPr="00A65602">
        <w:t xml:space="preserve">mg </w:t>
      </w:r>
      <w:r w:rsidR="007254C8" w:rsidRPr="00A65602">
        <w:t>every 4 weeks</w:t>
      </w:r>
      <w:r w:rsidRPr="00A65602">
        <w:t xml:space="preserve"> for 52 weeks. The modelling also predicted an improvement of </w:t>
      </w:r>
      <w:r w:rsidR="003C5C0B" w:rsidRPr="00A65602">
        <w:t xml:space="preserve">approximately </w:t>
      </w:r>
      <w:r w:rsidRPr="00A65602">
        <w:t>15% in PASI 90 response at Week 52 in patients &lt;</w:t>
      </w:r>
      <w:r w:rsidR="00431D93">
        <w:t> </w:t>
      </w:r>
      <w:r w:rsidRPr="00A65602">
        <w:t>90</w:t>
      </w:r>
      <w:r w:rsidR="00431D93">
        <w:t> </w:t>
      </w:r>
      <w:r w:rsidRPr="00A65602">
        <w:t xml:space="preserve">kg who do not achieve PASI 90 response at Week 16 on secukinumab 300 mg </w:t>
      </w:r>
      <w:r w:rsidR="007254C8" w:rsidRPr="00A65602">
        <w:t>every 4</w:t>
      </w:r>
      <w:r w:rsidR="00431D93">
        <w:t> </w:t>
      </w:r>
      <w:r w:rsidR="007254C8" w:rsidRPr="00A65602">
        <w:t>weeks</w:t>
      </w:r>
      <w:r w:rsidRPr="00A65602">
        <w:t xml:space="preserve"> </w:t>
      </w:r>
      <w:r w:rsidRPr="00A65602">
        <w:lastRenderedPageBreak/>
        <w:t xml:space="preserve">and are then </w:t>
      </w:r>
      <w:proofErr w:type="gramStart"/>
      <w:r w:rsidRPr="00A65602">
        <w:t>up-titrated</w:t>
      </w:r>
      <w:proofErr w:type="gramEnd"/>
      <w:r w:rsidRPr="00A65602">
        <w:t xml:space="preserve"> to secukinumab 300</w:t>
      </w:r>
      <w:r w:rsidR="003C5C0B" w:rsidRPr="00A65602">
        <w:t xml:space="preserve"> </w:t>
      </w:r>
      <w:r w:rsidRPr="00A65602">
        <w:t xml:space="preserve">mg </w:t>
      </w:r>
      <w:r w:rsidR="00BC168F" w:rsidRPr="00A65602">
        <w:t>every 2 weeks</w:t>
      </w:r>
      <w:r w:rsidRPr="00A65602">
        <w:t xml:space="preserve"> for the rest of the 52</w:t>
      </w:r>
      <w:r w:rsidR="000E7A54">
        <w:t> </w:t>
      </w:r>
      <w:r w:rsidRPr="00A65602">
        <w:t xml:space="preserve">weeks, compared to non-responders who remain on 300 mg </w:t>
      </w:r>
      <w:r w:rsidR="007254C8" w:rsidRPr="00A65602">
        <w:t>every 4 weeks</w:t>
      </w:r>
      <w:r w:rsidRPr="00A65602">
        <w:t>.</w:t>
      </w:r>
    </w:p>
    <w:p w14:paraId="63EC8805" w14:textId="6999CBFC" w:rsidR="00AE00AB" w:rsidRPr="00A65602" w:rsidRDefault="00AE00AB" w:rsidP="00AE00AB">
      <w:r w:rsidRPr="00A65602">
        <w:t>The PK-PASI modelling predicted increasing PASI response with increasing secukinumab exposure (steady</w:t>
      </w:r>
      <w:r w:rsidR="00EB497D" w:rsidRPr="00A65602">
        <w:t xml:space="preserve"> </w:t>
      </w:r>
      <w:r w:rsidRPr="00A65602">
        <w:t>state average concentration), with the benefit appearing to plateau at approximately 50 µg/</w:t>
      </w:r>
      <w:proofErr w:type="spellStart"/>
      <w:r w:rsidRPr="00A65602">
        <w:t>mL.</w:t>
      </w:r>
      <w:proofErr w:type="spellEnd"/>
      <w:r w:rsidRPr="00A65602">
        <w:t xml:space="preserve"> This effect was predicted both for patients </w:t>
      </w:r>
      <w:r w:rsidR="000E7A54">
        <w:t xml:space="preserve">with bodyweight </w:t>
      </w:r>
      <w:r w:rsidRPr="00A65602">
        <w:t>≥</w:t>
      </w:r>
      <w:r w:rsidR="000E7A54">
        <w:t> </w:t>
      </w:r>
      <w:r w:rsidRPr="00A65602">
        <w:t>90 kg and &lt; 90</w:t>
      </w:r>
      <w:r w:rsidR="00EE513B" w:rsidRPr="00A65602">
        <w:t> </w:t>
      </w:r>
      <w:r w:rsidRPr="00A65602">
        <w:t xml:space="preserve">kg, noting that the predicted PASI response at any given concentration was consistently higher for patients &lt; 90 kg compared to patients ≥ 90 kg. The </w:t>
      </w:r>
      <w:r w:rsidR="00AA3BF1" w:rsidRPr="00A65602">
        <w:t>sponsor</w:t>
      </w:r>
      <w:r w:rsidRPr="00A65602">
        <w:t xml:space="preserve"> considers that these analyses support the higher dosage regimen being applied to all patients. However, in my mind, the concentration-response analyses lend support to the higher dosage regimen being applied only for patients ≥ 90 kg (</w:t>
      </w:r>
      <w:r w:rsidR="003C5C0B" w:rsidRPr="00A65602">
        <w:t>that is,</w:t>
      </w:r>
      <w:r w:rsidRPr="00A65602">
        <w:t xml:space="preserve"> the modelling predicts that patients ≥ 90 kg need a higher concentration to achieve comparable efficacy to patients &lt; 90 kg).</w:t>
      </w:r>
    </w:p>
    <w:p w14:paraId="042B0674" w14:textId="77777777" w:rsidR="00AE00AB" w:rsidRPr="00A65602" w:rsidRDefault="00AE00AB" w:rsidP="00AE00AB">
      <w:pPr>
        <w:pStyle w:val="Heading5"/>
      </w:pPr>
      <w:r w:rsidRPr="00A65602">
        <w:t>Safety</w:t>
      </w:r>
    </w:p>
    <w:p w14:paraId="01A3536E" w14:textId="301CEF7B" w:rsidR="00AE00AB" w:rsidRPr="00A65602" w:rsidRDefault="00AE00AB" w:rsidP="00AE00AB">
      <w:r w:rsidRPr="00A65602">
        <w:t xml:space="preserve">The safety profile of secukinumab 300 mg </w:t>
      </w:r>
      <w:r w:rsidR="00BC168F" w:rsidRPr="00A65602">
        <w:t>every 2 weeks</w:t>
      </w:r>
      <w:r w:rsidRPr="00A65602">
        <w:t xml:space="preserve"> in patients with moderate to severe plaque psoriasis and baseline bodyweight ≥ 90 kg was evaluated in Study</w:t>
      </w:r>
      <w:r w:rsidR="00EE513B" w:rsidRPr="00A65602">
        <w:t> </w:t>
      </w:r>
      <w:r w:rsidRPr="00A65602">
        <w:t xml:space="preserve">A2324. The safety profile for patients treated with 300 mg </w:t>
      </w:r>
      <w:r w:rsidR="00BC168F" w:rsidRPr="00A65602">
        <w:t>every 2 weeks</w:t>
      </w:r>
      <w:r w:rsidRPr="00A65602">
        <w:t xml:space="preserve"> was similar to 300</w:t>
      </w:r>
      <w:r w:rsidR="00EE513B" w:rsidRPr="00A65602">
        <w:t> </w:t>
      </w:r>
      <w:r w:rsidRPr="00A65602">
        <w:t xml:space="preserve">mg </w:t>
      </w:r>
      <w:r w:rsidR="007254C8" w:rsidRPr="00A65602">
        <w:t xml:space="preserve">every 4 </w:t>
      </w:r>
      <w:proofErr w:type="gramStart"/>
      <w:r w:rsidR="007254C8" w:rsidRPr="00A65602">
        <w:t>weeks</w:t>
      </w:r>
      <w:r w:rsidRPr="00A65602">
        <w:t>, and</w:t>
      </w:r>
      <w:proofErr w:type="gramEnd"/>
      <w:r w:rsidRPr="00A65602">
        <w:t xml:space="preserve"> was consistent with the established safety profile of secukinumab in psoriasis patients. The overall incidence of </w:t>
      </w:r>
      <w:r w:rsidR="000E7A54">
        <w:t>adverse events (</w:t>
      </w:r>
      <w:r w:rsidRPr="00A65602">
        <w:t>AEs</w:t>
      </w:r>
      <w:r w:rsidR="000E7A54">
        <w:t>)</w:t>
      </w:r>
      <w:r w:rsidRPr="00A65602">
        <w:t xml:space="preserve">, </w:t>
      </w:r>
      <w:r w:rsidR="000E7A54">
        <w:t>serious adverse events (</w:t>
      </w:r>
      <w:r w:rsidRPr="00A65602">
        <w:t>SAEs</w:t>
      </w:r>
      <w:r w:rsidR="000E7A54">
        <w:t>)</w:t>
      </w:r>
      <w:r w:rsidRPr="00A65602">
        <w:t xml:space="preserve">, and discontinuations due to AEs were generally similar in </w:t>
      </w:r>
      <w:proofErr w:type="gramStart"/>
      <w:r w:rsidRPr="00A65602">
        <w:t xml:space="preserve">the </w:t>
      </w:r>
      <w:r w:rsidR="00B3337A" w:rsidRPr="00A65602">
        <w:t>every</w:t>
      </w:r>
      <w:proofErr w:type="gramEnd"/>
      <w:r w:rsidR="000E7A54">
        <w:t xml:space="preserve"> </w:t>
      </w:r>
      <w:r w:rsidR="00B3337A" w:rsidRPr="00A65602">
        <w:t>2</w:t>
      </w:r>
      <w:r w:rsidR="000E7A54">
        <w:t xml:space="preserve"> </w:t>
      </w:r>
      <w:r w:rsidR="00B3337A" w:rsidRPr="00A65602">
        <w:t xml:space="preserve">weeks </w:t>
      </w:r>
      <w:r w:rsidRPr="00A65602">
        <w:t xml:space="preserve">and </w:t>
      </w:r>
      <w:r w:rsidR="00B3337A" w:rsidRPr="00A65602">
        <w:t>every</w:t>
      </w:r>
      <w:r w:rsidR="000E7A54">
        <w:t xml:space="preserve"> </w:t>
      </w:r>
      <w:r w:rsidR="00B3337A" w:rsidRPr="00A65602">
        <w:t>4</w:t>
      </w:r>
      <w:r w:rsidR="000E7A54">
        <w:t xml:space="preserve"> </w:t>
      </w:r>
      <w:r w:rsidR="00B3337A" w:rsidRPr="00A65602">
        <w:t xml:space="preserve">weeks </w:t>
      </w:r>
      <w:r w:rsidRPr="00A65602">
        <w:t>groups, as were important identified and potential risks. A difference in hypersensitivity events was mainly driven by events of dermatitis, dermatitis contact, and urticaria.</w:t>
      </w:r>
    </w:p>
    <w:p w14:paraId="71C45AC8" w14:textId="1D4CB908" w:rsidR="00AE00AB" w:rsidRPr="00A65602" w:rsidRDefault="00AE00AB" w:rsidP="00AE00AB">
      <w:r w:rsidRPr="00A65602">
        <w:t xml:space="preserve">There are no safety data for patients &lt; 90 kg treated with 300 mg </w:t>
      </w:r>
      <w:r w:rsidR="00BC168F" w:rsidRPr="00A65602">
        <w:t>every 2 weeks</w:t>
      </w:r>
      <w:r w:rsidRPr="00A65602">
        <w:t xml:space="preserve">, so modelling analyses were submitted to support safety in this population. The </w:t>
      </w:r>
      <w:r w:rsidR="00AA3BF1" w:rsidRPr="00A65602">
        <w:t>sponsor</w:t>
      </w:r>
      <w:r w:rsidRPr="00A65602">
        <w:t xml:space="preserve">’s modelling predicts that the incidence of selected </w:t>
      </w:r>
      <w:r w:rsidR="000E7A54">
        <w:t>adverse events of special interest (</w:t>
      </w:r>
      <w:r w:rsidR="002C4761" w:rsidRPr="00A65602">
        <w:t>AESI</w:t>
      </w:r>
      <w:r w:rsidR="00140CD0">
        <w:t>s</w:t>
      </w:r>
      <w:r w:rsidR="000E7A54">
        <w:t>)</w:t>
      </w:r>
      <w:r w:rsidR="002C4761" w:rsidRPr="00A65602">
        <w:t xml:space="preserve"> </w:t>
      </w:r>
      <w:r w:rsidRPr="00A65602">
        <w:t xml:space="preserve">would be similar for 300 mg </w:t>
      </w:r>
      <w:r w:rsidR="00BC168F" w:rsidRPr="00A65602">
        <w:t>every 2</w:t>
      </w:r>
      <w:r w:rsidR="00EE513B" w:rsidRPr="00A65602">
        <w:t> </w:t>
      </w:r>
      <w:r w:rsidR="00BC168F" w:rsidRPr="00A65602">
        <w:t>weeks</w:t>
      </w:r>
      <w:r w:rsidRPr="00A65602">
        <w:t xml:space="preserve"> and 300 mg </w:t>
      </w:r>
      <w:r w:rsidR="007254C8" w:rsidRPr="00A65602">
        <w:t>every 4 weeks</w:t>
      </w:r>
      <w:r w:rsidRPr="00A65602">
        <w:t xml:space="preserve">, both for patients </w:t>
      </w:r>
      <w:r w:rsidR="000E7A54">
        <w:t xml:space="preserve">with bodyweight </w:t>
      </w:r>
      <w:r w:rsidRPr="00A65602">
        <w:t>≥</w:t>
      </w:r>
      <w:r w:rsidR="000E7A54">
        <w:t> </w:t>
      </w:r>
      <w:r w:rsidRPr="00A65602">
        <w:t xml:space="preserve">90 kg and &lt; 90 kg. The confidence intervals were notably wider at the higher concentration ranges, particularly for Candida infections AEs and </w:t>
      </w:r>
      <w:r w:rsidR="000E7A54">
        <w:t>s</w:t>
      </w:r>
      <w:r w:rsidRPr="00A65602">
        <w:t xml:space="preserve">erious infections AEs, reflecting greater uncertainty in the predictions due to limited data. The safety modelling addresses only selected </w:t>
      </w:r>
      <w:proofErr w:type="gramStart"/>
      <w:r w:rsidR="002C4761" w:rsidRPr="00A65602">
        <w:t>AESIs</w:t>
      </w:r>
      <w:r w:rsidRPr="00A65602">
        <w:t>, and</w:t>
      </w:r>
      <w:proofErr w:type="gramEnd"/>
      <w:r w:rsidRPr="00A65602">
        <w:t xml:space="preserve"> does not address the possibility of a weight</w:t>
      </w:r>
      <w:r w:rsidR="000E7A54">
        <w:noBreakHyphen/>
      </w:r>
      <w:r w:rsidRPr="00A65602">
        <w:t xml:space="preserve">related difference in sensitivity to secukinumab (as was seen in the efficacy modelling). </w:t>
      </w:r>
      <w:r w:rsidR="00111206" w:rsidRPr="00A65602">
        <w:t xml:space="preserve">The Delegate is </w:t>
      </w:r>
      <w:r w:rsidRPr="00A65602">
        <w:t xml:space="preserve">not satisfied that the modelling adequately addresses the safety of the proposed 300 mg </w:t>
      </w:r>
      <w:r w:rsidR="00BC168F" w:rsidRPr="00A65602">
        <w:t>ever</w:t>
      </w:r>
      <w:r w:rsidR="000E7A54">
        <w:t xml:space="preserve">y </w:t>
      </w:r>
      <w:r w:rsidR="00BC168F" w:rsidRPr="00A65602">
        <w:t>2</w:t>
      </w:r>
      <w:r w:rsidR="000E7A54">
        <w:t xml:space="preserve"> </w:t>
      </w:r>
      <w:r w:rsidR="00BC168F" w:rsidRPr="00A65602">
        <w:t>weeks</w:t>
      </w:r>
      <w:r w:rsidRPr="00A65602">
        <w:t xml:space="preserve"> dosage in patients &lt; 90 kg.</w:t>
      </w:r>
    </w:p>
    <w:p w14:paraId="14DB90DD" w14:textId="77777777" w:rsidR="00AE00AB" w:rsidRPr="00A65602" w:rsidRDefault="00AE00AB" w:rsidP="00AE00AB">
      <w:pPr>
        <w:pStyle w:val="Heading5"/>
        <w:rPr>
          <w:lang w:eastAsia="ja-JP"/>
        </w:rPr>
      </w:pPr>
      <w:r w:rsidRPr="00A65602">
        <w:rPr>
          <w:lang w:eastAsia="ja-JP"/>
        </w:rPr>
        <w:t>Deficiencies and Limitations of the data</w:t>
      </w:r>
    </w:p>
    <w:p w14:paraId="46512402" w14:textId="20372F74" w:rsidR="00AE00AB" w:rsidRPr="00A65602" w:rsidRDefault="00AE00AB" w:rsidP="00AE00AB">
      <w:r w:rsidRPr="00A65602">
        <w:t xml:space="preserve">The 300 mg </w:t>
      </w:r>
      <w:r w:rsidR="00BC168F" w:rsidRPr="00A65602">
        <w:t>every 2 weeks</w:t>
      </w:r>
      <w:r w:rsidRPr="00A65602">
        <w:t xml:space="preserve"> maintenance dosing option is proposed for the entire population of patients with plaque psoriasis, but the clinical </w:t>
      </w:r>
      <w:r w:rsidR="00390805" w:rsidRPr="00A65602">
        <w:t xml:space="preserve">Study </w:t>
      </w:r>
      <w:r w:rsidRPr="00A65602">
        <w:t xml:space="preserve">A2324 included only patients with baseline bodyweight ≥ 90 kg. Study A2324 was not designed to address the efficacy and safety of the proposed 300 mg </w:t>
      </w:r>
      <w:r w:rsidR="00BC168F" w:rsidRPr="00A65602">
        <w:t>every 2 weeks</w:t>
      </w:r>
      <w:r w:rsidRPr="00A65602">
        <w:t xml:space="preserve"> maintenance dosage in patients &lt;</w:t>
      </w:r>
      <w:r w:rsidR="00D11317" w:rsidRPr="00A65602">
        <w:t> </w:t>
      </w:r>
      <w:r w:rsidRPr="00A65602">
        <w:t>90 kg. The submission did not include PK, efficacy, or safety data for patients &lt;</w:t>
      </w:r>
      <w:r w:rsidR="00D11317" w:rsidRPr="00A65602">
        <w:t> </w:t>
      </w:r>
      <w:r w:rsidRPr="00A65602">
        <w:t>90</w:t>
      </w:r>
      <w:r w:rsidR="00D11317" w:rsidRPr="00A65602">
        <w:t> </w:t>
      </w:r>
      <w:r w:rsidRPr="00A65602">
        <w:t>kg, other than modelling and simulations.</w:t>
      </w:r>
    </w:p>
    <w:p w14:paraId="2137C552" w14:textId="77777777" w:rsidR="0074163C" w:rsidRPr="00A65602" w:rsidRDefault="0074163C" w:rsidP="0074163C">
      <w:pPr>
        <w:pStyle w:val="Heading4"/>
      </w:pPr>
      <w:bookmarkStart w:id="72" w:name="_Toc98931933"/>
      <w:r w:rsidRPr="00A65602">
        <w:t>Proposed action</w:t>
      </w:r>
      <w:bookmarkEnd w:id="72"/>
    </w:p>
    <w:p w14:paraId="714800FD" w14:textId="0A56CBE8" w:rsidR="00AE00AB" w:rsidRPr="00A65602" w:rsidRDefault="00AE00AB" w:rsidP="00AE00AB">
      <w:r w:rsidRPr="00A65602">
        <w:t xml:space="preserve">This </w:t>
      </w:r>
      <w:r w:rsidR="00BC168F" w:rsidRPr="00A65602">
        <w:t>submission</w:t>
      </w:r>
      <w:r w:rsidRPr="00A65602">
        <w:t xml:space="preserve"> initially sought approval of a </w:t>
      </w:r>
      <w:r w:rsidR="000E7A54">
        <w:t xml:space="preserve">secukinumab </w:t>
      </w:r>
      <w:r w:rsidRPr="00A65602">
        <w:t xml:space="preserve">300 mg </w:t>
      </w:r>
      <w:r w:rsidR="000E7A54">
        <w:t xml:space="preserve">once </w:t>
      </w:r>
      <w:r w:rsidR="00BC168F" w:rsidRPr="00A65602">
        <w:t>every 2</w:t>
      </w:r>
      <w:r w:rsidR="00431D93">
        <w:t> </w:t>
      </w:r>
      <w:r w:rsidR="00BC168F" w:rsidRPr="00A65602">
        <w:t>weeks</w:t>
      </w:r>
      <w:r w:rsidRPr="00A65602">
        <w:t xml:space="preserve"> maintenance dosage option for adults with moderate to severe plaque psoriasis, regardless of bodyweight. Following completion of the evaluation, the </w:t>
      </w:r>
      <w:r w:rsidR="00AA3BF1" w:rsidRPr="00A65602">
        <w:t>s</w:t>
      </w:r>
      <w:r w:rsidRPr="00A65602">
        <w:t xml:space="preserve">ponsor agreed to accept the </w:t>
      </w:r>
      <w:r w:rsidR="00AA73B0">
        <w:t>TGA</w:t>
      </w:r>
      <w:r w:rsidRPr="00A65602">
        <w:t xml:space="preserve">’s recommendation that the 300 mg </w:t>
      </w:r>
      <w:r w:rsidR="00BC168F" w:rsidRPr="00A65602">
        <w:t>every</w:t>
      </w:r>
      <w:r w:rsidR="000E7A54">
        <w:t xml:space="preserve"> </w:t>
      </w:r>
      <w:r w:rsidR="00BC168F" w:rsidRPr="00A65602">
        <w:t>2</w:t>
      </w:r>
      <w:r w:rsidR="000E7A54">
        <w:t xml:space="preserve"> </w:t>
      </w:r>
      <w:r w:rsidR="00BC168F" w:rsidRPr="00A65602">
        <w:t>weeks</w:t>
      </w:r>
      <w:r w:rsidRPr="00A65602">
        <w:t xml:space="preserve"> dosing option for plaque psoriasis should apply only for patients with bodyweight ≥ 90 kg.</w:t>
      </w:r>
    </w:p>
    <w:p w14:paraId="725AF0B4" w14:textId="7FDFF523" w:rsidR="00AE00AB" w:rsidRPr="00A65602" w:rsidRDefault="00AE00AB" w:rsidP="00AE00AB">
      <w:r w:rsidRPr="00A65602">
        <w:t xml:space="preserve">The data presented in this submission support the efficacy and safety of 300 mg </w:t>
      </w:r>
      <w:r w:rsidR="00BC168F" w:rsidRPr="00A65602">
        <w:t>every 2</w:t>
      </w:r>
      <w:r w:rsidR="00D11317" w:rsidRPr="00A65602">
        <w:t> </w:t>
      </w:r>
      <w:r w:rsidR="00BC168F" w:rsidRPr="00A65602">
        <w:t>weeks</w:t>
      </w:r>
      <w:r w:rsidRPr="00A65602">
        <w:t xml:space="preserve"> as a maintenance dosing option for patients with moderate to severe plaque psoriasis and bodyweight ≥ 90 kg.</w:t>
      </w:r>
    </w:p>
    <w:p w14:paraId="34F68B3A" w14:textId="0FED1789" w:rsidR="00AE00AB" w:rsidRPr="00A65602" w:rsidRDefault="00AE00AB" w:rsidP="00AE00AB">
      <w:r w:rsidRPr="00A65602">
        <w:lastRenderedPageBreak/>
        <w:t xml:space="preserve">In patients &lt; 90 kg, the modelling predicts a modest efficacy benefit for 300 mg </w:t>
      </w:r>
      <w:r w:rsidR="00BC168F" w:rsidRPr="00A65602">
        <w:t>every 2</w:t>
      </w:r>
      <w:r w:rsidR="00D11317" w:rsidRPr="00A65602">
        <w:t> </w:t>
      </w:r>
      <w:r w:rsidR="00BC168F" w:rsidRPr="00A65602">
        <w:t>weeks</w:t>
      </w:r>
      <w:r w:rsidRPr="00A65602">
        <w:t xml:space="preserve"> compared to 300 mg </w:t>
      </w:r>
      <w:r w:rsidR="007254C8" w:rsidRPr="00A65602">
        <w:t>every 4 weeks</w:t>
      </w:r>
      <w:r w:rsidRPr="00A65602">
        <w:t xml:space="preserve">. The </w:t>
      </w:r>
      <w:r w:rsidR="00AA3BF1" w:rsidRPr="00A65602">
        <w:t>sponsor</w:t>
      </w:r>
      <w:r w:rsidRPr="00A65602">
        <w:t xml:space="preserve"> asserts that the modelling predicts similar safety for 300 mg </w:t>
      </w:r>
      <w:r w:rsidR="00BC168F" w:rsidRPr="00A65602">
        <w:t>every 2 weeks</w:t>
      </w:r>
      <w:r w:rsidRPr="00A65602">
        <w:t xml:space="preserve"> and 300 mg </w:t>
      </w:r>
      <w:r w:rsidR="007254C8" w:rsidRPr="00A65602">
        <w:t>every 4 weeks</w:t>
      </w:r>
      <w:r w:rsidRPr="00A65602">
        <w:t xml:space="preserve">; however, </w:t>
      </w:r>
      <w:r w:rsidR="00111206" w:rsidRPr="00A65602">
        <w:t xml:space="preserve">the </w:t>
      </w:r>
      <w:r w:rsidR="000E7A54">
        <w:t>D</w:t>
      </w:r>
      <w:r w:rsidR="00111206" w:rsidRPr="00A65602">
        <w:t>elegate is</w:t>
      </w:r>
      <w:r w:rsidRPr="00A65602">
        <w:t xml:space="preserve"> of the view that the modelling does</w:t>
      </w:r>
      <w:r w:rsidR="00837795" w:rsidRPr="00A65602">
        <w:t xml:space="preserve"> </w:t>
      </w:r>
      <w:r w:rsidRPr="00A65602">
        <w:t xml:space="preserve">not satisfactorily establish the safety of the proposed 300 mg </w:t>
      </w:r>
      <w:r w:rsidR="00BC168F" w:rsidRPr="00A65602">
        <w:t>every</w:t>
      </w:r>
      <w:r w:rsidR="000E7A54">
        <w:t xml:space="preserve"> </w:t>
      </w:r>
      <w:r w:rsidR="00BC168F" w:rsidRPr="00A65602">
        <w:t>2</w:t>
      </w:r>
      <w:r w:rsidR="000E7A54">
        <w:t xml:space="preserve"> </w:t>
      </w:r>
      <w:r w:rsidR="00BC168F" w:rsidRPr="00A65602">
        <w:t>weeks</w:t>
      </w:r>
      <w:r w:rsidRPr="00A65602">
        <w:t xml:space="preserve"> dosing regimen in patients &lt; 90 kg. The lack of efficacy and safety data in patients &lt; 90 kg leads me to conclude that the benefit-risk of secukinumab 300 mg </w:t>
      </w:r>
      <w:r w:rsidR="00BC168F" w:rsidRPr="00A65602">
        <w:t>every 2 weeks</w:t>
      </w:r>
      <w:r w:rsidRPr="00A65602">
        <w:t xml:space="preserve"> as maintenance treatment in patients &lt; 90 kg is uncertain.</w:t>
      </w:r>
    </w:p>
    <w:p w14:paraId="26F6F803" w14:textId="77777777" w:rsidR="0074163C" w:rsidRPr="00A65602" w:rsidRDefault="0074163C" w:rsidP="0074163C">
      <w:pPr>
        <w:pStyle w:val="Heading4"/>
      </w:pPr>
      <w:bookmarkStart w:id="73" w:name="_Toc98931936"/>
      <w:bookmarkStart w:id="74" w:name="_Toc247691532"/>
      <w:bookmarkStart w:id="75" w:name="_Toc314842516"/>
      <w:bookmarkEnd w:id="27"/>
      <w:bookmarkEnd w:id="68"/>
      <w:bookmarkEnd w:id="69"/>
      <w:r w:rsidRPr="00A65602">
        <w:t>Advisory Committee considerations</w:t>
      </w:r>
      <w:bookmarkEnd w:id="73"/>
    </w:p>
    <w:p w14:paraId="6B954D79" w14:textId="3099E450" w:rsidR="0074163C" w:rsidRPr="00A65602" w:rsidRDefault="0074163C" w:rsidP="0074163C">
      <w:pPr>
        <w:rPr>
          <w:bCs/>
        </w:rPr>
      </w:pPr>
      <w:r w:rsidRPr="00A65602">
        <w:rPr>
          <w:bCs/>
        </w:rPr>
        <w:t xml:space="preserve">The </w:t>
      </w:r>
      <w:hyperlink r:id="rId38" w:history="1">
        <w:r w:rsidRPr="00A65602">
          <w:rPr>
            <w:rStyle w:val="Hyperlink"/>
            <w:szCs w:val="21"/>
          </w:rPr>
          <w:t>Advisory Committee on Medicines (ACM)</w:t>
        </w:r>
      </w:hyperlink>
      <w:r w:rsidRPr="00A65602">
        <w:rPr>
          <w:szCs w:val="21"/>
        </w:rPr>
        <w:t>,</w:t>
      </w:r>
      <w:r w:rsidRPr="00A65602">
        <w:rPr>
          <w:bCs/>
        </w:rPr>
        <w:t xml:space="preserve"> having considered the evaluations and the Delegate’s overview, as well as the sponsor’s response to these documents, advised the following.</w:t>
      </w:r>
    </w:p>
    <w:p w14:paraId="59CA189C" w14:textId="77777777" w:rsidR="0074163C" w:rsidRPr="00A65602" w:rsidRDefault="0074163C" w:rsidP="0074163C">
      <w:pPr>
        <w:pStyle w:val="Heading5"/>
      </w:pPr>
      <w:r w:rsidRPr="00A65602">
        <w:t>Specific advice to the Delegate</w:t>
      </w:r>
    </w:p>
    <w:p w14:paraId="030E0918" w14:textId="4BC9D47C" w:rsidR="00AE00AB" w:rsidRPr="00A65602" w:rsidRDefault="00AE00AB" w:rsidP="00AE00AB">
      <w:pPr>
        <w:pStyle w:val="Numberbullet0"/>
        <w:numPr>
          <w:ilvl w:val="0"/>
          <w:numId w:val="36"/>
        </w:numPr>
        <w:rPr>
          <w:b/>
          <w:bCs/>
          <w:i/>
          <w:iCs/>
        </w:rPr>
      </w:pPr>
      <w:r w:rsidRPr="00A65602">
        <w:rPr>
          <w:b/>
          <w:bCs/>
          <w:i/>
          <w:iCs/>
        </w:rPr>
        <w:t xml:space="preserve">What is ACM’s clinical perspective on the evidence supporting </w:t>
      </w:r>
      <w:bookmarkStart w:id="76" w:name="_Hlk100141539"/>
      <w:r w:rsidRPr="00A65602">
        <w:rPr>
          <w:b/>
          <w:bCs/>
          <w:i/>
          <w:iCs/>
        </w:rPr>
        <w:t xml:space="preserve">the proposed </w:t>
      </w:r>
      <w:r w:rsidR="000E7A54">
        <w:rPr>
          <w:b/>
          <w:bCs/>
          <w:i/>
          <w:iCs/>
        </w:rPr>
        <w:t xml:space="preserve">secukinumab </w:t>
      </w:r>
      <w:r w:rsidRPr="00A65602">
        <w:rPr>
          <w:b/>
          <w:bCs/>
          <w:i/>
          <w:iCs/>
        </w:rPr>
        <w:t xml:space="preserve">300 mg </w:t>
      </w:r>
      <w:r w:rsidR="000E7A54">
        <w:rPr>
          <w:b/>
          <w:bCs/>
          <w:i/>
          <w:iCs/>
        </w:rPr>
        <w:t>once every 2 weeks</w:t>
      </w:r>
      <w:r w:rsidRPr="00A65602">
        <w:rPr>
          <w:b/>
          <w:bCs/>
          <w:i/>
          <w:iCs/>
        </w:rPr>
        <w:t xml:space="preserve"> dosage in patients</w:t>
      </w:r>
      <w:bookmarkEnd w:id="76"/>
      <w:r w:rsidRPr="00A65602">
        <w:rPr>
          <w:b/>
          <w:bCs/>
          <w:i/>
          <w:iCs/>
        </w:rPr>
        <w:t>:</w:t>
      </w:r>
    </w:p>
    <w:p w14:paraId="4C7F8056" w14:textId="18E964CD" w:rsidR="00AE00AB" w:rsidRPr="00A65602" w:rsidRDefault="000E7A54" w:rsidP="00AE00AB">
      <w:pPr>
        <w:pStyle w:val="Numberbullet2"/>
        <w:rPr>
          <w:b/>
          <w:bCs/>
          <w:i/>
          <w:iCs/>
        </w:rPr>
      </w:pPr>
      <w:r>
        <w:rPr>
          <w:b/>
          <w:bCs/>
          <w:i/>
          <w:iCs/>
        </w:rPr>
        <w:t>with bodyweight</w:t>
      </w:r>
      <w:r w:rsidR="00AE00AB" w:rsidRPr="00A65602">
        <w:rPr>
          <w:b/>
          <w:bCs/>
          <w:i/>
          <w:iCs/>
        </w:rPr>
        <w:t xml:space="preserve"> 90 kg</w:t>
      </w:r>
      <w:r>
        <w:rPr>
          <w:b/>
          <w:bCs/>
          <w:i/>
          <w:iCs/>
        </w:rPr>
        <w:t xml:space="preserve"> or more</w:t>
      </w:r>
      <w:r w:rsidR="00AE00AB" w:rsidRPr="00A65602">
        <w:rPr>
          <w:b/>
          <w:bCs/>
          <w:i/>
          <w:iCs/>
        </w:rPr>
        <w:t>?</w:t>
      </w:r>
    </w:p>
    <w:p w14:paraId="526B39F0" w14:textId="500CA6DF" w:rsidR="00AE00AB" w:rsidRPr="00A65602" w:rsidRDefault="00AE00AB" w:rsidP="00AE00AB">
      <w:r w:rsidRPr="00A65602">
        <w:t>The ACM discussed how the supplied data is consistent with modelling which suggested that patients with larger body mass (</w:t>
      </w:r>
      <w:r w:rsidR="003C5C0B" w:rsidRPr="00A65602">
        <w:t>that is</w:t>
      </w:r>
      <w:r w:rsidRPr="00A65602">
        <w:t>, above 90 kg) may derive increased benefit from higher exposure.</w:t>
      </w:r>
    </w:p>
    <w:p w14:paraId="769A7CBB" w14:textId="32C4C2CA" w:rsidR="00AE00AB" w:rsidRPr="00A65602" w:rsidRDefault="00AE00AB" w:rsidP="00AE00AB">
      <w:r w:rsidRPr="00A65602">
        <w:t xml:space="preserve">The ACM was satisfied that the clinical study, supported by the modelling, adequately demonstrates the efficacy and safety of 300 mg </w:t>
      </w:r>
      <w:r w:rsidR="008B4E75" w:rsidRPr="00A65602">
        <w:t>every 2 weeks</w:t>
      </w:r>
      <w:r w:rsidRPr="00A65602">
        <w:t xml:space="preserve"> as a maintenance dosing option in patients ≥</w:t>
      </w:r>
      <w:r w:rsidR="008B4E75" w:rsidRPr="00A65602">
        <w:t xml:space="preserve"> </w:t>
      </w:r>
      <w:r w:rsidRPr="00A65602">
        <w:t>90 kg. If this dosing regimen was approved, the practical implications were that clinicians may choose to up-titrate the dose in instances of therapeutic failure at the current approved dosage. Given this, the ACM was supportive of specifying a weight cut</w:t>
      </w:r>
      <w:r w:rsidR="00D11317" w:rsidRPr="00A65602">
        <w:noBreakHyphen/>
      </w:r>
      <w:r w:rsidRPr="00A65602">
        <w:t>off as part of the guidance in the PI, as this aligns best with the clinical and efficacy data provided in the submission.</w:t>
      </w:r>
    </w:p>
    <w:p w14:paraId="1FB01C41" w14:textId="699894A8" w:rsidR="00AE00AB" w:rsidRPr="00A65602" w:rsidRDefault="00AE00AB" w:rsidP="00AE00AB">
      <w:r w:rsidRPr="00A65602">
        <w:t>On balance</w:t>
      </w:r>
      <w:r w:rsidR="000E7A54">
        <w:t>,</w:t>
      </w:r>
      <w:r w:rsidRPr="00A65602">
        <w:t xml:space="preserve"> the ACM was supportive of the proposed </w:t>
      </w:r>
      <w:r w:rsidR="000E7A54">
        <w:t xml:space="preserve">secukinumab </w:t>
      </w:r>
      <w:r w:rsidRPr="00A65602">
        <w:t xml:space="preserve">300 mg </w:t>
      </w:r>
      <w:r w:rsidR="000E7A54">
        <w:t xml:space="preserve">once </w:t>
      </w:r>
      <w:r w:rsidR="008B4E75" w:rsidRPr="00A65602">
        <w:t>every</w:t>
      </w:r>
      <w:r w:rsidR="000E7A54">
        <w:t xml:space="preserve"> </w:t>
      </w:r>
      <w:r w:rsidR="008B4E75" w:rsidRPr="00A65602">
        <w:t>2</w:t>
      </w:r>
      <w:r w:rsidR="000E7A54">
        <w:t> </w:t>
      </w:r>
      <w:r w:rsidR="008B4E75" w:rsidRPr="00A65602">
        <w:t>weeks</w:t>
      </w:r>
      <w:r w:rsidRPr="00A65602">
        <w:t xml:space="preserve"> dosage for patients with a bodyweight of 90 kg or more.</w:t>
      </w:r>
    </w:p>
    <w:p w14:paraId="4238A914" w14:textId="1D8BEBEB" w:rsidR="00AE00AB" w:rsidRPr="00A65602" w:rsidRDefault="000E7A54" w:rsidP="00AE00AB">
      <w:pPr>
        <w:pStyle w:val="Numberbullet2"/>
        <w:rPr>
          <w:b/>
          <w:bCs/>
          <w:i/>
          <w:iCs/>
        </w:rPr>
      </w:pPr>
      <w:r>
        <w:rPr>
          <w:b/>
          <w:bCs/>
          <w:i/>
          <w:iCs/>
        </w:rPr>
        <w:t>with bodyweight of less than</w:t>
      </w:r>
      <w:r w:rsidR="00AE00AB" w:rsidRPr="00A65602">
        <w:rPr>
          <w:b/>
          <w:bCs/>
          <w:i/>
          <w:iCs/>
        </w:rPr>
        <w:t xml:space="preserve"> 90 kg?</w:t>
      </w:r>
    </w:p>
    <w:p w14:paraId="12BB3857" w14:textId="1BE645A7" w:rsidR="00AE00AB" w:rsidRPr="00A65602" w:rsidRDefault="00AE00AB" w:rsidP="00AE00AB">
      <w:r w:rsidRPr="00A65602">
        <w:t xml:space="preserve">The ACM noted there was insufficient data to support patients with a bodyweight of less than 90 kg receiving secukinumab 300 mg </w:t>
      </w:r>
      <w:r w:rsidR="005C1608">
        <w:t xml:space="preserve">once </w:t>
      </w:r>
      <w:r w:rsidRPr="00A65602">
        <w:t xml:space="preserve">every 2 weeks </w:t>
      </w:r>
      <w:r w:rsidR="00DF320D" w:rsidRPr="00A65602">
        <w:t xml:space="preserve">subcutaneously </w:t>
      </w:r>
      <w:r w:rsidRPr="00A65602">
        <w:t>as a maintenance dose as the population pharmacokinetic modelling demonstrates the proportion of individuals likely to benefit declines in those with lower bodyweight.</w:t>
      </w:r>
    </w:p>
    <w:p w14:paraId="336D0D71" w14:textId="66139174" w:rsidR="00AE00AB" w:rsidRPr="00A65602" w:rsidRDefault="00AE00AB" w:rsidP="00AE00AB">
      <w:r w:rsidRPr="00A65602">
        <w:t>The ACM considered the lack of safety data in this cohort at the higher dose and noted that extrapolation of this information from the simulated data alone is uncertain and not appropriate. The ACM was of the view that there is potential for unfavourable outcomes in this group of patients without a clear identifiable clinical need to support a higher dose.</w:t>
      </w:r>
    </w:p>
    <w:p w14:paraId="72A76A83" w14:textId="78A9935F" w:rsidR="00AE00AB" w:rsidRPr="00A65602" w:rsidRDefault="00AE00AB" w:rsidP="00AE00AB">
      <w:r w:rsidRPr="00A65602">
        <w:t xml:space="preserve">The ACM recommended that the proposed </w:t>
      </w:r>
      <w:r w:rsidR="005C1608">
        <w:t xml:space="preserve">secukinumab </w:t>
      </w:r>
      <w:r w:rsidRPr="00A65602">
        <w:t xml:space="preserve">300 mg </w:t>
      </w:r>
      <w:r w:rsidR="005C1608">
        <w:t xml:space="preserve">once </w:t>
      </w:r>
      <w:r w:rsidR="008B4E75" w:rsidRPr="00A65602">
        <w:t>every</w:t>
      </w:r>
      <w:r w:rsidR="005C1608">
        <w:t xml:space="preserve"> </w:t>
      </w:r>
      <w:r w:rsidR="008B4E75" w:rsidRPr="00A65602">
        <w:t>2</w:t>
      </w:r>
      <w:r w:rsidR="005C1608">
        <w:t xml:space="preserve"> </w:t>
      </w:r>
      <w:r w:rsidR="008B4E75" w:rsidRPr="00A65602">
        <w:t>weeks</w:t>
      </w:r>
      <w:r w:rsidRPr="00A65602">
        <w:t xml:space="preserve"> dosage apply only to those weighing 90 kg or more.</w:t>
      </w:r>
    </w:p>
    <w:p w14:paraId="1BAE1868" w14:textId="50163FE1" w:rsidR="00AE00AB" w:rsidRPr="00A65602" w:rsidRDefault="00AE00AB" w:rsidP="00AE00AB">
      <w:r w:rsidRPr="00A65602">
        <w:t xml:space="preserve">The ACM was of the view that the efficacy and safety of the proposed </w:t>
      </w:r>
      <w:r w:rsidR="005C1608">
        <w:t xml:space="preserve">secukinumab </w:t>
      </w:r>
      <w:r w:rsidRPr="00A65602">
        <w:t>300</w:t>
      </w:r>
      <w:r w:rsidR="00140CD0">
        <w:t> </w:t>
      </w:r>
      <w:r w:rsidRPr="00A65602">
        <w:t xml:space="preserve">mg </w:t>
      </w:r>
      <w:r w:rsidR="008B4E75" w:rsidRPr="00A65602">
        <w:t>every</w:t>
      </w:r>
      <w:r w:rsidR="005C1608">
        <w:t xml:space="preserve"> </w:t>
      </w:r>
      <w:r w:rsidR="008B4E75" w:rsidRPr="00A65602">
        <w:t>2</w:t>
      </w:r>
      <w:r w:rsidR="005C1608">
        <w:t xml:space="preserve"> </w:t>
      </w:r>
      <w:r w:rsidR="008B4E75" w:rsidRPr="00A65602">
        <w:t>weeks</w:t>
      </w:r>
      <w:r w:rsidRPr="00A65602">
        <w:t xml:space="preserve"> dosage have not been adequately established for patients &lt; 90 kg.</w:t>
      </w:r>
    </w:p>
    <w:p w14:paraId="76D0F4A6" w14:textId="77777777" w:rsidR="0074163C" w:rsidRPr="00A65602" w:rsidRDefault="0074163C" w:rsidP="0074163C">
      <w:pPr>
        <w:pStyle w:val="Heading5"/>
      </w:pPr>
      <w:r w:rsidRPr="00A65602">
        <w:t>Conclusion</w:t>
      </w:r>
    </w:p>
    <w:p w14:paraId="60D8BC07" w14:textId="77777777" w:rsidR="00AE00AB" w:rsidRPr="00A65602" w:rsidRDefault="00AE00AB" w:rsidP="00AE00AB">
      <w:r w:rsidRPr="00A65602">
        <w:t>The ACM considered this product to have an overall positive benefit-risk profile for:</w:t>
      </w:r>
    </w:p>
    <w:p w14:paraId="4EA516C3" w14:textId="20F3BC3C" w:rsidR="00AE00AB" w:rsidRPr="00A65602" w:rsidRDefault="00AE00AB" w:rsidP="00AE00AB">
      <w:pPr>
        <w:ind w:left="720"/>
      </w:pPr>
      <w:r w:rsidRPr="00A65602">
        <w:t xml:space="preserve">The recommended dose is 300 mg by subcutaneous injection with initial dosing at </w:t>
      </w:r>
      <w:r w:rsidR="00BC168F" w:rsidRPr="00A65602">
        <w:t>Weeks 0</w:t>
      </w:r>
      <w:r w:rsidRPr="00A65602">
        <w:t xml:space="preserve">, 1, 2, 3, and 4 followed by the same dose every </w:t>
      </w:r>
      <w:r w:rsidRPr="00204DD0">
        <w:t>month</w:t>
      </w:r>
      <w:r w:rsidRPr="00140CD0">
        <w:t>.</w:t>
      </w:r>
      <w:r w:rsidRPr="00A65602">
        <w:rPr>
          <w:u w:val="single"/>
        </w:rPr>
        <w:t xml:space="preserve"> </w:t>
      </w:r>
      <w:r w:rsidRPr="00140CD0">
        <w:t xml:space="preserve">Some patients </w:t>
      </w:r>
      <w:r w:rsidRPr="00140CD0">
        <w:lastRenderedPageBreak/>
        <w:t>≥</w:t>
      </w:r>
      <w:r w:rsidR="00422711" w:rsidRPr="00140CD0">
        <w:t> </w:t>
      </w:r>
      <w:r w:rsidRPr="00140CD0">
        <w:t>90</w:t>
      </w:r>
      <w:r w:rsidR="00422711" w:rsidRPr="00140CD0">
        <w:t> </w:t>
      </w:r>
      <w:r w:rsidRPr="00140CD0">
        <w:t>kg may derive an additional benefit from receiving 300 mg every 2</w:t>
      </w:r>
      <w:r w:rsidR="00422711" w:rsidRPr="00140CD0">
        <w:t> </w:t>
      </w:r>
      <w:r w:rsidRPr="00140CD0">
        <w:t>weeks.</w:t>
      </w:r>
      <w:r w:rsidRPr="00A65602">
        <w:t xml:space="preserve"> Each 300 mg dose is given as two subcutaneous injections of 150 mg.</w:t>
      </w:r>
    </w:p>
    <w:p w14:paraId="4CD926CB" w14:textId="575AD92E" w:rsidR="008E7846" w:rsidRPr="00A65602" w:rsidRDefault="008E7846" w:rsidP="00D212F3">
      <w:pPr>
        <w:pStyle w:val="Heading2"/>
      </w:pPr>
      <w:bookmarkStart w:id="77" w:name="_Toc117510588"/>
      <w:r w:rsidRPr="00A65602">
        <w:t>Outcome</w:t>
      </w:r>
      <w:bookmarkEnd w:id="74"/>
      <w:bookmarkEnd w:id="75"/>
      <w:bookmarkEnd w:id="77"/>
    </w:p>
    <w:p w14:paraId="33B061C8" w14:textId="4E328ABA" w:rsidR="007254C8" w:rsidRDefault="0074163C" w:rsidP="0074163C">
      <w:bookmarkStart w:id="78" w:name="_Toc247691533"/>
      <w:bookmarkStart w:id="79" w:name="_Toc314842517"/>
      <w:r w:rsidRPr="00A65602">
        <w:t xml:space="preserve">Based on a review of quality, </w:t>
      </w:r>
      <w:r w:rsidR="00CC5044" w:rsidRPr="00A65602">
        <w:t>safety,</w:t>
      </w:r>
      <w:r w:rsidRPr="00A65602">
        <w:t xml:space="preserve"> and efficacy, the TGA approved the registration of </w:t>
      </w:r>
      <w:r w:rsidR="00F40D73" w:rsidRPr="00A65602">
        <w:t>Cosentyx</w:t>
      </w:r>
      <w:r w:rsidRPr="00A65602">
        <w:t xml:space="preserve"> (</w:t>
      </w:r>
      <w:r w:rsidR="00F40D73" w:rsidRPr="00A65602">
        <w:t>secukinumab</w:t>
      </w:r>
      <w:r w:rsidRPr="00A65602">
        <w:t xml:space="preserve">) </w:t>
      </w:r>
      <w:r w:rsidR="007254C8" w:rsidRPr="00A65602">
        <w:t>150 mg powder for injection (vials) and 150 mg/mL solution for injection (pre-filled syringe and pens)</w:t>
      </w:r>
      <w:r w:rsidRPr="00A65602">
        <w:t>, for the following change in dose regime:</w:t>
      </w:r>
    </w:p>
    <w:p w14:paraId="5EA3BB08" w14:textId="77777777" w:rsidR="00D20BE2" w:rsidRPr="00D20BE2" w:rsidRDefault="00D20BE2" w:rsidP="00D20BE2">
      <w:pPr>
        <w:ind w:left="720"/>
        <w:rPr>
          <w:b/>
          <w:bCs/>
        </w:rPr>
      </w:pPr>
      <w:r w:rsidRPr="00D20BE2">
        <w:rPr>
          <w:b/>
          <w:bCs/>
        </w:rPr>
        <w:t>Plaque psoriasis</w:t>
      </w:r>
    </w:p>
    <w:p w14:paraId="0400EAD9" w14:textId="69CE7001" w:rsidR="00D20BE2" w:rsidRDefault="00D20BE2" w:rsidP="00D20BE2">
      <w:pPr>
        <w:ind w:left="720"/>
      </w:pPr>
      <w:r w:rsidRPr="00D20BE2">
        <w:t xml:space="preserve">The recommended dose is 300 mg by subcutaneous injection with initial dosing at </w:t>
      </w:r>
      <w:r w:rsidR="00140849" w:rsidRPr="00D20BE2">
        <w:t>Weeks</w:t>
      </w:r>
      <w:r w:rsidR="009F5D6A">
        <w:t> </w:t>
      </w:r>
      <w:r w:rsidR="00140849" w:rsidRPr="00D20BE2">
        <w:t>0</w:t>
      </w:r>
      <w:r w:rsidRPr="00D20BE2">
        <w:t>, 1, 2, 3, and 4 followed by the same dose every month. Some patients ≥</w:t>
      </w:r>
      <w:r w:rsidR="00C138CB">
        <w:t> </w:t>
      </w:r>
      <w:r w:rsidRPr="00D20BE2">
        <w:t>90</w:t>
      </w:r>
      <w:r w:rsidR="00C138CB">
        <w:t> </w:t>
      </w:r>
      <w:r w:rsidRPr="00D20BE2">
        <w:t>kgs may derive an additional benefit from receiving 300 mg every 2</w:t>
      </w:r>
      <w:r w:rsidR="00C138CB">
        <w:t> </w:t>
      </w:r>
      <w:r w:rsidRPr="00D20BE2">
        <w:t>weeks. Each 300 mg dose is given as one subcutaneous injection of 300 mg or as two subcutaneous injections of 150 mg.</w:t>
      </w:r>
    </w:p>
    <w:p w14:paraId="155A1E8B" w14:textId="77777777" w:rsidR="00C138CB" w:rsidRPr="00C138CB" w:rsidRDefault="00C138CB" w:rsidP="00C138CB">
      <w:pPr>
        <w:ind w:left="720"/>
        <w:rPr>
          <w:b/>
          <w:bCs/>
        </w:rPr>
      </w:pPr>
      <w:r w:rsidRPr="00C138CB">
        <w:rPr>
          <w:b/>
          <w:bCs/>
        </w:rPr>
        <w:t>Psoriatic arthritis</w:t>
      </w:r>
    </w:p>
    <w:p w14:paraId="3FDF4368" w14:textId="2FE08343" w:rsidR="00C138CB" w:rsidRDefault="00C138CB" w:rsidP="00C138CB">
      <w:pPr>
        <w:ind w:left="720"/>
      </w:pPr>
      <w:r>
        <w:t>For patients with concomitant moderate to severe plaque psoriasis, please refer to adult plaque psoriasis recommendation.</w:t>
      </w:r>
    </w:p>
    <w:p w14:paraId="7FF7E884" w14:textId="2557F32E" w:rsidR="00C138CB" w:rsidRPr="00D20BE2" w:rsidRDefault="00C138CB" w:rsidP="00C138CB">
      <w:pPr>
        <w:ind w:left="720"/>
      </w:pPr>
      <w:r>
        <w:t>For patients who are anti‐TNF‐alpha inadequate responders (IR), the recommended dose is 300 mg by subcutaneous injection with initial dosing at Weeks 0, 1, 2, 3, and 4 followed by the same dose every month. Each 300 mg dose is given as one subcutaneous injection of 300 mg or as two subcutaneous injections of 150 mg.</w:t>
      </w:r>
    </w:p>
    <w:p w14:paraId="620FC72C" w14:textId="77777777" w:rsidR="00D23139" w:rsidRPr="00A65602" w:rsidRDefault="00D23139" w:rsidP="00D212F3">
      <w:pPr>
        <w:pStyle w:val="Heading3"/>
      </w:pPr>
      <w:bookmarkStart w:id="80" w:name="_Toc117510589"/>
      <w:r w:rsidRPr="00A65602">
        <w:t>Specific conditions of registration applying to these goods</w:t>
      </w:r>
      <w:bookmarkEnd w:id="80"/>
    </w:p>
    <w:p w14:paraId="4369F3FF" w14:textId="4E731C49" w:rsidR="0074163C" w:rsidRPr="00A65602" w:rsidRDefault="003D66F1" w:rsidP="003D66F1">
      <w:pPr>
        <w:pStyle w:val="ListBullet"/>
      </w:pPr>
      <w:r w:rsidRPr="00A65602">
        <w:t>For all injectable products the Product Information must be included with the product as a package insert.</w:t>
      </w:r>
    </w:p>
    <w:p w14:paraId="0377E777" w14:textId="1258A0A2" w:rsidR="008E7846" w:rsidRPr="00A65602" w:rsidRDefault="00A80B5B" w:rsidP="00D23139">
      <w:pPr>
        <w:pStyle w:val="Heading2"/>
      </w:pPr>
      <w:bookmarkStart w:id="81" w:name="_Toc117510590"/>
      <w:r w:rsidRPr="00A65602">
        <w:t xml:space="preserve">Attachment 1. </w:t>
      </w:r>
      <w:r w:rsidR="008E7846" w:rsidRPr="00A65602">
        <w:t xml:space="preserve">Product </w:t>
      </w:r>
      <w:r w:rsidR="00AA0ED0" w:rsidRPr="00A65602">
        <w:t>I</w:t>
      </w:r>
      <w:r w:rsidR="008E7846" w:rsidRPr="00A65602">
        <w:t>nformation</w:t>
      </w:r>
      <w:bookmarkEnd w:id="78"/>
      <w:bookmarkEnd w:id="79"/>
      <w:bookmarkEnd w:id="81"/>
    </w:p>
    <w:p w14:paraId="29F777C1" w14:textId="017BD91A" w:rsidR="00523A21" w:rsidRPr="00A65602" w:rsidRDefault="006136D7" w:rsidP="00C80137">
      <w:r w:rsidRPr="00A65602">
        <w:t xml:space="preserve">The PI for </w:t>
      </w:r>
      <w:r w:rsidR="00F40D73" w:rsidRPr="00A65602">
        <w:t xml:space="preserve">Cosentyx </w:t>
      </w:r>
      <w:r w:rsidRPr="00A65602">
        <w:t>approved with the submission which is described in this AusPAR is at Attachment 1.</w:t>
      </w:r>
      <w:r w:rsidR="00CC5044" w:rsidRPr="00A65602">
        <w:t xml:space="preserve"> </w:t>
      </w:r>
      <w:r w:rsidR="0074163C" w:rsidRPr="00A65602">
        <w:t xml:space="preserve">For the most recent PI, please refer to the TGA </w:t>
      </w:r>
      <w:hyperlink r:id="rId39" w:history="1">
        <w:r w:rsidR="0074163C" w:rsidRPr="00A65602">
          <w:rPr>
            <w:rStyle w:val="Hyperlink"/>
          </w:rPr>
          <w:t>PI/CMI search facility</w:t>
        </w:r>
        <w:r w:rsidR="0074163C" w:rsidRPr="00A65602">
          <w:rPr>
            <w:rStyle w:val="Hyperlink"/>
            <w:color w:val="auto"/>
            <w:u w:val="none"/>
          </w:rPr>
          <w:t>.</w:t>
        </w:r>
      </w:hyperlink>
    </w:p>
    <w:p w14:paraId="0ADD1BB0" w14:textId="0FE948E2" w:rsidR="00744121" w:rsidRPr="00A65602" w:rsidRDefault="00744121" w:rsidP="00744121"/>
    <w:p w14:paraId="5F7BEC27" w14:textId="77777777" w:rsidR="00C80137" w:rsidRPr="00A65602" w:rsidRDefault="00C80137" w:rsidP="003A7F6C">
      <w:pPr>
        <w:pStyle w:val="TableTitle"/>
        <w:sectPr w:rsidR="00C80137" w:rsidRPr="00A65602" w:rsidSect="00B452CE">
          <w:headerReference w:type="even" r:id="rId40"/>
          <w:headerReference w:type="default" r:id="rId41"/>
          <w:headerReference w:type="first" r:id="rId42"/>
          <w:footerReference w:type="first" r:id="rId43"/>
          <w:pgSz w:w="11906" w:h="16838" w:code="9"/>
          <w:pgMar w:top="834" w:right="1701" w:bottom="1191" w:left="1701" w:header="907" w:footer="216" w:gutter="0"/>
          <w:cols w:space="708"/>
          <w:docGrid w:linePitch="360"/>
        </w:sectPr>
      </w:pPr>
    </w:p>
    <w:tbl>
      <w:tblPr>
        <w:tblW w:w="9175" w:type="dxa"/>
        <w:tblInd w:w="-284" w:type="dxa"/>
        <w:tblLayout w:type="fixed"/>
        <w:tblCellMar>
          <w:left w:w="0" w:type="dxa"/>
          <w:right w:w="0" w:type="dxa"/>
        </w:tblCellMar>
        <w:tblLook w:val="04A0" w:firstRow="1" w:lastRow="0" w:firstColumn="1" w:lastColumn="0" w:noHBand="0" w:noVBand="1"/>
      </w:tblPr>
      <w:tblGrid>
        <w:gridCol w:w="9175"/>
      </w:tblGrid>
      <w:tr w:rsidR="001C32CD" w:rsidRPr="00A65602" w14:paraId="431959E3" w14:textId="77777777" w:rsidTr="00A05FA4">
        <w:trPr>
          <w:trHeight w:hRule="exact" w:val="704"/>
        </w:trPr>
        <w:tc>
          <w:tcPr>
            <w:tcW w:w="9175" w:type="dxa"/>
          </w:tcPr>
          <w:p w14:paraId="301F7D5E" w14:textId="77777777" w:rsidR="001C32CD" w:rsidRPr="00A65602" w:rsidRDefault="001C32CD" w:rsidP="00A05FA4">
            <w:pPr>
              <w:pStyle w:val="TGASignoff"/>
            </w:pPr>
            <w:r w:rsidRPr="00A65602">
              <w:lastRenderedPageBreak/>
              <w:t>Therapeutic Goods Administration</w:t>
            </w:r>
          </w:p>
        </w:tc>
      </w:tr>
      <w:tr w:rsidR="001C32CD" w:rsidRPr="004C239D" w14:paraId="407DD8AD" w14:textId="77777777" w:rsidTr="00A05FA4">
        <w:trPr>
          <w:trHeight w:val="1221"/>
        </w:trPr>
        <w:tc>
          <w:tcPr>
            <w:tcW w:w="9175" w:type="dxa"/>
            <w:tcMar>
              <w:top w:w="28" w:type="dxa"/>
            </w:tcMar>
          </w:tcPr>
          <w:p w14:paraId="3E9A3208" w14:textId="77777777" w:rsidR="001C32CD" w:rsidRPr="00A65602" w:rsidRDefault="001C32CD" w:rsidP="00A05FA4">
            <w:pPr>
              <w:pStyle w:val="Address"/>
            </w:pPr>
            <w:r w:rsidRPr="00A65602">
              <w:t>PO Box 100 Woden ACT 2606 Australia</w:t>
            </w:r>
          </w:p>
          <w:p w14:paraId="3C7E2B35" w14:textId="074469F4" w:rsidR="001C32CD" w:rsidRPr="00A65602" w:rsidRDefault="001C32CD" w:rsidP="00A05FA4">
            <w:pPr>
              <w:pStyle w:val="Address"/>
            </w:pPr>
            <w:r w:rsidRPr="00A65602">
              <w:t xml:space="preserve">Email: </w:t>
            </w:r>
            <w:hyperlink r:id="rId44" w:history="1">
              <w:r w:rsidRPr="00A65602">
                <w:rPr>
                  <w:rStyle w:val="Hyperlink"/>
                </w:rPr>
                <w:t>info@tga.gov.au</w:t>
              </w:r>
            </w:hyperlink>
            <w:r w:rsidRPr="00A65602">
              <w:t xml:space="preserve">  Phone: 1800 020 </w:t>
            </w:r>
            <w:proofErr w:type="gramStart"/>
            <w:r w:rsidRPr="00A65602">
              <w:t>653  Fax</w:t>
            </w:r>
            <w:proofErr w:type="gramEnd"/>
            <w:r w:rsidRPr="00A65602">
              <w:t>: 02 6232 8605</w:t>
            </w:r>
          </w:p>
          <w:p w14:paraId="4F4C62F9" w14:textId="66A16F42" w:rsidR="001C32CD" w:rsidRPr="004C239D" w:rsidRDefault="00A4590A" w:rsidP="00A05FA4">
            <w:pPr>
              <w:pStyle w:val="Address"/>
              <w:spacing w:line="260" w:lineRule="atLeast"/>
              <w:rPr>
                <w:b/>
                <w:color w:val="0000FF"/>
                <w:u w:val="single"/>
              </w:rPr>
            </w:pPr>
            <w:hyperlink r:id="rId45" w:history="1">
              <w:r w:rsidR="007C6B9B" w:rsidRPr="00A65602">
                <w:rPr>
                  <w:rStyle w:val="Hyperlink"/>
                  <w:b/>
                </w:rPr>
                <w:t>https://www.tga.gov.au</w:t>
              </w:r>
            </w:hyperlink>
          </w:p>
        </w:tc>
      </w:tr>
    </w:tbl>
    <w:p w14:paraId="36EE461B" w14:textId="77777777" w:rsidR="00774E1D" w:rsidRPr="008A5E0B" w:rsidRDefault="00774E1D" w:rsidP="004C239D"/>
    <w:sectPr w:rsidR="00774E1D" w:rsidRPr="008A5E0B" w:rsidSect="001C32CD">
      <w:headerReference w:type="even" r:id="rId46"/>
      <w:headerReference w:type="default" r:id="rId47"/>
      <w:footerReference w:type="default" r:id="rId48"/>
      <w:headerReference w:type="first" r:id="rId49"/>
      <w:footerReference w:type="first" r:id="rId50"/>
      <w:pgSz w:w="11906" w:h="16838" w:code="9"/>
      <w:pgMar w:top="13467" w:right="1701" w:bottom="426" w:left="1701" w:header="907" w:footer="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9211DAD" w14:textId="77777777" w:rsidR="000B5BBF" w:rsidRDefault="000B5BBF" w:rsidP="00C40A36">
      <w:pPr>
        <w:spacing w:after="0"/>
      </w:pPr>
      <w:r>
        <w:separator/>
      </w:r>
    </w:p>
  </w:endnote>
  <w:endnote w:type="continuationSeparator" w:id="0">
    <w:p w14:paraId="6FE3813A" w14:textId="77777777" w:rsidR="000B5BBF" w:rsidRDefault="000B5BBF" w:rsidP="00C40A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Helv">
    <w:panose1 w:val="020B0604020202030204"/>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Wingdings 3">
    <w:panose1 w:val="05040102010807070707"/>
    <w:charset w:val="02"/>
    <w:family w:val="roman"/>
    <w:pitch w:val="variable"/>
    <w:sig w:usb0="00000000" w:usb1="10000000" w:usb2="00000000" w:usb3="00000000" w:csb0="80000000" w:csb1="00000000"/>
  </w:font>
  <w:font w:name="MingLiU">
    <w:altName w:val="細明體"/>
    <w:panose1 w:val="02010609000101010101"/>
    <w:charset w:val="88"/>
    <w:family w:val="modern"/>
    <w:pitch w:val="fixed"/>
    <w:sig w:usb0="A00002FF" w:usb1="28CFFCFA" w:usb2="00000016" w:usb3="00000000" w:csb0="001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Borders>
        <w:top w:val="single" w:sz="4" w:space="0" w:color="auto"/>
      </w:tblBorders>
      <w:tblLayout w:type="fixed"/>
      <w:tblCellMar>
        <w:top w:w="170" w:type="dxa"/>
        <w:left w:w="0" w:type="dxa"/>
        <w:bottom w:w="227" w:type="dxa"/>
        <w:right w:w="0" w:type="dxa"/>
      </w:tblCellMar>
      <w:tblLook w:val="04A0" w:firstRow="1" w:lastRow="0" w:firstColumn="1" w:lastColumn="0" w:noHBand="0" w:noVBand="1"/>
    </w:tblPr>
    <w:tblGrid>
      <w:gridCol w:w="7371"/>
      <w:gridCol w:w="1490"/>
    </w:tblGrid>
    <w:tr w:rsidR="000B5BBF" w:rsidRPr="00487162" w14:paraId="1FB441F6" w14:textId="77777777" w:rsidTr="00DB750B">
      <w:trPr>
        <w:trHeight w:val="269"/>
      </w:trPr>
      <w:tc>
        <w:tcPr>
          <w:tcW w:w="7371" w:type="dxa"/>
          <w:tcMar>
            <w:top w:w="142" w:type="dxa"/>
            <w:bottom w:w="0" w:type="dxa"/>
          </w:tcMar>
        </w:tcPr>
        <w:p w14:paraId="7931417B" w14:textId="30E47023" w:rsidR="000B5BBF" w:rsidRPr="00487162" w:rsidRDefault="000B5BBF" w:rsidP="00460036">
          <w:pPr>
            <w:pStyle w:val="Footer"/>
          </w:pPr>
          <w:proofErr w:type="spellStart"/>
          <w:r w:rsidRPr="00487162">
            <w:t>AusPA</w:t>
          </w:r>
          <w:r>
            <w:t>R</w:t>
          </w:r>
          <w:proofErr w:type="spellEnd"/>
          <w:r>
            <w:t xml:space="preserve"> - </w:t>
          </w:r>
          <w:r w:rsidRPr="00F40D73">
            <w:t xml:space="preserve">Cosentyx </w:t>
          </w:r>
          <w:r>
            <w:t>-</w:t>
          </w:r>
          <w:r w:rsidRPr="00460036">
            <w:t xml:space="preserve"> </w:t>
          </w:r>
          <w:proofErr w:type="spellStart"/>
          <w:r w:rsidRPr="00F40D73">
            <w:t>secukinumab</w:t>
          </w:r>
          <w:proofErr w:type="spellEnd"/>
          <w:r w:rsidRPr="00F40D73">
            <w:t xml:space="preserve"> </w:t>
          </w:r>
          <w:r>
            <w:t xml:space="preserve">- </w:t>
          </w:r>
          <w:r w:rsidRPr="00F40D73">
            <w:t>Novartis Pharmaceuticals Australia Pty Limited</w:t>
          </w:r>
          <w:r w:rsidR="009A1433">
            <w:br/>
          </w:r>
          <w:r w:rsidRPr="00F40D73">
            <w:t>PM-2021-01700-1-1</w:t>
          </w:r>
          <w:r w:rsidR="009A1433">
            <w:t xml:space="preserve"> </w:t>
          </w:r>
          <w:r w:rsidR="00200AE2">
            <w:t>Final 2</w:t>
          </w:r>
          <w:r w:rsidR="00BF400C">
            <w:t>4</w:t>
          </w:r>
          <w:r w:rsidR="00200AE2">
            <w:t xml:space="preserve"> October </w:t>
          </w:r>
          <w:r>
            <w:t>2022</w:t>
          </w:r>
        </w:p>
      </w:tc>
      <w:tc>
        <w:tcPr>
          <w:tcW w:w="1490" w:type="dxa"/>
          <w:tcMar>
            <w:top w:w="142" w:type="dxa"/>
            <w:bottom w:w="0" w:type="dxa"/>
          </w:tcMar>
        </w:tcPr>
        <w:p w14:paraId="71A9F1F5" w14:textId="46DA4C32" w:rsidR="000B5BBF" w:rsidRPr="00487162" w:rsidRDefault="000B5BBF" w:rsidP="00DB750B">
          <w:pPr>
            <w:pStyle w:val="Footer"/>
            <w:jc w:val="right"/>
          </w:pPr>
          <w:r w:rsidRPr="00487162">
            <w:t xml:space="preserve">Page </w:t>
          </w:r>
          <w:r>
            <w:fldChar w:fldCharType="begin"/>
          </w:r>
          <w:r>
            <w:instrText xml:space="preserve"> PAGE  \* Arabic </w:instrText>
          </w:r>
          <w:r>
            <w:fldChar w:fldCharType="separate"/>
          </w:r>
          <w:r w:rsidR="0091310B">
            <w:rPr>
              <w:noProof/>
            </w:rPr>
            <w:t>8</w:t>
          </w:r>
          <w:r>
            <w:fldChar w:fldCharType="end"/>
          </w:r>
          <w:r w:rsidRPr="00487162">
            <w:t xml:space="preserve"> of </w:t>
          </w:r>
          <w:r w:rsidR="00A4590A">
            <w:fldChar w:fldCharType="begin"/>
          </w:r>
          <w:r w:rsidR="00A4590A">
            <w:instrText xml:space="preserve"> NUMPAGES  \* Arabic </w:instrText>
          </w:r>
          <w:r w:rsidR="00A4590A">
            <w:fldChar w:fldCharType="separate"/>
          </w:r>
          <w:r w:rsidR="0091310B">
            <w:rPr>
              <w:noProof/>
            </w:rPr>
            <w:t>40</w:t>
          </w:r>
          <w:r w:rsidR="00A4590A">
            <w:rPr>
              <w:noProof/>
            </w:rPr>
            <w:fldChar w:fldCharType="end"/>
          </w:r>
        </w:p>
      </w:tc>
    </w:tr>
  </w:tbl>
  <w:p w14:paraId="61533AE1" w14:textId="77777777" w:rsidR="000B5BBF" w:rsidRDefault="000B5BBF" w:rsidP="003D1E62">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61" w:type="dxa"/>
      <w:tblLayout w:type="fixed"/>
      <w:tblCellMar>
        <w:top w:w="170" w:type="dxa"/>
        <w:left w:w="0" w:type="dxa"/>
        <w:bottom w:w="227" w:type="dxa"/>
        <w:right w:w="0" w:type="dxa"/>
      </w:tblCellMar>
      <w:tblLook w:val="04A0" w:firstRow="1" w:lastRow="0" w:firstColumn="1" w:lastColumn="0" w:noHBand="0" w:noVBand="1"/>
    </w:tblPr>
    <w:tblGrid>
      <w:gridCol w:w="4519"/>
      <w:gridCol w:w="4342"/>
    </w:tblGrid>
    <w:tr w:rsidR="000B5BBF" w:rsidRPr="00487162" w14:paraId="6B3CC0FA" w14:textId="77777777" w:rsidTr="00E45619">
      <w:trPr>
        <w:trHeight w:val="269"/>
      </w:trPr>
      <w:tc>
        <w:tcPr>
          <w:tcW w:w="4519" w:type="dxa"/>
          <w:tcBorders>
            <w:top w:val="single" w:sz="4" w:space="0" w:color="auto"/>
          </w:tcBorders>
          <w:tcMar>
            <w:top w:w="142" w:type="dxa"/>
            <w:bottom w:w="0" w:type="dxa"/>
          </w:tcMar>
        </w:tcPr>
        <w:p w14:paraId="683A4C83" w14:textId="77777777" w:rsidR="000B5BBF" w:rsidRPr="00487162" w:rsidRDefault="000B5BBF" w:rsidP="00FE1DEE">
          <w:pPr>
            <w:pStyle w:val="Footer"/>
          </w:pPr>
          <w:r w:rsidRPr="00487162">
            <w:t>Document title, Part #, Section # - Section title</w:t>
          </w:r>
        </w:p>
        <w:p w14:paraId="1F96281A" w14:textId="77777777" w:rsidR="000B5BBF" w:rsidRPr="00487162" w:rsidRDefault="000B5BBF" w:rsidP="00FE1DEE">
          <w:pPr>
            <w:pStyle w:val="Footer"/>
          </w:pPr>
          <w:r w:rsidRPr="00487162">
            <w:t>V1.0 October 2010</w:t>
          </w:r>
        </w:p>
      </w:tc>
      <w:tc>
        <w:tcPr>
          <w:tcW w:w="4342" w:type="dxa"/>
          <w:tcBorders>
            <w:top w:val="single" w:sz="4" w:space="0" w:color="auto"/>
          </w:tcBorders>
          <w:tcMar>
            <w:top w:w="142" w:type="dxa"/>
            <w:bottom w:w="0" w:type="dxa"/>
          </w:tcMar>
        </w:tcPr>
        <w:p w14:paraId="5E8D3BD2" w14:textId="77777777" w:rsidR="000B5BBF" w:rsidRPr="00487162" w:rsidRDefault="000B5BBF" w:rsidP="00E45619">
          <w:pPr>
            <w:pStyle w:val="Footer"/>
            <w:jc w:val="right"/>
          </w:pPr>
          <w:r w:rsidRPr="00487162">
            <w:t xml:space="preserve">Page </w:t>
          </w:r>
          <w:r>
            <w:fldChar w:fldCharType="begin"/>
          </w:r>
          <w:r>
            <w:instrText xml:space="preserve"> PAGE   \* MERGEFORMAT </w:instrText>
          </w:r>
          <w:r>
            <w:fldChar w:fldCharType="separate"/>
          </w:r>
          <w:r w:rsidRPr="00487162">
            <w:rPr>
              <w:noProof/>
            </w:rPr>
            <w:t>3</w:t>
          </w:r>
          <w:r>
            <w:rPr>
              <w:noProof/>
            </w:rPr>
            <w:fldChar w:fldCharType="end"/>
          </w:r>
          <w:r w:rsidRPr="00487162">
            <w:t xml:space="preserve"> of </w:t>
          </w:r>
          <w:r w:rsidR="00A4590A">
            <w:fldChar w:fldCharType="begin"/>
          </w:r>
          <w:r w:rsidR="00A4590A">
            <w:instrText xml:space="preserve"> NUMPAGES  </w:instrText>
          </w:r>
          <w:r w:rsidR="00A4590A">
            <w:fldChar w:fldCharType="separate"/>
          </w:r>
          <w:r>
            <w:rPr>
              <w:noProof/>
            </w:rPr>
            <w:t>21</w:t>
          </w:r>
          <w:r w:rsidR="00A4590A">
            <w:rPr>
              <w:noProof/>
            </w:rPr>
            <w:fldChar w:fldCharType="end"/>
          </w:r>
        </w:p>
      </w:tc>
    </w:tr>
  </w:tbl>
  <w:p w14:paraId="14C420EC" w14:textId="77777777" w:rsidR="000B5BBF" w:rsidRDefault="000B5BB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E5DA45" w14:textId="77777777" w:rsidR="000B5BBF" w:rsidRPr="001C32CD" w:rsidRDefault="000B5BBF" w:rsidP="001C32CD">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8875" w:type="dxa"/>
      <w:tblLayout w:type="fixed"/>
      <w:tblCellMar>
        <w:top w:w="170" w:type="dxa"/>
        <w:left w:w="0" w:type="dxa"/>
        <w:bottom w:w="227" w:type="dxa"/>
        <w:right w:w="0" w:type="dxa"/>
      </w:tblCellMar>
      <w:tblLook w:val="04A0" w:firstRow="1" w:lastRow="0" w:firstColumn="1" w:lastColumn="0" w:noHBand="0" w:noVBand="1"/>
    </w:tblPr>
    <w:tblGrid>
      <w:gridCol w:w="4519"/>
      <w:gridCol w:w="4356"/>
    </w:tblGrid>
    <w:tr w:rsidR="000B5BBF" w14:paraId="4C582BD6" w14:textId="77777777" w:rsidTr="0010601F">
      <w:trPr>
        <w:trHeight w:val="108"/>
      </w:trPr>
      <w:tc>
        <w:tcPr>
          <w:tcW w:w="8875" w:type="dxa"/>
          <w:gridSpan w:val="2"/>
          <w:tcBorders>
            <w:bottom w:val="single" w:sz="4" w:space="0" w:color="auto"/>
          </w:tcBorders>
          <w:tcMar>
            <w:right w:w="284" w:type="dxa"/>
          </w:tcMar>
        </w:tcPr>
        <w:p w14:paraId="6F5564C5" w14:textId="77777777" w:rsidR="000B5BBF" w:rsidRDefault="000B5BBF" w:rsidP="006E08B3">
          <w:pPr>
            <w:pStyle w:val="Heading3"/>
          </w:pPr>
          <w:r>
            <w:t>Copyright</w:t>
          </w:r>
        </w:p>
        <w:p w14:paraId="3A07DAE5" w14:textId="77777777" w:rsidR="000B5BBF" w:rsidRDefault="000B5BBF" w:rsidP="006E08B3">
          <w:r>
            <w:rPr>
              <w:rFonts w:cs="Arial"/>
            </w:rPr>
            <w:t>©</w:t>
          </w:r>
          <w:r>
            <w:t xml:space="preserve"> Commonwealth of Australia [add year]</w:t>
          </w:r>
        </w:p>
        <w:p w14:paraId="5A654A72" w14:textId="77777777" w:rsidR="000B5BBF" w:rsidRDefault="000B5BBF" w:rsidP="006E08B3"/>
        <w:p w14:paraId="7AE5EDA6" w14:textId="77777777" w:rsidR="000B5BBF" w:rsidRDefault="000B5BBF" w:rsidP="006E08B3">
          <w:r>
            <w:t xml:space="preserve">This work is copyright. Apart from any use as permitted under the Copyright Act 1968, no part may be reproduced by any process without prior written permission from the Commonwealth Copyright Administration, Attorney General’s Department, National Circuit, Barton ACT 2600 or posted </w:t>
          </w:r>
          <w:proofErr w:type="gramStart"/>
          <w:r>
            <w:t xml:space="preserve">at  </w:t>
          </w:r>
          <w:r w:rsidRPr="006E08B3">
            <w:t>http://www.ag.gov.au/cca</w:t>
          </w:r>
          <w:proofErr w:type="gramEnd"/>
        </w:p>
        <w:p w14:paraId="61DAEB45" w14:textId="77777777" w:rsidR="000B5BBF" w:rsidRDefault="000B5BBF" w:rsidP="006E08B3"/>
        <w:p w14:paraId="26809A8C" w14:textId="77777777" w:rsidR="000B5BBF" w:rsidRDefault="000B5BBF" w:rsidP="006E08B3">
          <w:pPr>
            <w:pStyle w:val="Heading3"/>
          </w:pPr>
          <w:r>
            <w:t>Confidentiality</w:t>
          </w:r>
        </w:p>
        <w:p w14:paraId="2EB5B697" w14:textId="77777777" w:rsidR="000B5BBF" w:rsidRDefault="000B5BBF" w:rsidP="006E08B3">
          <w:r>
            <w:t>All submissions received will be placed on the TGA’s Internet site, unless marked confidential. Any confidential material contained within your submission should be provided under a separate cover and clearly marked “IN CONFIDENCE”. Reasons for a claim to confidentiality must be included in the space provided on the TGA submission coversheet.</w:t>
          </w:r>
        </w:p>
        <w:p w14:paraId="0C2A8E82" w14:textId="77777777" w:rsidR="000B5BBF" w:rsidRDefault="000B5BBF" w:rsidP="006E08B3"/>
        <w:p w14:paraId="57A9C7EC" w14:textId="77777777" w:rsidR="000B5BBF" w:rsidRDefault="000B5BBF" w:rsidP="006E08B3">
          <w:r>
            <w:t>For submission made by individuals, all personal details, other than your name, will be removed from your submission before it is published on the TGA’s Internet site.</w:t>
          </w:r>
        </w:p>
        <w:p w14:paraId="27679981" w14:textId="77777777" w:rsidR="000B5BBF" w:rsidRDefault="000B5BBF" w:rsidP="006E08B3"/>
        <w:p w14:paraId="4C78AB80" w14:textId="77777777" w:rsidR="000B5BBF" w:rsidRDefault="000B5BBF" w:rsidP="006E08B3">
          <w:r>
            <w:t>In addition, a list of parties making submissions will be published. If you do not wish to be identified with your submission you must specifically request this in the space provided in the submission coversheet.</w:t>
          </w:r>
        </w:p>
      </w:tc>
    </w:tr>
    <w:tr w:rsidR="000B5BBF" w14:paraId="3835C7BD" w14:textId="77777777" w:rsidTr="0010601F">
      <w:trPr>
        <w:trHeight w:val="417"/>
      </w:trPr>
      <w:tc>
        <w:tcPr>
          <w:tcW w:w="4519" w:type="dxa"/>
          <w:tcBorders>
            <w:top w:val="single" w:sz="4" w:space="0" w:color="auto"/>
          </w:tcBorders>
          <w:tcMar>
            <w:top w:w="142" w:type="dxa"/>
            <w:bottom w:w="0" w:type="dxa"/>
          </w:tcMar>
        </w:tcPr>
        <w:p w14:paraId="6D967E84" w14:textId="77777777" w:rsidR="000B5BBF" w:rsidRDefault="000B5BBF" w:rsidP="006E08B3">
          <w:r>
            <w:t>Document title, Part #, Section # - Section title</w:t>
          </w:r>
        </w:p>
        <w:p w14:paraId="41807C9F" w14:textId="77777777" w:rsidR="000B5BBF" w:rsidRDefault="000B5BBF" w:rsidP="006E08B3">
          <w:r>
            <w:t>V1.0 October 2010</w:t>
          </w:r>
        </w:p>
      </w:tc>
      <w:tc>
        <w:tcPr>
          <w:tcW w:w="4356" w:type="dxa"/>
          <w:tcBorders>
            <w:top w:val="single" w:sz="4" w:space="0" w:color="auto"/>
          </w:tcBorders>
          <w:tcMar>
            <w:top w:w="142" w:type="dxa"/>
            <w:bottom w:w="0" w:type="dxa"/>
          </w:tcMar>
        </w:tcPr>
        <w:p w14:paraId="7939C489" w14:textId="77777777" w:rsidR="000B5BBF" w:rsidRDefault="000B5BBF" w:rsidP="006E08B3">
          <w:pPr>
            <w:jc w:val="right"/>
          </w:pPr>
          <w:r>
            <w:t xml:space="preserve">Page </w:t>
          </w:r>
          <w:r>
            <w:fldChar w:fldCharType="begin"/>
          </w:r>
          <w:r>
            <w:instrText xml:space="preserve"> PAGE   \* MERGEFORMAT </w:instrText>
          </w:r>
          <w:r>
            <w:fldChar w:fldCharType="separate"/>
          </w:r>
          <w:r>
            <w:rPr>
              <w:noProof/>
            </w:rPr>
            <w:t>1</w:t>
          </w:r>
          <w:r>
            <w:rPr>
              <w:noProof/>
            </w:rPr>
            <w:fldChar w:fldCharType="end"/>
          </w:r>
          <w:r>
            <w:t xml:space="preserve"> of </w:t>
          </w:r>
          <w:r w:rsidR="00A4590A">
            <w:fldChar w:fldCharType="begin"/>
          </w:r>
          <w:r w:rsidR="00A4590A">
            <w:instrText xml:space="preserve"> NUMPAGES  \* Arabic </w:instrText>
          </w:r>
          <w:r w:rsidR="00A4590A">
            <w:fldChar w:fldCharType="separate"/>
          </w:r>
          <w:r>
            <w:rPr>
              <w:noProof/>
            </w:rPr>
            <w:t>21</w:t>
          </w:r>
          <w:r w:rsidR="00A4590A">
            <w:rPr>
              <w:noProof/>
            </w:rPr>
            <w:fldChar w:fldCharType="end"/>
          </w:r>
          <w:r>
            <w:t xml:space="preserve">  </w:t>
          </w:r>
        </w:p>
      </w:tc>
    </w:tr>
  </w:tbl>
  <w:p w14:paraId="023C5CD4" w14:textId="77777777" w:rsidR="000B5BBF" w:rsidRDefault="000B5BBF"/>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044ACE" w14:textId="77777777" w:rsidR="000B5BBF" w:rsidRDefault="000B5BBF" w:rsidP="00C40A36">
      <w:pPr>
        <w:spacing w:after="0"/>
      </w:pPr>
      <w:r>
        <w:separator/>
      </w:r>
    </w:p>
  </w:footnote>
  <w:footnote w:type="continuationSeparator" w:id="0">
    <w:p w14:paraId="3B60F91D" w14:textId="77777777" w:rsidR="000B5BBF" w:rsidRDefault="000B5BBF" w:rsidP="00C40A36">
      <w:pPr>
        <w:spacing w:after="0"/>
      </w:pPr>
      <w:r>
        <w:continuationSeparator/>
      </w:r>
    </w:p>
  </w:footnote>
  <w:footnote w:id="1">
    <w:p w14:paraId="3D6BEA2D" w14:textId="7B4BD60C" w:rsidR="000B5BBF" w:rsidRDefault="000B5BBF" w:rsidP="008F2E39">
      <w:pPr>
        <w:pStyle w:val="FootnoteText"/>
      </w:pPr>
      <w:r>
        <w:rPr>
          <w:rStyle w:val="FootnoteReference"/>
        </w:rPr>
        <w:footnoteRef/>
      </w:r>
      <w:r>
        <w:t xml:space="preserve"> </w:t>
      </w:r>
      <w:r w:rsidRPr="00F5213E">
        <w:rPr>
          <w:b/>
          <w:bCs/>
        </w:rPr>
        <w:t>Psoriasis Area and Severity Index (PASI)</w:t>
      </w:r>
      <w:r w:rsidRPr="00F5213E">
        <w:t>: Total PASI scores were calculated by multiplying the area of involvement score, the sum of the severity scores for erythema, induration, and scaling, and a weight factor for that body area (0.1, 0.2, 0.3, and 0.4 for head, upper extremities, trunk, and lower extremities, respectively), and then summing across all 4 body areas. The total range of the PASI score is 0 to 72, where 0 = no psoriasis and 72 = severe disease.</w:t>
      </w:r>
    </w:p>
    <w:p w14:paraId="275F8FE2" w14:textId="3AE1D767" w:rsidR="000B5BBF" w:rsidRDefault="000B5BBF" w:rsidP="008F2E39">
      <w:pPr>
        <w:pStyle w:val="FootnoteText"/>
      </w:pPr>
      <w:r>
        <w:t>The PASI 75 response indicates a 75% or more reduction (improvement) in PASI score from Baseline.</w:t>
      </w:r>
    </w:p>
  </w:footnote>
  <w:footnote w:id="2">
    <w:p w14:paraId="501B8566" w14:textId="1C2631E7" w:rsidR="000B5BBF" w:rsidRPr="00D11317" w:rsidRDefault="000B5BBF" w:rsidP="0016399A">
      <w:pPr>
        <w:pStyle w:val="FootnoteText"/>
      </w:pPr>
      <w:r>
        <w:rPr>
          <w:rStyle w:val="FootnoteReference"/>
        </w:rPr>
        <w:footnoteRef/>
      </w:r>
      <w:r>
        <w:t xml:space="preserve"> </w:t>
      </w:r>
      <w:r w:rsidRPr="008C12AF">
        <w:t>Lee</w:t>
      </w:r>
      <w:r>
        <w:t>,</w:t>
      </w:r>
      <w:r w:rsidRPr="008C12AF">
        <w:t xml:space="preserve"> J</w:t>
      </w:r>
      <w:r>
        <w:t>.</w:t>
      </w:r>
      <w:r w:rsidRPr="008C12AF">
        <w:t>E</w:t>
      </w:r>
      <w:r>
        <w:t xml:space="preserve">. et al. </w:t>
      </w:r>
      <w:r w:rsidRPr="00D11317">
        <w:t>Effect of Body Weight on Risk-Benefit and Dosing Regimen Recommendation of Secukinumab for the Treatment of Moderate to Severe Plaque Psoriasis</w:t>
      </w:r>
      <w:r>
        <w:t xml:space="preserve">, </w:t>
      </w:r>
      <w:r w:rsidRPr="00D11317">
        <w:rPr>
          <w:i/>
          <w:iCs/>
        </w:rPr>
        <w:t xml:space="preserve">Clin </w:t>
      </w:r>
      <w:proofErr w:type="spellStart"/>
      <w:r w:rsidRPr="00D11317">
        <w:rPr>
          <w:i/>
          <w:iCs/>
        </w:rPr>
        <w:t>Pharmacol</w:t>
      </w:r>
      <w:proofErr w:type="spellEnd"/>
      <w:r w:rsidRPr="00D11317">
        <w:rPr>
          <w:i/>
          <w:iCs/>
        </w:rPr>
        <w:t xml:space="preserve"> </w:t>
      </w:r>
      <w:proofErr w:type="spellStart"/>
      <w:r w:rsidRPr="00D11317">
        <w:rPr>
          <w:i/>
          <w:iCs/>
        </w:rPr>
        <w:t>Ther</w:t>
      </w:r>
      <w:proofErr w:type="spellEnd"/>
      <w:r>
        <w:t xml:space="preserve">, </w:t>
      </w:r>
      <w:r w:rsidRPr="00D11317">
        <w:t>2019;</w:t>
      </w:r>
      <w:r>
        <w:t xml:space="preserve"> </w:t>
      </w:r>
      <w:r w:rsidRPr="00D11317">
        <w:t>106(1):</w:t>
      </w:r>
      <w:r>
        <w:t xml:space="preserve"> </w:t>
      </w:r>
      <w:r w:rsidRPr="00D11317">
        <w:t>78-80.</w:t>
      </w:r>
    </w:p>
  </w:footnote>
  <w:footnote w:id="3">
    <w:p w14:paraId="41EB27AC" w14:textId="7BC09D3B" w:rsidR="000B5BBF" w:rsidRPr="00200AE2" w:rsidRDefault="000B5BBF" w:rsidP="0016399A">
      <w:pPr>
        <w:pStyle w:val="FootnoteText"/>
        <w:rPr>
          <w:lang w:val="en-GB"/>
        </w:rPr>
      </w:pPr>
      <w:r>
        <w:rPr>
          <w:rStyle w:val="FootnoteReference"/>
        </w:rPr>
        <w:footnoteRef/>
      </w:r>
      <w:r>
        <w:t xml:space="preserve"> AusPAR for Cosentyx (secukinumab) </w:t>
      </w:r>
      <w:r w:rsidR="00200AE2">
        <w:t>n</w:t>
      </w:r>
      <w:r w:rsidR="00200AE2" w:rsidRPr="00200AE2">
        <w:t>ew chemical entity</w:t>
      </w:r>
      <w:r w:rsidR="00200AE2">
        <w:t>,</w:t>
      </w:r>
      <w:r>
        <w:t xml:space="preserve"> </w:t>
      </w:r>
      <w:r w:rsidR="00200AE2">
        <w:t>published on</w:t>
      </w:r>
      <w:r>
        <w:t xml:space="preserve"> </w:t>
      </w:r>
      <w:r w:rsidR="00200AE2" w:rsidRPr="00200AE2">
        <w:t>26 October 2015</w:t>
      </w:r>
      <w:r w:rsidR="00200AE2">
        <w:t>. A</w:t>
      </w:r>
      <w:r>
        <w:t xml:space="preserve">vailable at: </w:t>
      </w:r>
      <w:hyperlink r:id="rId1" w:history="1">
        <w:r w:rsidRPr="00624599">
          <w:rPr>
            <w:rStyle w:val="Hyperlink"/>
          </w:rPr>
          <w:t>https://www.tga.gov.au/resources/auspar/auspar-secukinumab</w:t>
        </w:r>
      </w:hyperlink>
      <w:r w:rsidR="00200AE2">
        <w:t>.</w:t>
      </w:r>
    </w:p>
  </w:footnote>
  <w:footnote w:id="4">
    <w:p w14:paraId="04245A2B" w14:textId="3A2436D4" w:rsidR="000B5BBF" w:rsidRPr="00200AE2" w:rsidRDefault="000B5BBF" w:rsidP="0016399A">
      <w:pPr>
        <w:pStyle w:val="FootnoteText"/>
        <w:rPr>
          <w:lang w:val="en-GB"/>
        </w:rPr>
      </w:pPr>
      <w:r>
        <w:rPr>
          <w:rStyle w:val="FootnoteReference"/>
        </w:rPr>
        <w:footnoteRef/>
      </w:r>
      <w:r>
        <w:t xml:space="preserve"> AusPAR for Cosentyx (secukinumab) </w:t>
      </w:r>
      <w:r w:rsidR="00200AE2" w:rsidRPr="00200AE2">
        <w:t>extension of indications</w:t>
      </w:r>
      <w:r w:rsidR="00200AE2">
        <w:t xml:space="preserve">, published on </w:t>
      </w:r>
      <w:r w:rsidR="00200AE2" w:rsidRPr="00200AE2">
        <w:t>22 November 2016</w:t>
      </w:r>
      <w:r w:rsidR="00200AE2">
        <w:t>. A</w:t>
      </w:r>
      <w:r>
        <w:t xml:space="preserve">vailable at: </w:t>
      </w:r>
      <w:hyperlink r:id="rId2" w:history="1">
        <w:r w:rsidRPr="00624599">
          <w:rPr>
            <w:rStyle w:val="Hyperlink"/>
          </w:rPr>
          <w:t>https://www.tga.gov.au/resources/auspar/auspar-secukinumab-0</w:t>
        </w:r>
      </w:hyperlink>
      <w:r w:rsidR="00200AE2">
        <w:t>.</w:t>
      </w:r>
    </w:p>
  </w:footnote>
  <w:footnote w:id="5">
    <w:p w14:paraId="08B0E02D" w14:textId="35C7D5D8" w:rsidR="000B5BBF" w:rsidRPr="00200AE2" w:rsidRDefault="000B5BBF" w:rsidP="0016399A">
      <w:pPr>
        <w:pStyle w:val="FootnoteText"/>
        <w:rPr>
          <w:lang w:val="en-GB"/>
        </w:rPr>
      </w:pPr>
      <w:r>
        <w:rPr>
          <w:rStyle w:val="FootnoteReference"/>
        </w:rPr>
        <w:footnoteRef/>
      </w:r>
      <w:r>
        <w:t xml:space="preserve"> AusPAR for Cosentyx (secukinumab) </w:t>
      </w:r>
      <w:r w:rsidR="00200AE2" w:rsidRPr="00200AE2">
        <w:t>extension of indications</w:t>
      </w:r>
      <w:r w:rsidR="00200AE2">
        <w:t>, p</w:t>
      </w:r>
      <w:r>
        <w:t>ublished</w:t>
      </w:r>
      <w:r w:rsidR="00200AE2">
        <w:t xml:space="preserve"> on</w:t>
      </w:r>
      <w:r>
        <w:t xml:space="preserve"> </w:t>
      </w:r>
      <w:r w:rsidR="00200AE2" w:rsidRPr="00200AE2">
        <w:t>3 February 2021</w:t>
      </w:r>
      <w:r w:rsidR="00200AE2">
        <w:t>. A</w:t>
      </w:r>
      <w:r>
        <w:t xml:space="preserve">vailable at: </w:t>
      </w:r>
      <w:hyperlink r:id="rId3" w:history="1">
        <w:r w:rsidRPr="00624599">
          <w:rPr>
            <w:rStyle w:val="Hyperlink"/>
          </w:rPr>
          <w:t>https://www.tga.gov.au/resources/auspar/auspar-secukinumab-1</w:t>
        </w:r>
      </w:hyperlink>
      <w:r w:rsidR="00200AE2">
        <w:t>.</w:t>
      </w:r>
    </w:p>
  </w:footnote>
  <w:footnote w:id="6">
    <w:p w14:paraId="72DA4E7C" w14:textId="1D30DBBF" w:rsidR="000B5BBF" w:rsidRPr="00200AE2" w:rsidRDefault="000B5BBF">
      <w:pPr>
        <w:pStyle w:val="FootnoteText"/>
        <w:rPr>
          <w:lang w:val="en-GB"/>
        </w:rPr>
      </w:pPr>
      <w:r>
        <w:rPr>
          <w:rStyle w:val="FootnoteReference"/>
        </w:rPr>
        <w:footnoteRef/>
      </w:r>
      <w:r>
        <w:t xml:space="preserve"> </w:t>
      </w:r>
      <w:r w:rsidRPr="00200AE2">
        <w:rPr>
          <w:b/>
          <w:lang w:val="en-GB"/>
        </w:rPr>
        <w:t>Psoriasis Area and Severity Index 90 (PASI 90) response</w:t>
      </w:r>
      <w:r>
        <w:rPr>
          <w:lang w:val="en-GB"/>
        </w:rPr>
        <w:t>: a 90% or more reduction (improvement) in PASI score from Baseline.</w:t>
      </w:r>
    </w:p>
  </w:footnote>
  <w:footnote w:id="7">
    <w:p w14:paraId="5697946D" w14:textId="1087C8CA" w:rsidR="000B5BBF" w:rsidRDefault="000B5BBF">
      <w:pPr>
        <w:pStyle w:val="FootnoteText"/>
      </w:pPr>
      <w:r>
        <w:rPr>
          <w:rStyle w:val="FootnoteReference"/>
        </w:rPr>
        <w:footnoteRef/>
      </w:r>
      <w:r>
        <w:t xml:space="preserve"> </w:t>
      </w:r>
      <w:r w:rsidRPr="00AA73B0">
        <w:t xml:space="preserve">The </w:t>
      </w:r>
      <w:r w:rsidRPr="00AA73B0">
        <w:rPr>
          <w:b/>
          <w:bCs/>
        </w:rPr>
        <w:t>Investigator’s Global Assessment (IGA)</w:t>
      </w:r>
      <w:r>
        <w:rPr>
          <w:b/>
          <w:bCs/>
        </w:rPr>
        <w:t xml:space="preserve"> scale</w:t>
      </w:r>
      <w:r w:rsidRPr="00AA73B0">
        <w:t xml:space="preserve"> </w:t>
      </w:r>
      <w:r>
        <w:t xml:space="preserve">(psoriasis) </w:t>
      </w:r>
      <w:r w:rsidRPr="00AA73B0">
        <w:t xml:space="preserve">is a five-point scale that provides a </w:t>
      </w:r>
      <w:r>
        <w:t>point</w:t>
      </w:r>
      <w:r>
        <w:noBreakHyphen/>
        <w:t>in</w:t>
      </w:r>
      <w:r>
        <w:noBreakHyphen/>
        <w:t xml:space="preserve">time </w:t>
      </w:r>
      <w:r w:rsidRPr="00AA73B0">
        <w:t xml:space="preserve">global clinical assessment of </w:t>
      </w:r>
      <w:r>
        <w:t>psoriasis</w:t>
      </w:r>
      <w:r w:rsidRPr="00AA73B0">
        <w:t xml:space="preserve"> severity ranging from 0 to 4, where</w:t>
      </w:r>
      <w:r>
        <w:t>:</w:t>
      </w:r>
    </w:p>
    <w:p w14:paraId="1BCD34B4" w14:textId="12E1A764" w:rsidR="000B5BBF" w:rsidRDefault="000B5BBF" w:rsidP="00CC059B">
      <w:pPr>
        <w:pStyle w:val="FootnoteText"/>
      </w:pPr>
      <w:r>
        <w:t>0 = clear (no signs of psoriasis, some post-inflammatory hyperpigmentation may be present</w:t>
      </w:r>
      <w:proofErr w:type="gramStart"/>
      <w:r>
        <w:t>);</w:t>
      </w:r>
      <w:proofErr w:type="gramEnd"/>
    </w:p>
    <w:p w14:paraId="2A6B98F6" w14:textId="3178A608" w:rsidR="000B5BBF" w:rsidRDefault="000B5BBF" w:rsidP="00CC059B">
      <w:pPr>
        <w:pStyle w:val="FootnoteText"/>
      </w:pPr>
      <w:r>
        <w:t>1 = almost clear (no thickening, normal or pink coloration</w:t>
      </w:r>
      <w:proofErr w:type="gramStart"/>
      <w:r>
        <w:t>);</w:t>
      </w:r>
      <w:proofErr w:type="gramEnd"/>
    </w:p>
    <w:p w14:paraId="7CD7D85A" w14:textId="70BB64CA" w:rsidR="000B5BBF" w:rsidRDefault="000B5BBF" w:rsidP="00CC059B">
      <w:pPr>
        <w:pStyle w:val="FootnoteText"/>
      </w:pPr>
      <w:r>
        <w:t>2 = mild (mild thickening, pink to light red coloration</w:t>
      </w:r>
      <w:proofErr w:type="gramStart"/>
      <w:r>
        <w:t>);</w:t>
      </w:r>
      <w:proofErr w:type="gramEnd"/>
    </w:p>
    <w:p w14:paraId="7F93DD5E" w14:textId="1C9F808C" w:rsidR="000B5BBF" w:rsidRDefault="000B5BBF" w:rsidP="00CC059B">
      <w:pPr>
        <w:pStyle w:val="FootnoteText"/>
      </w:pPr>
      <w:r>
        <w:t>3 = moderate (moderate thickening, dull to bright red</w:t>
      </w:r>
      <w:proofErr w:type="gramStart"/>
      <w:r>
        <w:t>);</w:t>
      </w:r>
      <w:proofErr w:type="gramEnd"/>
    </w:p>
    <w:p w14:paraId="45AE7605" w14:textId="2D7C4C06" w:rsidR="000B5BBF" w:rsidRDefault="000B5BBF" w:rsidP="00CC059B">
      <w:pPr>
        <w:pStyle w:val="FootnoteText"/>
      </w:pPr>
      <w:r>
        <w:t>4 = severe (severe thickening, bright to deep red).</w:t>
      </w:r>
    </w:p>
  </w:footnote>
  <w:footnote w:id="8">
    <w:p w14:paraId="4E478E64" w14:textId="5B5AD4C3" w:rsidR="000B5BBF" w:rsidRPr="00200AE2" w:rsidRDefault="000B5BBF">
      <w:pPr>
        <w:pStyle w:val="FootnoteText"/>
        <w:rPr>
          <w:lang w:val="en-GB"/>
        </w:rPr>
      </w:pPr>
      <w:r>
        <w:rPr>
          <w:rStyle w:val="FootnoteReference"/>
        </w:rPr>
        <w:footnoteRef/>
      </w:r>
      <w:r>
        <w:t xml:space="preserve"> </w:t>
      </w:r>
      <w:r w:rsidRPr="00CC059B">
        <w:t>Langley</w:t>
      </w:r>
      <w:r w:rsidR="00200AE2">
        <w:t>,</w:t>
      </w:r>
      <w:r w:rsidRPr="00CC059B">
        <w:t xml:space="preserve"> R</w:t>
      </w:r>
      <w:r w:rsidR="00200AE2">
        <w:t>.</w:t>
      </w:r>
      <w:r w:rsidRPr="00CC059B">
        <w:t>G</w:t>
      </w:r>
      <w:r w:rsidR="00200AE2">
        <w:t>. et al.</w:t>
      </w:r>
      <w:r w:rsidRPr="00CC059B">
        <w:t xml:space="preserve"> The 5-</w:t>
      </w:r>
      <w:r w:rsidR="00200AE2" w:rsidRPr="00CC059B">
        <w:t xml:space="preserve">Point </w:t>
      </w:r>
      <w:r w:rsidRPr="00CC059B">
        <w:t xml:space="preserve">Investigator’s Global Assessment (IGA) Scale: </w:t>
      </w:r>
      <w:proofErr w:type="gramStart"/>
      <w:r w:rsidRPr="00CC059B">
        <w:t>a</w:t>
      </w:r>
      <w:proofErr w:type="gramEnd"/>
      <w:r w:rsidRPr="00CC059B">
        <w:t xml:space="preserve"> </w:t>
      </w:r>
      <w:r w:rsidR="00200AE2" w:rsidRPr="00CC059B">
        <w:t xml:space="preserve">Modified Tool </w:t>
      </w:r>
      <w:r w:rsidRPr="00CC059B">
        <w:t xml:space="preserve">for </w:t>
      </w:r>
      <w:r w:rsidR="00200AE2" w:rsidRPr="00CC059B">
        <w:t xml:space="preserve">Evaluating Plaque Psoriasis Severity </w:t>
      </w:r>
      <w:r w:rsidRPr="00CC059B">
        <w:t xml:space="preserve">in </w:t>
      </w:r>
      <w:r w:rsidR="00200AE2" w:rsidRPr="00CC059B">
        <w:t>Clinical Trials</w:t>
      </w:r>
      <w:r w:rsidR="00200AE2">
        <w:t>,</w:t>
      </w:r>
      <w:r w:rsidRPr="00CC059B">
        <w:t xml:space="preserve"> </w:t>
      </w:r>
      <w:r w:rsidRPr="00200AE2">
        <w:rPr>
          <w:i/>
        </w:rPr>
        <w:t xml:space="preserve">J </w:t>
      </w:r>
      <w:proofErr w:type="spellStart"/>
      <w:r w:rsidRPr="00200AE2">
        <w:rPr>
          <w:i/>
        </w:rPr>
        <w:t>Dermatolog</w:t>
      </w:r>
      <w:proofErr w:type="spellEnd"/>
      <w:r w:rsidRPr="00200AE2">
        <w:rPr>
          <w:i/>
        </w:rPr>
        <w:t xml:space="preserve"> Treat</w:t>
      </w:r>
      <w:r w:rsidR="00200AE2">
        <w:rPr>
          <w:i/>
        </w:rPr>
        <w:t>,</w:t>
      </w:r>
      <w:r w:rsidRPr="00CC059B">
        <w:t xml:space="preserve"> 2015;</w:t>
      </w:r>
      <w:r w:rsidR="00200AE2">
        <w:t xml:space="preserve"> </w:t>
      </w:r>
      <w:r w:rsidRPr="00CC059B">
        <w:t>26(1):</w:t>
      </w:r>
      <w:r w:rsidR="00200AE2">
        <w:t xml:space="preserve"> </w:t>
      </w:r>
      <w:r w:rsidRPr="00CC059B">
        <w:t>23–31</w:t>
      </w:r>
      <w:r>
        <w:t>.</w:t>
      </w:r>
    </w:p>
  </w:footnote>
  <w:footnote w:id="9">
    <w:p w14:paraId="2715A6B0" w14:textId="4A755627" w:rsidR="000B5BBF" w:rsidRDefault="000B5BBF">
      <w:pPr>
        <w:pStyle w:val="FootnoteText"/>
      </w:pPr>
      <w:r>
        <w:rPr>
          <w:rStyle w:val="FootnoteReference"/>
        </w:rPr>
        <w:footnoteRef/>
      </w:r>
      <w:r>
        <w:t xml:space="preserve"> </w:t>
      </w:r>
      <w:r w:rsidRPr="00605611">
        <w:rPr>
          <w:b/>
          <w:bCs/>
        </w:rPr>
        <w:t>Patient Reported Outcome (PRO)</w:t>
      </w:r>
      <w:r w:rsidRPr="00AA73B0">
        <w:t xml:space="preserve"> provide</w:t>
      </w:r>
      <w:r>
        <w:t>s</w:t>
      </w:r>
      <w:r w:rsidRPr="00AA73B0">
        <w:t xml:space="preserve"> reports from patients about their own health, quality of life, or functional status associated with the health care or treatment they have received</w:t>
      </w:r>
      <w:r>
        <w:t>.</w:t>
      </w:r>
    </w:p>
  </w:footnote>
  <w:footnote w:id="10">
    <w:p w14:paraId="2596538A" w14:textId="1BE1F631" w:rsidR="000B5BBF" w:rsidRDefault="000B5BBF">
      <w:pPr>
        <w:pStyle w:val="FootnoteText"/>
      </w:pPr>
      <w:r>
        <w:rPr>
          <w:rStyle w:val="FootnoteReference"/>
        </w:rPr>
        <w:footnoteRef/>
      </w:r>
      <w:r>
        <w:t xml:space="preserve"> </w:t>
      </w:r>
      <w:r w:rsidRPr="00605611">
        <w:rPr>
          <w:b/>
          <w:bCs/>
        </w:rPr>
        <w:t>Dermatology Life Quality Index (DLQI)</w:t>
      </w:r>
      <w:r>
        <w:t xml:space="preserve"> is a </w:t>
      </w:r>
      <w:r w:rsidRPr="00605611">
        <w:t>questionnaire</w:t>
      </w:r>
      <w:r>
        <w:t xml:space="preserve"> </w:t>
      </w:r>
      <w:r w:rsidRPr="00605611">
        <w:t>designed to measure</w:t>
      </w:r>
      <w:r>
        <w:t xml:space="preserve"> the impact of skin disease on the </w:t>
      </w:r>
      <w:r w:rsidRPr="00605611">
        <w:t>health-related quality of life of adult patients</w:t>
      </w:r>
      <w:r>
        <w:t>.</w:t>
      </w:r>
    </w:p>
  </w:footnote>
  <w:footnote w:id="11">
    <w:p w14:paraId="3212D9D0" w14:textId="617187A0" w:rsidR="000B5BBF" w:rsidRDefault="000B5BBF">
      <w:pPr>
        <w:pStyle w:val="FootnoteText"/>
      </w:pPr>
      <w:r>
        <w:rPr>
          <w:rStyle w:val="FootnoteReference"/>
        </w:rPr>
        <w:footnoteRef/>
      </w:r>
      <w:r>
        <w:t xml:space="preserve"> </w:t>
      </w:r>
      <w:r w:rsidRPr="00F5213E">
        <w:t xml:space="preserve">The </w:t>
      </w:r>
      <w:r w:rsidRPr="00F5213E">
        <w:rPr>
          <w:b/>
          <w:bCs/>
        </w:rPr>
        <w:t>Medical Dictionary for Regulatory Activities (MedDRA)</w:t>
      </w:r>
      <w:r w:rsidRPr="00F5213E">
        <w:t xml:space="preserve"> is a single standardised international medical terminology, developed as a project of the International Council for Harmonisation of Technical Requirements for Pharmaceuticals for Human Use (ICH) which can be used for regulatory communication and evaluation of data pertaining to medicinal products for human use. As a result, MedDRA is designed for use in the registration, </w:t>
      </w:r>
      <w:proofErr w:type="gramStart"/>
      <w:r w:rsidRPr="00F5213E">
        <w:t>documentation</w:t>
      </w:r>
      <w:proofErr w:type="gramEnd"/>
      <w:r w:rsidRPr="00F5213E">
        <w:t xml:space="preserve"> and safety monitoring of medicinal products through all phases of the development cycle (that is, from clinical trials to post-marketing surveillance). Furthermore, MedDRA supports ICH electronic communication within the ICH’s Electronic Common Technical Document (eCTD) and the E2B Individual Case Safety Report.</w:t>
      </w:r>
    </w:p>
  </w:footnote>
  <w:footnote w:id="12">
    <w:p w14:paraId="35AE7A3E" w14:textId="347E0450" w:rsidR="000B5BBF" w:rsidRDefault="000B5BBF">
      <w:pPr>
        <w:pStyle w:val="FootnoteText"/>
      </w:pPr>
      <w:r>
        <w:rPr>
          <w:rStyle w:val="FootnoteReference"/>
        </w:rPr>
        <w:footnoteRef/>
      </w:r>
      <w:r>
        <w:t xml:space="preserve"> </w:t>
      </w:r>
      <w:r w:rsidRPr="00F5213E">
        <w:rPr>
          <w:b/>
          <w:bCs/>
        </w:rPr>
        <w:t>Standardised MedDRA Queries (SMQs)</w:t>
      </w:r>
      <w:r w:rsidRPr="00F5213E">
        <w:t xml:space="preserve"> are groupings of terms from one or more MedDRA System Organ Classes (SOCs) that relate to a defined medical condition or area of interest. They are intended to aid in case identification.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741F8FB" w14:textId="77777777" w:rsidR="000B5BBF" w:rsidRDefault="000B5BBF" w:rsidP="00E45619">
    <w:pPr>
      <w:pStyle w:val="Header"/>
    </w:pPr>
    <w:r>
      <w:t>Therapeutic Goods Administration</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8FFFC72" w14:textId="77777777" w:rsidR="000B5BBF" w:rsidRDefault="000B5BBF">
    <w:pPr>
      <w:rPr>
        <w:noProof/>
        <w:lang w:eastAsia="en-AU"/>
      </w:rPr>
    </w:pPr>
    <w:r w:rsidRPr="00347824">
      <w:rPr>
        <w:noProof/>
        <w:lang w:val="en-GB" w:eastAsia="en-GB"/>
      </w:rPr>
      <w:drawing>
        <wp:anchor distT="0" distB="0" distL="114300" distR="114300" simplePos="0" relativeHeight="251659264" behindDoc="1" locked="0" layoutInCell="1" allowOverlap="1" wp14:anchorId="07181FEC" wp14:editId="438D5722">
          <wp:simplePos x="0" y="0"/>
          <wp:positionH relativeFrom="column">
            <wp:posOffset>-1089660</wp:posOffset>
          </wp:positionH>
          <wp:positionV relativeFrom="paragraph">
            <wp:posOffset>-585470</wp:posOffset>
          </wp:positionV>
          <wp:extent cx="7572375" cy="10706100"/>
          <wp:effectExtent l="19050" t="0" r="0" b="0"/>
          <wp:wrapNone/>
          <wp:docPr id="16" name="Picture 0" descr="Therapeutic Goods Administr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SPAR-BG-HQ03.gif"/>
                  <pic:cNvPicPr/>
                </pic:nvPicPr>
                <pic:blipFill>
                  <a:blip r:embed="rId1"/>
                  <a:stretch>
                    <a:fillRect/>
                  </a:stretch>
                </pic:blipFill>
                <pic:spPr>
                  <a:xfrm>
                    <a:off x="0" y="0"/>
                    <a:ext cx="7568736" cy="107061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849D37" w14:textId="77777777" w:rsidR="000B5BBF" w:rsidRDefault="000B5BBF">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9450A16" w14:textId="77777777" w:rsidR="000B5BBF" w:rsidRDefault="000B5BBF">
    <w:pPr>
      <w:pStyle w:val="Header"/>
    </w:pPr>
    <w:r>
      <w:t>Therapeutic Goods Administration</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16B9F81" w14:textId="77777777" w:rsidR="000B5BBF" w:rsidRDefault="000B5BBF">
    <w:pPr>
      <w:pStyle w:val="Header"/>
    </w:pPr>
    <w:r>
      <w:t>Therapeutic Goods Administration</w: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D928D8" w14:textId="77777777" w:rsidR="000B5BBF" w:rsidRDefault="000B5BBF">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1076BE" w14:textId="77777777" w:rsidR="000B5BBF" w:rsidRDefault="000B5BBF" w:rsidP="004C239D">
    <w:pPr>
      <w:pStyle w:val="HeaderNoLin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E7A0D6" w14:textId="77777777" w:rsidR="000B5BBF" w:rsidRDefault="000B5BBF" w:rsidP="006E08B3">
    <w:r>
      <w:t>Therapeutic Goods Administration</w:t>
    </w:r>
  </w:p>
  <w:p w14:paraId="7812225B" w14:textId="77777777" w:rsidR="000B5BBF" w:rsidRDefault="000B5BBF" w:rsidP="006D03E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406830BE"/>
    <w:lvl w:ilvl="0">
      <w:start w:val="1"/>
      <w:numFmt w:val="bullet"/>
      <w:lvlText w:val=""/>
      <w:lvlJc w:val="left"/>
      <w:pPr>
        <w:tabs>
          <w:tab w:val="num" w:pos="926"/>
        </w:tabs>
        <w:ind w:left="926" w:hanging="360"/>
      </w:pPr>
      <w:rPr>
        <w:rFonts w:ascii="Symbol" w:hAnsi="Symbol" w:hint="default"/>
      </w:rPr>
    </w:lvl>
  </w:abstractNum>
  <w:abstractNum w:abstractNumId="1" w15:restartNumberingAfterBreak="0">
    <w:nsid w:val="FFFFFF83"/>
    <w:multiLevelType w:val="singleLevel"/>
    <w:tmpl w:val="10FC0206"/>
    <w:lvl w:ilvl="0">
      <w:start w:val="1"/>
      <w:numFmt w:val="bullet"/>
      <w:lvlText w:val="–"/>
      <w:lvlJc w:val="left"/>
      <w:pPr>
        <w:ind w:left="643" w:hanging="360"/>
      </w:pPr>
      <w:rPr>
        <w:rFonts w:ascii="Arial" w:hAnsi="Arial" w:hint="default"/>
      </w:rPr>
    </w:lvl>
  </w:abstractNum>
  <w:abstractNum w:abstractNumId="2" w15:restartNumberingAfterBreak="0">
    <w:nsid w:val="FFFFFF89"/>
    <w:multiLevelType w:val="singleLevel"/>
    <w:tmpl w:val="F4085A32"/>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FFFFFFFE"/>
    <w:multiLevelType w:val="singleLevel"/>
    <w:tmpl w:val="B8320B0A"/>
    <w:lvl w:ilvl="0">
      <w:numFmt w:val="bullet"/>
      <w:lvlText w:val="*"/>
      <w:lvlJc w:val="left"/>
    </w:lvl>
  </w:abstractNum>
  <w:abstractNum w:abstractNumId="4" w15:restartNumberingAfterBreak="0">
    <w:nsid w:val="05A0794F"/>
    <w:multiLevelType w:val="hybridMultilevel"/>
    <w:tmpl w:val="265052DA"/>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5" w15:restartNumberingAfterBreak="0">
    <w:nsid w:val="080017AB"/>
    <w:multiLevelType w:val="hybridMultilevel"/>
    <w:tmpl w:val="7FB83D2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10053F11"/>
    <w:multiLevelType w:val="multilevel"/>
    <w:tmpl w:val="575CEDBE"/>
    <w:styleLink w:val="NumberBullet"/>
    <w:lvl w:ilvl="0">
      <w:start w:val="1"/>
      <w:numFmt w:val="decimal"/>
      <w:pStyle w:val="Numberbullet0"/>
      <w:lvlText w:val="%1."/>
      <w:lvlJc w:val="left"/>
      <w:pPr>
        <w:ind w:left="425" w:hanging="425"/>
      </w:pPr>
      <w:rPr>
        <w:rFonts w:ascii="Cambria" w:hAnsi="Cambria" w:hint="default"/>
      </w:rPr>
    </w:lvl>
    <w:lvl w:ilvl="1">
      <w:start w:val="1"/>
      <w:numFmt w:val="lowerLetter"/>
      <w:pStyle w:val="Numberbullet2"/>
      <w:lvlText w:val="%2."/>
      <w:lvlJc w:val="left"/>
      <w:pPr>
        <w:ind w:left="851" w:hanging="426"/>
      </w:pPr>
      <w:rPr>
        <w:rFonts w:hint="default"/>
      </w:rPr>
    </w:lvl>
    <w:lvl w:ilvl="2">
      <w:start w:val="1"/>
      <w:numFmt w:val="lowerRoman"/>
      <w:pStyle w:val="Numberbullet3"/>
      <w:lvlText w:val="%3."/>
      <w:lvlJc w:val="left"/>
      <w:pPr>
        <w:ind w:left="1276" w:hanging="425"/>
      </w:pPr>
      <w:rPr>
        <w:rFonts w:hint="default"/>
      </w:rPr>
    </w:lvl>
    <w:lvl w:ilvl="3">
      <w:start w:val="1"/>
      <w:numFmt w:val="none"/>
      <w:lvlText w:val=""/>
      <w:lvlJc w:val="left"/>
      <w:pPr>
        <w:ind w:left="1276" w:hanging="425"/>
      </w:pPr>
      <w:rPr>
        <w:rFonts w:hint="default"/>
      </w:rPr>
    </w:lvl>
    <w:lvl w:ilvl="4">
      <w:start w:val="1"/>
      <w:numFmt w:val="none"/>
      <w:lvlText w:val=""/>
      <w:lvlJc w:val="left"/>
      <w:pPr>
        <w:ind w:left="1276" w:hanging="425"/>
      </w:pPr>
      <w:rPr>
        <w:rFonts w:hint="default"/>
      </w:rPr>
    </w:lvl>
    <w:lvl w:ilvl="5">
      <w:start w:val="1"/>
      <w:numFmt w:val="none"/>
      <w:lvlText w:val=""/>
      <w:lvlJc w:val="left"/>
      <w:pPr>
        <w:ind w:left="1276" w:hanging="425"/>
      </w:pPr>
      <w:rPr>
        <w:rFonts w:hint="default"/>
      </w:rPr>
    </w:lvl>
    <w:lvl w:ilvl="6">
      <w:start w:val="1"/>
      <w:numFmt w:val="none"/>
      <w:lvlText w:val="%7"/>
      <w:lvlJc w:val="left"/>
      <w:pPr>
        <w:ind w:left="1276" w:hanging="425"/>
      </w:pPr>
      <w:rPr>
        <w:rFonts w:hint="default"/>
      </w:rPr>
    </w:lvl>
    <w:lvl w:ilvl="7">
      <w:start w:val="1"/>
      <w:numFmt w:val="none"/>
      <w:lvlText w:val=""/>
      <w:lvlJc w:val="left"/>
      <w:pPr>
        <w:ind w:left="1276" w:hanging="425"/>
      </w:pPr>
      <w:rPr>
        <w:rFonts w:hint="default"/>
      </w:rPr>
    </w:lvl>
    <w:lvl w:ilvl="8">
      <w:start w:val="1"/>
      <w:numFmt w:val="none"/>
      <w:lvlText w:val=""/>
      <w:lvlJc w:val="left"/>
      <w:pPr>
        <w:ind w:left="1276" w:hanging="425"/>
      </w:pPr>
      <w:rPr>
        <w:rFonts w:hint="default"/>
      </w:rPr>
    </w:lvl>
  </w:abstractNum>
  <w:abstractNum w:abstractNumId="7" w15:restartNumberingAfterBreak="0">
    <w:nsid w:val="11F3578D"/>
    <w:multiLevelType w:val="hybridMultilevel"/>
    <w:tmpl w:val="1D92BB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68F13E9"/>
    <w:multiLevelType w:val="multilevel"/>
    <w:tmpl w:val="DA360B98"/>
    <w:styleLink w:val="ListBullets"/>
    <w:lvl w:ilvl="0">
      <w:start w:val="1"/>
      <w:numFmt w:val="bullet"/>
      <w:pStyle w:val="ListBullet"/>
      <w:lvlText w:val=""/>
      <w:lvlJc w:val="left"/>
      <w:pPr>
        <w:ind w:left="360" w:hanging="360"/>
      </w:pPr>
      <w:rPr>
        <w:rFonts w:ascii="Symbol" w:hAnsi="Symbol" w:hint="default"/>
      </w:rPr>
    </w:lvl>
    <w:lvl w:ilvl="1">
      <w:start w:val="1"/>
      <w:numFmt w:val="bullet"/>
      <w:pStyle w:val="ListBullet2"/>
      <w:lvlText w:val="–"/>
      <w:lvlJc w:val="left"/>
      <w:pPr>
        <w:ind w:left="720" w:hanging="360"/>
      </w:pPr>
      <w:rPr>
        <w:rFonts w:ascii="Arial" w:hAnsi="Arial" w:hint="default"/>
      </w:rPr>
    </w:lvl>
    <w:lvl w:ilvl="2">
      <w:start w:val="1"/>
      <w:numFmt w:val="bullet"/>
      <w:pStyle w:val="ListBullet3"/>
      <w:lvlText w:val=""/>
      <w:lvlJc w:val="left"/>
      <w:pPr>
        <w:ind w:left="1080" w:hanging="360"/>
      </w:pPr>
      <w:rPr>
        <w:rFonts w:ascii="Wingdings" w:hAnsi="Wingdings" w:hint="default"/>
      </w:rPr>
    </w:lvl>
    <w:lvl w:ilvl="3">
      <w:start w:val="1"/>
      <w:numFmt w:val="none"/>
      <w:lvlText w:val=""/>
      <w:lvlJc w:val="left"/>
      <w:pPr>
        <w:ind w:left="1440" w:hanging="360"/>
      </w:pPr>
      <w:rPr>
        <w:rFonts w:hint="default"/>
      </w:rPr>
    </w:lvl>
    <w:lvl w:ilvl="4">
      <w:start w:val="1"/>
      <w:numFmt w:val="none"/>
      <w:lvlText w:val=""/>
      <w:lvlJc w:val="left"/>
      <w:pPr>
        <w:ind w:left="1800" w:hanging="360"/>
      </w:pPr>
      <w:rPr>
        <w:rFonts w:hint="default"/>
      </w:rPr>
    </w:lvl>
    <w:lvl w:ilvl="5">
      <w:start w:val="1"/>
      <w:numFmt w:val="none"/>
      <w:lvlText w:val=""/>
      <w:lvlJc w:val="left"/>
      <w:pPr>
        <w:ind w:left="2160" w:hanging="360"/>
      </w:pPr>
      <w:rPr>
        <w:rFonts w:hint="default"/>
      </w:rPr>
    </w:lvl>
    <w:lvl w:ilvl="6">
      <w:start w:val="1"/>
      <w:numFmt w:val="none"/>
      <w:lvlText w:val="%7"/>
      <w:lvlJc w:val="left"/>
      <w:pPr>
        <w:ind w:left="2520" w:hanging="360"/>
      </w:pPr>
      <w:rPr>
        <w:rFonts w:hint="default"/>
      </w:rPr>
    </w:lvl>
    <w:lvl w:ilvl="7">
      <w:start w:val="1"/>
      <w:numFmt w:val="none"/>
      <w:lvlText w:val="%8"/>
      <w:lvlJc w:val="left"/>
      <w:pPr>
        <w:ind w:left="2880" w:hanging="360"/>
      </w:pPr>
      <w:rPr>
        <w:rFonts w:hint="default"/>
      </w:rPr>
    </w:lvl>
    <w:lvl w:ilvl="8">
      <w:start w:val="1"/>
      <w:numFmt w:val="none"/>
      <w:lvlText w:val="%9"/>
      <w:lvlJc w:val="left"/>
      <w:pPr>
        <w:ind w:left="3240" w:hanging="360"/>
      </w:pPr>
      <w:rPr>
        <w:rFonts w:hint="default"/>
      </w:rPr>
    </w:lvl>
  </w:abstractNum>
  <w:abstractNum w:abstractNumId="9" w15:restartNumberingAfterBreak="0">
    <w:nsid w:val="3A2F5CDC"/>
    <w:multiLevelType w:val="hybridMultilevel"/>
    <w:tmpl w:val="CB4A66DE"/>
    <w:lvl w:ilvl="0" w:tplc="CB98220E">
      <w:numFmt w:val="bullet"/>
      <w:lvlText w:val="-"/>
      <w:lvlJc w:val="left"/>
      <w:pPr>
        <w:ind w:left="1080" w:hanging="720"/>
      </w:pPr>
      <w:rPr>
        <w:rFonts w:ascii="Cambria" w:eastAsia="Cambria" w:hAnsi="Cambria" w:cs="Times New Roman"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AC02909"/>
    <w:multiLevelType w:val="hybridMultilevel"/>
    <w:tmpl w:val="D568B1BC"/>
    <w:lvl w:ilvl="0" w:tplc="3B76980A">
      <w:start w:val="1"/>
      <w:numFmt w:val="bullet"/>
      <w:pStyle w:val="Bullet2"/>
      <w:lvlText w:val="-"/>
      <w:lvlJc w:val="left"/>
      <w:pPr>
        <w:tabs>
          <w:tab w:val="num" w:pos="567"/>
        </w:tabs>
        <w:ind w:left="567" w:hanging="283"/>
      </w:pPr>
      <w:rPr>
        <w:rFonts w:ascii="Arial" w:hAnsi="Arial" w:hint="default"/>
      </w:rPr>
    </w:lvl>
    <w:lvl w:ilvl="1" w:tplc="0C090003">
      <w:start w:val="1"/>
      <w:numFmt w:val="bullet"/>
      <w:lvlText w:val="o"/>
      <w:lvlJc w:val="left"/>
      <w:pPr>
        <w:tabs>
          <w:tab w:val="num" w:pos="1724"/>
        </w:tabs>
        <w:ind w:left="1724" w:hanging="360"/>
      </w:pPr>
      <w:rPr>
        <w:rFonts w:ascii="Courier New" w:hAnsi="Courier New" w:cs="Courier New" w:hint="default"/>
      </w:rPr>
    </w:lvl>
    <w:lvl w:ilvl="2" w:tplc="0C090005" w:tentative="1">
      <w:start w:val="1"/>
      <w:numFmt w:val="bullet"/>
      <w:lvlText w:val=""/>
      <w:lvlJc w:val="left"/>
      <w:pPr>
        <w:tabs>
          <w:tab w:val="num" w:pos="2444"/>
        </w:tabs>
        <w:ind w:left="2444" w:hanging="360"/>
      </w:pPr>
      <w:rPr>
        <w:rFonts w:ascii="Wingdings" w:hAnsi="Wingdings" w:hint="default"/>
      </w:rPr>
    </w:lvl>
    <w:lvl w:ilvl="3" w:tplc="0C090001" w:tentative="1">
      <w:start w:val="1"/>
      <w:numFmt w:val="bullet"/>
      <w:lvlText w:val=""/>
      <w:lvlJc w:val="left"/>
      <w:pPr>
        <w:tabs>
          <w:tab w:val="num" w:pos="3164"/>
        </w:tabs>
        <w:ind w:left="3164" w:hanging="360"/>
      </w:pPr>
      <w:rPr>
        <w:rFonts w:ascii="Symbol" w:hAnsi="Symbol" w:hint="default"/>
      </w:rPr>
    </w:lvl>
    <w:lvl w:ilvl="4" w:tplc="0C090003" w:tentative="1">
      <w:start w:val="1"/>
      <w:numFmt w:val="bullet"/>
      <w:lvlText w:val="o"/>
      <w:lvlJc w:val="left"/>
      <w:pPr>
        <w:tabs>
          <w:tab w:val="num" w:pos="3884"/>
        </w:tabs>
        <w:ind w:left="3884" w:hanging="360"/>
      </w:pPr>
      <w:rPr>
        <w:rFonts w:ascii="Courier New" w:hAnsi="Courier New" w:cs="Courier New" w:hint="default"/>
      </w:rPr>
    </w:lvl>
    <w:lvl w:ilvl="5" w:tplc="0C090005" w:tentative="1">
      <w:start w:val="1"/>
      <w:numFmt w:val="bullet"/>
      <w:lvlText w:val=""/>
      <w:lvlJc w:val="left"/>
      <w:pPr>
        <w:tabs>
          <w:tab w:val="num" w:pos="4604"/>
        </w:tabs>
        <w:ind w:left="4604" w:hanging="360"/>
      </w:pPr>
      <w:rPr>
        <w:rFonts w:ascii="Wingdings" w:hAnsi="Wingdings" w:hint="default"/>
      </w:rPr>
    </w:lvl>
    <w:lvl w:ilvl="6" w:tplc="0C090001" w:tentative="1">
      <w:start w:val="1"/>
      <w:numFmt w:val="bullet"/>
      <w:lvlText w:val=""/>
      <w:lvlJc w:val="left"/>
      <w:pPr>
        <w:tabs>
          <w:tab w:val="num" w:pos="5324"/>
        </w:tabs>
        <w:ind w:left="5324" w:hanging="360"/>
      </w:pPr>
      <w:rPr>
        <w:rFonts w:ascii="Symbol" w:hAnsi="Symbol" w:hint="default"/>
      </w:rPr>
    </w:lvl>
    <w:lvl w:ilvl="7" w:tplc="0C090003" w:tentative="1">
      <w:start w:val="1"/>
      <w:numFmt w:val="bullet"/>
      <w:lvlText w:val="o"/>
      <w:lvlJc w:val="left"/>
      <w:pPr>
        <w:tabs>
          <w:tab w:val="num" w:pos="6044"/>
        </w:tabs>
        <w:ind w:left="6044" w:hanging="360"/>
      </w:pPr>
      <w:rPr>
        <w:rFonts w:ascii="Courier New" w:hAnsi="Courier New" w:cs="Courier New" w:hint="default"/>
      </w:rPr>
    </w:lvl>
    <w:lvl w:ilvl="8" w:tplc="0C090005" w:tentative="1">
      <w:start w:val="1"/>
      <w:numFmt w:val="bullet"/>
      <w:lvlText w:val=""/>
      <w:lvlJc w:val="left"/>
      <w:pPr>
        <w:tabs>
          <w:tab w:val="num" w:pos="6764"/>
        </w:tabs>
        <w:ind w:left="6764" w:hanging="360"/>
      </w:pPr>
      <w:rPr>
        <w:rFonts w:ascii="Wingdings" w:hAnsi="Wingdings" w:hint="default"/>
      </w:rPr>
    </w:lvl>
  </w:abstractNum>
  <w:abstractNum w:abstractNumId="11" w15:restartNumberingAfterBreak="0">
    <w:nsid w:val="4EB41F2F"/>
    <w:multiLevelType w:val="hybridMultilevel"/>
    <w:tmpl w:val="E79C111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503D7FF4"/>
    <w:multiLevelType w:val="hybridMultilevel"/>
    <w:tmpl w:val="339A1ED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507279CB"/>
    <w:multiLevelType w:val="hybridMultilevel"/>
    <w:tmpl w:val="324839D4"/>
    <w:lvl w:ilvl="0" w:tplc="E5EACD22">
      <w:numFmt w:val="bullet"/>
      <w:lvlText w:val="•"/>
      <w:lvlJc w:val="left"/>
      <w:pPr>
        <w:ind w:left="720" w:hanging="72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51811275"/>
    <w:multiLevelType w:val="hybridMultilevel"/>
    <w:tmpl w:val="8118E87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564B4AF4"/>
    <w:multiLevelType w:val="hybridMultilevel"/>
    <w:tmpl w:val="70A4E54E"/>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0C090005">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6" w15:restartNumberingAfterBreak="0">
    <w:nsid w:val="62E1248D"/>
    <w:multiLevelType w:val="hybridMultilevel"/>
    <w:tmpl w:val="897AB2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74B34221"/>
    <w:multiLevelType w:val="hybridMultilevel"/>
    <w:tmpl w:val="47FCFBA2"/>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77606DC0"/>
    <w:multiLevelType w:val="hybridMultilevel"/>
    <w:tmpl w:val="8780E0A6"/>
    <w:lvl w:ilvl="0" w:tplc="4224B92E">
      <w:numFmt w:val="bullet"/>
      <w:lvlText w:val="•"/>
      <w:lvlJc w:val="left"/>
      <w:pPr>
        <w:ind w:left="360" w:hanging="360"/>
      </w:pPr>
      <w:rPr>
        <w:rFonts w:ascii="Cambria" w:eastAsia="Cambria" w:hAnsi="Cambria" w:cs="Times New Roman"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abstractNumId w:val="2"/>
  </w:num>
  <w:num w:numId="2">
    <w:abstractNumId w:val="1"/>
  </w:num>
  <w:num w:numId="3">
    <w:abstractNumId w:val="8"/>
  </w:num>
  <w:num w:numId="4">
    <w:abstractNumId w:val="8"/>
  </w:num>
  <w:num w:numId="5">
    <w:abstractNumId w:val="0"/>
  </w:num>
  <w:num w:numId="6">
    <w:abstractNumId w:val="8"/>
  </w:num>
  <w:num w:numId="7">
    <w:abstractNumId w:val="8"/>
  </w:num>
  <w:num w:numId="8">
    <w:abstractNumId w:val="6"/>
  </w:num>
  <w:num w:numId="9">
    <w:abstractNumId w:val="6"/>
  </w:num>
  <w:num w:numId="10">
    <w:abstractNumId w:val="6"/>
  </w:num>
  <w:num w:numId="11">
    <w:abstractNumId w:val="6"/>
  </w:num>
  <w:num w:numId="12">
    <w:abstractNumId w:val="3"/>
    <w:lvlOverride w:ilvl="0">
      <w:lvl w:ilvl="0">
        <w:numFmt w:val="bullet"/>
        <w:lvlText w:val="•"/>
        <w:legacy w:legacy="1" w:legacySpace="0" w:legacyIndent="0"/>
        <w:lvlJc w:val="left"/>
        <w:rPr>
          <w:rFonts w:ascii="Helv" w:hAnsi="Helv" w:hint="default"/>
        </w:rPr>
      </w:lvl>
    </w:lvlOverride>
  </w:num>
  <w:num w:numId="13">
    <w:abstractNumId w:val="8"/>
  </w:num>
  <w:num w:numId="14">
    <w:abstractNumId w:val="8"/>
  </w:num>
  <w:num w:numId="15">
    <w:abstractNumId w:val="8"/>
  </w:num>
  <w:num w:numId="16">
    <w:abstractNumId w:val="6"/>
  </w:num>
  <w:num w:numId="17">
    <w:abstractNumId w:val="6"/>
  </w:num>
  <w:num w:numId="18">
    <w:abstractNumId w:val="6"/>
  </w:num>
  <w:num w:numId="19">
    <w:abstractNumId w:val="8"/>
  </w:num>
  <w:num w:numId="20">
    <w:abstractNumId w:val="8"/>
  </w:num>
  <w:num w:numId="21">
    <w:abstractNumId w:val="8"/>
  </w:num>
  <w:num w:numId="22">
    <w:abstractNumId w:val="6"/>
  </w:num>
  <w:num w:numId="23">
    <w:abstractNumId w:val="6"/>
  </w:num>
  <w:num w:numId="24">
    <w:abstractNumId w:val="6"/>
  </w:num>
  <w:num w:numId="25">
    <w:abstractNumId w:val="6"/>
    <w:lvlOverride w:ilvl="0">
      <w:lvl w:ilvl="0">
        <w:start w:val="1"/>
        <w:numFmt w:val="decimal"/>
        <w:pStyle w:val="Numberbullet0"/>
        <w:lvlText w:val="%1."/>
        <w:lvlJc w:val="left"/>
        <w:pPr>
          <w:ind w:left="425" w:hanging="425"/>
        </w:pPr>
        <w:rPr>
          <w:rFonts w:ascii="Cambria" w:hAnsi="Cambria" w:hint="default"/>
        </w:rPr>
      </w:lvl>
    </w:lvlOverride>
    <w:lvlOverride w:ilvl="1">
      <w:lvl w:ilvl="1">
        <w:start w:val="1"/>
        <w:numFmt w:val="lowerLetter"/>
        <w:pStyle w:val="Numberbullet2"/>
        <w:lvlText w:val="%2."/>
        <w:lvlJc w:val="left"/>
        <w:pPr>
          <w:ind w:left="851" w:hanging="426"/>
        </w:pPr>
        <w:rPr>
          <w:rFonts w:hint="default"/>
        </w:rPr>
      </w:lvl>
    </w:lvlOverride>
    <w:lvlOverride w:ilvl="2">
      <w:lvl w:ilvl="2">
        <w:start w:val="1"/>
        <w:numFmt w:val="lowerRoman"/>
        <w:pStyle w:val="Numberbullet3"/>
        <w:lvlText w:val="%3."/>
        <w:lvlJc w:val="left"/>
        <w:pPr>
          <w:ind w:left="1276" w:hanging="425"/>
        </w:pPr>
        <w:rPr>
          <w:rFonts w:hint="default"/>
        </w:rPr>
      </w:lvl>
    </w:lvlOverride>
    <w:lvlOverride w:ilvl="3">
      <w:lvl w:ilvl="3">
        <w:start w:val="1"/>
        <w:numFmt w:val="none"/>
        <w:lvlText w:val=""/>
        <w:lvlJc w:val="left"/>
        <w:pPr>
          <w:ind w:left="1276" w:hanging="425"/>
        </w:pPr>
        <w:rPr>
          <w:rFonts w:hint="default"/>
        </w:rPr>
      </w:lvl>
    </w:lvlOverride>
    <w:lvlOverride w:ilvl="4">
      <w:lvl w:ilvl="4">
        <w:start w:val="1"/>
        <w:numFmt w:val="none"/>
        <w:lvlText w:val=""/>
        <w:lvlJc w:val="left"/>
        <w:pPr>
          <w:ind w:left="1276" w:hanging="425"/>
        </w:pPr>
        <w:rPr>
          <w:rFonts w:hint="default"/>
        </w:rPr>
      </w:lvl>
    </w:lvlOverride>
    <w:lvlOverride w:ilvl="5">
      <w:lvl w:ilvl="5">
        <w:start w:val="1"/>
        <w:numFmt w:val="none"/>
        <w:lvlText w:val=""/>
        <w:lvlJc w:val="left"/>
        <w:pPr>
          <w:ind w:left="1276" w:hanging="425"/>
        </w:pPr>
        <w:rPr>
          <w:rFonts w:hint="default"/>
        </w:rPr>
      </w:lvl>
    </w:lvlOverride>
    <w:lvlOverride w:ilvl="6">
      <w:lvl w:ilvl="6">
        <w:start w:val="1"/>
        <w:numFmt w:val="none"/>
        <w:lvlText w:val="%7"/>
        <w:lvlJc w:val="left"/>
        <w:pPr>
          <w:ind w:left="1276" w:hanging="425"/>
        </w:pPr>
        <w:rPr>
          <w:rFonts w:hint="default"/>
        </w:rPr>
      </w:lvl>
    </w:lvlOverride>
    <w:lvlOverride w:ilvl="7">
      <w:lvl w:ilvl="7">
        <w:start w:val="1"/>
        <w:numFmt w:val="none"/>
        <w:lvlText w:val=""/>
        <w:lvlJc w:val="left"/>
        <w:pPr>
          <w:ind w:left="1276" w:hanging="425"/>
        </w:pPr>
        <w:rPr>
          <w:rFonts w:hint="default"/>
        </w:rPr>
      </w:lvl>
    </w:lvlOverride>
    <w:lvlOverride w:ilvl="8">
      <w:lvl w:ilvl="8">
        <w:start w:val="1"/>
        <w:numFmt w:val="none"/>
        <w:lvlText w:val=""/>
        <w:lvlJc w:val="left"/>
        <w:pPr>
          <w:ind w:left="1276" w:hanging="425"/>
        </w:pPr>
        <w:rPr>
          <w:rFonts w:hint="default"/>
        </w:rPr>
      </w:lvl>
    </w:lvlOverride>
  </w:num>
  <w:num w:numId="26">
    <w:abstractNumId w:val="6"/>
    <w:lvlOverride w:ilvl="0">
      <w:startOverride w:val="1"/>
      <w:lvl w:ilvl="0">
        <w:start w:val="1"/>
        <w:numFmt w:val="decimal"/>
        <w:pStyle w:val="Numberbullet0"/>
        <w:lvlText w:val="%1."/>
        <w:lvlJc w:val="left"/>
        <w:pPr>
          <w:ind w:left="425" w:hanging="425"/>
        </w:pPr>
        <w:rPr>
          <w:rFonts w:ascii="Cambria" w:hAnsi="Cambria" w:hint="default"/>
        </w:rPr>
      </w:lvl>
    </w:lvlOverride>
    <w:lvlOverride w:ilvl="1">
      <w:startOverride w:val="1"/>
      <w:lvl w:ilvl="1">
        <w:start w:val="1"/>
        <w:numFmt w:val="lowerLetter"/>
        <w:pStyle w:val="Numberbullet2"/>
        <w:lvlText w:val="%2."/>
        <w:lvlJc w:val="left"/>
        <w:pPr>
          <w:ind w:left="851" w:hanging="426"/>
        </w:pPr>
        <w:rPr>
          <w:rFonts w:hint="default"/>
        </w:rPr>
      </w:lvl>
    </w:lvlOverride>
    <w:lvlOverride w:ilvl="2">
      <w:startOverride w:val="1"/>
      <w:lvl w:ilvl="2">
        <w:start w:val="1"/>
        <w:numFmt w:val="lowerRoman"/>
        <w:pStyle w:val="Numberbullet3"/>
        <w:lvlText w:val="%3."/>
        <w:lvlJc w:val="left"/>
        <w:pPr>
          <w:ind w:left="1276" w:hanging="425"/>
        </w:pPr>
        <w:rPr>
          <w:rFonts w:hint="default"/>
        </w:rPr>
      </w:lvl>
    </w:lvlOverride>
    <w:lvlOverride w:ilvl="3">
      <w:startOverride w:val="1"/>
      <w:lvl w:ilvl="3">
        <w:start w:val="1"/>
        <w:numFmt w:val="none"/>
        <w:lvlText w:val=""/>
        <w:lvlJc w:val="left"/>
        <w:pPr>
          <w:ind w:left="1276" w:hanging="425"/>
        </w:pPr>
        <w:rPr>
          <w:rFonts w:hint="default"/>
        </w:rPr>
      </w:lvl>
    </w:lvlOverride>
    <w:lvlOverride w:ilvl="4">
      <w:startOverride w:val="1"/>
      <w:lvl w:ilvl="4">
        <w:start w:val="1"/>
        <w:numFmt w:val="none"/>
        <w:lvlText w:val=""/>
        <w:lvlJc w:val="left"/>
        <w:pPr>
          <w:ind w:left="1276" w:hanging="425"/>
        </w:pPr>
        <w:rPr>
          <w:rFonts w:hint="default"/>
        </w:rPr>
      </w:lvl>
    </w:lvlOverride>
    <w:lvlOverride w:ilvl="5">
      <w:startOverride w:val="1"/>
      <w:lvl w:ilvl="5">
        <w:start w:val="1"/>
        <w:numFmt w:val="none"/>
        <w:lvlText w:val=""/>
        <w:lvlJc w:val="left"/>
        <w:pPr>
          <w:ind w:left="1276" w:hanging="425"/>
        </w:pPr>
        <w:rPr>
          <w:rFonts w:hint="default"/>
        </w:rPr>
      </w:lvl>
    </w:lvlOverride>
    <w:lvlOverride w:ilvl="6">
      <w:startOverride w:val="1"/>
      <w:lvl w:ilvl="6">
        <w:start w:val="1"/>
        <w:numFmt w:val="none"/>
        <w:lvlText w:val="%7"/>
        <w:lvlJc w:val="left"/>
        <w:pPr>
          <w:ind w:left="1276" w:hanging="425"/>
        </w:pPr>
        <w:rPr>
          <w:rFonts w:hint="default"/>
        </w:rPr>
      </w:lvl>
    </w:lvlOverride>
    <w:lvlOverride w:ilvl="7">
      <w:startOverride w:val="1"/>
      <w:lvl w:ilvl="7">
        <w:start w:val="1"/>
        <w:numFmt w:val="none"/>
        <w:lvlText w:val=""/>
        <w:lvlJc w:val="left"/>
        <w:pPr>
          <w:ind w:left="1276" w:hanging="425"/>
        </w:pPr>
        <w:rPr>
          <w:rFonts w:hint="default"/>
        </w:rPr>
      </w:lvl>
    </w:lvlOverride>
    <w:lvlOverride w:ilvl="8">
      <w:startOverride w:val="1"/>
      <w:lvl w:ilvl="8">
        <w:start w:val="1"/>
        <w:numFmt w:val="none"/>
        <w:lvlText w:val=""/>
        <w:lvlJc w:val="left"/>
        <w:pPr>
          <w:ind w:left="1276" w:hanging="425"/>
        </w:pPr>
        <w:rPr>
          <w:rFonts w:hint="default"/>
        </w:rPr>
      </w:lvl>
    </w:lvlOverride>
  </w:num>
  <w:num w:numId="27">
    <w:abstractNumId w:val="11"/>
  </w:num>
  <w:num w:numId="28">
    <w:abstractNumId w:val="18"/>
  </w:num>
  <w:num w:numId="29">
    <w:abstractNumId w:val="7"/>
  </w:num>
  <w:num w:numId="30">
    <w:abstractNumId w:val="9"/>
  </w:num>
  <w:num w:numId="31">
    <w:abstractNumId w:val="5"/>
  </w:num>
  <w:num w:numId="32">
    <w:abstractNumId w:val="13"/>
  </w:num>
  <w:num w:numId="33">
    <w:abstractNumId w:val="16"/>
  </w:num>
  <w:num w:numId="34">
    <w:abstractNumId w:val="4"/>
  </w:num>
  <w:num w:numId="35">
    <w:abstractNumId w:val="15"/>
  </w:num>
  <w:num w:numId="36">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10"/>
  </w:num>
  <w:num w:numId="38">
    <w:abstractNumId w:val="14"/>
  </w:num>
  <w:num w:numId="39">
    <w:abstractNumId w:val="12"/>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stylePaneFormatFilter w:val="1001" w:allStyles="1" w:customStyles="0" w:latentStyles="0" w:stylesInUse="0" w:headingStyles="0" w:numberingStyles="0" w:tableStyles="0" w:directFormattingOnRuns="0" w:directFormattingOnParagraphs="0" w:directFormattingOnNumbering="0" w:directFormattingOnTables="0" w:clearFormatting="1" w:top3HeadingStyles="0" w:visibleStyles="0" w:alternateStyleNames="0"/>
  <w:stylePaneSortMethod w:val="0000"/>
  <w:defaultTabStop w:val="720"/>
  <w:drawingGridHorizontalSpacing w:val="110"/>
  <w:displayHorizontalDrawingGridEvery w:val="2"/>
  <w:characterSpacingControl w:val="doNotCompress"/>
  <w:hdrShapeDefaults>
    <o:shapedefaults v:ext="edit" spidmax="5120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40D73"/>
    <w:rsid w:val="00002031"/>
    <w:rsid w:val="00004734"/>
    <w:rsid w:val="00006B22"/>
    <w:rsid w:val="00006FAB"/>
    <w:rsid w:val="0000719C"/>
    <w:rsid w:val="0001276A"/>
    <w:rsid w:val="00013D1F"/>
    <w:rsid w:val="000246AE"/>
    <w:rsid w:val="00025C67"/>
    <w:rsid w:val="00044772"/>
    <w:rsid w:val="0004541C"/>
    <w:rsid w:val="0005559E"/>
    <w:rsid w:val="000604D6"/>
    <w:rsid w:val="00061F8D"/>
    <w:rsid w:val="000734D8"/>
    <w:rsid w:val="00077775"/>
    <w:rsid w:val="00084F8E"/>
    <w:rsid w:val="00090471"/>
    <w:rsid w:val="00096AA7"/>
    <w:rsid w:val="000A0E57"/>
    <w:rsid w:val="000A12FB"/>
    <w:rsid w:val="000A3AED"/>
    <w:rsid w:val="000B3532"/>
    <w:rsid w:val="000B3A75"/>
    <w:rsid w:val="000B5BBF"/>
    <w:rsid w:val="000C00C2"/>
    <w:rsid w:val="000C690F"/>
    <w:rsid w:val="000D1295"/>
    <w:rsid w:val="000D391B"/>
    <w:rsid w:val="000D3D6D"/>
    <w:rsid w:val="000D4FC7"/>
    <w:rsid w:val="000E6196"/>
    <w:rsid w:val="000E7A54"/>
    <w:rsid w:val="000F4869"/>
    <w:rsid w:val="000F5B42"/>
    <w:rsid w:val="000F6E6F"/>
    <w:rsid w:val="0010601F"/>
    <w:rsid w:val="0010788A"/>
    <w:rsid w:val="00107A31"/>
    <w:rsid w:val="00110EA5"/>
    <w:rsid w:val="00111206"/>
    <w:rsid w:val="00112F56"/>
    <w:rsid w:val="00117C1F"/>
    <w:rsid w:val="00122C2E"/>
    <w:rsid w:val="00124ACD"/>
    <w:rsid w:val="00125318"/>
    <w:rsid w:val="0012748F"/>
    <w:rsid w:val="001300CD"/>
    <w:rsid w:val="001305A2"/>
    <w:rsid w:val="00133238"/>
    <w:rsid w:val="00133A1B"/>
    <w:rsid w:val="00140849"/>
    <w:rsid w:val="00140CD0"/>
    <w:rsid w:val="0014197B"/>
    <w:rsid w:val="001447CD"/>
    <w:rsid w:val="001516B1"/>
    <w:rsid w:val="00154EBB"/>
    <w:rsid w:val="00156316"/>
    <w:rsid w:val="00161181"/>
    <w:rsid w:val="00161D56"/>
    <w:rsid w:val="00162D14"/>
    <w:rsid w:val="00163780"/>
    <w:rsid w:val="0016399A"/>
    <w:rsid w:val="00164CC2"/>
    <w:rsid w:val="00165389"/>
    <w:rsid w:val="00171BB0"/>
    <w:rsid w:val="0017693F"/>
    <w:rsid w:val="0018110E"/>
    <w:rsid w:val="00181684"/>
    <w:rsid w:val="001843C6"/>
    <w:rsid w:val="001850E0"/>
    <w:rsid w:val="00185407"/>
    <w:rsid w:val="001A03AF"/>
    <w:rsid w:val="001A2158"/>
    <w:rsid w:val="001A525F"/>
    <w:rsid w:val="001A5A00"/>
    <w:rsid w:val="001A66B8"/>
    <w:rsid w:val="001B09F9"/>
    <w:rsid w:val="001B1DA4"/>
    <w:rsid w:val="001B47D7"/>
    <w:rsid w:val="001B5C90"/>
    <w:rsid w:val="001B6448"/>
    <w:rsid w:val="001B6A47"/>
    <w:rsid w:val="001C32CD"/>
    <w:rsid w:val="001D2984"/>
    <w:rsid w:val="001E07CF"/>
    <w:rsid w:val="001E1858"/>
    <w:rsid w:val="001E359E"/>
    <w:rsid w:val="001E59F1"/>
    <w:rsid w:val="001F2CEE"/>
    <w:rsid w:val="001F49EB"/>
    <w:rsid w:val="001F4FAC"/>
    <w:rsid w:val="001F6CBA"/>
    <w:rsid w:val="00200AE2"/>
    <w:rsid w:val="00201D4E"/>
    <w:rsid w:val="00204DD0"/>
    <w:rsid w:val="002076C9"/>
    <w:rsid w:val="00212CB5"/>
    <w:rsid w:val="00220B8A"/>
    <w:rsid w:val="002257F3"/>
    <w:rsid w:val="002314EA"/>
    <w:rsid w:val="00231F22"/>
    <w:rsid w:val="00233456"/>
    <w:rsid w:val="002339A5"/>
    <w:rsid w:val="00233CD8"/>
    <w:rsid w:val="00237C68"/>
    <w:rsid w:val="00250271"/>
    <w:rsid w:val="00250F35"/>
    <w:rsid w:val="00257848"/>
    <w:rsid w:val="002578E8"/>
    <w:rsid w:val="002600F8"/>
    <w:rsid w:val="0027084A"/>
    <w:rsid w:val="00271E85"/>
    <w:rsid w:val="00280265"/>
    <w:rsid w:val="0028319F"/>
    <w:rsid w:val="00286434"/>
    <w:rsid w:val="00286C59"/>
    <w:rsid w:val="00291957"/>
    <w:rsid w:val="002942D1"/>
    <w:rsid w:val="0029501A"/>
    <w:rsid w:val="002A3721"/>
    <w:rsid w:val="002A6D6D"/>
    <w:rsid w:val="002B15A2"/>
    <w:rsid w:val="002B1638"/>
    <w:rsid w:val="002B2CAC"/>
    <w:rsid w:val="002B3624"/>
    <w:rsid w:val="002C4761"/>
    <w:rsid w:val="002C63BD"/>
    <w:rsid w:val="002D0952"/>
    <w:rsid w:val="002D288D"/>
    <w:rsid w:val="002D40F8"/>
    <w:rsid w:val="002D58B4"/>
    <w:rsid w:val="002D7E43"/>
    <w:rsid w:val="002E40B3"/>
    <w:rsid w:val="002E4C9A"/>
    <w:rsid w:val="002F0858"/>
    <w:rsid w:val="002F11F8"/>
    <w:rsid w:val="002F3F56"/>
    <w:rsid w:val="002F44B5"/>
    <w:rsid w:val="002F5122"/>
    <w:rsid w:val="00311AC0"/>
    <w:rsid w:val="003176FC"/>
    <w:rsid w:val="00324E45"/>
    <w:rsid w:val="0032583B"/>
    <w:rsid w:val="00327883"/>
    <w:rsid w:val="00332715"/>
    <w:rsid w:val="00335480"/>
    <w:rsid w:val="00335504"/>
    <w:rsid w:val="00340C18"/>
    <w:rsid w:val="00343344"/>
    <w:rsid w:val="003442FD"/>
    <w:rsid w:val="003453C2"/>
    <w:rsid w:val="00346365"/>
    <w:rsid w:val="00347824"/>
    <w:rsid w:val="00350567"/>
    <w:rsid w:val="003521E8"/>
    <w:rsid w:val="00370427"/>
    <w:rsid w:val="00370CE3"/>
    <w:rsid w:val="00371B10"/>
    <w:rsid w:val="003728F3"/>
    <w:rsid w:val="003735BC"/>
    <w:rsid w:val="0037496E"/>
    <w:rsid w:val="00383221"/>
    <w:rsid w:val="00384859"/>
    <w:rsid w:val="0038583D"/>
    <w:rsid w:val="00386150"/>
    <w:rsid w:val="003864AA"/>
    <w:rsid w:val="003874CE"/>
    <w:rsid w:val="00390805"/>
    <w:rsid w:val="003908B4"/>
    <w:rsid w:val="00390900"/>
    <w:rsid w:val="003A2B32"/>
    <w:rsid w:val="003A7F6C"/>
    <w:rsid w:val="003B4D60"/>
    <w:rsid w:val="003B7E39"/>
    <w:rsid w:val="003C12E4"/>
    <w:rsid w:val="003C2666"/>
    <w:rsid w:val="003C58DC"/>
    <w:rsid w:val="003C5C0B"/>
    <w:rsid w:val="003D1E62"/>
    <w:rsid w:val="003D66F1"/>
    <w:rsid w:val="003E0B99"/>
    <w:rsid w:val="003E2486"/>
    <w:rsid w:val="003E3208"/>
    <w:rsid w:val="003E5A32"/>
    <w:rsid w:val="003F0B04"/>
    <w:rsid w:val="003F2763"/>
    <w:rsid w:val="0040134E"/>
    <w:rsid w:val="00416549"/>
    <w:rsid w:val="00422711"/>
    <w:rsid w:val="00430ABF"/>
    <w:rsid w:val="00431D93"/>
    <w:rsid w:val="00432978"/>
    <w:rsid w:val="004334C7"/>
    <w:rsid w:val="00440A2D"/>
    <w:rsid w:val="00441C3F"/>
    <w:rsid w:val="00444D1A"/>
    <w:rsid w:val="0045186A"/>
    <w:rsid w:val="00454BDC"/>
    <w:rsid w:val="004564A7"/>
    <w:rsid w:val="00456765"/>
    <w:rsid w:val="00460036"/>
    <w:rsid w:val="004617BF"/>
    <w:rsid w:val="00461B07"/>
    <w:rsid w:val="00463658"/>
    <w:rsid w:val="004637A0"/>
    <w:rsid w:val="004722CC"/>
    <w:rsid w:val="00490483"/>
    <w:rsid w:val="004936E4"/>
    <w:rsid w:val="004946B9"/>
    <w:rsid w:val="00494E60"/>
    <w:rsid w:val="00497487"/>
    <w:rsid w:val="004A0022"/>
    <w:rsid w:val="004A2771"/>
    <w:rsid w:val="004A6189"/>
    <w:rsid w:val="004A7390"/>
    <w:rsid w:val="004B272F"/>
    <w:rsid w:val="004B4702"/>
    <w:rsid w:val="004B7B76"/>
    <w:rsid w:val="004C239D"/>
    <w:rsid w:val="004C2B1B"/>
    <w:rsid w:val="004C2DCA"/>
    <w:rsid w:val="004C4FBE"/>
    <w:rsid w:val="004C61D2"/>
    <w:rsid w:val="004F0C4A"/>
    <w:rsid w:val="004F0F38"/>
    <w:rsid w:val="004F47D6"/>
    <w:rsid w:val="00500337"/>
    <w:rsid w:val="00501921"/>
    <w:rsid w:val="00505417"/>
    <w:rsid w:val="0051427D"/>
    <w:rsid w:val="00517A11"/>
    <w:rsid w:val="0052149B"/>
    <w:rsid w:val="00523A21"/>
    <w:rsid w:val="00525568"/>
    <w:rsid w:val="00530354"/>
    <w:rsid w:val="0053625B"/>
    <w:rsid w:val="005434C6"/>
    <w:rsid w:val="00543B39"/>
    <w:rsid w:val="00545CDB"/>
    <w:rsid w:val="00546154"/>
    <w:rsid w:val="00550096"/>
    <w:rsid w:val="00555280"/>
    <w:rsid w:val="00557FF9"/>
    <w:rsid w:val="00562327"/>
    <w:rsid w:val="00565384"/>
    <w:rsid w:val="005711D5"/>
    <w:rsid w:val="00576378"/>
    <w:rsid w:val="00577130"/>
    <w:rsid w:val="00577945"/>
    <w:rsid w:val="00577E38"/>
    <w:rsid w:val="00585322"/>
    <w:rsid w:val="005857C6"/>
    <w:rsid w:val="00592F6E"/>
    <w:rsid w:val="00593AD1"/>
    <w:rsid w:val="005A68B6"/>
    <w:rsid w:val="005A79F5"/>
    <w:rsid w:val="005B61D4"/>
    <w:rsid w:val="005C1608"/>
    <w:rsid w:val="005C1C87"/>
    <w:rsid w:val="005C494B"/>
    <w:rsid w:val="005C5570"/>
    <w:rsid w:val="005C5B66"/>
    <w:rsid w:val="005C79A4"/>
    <w:rsid w:val="005D5442"/>
    <w:rsid w:val="005F0F5A"/>
    <w:rsid w:val="00603F32"/>
    <w:rsid w:val="00605611"/>
    <w:rsid w:val="00605AD4"/>
    <w:rsid w:val="006136D7"/>
    <w:rsid w:val="00625A6E"/>
    <w:rsid w:val="0062623A"/>
    <w:rsid w:val="00632398"/>
    <w:rsid w:val="006359DD"/>
    <w:rsid w:val="00640FC3"/>
    <w:rsid w:val="00642020"/>
    <w:rsid w:val="006430EE"/>
    <w:rsid w:val="00643CE5"/>
    <w:rsid w:val="0064671D"/>
    <w:rsid w:val="0065337B"/>
    <w:rsid w:val="0065419D"/>
    <w:rsid w:val="006603BC"/>
    <w:rsid w:val="006604D8"/>
    <w:rsid w:val="00660943"/>
    <w:rsid w:val="00664A5B"/>
    <w:rsid w:val="0066735C"/>
    <w:rsid w:val="00671C62"/>
    <w:rsid w:val="00675A51"/>
    <w:rsid w:val="006763D2"/>
    <w:rsid w:val="00680C08"/>
    <w:rsid w:val="006901BA"/>
    <w:rsid w:val="00691081"/>
    <w:rsid w:val="006916A0"/>
    <w:rsid w:val="006931B1"/>
    <w:rsid w:val="00693F8C"/>
    <w:rsid w:val="00694489"/>
    <w:rsid w:val="006A15C0"/>
    <w:rsid w:val="006A3017"/>
    <w:rsid w:val="006A58A8"/>
    <w:rsid w:val="006C3E2A"/>
    <w:rsid w:val="006C642F"/>
    <w:rsid w:val="006D03E5"/>
    <w:rsid w:val="006D375C"/>
    <w:rsid w:val="006D5D3E"/>
    <w:rsid w:val="006E08B3"/>
    <w:rsid w:val="006E7D4A"/>
    <w:rsid w:val="006F17AC"/>
    <w:rsid w:val="006F25B8"/>
    <w:rsid w:val="006F572E"/>
    <w:rsid w:val="00703049"/>
    <w:rsid w:val="007046D6"/>
    <w:rsid w:val="00705DB0"/>
    <w:rsid w:val="007063D5"/>
    <w:rsid w:val="0072292E"/>
    <w:rsid w:val="00722B57"/>
    <w:rsid w:val="00723924"/>
    <w:rsid w:val="007254C8"/>
    <w:rsid w:val="00730F8A"/>
    <w:rsid w:val="00735A8C"/>
    <w:rsid w:val="0074127D"/>
    <w:rsid w:val="0074163C"/>
    <w:rsid w:val="0074253D"/>
    <w:rsid w:val="00744121"/>
    <w:rsid w:val="0074429B"/>
    <w:rsid w:val="007615BC"/>
    <w:rsid w:val="00762F05"/>
    <w:rsid w:val="007652FF"/>
    <w:rsid w:val="007703EF"/>
    <w:rsid w:val="00770CAC"/>
    <w:rsid w:val="00770EF1"/>
    <w:rsid w:val="0077131A"/>
    <w:rsid w:val="00773EF7"/>
    <w:rsid w:val="00774E1D"/>
    <w:rsid w:val="007765D8"/>
    <w:rsid w:val="0077675A"/>
    <w:rsid w:val="00780355"/>
    <w:rsid w:val="007819FD"/>
    <w:rsid w:val="0078510D"/>
    <w:rsid w:val="00785717"/>
    <w:rsid w:val="00785721"/>
    <w:rsid w:val="00793A59"/>
    <w:rsid w:val="00795B22"/>
    <w:rsid w:val="007A46F5"/>
    <w:rsid w:val="007A6505"/>
    <w:rsid w:val="007B6132"/>
    <w:rsid w:val="007B6E9F"/>
    <w:rsid w:val="007C1216"/>
    <w:rsid w:val="007C1AF7"/>
    <w:rsid w:val="007C6B9B"/>
    <w:rsid w:val="007D0247"/>
    <w:rsid w:val="007D53B6"/>
    <w:rsid w:val="007D76BE"/>
    <w:rsid w:val="007E301A"/>
    <w:rsid w:val="00800B41"/>
    <w:rsid w:val="00803359"/>
    <w:rsid w:val="00804D99"/>
    <w:rsid w:val="00805D27"/>
    <w:rsid w:val="00806DCB"/>
    <w:rsid w:val="008110BC"/>
    <w:rsid w:val="00821776"/>
    <w:rsid w:val="00826FCF"/>
    <w:rsid w:val="008321F5"/>
    <w:rsid w:val="00832369"/>
    <w:rsid w:val="00833ED8"/>
    <w:rsid w:val="00834660"/>
    <w:rsid w:val="00836BC2"/>
    <w:rsid w:val="00837795"/>
    <w:rsid w:val="0085156D"/>
    <w:rsid w:val="00852B28"/>
    <w:rsid w:val="00854674"/>
    <w:rsid w:val="0085641B"/>
    <w:rsid w:val="00857136"/>
    <w:rsid w:val="00865B03"/>
    <w:rsid w:val="00875A6B"/>
    <w:rsid w:val="00875AA0"/>
    <w:rsid w:val="00882B41"/>
    <w:rsid w:val="00882FA9"/>
    <w:rsid w:val="00885B11"/>
    <w:rsid w:val="00886D15"/>
    <w:rsid w:val="00887DD8"/>
    <w:rsid w:val="00890DE2"/>
    <w:rsid w:val="00891A68"/>
    <w:rsid w:val="00891BA9"/>
    <w:rsid w:val="00896018"/>
    <w:rsid w:val="008960DD"/>
    <w:rsid w:val="0089635C"/>
    <w:rsid w:val="0089664C"/>
    <w:rsid w:val="008A2B9D"/>
    <w:rsid w:val="008A3D9F"/>
    <w:rsid w:val="008A5E0B"/>
    <w:rsid w:val="008A6D59"/>
    <w:rsid w:val="008A7D29"/>
    <w:rsid w:val="008B4B03"/>
    <w:rsid w:val="008B4E75"/>
    <w:rsid w:val="008B51DF"/>
    <w:rsid w:val="008B596F"/>
    <w:rsid w:val="008B6EF0"/>
    <w:rsid w:val="008C159F"/>
    <w:rsid w:val="008C1623"/>
    <w:rsid w:val="008C1850"/>
    <w:rsid w:val="008C51A9"/>
    <w:rsid w:val="008D35E1"/>
    <w:rsid w:val="008E6524"/>
    <w:rsid w:val="008E7846"/>
    <w:rsid w:val="008F02E5"/>
    <w:rsid w:val="008F1CCC"/>
    <w:rsid w:val="008F2967"/>
    <w:rsid w:val="008F2E39"/>
    <w:rsid w:val="008F3ED3"/>
    <w:rsid w:val="008F42D2"/>
    <w:rsid w:val="008F6943"/>
    <w:rsid w:val="008F7703"/>
    <w:rsid w:val="00902A21"/>
    <w:rsid w:val="0091310B"/>
    <w:rsid w:val="00914095"/>
    <w:rsid w:val="0091523F"/>
    <w:rsid w:val="00920330"/>
    <w:rsid w:val="009219D7"/>
    <w:rsid w:val="00921C28"/>
    <w:rsid w:val="00922D53"/>
    <w:rsid w:val="00923B70"/>
    <w:rsid w:val="00924482"/>
    <w:rsid w:val="00927FD8"/>
    <w:rsid w:val="00930237"/>
    <w:rsid w:val="00935F9A"/>
    <w:rsid w:val="00937C17"/>
    <w:rsid w:val="009407CA"/>
    <w:rsid w:val="00940A89"/>
    <w:rsid w:val="00941F77"/>
    <w:rsid w:val="009457F7"/>
    <w:rsid w:val="00946EA5"/>
    <w:rsid w:val="009556D7"/>
    <w:rsid w:val="00960520"/>
    <w:rsid w:val="00963C08"/>
    <w:rsid w:val="009752A5"/>
    <w:rsid w:val="009805BB"/>
    <w:rsid w:val="0098585A"/>
    <w:rsid w:val="00992696"/>
    <w:rsid w:val="00993FDF"/>
    <w:rsid w:val="009A1433"/>
    <w:rsid w:val="009A4CED"/>
    <w:rsid w:val="009A690D"/>
    <w:rsid w:val="009B1D12"/>
    <w:rsid w:val="009B416B"/>
    <w:rsid w:val="009C4BD5"/>
    <w:rsid w:val="009C52CE"/>
    <w:rsid w:val="009D321E"/>
    <w:rsid w:val="009D368D"/>
    <w:rsid w:val="009D7B77"/>
    <w:rsid w:val="009E0BB0"/>
    <w:rsid w:val="009E3FBB"/>
    <w:rsid w:val="009E5A87"/>
    <w:rsid w:val="009F0CB3"/>
    <w:rsid w:val="009F2673"/>
    <w:rsid w:val="009F4D60"/>
    <w:rsid w:val="009F5D6A"/>
    <w:rsid w:val="009F70B0"/>
    <w:rsid w:val="009F7353"/>
    <w:rsid w:val="00A01E10"/>
    <w:rsid w:val="00A04F85"/>
    <w:rsid w:val="00A05FA4"/>
    <w:rsid w:val="00A06179"/>
    <w:rsid w:val="00A102E4"/>
    <w:rsid w:val="00A1219C"/>
    <w:rsid w:val="00A12C42"/>
    <w:rsid w:val="00A14DF7"/>
    <w:rsid w:val="00A22D57"/>
    <w:rsid w:val="00A261E5"/>
    <w:rsid w:val="00A3246D"/>
    <w:rsid w:val="00A36FA7"/>
    <w:rsid w:val="00A44DDB"/>
    <w:rsid w:val="00A4590A"/>
    <w:rsid w:val="00A475B7"/>
    <w:rsid w:val="00A47AF7"/>
    <w:rsid w:val="00A47C3E"/>
    <w:rsid w:val="00A50226"/>
    <w:rsid w:val="00A53ABB"/>
    <w:rsid w:val="00A60BAD"/>
    <w:rsid w:val="00A65602"/>
    <w:rsid w:val="00A66610"/>
    <w:rsid w:val="00A72B0A"/>
    <w:rsid w:val="00A77F87"/>
    <w:rsid w:val="00A80B5B"/>
    <w:rsid w:val="00A832C1"/>
    <w:rsid w:val="00A84E36"/>
    <w:rsid w:val="00A964D1"/>
    <w:rsid w:val="00AA0ED0"/>
    <w:rsid w:val="00AA2AFF"/>
    <w:rsid w:val="00AA3BF1"/>
    <w:rsid w:val="00AA73B0"/>
    <w:rsid w:val="00AC1F53"/>
    <w:rsid w:val="00AC2B40"/>
    <w:rsid w:val="00AC2BB2"/>
    <w:rsid w:val="00AC2C3C"/>
    <w:rsid w:val="00AC512D"/>
    <w:rsid w:val="00AD0083"/>
    <w:rsid w:val="00AD3935"/>
    <w:rsid w:val="00AD3AAD"/>
    <w:rsid w:val="00AE00AB"/>
    <w:rsid w:val="00AE65EB"/>
    <w:rsid w:val="00AE67A7"/>
    <w:rsid w:val="00AF1D94"/>
    <w:rsid w:val="00AF2313"/>
    <w:rsid w:val="00AF60C5"/>
    <w:rsid w:val="00B009C6"/>
    <w:rsid w:val="00B01548"/>
    <w:rsid w:val="00B11F14"/>
    <w:rsid w:val="00B130C5"/>
    <w:rsid w:val="00B13EBD"/>
    <w:rsid w:val="00B1406F"/>
    <w:rsid w:val="00B14BC0"/>
    <w:rsid w:val="00B21D29"/>
    <w:rsid w:val="00B21FB8"/>
    <w:rsid w:val="00B25034"/>
    <w:rsid w:val="00B3337A"/>
    <w:rsid w:val="00B33588"/>
    <w:rsid w:val="00B33863"/>
    <w:rsid w:val="00B37D17"/>
    <w:rsid w:val="00B4175E"/>
    <w:rsid w:val="00B41C85"/>
    <w:rsid w:val="00B452CE"/>
    <w:rsid w:val="00B54C25"/>
    <w:rsid w:val="00B7603C"/>
    <w:rsid w:val="00B76B91"/>
    <w:rsid w:val="00B77EB1"/>
    <w:rsid w:val="00B811C6"/>
    <w:rsid w:val="00B855B0"/>
    <w:rsid w:val="00B90344"/>
    <w:rsid w:val="00B92E08"/>
    <w:rsid w:val="00B97C11"/>
    <w:rsid w:val="00BA1EEF"/>
    <w:rsid w:val="00BB0B78"/>
    <w:rsid w:val="00BB75D6"/>
    <w:rsid w:val="00BC168F"/>
    <w:rsid w:val="00BC622A"/>
    <w:rsid w:val="00BD27D6"/>
    <w:rsid w:val="00BE0A78"/>
    <w:rsid w:val="00BE6542"/>
    <w:rsid w:val="00BE79F0"/>
    <w:rsid w:val="00BF046D"/>
    <w:rsid w:val="00BF1190"/>
    <w:rsid w:val="00BF3774"/>
    <w:rsid w:val="00BF400C"/>
    <w:rsid w:val="00BF57C6"/>
    <w:rsid w:val="00BF5D04"/>
    <w:rsid w:val="00BF7063"/>
    <w:rsid w:val="00BF7DA4"/>
    <w:rsid w:val="00C009AA"/>
    <w:rsid w:val="00C1164D"/>
    <w:rsid w:val="00C138CB"/>
    <w:rsid w:val="00C16861"/>
    <w:rsid w:val="00C34133"/>
    <w:rsid w:val="00C346AB"/>
    <w:rsid w:val="00C404A6"/>
    <w:rsid w:val="00C40A36"/>
    <w:rsid w:val="00C44419"/>
    <w:rsid w:val="00C45E7B"/>
    <w:rsid w:val="00C471B1"/>
    <w:rsid w:val="00C525A2"/>
    <w:rsid w:val="00C52E24"/>
    <w:rsid w:val="00C6316B"/>
    <w:rsid w:val="00C634A9"/>
    <w:rsid w:val="00C64586"/>
    <w:rsid w:val="00C70A36"/>
    <w:rsid w:val="00C70D53"/>
    <w:rsid w:val="00C73D0B"/>
    <w:rsid w:val="00C74F5C"/>
    <w:rsid w:val="00C772FF"/>
    <w:rsid w:val="00C7748E"/>
    <w:rsid w:val="00C80137"/>
    <w:rsid w:val="00C801AF"/>
    <w:rsid w:val="00C80256"/>
    <w:rsid w:val="00C85ADE"/>
    <w:rsid w:val="00C94CD4"/>
    <w:rsid w:val="00C9747E"/>
    <w:rsid w:val="00CB6BC0"/>
    <w:rsid w:val="00CC059B"/>
    <w:rsid w:val="00CC1B7C"/>
    <w:rsid w:val="00CC5044"/>
    <w:rsid w:val="00CC727F"/>
    <w:rsid w:val="00CD19D1"/>
    <w:rsid w:val="00CE2EF4"/>
    <w:rsid w:val="00CF15C3"/>
    <w:rsid w:val="00CF2B6F"/>
    <w:rsid w:val="00CF2F3E"/>
    <w:rsid w:val="00CF58B6"/>
    <w:rsid w:val="00CF5DAD"/>
    <w:rsid w:val="00CF7E3E"/>
    <w:rsid w:val="00D0062D"/>
    <w:rsid w:val="00D017ED"/>
    <w:rsid w:val="00D040D3"/>
    <w:rsid w:val="00D04C65"/>
    <w:rsid w:val="00D11317"/>
    <w:rsid w:val="00D153D8"/>
    <w:rsid w:val="00D201D2"/>
    <w:rsid w:val="00D20BE2"/>
    <w:rsid w:val="00D212F3"/>
    <w:rsid w:val="00D224FE"/>
    <w:rsid w:val="00D23139"/>
    <w:rsid w:val="00D425BB"/>
    <w:rsid w:val="00D453FA"/>
    <w:rsid w:val="00D56348"/>
    <w:rsid w:val="00D6242E"/>
    <w:rsid w:val="00D6493E"/>
    <w:rsid w:val="00D7195D"/>
    <w:rsid w:val="00D72CBA"/>
    <w:rsid w:val="00D7301E"/>
    <w:rsid w:val="00D83AE1"/>
    <w:rsid w:val="00D854AC"/>
    <w:rsid w:val="00D855D4"/>
    <w:rsid w:val="00D902C9"/>
    <w:rsid w:val="00D93466"/>
    <w:rsid w:val="00DA1124"/>
    <w:rsid w:val="00DA64CB"/>
    <w:rsid w:val="00DA724A"/>
    <w:rsid w:val="00DB06B8"/>
    <w:rsid w:val="00DB3164"/>
    <w:rsid w:val="00DB6124"/>
    <w:rsid w:val="00DB750B"/>
    <w:rsid w:val="00DB75B7"/>
    <w:rsid w:val="00DC0A2F"/>
    <w:rsid w:val="00DC1948"/>
    <w:rsid w:val="00DC6E02"/>
    <w:rsid w:val="00DD28CD"/>
    <w:rsid w:val="00DE02AE"/>
    <w:rsid w:val="00DE21E9"/>
    <w:rsid w:val="00DE39D1"/>
    <w:rsid w:val="00DF1D7F"/>
    <w:rsid w:val="00DF320D"/>
    <w:rsid w:val="00DF4BE4"/>
    <w:rsid w:val="00DF7C6F"/>
    <w:rsid w:val="00E02382"/>
    <w:rsid w:val="00E02FB4"/>
    <w:rsid w:val="00E13DE6"/>
    <w:rsid w:val="00E13FC7"/>
    <w:rsid w:val="00E20571"/>
    <w:rsid w:val="00E235F7"/>
    <w:rsid w:val="00E23659"/>
    <w:rsid w:val="00E239D4"/>
    <w:rsid w:val="00E26130"/>
    <w:rsid w:val="00E2674C"/>
    <w:rsid w:val="00E33D42"/>
    <w:rsid w:val="00E40B22"/>
    <w:rsid w:val="00E44ED1"/>
    <w:rsid w:val="00E45619"/>
    <w:rsid w:val="00E4588F"/>
    <w:rsid w:val="00E46DA3"/>
    <w:rsid w:val="00E51BB1"/>
    <w:rsid w:val="00E55CB0"/>
    <w:rsid w:val="00E5633B"/>
    <w:rsid w:val="00E624A5"/>
    <w:rsid w:val="00E64BA4"/>
    <w:rsid w:val="00E73434"/>
    <w:rsid w:val="00E7344E"/>
    <w:rsid w:val="00E82665"/>
    <w:rsid w:val="00EB0798"/>
    <w:rsid w:val="00EB36D6"/>
    <w:rsid w:val="00EB40AD"/>
    <w:rsid w:val="00EB497D"/>
    <w:rsid w:val="00EB586E"/>
    <w:rsid w:val="00EB5FC8"/>
    <w:rsid w:val="00EC463D"/>
    <w:rsid w:val="00EC7A85"/>
    <w:rsid w:val="00ED2922"/>
    <w:rsid w:val="00ED3CAD"/>
    <w:rsid w:val="00ED5A41"/>
    <w:rsid w:val="00EE1DE8"/>
    <w:rsid w:val="00EE27C2"/>
    <w:rsid w:val="00EE513B"/>
    <w:rsid w:val="00EF4BAD"/>
    <w:rsid w:val="00EF59DC"/>
    <w:rsid w:val="00F033EC"/>
    <w:rsid w:val="00F04F68"/>
    <w:rsid w:val="00F12670"/>
    <w:rsid w:val="00F12EE6"/>
    <w:rsid w:val="00F14B27"/>
    <w:rsid w:val="00F1642E"/>
    <w:rsid w:val="00F164EB"/>
    <w:rsid w:val="00F2491A"/>
    <w:rsid w:val="00F3148D"/>
    <w:rsid w:val="00F325C5"/>
    <w:rsid w:val="00F32FE0"/>
    <w:rsid w:val="00F35298"/>
    <w:rsid w:val="00F40D73"/>
    <w:rsid w:val="00F44486"/>
    <w:rsid w:val="00F44968"/>
    <w:rsid w:val="00F47333"/>
    <w:rsid w:val="00F47E37"/>
    <w:rsid w:val="00F5213E"/>
    <w:rsid w:val="00F53C07"/>
    <w:rsid w:val="00F54B65"/>
    <w:rsid w:val="00F63DBF"/>
    <w:rsid w:val="00F640B6"/>
    <w:rsid w:val="00F66DF2"/>
    <w:rsid w:val="00F80E40"/>
    <w:rsid w:val="00F848D9"/>
    <w:rsid w:val="00F86064"/>
    <w:rsid w:val="00F862A2"/>
    <w:rsid w:val="00F931CE"/>
    <w:rsid w:val="00FA4BBA"/>
    <w:rsid w:val="00FA4F9A"/>
    <w:rsid w:val="00FA5069"/>
    <w:rsid w:val="00FA578B"/>
    <w:rsid w:val="00FA5B82"/>
    <w:rsid w:val="00FA639E"/>
    <w:rsid w:val="00FB61F3"/>
    <w:rsid w:val="00FC1FCA"/>
    <w:rsid w:val="00FC25E4"/>
    <w:rsid w:val="00FC4EF7"/>
    <w:rsid w:val="00FD0824"/>
    <w:rsid w:val="00FD119B"/>
    <w:rsid w:val="00FD1EDC"/>
    <w:rsid w:val="00FE1DEE"/>
    <w:rsid w:val="00FF2126"/>
    <w:rsid w:val="00FF5755"/>
    <w:rsid w:val="00FF69BE"/>
    <w:rsid w:val="00FF7B9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51201"/>
    <o:shapelayout v:ext="edit">
      <o:idmap v:ext="edit" data="1"/>
    </o:shapelayout>
  </w:shapeDefaults>
  <w:decimalSymbol w:val="."/>
  <w:listSeparator w:val=","/>
  <w14:docId w14:val="65FBAB02"/>
  <w15:docId w15:val="{363C8D22-DB8F-491B-8481-72EB12A750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200" w:line="0" w:lineRule="auto"/>
      </w:pPr>
    </w:pPrDefault>
  </w:docDefaults>
  <w:latentStyles w:defLockedState="0" w:defUIPriority="99" w:defSemiHidden="0" w:defUnhideWhenUsed="0" w:defQFormat="0" w:count="376">
    <w:lsdException w:name="Normal" w:uiPriority="1" w:qFormat="1"/>
    <w:lsdException w:name="heading 1" w:uiPriority="0"/>
    <w:lsdException w:name="heading 2" w:uiPriority="0" w:qFormat="1"/>
    <w:lsdException w:name="heading 3" w:uiPriority="0" w:qFormat="1"/>
    <w:lsdException w:name="heading 4" w:uiPriority="0" w:qFormat="1"/>
    <w:lsdException w:name="heading 5" w:uiPriority="9" w:qFormat="1"/>
    <w:lsdException w:name="heading 6" w:semiHidden="1" w:uiPriority="9" w:unhideWhenUsed="1"/>
    <w:lsdException w:name="heading 7" w:semiHidden="1" w:uiPriority="9" w:unhideWhenUsed="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index heading" w:semiHidden="1" w:unhideWhenUsed="1"/>
    <w:lsdException w:name="caption" w:uiPriority="35"/>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2"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2" w:qFormat="1"/>
    <w:lsdException w:name="List Bullet 3" w:semiHidden="1" w:uiPriority="2"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A06179"/>
    <w:pPr>
      <w:spacing w:before="120" w:after="120" w:line="240" w:lineRule="atLeast"/>
    </w:pPr>
    <w:rPr>
      <w:rFonts w:ascii="Cambria" w:eastAsia="Cambria" w:hAnsi="Cambria" w:cs="Times New Roman"/>
    </w:rPr>
  </w:style>
  <w:style w:type="paragraph" w:styleId="Heading1">
    <w:name w:val="heading 1"/>
    <w:basedOn w:val="Heading2"/>
    <w:next w:val="Normal"/>
    <w:link w:val="Heading1Char"/>
    <w:rsid w:val="000C690F"/>
    <w:pPr>
      <w:spacing w:before="120" w:after="360"/>
      <w:outlineLvl w:val="0"/>
    </w:pPr>
    <w:rPr>
      <w:rFonts w:asciiTheme="majorHAnsi" w:hAnsiTheme="majorHAnsi" w:cstheme="majorHAnsi"/>
      <w:sz w:val="64"/>
      <w:szCs w:val="64"/>
    </w:rPr>
  </w:style>
  <w:style w:type="paragraph" w:styleId="Heading2">
    <w:name w:val="heading 2"/>
    <w:basedOn w:val="Normal"/>
    <w:next w:val="Normal"/>
    <w:link w:val="Heading2Char"/>
    <w:qFormat/>
    <w:rsid w:val="004722CC"/>
    <w:pPr>
      <w:keepNext/>
      <w:keepLines/>
      <w:spacing w:before="480"/>
      <w:outlineLvl w:val="1"/>
    </w:pPr>
    <w:rPr>
      <w:rFonts w:ascii="Arial" w:eastAsia="Times New Roman" w:hAnsi="Arial"/>
      <w:b/>
      <w:bCs/>
      <w:sz w:val="32"/>
      <w:szCs w:val="26"/>
    </w:rPr>
  </w:style>
  <w:style w:type="paragraph" w:styleId="Heading3">
    <w:name w:val="heading 3"/>
    <w:basedOn w:val="Normal"/>
    <w:next w:val="Normal"/>
    <w:link w:val="Heading3Char"/>
    <w:qFormat/>
    <w:rsid w:val="00EF59DC"/>
    <w:pPr>
      <w:keepNext/>
      <w:keepLines/>
      <w:spacing w:before="480" w:after="0" w:line="220" w:lineRule="atLeast"/>
      <w:outlineLvl w:val="2"/>
    </w:pPr>
    <w:rPr>
      <w:rFonts w:ascii="Arial" w:eastAsia="Times New Roman" w:hAnsi="Arial"/>
      <w:b/>
      <w:bCs/>
      <w:sz w:val="26"/>
      <w:szCs w:val="21"/>
    </w:rPr>
  </w:style>
  <w:style w:type="paragraph" w:styleId="Heading4">
    <w:name w:val="heading 4"/>
    <w:basedOn w:val="Normal"/>
    <w:next w:val="Normal"/>
    <w:link w:val="Heading4Char"/>
    <w:qFormat/>
    <w:rsid w:val="00AD0083"/>
    <w:pPr>
      <w:keepNext/>
      <w:spacing w:before="360" w:after="0" w:line="220" w:lineRule="atLeast"/>
      <w:outlineLvl w:val="3"/>
    </w:pPr>
    <w:rPr>
      <w:b/>
      <w:bCs/>
      <w:szCs w:val="21"/>
    </w:rPr>
  </w:style>
  <w:style w:type="paragraph" w:styleId="Heading5">
    <w:name w:val="heading 5"/>
    <w:basedOn w:val="Normal"/>
    <w:next w:val="Normal"/>
    <w:link w:val="Heading5Char"/>
    <w:uiPriority w:val="9"/>
    <w:qFormat/>
    <w:rsid w:val="004722CC"/>
    <w:pPr>
      <w:keepNext/>
      <w:keepLines/>
      <w:spacing w:line="220" w:lineRule="atLeast"/>
      <w:outlineLvl w:val="4"/>
    </w:pPr>
    <w:rPr>
      <w:rFonts w:eastAsia="Times New Roman"/>
      <w:b/>
      <w:bCs/>
      <w:i/>
      <w:color w:val="001523"/>
      <w:szCs w:val="21"/>
    </w:rPr>
  </w:style>
  <w:style w:type="paragraph" w:styleId="Heading6">
    <w:name w:val="heading 6"/>
    <w:basedOn w:val="Normal"/>
    <w:next w:val="Normal"/>
    <w:link w:val="Heading6Char"/>
    <w:uiPriority w:val="9"/>
    <w:rsid w:val="00577130"/>
    <w:pPr>
      <w:keepNext/>
      <w:spacing w:line="220" w:lineRule="atLeast"/>
      <w:outlineLvl w:val="5"/>
    </w:pPr>
    <w:rPr>
      <w:rFonts w:eastAsia="Times New Roman"/>
      <w:bCs/>
      <w:i/>
      <w:szCs w:val="21"/>
    </w:rPr>
  </w:style>
  <w:style w:type="paragraph" w:styleId="Heading7">
    <w:name w:val="heading 7"/>
    <w:basedOn w:val="Normal"/>
    <w:next w:val="Normal"/>
    <w:link w:val="Heading7Char"/>
    <w:uiPriority w:val="9"/>
    <w:rsid w:val="00770CAC"/>
    <w:pPr>
      <w:keepNext/>
      <w:spacing w:after="60" w:line="180" w:lineRule="atLeast"/>
      <w:outlineLvl w:val="6"/>
    </w:pPr>
    <w:rPr>
      <w:rFonts w:eastAsia="Times New Roman"/>
      <w:bCs/>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0C690F"/>
    <w:rPr>
      <w:rFonts w:asciiTheme="majorHAnsi" w:eastAsia="Times New Roman" w:hAnsiTheme="majorHAnsi" w:cstheme="majorHAnsi"/>
      <w:b/>
      <w:bCs/>
      <w:sz w:val="64"/>
      <w:szCs w:val="64"/>
    </w:rPr>
  </w:style>
  <w:style w:type="character" w:customStyle="1" w:styleId="Heading2Char">
    <w:name w:val="Heading 2 Char"/>
    <w:basedOn w:val="DefaultParagraphFont"/>
    <w:link w:val="Heading2"/>
    <w:rsid w:val="00AD3935"/>
    <w:rPr>
      <w:rFonts w:ascii="Arial" w:eastAsia="Times New Roman" w:hAnsi="Arial" w:cs="Times New Roman"/>
      <w:b/>
      <w:bCs/>
      <w:sz w:val="32"/>
      <w:szCs w:val="26"/>
    </w:rPr>
  </w:style>
  <w:style w:type="character" w:customStyle="1" w:styleId="Heading3Char">
    <w:name w:val="Heading 3 Char"/>
    <w:basedOn w:val="DefaultParagraphFont"/>
    <w:link w:val="Heading3"/>
    <w:rsid w:val="00EF59DC"/>
    <w:rPr>
      <w:rFonts w:ascii="Arial" w:eastAsia="Times New Roman" w:hAnsi="Arial" w:cs="Times New Roman"/>
      <w:b/>
      <w:bCs/>
      <w:sz w:val="26"/>
      <w:szCs w:val="21"/>
    </w:rPr>
  </w:style>
  <w:style w:type="paragraph" w:customStyle="1" w:styleId="Address">
    <w:name w:val="Address"/>
    <w:basedOn w:val="Normal"/>
    <w:rsid w:val="00E45619"/>
    <w:pPr>
      <w:spacing w:before="0" w:after="0" w:line="280" w:lineRule="atLeast"/>
      <w:jc w:val="center"/>
    </w:pPr>
  </w:style>
  <w:style w:type="paragraph" w:customStyle="1" w:styleId="AxisLabel">
    <w:name w:val="Axis Label"/>
    <w:basedOn w:val="Normal"/>
    <w:rsid w:val="00F3148D"/>
    <w:pPr>
      <w:spacing w:after="0" w:line="240" w:lineRule="auto"/>
    </w:pPr>
    <w:rPr>
      <w:rFonts w:ascii="Arial" w:hAnsi="Arial"/>
      <w:noProof/>
      <w:sz w:val="14"/>
      <w:lang w:eastAsia="en-AU"/>
    </w:rPr>
  </w:style>
  <w:style w:type="paragraph" w:customStyle="1" w:styleId="AxisTitle">
    <w:name w:val="Axis Title"/>
    <w:basedOn w:val="Normal"/>
    <w:rsid w:val="00F3148D"/>
    <w:pPr>
      <w:spacing w:after="0" w:line="240" w:lineRule="auto"/>
    </w:pPr>
    <w:rPr>
      <w:rFonts w:ascii="Arial" w:hAnsi="Arial"/>
      <w:sz w:val="16"/>
    </w:rPr>
  </w:style>
  <w:style w:type="paragraph" w:styleId="BalloonText">
    <w:name w:val="Balloon Text"/>
    <w:basedOn w:val="Normal"/>
    <w:link w:val="BalloonTextChar"/>
    <w:uiPriority w:val="99"/>
    <w:semiHidden/>
    <w:unhideWhenUsed/>
    <w:rsid w:val="00F3148D"/>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F3148D"/>
    <w:rPr>
      <w:rFonts w:ascii="Tahoma" w:hAnsi="Tahoma" w:cs="Tahoma"/>
      <w:sz w:val="16"/>
      <w:szCs w:val="16"/>
    </w:rPr>
  </w:style>
  <w:style w:type="paragraph" w:styleId="Caption">
    <w:name w:val="caption"/>
    <w:basedOn w:val="Normal"/>
    <w:next w:val="Normal"/>
    <w:uiPriority w:val="35"/>
    <w:rsid w:val="003D1E62"/>
    <w:pPr>
      <w:spacing w:before="0"/>
    </w:pPr>
    <w:rPr>
      <w:sz w:val="19"/>
      <w:szCs w:val="18"/>
    </w:rPr>
  </w:style>
  <w:style w:type="paragraph" w:customStyle="1" w:styleId="Contents">
    <w:name w:val="Contents"/>
    <w:basedOn w:val="Normal"/>
    <w:rsid w:val="003B4D60"/>
    <w:pPr>
      <w:spacing w:before="0" w:after="0"/>
    </w:pPr>
    <w:rPr>
      <w:rFonts w:ascii="Arial" w:hAnsi="Arial"/>
      <w:b/>
      <w:sz w:val="48"/>
    </w:rPr>
  </w:style>
  <w:style w:type="paragraph" w:styleId="Date">
    <w:name w:val="Date"/>
    <w:basedOn w:val="Normal"/>
    <w:next w:val="Normal"/>
    <w:link w:val="DateChar"/>
    <w:uiPriority w:val="99"/>
    <w:rsid w:val="009556D7"/>
    <w:pPr>
      <w:framePr w:hSpace="180" w:wrap="around" w:vAnchor="text" w:hAnchor="margin" w:y="9863"/>
      <w:suppressOverlap/>
    </w:pPr>
    <w:rPr>
      <w:rFonts w:ascii="Arial" w:hAnsi="Arial" w:cs="Arial"/>
      <w:b/>
      <w:color w:val="002C47"/>
      <w:sz w:val="36"/>
      <w:szCs w:val="36"/>
    </w:rPr>
  </w:style>
  <w:style w:type="character" w:customStyle="1" w:styleId="DateChar">
    <w:name w:val="Date Char"/>
    <w:basedOn w:val="DefaultParagraphFont"/>
    <w:link w:val="Date"/>
    <w:uiPriority w:val="99"/>
    <w:rsid w:val="009556D7"/>
    <w:rPr>
      <w:rFonts w:ascii="Arial" w:eastAsia="Cambria" w:hAnsi="Arial" w:cs="Arial"/>
      <w:b/>
      <w:color w:val="002C47"/>
      <w:sz w:val="36"/>
      <w:szCs w:val="36"/>
    </w:rPr>
  </w:style>
  <w:style w:type="paragraph" w:customStyle="1" w:styleId="FigureDescription">
    <w:name w:val="Figure Description"/>
    <w:basedOn w:val="Normal"/>
    <w:rsid w:val="003D1E62"/>
    <w:pPr>
      <w:spacing w:after="0"/>
    </w:pPr>
    <w:rPr>
      <w:sz w:val="19"/>
    </w:rPr>
  </w:style>
  <w:style w:type="paragraph" w:customStyle="1" w:styleId="FigureTitle">
    <w:name w:val="Figure Title"/>
    <w:basedOn w:val="Normal"/>
    <w:rsid w:val="001B5C90"/>
    <w:pPr>
      <w:keepNext/>
      <w:spacing w:line="220" w:lineRule="atLeast"/>
    </w:pPr>
    <w:rPr>
      <w:b/>
    </w:rPr>
  </w:style>
  <w:style w:type="character" w:customStyle="1" w:styleId="Heading4Char">
    <w:name w:val="Heading 4 Char"/>
    <w:basedOn w:val="DefaultParagraphFont"/>
    <w:link w:val="Heading4"/>
    <w:rsid w:val="00AD3935"/>
    <w:rPr>
      <w:rFonts w:ascii="Cambria" w:eastAsia="Cambria" w:hAnsi="Cambria" w:cs="Times New Roman"/>
      <w:b/>
      <w:bCs/>
      <w:szCs w:val="21"/>
    </w:rPr>
  </w:style>
  <w:style w:type="character" w:styleId="FollowedHyperlink">
    <w:name w:val="FollowedHyperlink"/>
    <w:basedOn w:val="DefaultParagraphFont"/>
    <w:uiPriority w:val="99"/>
    <w:semiHidden/>
    <w:unhideWhenUsed/>
    <w:rsid w:val="00F3148D"/>
    <w:rPr>
      <w:color w:val="800080"/>
      <w:u w:val="single"/>
    </w:rPr>
  </w:style>
  <w:style w:type="paragraph" w:styleId="Footer">
    <w:name w:val="footer"/>
    <w:basedOn w:val="Normal"/>
    <w:link w:val="FooterChar"/>
    <w:uiPriority w:val="99"/>
    <w:rsid w:val="003B4D60"/>
    <w:pPr>
      <w:tabs>
        <w:tab w:val="center" w:pos="4513"/>
        <w:tab w:val="right" w:pos="9026"/>
      </w:tabs>
      <w:spacing w:before="0" w:after="0" w:line="240" w:lineRule="auto"/>
    </w:pPr>
    <w:rPr>
      <w:sz w:val="17"/>
    </w:rPr>
  </w:style>
  <w:style w:type="character" w:customStyle="1" w:styleId="FooterChar">
    <w:name w:val="Footer Char"/>
    <w:basedOn w:val="DefaultParagraphFont"/>
    <w:link w:val="Footer"/>
    <w:uiPriority w:val="99"/>
    <w:rsid w:val="003B4D60"/>
    <w:rPr>
      <w:rFonts w:ascii="Cambria" w:eastAsia="Cambria" w:hAnsi="Cambria" w:cs="Times New Roman"/>
      <w:sz w:val="17"/>
    </w:rPr>
  </w:style>
  <w:style w:type="paragraph" w:styleId="Header">
    <w:name w:val="header"/>
    <w:basedOn w:val="Normal"/>
    <w:link w:val="HeaderChar"/>
    <w:uiPriority w:val="99"/>
    <w:rsid w:val="003B4D60"/>
    <w:pPr>
      <w:pBdr>
        <w:bottom w:val="single" w:sz="4" w:space="3" w:color="auto"/>
      </w:pBdr>
      <w:tabs>
        <w:tab w:val="center" w:pos="4513"/>
        <w:tab w:val="right" w:pos="9026"/>
      </w:tabs>
      <w:spacing w:after="240" w:line="240" w:lineRule="auto"/>
      <w:jc w:val="right"/>
    </w:pPr>
    <w:rPr>
      <w:sz w:val="17"/>
    </w:rPr>
  </w:style>
  <w:style w:type="character" w:customStyle="1" w:styleId="HeaderChar">
    <w:name w:val="Header Char"/>
    <w:basedOn w:val="DefaultParagraphFont"/>
    <w:link w:val="Header"/>
    <w:uiPriority w:val="99"/>
    <w:rsid w:val="003B4D60"/>
    <w:rPr>
      <w:rFonts w:ascii="Cambria" w:eastAsia="Cambria" w:hAnsi="Cambria" w:cs="Times New Roman"/>
      <w:sz w:val="17"/>
    </w:rPr>
  </w:style>
  <w:style w:type="paragraph" w:customStyle="1" w:styleId="HeaderNoLine">
    <w:name w:val="Header No Line"/>
    <w:basedOn w:val="Header"/>
    <w:rsid w:val="00F3148D"/>
    <w:pPr>
      <w:pBdr>
        <w:bottom w:val="none" w:sz="0" w:space="0" w:color="auto"/>
      </w:pBdr>
      <w:jc w:val="left"/>
    </w:pPr>
  </w:style>
  <w:style w:type="character" w:customStyle="1" w:styleId="Heading5Char">
    <w:name w:val="Heading 5 Char"/>
    <w:basedOn w:val="DefaultParagraphFont"/>
    <w:link w:val="Heading5"/>
    <w:uiPriority w:val="9"/>
    <w:rsid w:val="00AD3935"/>
    <w:rPr>
      <w:rFonts w:ascii="Cambria" w:eastAsia="Times New Roman" w:hAnsi="Cambria" w:cs="Times New Roman"/>
      <w:b/>
      <w:bCs/>
      <w:i/>
      <w:color w:val="001523"/>
      <w:szCs w:val="21"/>
    </w:rPr>
  </w:style>
  <w:style w:type="character" w:customStyle="1" w:styleId="Heading6Char">
    <w:name w:val="Heading 6 Char"/>
    <w:basedOn w:val="DefaultParagraphFont"/>
    <w:link w:val="Heading6"/>
    <w:uiPriority w:val="9"/>
    <w:rsid w:val="00577130"/>
    <w:rPr>
      <w:rFonts w:ascii="Cambria" w:eastAsia="Times New Roman" w:hAnsi="Cambria" w:cs="Times New Roman"/>
      <w:bCs/>
      <w:i/>
      <w:szCs w:val="21"/>
    </w:rPr>
  </w:style>
  <w:style w:type="character" w:customStyle="1" w:styleId="Heading7Char">
    <w:name w:val="Heading 7 Char"/>
    <w:basedOn w:val="DefaultParagraphFont"/>
    <w:link w:val="Heading7"/>
    <w:uiPriority w:val="9"/>
    <w:rsid w:val="00770CAC"/>
    <w:rPr>
      <w:rFonts w:ascii="Cambria" w:eastAsia="Times New Roman" w:hAnsi="Cambria" w:cs="Times New Roman"/>
      <w:bCs/>
      <w:sz w:val="20"/>
      <w:szCs w:val="24"/>
    </w:rPr>
  </w:style>
  <w:style w:type="character" w:styleId="Hyperlink">
    <w:name w:val="Hyperlink"/>
    <w:basedOn w:val="DefaultParagraphFont"/>
    <w:uiPriority w:val="99"/>
    <w:unhideWhenUsed/>
    <w:rsid w:val="008960DD"/>
    <w:rPr>
      <w:color w:val="0000FF"/>
      <w:u w:val="single"/>
    </w:rPr>
  </w:style>
  <w:style w:type="paragraph" w:customStyle="1" w:styleId="Key">
    <w:name w:val="Key"/>
    <w:basedOn w:val="Normal"/>
    <w:rsid w:val="00F3148D"/>
    <w:rPr>
      <w:sz w:val="14"/>
    </w:rPr>
  </w:style>
  <w:style w:type="paragraph" w:customStyle="1" w:styleId="LegalCopy">
    <w:name w:val="Legal Copy"/>
    <w:basedOn w:val="Footer"/>
    <w:rsid w:val="00F3148D"/>
  </w:style>
  <w:style w:type="paragraph" w:customStyle="1" w:styleId="LegalSubheading">
    <w:name w:val="Legal Subheading"/>
    <w:basedOn w:val="Footer"/>
    <w:rsid w:val="00C74F5C"/>
    <w:pPr>
      <w:outlineLvl w:val="1"/>
    </w:pPr>
    <w:rPr>
      <w:b/>
    </w:rPr>
  </w:style>
  <w:style w:type="table" w:styleId="LightShading-Accent2">
    <w:name w:val="Light Shading Accent 2"/>
    <w:basedOn w:val="TableNormal"/>
    <w:uiPriority w:val="60"/>
    <w:rsid w:val="00F3148D"/>
    <w:pPr>
      <w:spacing w:after="0" w:line="240" w:lineRule="auto"/>
    </w:pPr>
    <w:rPr>
      <w:rFonts w:ascii="Cambria" w:eastAsia="Calibri" w:hAnsi="Cambria" w:cs="Times New Roman"/>
      <w:color w:val="943634"/>
      <w:sz w:val="21"/>
      <w:szCs w:val="21"/>
    </w:rPr>
    <w:tblPr>
      <w:tblStyleRowBandSize w:val="1"/>
      <w:tblStyleColBandSize w:val="1"/>
      <w:tblBorders>
        <w:top w:val="single" w:sz="8" w:space="0" w:color="C0504D"/>
        <w:bottom w:val="single" w:sz="8" w:space="0" w:color="C0504D"/>
      </w:tblBorders>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paragraph" w:styleId="ListBullet">
    <w:name w:val="List Bullet"/>
    <w:basedOn w:val="Normal"/>
    <w:uiPriority w:val="2"/>
    <w:qFormat/>
    <w:rsid w:val="004C2DCA"/>
    <w:pPr>
      <w:numPr>
        <w:numId w:val="21"/>
      </w:numPr>
    </w:pPr>
  </w:style>
  <w:style w:type="paragraph" w:styleId="ListBullet2">
    <w:name w:val="List Bullet 2"/>
    <w:basedOn w:val="Normal"/>
    <w:uiPriority w:val="2"/>
    <w:qFormat/>
    <w:rsid w:val="004C2DCA"/>
    <w:pPr>
      <w:numPr>
        <w:ilvl w:val="1"/>
        <w:numId w:val="21"/>
      </w:numPr>
    </w:pPr>
  </w:style>
  <w:style w:type="paragraph" w:styleId="ListBullet3">
    <w:name w:val="List Bullet 3"/>
    <w:basedOn w:val="Normal"/>
    <w:uiPriority w:val="2"/>
    <w:qFormat/>
    <w:rsid w:val="004C2DCA"/>
    <w:pPr>
      <w:numPr>
        <w:ilvl w:val="2"/>
        <w:numId w:val="21"/>
      </w:numPr>
    </w:pPr>
  </w:style>
  <w:style w:type="numbering" w:customStyle="1" w:styleId="ListBullets">
    <w:name w:val="ListBullets"/>
    <w:uiPriority w:val="99"/>
    <w:locked/>
    <w:rsid w:val="00F3148D"/>
    <w:pPr>
      <w:numPr>
        <w:numId w:val="3"/>
      </w:numPr>
    </w:pPr>
  </w:style>
  <w:style w:type="table" w:styleId="MediumGrid2-Accent5">
    <w:name w:val="Medium Grid 2 Accent 5"/>
    <w:basedOn w:val="TableNormal"/>
    <w:uiPriority w:val="68"/>
    <w:rsid w:val="00F3148D"/>
    <w:pPr>
      <w:spacing w:after="0" w:line="240" w:lineRule="auto"/>
    </w:pPr>
    <w:rPr>
      <w:rFonts w:ascii="Cambria" w:eastAsia="Times New Roman" w:hAnsi="Cambria" w:cs="Times New Roman"/>
      <w:color w:val="000000"/>
      <w:sz w:val="21"/>
      <w:szCs w:val="21"/>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cPr>
      <w:shd w:val="clear" w:color="auto" w:fill="D2EAF1"/>
    </w:tcPr>
    <w:tblStylePr w:type="firstRow">
      <w:rPr>
        <w:b/>
        <w:bCs/>
        <w:color w:val="000000"/>
      </w:rPr>
      <w:tblPr/>
      <w:tcPr>
        <w:shd w:val="clear" w:color="auto" w:fill="EDF6F9"/>
      </w:tcPr>
    </w:tblStylePr>
    <w:tblStylePr w:type="lastRow">
      <w:rPr>
        <w:b/>
        <w:bCs/>
        <w:color w:val="000000"/>
      </w:rPr>
      <w:tblPr/>
      <w:tcPr>
        <w:tcBorders>
          <w:top w:val="single" w:sz="12" w:space="0" w:color="000000"/>
          <w:left w:val="nil"/>
          <w:bottom w:val="nil"/>
          <w:right w:val="nil"/>
          <w:insideH w:val="nil"/>
          <w:insideV w:val="nil"/>
        </w:tcBorders>
        <w:shd w:val="clear" w:color="auto" w:fill="FFFFFF"/>
      </w:tcPr>
    </w:tblStylePr>
    <w:tblStylePr w:type="firstCol">
      <w:rPr>
        <w:b/>
        <w:bCs/>
        <w:color w:val="000000"/>
      </w:rPr>
      <w:tblPr/>
      <w:tcPr>
        <w:tcBorders>
          <w:top w:val="nil"/>
          <w:left w:val="nil"/>
          <w:bottom w:val="nil"/>
          <w:right w:val="nil"/>
          <w:insideH w:val="nil"/>
          <w:insideV w:val="nil"/>
        </w:tcBorders>
        <w:shd w:val="clear" w:color="auto" w:fill="FFFFFF"/>
      </w:tcPr>
    </w:tblStylePr>
    <w:tblStylePr w:type="lastCol">
      <w:rPr>
        <w:b w:val="0"/>
        <w:bCs w:val="0"/>
        <w:color w:val="000000"/>
      </w:rPr>
      <w:tblPr/>
      <w:tcPr>
        <w:tcBorders>
          <w:top w:val="nil"/>
          <w:left w:val="nil"/>
          <w:bottom w:val="nil"/>
          <w:right w:val="nil"/>
          <w:insideH w:val="nil"/>
          <w:insideV w:val="nil"/>
        </w:tcBorders>
        <w:shd w:val="clear" w:color="auto" w:fill="DAEEF3"/>
      </w:tcPr>
    </w:tblStylePr>
    <w:tblStylePr w:type="band1Vert">
      <w:tblPr/>
      <w:tcPr>
        <w:shd w:val="clear" w:color="auto" w:fill="A5D5E2"/>
      </w:tcPr>
    </w:tblStylePr>
    <w:tblStylePr w:type="band1Horz">
      <w:tblPr/>
      <w:tcPr>
        <w:tcBorders>
          <w:insideH w:val="single" w:sz="6" w:space="0" w:color="4BACC6"/>
          <w:insideV w:val="single" w:sz="6" w:space="0" w:color="4BACC6"/>
        </w:tcBorders>
        <w:shd w:val="clear" w:color="auto" w:fill="A5D5E2"/>
      </w:tcPr>
    </w:tblStylePr>
    <w:tblStylePr w:type="nwCell">
      <w:tblPr/>
      <w:tcPr>
        <w:shd w:val="clear" w:color="auto" w:fill="FFFFFF"/>
      </w:tcPr>
    </w:tblStylePr>
  </w:style>
  <w:style w:type="paragraph" w:customStyle="1" w:styleId="NonTOCHeading2">
    <w:name w:val="Non TOC Heading 2"/>
    <w:basedOn w:val="Normal"/>
    <w:rsid w:val="00C74F5C"/>
    <w:pPr>
      <w:spacing w:before="240"/>
      <w:outlineLvl w:val="1"/>
    </w:pPr>
    <w:rPr>
      <w:rFonts w:ascii="Arial" w:hAnsi="Arial"/>
      <w:b/>
      <w:sz w:val="32"/>
    </w:rPr>
  </w:style>
  <w:style w:type="paragraph" w:customStyle="1" w:styleId="Notes">
    <w:name w:val="Notes"/>
    <w:basedOn w:val="Normal"/>
    <w:locked/>
    <w:rsid w:val="00F3148D"/>
    <w:pPr>
      <w:spacing w:after="0" w:line="240" w:lineRule="auto"/>
    </w:pPr>
    <w:rPr>
      <w:rFonts w:ascii="Arial" w:hAnsi="Arial"/>
      <w:sz w:val="16"/>
    </w:rPr>
  </w:style>
  <w:style w:type="paragraph" w:customStyle="1" w:styleId="Numberbullet0">
    <w:name w:val="Number bullet"/>
    <w:basedOn w:val="ListBullet"/>
    <w:uiPriority w:val="2"/>
    <w:qFormat/>
    <w:rsid w:val="004C2DCA"/>
    <w:pPr>
      <w:numPr>
        <w:numId w:val="24"/>
      </w:numPr>
    </w:pPr>
  </w:style>
  <w:style w:type="paragraph" w:customStyle="1" w:styleId="Numberbullet2">
    <w:name w:val="Number bullet 2"/>
    <w:basedOn w:val="ListBullet2"/>
    <w:uiPriority w:val="2"/>
    <w:qFormat/>
    <w:rsid w:val="004C2DCA"/>
    <w:pPr>
      <w:numPr>
        <w:numId w:val="24"/>
      </w:numPr>
    </w:pPr>
  </w:style>
  <w:style w:type="paragraph" w:customStyle="1" w:styleId="Numberbullet3">
    <w:name w:val="Number bullet 3"/>
    <w:basedOn w:val="ListBullet3"/>
    <w:uiPriority w:val="2"/>
    <w:qFormat/>
    <w:rsid w:val="004C2DCA"/>
    <w:pPr>
      <w:numPr>
        <w:numId w:val="24"/>
      </w:numPr>
    </w:pPr>
  </w:style>
  <w:style w:type="numbering" w:customStyle="1" w:styleId="NumberBullet">
    <w:name w:val="NumberBullet"/>
    <w:uiPriority w:val="99"/>
    <w:locked/>
    <w:rsid w:val="00F3148D"/>
    <w:pPr>
      <w:numPr>
        <w:numId w:val="8"/>
      </w:numPr>
    </w:pPr>
  </w:style>
  <w:style w:type="character" w:styleId="PlaceholderText">
    <w:name w:val="Placeholder Text"/>
    <w:basedOn w:val="DefaultParagraphFont"/>
    <w:uiPriority w:val="99"/>
    <w:semiHidden/>
    <w:rsid w:val="00F3148D"/>
    <w:rPr>
      <w:color w:val="808080"/>
    </w:rPr>
  </w:style>
  <w:style w:type="paragraph" w:customStyle="1" w:styleId="Reference">
    <w:name w:val="Reference"/>
    <w:basedOn w:val="Normal"/>
    <w:rsid w:val="00F3148D"/>
    <w:pPr>
      <w:spacing w:before="40" w:after="0" w:line="180" w:lineRule="atLeast"/>
      <w:ind w:hanging="170"/>
    </w:pPr>
    <w:rPr>
      <w:sz w:val="19"/>
    </w:rPr>
  </w:style>
  <w:style w:type="paragraph" w:styleId="Subtitle">
    <w:name w:val="Subtitle"/>
    <w:basedOn w:val="Normal"/>
    <w:next w:val="Normal"/>
    <w:link w:val="SubtitleChar"/>
    <w:uiPriority w:val="11"/>
    <w:rsid w:val="009556D7"/>
    <w:pPr>
      <w:framePr w:hSpace="180" w:wrap="around" w:vAnchor="page" w:hAnchor="text" w:y="3316"/>
      <w:numPr>
        <w:ilvl w:val="1"/>
      </w:numPr>
      <w:spacing w:after="360"/>
      <w:ind w:left="170"/>
    </w:pPr>
    <w:rPr>
      <w:rFonts w:ascii="Arial" w:eastAsia="Times New Roman" w:hAnsi="Arial"/>
      <w:bCs/>
      <w:iCs/>
      <w:color w:val="FFFFFF" w:themeColor="background1"/>
      <w:sz w:val="40"/>
      <w:szCs w:val="24"/>
    </w:rPr>
  </w:style>
  <w:style w:type="character" w:customStyle="1" w:styleId="SubtitleChar">
    <w:name w:val="Subtitle Char"/>
    <w:basedOn w:val="DefaultParagraphFont"/>
    <w:link w:val="Subtitle"/>
    <w:uiPriority w:val="11"/>
    <w:rsid w:val="009556D7"/>
    <w:rPr>
      <w:rFonts w:ascii="Arial" w:eastAsia="Times New Roman" w:hAnsi="Arial" w:cs="Times New Roman"/>
      <w:bCs/>
      <w:iCs/>
      <w:color w:val="FFFFFF" w:themeColor="background1"/>
      <w:sz w:val="40"/>
      <w:szCs w:val="24"/>
    </w:rPr>
  </w:style>
  <w:style w:type="paragraph" w:customStyle="1" w:styleId="TableDescription">
    <w:name w:val="Table Description"/>
    <w:basedOn w:val="FigureDescription"/>
    <w:rsid w:val="00500337"/>
    <w:pPr>
      <w:spacing w:line="240" w:lineRule="auto"/>
    </w:pPr>
    <w:rPr>
      <w:szCs w:val="19"/>
    </w:rPr>
  </w:style>
  <w:style w:type="table" w:styleId="TableGrid">
    <w:name w:val="Table Grid"/>
    <w:basedOn w:val="TableNormal"/>
    <w:uiPriority w:val="59"/>
    <w:rsid w:val="00F3148D"/>
    <w:pPr>
      <w:spacing w:after="0" w:line="240" w:lineRule="auto"/>
    </w:pPr>
    <w:rPr>
      <w:rFonts w:ascii="Cambria" w:hAnsi="Cambria" w:cs="Times New Roman"/>
      <w:sz w:val="21"/>
      <w:szCs w:val="21"/>
      <w:lang w:eastAsia="en-A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text">
    <w:name w:val="Table text"/>
    <w:basedOn w:val="Normal"/>
    <w:rsid w:val="00F3148D"/>
    <w:rPr>
      <w:sz w:val="19"/>
    </w:rPr>
  </w:style>
  <w:style w:type="table" w:customStyle="1" w:styleId="TableTGAblue">
    <w:name w:val="Table TGA blue"/>
    <w:basedOn w:val="TableNormal"/>
    <w:uiPriority w:val="99"/>
    <w:qFormat/>
    <w:rsid w:val="00FD119B"/>
    <w:pPr>
      <w:spacing w:after="0" w:line="240" w:lineRule="auto"/>
      <w:ind w:left="170" w:right="170"/>
    </w:pPr>
    <w:rPr>
      <w:rFonts w:ascii="Cambria" w:hAnsi="Cambria" w:cs="Times New Roman"/>
      <w:color w:val="000000" w:themeColor="text1"/>
      <w:szCs w:val="21"/>
      <w:lang w:eastAsia="en-AU"/>
    </w:rPr>
    <w:tblPr>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auto"/>
    </w:tcPr>
    <w:tblStylePr w:type="firstRow">
      <w:pPr>
        <w:keepNext/>
        <w:wordWrap/>
      </w:pPr>
      <w:rPr>
        <w:rFonts w:ascii="Cambria" w:hAnsi="Cambria"/>
        <w:b/>
        <w:color w:val="FFFFFF" w:themeColor="background1"/>
        <w:sz w:val="22"/>
      </w:rPr>
      <w:tblPr/>
      <w:trPr>
        <w:tblHeader/>
      </w:trPr>
      <w:tcPr>
        <w:tcBorders>
          <w:top w:val="single" w:sz="8" w:space="0" w:color="000000" w:themeColor="text1"/>
          <w:left w:val="single" w:sz="8" w:space="0" w:color="000000" w:themeColor="text1"/>
          <w:bottom w:val="single" w:sz="8" w:space="0" w:color="000000" w:themeColor="text1"/>
          <w:right w:val="single" w:sz="8" w:space="0" w:color="000000" w:themeColor="text1"/>
          <w:insideH w:val="nil"/>
          <w:insideV w:val="nil"/>
          <w:tl2br w:val="nil"/>
          <w:tr2bl w:val="nil"/>
        </w:tcBorders>
        <w:shd w:val="clear" w:color="auto" w:fill="006DA7"/>
      </w:tcPr>
    </w:tblStylePr>
  </w:style>
  <w:style w:type="table" w:customStyle="1" w:styleId="TableTGAblack">
    <w:name w:val="Table TGA black"/>
    <w:basedOn w:val="TableNormal"/>
    <w:uiPriority w:val="99"/>
    <w:rsid w:val="00EE1DE8"/>
    <w:pPr>
      <w:spacing w:before="60" w:after="0" w:line="240" w:lineRule="auto"/>
      <w:ind w:left="170" w:right="170"/>
    </w:pPr>
    <w:rPr>
      <w:rFonts w:ascii="Cambria" w:hAnsi="Cambria" w:cs="Times New Roman"/>
      <w:color w:val="000000"/>
      <w:szCs w:val="21"/>
      <w:lang w:eastAsia="en-A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tcPr>
      <w:shd w:val="clear" w:color="auto" w:fill="auto"/>
    </w:tcPr>
    <w:tblStylePr w:type="firstRow">
      <w:pPr>
        <w:wordWrap/>
        <w:spacing w:beforeLines="0" w:beforeAutospacing="0" w:afterLines="0" w:afterAutospacing="0"/>
      </w:pPr>
      <w:rPr>
        <w:rFonts w:ascii="Cambria" w:hAnsi="Cambria"/>
        <w:b/>
        <w:color w:val="FFFFFF" w:themeColor="background1"/>
        <w:sz w:val="22"/>
      </w:rPr>
      <w:tblPr/>
      <w:tcPr>
        <w:shd w:val="clear" w:color="auto" w:fill="000000" w:themeFill="text1"/>
      </w:tcPr>
    </w:tblStylePr>
    <w:tblStylePr w:type="lastRow">
      <w:rPr>
        <w:b w:val="0"/>
      </w:rPr>
    </w:tblStylePr>
    <w:tblStylePr w:type="neCell">
      <w:rPr>
        <w:b w:val="0"/>
        <w:i w:val="0"/>
      </w:rPr>
    </w:tblStylePr>
    <w:tblStylePr w:type="nwCell">
      <w:rPr>
        <w:rFonts w:ascii="Cambria" w:hAnsi="Cambria"/>
        <w:b/>
        <w:i w:val="0"/>
        <w:color w:val="FFFFFF"/>
        <w:sz w:val="22"/>
      </w:rPr>
    </w:tblStylePr>
  </w:style>
  <w:style w:type="paragraph" w:customStyle="1" w:styleId="TableTitle">
    <w:name w:val="Table Title"/>
    <w:basedOn w:val="Normal"/>
    <w:rsid w:val="002E40B3"/>
    <w:pPr>
      <w:keepNext/>
    </w:pPr>
    <w:rPr>
      <w:b/>
    </w:rPr>
  </w:style>
  <w:style w:type="paragraph" w:customStyle="1" w:styleId="TGASignoff">
    <w:name w:val="TGA Signoff"/>
    <w:basedOn w:val="Normal"/>
    <w:rsid w:val="00F3148D"/>
    <w:pPr>
      <w:jc w:val="center"/>
    </w:pPr>
    <w:rPr>
      <w:rFonts w:ascii="Arial" w:hAnsi="Arial"/>
      <w:b/>
      <w:sz w:val="28"/>
    </w:rPr>
  </w:style>
  <w:style w:type="paragraph" w:styleId="Title">
    <w:name w:val="Title"/>
    <w:next w:val="Normal"/>
    <w:link w:val="TitleChar"/>
    <w:uiPriority w:val="10"/>
    <w:rsid w:val="009556D7"/>
    <w:pPr>
      <w:framePr w:hSpace="180" w:wrap="around" w:vAnchor="page" w:hAnchor="text" w:y="3316"/>
      <w:spacing w:after="480" w:line="240" w:lineRule="auto"/>
      <w:contextualSpacing/>
      <w:outlineLvl w:val="0"/>
    </w:pPr>
    <w:rPr>
      <w:rFonts w:ascii="Arial" w:eastAsia="Times New Roman" w:hAnsi="Arial" w:cs="Times New Roman"/>
      <w:color w:val="FFFFFF" w:themeColor="background1"/>
      <w:spacing w:val="5"/>
      <w:kern w:val="28"/>
      <w:sz w:val="52"/>
      <w:szCs w:val="52"/>
    </w:rPr>
  </w:style>
  <w:style w:type="character" w:customStyle="1" w:styleId="TitleChar">
    <w:name w:val="Title Char"/>
    <w:basedOn w:val="DefaultParagraphFont"/>
    <w:link w:val="Title"/>
    <w:uiPriority w:val="10"/>
    <w:rsid w:val="009556D7"/>
    <w:rPr>
      <w:rFonts w:ascii="Arial" w:eastAsia="Times New Roman" w:hAnsi="Arial" w:cs="Times New Roman"/>
      <w:color w:val="FFFFFF" w:themeColor="background1"/>
      <w:spacing w:val="5"/>
      <w:kern w:val="28"/>
      <w:sz w:val="52"/>
      <w:szCs w:val="52"/>
    </w:rPr>
  </w:style>
  <w:style w:type="paragraph" w:styleId="TOC1">
    <w:name w:val="toc 1"/>
    <w:basedOn w:val="Normal"/>
    <w:next w:val="Normal"/>
    <w:uiPriority w:val="39"/>
    <w:rsid w:val="00F3148D"/>
    <w:pPr>
      <w:tabs>
        <w:tab w:val="right" w:pos="8505"/>
      </w:tabs>
      <w:spacing w:after="200"/>
    </w:pPr>
    <w:rPr>
      <w:rFonts w:ascii="Arial" w:hAnsi="Arial"/>
      <w:b/>
      <w:sz w:val="32"/>
    </w:rPr>
  </w:style>
  <w:style w:type="paragraph" w:styleId="TOC2">
    <w:name w:val="toc 2"/>
    <w:basedOn w:val="Normal"/>
    <w:next w:val="Normal"/>
    <w:uiPriority w:val="39"/>
    <w:rsid w:val="00F3148D"/>
    <w:pPr>
      <w:tabs>
        <w:tab w:val="right" w:leader="underscore" w:pos="8505"/>
      </w:tabs>
      <w:spacing w:after="100"/>
      <w:ind w:left="624"/>
    </w:pPr>
    <w:rPr>
      <w:b/>
      <w:sz w:val="25"/>
    </w:rPr>
  </w:style>
  <w:style w:type="paragraph" w:styleId="TOC3">
    <w:name w:val="toc 3"/>
    <w:basedOn w:val="Normal"/>
    <w:next w:val="Normal"/>
    <w:uiPriority w:val="39"/>
    <w:rsid w:val="00F3148D"/>
    <w:pPr>
      <w:tabs>
        <w:tab w:val="right" w:leader="underscore" w:pos="8505"/>
      </w:tabs>
      <w:spacing w:after="100"/>
      <w:ind w:left="1021"/>
    </w:pPr>
  </w:style>
  <w:style w:type="paragraph" w:styleId="TOCHeading">
    <w:name w:val="TOC Heading"/>
    <w:basedOn w:val="Heading1"/>
    <w:next w:val="Normal"/>
    <w:uiPriority w:val="39"/>
    <w:semiHidden/>
    <w:unhideWhenUsed/>
    <w:qFormat/>
    <w:rsid w:val="00F3148D"/>
    <w:pPr>
      <w:framePr w:wrap="around" w:hAnchor="text"/>
      <w:spacing w:before="480" w:after="0" w:line="276" w:lineRule="auto"/>
      <w:outlineLvl w:val="9"/>
    </w:pPr>
    <w:rPr>
      <w:rFonts w:cstheme="minorBidi"/>
      <w:color w:val="002035"/>
      <w:sz w:val="28"/>
      <w:lang w:val="en-US"/>
    </w:rPr>
  </w:style>
  <w:style w:type="paragraph" w:styleId="FootnoteText">
    <w:name w:val="footnote text"/>
    <w:basedOn w:val="Normal"/>
    <w:link w:val="FootnoteTextChar"/>
    <w:uiPriority w:val="99"/>
    <w:unhideWhenUsed/>
    <w:rsid w:val="001B5C90"/>
    <w:pPr>
      <w:spacing w:before="0" w:after="0" w:line="240" w:lineRule="auto"/>
    </w:pPr>
    <w:rPr>
      <w:sz w:val="18"/>
      <w:szCs w:val="20"/>
    </w:rPr>
  </w:style>
  <w:style w:type="character" w:customStyle="1" w:styleId="FootnoteTextChar">
    <w:name w:val="Footnote Text Char"/>
    <w:basedOn w:val="DefaultParagraphFont"/>
    <w:link w:val="FootnoteText"/>
    <w:uiPriority w:val="99"/>
    <w:rsid w:val="001B5C90"/>
    <w:rPr>
      <w:rFonts w:ascii="Cambria" w:eastAsia="Cambria" w:hAnsi="Cambria" w:cs="Times New Roman"/>
      <w:sz w:val="18"/>
      <w:szCs w:val="20"/>
    </w:rPr>
  </w:style>
  <w:style w:type="character" w:styleId="FootnoteReference">
    <w:name w:val="footnote reference"/>
    <w:basedOn w:val="DefaultParagraphFont"/>
    <w:uiPriority w:val="99"/>
    <w:semiHidden/>
    <w:unhideWhenUsed/>
    <w:rsid w:val="001B5C90"/>
    <w:rPr>
      <w:vertAlign w:val="superscript"/>
    </w:rPr>
  </w:style>
  <w:style w:type="paragraph" w:customStyle="1" w:styleId="Quotation">
    <w:name w:val="Quotation"/>
    <w:basedOn w:val="Normal"/>
    <w:next w:val="Normal"/>
    <w:uiPriority w:val="4"/>
    <w:qFormat/>
    <w:rsid w:val="00E13FC7"/>
    <w:pPr>
      <w:spacing w:after="180"/>
      <w:ind w:left="425"/>
    </w:pPr>
    <w:rPr>
      <w:rFonts w:eastAsiaTheme="minorEastAsia" w:cstheme="minorBidi"/>
      <w:sz w:val="20"/>
      <w:lang w:eastAsia="zh-TW"/>
    </w:rPr>
  </w:style>
  <w:style w:type="paragraph" w:customStyle="1" w:styleId="Comment">
    <w:name w:val="Comment"/>
    <w:basedOn w:val="Normal"/>
    <w:next w:val="Normal"/>
    <w:uiPriority w:val="1"/>
    <w:qFormat/>
    <w:rsid w:val="00DD28CD"/>
    <w:pPr>
      <w:ind w:left="992" w:hanging="992"/>
    </w:pPr>
  </w:style>
  <w:style w:type="paragraph" w:styleId="EndnoteText">
    <w:name w:val="endnote text"/>
    <w:basedOn w:val="Normal"/>
    <w:link w:val="EndnoteTextChar"/>
    <w:semiHidden/>
    <w:unhideWhenUsed/>
    <w:rsid w:val="000E6196"/>
    <w:pPr>
      <w:spacing w:before="0" w:after="0" w:line="240" w:lineRule="auto"/>
    </w:pPr>
    <w:rPr>
      <w:sz w:val="20"/>
      <w:szCs w:val="20"/>
    </w:rPr>
  </w:style>
  <w:style w:type="character" w:customStyle="1" w:styleId="EndnoteTextChar">
    <w:name w:val="Endnote Text Char"/>
    <w:basedOn w:val="DefaultParagraphFont"/>
    <w:link w:val="EndnoteText"/>
    <w:semiHidden/>
    <w:rsid w:val="000E6196"/>
    <w:rPr>
      <w:rFonts w:ascii="Cambria" w:eastAsia="Cambria" w:hAnsi="Cambria" w:cs="Times New Roman"/>
      <w:sz w:val="20"/>
      <w:szCs w:val="20"/>
    </w:rPr>
  </w:style>
  <w:style w:type="character" w:styleId="EndnoteReference">
    <w:name w:val="endnote reference"/>
    <w:basedOn w:val="DefaultParagraphFont"/>
    <w:uiPriority w:val="99"/>
    <w:semiHidden/>
    <w:unhideWhenUsed/>
    <w:rsid w:val="000E6196"/>
    <w:rPr>
      <w:vertAlign w:val="superscript"/>
    </w:rPr>
  </w:style>
  <w:style w:type="character" w:styleId="CommentReference">
    <w:name w:val="annotation reference"/>
    <w:basedOn w:val="DefaultParagraphFont"/>
    <w:uiPriority w:val="99"/>
    <w:semiHidden/>
    <w:unhideWhenUsed/>
    <w:rsid w:val="00EC463D"/>
    <w:rPr>
      <w:sz w:val="16"/>
      <w:szCs w:val="16"/>
    </w:rPr>
  </w:style>
  <w:style w:type="paragraph" w:styleId="CommentText">
    <w:name w:val="annotation text"/>
    <w:basedOn w:val="Normal"/>
    <w:link w:val="CommentTextChar"/>
    <w:uiPriority w:val="99"/>
    <w:unhideWhenUsed/>
    <w:rsid w:val="00EC463D"/>
    <w:pPr>
      <w:spacing w:line="240" w:lineRule="auto"/>
    </w:pPr>
    <w:rPr>
      <w:sz w:val="20"/>
      <w:szCs w:val="20"/>
    </w:rPr>
  </w:style>
  <w:style w:type="character" w:customStyle="1" w:styleId="CommentTextChar">
    <w:name w:val="Comment Text Char"/>
    <w:basedOn w:val="DefaultParagraphFont"/>
    <w:link w:val="CommentText"/>
    <w:uiPriority w:val="99"/>
    <w:rsid w:val="00EC463D"/>
    <w:rPr>
      <w:rFonts w:ascii="Cambria" w:eastAsia="Cambria" w:hAnsi="Cambria" w:cs="Times New Roman"/>
      <w:sz w:val="20"/>
      <w:szCs w:val="20"/>
    </w:rPr>
  </w:style>
  <w:style w:type="paragraph" w:styleId="CommentSubject">
    <w:name w:val="annotation subject"/>
    <w:basedOn w:val="CommentText"/>
    <w:next w:val="CommentText"/>
    <w:link w:val="CommentSubjectChar"/>
    <w:uiPriority w:val="99"/>
    <w:semiHidden/>
    <w:unhideWhenUsed/>
    <w:rsid w:val="00EC463D"/>
    <w:rPr>
      <w:b/>
      <w:bCs/>
    </w:rPr>
  </w:style>
  <w:style w:type="character" w:customStyle="1" w:styleId="CommentSubjectChar">
    <w:name w:val="Comment Subject Char"/>
    <w:basedOn w:val="CommentTextChar"/>
    <w:link w:val="CommentSubject"/>
    <w:uiPriority w:val="99"/>
    <w:semiHidden/>
    <w:rsid w:val="00EC463D"/>
    <w:rPr>
      <w:rFonts w:ascii="Cambria" w:eastAsia="Cambria" w:hAnsi="Cambria" w:cs="Times New Roman"/>
      <w:b/>
      <w:bCs/>
      <w:sz w:val="20"/>
      <w:szCs w:val="20"/>
    </w:rPr>
  </w:style>
  <w:style w:type="paragraph" w:styleId="Revision">
    <w:name w:val="Revision"/>
    <w:hidden/>
    <w:uiPriority w:val="99"/>
    <w:semiHidden/>
    <w:rsid w:val="003442FD"/>
    <w:pPr>
      <w:spacing w:after="0" w:line="240" w:lineRule="auto"/>
    </w:pPr>
    <w:rPr>
      <w:rFonts w:ascii="Cambria" w:eastAsia="Cambria" w:hAnsi="Cambria" w:cs="Times New Roman"/>
    </w:rPr>
  </w:style>
  <w:style w:type="paragraph" w:customStyle="1" w:styleId="Instructions">
    <w:name w:val="Instructions"/>
    <w:basedOn w:val="Normal"/>
    <w:next w:val="Normal"/>
    <w:uiPriority w:val="1"/>
    <w:qFormat/>
    <w:rsid w:val="00EE27C2"/>
    <w:rPr>
      <w:i/>
      <w:color w:val="007099"/>
    </w:rPr>
  </w:style>
  <w:style w:type="paragraph" w:customStyle="1" w:styleId="Tabletitle0">
    <w:name w:val="Table title"/>
    <w:basedOn w:val="Normal"/>
    <w:next w:val="Normal"/>
    <w:rsid w:val="009F2673"/>
    <w:pPr>
      <w:keepNext/>
      <w:spacing w:after="180"/>
    </w:pPr>
    <w:rPr>
      <w:b/>
      <w:szCs w:val="20"/>
    </w:rPr>
  </w:style>
  <w:style w:type="character" w:customStyle="1" w:styleId="UnresolvedMention1">
    <w:name w:val="Unresolved Mention1"/>
    <w:basedOn w:val="DefaultParagraphFont"/>
    <w:uiPriority w:val="99"/>
    <w:semiHidden/>
    <w:unhideWhenUsed/>
    <w:rsid w:val="009F2673"/>
    <w:rPr>
      <w:color w:val="605E5C"/>
      <w:shd w:val="clear" w:color="auto" w:fill="E1DFDD"/>
    </w:rPr>
  </w:style>
  <w:style w:type="paragraph" w:styleId="ListParagraph">
    <w:name w:val="List Paragraph"/>
    <w:basedOn w:val="Normal"/>
    <w:uiPriority w:val="34"/>
    <w:qFormat/>
    <w:rsid w:val="00AE00AB"/>
    <w:pPr>
      <w:adjustRightInd w:val="0"/>
      <w:snapToGrid w:val="0"/>
      <w:spacing w:before="180" w:after="180"/>
      <w:ind w:left="720"/>
      <w:contextualSpacing/>
    </w:pPr>
    <w:rPr>
      <w:rFonts w:eastAsia="MS Mincho"/>
      <w:szCs w:val="20"/>
      <w:lang w:eastAsia="ja-JP"/>
    </w:rPr>
  </w:style>
  <w:style w:type="paragraph" w:customStyle="1" w:styleId="1SubTable">
    <w:name w:val="1 Sub Table"/>
    <w:basedOn w:val="Normal"/>
    <w:qFormat/>
    <w:rsid w:val="00AE00AB"/>
    <w:pPr>
      <w:spacing w:before="0" w:after="0" w:line="240" w:lineRule="auto"/>
    </w:pPr>
    <w:rPr>
      <w:sz w:val="16"/>
      <w:szCs w:val="16"/>
    </w:rPr>
  </w:style>
  <w:style w:type="paragraph" w:customStyle="1" w:styleId="Bullet2">
    <w:name w:val="Bullet 2"/>
    <w:basedOn w:val="Normal"/>
    <w:rsid w:val="00AE00AB"/>
    <w:pPr>
      <w:numPr>
        <w:numId w:val="37"/>
      </w:numPr>
      <w:spacing w:after="0" w:line="240" w:lineRule="auto"/>
    </w:pPr>
    <w:rPr>
      <w:rFonts w:asciiTheme="minorHAnsi" w:eastAsia="Times New Roman" w:hAnsiTheme="minorHAnsi" w:cstheme="majorHAnsi"/>
      <w:kern w:val="24"/>
      <w:szCs w:val="24"/>
      <w:lang w:eastAsia="en-AU"/>
    </w:rPr>
  </w:style>
  <w:style w:type="character" w:styleId="Emphasis">
    <w:name w:val="Emphasis"/>
    <w:basedOn w:val="DefaultParagraphFont"/>
    <w:uiPriority w:val="20"/>
    <w:qFormat/>
    <w:rsid w:val="00FA578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9136862">
      <w:bodyDiv w:val="1"/>
      <w:marLeft w:val="0"/>
      <w:marRight w:val="0"/>
      <w:marTop w:val="0"/>
      <w:marBottom w:val="0"/>
      <w:divBdr>
        <w:top w:val="none" w:sz="0" w:space="0" w:color="auto"/>
        <w:left w:val="none" w:sz="0" w:space="0" w:color="auto"/>
        <w:bottom w:val="none" w:sz="0" w:space="0" w:color="auto"/>
        <w:right w:val="none" w:sz="0" w:space="0" w:color="auto"/>
      </w:divBdr>
    </w:div>
    <w:div w:id="21444191">
      <w:bodyDiv w:val="1"/>
      <w:marLeft w:val="0"/>
      <w:marRight w:val="0"/>
      <w:marTop w:val="0"/>
      <w:marBottom w:val="0"/>
      <w:divBdr>
        <w:top w:val="none" w:sz="0" w:space="0" w:color="auto"/>
        <w:left w:val="none" w:sz="0" w:space="0" w:color="auto"/>
        <w:bottom w:val="none" w:sz="0" w:space="0" w:color="auto"/>
        <w:right w:val="none" w:sz="0" w:space="0" w:color="auto"/>
      </w:divBdr>
    </w:div>
    <w:div w:id="274289732">
      <w:bodyDiv w:val="1"/>
      <w:marLeft w:val="0"/>
      <w:marRight w:val="0"/>
      <w:marTop w:val="0"/>
      <w:marBottom w:val="0"/>
      <w:divBdr>
        <w:top w:val="none" w:sz="0" w:space="0" w:color="auto"/>
        <w:left w:val="none" w:sz="0" w:space="0" w:color="auto"/>
        <w:bottom w:val="none" w:sz="0" w:space="0" w:color="auto"/>
        <w:right w:val="none" w:sz="0" w:space="0" w:color="auto"/>
      </w:divBdr>
    </w:div>
    <w:div w:id="540870967">
      <w:bodyDiv w:val="1"/>
      <w:marLeft w:val="0"/>
      <w:marRight w:val="0"/>
      <w:marTop w:val="0"/>
      <w:marBottom w:val="0"/>
      <w:divBdr>
        <w:top w:val="none" w:sz="0" w:space="0" w:color="auto"/>
        <w:left w:val="none" w:sz="0" w:space="0" w:color="auto"/>
        <w:bottom w:val="none" w:sz="0" w:space="0" w:color="auto"/>
        <w:right w:val="none" w:sz="0" w:space="0" w:color="auto"/>
      </w:divBdr>
    </w:div>
    <w:div w:id="1026754668">
      <w:bodyDiv w:val="1"/>
      <w:marLeft w:val="0"/>
      <w:marRight w:val="0"/>
      <w:marTop w:val="0"/>
      <w:marBottom w:val="0"/>
      <w:divBdr>
        <w:top w:val="none" w:sz="0" w:space="0" w:color="auto"/>
        <w:left w:val="none" w:sz="0" w:space="0" w:color="auto"/>
        <w:bottom w:val="none" w:sz="0" w:space="0" w:color="auto"/>
        <w:right w:val="none" w:sz="0" w:space="0" w:color="auto"/>
      </w:divBdr>
    </w:div>
    <w:div w:id="1029068896">
      <w:bodyDiv w:val="1"/>
      <w:marLeft w:val="0"/>
      <w:marRight w:val="0"/>
      <w:marTop w:val="0"/>
      <w:marBottom w:val="0"/>
      <w:divBdr>
        <w:top w:val="none" w:sz="0" w:space="0" w:color="auto"/>
        <w:left w:val="none" w:sz="0" w:space="0" w:color="auto"/>
        <w:bottom w:val="none" w:sz="0" w:space="0" w:color="auto"/>
        <w:right w:val="none" w:sz="0" w:space="0" w:color="auto"/>
      </w:divBdr>
    </w:div>
    <w:div w:id="1142622274">
      <w:bodyDiv w:val="1"/>
      <w:marLeft w:val="0"/>
      <w:marRight w:val="0"/>
      <w:marTop w:val="0"/>
      <w:marBottom w:val="0"/>
      <w:divBdr>
        <w:top w:val="none" w:sz="0" w:space="0" w:color="auto"/>
        <w:left w:val="none" w:sz="0" w:space="0" w:color="auto"/>
        <w:bottom w:val="none" w:sz="0" w:space="0" w:color="auto"/>
        <w:right w:val="none" w:sz="0" w:space="0" w:color="auto"/>
      </w:divBdr>
    </w:div>
    <w:div w:id="1356153674">
      <w:bodyDiv w:val="1"/>
      <w:marLeft w:val="0"/>
      <w:marRight w:val="0"/>
      <w:marTop w:val="0"/>
      <w:marBottom w:val="0"/>
      <w:divBdr>
        <w:top w:val="none" w:sz="0" w:space="0" w:color="auto"/>
        <w:left w:val="none" w:sz="0" w:space="0" w:color="auto"/>
        <w:bottom w:val="none" w:sz="0" w:space="0" w:color="auto"/>
        <w:right w:val="none" w:sz="0" w:space="0" w:color="auto"/>
      </w:divBdr>
    </w:div>
    <w:div w:id="1806313076">
      <w:bodyDiv w:val="1"/>
      <w:marLeft w:val="0"/>
      <w:marRight w:val="0"/>
      <w:marTop w:val="0"/>
      <w:marBottom w:val="0"/>
      <w:divBdr>
        <w:top w:val="none" w:sz="0" w:space="0" w:color="auto"/>
        <w:left w:val="none" w:sz="0" w:space="0" w:color="auto"/>
        <w:bottom w:val="none" w:sz="0" w:space="0" w:color="auto"/>
        <w:right w:val="none" w:sz="0" w:space="0" w:color="auto"/>
      </w:divBdr>
      <w:divsChild>
        <w:div w:id="1841041891">
          <w:marLeft w:val="0"/>
          <w:marRight w:val="0"/>
          <w:marTop w:val="0"/>
          <w:marBottom w:val="0"/>
          <w:divBdr>
            <w:top w:val="none" w:sz="0" w:space="0" w:color="auto"/>
            <w:left w:val="none" w:sz="0" w:space="0" w:color="auto"/>
            <w:bottom w:val="none" w:sz="0" w:space="0" w:color="auto"/>
            <w:right w:val="none" w:sz="0" w:space="0" w:color="auto"/>
          </w:divBdr>
        </w:div>
        <w:div w:id="1198351041">
          <w:marLeft w:val="0"/>
          <w:marRight w:val="0"/>
          <w:marTop w:val="0"/>
          <w:marBottom w:val="0"/>
          <w:divBdr>
            <w:top w:val="none" w:sz="0" w:space="0" w:color="auto"/>
            <w:left w:val="none" w:sz="0" w:space="0" w:color="auto"/>
            <w:bottom w:val="none" w:sz="0" w:space="0" w:color="auto"/>
            <w:right w:val="none" w:sz="0" w:space="0" w:color="auto"/>
          </w:divBdr>
        </w:div>
        <w:div w:id="926619133">
          <w:marLeft w:val="0"/>
          <w:marRight w:val="0"/>
          <w:marTop w:val="0"/>
          <w:marBottom w:val="0"/>
          <w:divBdr>
            <w:top w:val="none" w:sz="0" w:space="0" w:color="auto"/>
            <w:left w:val="none" w:sz="0" w:space="0" w:color="auto"/>
            <w:bottom w:val="none" w:sz="0" w:space="0" w:color="auto"/>
            <w:right w:val="none" w:sz="0" w:space="0" w:color="auto"/>
          </w:divBdr>
        </w:div>
        <w:div w:id="728918075">
          <w:marLeft w:val="0"/>
          <w:marRight w:val="0"/>
          <w:marTop w:val="0"/>
          <w:marBottom w:val="0"/>
          <w:divBdr>
            <w:top w:val="none" w:sz="0" w:space="0" w:color="auto"/>
            <w:left w:val="none" w:sz="0" w:space="0" w:color="auto"/>
            <w:bottom w:val="none" w:sz="0" w:space="0" w:color="auto"/>
            <w:right w:val="none" w:sz="0" w:space="0" w:color="auto"/>
          </w:divBdr>
        </w:div>
        <w:div w:id="1271546347">
          <w:marLeft w:val="0"/>
          <w:marRight w:val="0"/>
          <w:marTop w:val="0"/>
          <w:marBottom w:val="0"/>
          <w:divBdr>
            <w:top w:val="none" w:sz="0" w:space="0" w:color="auto"/>
            <w:left w:val="none" w:sz="0" w:space="0" w:color="auto"/>
            <w:bottom w:val="none" w:sz="0" w:space="0" w:color="auto"/>
            <w:right w:val="none" w:sz="0" w:space="0" w:color="auto"/>
          </w:divBdr>
        </w:div>
      </w:divsChild>
    </w:div>
    <w:div w:id="1878739786">
      <w:bodyDiv w:val="1"/>
      <w:marLeft w:val="0"/>
      <w:marRight w:val="0"/>
      <w:marTop w:val="0"/>
      <w:marBottom w:val="0"/>
      <w:divBdr>
        <w:top w:val="none" w:sz="0" w:space="0" w:color="auto"/>
        <w:left w:val="none" w:sz="0" w:space="0" w:color="auto"/>
        <w:bottom w:val="none" w:sz="0" w:space="0" w:color="auto"/>
        <w:right w:val="none" w:sz="0" w:space="0" w:color="auto"/>
      </w:divBdr>
    </w:div>
    <w:div w:id="1888372640">
      <w:bodyDiv w:val="1"/>
      <w:marLeft w:val="0"/>
      <w:marRight w:val="0"/>
      <w:marTop w:val="0"/>
      <w:marBottom w:val="0"/>
      <w:divBdr>
        <w:top w:val="none" w:sz="0" w:space="0" w:color="auto"/>
        <w:left w:val="none" w:sz="0" w:space="0" w:color="auto"/>
        <w:bottom w:val="none" w:sz="0" w:space="0" w:color="auto"/>
        <w:right w:val="none" w:sz="0" w:space="0" w:color="auto"/>
      </w:divBdr>
    </w:div>
    <w:div w:id="2059670365">
      <w:bodyDiv w:val="1"/>
      <w:marLeft w:val="0"/>
      <w:marRight w:val="0"/>
      <w:marTop w:val="0"/>
      <w:marBottom w:val="0"/>
      <w:divBdr>
        <w:top w:val="none" w:sz="0" w:space="0" w:color="auto"/>
        <w:left w:val="none" w:sz="0" w:space="0" w:color="auto"/>
        <w:bottom w:val="none" w:sz="0" w:space="0" w:color="auto"/>
        <w:right w:val="none" w:sz="0" w:space="0" w:color="auto"/>
      </w:divBdr>
    </w:div>
    <w:div w:id="2079326922">
      <w:bodyDiv w:val="1"/>
      <w:marLeft w:val="0"/>
      <w:marRight w:val="0"/>
      <w:marTop w:val="0"/>
      <w:marBottom w:val="0"/>
      <w:divBdr>
        <w:top w:val="none" w:sz="0" w:space="0" w:color="auto"/>
        <w:left w:val="none" w:sz="0" w:space="0" w:color="auto"/>
        <w:bottom w:val="none" w:sz="0" w:space="0" w:color="auto"/>
        <w:right w:val="none" w:sz="0" w:space="0" w:color="auto"/>
      </w:divBdr>
    </w:div>
    <w:div w:id="208051253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4.emf"/><Relationship Id="rId26" Type="http://schemas.openxmlformats.org/officeDocument/2006/relationships/image" Target="media/image12.png"/><Relationship Id="rId39" Type="http://schemas.openxmlformats.org/officeDocument/2006/relationships/hyperlink" Target="https://www.tga.gov.au/picmi-search-facility" TargetMode="External"/><Relationship Id="rId3" Type="http://schemas.openxmlformats.org/officeDocument/2006/relationships/styles" Target="styles.xml"/><Relationship Id="rId21" Type="http://schemas.openxmlformats.org/officeDocument/2006/relationships/image" Target="media/image7.emf"/><Relationship Id="rId34" Type="http://schemas.openxmlformats.org/officeDocument/2006/relationships/image" Target="media/image20.png"/><Relationship Id="rId42" Type="http://schemas.openxmlformats.org/officeDocument/2006/relationships/header" Target="header5.xml"/><Relationship Id="rId47" Type="http://schemas.openxmlformats.org/officeDocument/2006/relationships/header" Target="header7.xml"/><Relationship Id="rId50" Type="http://schemas.openxmlformats.org/officeDocument/2006/relationships/footer" Target="footer4.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hyperlink" Target="https://www.tga.gov.au/committee/advisory-committee-medicines-acm" TargetMode="External"/><Relationship Id="rId46" Type="http://schemas.openxmlformats.org/officeDocument/2006/relationships/header" Target="header6.xml"/><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6.emf"/><Relationship Id="rId29" Type="http://schemas.openxmlformats.org/officeDocument/2006/relationships/image" Target="media/image15.png"/><Relationship Id="rId41" Type="http://schemas.openxmlformats.org/officeDocument/2006/relationships/header" Target="header4.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0.emf"/><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header" Target="header3.xml"/><Relationship Id="rId45" Type="http://schemas.openxmlformats.org/officeDocument/2006/relationships/hyperlink" Target="https://www.tga.gov.au" TargetMode="External"/><Relationship Id="rId5" Type="http://schemas.openxmlformats.org/officeDocument/2006/relationships/webSettings" Target="webSettings.xml"/><Relationship Id="rId15" Type="http://schemas.openxmlformats.org/officeDocument/2006/relationships/hyperlink" Target="https://www.tga.gov.au/picmi-search-facility" TargetMode="External"/><Relationship Id="rId23" Type="http://schemas.openxmlformats.org/officeDocument/2006/relationships/image" Target="media/image9.emf"/><Relationship Id="rId28" Type="http://schemas.openxmlformats.org/officeDocument/2006/relationships/image" Target="media/image14.png"/><Relationship Id="rId36" Type="http://schemas.openxmlformats.org/officeDocument/2006/relationships/image" Target="media/image22.png"/><Relationship Id="rId49" Type="http://schemas.openxmlformats.org/officeDocument/2006/relationships/header" Target="header8.xml"/><Relationship Id="rId10" Type="http://schemas.openxmlformats.org/officeDocument/2006/relationships/hyperlink" Target="mailto:tga.copyright@tga.gov.au" TargetMode="External"/><Relationship Id="rId19" Type="http://schemas.openxmlformats.org/officeDocument/2006/relationships/image" Target="media/image5.emf"/><Relationship Id="rId31" Type="http://schemas.openxmlformats.org/officeDocument/2006/relationships/image" Target="media/image17.png"/><Relationship Id="rId44" Type="http://schemas.openxmlformats.org/officeDocument/2006/relationships/hyperlink" Target="mailto:info@tga.gov.au"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tga.gov.au/australian-public-assessment-report-auspar-guidance" TargetMode="External"/><Relationship Id="rId14" Type="http://schemas.openxmlformats.org/officeDocument/2006/relationships/hyperlink" Target="https://www.tga.gov.au/black-triangle-scheme" TargetMode="External"/><Relationship Id="rId22" Type="http://schemas.openxmlformats.org/officeDocument/2006/relationships/image" Target="media/image8.emf"/><Relationship Id="rId27" Type="http://schemas.openxmlformats.org/officeDocument/2006/relationships/image" Target="media/image13.png"/><Relationship Id="rId30" Type="http://schemas.openxmlformats.org/officeDocument/2006/relationships/image" Target="media/image16.png"/><Relationship Id="rId35" Type="http://schemas.openxmlformats.org/officeDocument/2006/relationships/image" Target="media/image21.png"/><Relationship Id="rId43" Type="http://schemas.openxmlformats.org/officeDocument/2006/relationships/footer" Target="footer2.xml"/><Relationship Id="rId48" Type="http://schemas.openxmlformats.org/officeDocument/2006/relationships/footer" Target="footer3.xml"/><Relationship Id="rId8" Type="http://schemas.openxmlformats.org/officeDocument/2006/relationships/hyperlink" Target="https://www.tga.gov.au" TargetMode="External"/><Relationship Id="rId5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s://www.tga.gov.au/resources/auspar/auspar-secukinumab-1" TargetMode="External"/><Relationship Id="rId2" Type="http://schemas.openxmlformats.org/officeDocument/2006/relationships/hyperlink" Target="https://www.tga.gov.au/resources/auspar/auspar-secukinumab-0" TargetMode="External"/><Relationship Id="rId1" Type="http://schemas.openxmlformats.org/officeDocument/2006/relationships/hyperlink" Target="https://www.tga.gov.au/resources/auspar/auspar-secukinumab"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TGA">
  <a:themeElements>
    <a:clrScheme name="TGA_Colours">
      <a:dk1>
        <a:sysClr val="windowText" lastClr="000000"/>
      </a:dk1>
      <a:lt1>
        <a:sysClr val="window" lastClr="FFFFFF"/>
      </a:lt1>
      <a:dk2>
        <a:srgbClr val="002C47"/>
      </a:dk2>
      <a:lt2>
        <a:srgbClr val="50555C"/>
      </a:lt2>
      <a:accent1>
        <a:srgbClr val="002C47"/>
      </a:accent1>
      <a:accent2>
        <a:srgbClr val="B3C960"/>
      </a:accent2>
      <a:accent3>
        <a:srgbClr val="006DA7"/>
      </a:accent3>
      <a:accent4>
        <a:srgbClr val="006664"/>
      </a:accent4>
      <a:accent5>
        <a:srgbClr val="4D2779"/>
      </a:accent5>
      <a:accent6>
        <a:srgbClr val="25451C"/>
      </a:accent6>
      <a:hlink>
        <a:srgbClr val="50555C"/>
      </a:hlink>
      <a:folHlink>
        <a:srgbClr val="365171"/>
      </a:folHlink>
    </a:clrScheme>
    <a:fontScheme name="TGA Fonts">
      <a:majorFont>
        <a:latin typeface="Arial"/>
        <a:ea typeface=""/>
        <a:cs typeface=""/>
      </a:majorFont>
      <a:minorFont>
        <a:latin typeface="Cambria"/>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B1AA4EF-FDB7-452C-8B97-65359111BF1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25</TotalTime>
  <Pages>41</Pages>
  <Words>10040</Words>
  <Characters>57228</Characters>
  <Application>Microsoft Office Word</Application>
  <DocSecurity>0</DocSecurity>
  <Lines>476</Lines>
  <Paragraphs>134</Paragraphs>
  <ScaleCrop>false</ScaleCrop>
  <HeadingPairs>
    <vt:vector size="2" baseType="variant">
      <vt:variant>
        <vt:lpstr>Title</vt:lpstr>
      </vt:variant>
      <vt:variant>
        <vt:i4>1</vt:i4>
      </vt:variant>
    </vt:vector>
  </HeadingPairs>
  <TitlesOfParts>
    <vt:vector size="1" baseType="lpstr">
      <vt:lpstr>Australian public assessment report for Cosentyx</vt:lpstr>
    </vt:vector>
  </TitlesOfParts>
  <Company>Department of Health and Aged Care</Company>
  <LinksUpToDate>false</LinksUpToDate>
  <CharactersWithSpaces>67134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public assessment report for Cosentyx</dc:title>
  <dc:subject>prescription medicine regulation</dc:subject>
  <dc:creator>Therapeutic Goods Administration</dc:creator>
  <cp:keywords/>
  <cp:lastModifiedBy>PITKIN, Brendan</cp:lastModifiedBy>
  <cp:revision>7</cp:revision>
  <cp:lastPrinted>2019-08-14T04:30:00Z</cp:lastPrinted>
  <dcterms:created xsi:type="dcterms:W3CDTF">2022-10-24T02:30:00Z</dcterms:created>
  <dcterms:modified xsi:type="dcterms:W3CDTF">2022-11-04T00:39:00Z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3c9bec58-8084-492e-8360-0e1cfe36408c_Enabled">
    <vt:lpwstr>true</vt:lpwstr>
  </property>
  <property fmtid="{D5CDD505-2E9C-101B-9397-08002B2CF9AE}" pid="3" name="MSIP_Label_3c9bec58-8084-492e-8360-0e1cfe36408c_SetDate">
    <vt:lpwstr>2022-08-23T01:25:57Z</vt:lpwstr>
  </property>
  <property fmtid="{D5CDD505-2E9C-101B-9397-08002B2CF9AE}" pid="4" name="MSIP_Label_3c9bec58-8084-492e-8360-0e1cfe36408c_Method">
    <vt:lpwstr>Standard</vt:lpwstr>
  </property>
  <property fmtid="{D5CDD505-2E9C-101B-9397-08002B2CF9AE}" pid="5" name="MSIP_Label_3c9bec58-8084-492e-8360-0e1cfe36408c_Name">
    <vt:lpwstr>Not Protected -Pilot</vt:lpwstr>
  </property>
  <property fmtid="{D5CDD505-2E9C-101B-9397-08002B2CF9AE}" pid="6" name="MSIP_Label_3c9bec58-8084-492e-8360-0e1cfe36408c_SiteId">
    <vt:lpwstr>f35a6974-607f-47d4-82d7-ff31d7dc53a5</vt:lpwstr>
  </property>
  <property fmtid="{D5CDD505-2E9C-101B-9397-08002B2CF9AE}" pid="7" name="MSIP_Label_3c9bec58-8084-492e-8360-0e1cfe36408c_ActionId">
    <vt:lpwstr>3290c105-032b-49d4-ad2b-2f0fcce8aaff</vt:lpwstr>
  </property>
  <property fmtid="{D5CDD505-2E9C-101B-9397-08002B2CF9AE}" pid="8" name="MSIP_Label_3c9bec58-8084-492e-8360-0e1cfe36408c_ContentBits">
    <vt:lpwstr>0</vt:lpwstr>
  </property>
</Properties>
</file>