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CACC" w14:textId="056FCEF5" w:rsidR="009442E2" w:rsidRPr="005A0CEA" w:rsidRDefault="009442E2" w:rsidP="009442E2">
      <w:pPr>
        <w:jc w:val="both"/>
        <w:rPr>
          <w:lang w:val="en-GB"/>
        </w:rPr>
      </w:pPr>
      <w:r w:rsidRPr="005A0CEA">
        <w:rPr>
          <w:noProof/>
          <w:lang w:val="en-GB"/>
        </w:rPr>
        <mc:AlternateContent>
          <mc:Choice Requires="wps">
            <w:drawing>
              <wp:inline distT="0" distB="0" distL="0" distR="0" wp14:anchorId="085E4120" wp14:editId="20A79CFF">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4700D" w14:textId="77777777" w:rsidR="00A334F6" w:rsidRDefault="00A334F6" w:rsidP="009442E2">
                            <w:pPr>
                              <w:rPr>
                                <w:rFonts w:ascii="Wingdings 3" w:hAnsi="Wingdings 3"/>
                              </w:rPr>
                            </w:pPr>
                            <w:r>
                              <w:rPr>
                                <w:rFonts w:ascii="SimSun" w:eastAsia="SimSun" w:hAnsi="SimSun"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085E4120"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LXuyCH2AQAA3gMAAA4AAAAAAAAAAAAAAAAALgIAAGRycy9l&#10;Mm9Eb2MueG1sUEsBAi0AFAAGAAgAAAAhAGP1TgzZAAAAAwEAAA8AAAAAAAAAAAAAAAAAUAQAAGRy&#10;cy9kb3ducmV2LnhtbFBLBQYAAAAABAAEAPMAAABWBQAAAAA=&#10;" stroked="f">
                <v:textbox inset="0,0,0,0">
                  <w:txbxContent>
                    <w:p w14:paraId="2F24700D" w14:textId="77777777" w:rsidR="00A334F6" w:rsidRDefault="00A334F6" w:rsidP="009442E2">
                      <w:pPr>
                        <w:rPr>
                          <w:rFonts w:ascii="Wingdings 3" w:hAnsi="Wingdings 3"/>
                        </w:rPr>
                      </w:pPr>
                      <w:r>
                        <w:rPr>
                          <w:rFonts w:ascii="SimSun" w:eastAsia="SimSun" w:hAnsi="SimSun" w:hint="eastAsia"/>
                          <w:sz w:val="40"/>
                          <w:lang w:val="en-US"/>
                        </w:rPr>
                        <w:t>▼</w:t>
                      </w:r>
                    </w:p>
                  </w:txbxContent>
                </v:textbox>
                <w10:anchorlock/>
              </v:shape>
            </w:pict>
          </mc:Fallback>
        </mc:AlternateContent>
      </w:r>
      <w:r w:rsidRPr="005A0CEA">
        <w:rPr>
          <w:lang w:val="en-GB"/>
        </w:rPr>
        <w:t xml:space="preserve"> This medicinal product is subject to additional monitoring in Australia. This will allow quick identification of new safety information. Healthcare professionals are asked to report any suspected adverse events at </w:t>
      </w:r>
      <w:hyperlink r:id="rId8" w:history="1">
        <w:r w:rsidRPr="005A0CEA">
          <w:rPr>
            <w:rStyle w:val="Hyperlink"/>
            <w:lang w:val="en-GB"/>
          </w:rPr>
          <w:t>www.tga.gov.au/reporting-problems</w:t>
        </w:r>
      </w:hyperlink>
      <w:r w:rsidRPr="005A0CEA">
        <w:rPr>
          <w:lang w:val="en-GB"/>
        </w:rPr>
        <w:t>.</w:t>
      </w:r>
    </w:p>
    <w:p w14:paraId="0F027290" w14:textId="087F01C6" w:rsidR="003F6359" w:rsidRPr="005A0CEA" w:rsidRDefault="003F6359" w:rsidP="007C5F0E">
      <w:pPr>
        <w:pStyle w:val="Heading1"/>
        <w:rPr>
          <w:lang w:val="en-GB"/>
        </w:rPr>
      </w:pPr>
      <w:r w:rsidRPr="005A0CEA">
        <w:rPr>
          <w:lang w:val="en-GB"/>
        </w:rPr>
        <w:t>AUSTRALIAN PRODUCT INFORMATION</w:t>
      </w:r>
    </w:p>
    <w:p w14:paraId="6BF1A68C" w14:textId="73542612" w:rsidR="00AB3CBC" w:rsidRPr="005A0CEA" w:rsidRDefault="00653E07" w:rsidP="007C5F0E">
      <w:pPr>
        <w:pStyle w:val="Heading1"/>
        <w:rPr>
          <w:lang w:val="en-GB"/>
        </w:rPr>
      </w:pPr>
      <w:r w:rsidRPr="005A0CEA">
        <w:rPr>
          <w:lang w:val="en-GB"/>
        </w:rPr>
        <w:t>Rybelsus</w:t>
      </w:r>
      <w:r w:rsidR="00E761EE" w:rsidRPr="005A0CEA">
        <w:rPr>
          <w:vertAlign w:val="superscript"/>
          <w:lang w:val="en-GB"/>
        </w:rPr>
        <w:t>®</w:t>
      </w:r>
      <w:r w:rsidR="003F6359" w:rsidRPr="005A0CEA">
        <w:rPr>
          <w:lang w:val="en-GB"/>
        </w:rPr>
        <w:t xml:space="preserve"> </w:t>
      </w:r>
      <w:r w:rsidR="001F7769" w:rsidRPr="005A0CEA">
        <w:rPr>
          <w:lang w:val="en-GB"/>
        </w:rPr>
        <w:t>semaglutide</w:t>
      </w:r>
    </w:p>
    <w:p w14:paraId="308F3774" w14:textId="77777777" w:rsidR="003F6359" w:rsidRPr="005A0CEA" w:rsidRDefault="003F6359" w:rsidP="007C5F0E">
      <w:pPr>
        <w:pStyle w:val="Heading2"/>
        <w:rPr>
          <w:lang w:val="en-GB"/>
        </w:rPr>
      </w:pPr>
    </w:p>
    <w:p w14:paraId="014F3AE1" w14:textId="77777777" w:rsidR="003F6359" w:rsidRPr="005A0CEA" w:rsidRDefault="003F6359" w:rsidP="007C5F0E">
      <w:pPr>
        <w:pStyle w:val="Heading2"/>
        <w:rPr>
          <w:lang w:val="en-GB"/>
        </w:rPr>
      </w:pPr>
      <w:r w:rsidRPr="005A0CEA">
        <w:rPr>
          <w:lang w:val="en-GB"/>
        </w:rPr>
        <w:t>1.</w:t>
      </w:r>
      <w:r w:rsidRPr="005A0CEA">
        <w:rPr>
          <w:lang w:val="en-GB"/>
        </w:rPr>
        <w:tab/>
        <w:t>NAME OF THE MEDICINE</w:t>
      </w:r>
    </w:p>
    <w:p w14:paraId="57928621" w14:textId="44C3D631" w:rsidR="003F6359" w:rsidRPr="005A0CEA" w:rsidRDefault="00CE7CAA" w:rsidP="007C5F0E">
      <w:pPr>
        <w:rPr>
          <w:lang w:val="en-GB"/>
        </w:rPr>
      </w:pPr>
      <w:r w:rsidRPr="005A0CEA">
        <w:rPr>
          <w:lang w:val="en-GB"/>
        </w:rPr>
        <w:t>Ry</w:t>
      </w:r>
      <w:r w:rsidR="00704446" w:rsidRPr="005A0CEA">
        <w:rPr>
          <w:lang w:val="en-GB"/>
        </w:rPr>
        <w:t>belsus (semag</w:t>
      </w:r>
      <w:r w:rsidR="00AB79B3" w:rsidRPr="005A0CEA">
        <w:rPr>
          <w:lang w:val="en-GB"/>
        </w:rPr>
        <w:t xml:space="preserve">lutide) </w:t>
      </w:r>
      <w:r w:rsidR="00E0101A" w:rsidRPr="005A0CEA">
        <w:rPr>
          <w:lang w:val="en-GB"/>
        </w:rPr>
        <w:t>3 mg tablet</w:t>
      </w:r>
      <w:r w:rsidR="00947EC7" w:rsidRPr="005A0CEA">
        <w:rPr>
          <w:lang w:val="en-GB"/>
        </w:rPr>
        <w:t xml:space="preserve"> blister pack</w:t>
      </w:r>
    </w:p>
    <w:p w14:paraId="6A09E1AB" w14:textId="27FCEB39" w:rsidR="00947EC7" w:rsidRPr="005A0CEA" w:rsidRDefault="00CD548F" w:rsidP="007C5F0E">
      <w:pPr>
        <w:rPr>
          <w:lang w:val="en-GB"/>
        </w:rPr>
      </w:pPr>
      <w:r w:rsidRPr="005A0CEA">
        <w:rPr>
          <w:lang w:val="en-GB"/>
        </w:rPr>
        <w:t>Rybelsus (semaglutide) 7 mg tablet blister pack</w:t>
      </w:r>
    </w:p>
    <w:p w14:paraId="2B308944" w14:textId="2CD89FE2" w:rsidR="003F6359" w:rsidRPr="005A0CEA" w:rsidRDefault="00CD548F" w:rsidP="007C5F0E">
      <w:pPr>
        <w:rPr>
          <w:lang w:val="en-GB"/>
        </w:rPr>
      </w:pPr>
      <w:r w:rsidRPr="005A0CEA">
        <w:rPr>
          <w:lang w:val="en-GB"/>
        </w:rPr>
        <w:t>Rybelsus (semaglutide) 14 mg tablet blister pack</w:t>
      </w:r>
    </w:p>
    <w:p w14:paraId="000EBC84" w14:textId="77777777" w:rsidR="003F6359" w:rsidRPr="005A0CEA" w:rsidRDefault="003F6359" w:rsidP="007C5F0E">
      <w:pPr>
        <w:pStyle w:val="Heading2"/>
        <w:rPr>
          <w:lang w:val="en-GB"/>
        </w:rPr>
      </w:pPr>
      <w:r w:rsidRPr="005A0CEA">
        <w:rPr>
          <w:lang w:val="en-GB"/>
        </w:rPr>
        <w:t>2.</w:t>
      </w:r>
      <w:r w:rsidRPr="005A0CEA">
        <w:rPr>
          <w:lang w:val="en-GB"/>
        </w:rPr>
        <w:tab/>
        <w:t>QUALITATIVE AND QUANTITATIVE COMPOSITION</w:t>
      </w:r>
    </w:p>
    <w:p w14:paraId="76870FC8" w14:textId="66F24FBA" w:rsidR="00D56FBE" w:rsidRPr="005A0CEA" w:rsidRDefault="003D1FAD" w:rsidP="007C5F0E">
      <w:pPr>
        <w:rPr>
          <w:lang w:val="en-GB"/>
        </w:rPr>
      </w:pPr>
      <w:r w:rsidRPr="005A0CEA">
        <w:rPr>
          <w:lang w:val="en-GB"/>
        </w:rPr>
        <w:t>Semaglutide is a human glucagon-like peptide-1 (GLP-1) receptor agonist produced in Saccharomyces cerevisiae by recombinant DNA technology followed by protein purification.</w:t>
      </w:r>
    </w:p>
    <w:p w14:paraId="36755B73" w14:textId="77777777" w:rsidR="00D56FBE" w:rsidRPr="005A0CEA" w:rsidRDefault="00D56FBE" w:rsidP="007C5F0E">
      <w:pPr>
        <w:pStyle w:val="Heading2"/>
        <w:rPr>
          <w:lang w:val="en-GB"/>
        </w:rPr>
      </w:pPr>
      <w:r w:rsidRPr="005A0CEA">
        <w:rPr>
          <w:lang w:val="en-GB"/>
        </w:rPr>
        <w:t xml:space="preserve">3. </w:t>
      </w:r>
      <w:r w:rsidRPr="005A0CEA">
        <w:rPr>
          <w:lang w:val="en-GB"/>
        </w:rPr>
        <w:tab/>
        <w:t>PHARMACEUTICAL FORM</w:t>
      </w:r>
    </w:p>
    <w:p w14:paraId="572DA21C" w14:textId="78DF597C" w:rsidR="007843DE" w:rsidRPr="005A0CEA" w:rsidRDefault="007843DE" w:rsidP="007C5F0E">
      <w:pPr>
        <w:rPr>
          <w:lang w:val="en-GB"/>
        </w:rPr>
      </w:pPr>
      <w:r w:rsidRPr="005A0CEA">
        <w:rPr>
          <w:lang w:val="en-GB"/>
        </w:rPr>
        <w:t>Tablet for oral administration.</w:t>
      </w:r>
    </w:p>
    <w:p w14:paraId="476364C0" w14:textId="77777777" w:rsidR="00484993" w:rsidRPr="005A0CEA" w:rsidRDefault="00484993" w:rsidP="007C5F0E">
      <w:pPr>
        <w:rPr>
          <w:lang w:val="en-GB"/>
        </w:rPr>
      </w:pPr>
    </w:p>
    <w:p w14:paraId="7D898999" w14:textId="1F061514" w:rsidR="00484993" w:rsidRPr="005A0CEA" w:rsidRDefault="00484993" w:rsidP="007C5F0E">
      <w:pPr>
        <w:rPr>
          <w:lang w:val="en-GB"/>
        </w:rPr>
      </w:pPr>
      <w:r w:rsidRPr="005A0CEA">
        <w:rPr>
          <w:lang w:val="en-GB"/>
        </w:rPr>
        <w:t>Tablets are white to light yellow, oval shaped, debossed with ‘3’, ‘7’ or ‘14’ on</w:t>
      </w:r>
    </w:p>
    <w:p w14:paraId="2B78D9EB" w14:textId="20426891" w:rsidR="007843DE" w:rsidRPr="005A0CEA" w:rsidRDefault="00484993" w:rsidP="007C5F0E">
      <w:pPr>
        <w:rPr>
          <w:lang w:val="en-GB"/>
        </w:rPr>
      </w:pPr>
      <w:r w:rsidRPr="005A0CEA">
        <w:rPr>
          <w:lang w:val="en-GB"/>
        </w:rPr>
        <w:t>one side and ‘novo’ on the other side.</w:t>
      </w:r>
    </w:p>
    <w:p w14:paraId="30D6783C" w14:textId="77777777" w:rsidR="00484993" w:rsidRPr="005A0CEA" w:rsidRDefault="00484993" w:rsidP="007C5F0E">
      <w:pPr>
        <w:rPr>
          <w:lang w:val="en-GB"/>
        </w:rPr>
      </w:pPr>
    </w:p>
    <w:p w14:paraId="378F128E" w14:textId="51E26EB3" w:rsidR="00D56FBE" w:rsidRPr="005A0CEA" w:rsidRDefault="007843DE" w:rsidP="007C5F0E">
      <w:pPr>
        <w:rPr>
          <w:lang w:val="en-GB"/>
        </w:rPr>
      </w:pPr>
      <w:r w:rsidRPr="005A0CEA">
        <w:rPr>
          <w:lang w:val="en-GB"/>
        </w:rPr>
        <w:t xml:space="preserve">One tablet contains 3 mg, 7 </w:t>
      </w:r>
      <w:proofErr w:type="gramStart"/>
      <w:r w:rsidRPr="005A0CEA">
        <w:rPr>
          <w:lang w:val="en-GB"/>
        </w:rPr>
        <w:t>mg</w:t>
      </w:r>
      <w:proofErr w:type="gramEnd"/>
      <w:r w:rsidRPr="005A0CEA">
        <w:rPr>
          <w:lang w:val="en-GB"/>
        </w:rPr>
        <w:t xml:space="preserve"> or 14 mg semaglutide.</w:t>
      </w:r>
    </w:p>
    <w:p w14:paraId="06C79A7F" w14:textId="77777777" w:rsidR="00D56FBE" w:rsidRPr="005A0CEA" w:rsidRDefault="00D56FBE" w:rsidP="007C5F0E">
      <w:pPr>
        <w:pStyle w:val="Heading2"/>
        <w:rPr>
          <w:lang w:val="en-GB"/>
        </w:rPr>
      </w:pPr>
      <w:r w:rsidRPr="005A0CEA">
        <w:rPr>
          <w:lang w:val="en-GB"/>
        </w:rPr>
        <w:t xml:space="preserve">4. </w:t>
      </w:r>
      <w:r w:rsidRPr="005A0CEA">
        <w:rPr>
          <w:lang w:val="en-GB"/>
        </w:rPr>
        <w:tab/>
        <w:t>CLINICAL PARTICULARS</w:t>
      </w:r>
    </w:p>
    <w:p w14:paraId="327EA380" w14:textId="77777777" w:rsidR="00D56FBE" w:rsidRPr="005A0CEA" w:rsidRDefault="00D56FBE" w:rsidP="007C5F0E">
      <w:pPr>
        <w:pStyle w:val="Heading3"/>
        <w:rPr>
          <w:lang w:val="en-GB"/>
        </w:rPr>
      </w:pPr>
      <w:r w:rsidRPr="005A0CEA">
        <w:rPr>
          <w:lang w:val="en-GB"/>
        </w:rPr>
        <w:t>4.1</w:t>
      </w:r>
      <w:r w:rsidRPr="005A0CEA">
        <w:rPr>
          <w:lang w:val="en-GB"/>
        </w:rPr>
        <w:tab/>
        <w:t>Therapeutic Indications</w:t>
      </w:r>
    </w:p>
    <w:p w14:paraId="03D9DC0D" w14:textId="7840329B" w:rsidR="003A198B" w:rsidRPr="005A0CEA" w:rsidRDefault="003A198B" w:rsidP="007C5F0E">
      <w:pPr>
        <w:rPr>
          <w:lang w:val="en-GB"/>
        </w:rPr>
      </w:pPr>
      <w:r w:rsidRPr="005A0CEA">
        <w:rPr>
          <w:lang w:val="en-GB"/>
        </w:rPr>
        <w:t>Rybelsus is indicated for the treatment of adults with insufficiently controlled type 2 diabetes mellitus as an adjunct to diet and exercise.</w:t>
      </w:r>
    </w:p>
    <w:p w14:paraId="5F6C0D9A" w14:textId="212DEFD6" w:rsidR="0088684C" w:rsidRPr="005A0CEA" w:rsidRDefault="0088684C" w:rsidP="007C5F0E">
      <w:pPr>
        <w:pStyle w:val="ListParagraph"/>
        <w:numPr>
          <w:ilvl w:val="0"/>
          <w:numId w:val="11"/>
        </w:numPr>
        <w:spacing w:before="240"/>
        <w:ind w:left="714" w:hanging="357"/>
        <w:rPr>
          <w:lang w:val="en-GB"/>
        </w:rPr>
      </w:pPr>
      <w:r w:rsidRPr="005A0CEA">
        <w:rPr>
          <w:lang w:val="en-GB"/>
        </w:rPr>
        <w:t xml:space="preserve">as monotherapy </w:t>
      </w:r>
      <w:r w:rsidR="00353542" w:rsidRPr="005A0CEA">
        <w:rPr>
          <w:lang w:val="en-GB"/>
        </w:rPr>
        <w:t xml:space="preserve">if </w:t>
      </w:r>
      <w:r w:rsidRPr="005A0CEA">
        <w:rPr>
          <w:lang w:val="en-GB"/>
        </w:rPr>
        <w:t>metformin is considered inappropriate due to intolerance or contraindications</w:t>
      </w:r>
      <w:r w:rsidR="00353542" w:rsidRPr="005A0CEA">
        <w:rPr>
          <w:lang w:val="en-GB"/>
        </w:rPr>
        <w:t>; or</w:t>
      </w:r>
    </w:p>
    <w:p w14:paraId="31E4E26F" w14:textId="77777777" w:rsidR="0088684C" w:rsidRPr="005A0CEA" w:rsidRDefault="0088684C" w:rsidP="007C5F0E">
      <w:pPr>
        <w:pStyle w:val="ListParagraph"/>
        <w:spacing w:before="240"/>
        <w:ind w:left="714"/>
        <w:rPr>
          <w:lang w:val="en-GB"/>
        </w:rPr>
      </w:pPr>
    </w:p>
    <w:p w14:paraId="110EE444" w14:textId="484D40AC" w:rsidR="0088684C" w:rsidRPr="005A0CEA" w:rsidRDefault="0088684C" w:rsidP="007C5F0E">
      <w:pPr>
        <w:pStyle w:val="ListParagraph"/>
        <w:numPr>
          <w:ilvl w:val="0"/>
          <w:numId w:val="11"/>
        </w:numPr>
        <w:spacing w:before="240"/>
        <w:ind w:left="714" w:hanging="357"/>
        <w:rPr>
          <w:lang w:val="en-GB"/>
        </w:rPr>
      </w:pPr>
      <w:r w:rsidRPr="005A0CEA">
        <w:rPr>
          <w:lang w:val="en-GB"/>
        </w:rPr>
        <w:t xml:space="preserve">in combination with other medicinal products for the treatment of </w:t>
      </w:r>
      <w:r w:rsidR="00353542" w:rsidRPr="005A0CEA">
        <w:rPr>
          <w:lang w:val="en-GB"/>
        </w:rPr>
        <w:t xml:space="preserve">type 2 </w:t>
      </w:r>
      <w:r w:rsidRPr="005A0CEA">
        <w:rPr>
          <w:lang w:val="en-GB"/>
        </w:rPr>
        <w:t>diabetes</w:t>
      </w:r>
      <w:r w:rsidR="00353542" w:rsidRPr="005A0CEA">
        <w:rPr>
          <w:lang w:val="en-GB"/>
        </w:rPr>
        <w:t xml:space="preserve"> mellitus</w:t>
      </w:r>
      <w:r w:rsidRPr="005A0CEA">
        <w:rPr>
          <w:lang w:val="en-GB"/>
        </w:rPr>
        <w:t>.</w:t>
      </w:r>
    </w:p>
    <w:p w14:paraId="7378EEE7" w14:textId="73D0AD0A" w:rsidR="00D56FBE" w:rsidRPr="005A0CEA" w:rsidRDefault="00D56FBE" w:rsidP="007C5F0E">
      <w:pPr>
        <w:rPr>
          <w:lang w:val="en-GB"/>
        </w:rPr>
      </w:pPr>
    </w:p>
    <w:p w14:paraId="0171FC4C" w14:textId="77777777" w:rsidR="00D56FBE" w:rsidRPr="005A0CEA" w:rsidRDefault="00D56FBE" w:rsidP="007C5F0E">
      <w:pPr>
        <w:pStyle w:val="Heading3"/>
        <w:rPr>
          <w:lang w:val="en-GB"/>
        </w:rPr>
      </w:pPr>
      <w:r w:rsidRPr="005A0CEA">
        <w:rPr>
          <w:lang w:val="en-GB"/>
        </w:rPr>
        <w:t xml:space="preserve">4.2 </w:t>
      </w:r>
      <w:r w:rsidRPr="005A0CEA">
        <w:rPr>
          <w:lang w:val="en-GB"/>
        </w:rPr>
        <w:tab/>
        <w:t>Dose and Method of Administration</w:t>
      </w:r>
    </w:p>
    <w:p w14:paraId="0CE8A423" w14:textId="77777777" w:rsidR="00D56FBE" w:rsidRPr="005A0CEA" w:rsidRDefault="00D56FBE" w:rsidP="007C5F0E">
      <w:pPr>
        <w:pStyle w:val="Heading4"/>
        <w:rPr>
          <w:lang w:val="en-GB"/>
        </w:rPr>
      </w:pPr>
      <w:r w:rsidRPr="005A0CEA">
        <w:rPr>
          <w:lang w:val="en-GB"/>
        </w:rPr>
        <w:t>Dosage</w:t>
      </w:r>
    </w:p>
    <w:p w14:paraId="258EE3BA" w14:textId="76BDB5BF" w:rsidR="00DA056E" w:rsidRPr="005A0CEA" w:rsidRDefault="00541013" w:rsidP="007C5F0E">
      <w:pPr>
        <w:rPr>
          <w:lang w:val="en-GB"/>
        </w:rPr>
      </w:pPr>
      <w:r w:rsidRPr="005A0CEA">
        <w:rPr>
          <w:lang w:val="en-GB"/>
        </w:rPr>
        <w:t>The starting dose of Rybelsus is 3 mg once daily</w:t>
      </w:r>
      <w:r w:rsidR="002747C1" w:rsidRPr="005A0CEA">
        <w:rPr>
          <w:lang w:val="en-GB"/>
        </w:rPr>
        <w:t xml:space="preserve"> for one month</w:t>
      </w:r>
      <w:r w:rsidRPr="005A0CEA">
        <w:rPr>
          <w:lang w:val="en-GB"/>
        </w:rPr>
        <w:t xml:space="preserve">. After </w:t>
      </w:r>
      <w:r w:rsidR="002747C1" w:rsidRPr="005A0CEA">
        <w:rPr>
          <w:lang w:val="en-GB"/>
        </w:rPr>
        <w:t>one</w:t>
      </w:r>
      <w:r w:rsidRPr="005A0CEA">
        <w:rPr>
          <w:lang w:val="en-GB"/>
        </w:rPr>
        <w:t xml:space="preserve"> month, the dose should be increased to a maintenance dose of 7 mg once daily. </w:t>
      </w:r>
      <w:r w:rsidR="002747C1" w:rsidRPr="005A0CEA">
        <w:rPr>
          <w:lang w:val="en-GB"/>
        </w:rPr>
        <w:t>A</w:t>
      </w:r>
      <w:r w:rsidRPr="005A0CEA">
        <w:rPr>
          <w:lang w:val="en-GB"/>
        </w:rPr>
        <w:t xml:space="preserve">fter at least one month </w:t>
      </w:r>
      <w:r w:rsidR="002747C1" w:rsidRPr="005A0CEA">
        <w:rPr>
          <w:lang w:val="en-GB"/>
        </w:rPr>
        <w:t>on</w:t>
      </w:r>
      <w:r w:rsidRPr="005A0CEA">
        <w:rPr>
          <w:lang w:val="en-GB"/>
        </w:rPr>
        <w:t xml:space="preserve"> </w:t>
      </w:r>
      <w:r w:rsidR="002747C1" w:rsidRPr="005A0CEA">
        <w:rPr>
          <w:lang w:val="en-GB"/>
        </w:rPr>
        <w:t xml:space="preserve">a </w:t>
      </w:r>
      <w:r w:rsidR="002747C1" w:rsidRPr="005A0CEA">
        <w:rPr>
          <w:lang w:val="en-GB"/>
        </w:rPr>
        <w:lastRenderedPageBreak/>
        <w:t>dose of</w:t>
      </w:r>
      <w:r w:rsidRPr="005A0CEA">
        <w:rPr>
          <w:lang w:val="en-GB"/>
        </w:rPr>
        <w:t xml:space="preserve"> 7 mg</w:t>
      </w:r>
      <w:r w:rsidR="002747C1" w:rsidRPr="005A0CEA">
        <w:rPr>
          <w:lang w:val="en-GB"/>
        </w:rPr>
        <w:t xml:space="preserve"> once daily</w:t>
      </w:r>
      <w:r w:rsidRPr="005A0CEA">
        <w:rPr>
          <w:lang w:val="en-GB"/>
        </w:rPr>
        <w:t>, the dose can be increased to a</w:t>
      </w:r>
      <w:r w:rsidR="00100A16" w:rsidRPr="005A0CEA">
        <w:rPr>
          <w:lang w:val="en-GB"/>
        </w:rPr>
        <w:t xml:space="preserve"> </w:t>
      </w:r>
      <w:r w:rsidRPr="005A0CEA">
        <w:rPr>
          <w:lang w:val="en-GB"/>
        </w:rPr>
        <w:t>maintenance dose of 14 mg once daily</w:t>
      </w:r>
      <w:r w:rsidR="002747C1" w:rsidRPr="005A0CEA">
        <w:rPr>
          <w:lang w:val="en-GB"/>
        </w:rPr>
        <w:t xml:space="preserve"> to further improve glycaemic control</w:t>
      </w:r>
      <w:r w:rsidRPr="005A0CEA">
        <w:rPr>
          <w:lang w:val="en-GB"/>
        </w:rPr>
        <w:t>.</w:t>
      </w:r>
    </w:p>
    <w:p w14:paraId="5BF7D6F2" w14:textId="4DFDE3FF" w:rsidR="002747C1" w:rsidRPr="005A0CEA" w:rsidRDefault="002747C1" w:rsidP="007C5F0E">
      <w:pPr>
        <w:rPr>
          <w:lang w:val="en-GB"/>
        </w:rPr>
      </w:pPr>
    </w:p>
    <w:p w14:paraId="59DA9833" w14:textId="5757CCD0" w:rsidR="00DA056E" w:rsidRPr="005A0CEA" w:rsidRDefault="002747C1" w:rsidP="007C5F0E">
      <w:pPr>
        <w:rPr>
          <w:lang w:val="en-GB"/>
        </w:rPr>
      </w:pPr>
      <w:r w:rsidRPr="005A0CEA">
        <w:rPr>
          <w:lang w:val="en-GB"/>
        </w:rPr>
        <w:t>The maximum recommended single daily dose of Rybelsus is 14 mg. Taking two 7 mg tablets to achieve the effect of a 14 mg dose has not been studied and is therefore not recommended.</w:t>
      </w:r>
    </w:p>
    <w:p w14:paraId="034DB650" w14:textId="77777777" w:rsidR="002747C1" w:rsidRPr="005A0CEA" w:rsidRDefault="002747C1" w:rsidP="007C5F0E">
      <w:pPr>
        <w:rPr>
          <w:lang w:val="en-GB"/>
        </w:rPr>
      </w:pPr>
    </w:p>
    <w:p w14:paraId="53ED92DB" w14:textId="056E2C6B" w:rsidR="00D56FBE" w:rsidRPr="005A0CEA" w:rsidRDefault="00DA056E" w:rsidP="007C5F0E">
      <w:pPr>
        <w:rPr>
          <w:lang w:val="en-GB"/>
        </w:rPr>
      </w:pPr>
      <w:r w:rsidRPr="005A0CEA">
        <w:rPr>
          <w:lang w:val="en-GB"/>
        </w:rPr>
        <w:t xml:space="preserve">Rybelsus can be used as monotherapy or in combination with one or more glucose-lowering medicinal products (see </w:t>
      </w:r>
      <w:r w:rsidR="0088684C" w:rsidRPr="005A0CEA">
        <w:rPr>
          <w:lang w:val="en-GB"/>
        </w:rPr>
        <w:t>Dosage Adjustment</w:t>
      </w:r>
      <w:r w:rsidRPr="005A0CEA">
        <w:rPr>
          <w:lang w:val="en-GB"/>
        </w:rPr>
        <w:t>).</w:t>
      </w:r>
    </w:p>
    <w:p w14:paraId="5C27AD1E" w14:textId="320DB2C5" w:rsidR="00D56FBE" w:rsidRPr="005A0CEA" w:rsidRDefault="00D56FBE" w:rsidP="007C5F0E">
      <w:pPr>
        <w:pStyle w:val="Heading4"/>
        <w:rPr>
          <w:lang w:val="en-GB"/>
        </w:rPr>
      </w:pPr>
      <w:r w:rsidRPr="005A0CEA">
        <w:rPr>
          <w:lang w:val="en-GB"/>
        </w:rPr>
        <w:t>Method of Administration</w:t>
      </w:r>
    </w:p>
    <w:p w14:paraId="35112A88" w14:textId="468923FD" w:rsidR="00DA056E" w:rsidRPr="005A0CEA" w:rsidRDefault="00DA056E" w:rsidP="007C5F0E">
      <w:pPr>
        <w:rPr>
          <w:lang w:val="en-GB"/>
        </w:rPr>
      </w:pPr>
      <w:r w:rsidRPr="005A0CEA">
        <w:rPr>
          <w:lang w:val="en-GB"/>
        </w:rPr>
        <w:t>Rybelsus is a tablet for once-daily oral use.</w:t>
      </w:r>
    </w:p>
    <w:p w14:paraId="16368578" w14:textId="77777777" w:rsidR="00DA056E" w:rsidRPr="005A0CEA" w:rsidRDefault="00DA056E" w:rsidP="007C5F0E">
      <w:pPr>
        <w:rPr>
          <w:lang w:val="en-GB"/>
        </w:rPr>
      </w:pPr>
    </w:p>
    <w:p w14:paraId="52900C07" w14:textId="6EAABE30" w:rsidR="00DA056E" w:rsidRPr="005A0CEA" w:rsidRDefault="00DA056E" w:rsidP="007C5F0E">
      <w:pPr>
        <w:rPr>
          <w:lang w:val="en-GB"/>
        </w:rPr>
      </w:pPr>
      <w:r w:rsidRPr="005A0CEA">
        <w:rPr>
          <w:lang w:val="en-GB"/>
        </w:rPr>
        <w:t xml:space="preserve">Rybelsus should be taken on an empty stomach. Rybelsus should be swallowed whole with up to half a glass of water equivalent to 120 ml. Do not split, </w:t>
      </w:r>
      <w:proofErr w:type="gramStart"/>
      <w:r w:rsidRPr="005A0CEA">
        <w:rPr>
          <w:lang w:val="en-GB"/>
        </w:rPr>
        <w:t>crush</w:t>
      </w:r>
      <w:proofErr w:type="gramEnd"/>
      <w:r w:rsidRPr="005A0CEA">
        <w:rPr>
          <w:lang w:val="en-GB"/>
        </w:rPr>
        <w:t xml:space="preserve"> or chew the tablet. Wait at least 30 minutes before the first meal or drink of the day or taking other oral medicinal products. Waiting less than 30 minutes may decrease the absorption of semaglutide.</w:t>
      </w:r>
    </w:p>
    <w:p w14:paraId="3DA502FA" w14:textId="77777777" w:rsidR="00D56FBE" w:rsidRPr="005A0CEA" w:rsidRDefault="00D56FBE" w:rsidP="007C5F0E">
      <w:pPr>
        <w:pStyle w:val="Heading4"/>
        <w:rPr>
          <w:lang w:val="en-GB"/>
        </w:rPr>
      </w:pPr>
      <w:r w:rsidRPr="005A0CEA">
        <w:rPr>
          <w:lang w:val="en-GB"/>
        </w:rPr>
        <w:t>Dosage Adjustment</w:t>
      </w:r>
    </w:p>
    <w:p w14:paraId="7E700D34" w14:textId="274F35EB" w:rsidR="00D56FBE" w:rsidRPr="005A0CEA" w:rsidRDefault="00301DE4" w:rsidP="007C5F0E">
      <w:pPr>
        <w:rPr>
          <w:lang w:val="en-GB"/>
        </w:rPr>
      </w:pPr>
      <w:r w:rsidRPr="005A0CEA">
        <w:rPr>
          <w:lang w:val="en-GB"/>
        </w:rPr>
        <w:t>When Rybelsus is used in combination with metformin and/or a sodium-glucose co-transporter-2 inhibitor (SGLT2i) or thiazolidinedione, the current dose of metformin and/or SGLT2i/thiazolidinedione can be continued.</w:t>
      </w:r>
    </w:p>
    <w:p w14:paraId="7E22FEF8" w14:textId="77777777" w:rsidR="00792D2E" w:rsidRPr="005A0CEA" w:rsidRDefault="00792D2E" w:rsidP="007C5F0E">
      <w:pPr>
        <w:rPr>
          <w:lang w:val="en-GB"/>
        </w:rPr>
      </w:pPr>
    </w:p>
    <w:p w14:paraId="7C51C1D9" w14:textId="73EF8966" w:rsidR="00792D2E" w:rsidRPr="005A0CEA" w:rsidRDefault="00792D2E" w:rsidP="00B71797">
      <w:pPr>
        <w:rPr>
          <w:lang w:val="en-GB"/>
        </w:rPr>
      </w:pPr>
      <w:r w:rsidRPr="005A0CEA">
        <w:rPr>
          <w:lang w:val="en-GB"/>
        </w:rPr>
        <w:t>When Rybelsus is used in combination with a sulfonylurea or insulin, a reduction in the dose of sulfonylurea or insulin should be considered to reduce the risk of hypoglycaemia (see section 4.</w:t>
      </w:r>
      <w:r w:rsidR="0088684C" w:rsidRPr="005A0CEA">
        <w:rPr>
          <w:lang w:val="en-GB"/>
        </w:rPr>
        <w:t>4 Special Warning and Precautions</w:t>
      </w:r>
      <w:r w:rsidRPr="005A0CEA">
        <w:rPr>
          <w:lang w:val="en-GB"/>
        </w:rPr>
        <w:t>).</w:t>
      </w:r>
    </w:p>
    <w:p w14:paraId="272BEF00" w14:textId="5E5938C8" w:rsidR="00F35174" w:rsidRPr="005A0CEA" w:rsidRDefault="00F35174" w:rsidP="007C5F0E">
      <w:pPr>
        <w:rPr>
          <w:lang w:val="en-GB"/>
        </w:rPr>
      </w:pPr>
    </w:p>
    <w:p w14:paraId="1FE42CBF" w14:textId="03C6FE70" w:rsidR="002747C1" w:rsidRPr="005A0CEA" w:rsidRDefault="002747C1" w:rsidP="007C5F0E">
      <w:pPr>
        <w:rPr>
          <w:lang w:val="en-GB"/>
        </w:rPr>
      </w:pPr>
      <w:r w:rsidRPr="005A0CEA">
        <w:rPr>
          <w:lang w:val="en-GB"/>
        </w:rPr>
        <w:t xml:space="preserve">Self-monitoring of blood glucose is not needed </w:t>
      </w:r>
      <w:proofErr w:type="gramStart"/>
      <w:r w:rsidRPr="005A0CEA">
        <w:rPr>
          <w:lang w:val="en-GB"/>
        </w:rPr>
        <w:t>in order to</w:t>
      </w:r>
      <w:proofErr w:type="gramEnd"/>
      <w:r w:rsidRPr="005A0CEA">
        <w:rPr>
          <w:lang w:val="en-GB"/>
        </w:rPr>
        <w:t xml:space="preserve"> adjust the dose of Rybelsus. Blood glucose self-monitoring is necessary to adjust the dose of sulfonylurea and insulin, particularly when Rybelsus is </w:t>
      </w:r>
      <w:proofErr w:type="gramStart"/>
      <w:r w:rsidRPr="005A0CEA">
        <w:rPr>
          <w:lang w:val="en-GB"/>
        </w:rPr>
        <w:t>started</w:t>
      </w:r>
      <w:proofErr w:type="gramEnd"/>
      <w:r w:rsidRPr="005A0CEA">
        <w:rPr>
          <w:lang w:val="en-GB"/>
        </w:rPr>
        <w:t xml:space="preserve"> and insulin is reduced. A stepwise approach to insulin reduction is recommended.</w:t>
      </w:r>
    </w:p>
    <w:p w14:paraId="6F5B164E" w14:textId="77777777" w:rsidR="002747C1" w:rsidRPr="005A0CEA" w:rsidRDefault="002747C1" w:rsidP="007C5F0E">
      <w:pPr>
        <w:rPr>
          <w:lang w:val="en-GB"/>
        </w:rPr>
      </w:pPr>
    </w:p>
    <w:p w14:paraId="62C653D0" w14:textId="62D9C4DA" w:rsidR="0008797F" w:rsidRPr="005A0CEA" w:rsidRDefault="00F35174" w:rsidP="007C5F0E">
      <w:pPr>
        <w:rPr>
          <w:lang w:val="en-GB"/>
        </w:rPr>
      </w:pPr>
      <w:r w:rsidRPr="005A0CEA">
        <w:rPr>
          <w:lang w:val="en-GB"/>
        </w:rPr>
        <w:t>If a dose is missed, the missed dose should be skipped, and the next dose should be taken the following day.</w:t>
      </w:r>
    </w:p>
    <w:p w14:paraId="36716DB5" w14:textId="74E60995" w:rsidR="0008797F" w:rsidRPr="005A0CEA" w:rsidRDefault="0008797F" w:rsidP="007C5F0E">
      <w:pPr>
        <w:pStyle w:val="Heading6"/>
        <w:rPr>
          <w:lang w:val="en-GB"/>
        </w:rPr>
      </w:pPr>
      <w:r w:rsidRPr="005A0CEA">
        <w:rPr>
          <w:lang w:val="en-GB"/>
        </w:rPr>
        <w:t>Elderly patients (≥</w:t>
      </w:r>
      <w:r w:rsidR="002747C1" w:rsidRPr="005A0CEA">
        <w:rPr>
          <w:lang w:val="en-GB"/>
        </w:rPr>
        <w:t xml:space="preserve"> </w:t>
      </w:r>
      <w:r w:rsidRPr="005A0CEA">
        <w:rPr>
          <w:lang w:val="en-GB"/>
        </w:rPr>
        <w:t>65 years old)</w:t>
      </w:r>
    </w:p>
    <w:p w14:paraId="27BD1D4B" w14:textId="7E23CD27" w:rsidR="00892334" w:rsidRPr="005A0CEA" w:rsidRDefault="0008797F" w:rsidP="007C5F0E">
      <w:pPr>
        <w:rPr>
          <w:lang w:val="en-GB"/>
        </w:rPr>
      </w:pPr>
      <w:r w:rsidRPr="005A0CEA">
        <w:rPr>
          <w:lang w:val="en-GB"/>
        </w:rPr>
        <w:t>No dose adjustment is required based on age.</w:t>
      </w:r>
      <w:r w:rsidR="002747C1" w:rsidRPr="005A0CEA">
        <w:rPr>
          <w:lang w:val="en-GB"/>
        </w:rPr>
        <w:t xml:space="preserve"> Therapeutic experience in patients ≥ 75 years of age is limited.</w:t>
      </w:r>
    </w:p>
    <w:p w14:paraId="2D29905F" w14:textId="77777777" w:rsidR="00892334" w:rsidRPr="005A0CEA" w:rsidRDefault="00892334" w:rsidP="007C5F0E">
      <w:pPr>
        <w:pStyle w:val="Heading6"/>
        <w:rPr>
          <w:lang w:val="en-GB"/>
        </w:rPr>
      </w:pPr>
      <w:r w:rsidRPr="005A0CEA">
        <w:rPr>
          <w:lang w:val="en-GB"/>
        </w:rPr>
        <w:t>Gender</w:t>
      </w:r>
    </w:p>
    <w:p w14:paraId="197ECD2D" w14:textId="3E823D24" w:rsidR="00EF7E53" w:rsidRPr="005A0CEA" w:rsidRDefault="00892334" w:rsidP="007C5F0E">
      <w:pPr>
        <w:rPr>
          <w:lang w:val="en-GB"/>
        </w:rPr>
      </w:pPr>
      <w:r w:rsidRPr="005A0CEA">
        <w:rPr>
          <w:lang w:val="en-GB"/>
        </w:rPr>
        <w:t>No dose adjustment is required based on gender.</w:t>
      </w:r>
    </w:p>
    <w:p w14:paraId="27D36485" w14:textId="77777777" w:rsidR="004B1B75" w:rsidRPr="005A0CEA" w:rsidRDefault="004B1B75" w:rsidP="007C5F0E">
      <w:pPr>
        <w:pStyle w:val="Heading6"/>
        <w:rPr>
          <w:lang w:val="en-GB"/>
        </w:rPr>
      </w:pPr>
      <w:r w:rsidRPr="005A0CEA">
        <w:rPr>
          <w:lang w:val="en-GB"/>
        </w:rPr>
        <w:t>Race and Ethnicity</w:t>
      </w:r>
    </w:p>
    <w:p w14:paraId="529470B9" w14:textId="25705E2E" w:rsidR="006F4DEC" w:rsidRPr="005A0CEA" w:rsidRDefault="004B1B75" w:rsidP="007C5F0E">
      <w:pPr>
        <w:rPr>
          <w:lang w:val="en-GB"/>
        </w:rPr>
      </w:pPr>
      <w:r w:rsidRPr="005A0CEA">
        <w:rPr>
          <w:lang w:val="en-GB"/>
        </w:rPr>
        <w:t>No dose adjustment is required based on race and ethnicity.</w:t>
      </w:r>
    </w:p>
    <w:p w14:paraId="31A09A28" w14:textId="77777777" w:rsidR="006F4DEC" w:rsidRPr="005A0CEA" w:rsidRDefault="006F4DEC" w:rsidP="007C5F0E">
      <w:pPr>
        <w:pStyle w:val="Heading6"/>
        <w:keepNext/>
        <w:keepLines/>
        <w:rPr>
          <w:lang w:val="en-GB"/>
        </w:rPr>
      </w:pPr>
      <w:r w:rsidRPr="005A0CEA">
        <w:rPr>
          <w:lang w:val="en-GB"/>
        </w:rPr>
        <w:lastRenderedPageBreak/>
        <w:t>Patients with hepatic impairment</w:t>
      </w:r>
    </w:p>
    <w:p w14:paraId="21F1E879" w14:textId="5761DD99" w:rsidR="001A2A9B" w:rsidRPr="005A0CEA" w:rsidRDefault="002747C1" w:rsidP="007C5F0E">
      <w:pPr>
        <w:keepNext/>
        <w:keepLines/>
        <w:rPr>
          <w:lang w:val="en-GB"/>
        </w:rPr>
      </w:pPr>
      <w:r w:rsidRPr="005A0CEA">
        <w:rPr>
          <w:lang w:val="en-GB"/>
        </w:rPr>
        <w:t>No dose adjustment is required for patients with hepatic impairment. Experience with the use of semaglutide in patients with severe hepatic impairment is limited. Caution should be exercised when treating these patients with semaglutide (see section</w:t>
      </w:r>
      <w:r w:rsidR="00BF0244" w:rsidRPr="005A0CEA">
        <w:rPr>
          <w:lang w:val="en-GB"/>
        </w:rPr>
        <w:t xml:space="preserve"> 5.2</w:t>
      </w:r>
      <w:r w:rsidR="00E45816" w:rsidRPr="005A0CEA">
        <w:rPr>
          <w:lang w:val="en-GB"/>
        </w:rPr>
        <w:t xml:space="preserve"> Pharmacokinetic Properties</w:t>
      </w:r>
      <w:r w:rsidRPr="005A0CEA">
        <w:rPr>
          <w:lang w:val="en-GB"/>
        </w:rPr>
        <w:t>)</w:t>
      </w:r>
      <w:r w:rsidR="006F4DEC" w:rsidRPr="005A0CEA">
        <w:rPr>
          <w:lang w:val="en-GB"/>
        </w:rPr>
        <w:t>.</w:t>
      </w:r>
    </w:p>
    <w:p w14:paraId="1E48B248" w14:textId="77777777" w:rsidR="008600E4" w:rsidRPr="005A0CEA" w:rsidRDefault="008600E4" w:rsidP="007C5F0E">
      <w:pPr>
        <w:pStyle w:val="Heading6"/>
        <w:keepNext/>
        <w:keepLines/>
        <w:rPr>
          <w:lang w:val="en-GB"/>
        </w:rPr>
      </w:pPr>
      <w:r w:rsidRPr="005A0CEA">
        <w:rPr>
          <w:lang w:val="en-GB"/>
        </w:rPr>
        <w:t>Patients with renal impairment</w:t>
      </w:r>
    </w:p>
    <w:p w14:paraId="32436244" w14:textId="607F20D4" w:rsidR="000640DE" w:rsidRPr="005A0CEA" w:rsidRDefault="00C9193C" w:rsidP="007C5F0E">
      <w:pPr>
        <w:keepNext/>
        <w:keepLines/>
        <w:rPr>
          <w:lang w:val="en-GB"/>
        </w:rPr>
      </w:pPr>
      <w:r w:rsidRPr="005A0CEA">
        <w:rPr>
          <w:lang w:val="en-GB"/>
        </w:rPr>
        <w:t xml:space="preserve">No dose adjustment is required for patients with mild, </w:t>
      </w:r>
      <w:proofErr w:type="gramStart"/>
      <w:r w:rsidRPr="005A0CEA">
        <w:rPr>
          <w:lang w:val="en-GB"/>
        </w:rPr>
        <w:t>moderate</w:t>
      </w:r>
      <w:proofErr w:type="gramEnd"/>
      <w:r w:rsidRPr="005A0CEA">
        <w:rPr>
          <w:lang w:val="en-GB"/>
        </w:rPr>
        <w:t xml:space="preserve"> or severe renal impairment. Experience with the use of semaglutide in patients with severe renal impairment is limited. Semaglutide is not recommended in patients with </w:t>
      </w:r>
      <w:proofErr w:type="spellStart"/>
      <w:r w:rsidRPr="005A0CEA">
        <w:rPr>
          <w:lang w:val="en-GB"/>
        </w:rPr>
        <w:t>endstage</w:t>
      </w:r>
      <w:proofErr w:type="spellEnd"/>
      <w:r w:rsidRPr="005A0CEA">
        <w:rPr>
          <w:lang w:val="en-GB"/>
        </w:rPr>
        <w:t xml:space="preserve"> renal disease (see section</w:t>
      </w:r>
      <w:r w:rsidR="00BF0244" w:rsidRPr="005A0CEA">
        <w:rPr>
          <w:lang w:val="en-GB"/>
        </w:rPr>
        <w:t xml:space="preserve"> 5.2</w:t>
      </w:r>
      <w:r w:rsidR="00E45816" w:rsidRPr="005A0CEA">
        <w:rPr>
          <w:lang w:val="en-GB"/>
        </w:rPr>
        <w:t xml:space="preserve"> Pharmacokinetic Properties</w:t>
      </w:r>
      <w:r w:rsidRPr="005A0CEA">
        <w:rPr>
          <w:lang w:val="en-GB"/>
        </w:rPr>
        <w:t>)</w:t>
      </w:r>
      <w:r w:rsidR="008600E4" w:rsidRPr="005A0CEA">
        <w:rPr>
          <w:lang w:val="en-GB"/>
        </w:rPr>
        <w:t>.</w:t>
      </w:r>
    </w:p>
    <w:p w14:paraId="0E30A4D8" w14:textId="77777777" w:rsidR="000640DE" w:rsidRPr="005A0CEA" w:rsidRDefault="000640DE" w:rsidP="00221C88">
      <w:pPr>
        <w:pStyle w:val="Heading6"/>
        <w:keepNext/>
        <w:keepLines/>
        <w:rPr>
          <w:lang w:val="en-GB"/>
        </w:rPr>
      </w:pPr>
      <w:r w:rsidRPr="005A0CEA">
        <w:rPr>
          <w:lang w:val="en-GB"/>
        </w:rPr>
        <w:t>Children and adolescents</w:t>
      </w:r>
    </w:p>
    <w:p w14:paraId="32EAB269" w14:textId="05E6AAE4" w:rsidR="000640DE" w:rsidRPr="005A0CEA" w:rsidRDefault="000640DE" w:rsidP="007C5F0E">
      <w:pPr>
        <w:rPr>
          <w:lang w:val="en-GB"/>
        </w:rPr>
      </w:pPr>
      <w:r w:rsidRPr="005A0CEA">
        <w:rPr>
          <w:lang w:val="en-GB"/>
        </w:rPr>
        <w:t xml:space="preserve">The safety and efficacy of Rybelsus in children and adolescents below 18 years have not been </w:t>
      </w:r>
      <w:r w:rsidR="00C9193C" w:rsidRPr="005A0CEA">
        <w:rPr>
          <w:lang w:val="en-GB"/>
        </w:rPr>
        <w:t>established</w:t>
      </w:r>
      <w:r w:rsidRPr="005A0CEA">
        <w:rPr>
          <w:lang w:val="en-GB"/>
        </w:rPr>
        <w:t>.</w:t>
      </w:r>
      <w:r w:rsidR="00C9193C" w:rsidRPr="005A0CEA">
        <w:rPr>
          <w:lang w:val="en-GB"/>
        </w:rPr>
        <w:t xml:space="preserve"> No data are available.</w:t>
      </w:r>
    </w:p>
    <w:p w14:paraId="2BB782AC" w14:textId="77777777" w:rsidR="00D56FBE" w:rsidRPr="005A0CEA" w:rsidRDefault="00F17541" w:rsidP="007C5F0E">
      <w:pPr>
        <w:pStyle w:val="Heading3"/>
        <w:rPr>
          <w:lang w:val="en-GB"/>
        </w:rPr>
      </w:pPr>
      <w:r w:rsidRPr="005A0CEA">
        <w:rPr>
          <w:lang w:val="en-GB"/>
        </w:rPr>
        <w:t>4.3</w:t>
      </w:r>
      <w:r w:rsidRPr="005A0CEA">
        <w:rPr>
          <w:lang w:val="en-GB"/>
        </w:rPr>
        <w:tab/>
      </w:r>
      <w:r w:rsidR="00D56FBE" w:rsidRPr="005A0CEA">
        <w:rPr>
          <w:lang w:val="en-GB"/>
        </w:rPr>
        <w:t>Contraindications</w:t>
      </w:r>
    </w:p>
    <w:p w14:paraId="7C1F1FCB" w14:textId="7A4E3957" w:rsidR="00D56FBE" w:rsidRPr="005A0CEA" w:rsidRDefault="002B107C" w:rsidP="007C5F0E">
      <w:pPr>
        <w:rPr>
          <w:lang w:val="en-GB"/>
        </w:rPr>
      </w:pPr>
      <w:r w:rsidRPr="005A0CEA">
        <w:rPr>
          <w:lang w:val="en-GB"/>
        </w:rPr>
        <w:t xml:space="preserve">Hypersensitivity to the active substance or to any of the excipients listed in section </w:t>
      </w:r>
      <w:r w:rsidR="00650441" w:rsidRPr="005A0CEA">
        <w:rPr>
          <w:lang w:val="en-GB"/>
        </w:rPr>
        <w:t>6.1</w:t>
      </w:r>
      <w:r w:rsidRPr="005A0CEA">
        <w:rPr>
          <w:lang w:val="en-GB"/>
        </w:rPr>
        <w:t>.</w:t>
      </w:r>
    </w:p>
    <w:p w14:paraId="51139C37" w14:textId="77777777" w:rsidR="00D56FBE" w:rsidRPr="005A0CEA" w:rsidRDefault="00F17541" w:rsidP="007C5F0E">
      <w:pPr>
        <w:pStyle w:val="Heading3"/>
        <w:rPr>
          <w:lang w:val="en-GB"/>
        </w:rPr>
      </w:pPr>
      <w:r w:rsidRPr="005A0CEA">
        <w:rPr>
          <w:lang w:val="en-GB"/>
        </w:rPr>
        <w:t>4.4</w:t>
      </w:r>
      <w:r w:rsidRPr="005A0CEA">
        <w:rPr>
          <w:lang w:val="en-GB"/>
        </w:rPr>
        <w:tab/>
      </w:r>
      <w:r w:rsidR="00D56FBE" w:rsidRPr="005A0CEA">
        <w:rPr>
          <w:lang w:val="en-GB"/>
        </w:rPr>
        <w:t>Special Warnings and Precautions for Use</w:t>
      </w:r>
    </w:p>
    <w:p w14:paraId="32FC5630" w14:textId="5B8E6B13" w:rsidR="00274D3B" w:rsidRPr="005A0CEA" w:rsidRDefault="00411D76" w:rsidP="007C5F0E">
      <w:pPr>
        <w:rPr>
          <w:lang w:val="en-GB"/>
        </w:rPr>
      </w:pPr>
      <w:r w:rsidRPr="005A0CEA">
        <w:rPr>
          <w:lang w:val="en-GB"/>
        </w:rPr>
        <w:t>Rybelsus should not be used in patients with type 1 diabetes mellitus or for the treatment of diabetic ketoacidosis.</w:t>
      </w:r>
      <w:r w:rsidR="00C9193C" w:rsidRPr="005A0CEA">
        <w:rPr>
          <w:lang w:val="en-GB"/>
        </w:rPr>
        <w:t xml:space="preserve"> </w:t>
      </w:r>
      <w:r w:rsidR="00F70ECD" w:rsidRPr="005A0CEA">
        <w:rPr>
          <w:lang w:val="en-GB"/>
        </w:rPr>
        <w:t xml:space="preserve">Diabetic ketoacidosis has been reported in insulin-dependent patients </w:t>
      </w:r>
      <w:proofErr w:type="gramStart"/>
      <w:r w:rsidR="00F70ECD" w:rsidRPr="005A0CEA">
        <w:rPr>
          <w:lang w:val="en-GB"/>
        </w:rPr>
        <w:t>whom</w:t>
      </w:r>
      <w:proofErr w:type="gramEnd"/>
      <w:r w:rsidR="00F70ECD" w:rsidRPr="005A0CEA">
        <w:rPr>
          <w:lang w:val="en-GB"/>
        </w:rPr>
        <w:t xml:space="preserve"> had rapid discontinuation or dose reduction of insulin when treatment with a GLP-1 receptor agonist is started.</w:t>
      </w:r>
    </w:p>
    <w:p w14:paraId="01AEA24E" w14:textId="23953B1E" w:rsidR="00F70ECD" w:rsidRPr="005A0CEA" w:rsidRDefault="00F70ECD" w:rsidP="007C5F0E">
      <w:pPr>
        <w:rPr>
          <w:lang w:val="en-GB"/>
        </w:rPr>
      </w:pPr>
    </w:p>
    <w:p w14:paraId="537AE6F6" w14:textId="65B6D2CC" w:rsidR="00F70ECD" w:rsidRPr="005A0CEA" w:rsidRDefault="00F70ECD" w:rsidP="007C5F0E">
      <w:pPr>
        <w:rPr>
          <w:lang w:val="en-GB"/>
        </w:rPr>
      </w:pPr>
      <w:r w:rsidRPr="005A0CEA">
        <w:rPr>
          <w:lang w:val="en-GB"/>
        </w:rPr>
        <w:t>There is no therapeutic experience in patients with congestive heart failure New York Heart Association (NYHA) class IV and semaglutide is therefore not recommended in these patients.</w:t>
      </w:r>
    </w:p>
    <w:p w14:paraId="31C1C2B0" w14:textId="77777777" w:rsidR="00F70ECD" w:rsidRPr="005A0CEA" w:rsidRDefault="00F70ECD" w:rsidP="007C5F0E">
      <w:pPr>
        <w:rPr>
          <w:lang w:val="en-GB"/>
        </w:rPr>
      </w:pPr>
    </w:p>
    <w:p w14:paraId="2F09AAE5" w14:textId="3111E3E5" w:rsidR="00F70ECD" w:rsidRPr="005A0CEA" w:rsidRDefault="00F70ECD" w:rsidP="007C5F0E">
      <w:pPr>
        <w:rPr>
          <w:lang w:val="en-GB"/>
        </w:rPr>
      </w:pPr>
      <w:r w:rsidRPr="005A0CEA">
        <w:rPr>
          <w:lang w:val="en-GB"/>
        </w:rPr>
        <w:t>There is no therapeutic experience with Rybelsus in patients with bariatric surgery.</w:t>
      </w:r>
    </w:p>
    <w:p w14:paraId="785CD25A" w14:textId="081B5496" w:rsidR="00D56FBE" w:rsidRPr="005A0CEA" w:rsidRDefault="00905FC1" w:rsidP="007C5F0E">
      <w:pPr>
        <w:pStyle w:val="Heading4"/>
        <w:rPr>
          <w:lang w:val="en-GB"/>
        </w:rPr>
      </w:pPr>
      <w:r w:rsidRPr="005A0CEA">
        <w:rPr>
          <w:lang w:val="en-GB"/>
        </w:rPr>
        <w:t>Gastrointestinal effects</w:t>
      </w:r>
    </w:p>
    <w:p w14:paraId="7719D6F6" w14:textId="68D80911" w:rsidR="00905FC1" w:rsidRPr="005A0CEA" w:rsidRDefault="00905FC1" w:rsidP="007C5F0E">
      <w:pPr>
        <w:rPr>
          <w:lang w:val="en-GB"/>
        </w:rPr>
      </w:pPr>
      <w:r w:rsidRPr="005A0CEA">
        <w:rPr>
          <w:lang w:val="en-GB"/>
        </w:rPr>
        <w:t>Use of GLP-1 receptor agonists may be associated with gastrointestinal adverse reactions that can cause dehydration, which in rare cases can lead to a deterioration of renal function.</w:t>
      </w:r>
      <w:r w:rsidR="00F70ECD" w:rsidRPr="005A0CEA">
        <w:rPr>
          <w:lang w:val="en-GB"/>
        </w:rPr>
        <w:t xml:space="preserve"> Patients treated with semaglutide should be advised of the potential risk of dehydration in relation to gastrointestinal side effects and take precautions to avoid fluid depletion.</w:t>
      </w:r>
    </w:p>
    <w:p w14:paraId="1BFEC7E0" w14:textId="1B88C3BA" w:rsidR="00D56FBE" w:rsidRPr="005A0CEA" w:rsidRDefault="0094459F" w:rsidP="007C5F0E">
      <w:pPr>
        <w:pStyle w:val="Heading4"/>
        <w:rPr>
          <w:lang w:val="en-GB"/>
        </w:rPr>
      </w:pPr>
      <w:r w:rsidRPr="005A0CEA">
        <w:rPr>
          <w:lang w:val="en-GB"/>
        </w:rPr>
        <w:t>Acute pancreatitis</w:t>
      </w:r>
    </w:p>
    <w:p w14:paraId="7C11C660" w14:textId="302B52D5" w:rsidR="00E32369" w:rsidRPr="005A0CEA" w:rsidRDefault="00E32369" w:rsidP="007C5F0E">
      <w:pPr>
        <w:rPr>
          <w:lang w:val="en-GB"/>
        </w:rPr>
      </w:pPr>
      <w:r w:rsidRPr="005A0CEA">
        <w:rPr>
          <w:lang w:val="en-GB"/>
        </w:rPr>
        <w:t>Acute pancreatitis has been observed with the use of GLP-1 receptor agonists. Patients should be informed of the characteristic symptoms of acute pancreatitis. If pancreatitis is suspected, Rybelsus should be discontinued; if confirmed, Rybelsus should not be restarted. Caution should be exercised in patients with a history of pancreatitis.</w:t>
      </w:r>
    </w:p>
    <w:p w14:paraId="169A796A" w14:textId="77777777" w:rsidR="00E32369" w:rsidRPr="005A0CEA" w:rsidRDefault="00E32369" w:rsidP="007C5F0E">
      <w:pPr>
        <w:rPr>
          <w:lang w:val="en-GB"/>
        </w:rPr>
      </w:pPr>
    </w:p>
    <w:p w14:paraId="17BD5B43" w14:textId="0C9C7DA2" w:rsidR="00E32369" w:rsidRPr="005A0CEA" w:rsidRDefault="00E32369" w:rsidP="007C5F0E">
      <w:pPr>
        <w:rPr>
          <w:lang w:val="en-GB"/>
        </w:rPr>
      </w:pPr>
      <w:r w:rsidRPr="005A0CEA">
        <w:rPr>
          <w:lang w:val="en-GB"/>
        </w:rPr>
        <w:t>In the absence of other signs and symptoms of acute pancreatitis, elevations in pancreatic enzymes alone are not predictive of acute pancreatitis.</w:t>
      </w:r>
    </w:p>
    <w:p w14:paraId="6A8C662C" w14:textId="68C98A1D" w:rsidR="00B80E66" w:rsidRPr="005A0CEA" w:rsidRDefault="00B80E66" w:rsidP="007C5F0E">
      <w:pPr>
        <w:pStyle w:val="Heading4"/>
        <w:rPr>
          <w:lang w:val="en-GB"/>
        </w:rPr>
      </w:pPr>
      <w:r w:rsidRPr="005A0CEA">
        <w:rPr>
          <w:lang w:val="en-GB"/>
        </w:rPr>
        <w:t>Hypoglycaemia</w:t>
      </w:r>
    </w:p>
    <w:p w14:paraId="11B3C193" w14:textId="42E0B282" w:rsidR="00B80E66" w:rsidRPr="005A0CEA" w:rsidRDefault="004803F6" w:rsidP="007C5F0E">
      <w:pPr>
        <w:rPr>
          <w:lang w:val="en-GB"/>
        </w:rPr>
      </w:pPr>
      <w:r w:rsidRPr="005A0CEA">
        <w:rPr>
          <w:lang w:val="en-GB"/>
        </w:rPr>
        <w:t>Patients treated with Rybelsus in combination with a sulfonylurea or insulin may have an increased risk of hypoglycaemia. The risk of hypoglycaemia can be lowered by reducing the dose of sulfonylurea or insulin when initiating treatment with Rybelsus.</w:t>
      </w:r>
    </w:p>
    <w:p w14:paraId="251A2B01" w14:textId="45F14AA5" w:rsidR="00AD7824" w:rsidRPr="005A0CEA" w:rsidRDefault="00AD7824" w:rsidP="007C5F0E">
      <w:pPr>
        <w:pStyle w:val="Heading4"/>
        <w:rPr>
          <w:lang w:val="en-GB"/>
        </w:rPr>
      </w:pPr>
      <w:r w:rsidRPr="005A0CEA">
        <w:rPr>
          <w:lang w:val="en-GB"/>
        </w:rPr>
        <w:lastRenderedPageBreak/>
        <w:t>Diabetic retinopathy</w:t>
      </w:r>
    </w:p>
    <w:p w14:paraId="7ED9453E" w14:textId="50A08C4C" w:rsidR="008624D1" w:rsidRPr="005A0CEA" w:rsidRDefault="00AD7824" w:rsidP="007C5F0E">
      <w:pPr>
        <w:rPr>
          <w:lang w:val="en-GB"/>
        </w:rPr>
      </w:pPr>
      <w:r w:rsidRPr="005A0CEA">
        <w:rPr>
          <w:lang w:val="en-GB"/>
        </w:rPr>
        <w:t>Rapid improvement in glucose control has been associated with a temporary</w:t>
      </w:r>
      <w:r w:rsidR="008624D1" w:rsidRPr="005A0CEA">
        <w:rPr>
          <w:lang w:val="en-GB"/>
        </w:rPr>
        <w:t xml:space="preserve"> </w:t>
      </w:r>
      <w:r w:rsidRPr="005A0CEA">
        <w:rPr>
          <w:lang w:val="en-GB"/>
        </w:rPr>
        <w:t>worsening of diabetic retinopathy</w:t>
      </w:r>
      <w:r w:rsidR="00AF4394" w:rsidRPr="005A0CEA">
        <w:rPr>
          <w:lang w:val="en-GB"/>
        </w:rPr>
        <w:t>, but other mechanism cannot be excluded</w:t>
      </w:r>
      <w:r w:rsidRPr="005A0CEA">
        <w:rPr>
          <w:lang w:val="en-GB"/>
        </w:rPr>
        <w:t>. Long-term glycaemic control decreases the</w:t>
      </w:r>
      <w:r w:rsidR="008624D1" w:rsidRPr="005A0CEA">
        <w:rPr>
          <w:lang w:val="en-GB"/>
        </w:rPr>
        <w:t xml:space="preserve"> risk of diabetic retinopathy. Patients with a history of diabetic retinopathy should be monitored for worsening and treated according to clinical guidelines.</w:t>
      </w:r>
    </w:p>
    <w:p w14:paraId="1846958C" w14:textId="77777777" w:rsidR="00D56FBE" w:rsidRPr="005A0CEA" w:rsidRDefault="00D56FBE" w:rsidP="007C5F0E">
      <w:pPr>
        <w:pStyle w:val="Heading4"/>
        <w:rPr>
          <w:lang w:val="en-GB"/>
        </w:rPr>
      </w:pPr>
      <w:r w:rsidRPr="005A0CEA">
        <w:rPr>
          <w:lang w:val="en-GB"/>
        </w:rPr>
        <w:t>Use in hepatic impairment</w:t>
      </w:r>
    </w:p>
    <w:p w14:paraId="66E3E609" w14:textId="06FF9339" w:rsidR="00D56FBE" w:rsidRPr="005A0CEA" w:rsidRDefault="00BD7B5B" w:rsidP="007C5F0E">
      <w:pPr>
        <w:rPr>
          <w:lang w:val="en-GB"/>
        </w:rPr>
      </w:pPr>
      <w:r w:rsidRPr="005A0CEA">
        <w:rPr>
          <w:lang w:val="en-GB"/>
        </w:rPr>
        <w:t>See section 5.2 – Special Populations</w:t>
      </w:r>
    </w:p>
    <w:p w14:paraId="4FFCE0BA" w14:textId="77777777" w:rsidR="00D56FBE" w:rsidRPr="005A0CEA" w:rsidRDefault="00D56FBE" w:rsidP="007C5F0E">
      <w:pPr>
        <w:pStyle w:val="Heading4"/>
        <w:rPr>
          <w:lang w:val="en-GB"/>
        </w:rPr>
      </w:pPr>
      <w:r w:rsidRPr="005A0CEA">
        <w:rPr>
          <w:lang w:val="en-GB"/>
        </w:rPr>
        <w:t>Use in renal impairment</w:t>
      </w:r>
    </w:p>
    <w:p w14:paraId="33462A45" w14:textId="24FC7D49" w:rsidR="00D56FBE" w:rsidRPr="005A0CEA" w:rsidRDefault="00BD7B5B" w:rsidP="007C5F0E">
      <w:pPr>
        <w:rPr>
          <w:lang w:val="en-GB"/>
        </w:rPr>
      </w:pPr>
      <w:r w:rsidRPr="005A0CEA">
        <w:rPr>
          <w:lang w:val="en-GB"/>
        </w:rPr>
        <w:t>See section 5.2 – Special Populations</w:t>
      </w:r>
    </w:p>
    <w:p w14:paraId="25D065B8" w14:textId="77777777" w:rsidR="00D56FBE" w:rsidRPr="005A0CEA" w:rsidRDefault="00D56FBE" w:rsidP="007C5F0E">
      <w:pPr>
        <w:pStyle w:val="Heading4"/>
        <w:rPr>
          <w:lang w:val="en-GB"/>
        </w:rPr>
      </w:pPr>
      <w:r w:rsidRPr="005A0CEA">
        <w:rPr>
          <w:lang w:val="en-GB"/>
        </w:rPr>
        <w:t>Use in elderly</w:t>
      </w:r>
    </w:p>
    <w:p w14:paraId="46DB16B7" w14:textId="136864C6" w:rsidR="00D56FBE" w:rsidRPr="005A0CEA" w:rsidRDefault="00BD7B5B" w:rsidP="007C5F0E">
      <w:pPr>
        <w:rPr>
          <w:lang w:val="en-GB"/>
        </w:rPr>
      </w:pPr>
      <w:r w:rsidRPr="005A0CEA">
        <w:rPr>
          <w:lang w:val="en-GB"/>
        </w:rPr>
        <w:t xml:space="preserve">See section 5.2 </w:t>
      </w:r>
      <w:r w:rsidR="008F609D" w:rsidRPr="005A0CEA">
        <w:rPr>
          <w:lang w:val="en-GB"/>
        </w:rPr>
        <w:t>–</w:t>
      </w:r>
      <w:r w:rsidRPr="005A0CEA">
        <w:rPr>
          <w:lang w:val="en-GB"/>
        </w:rPr>
        <w:t xml:space="preserve"> </w:t>
      </w:r>
      <w:r w:rsidR="008F609D" w:rsidRPr="005A0CEA">
        <w:rPr>
          <w:lang w:val="en-GB"/>
        </w:rPr>
        <w:t>Special Populations</w:t>
      </w:r>
    </w:p>
    <w:p w14:paraId="5E034046" w14:textId="77777777" w:rsidR="00D56FBE" w:rsidRPr="005A0CEA" w:rsidRDefault="00D56FBE" w:rsidP="007C5F0E">
      <w:pPr>
        <w:pStyle w:val="Heading4"/>
        <w:rPr>
          <w:lang w:val="en-GB"/>
        </w:rPr>
      </w:pPr>
      <w:r w:rsidRPr="005A0CEA">
        <w:rPr>
          <w:lang w:val="en-GB"/>
        </w:rPr>
        <w:t>Paediatric use</w:t>
      </w:r>
    </w:p>
    <w:p w14:paraId="2608E8A1" w14:textId="77777777" w:rsidR="00BE6356" w:rsidRPr="005A0CEA" w:rsidRDefault="00BE6356" w:rsidP="007C5F0E">
      <w:pPr>
        <w:rPr>
          <w:lang w:val="en-GB"/>
        </w:rPr>
      </w:pPr>
      <w:r w:rsidRPr="005A0CEA">
        <w:rPr>
          <w:lang w:val="en-GB"/>
        </w:rPr>
        <w:t>The safety and efficacy of semaglutide in children and adolescents aged below 18 years has not been studied.</w:t>
      </w:r>
    </w:p>
    <w:p w14:paraId="60296529" w14:textId="77777777" w:rsidR="00F17541" w:rsidRPr="005A0CEA" w:rsidRDefault="00F17541" w:rsidP="007C5F0E">
      <w:pPr>
        <w:pStyle w:val="Heading4"/>
        <w:rPr>
          <w:lang w:val="en-GB"/>
        </w:rPr>
      </w:pPr>
      <w:r w:rsidRPr="005A0CEA">
        <w:rPr>
          <w:lang w:val="en-GB"/>
        </w:rPr>
        <w:t>Effects on laboratory tests</w:t>
      </w:r>
    </w:p>
    <w:p w14:paraId="09E230D5" w14:textId="77777777" w:rsidR="00ED5FAB" w:rsidRPr="005A0CEA" w:rsidRDefault="00ED5FAB" w:rsidP="007C5F0E">
      <w:pPr>
        <w:rPr>
          <w:lang w:val="en-GB"/>
        </w:rPr>
      </w:pPr>
      <w:r w:rsidRPr="005A0CEA">
        <w:rPr>
          <w:lang w:val="en-GB"/>
        </w:rPr>
        <w:t>No data available.</w:t>
      </w:r>
    </w:p>
    <w:p w14:paraId="2F1AB641" w14:textId="77777777" w:rsidR="00F17541" w:rsidRPr="005A0CEA" w:rsidRDefault="00F17541" w:rsidP="007C5F0E">
      <w:pPr>
        <w:rPr>
          <w:b/>
          <w:bCs/>
          <w:lang w:val="en-GB"/>
        </w:rPr>
      </w:pPr>
    </w:p>
    <w:p w14:paraId="2ECEA5B8" w14:textId="77777777" w:rsidR="00F17541" w:rsidRPr="005A0CEA" w:rsidRDefault="00F17541" w:rsidP="007C5F0E">
      <w:pPr>
        <w:pStyle w:val="Heading3"/>
        <w:rPr>
          <w:lang w:val="en-GB"/>
        </w:rPr>
      </w:pPr>
      <w:r w:rsidRPr="005A0CEA">
        <w:rPr>
          <w:lang w:val="en-GB"/>
        </w:rPr>
        <w:t>4.5</w:t>
      </w:r>
      <w:r w:rsidRPr="005A0CEA">
        <w:rPr>
          <w:lang w:val="en-GB"/>
        </w:rPr>
        <w:tab/>
        <w:t>Interaction with Other Medicines and Other Form of Interactions</w:t>
      </w:r>
    </w:p>
    <w:p w14:paraId="4B1E505A" w14:textId="77777777" w:rsidR="00D14674" w:rsidRPr="005A0CEA" w:rsidRDefault="0062017B" w:rsidP="007C5F0E">
      <w:pPr>
        <w:rPr>
          <w:lang w:val="en-GB"/>
        </w:rPr>
      </w:pPr>
      <w:r w:rsidRPr="005A0CEA">
        <w:rPr>
          <w:i/>
          <w:iCs/>
          <w:lang w:val="en-GB"/>
        </w:rPr>
        <w:t>In vitro</w:t>
      </w:r>
      <w:r w:rsidRPr="005A0CEA">
        <w:rPr>
          <w:lang w:val="en-GB"/>
        </w:rPr>
        <w:t xml:space="preserve"> studies have shown very low potential for semaglutide to inhibit or induce CYP enzymes, and to inhibit drug transporters. </w:t>
      </w:r>
    </w:p>
    <w:p w14:paraId="689B4435" w14:textId="77777777" w:rsidR="00D14674" w:rsidRPr="005A0CEA" w:rsidRDefault="00D14674" w:rsidP="007C5F0E">
      <w:pPr>
        <w:rPr>
          <w:lang w:val="en-GB"/>
        </w:rPr>
      </w:pPr>
    </w:p>
    <w:p w14:paraId="48B84FF8" w14:textId="07F0B581" w:rsidR="00F17541" w:rsidRPr="005A0CEA" w:rsidRDefault="0062017B" w:rsidP="007C5F0E">
      <w:pPr>
        <w:rPr>
          <w:lang w:val="en-GB"/>
        </w:rPr>
      </w:pPr>
      <w:r w:rsidRPr="005A0CEA">
        <w:rPr>
          <w:lang w:val="en-GB"/>
        </w:rPr>
        <w:t>Semaglutide delays gastric emptying which may influence the absorption of other oral medicinal products.</w:t>
      </w:r>
    </w:p>
    <w:p w14:paraId="00B3E6A7" w14:textId="77777777" w:rsidR="00AF4394" w:rsidRPr="005A0CEA" w:rsidRDefault="00AF4394" w:rsidP="007C5F0E">
      <w:pPr>
        <w:rPr>
          <w:b/>
          <w:bCs/>
          <w:lang w:val="en-GB"/>
        </w:rPr>
      </w:pPr>
    </w:p>
    <w:p w14:paraId="38070241" w14:textId="16C468AF" w:rsidR="00603FE8" w:rsidRPr="005A0CEA" w:rsidRDefault="00603FE8" w:rsidP="007C5F0E">
      <w:pPr>
        <w:pStyle w:val="Heading6"/>
        <w:rPr>
          <w:lang w:val="en-GB"/>
        </w:rPr>
      </w:pPr>
      <w:r w:rsidRPr="005A0CEA">
        <w:rPr>
          <w:lang w:val="en-GB"/>
        </w:rPr>
        <w:t>Effects of Rybelsus on other medicinal products</w:t>
      </w:r>
    </w:p>
    <w:p w14:paraId="6653DB43" w14:textId="0EA0C861" w:rsidR="00AF4394" w:rsidRPr="005A0CEA" w:rsidRDefault="00AF4394" w:rsidP="007C5F0E">
      <w:pPr>
        <w:pStyle w:val="Heading4"/>
        <w:rPr>
          <w:lang w:val="en-GB"/>
        </w:rPr>
      </w:pPr>
      <w:r w:rsidRPr="005A0CEA">
        <w:rPr>
          <w:lang w:val="en-GB"/>
        </w:rPr>
        <w:t>Thyroxine</w:t>
      </w:r>
    </w:p>
    <w:p w14:paraId="5C98C81F" w14:textId="4110682E" w:rsidR="00AF4394" w:rsidRPr="005A0CEA" w:rsidRDefault="00025320" w:rsidP="007C5F0E">
      <w:pPr>
        <w:rPr>
          <w:lang w:val="en-GB"/>
        </w:rPr>
      </w:pPr>
      <w:r w:rsidRPr="005A0CEA">
        <w:rPr>
          <w:lang w:val="en-GB"/>
        </w:rPr>
        <w:t>Total exposure (AUC) of thyroxine (adjusted for endogenous levels) was increased by 33% following administration of a single dose of levothyroxine. Maximum exposure (</w:t>
      </w:r>
      <w:proofErr w:type="spellStart"/>
      <w:r w:rsidRPr="005A0CEA">
        <w:rPr>
          <w:lang w:val="en-GB"/>
        </w:rPr>
        <w:t>C</w:t>
      </w:r>
      <w:r w:rsidRPr="005A0CEA">
        <w:rPr>
          <w:vertAlign w:val="subscript"/>
          <w:lang w:val="en-GB"/>
        </w:rPr>
        <w:t>max</w:t>
      </w:r>
      <w:proofErr w:type="spellEnd"/>
      <w:r w:rsidRPr="005A0CEA">
        <w:rPr>
          <w:lang w:val="en-GB"/>
        </w:rPr>
        <w:t>) was unchanged. Monitoring of thyroid parameters should be considered when treating patients with Rybelsus at the same time as levothyroxine.</w:t>
      </w:r>
    </w:p>
    <w:p w14:paraId="7FEF27F3" w14:textId="77777777" w:rsidR="00AF4394" w:rsidRPr="005A0CEA" w:rsidRDefault="00AF4394" w:rsidP="007C5F0E">
      <w:pPr>
        <w:pStyle w:val="Heading4"/>
        <w:rPr>
          <w:lang w:val="en-GB"/>
        </w:rPr>
      </w:pPr>
      <w:r w:rsidRPr="005A0CEA">
        <w:rPr>
          <w:lang w:val="en-GB"/>
        </w:rPr>
        <w:t>Warfarin</w:t>
      </w:r>
    </w:p>
    <w:p w14:paraId="72CF6208" w14:textId="3CF5E9A0" w:rsidR="00AF4394" w:rsidRPr="005A0CEA" w:rsidRDefault="00AF4394" w:rsidP="007C5F0E">
      <w:pPr>
        <w:rPr>
          <w:lang w:val="en-GB"/>
        </w:rPr>
      </w:pPr>
      <w:r w:rsidRPr="005A0CEA">
        <w:rPr>
          <w:lang w:val="en-GB"/>
        </w:rPr>
        <w:t xml:space="preserve">Semaglutide did not change the AUC or </w:t>
      </w:r>
      <w:proofErr w:type="spellStart"/>
      <w:r w:rsidRPr="005A0CEA">
        <w:rPr>
          <w:lang w:val="en-GB"/>
        </w:rPr>
        <w:t>Cmax</w:t>
      </w:r>
      <w:proofErr w:type="spellEnd"/>
      <w:r w:rsidRPr="005A0CEA">
        <w:rPr>
          <w:lang w:val="en-GB"/>
        </w:rPr>
        <w:t xml:space="preserve"> of R- and S-warfarin following a single dose of warfarin, and the pharmacodynamic effects of warfarin as measured by the international normalised ratio (INR) were not affected in a clinically relevant manner. However, upon initiation of semaglutide treatment in patients on warfarin or other coumarin derivatives, frequent monitoring of INR is recommended.</w:t>
      </w:r>
    </w:p>
    <w:p w14:paraId="4857B655" w14:textId="77777777" w:rsidR="00AF4394" w:rsidRPr="005A0CEA" w:rsidRDefault="00AF4394" w:rsidP="007C5F0E">
      <w:pPr>
        <w:pStyle w:val="Heading4"/>
        <w:rPr>
          <w:lang w:val="en-GB"/>
        </w:rPr>
      </w:pPr>
      <w:r w:rsidRPr="005A0CEA">
        <w:rPr>
          <w:lang w:val="en-GB"/>
        </w:rPr>
        <w:lastRenderedPageBreak/>
        <w:t>Rosuvastatin</w:t>
      </w:r>
    </w:p>
    <w:p w14:paraId="467DD8E0" w14:textId="458622CA" w:rsidR="00AF4394" w:rsidRPr="005A0CEA" w:rsidRDefault="00AF4394" w:rsidP="007C5F0E">
      <w:pPr>
        <w:rPr>
          <w:lang w:val="en-GB"/>
        </w:rPr>
      </w:pPr>
      <w:r w:rsidRPr="005A0CEA">
        <w:rPr>
          <w:lang w:val="en-GB"/>
        </w:rPr>
        <w:t xml:space="preserve">AUC of rosuvastatin was increased by 41% [90% CI: 24; 60] when </w:t>
      </w:r>
      <w:proofErr w:type="spellStart"/>
      <w:r w:rsidRPr="005A0CEA">
        <w:rPr>
          <w:lang w:val="en-GB"/>
        </w:rPr>
        <w:t>coadministered</w:t>
      </w:r>
      <w:proofErr w:type="spellEnd"/>
      <w:r w:rsidRPr="005A0CEA">
        <w:rPr>
          <w:lang w:val="en-GB"/>
        </w:rPr>
        <w:t xml:space="preserve"> with </w:t>
      </w:r>
      <w:proofErr w:type="spellStart"/>
      <w:r w:rsidRPr="005A0CEA">
        <w:rPr>
          <w:lang w:val="en-GB"/>
        </w:rPr>
        <w:t>semaglutide</w:t>
      </w:r>
      <w:proofErr w:type="spellEnd"/>
      <w:r w:rsidRPr="005A0CEA">
        <w:rPr>
          <w:lang w:val="en-GB"/>
        </w:rPr>
        <w:t>. Based on the wide therapeutic index of rosuvastatin the magnitude of changes in the exposure in not considered clinically relevant.</w:t>
      </w:r>
    </w:p>
    <w:p w14:paraId="599F8331" w14:textId="77777777" w:rsidR="00AF4394" w:rsidRPr="005A0CEA" w:rsidRDefault="00AF4394" w:rsidP="007C5F0E">
      <w:pPr>
        <w:pStyle w:val="Heading4"/>
        <w:rPr>
          <w:lang w:val="en-GB"/>
        </w:rPr>
      </w:pPr>
      <w:r w:rsidRPr="005A0CEA">
        <w:rPr>
          <w:lang w:val="en-GB"/>
        </w:rPr>
        <w:t>Digoxin, oral contraceptives, metformin, furosemide</w:t>
      </w:r>
    </w:p>
    <w:p w14:paraId="6E2B86A6" w14:textId="13773EAD" w:rsidR="00AF4394" w:rsidRPr="005A0CEA" w:rsidRDefault="00AF4394" w:rsidP="007C5F0E">
      <w:pPr>
        <w:keepNext/>
        <w:keepLines/>
        <w:rPr>
          <w:lang w:val="en-GB"/>
        </w:rPr>
      </w:pPr>
      <w:r w:rsidRPr="005A0CEA">
        <w:rPr>
          <w:lang w:val="en-GB"/>
        </w:rPr>
        <w:t xml:space="preserve">No clinically relevant change in AUC or </w:t>
      </w:r>
      <w:proofErr w:type="spellStart"/>
      <w:r w:rsidRPr="005A0CEA">
        <w:rPr>
          <w:lang w:val="en-GB"/>
        </w:rPr>
        <w:t>Cmax</w:t>
      </w:r>
      <w:proofErr w:type="spellEnd"/>
      <w:r w:rsidRPr="005A0CEA">
        <w:rPr>
          <w:lang w:val="en-GB"/>
        </w:rPr>
        <w:t xml:space="preserve"> of digoxin, oral contraceptives (containing </w:t>
      </w:r>
      <w:proofErr w:type="spellStart"/>
      <w:r w:rsidRPr="005A0CEA">
        <w:rPr>
          <w:lang w:val="en-GB"/>
        </w:rPr>
        <w:t>ethinylestradiol</w:t>
      </w:r>
      <w:proofErr w:type="spellEnd"/>
      <w:r w:rsidRPr="005A0CEA">
        <w:rPr>
          <w:lang w:val="en-GB"/>
        </w:rPr>
        <w:t xml:space="preserve"> and levonorgestrel), metformin or furosemide was observed when concurrently administered with semaglutide.</w:t>
      </w:r>
    </w:p>
    <w:p w14:paraId="20C811B1" w14:textId="77777777" w:rsidR="00AF4394" w:rsidRPr="005A0CEA" w:rsidRDefault="00AF4394" w:rsidP="007C5F0E">
      <w:pPr>
        <w:rPr>
          <w:lang w:val="en-GB"/>
        </w:rPr>
      </w:pPr>
    </w:p>
    <w:p w14:paraId="44977771" w14:textId="6B6E92DE" w:rsidR="00AF4394" w:rsidRPr="005A0CEA" w:rsidRDefault="00AF4394" w:rsidP="007C5F0E">
      <w:pPr>
        <w:rPr>
          <w:lang w:val="en-GB"/>
        </w:rPr>
      </w:pPr>
      <w:r w:rsidRPr="005A0CEA">
        <w:rPr>
          <w:lang w:val="en-GB"/>
        </w:rPr>
        <w:t>Interactions with medicinal products with very low bioavailability (F: 1%) have not been evaluated.</w:t>
      </w:r>
    </w:p>
    <w:p w14:paraId="37344163" w14:textId="386FC49F" w:rsidR="003403A5" w:rsidRPr="005A0CEA" w:rsidRDefault="00363D95" w:rsidP="007C5F0E">
      <w:pPr>
        <w:pStyle w:val="Heading6"/>
        <w:rPr>
          <w:lang w:val="en-GB"/>
        </w:rPr>
      </w:pPr>
      <w:r w:rsidRPr="005A0CEA">
        <w:rPr>
          <w:lang w:val="en-GB"/>
        </w:rPr>
        <w:t>Effects of other medicinal products on Rybelsus</w:t>
      </w:r>
    </w:p>
    <w:p w14:paraId="7AEA0EA2" w14:textId="26759AD6" w:rsidR="00BE2C4A" w:rsidRPr="005A0CEA" w:rsidRDefault="00BE2C4A" w:rsidP="007C5F0E">
      <w:pPr>
        <w:pStyle w:val="Heading4"/>
        <w:rPr>
          <w:lang w:val="en-GB"/>
        </w:rPr>
      </w:pPr>
      <w:r w:rsidRPr="005A0CEA">
        <w:rPr>
          <w:lang w:val="en-GB"/>
        </w:rPr>
        <w:t>Omeprazole</w:t>
      </w:r>
    </w:p>
    <w:p w14:paraId="630CA405" w14:textId="74833065" w:rsidR="009D6D00" w:rsidRPr="005A0CEA" w:rsidRDefault="009D6D00" w:rsidP="007C5F0E">
      <w:pPr>
        <w:rPr>
          <w:lang w:val="en-GB"/>
        </w:rPr>
      </w:pPr>
      <w:r w:rsidRPr="005A0CEA">
        <w:rPr>
          <w:lang w:val="en-GB"/>
        </w:rPr>
        <w:t xml:space="preserve">No clinically relevant change in AUC or </w:t>
      </w:r>
      <w:proofErr w:type="spellStart"/>
      <w:r w:rsidRPr="005A0CEA">
        <w:rPr>
          <w:lang w:val="en-GB"/>
        </w:rPr>
        <w:t>C</w:t>
      </w:r>
      <w:r w:rsidRPr="005A0CEA">
        <w:rPr>
          <w:vertAlign w:val="subscript"/>
          <w:lang w:val="en-GB"/>
        </w:rPr>
        <w:t>max</w:t>
      </w:r>
      <w:proofErr w:type="spellEnd"/>
      <w:r w:rsidRPr="005A0CEA">
        <w:rPr>
          <w:lang w:val="en-GB"/>
        </w:rPr>
        <w:t xml:space="preserve"> of </w:t>
      </w:r>
      <w:proofErr w:type="spellStart"/>
      <w:r w:rsidRPr="005A0CEA">
        <w:rPr>
          <w:lang w:val="en-GB"/>
        </w:rPr>
        <w:t>semaglutide</w:t>
      </w:r>
      <w:proofErr w:type="spellEnd"/>
      <w:r w:rsidRPr="005A0CEA">
        <w:rPr>
          <w:lang w:val="en-GB"/>
        </w:rPr>
        <w:t xml:space="preserve"> was observed when taken with omeprazole.</w:t>
      </w:r>
    </w:p>
    <w:p w14:paraId="67E49B5C" w14:textId="4828FE40" w:rsidR="00BE2C4A" w:rsidRPr="005A0CEA" w:rsidRDefault="00BE2C4A" w:rsidP="007C5F0E">
      <w:pPr>
        <w:rPr>
          <w:lang w:val="en-GB"/>
        </w:rPr>
      </w:pPr>
    </w:p>
    <w:p w14:paraId="67AEB151" w14:textId="43FFB64D" w:rsidR="00BE2C4A" w:rsidRPr="005A0CEA" w:rsidRDefault="00BE2C4A" w:rsidP="007C5F0E">
      <w:pPr>
        <w:rPr>
          <w:lang w:val="en-GB"/>
        </w:rPr>
      </w:pPr>
      <w:r w:rsidRPr="005A0CEA">
        <w:rPr>
          <w:lang w:val="en-GB"/>
        </w:rPr>
        <w:t xml:space="preserve">In a trial investigating the pharmacokinetics of semaglutide co-administered with five other tablets, the AUC of semaglutide decreased by 34% and </w:t>
      </w:r>
      <w:proofErr w:type="spellStart"/>
      <w:r w:rsidRPr="005A0CEA">
        <w:rPr>
          <w:lang w:val="en-GB"/>
        </w:rPr>
        <w:t>Cmax</w:t>
      </w:r>
      <w:proofErr w:type="spellEnd"/>
      <w:r w:rsidRPr="005A0CEA">
        <w:rPr>
          <w:lang w:val="en-GB"/>
        </w:rPr>
        <w:t xml:space="preserve"> by 32%. This suggests that the presence of multiple tablets in the stomach influences the absorption of semaglutide if co-administered at the same time. After administering semaglutide, the patients should wait 30 minutes before taking other oral medicinal products</w:t>
      </w:r>
    </w:p>
    <w:p w14:paraId="2679E715" w14:textId="761F8F8A" w:rsidR="009D6D00" w:rsidRPr="005A0CEA" w:rsidRDefault="00411625" w:rsidP="007C5F0E">
      <w:pPr>
        <w:pStyle w:val="Heading6"/>
        <w:rPr>
          <w:lang w:val="en-GB"/>
        </w:rPr>
      </w:pPr>
      <w:r w:rsidRPr="005A0CEA">
        <w:rPr>
          <w:lang w:val="en-GB"/>
        </w:rPr>
        <w:t>Interaction with food</w:t>
      </w:r>
    </w:p>
    <w:p w14:paraId="33D299C5" w14:textId="32D6C86D" w:rsidR="00411625" w:rsidRPr="005A0CEA" w:rsidRDefault="00025BFC" w:rsidP="007C5F0E">
      <w:pPr>
        <w:rPr>
          <w:lang w:val="en-GB"/>
        </w:rPr>
      </w:pPr>
      <w:r w:rsidRPr="005A0CEA">
        <w:rPr>
          <w:lang w:val="en-GB"/>
        </w:rPr>
        <w:t xml:space="preserve">Concomitant intake of food reduces the exposure of semaglutide (see section </w:t>
      </w:r>
      <w:r w:rsidR="00FD72F1" w:rsidRPr="005A0CEA">
        <w:rPr>
          <w:lang w:val="en-GB"/>
        </w:rPr>
        <w:t>4</w:t>
      </w:r>
      <w:r w:rsidRPr="005A0CEA">
        <w:rPr>
          <w:lang w:val="en-GB"/>
        </w:rPr>
        <w:t>.2).</w:t>
      </w:r>
    </w:p>
    <w:p w14:paraId="61E0CBE9" w14:textId="77777777" w:rsidR="00F17541" w:rsidRPr="005A0CEA" w:rsidRDefault="00F17541" w:rsidP="007C5F0E">
      <w:pPr>
        <w:pStyle w:val="Heading3"/>
        <w:rPr>
          <w:lang w:val="en-GB"/>
        </w:rPr>
      </w:pPr>
      <w:r w:rsidRPr="005A0CEA">
        <w:rPr>
          <w:lang w:val="en-GB"/>
        </w:rPr>
        <w:t>4.6</w:t>
      </w:r>
      <w:r w:rsidRPr="005A0CEA">
        <w:rPr>
          <w:lang w:val="en-GB"/>
        </w:rPr>
        <w:tab/>
        <w:t>Fertility, Pregnancy and Lactation</w:t>
      </w:r>
    </w:p>
    <w:p w14:paraId="5E1642E2" w14:textId="5152129F" w:rsidR="00BE2C4A" w:rsidRPr="005A0CEA" w:rsidRDefault="00BE2C4A" w:rsidP="007C5F0E">
      <w:pPr>
        <w:pStyle w:val="Heading4"/>
        <w:rPr>
          <w:lang w:val="en-GB"/>
        </w:rPr>
      </w:pPr>
      <w:r w:rsidRPr="005A0CEA">
        <w:rPr>
          <w:lang w:val="en-GB"/>
        </w:rPr>
        <w:t>Women of childbearing potential</w:t>
      </w:r>
    </w:p>
    <w:p w14:paraId="54A13BA5" w14:textId="13E6AD35" w:rsidR="00BE2C4A" w:rsidRPr="005A0CEA" w:rsidRDefault="00BE2C4A" w:rsidP="007C5F0E">
      <w:pPr>
        <w:rPr>
          <w:lang w:val="en-GB"/>
        </w:rPr>
      </w:pPr>
      <w:r w:rsidRPr="005A0CEA">
        <w:rPr>
          <w:lang w:val="en-GB"/>
        </w:rPr>
        <w:t>Women of childbearing potential are recommended to use contraception when treated with Rybelsus.</w:t>
      </w:r>
    </w:p>
    <w:p w14:paraId="07FB9C4A" w14:textId="0912E633" w:rsidR="00F17541" w:rsidRPr="005A0CEA" w:rsidRDefault="00F17541" w:rsidP="007C5F0E">
      <w:pPr>
        <w:pStyle w:val="Heading4"/>
        <w:rPr>
          <w:lang w:val="en-GB"/>
        </w:rPr>
      </w:pPr>
      <w:r w:rsidRPr="005A0CEA">
        <w:rPr>
          <w:lang w:val="en-GB"/>
        </w:rPr>
        <w:t>Effects on fertility</w:t>
      </w:r>
    </w:p>
    <w:p w14:paraId="5AA772E9" w14:textId="45FDEF8D" w:rsidR="00F17541" w:rsidRPr="005A0CEA" w:rsidRDefault="008D7690" w:rsidP="007C5F0E">
      <w:pPr>
        <w:rPr>
          <w:lang w:val="en-GB"/>
        </w:rPr>
      </w:pPr>
      <w:r w:rsidRPr="005A0CEA">
        <w:rPr>
          <w:lang w:val="en-GB"/>
        </w:rPr>
        <w:t>The effect of semaglutide on fertility in humans is unknown. Semaglutide did not</w:t>
      </w:r>
      <w:r w:rsidR="00AF4394" w:rsidRPr="005A0CEA">
        <w:rPr>
          <w:lang w:val="en-GB"/>
        </w:rPr>
        <w:t xml:space="preserve"> </w:t>
      </w:r>
      <w:r w:rsidRPr="005A0CEA">
        <w:rPr>
          <w:lang w:val="en-GB"/>
        </w:rPr>
        <w:t>affect male fertility in rats</w:t>
      </w:r>
      <w:r w:rsidR="00827623" w:rsidRPr="005A0CEA">
        <w:rPr>
          <w:lang w:val="en-GB"/>
        </w:rPr>
        <w:t xml:space="preserve"> at subcutaneous doses up to 828 </w:t>
      </w:r>
      <w:proofErr w:type="spellStart"/>
      <w:r w:rsidR="00827623" w:rsidRPr="005A0CEA">
        <w:rPr>
          <w:lang w:val="en-GB"/>
        </w:rPr>
        <w:t>μg</w:t>
      </w:r>
      <w:proofErr w:type="spellEnd"/>
      <w:r w:rsidR="00827623" w:rsidRPr="005A0CEA">
        <w:rPr>
          <w:lang w:val="en-GB"/>
        </w:rPr>
        <w:t>/kg/day (yielding 27 times the systemic exposure in patients at the maximum recommended human dose, based on plasma AUC)</w:t>
      </w:r>
      <w:r w:rsidRPr="005A0CEA">
        <w:rPr>
          <w:lang w:val="en-GB"/>
        </w:rPr>
        <w:t>. In female rats, an increase in oestrous length and a</w:t>
      </w:r>
      <w:r w:rsidR="00AF4394" w:rsidRPr="005A0CEA">
        <w:rPr>
          <w:lang w:val="en-GB"/>
        </w:rPr>
        <w:t xml:space="preserve"> </w:t>
      </w:r>
      <w:r w:rsidRPr="005A0CEA">
        <w:rPr>
          <w:lang w:val="en-GB"/>
        </w:rPr>
        <w:t>small reduction in number of ovulations were observed at doses associated with</w:t>
      </w:r>
      <w:r w:rsidR="00BE2C4A" w:rsidRPr="005A0CEA">
        <w:rPr>
          <w:lang w:val="en-GB"/>
        </w:rPr>
        <w:t xml:space="preserve"> </w:t>
      </w:r>
      <w:r w:rsidRPr="005A0CEA">
        <w:rPr>
          <w:lang w:val="en-GB"/>
        </w:rPr>
        <w:t>maternal body weight loss</w:t>
      </w:r>
      <w:r w:rsidR="00827623" w:rsidRPr="005A0CEA">
        <w:rPr>
          <w:lang w:val="en-GB"/>
        </w:rPr>
        <w:t xml:space="preserve"> (≥30 </w:t>
      </w:r>
      <w:proofErr w:type="spellStart"/>
      <w:r w:rsidR="00827623" w:rsidRPr="005A0CEA">
        <w:rPr>
          <w:lang w:val="en-GB"/>
        </w:rPr>
        <w:t>μg</w:t>
      </w:r>
      <w:proofErr w:type="spellEnd"/>
      <w:r w:rsidR="00827623" w:rsidRPr="005A0CEA">
        <w:rPr>
          <w:lang w:val="en-GB"/>
        </w:rPr>
        <w:t>/kg/day SC, resulting in subclinical exposure)</w:t>
      </w:r>
      <w:r w:rsidRPr="005A0CEA">
        <w:rPr>
          <w:lang w:val="en-GB"/>
        </w:rPr>
        <w:t>.</w:t>
      </w:r>
    </w:p>
    <w:p w14:paraId="64F03F0A" w14:textId="74D3CE11" w:rsidR="00F17541" w:rsidRPr="005A0CEA" w:rsidRDefault="00F17541" w:rsidP="007C5F0E">
      <w:pPr>
        <w:pStyle w:val="Heading4"/>
        <w:rPr>
          <w:lang w:val="en-GB"/>
        </w:rPr>
      </w:pPr>
      <w:r w:rsidRPr="005A0CEA">
        <w:rPr>
          <w:lang w:val="en-GB"/>
        </w:rPr>
        <w:t>Use in pregnancy</w:t>
      </w:r>
    </w:p>
    <w:p w14:paraId="678C914A" w14:textId="7868D45A" w:rsidR="00AB7743" w:rsidRPr="005A0CEA" w:rsidRDefault="001613A8" w:rsidP="008E7849">
      <w:pPr>
        <w:rPr>
          <w:lang w:val="en-GB"/>
        </w:rPr>
      </w:pPr>
      <w:r w:rsidRPr="005A0CEA">
        <w:rPr>
          <w:lang w:val="en-GB"/>
        </w:rPr>
        <w:t xml:space="preserve">Pregnancy Category: </w:t>
      </w:r>
      <w:r w:rsidR="008E7849" w:rsidRPr="005A0CEA">
        <w:rPr>
          <w:lang w:val="en-GB"/>
        </w:rPr>
        <w:t>D</w:t>
      </w:r>
    </w:p>
    <w:p w14:paraId="6FAF6023" w14:textId="68A76625" w:rsidR="00F17541" w:rsidRPr="005A0CEA" w:rsidRDefault="00AB7743" w:rsidP="007C5F0E">
      <w:pPr>
        <w:rPr>
          <w:lang w:val="en-GB"/>
        </w:rPr>
      </w:pPr>
      <w:r w:rsidRPr="005A0CEA">
        <w:rPr>
          <w:lang w:val="en-GB"/>
        </w:rPr>
        <w:t xml:space="preserve">Studies in animals have shown reproductive toxicity </w:t>
      </w:r>
      <w:r w:rsidR="00827623" w:rsidRPr="005A0CEA">
        <w:rPr>
          <w:lang w:val="en-GB"/>
        </w:rPr>
        <w:t>at clinically relevant exposure levels</w:t>
      </w:r>
      <w:r w:rsidRPr="005A0CEA">
        <w:rPr>
          <w:lang w:val="en-GB"/>
        </w:rPr>
        <w:t xml:space="preserve">. There are limited data from the use of semaglutide in pregnant women. Therefore, Rybelsus should not be used during pregnancy. Women of childbearing potential are recommended to use contraception when treated with Rybelsus. If a patient wishes to become pregnant, or </w:t>
      </w:r>
      <w:r w:rsidRPr="005A0CEA">
        <w:rPr>
          <w:lang w:val="en-GB"/>
        </w:rPr>
        <w:lastRenderedPageBreak/>
        <w:t>pregnancy occurs, Rybelsus should be discontinued. Rybelsus should be discontinued at least 2 months before a planned pregnancy due to the long half-life.</w:t>
      </w:r>
    </w:p>
    <w:p w14:paraId="4660DB31" w14:textId="0CC5C0CB" w:rsidR="00827623" w:rsidRPr="005A0CEA" w:rsidRDefault="00827623" w:rsidP="007C5F0E">
      <w:pPr>
        <w:rPr>
          <w:lang w:val="en-GB"/>
        </w:rPr>
      </w:pPr>
    </w:p>
    <w:p w14:paraId="1981E4FE" w14:textId="5A651E33" w:rsidR="00827623" w:rsidRPr="005A0CEA" w:rsidRDefault="00827623" w:rsidP="00827623">
      <w:pPr>
        <w:rPr>
          <w:lang w:val="en-GB"/>
        </w:rPr>
      </w:pPr>
      <w:r w:rsidRPr="005A0CEA">
        <w:rPr>
          <w:lang w:val="en-GB"/>
        </w:rPr>
        <w:t xml:space="preserve">In pregnant rats, embryofoetal toxicity (lethality, impaired </w:t>
      </w:r>
      <w:proofErr w:type="gramStart"/>
      <w:r w:rsidRPr="005A0CEA">
        <w:rPr>
          <w:lang w:val="en-GB"/>
        </w:rPr>
        <w:t>growth</w:t>
      </w:r>
      <w:proofErr w:type="gramEnd"/>
      <w:r w:rsidRPr="005A0CEA">
        <w:rPr>
          <w:lang w:val="en-GB"/>
        </w:rPr>
        <w:t xml:space="preserve"> and an increased incidence of foetal abnormalities) was observed with subcutaneous administration of semaglutide at </w:t>
      </w:r>
      <w:r w:rsidRPr="005A0CEA">
        <w:rPr>
          <w:lang w:val="en-GB"/>
        </w:rPr>
        <w:br/>
        <w:t xml:space="preserve">≥30 </w:t>
      </w:r>
      <w:proofErr w:type="spellStart"/>
      <w:r w:rsidRPr="005A0CEA">
        <w:rPr>
          <w:lang w:val="en-GB"/>
        </w:rPr>
        <w:t>μg</w:t>
      </w:r>
      <w:proofErr w:type="spellEnd"/>
      <w:r w:rsidRPr="005A0CEA">
        <w:rPr>
          <w:lang w:val="en-GB"/>
        </w:rPr>
        <w:t>/kg/day, yielding systemic exposure (plasma AUC) below that of patients at the maximum recommended oral dose with Rybelsus. Mechanistic studies suggest a direct GLP-1 receptor mediated role of semaglutide on some of the effects in rats (species specific). In pregnant rabbits, pharmacologically mediated reductions in maternal body weight gain and food consumption were observed at all dose levels. Early pregnancy losses and increased incidences of minor visceral (kidney, liver) and skeletal (</w:t>
      </w:r>
      <w:proofErr w:type="spellStart"/>
      <w:r w:rsidRPr="005A0CEA">
        <w:rPr>
          <w:lang w:val="en-GB"/>
        </w:rPr>
        <w:t>sternebra</w:t>
      </w:r>
      <w:proofErr w:type="spellEnd"/>
      <w:r w:rsidRPr="005A0CEA">
        <w:rPr>
          <w:lang w:val="en-GB"/>
        </w:rPr>
        <w:t xml:space="preserve">) foetal abnormalities were observed at ≥2.5 </w:t>
      </w:r>
      <w:proofErr w:type="spellStart"/>
      <w:r w:rsidRPr="005A0CEA">
        <w:rPr>
          <w:lang w:val="en-GB"/>
        </w:rPr>
        <w:t>μg</w:t>
      </w:r>
      <w:proofErr w:type="spellEnd"/>
      <w:r w:rsidRPr="005A0CEA">
        <w:rPr>
          <w:lang w:val="en-GB"/>
        </w:rPr>
        <w:t xml:space="preserve">/kg/day SC, yielding subclinical exposure. In pregnant cynomolgus monkeys, pharmacologically mediated, marked initial maternal body weight loss and reductions in body weight gain and food consumption coincided with the occurrence of sporadic abnormalities (vertebra, </w:t>
      </w:r>
      <w:proofErr w:type="spellStart"/>
      <w:r w:rsidRPr="005A0CEA">
        <w:rPr>
          <w:lang w:val="en-GB"/>
        </w:rPr>
        <w:t>sternebra</w:t>
      </w:r>
      <w:proofErr w:type="spellEnd"/>
      <w:r w:rsidRPr="005A0CEA">
        <w:rPr>
          <w:lang w:val="en-GB"/>
        </w:rPr>
        <w:t xml:space="preserve">, ribs) and with an increase in early pregnancy losses at ≥ 75 </w:t>
      </w:r>
      <w:proofErr w:type="spellStart"/>
      <w:r w:rsidRPr="005A0CEA">
        <w:rPr>
          <w:lang w:val="en-GB"/>
        </w:rPr>
        <w:t>μg</w:t>
      </w:r>
      <w:proofErr w:type="spellEnd"/>
      <w:r w:rsidRPr="005A0CEA">
        <w:rPr>
          <w:lang w:val="en-GB"/>
        </w:rPr>
        <w:t xml:space="preserve">/kg SC twice weekly (≥ </w:t>
      </w:r>
      <w:proofErr w:type="gramStart"/>
      <w:r w:rsidRPr="005A0CEA">
        <w:rPr>
          <w:lang w:val="en-GB"/>
        </w:rPr>
        <w:t>6 fold</w:t>
      </w:r>
      <w:proofErr w:type="gramEnd"/>
      <w:r w:rsidRPr="005A0CEA">
        <w:rPr>
          <w:lang w:val="en-GB"/>
        </w:rPr>
        <w:t xml:space="preserve"> clinical exposure with oral administration at </w:t>
      </w:r>
      <w:r w:rsidRPr="005A0CEA">
        <w:rPr>
          <w:lang w:val="en-GB"/>
        </w:rPr>
        <w:br/>
        <w:t>14 mg/day). Exposures at the no observed adverse effect level in the three laboratory animal species were below or only marginally higher than the plasma AUC at the maximum recommended dose in patients, and a direct effect of semaglutide on the foetus cannot be excluded.</w:t>
      </w:r>
    </w:p>
    <w:p w14:paraId="36080212" w14:textId="0A64AF8F" w:rsidR="00F17541" w:rsidRPr="005A0CEA" w:rsidRDefault="00F17541" w:rsidP="007C5F0E">
      <w:pPr>
        <w:pStyle w:val="Heading4"/>
        <w:rPr>
          <w:lang w:val="en-GB"/>
        </w:rPr>
      </w:pPr>
      <w:r w:rsidRPr="005A0CEA">
        <w:rPr>
          <w:lang w:val="en-GB"/>
        </w:rPr>
        <w:t>Use in lactation</w:t>
      </w:r>
    </w:p>
    <w:p w14:paraId="6C4440FB" w14:textId="0CF0A43D" w:rsidR="00F17541" w:rsidRPr="005A0CEA" w:rsidRDefault="00BE2C4A" w:rsidP="007C5F0E">
      <w:pPr>
        <w:rPr>
          <w:lang w:val="en-GB"/>
        </w:rPr>
      </w:pPr>
      <w:r w:rsidRPr="005A0CEA">
        <w:rPr>
          <w:lang w:val="en-GB"/>
        </w:rPr>
        <w:t>In lactating rats, semaglutide</w:t>
      </w:r>
      <w:r w:rsidR="00827623" w:rsidRPr="005A0CEA">
        <w:rPr>
          <w:lang w:val="en-GB"/>
        </w:rPr>
        <w:t xml:space="preserve"> was</w:t>
      </w:r>
      <w:r w:rsidRPr="005A0CEA">
        <w:rPr>
          <w:lang w:val="en-GB"/>
        </w:rPr>
        <w:t xml:space="preserve"> excreted in milk. As a risk to a breast-fed child cannot be excluded, Rybelsus should not be used during breast-feeding</w:t>
      </w:r>
      <w:r w:rsidR="001613A8" w:rsidRPr="005A0CEA">
        <w:rPr>
          <w:lang w:val="en-GB"/>
        </w:rPr>
        <w:t>.</w:t>
      </w:r>
    </w:p>
    <w:p w14:paraId="117DD23A" w14:textId="3A177976" w:rsidR="00F17541" w:rsidRPr="005A0CEA" w:rsidRDefault="00F17541" w:rsidP="007C5F0E">
      <w:pPr>
        <w:pStyle w:val="Heading3"/>
        <w:rPr>
          <w:lang w:val="en-GB"/>
        </w:rPr>
      </w:pPr>
      <w:r w:rsidRPr="005A0CEA">
        <w:rPr>
          <w:lang w:val="en-GB"/>
        </w:rPr>
        <w:t>4.7</w:t>
      </w:r>
      <w:r w:rsidRPr="005A0CEA">
        <w:rPr>
          <w:lang w:val="en-GB"/>
        </w:rPr>
        <w:tab/>
        <w:t>Effects on Ability to Drive and Use Machines</w:t>
      </w:r>
    </w:p>
    <w:p w14:paraId="319B73F7" w14:textId="53AFA763" w:rsidR="00B05644" w:rsidRPr="005A0CEA" w:rsidRDefault="00B05644" w:rsidP="007C5F0E">
      <w:pPr>
        <w:rPr>
          <w:lang w:val="en-GB"/>
        </w:rPr>
      </w:pPr>
      <w:r w:rsidRPr="005A0CEA">
        <w:rPr>
          <w:lang w:val="en-GB"/>
        </w:rPr>
        <w:t>Rybelsus has no or negligible influence on the ability to drive or use machines. When it is used in combination with a sulfonylurea or insulin, patients should be advised to take precautions to avoid hypoglycaemia while driving and using machines.</w:t>
      </w:r>
    </w:p>
    <w:p w14:paraId="6B0094A2" w14:textId="6FB62915" w:rsidR="00F17541" w:rsidRPr="005A0CEA" w:rsidRDefault="00F17541" w:rsidP="007C5F0E">
      <w:pPr>
        <w:pStyle w:val="Heading3"/>
        <w:rPr>
          <w:lang w:val="en-GB"/>
        </w:rPr>
      </w:pPr>
      <w:r w:rsidRPr="005A0CEA">
        <w:rPr>
          <w:lang w:val="en-GB"/>
        </w:rPr>
        <w:t>4.8</w:t>
      </w:r>
      <w:r w:rsidRPr="005A0CEA">
        <w:rPr>
          <w:lang w:val="en-GB"/>
        </w:rPr>
        <w:tab/>
        <w:t>Adverse Effects</w:t>
      </w:r>
      <w:r w:rsidR="00BF699A" w:rsidRPr="005A0CEA">
        <w:rPr>
          <w:lang w:val="en-GB"/>
        </w:rPr>
        <w:t xml:space="preserve"> (Undesirable Effects)</w:t>
      </w:r>
    </w:p>
    <w:p w14:paraId="7C4C07E8" w14:textId="14B561C6" w:rsidR="00234D10" w:rsidRPr="005A0CEA" w:rsidRDefault="00234D10" w:rsidP="007C5F0E">
      <w:pPr>
        <w:pStyle w:val="Heading4"/>
        <w:rPr>
          <w:lang w:val="en-GB"/>
        </w:rPr>
      </w:pPr>
      <w:r w:rsidRPr="005A0CEA">
        <w:rPr>
          <w:lang w:val="en-GB"/>
        </w:rPr>
        <w:t>Summary of safety profile</w:t>
      </w:r>
    </w:p>
    <w:p w14:paraId="653C1444" w14:textId="5FF4BED6" w:rsidR="00234D10" w:rsidRPr="005A0CEA" w:rsidRDefault="00234D10" w:rsidP="007C5F0E">
      <w:pPr>
        <w:rPr>
          <w:lang w:val="en-GB"/>
        </w:rPr>
      </w:pPr>
      <w:r w:rsidRPr="005A0CEA">
        <w:rPr>
          <w:lang w:val="en-GB"/>
        </w:rPr>
        <w:t>In 10 phase 3a trials, 5,707 patients were exposed to Rybelsus alone or in combination with other glucose-lowering medicinal products. The duration of the treatment ranged from 26 weeks to 78 weeks.</w:t>
      </w:r>
    </w:p>
    <w:p w14:paraId="4B4A1459" w14:textId="77777777" w:rsidR="00234D10" w:rsidRPr="005A0CEA" w:rsidRDefault="00234D10" w:rsidP="007C5F0E">
      <w:pPr>
        <w:rPr>
          <w:lang w:val="en-GB"/>
        </w:rPr>
      </w:pPr>
    </w:p>
    <w:p w14:paraId="7FFD6AE9" w14:textId="719DFFEE" w:rsidR="0007114A" w:rsidRPr="005A0CEA" w:rsidRDefault="00234D10" w:rsidP="007C5F0E">
      <w:pPr>
        <w:rPr>
          <w:lang w:val="en-GB"/>
        </w:rPr>
      </w:pPr>
      <w:r w:rsidRPr="005A0CEA">
        <w:rPr>
          <w:lang w:val="en-GB"/>
        </w:rPr>
        <w:t xml:space="preserve">The most frequently reported adverse reactions in clinical trials were gastrointestinal disorders, including nausea, </w:t>
      </w:r>
      <w:proofErr w:type="gramStart"/>
      <w:r w:rsidRPr="005A0CEA">
        <w:rPr>
          <w:lang w:val="en-GB"/>
        </w:rPr>
        <w:t>diarrhoea</w:t>
      </w:r>
      <w:proofErr w:type="gramEnd"/>
      <w:r w:rsidRPr="005A0CEA">
        <w:rPr>
          <w:lang w:val="en-GB"/>
        </w:rPr>
        <w:t xml:space="preserve"> and vomiting. In general, these reactions were mild or moderate in severity and of short duration.</w:t>
      </w:r>
    </w:p>
    <w:p w14:paraId="0007700C" w14:textId="77777777" w:rsidR="00001202" w:rsidRPr="005A0CEA" w:rsidRDefault="00001202" w:rsidP="007C5F0E">
      <w:pPr>
        <w:pStyle w:val="Heading4"/>
        <w:rPr>
          <w:lang w:val="en-GB"/>
        </w:rPr>
      </w:pPr>
      <w:r w:rsidRPr="005A0CEA">
        <w:rPr>
          <w:lang w:val="en-GB"/>
        </w:rPr>
        <w:t>Reporting suspected adverse effects</w:t>
      </w:r>
    </w:p>
    <w:p w14:paraId="5B87B3BE" w14:textId="3C630BE5" w:rsidR="00001202" w:rsidRPr="005A0CEA" w:rsidRDefault="00001202" w:rsidP="007C5F0E">
      <w:pPr>
        <w:rPr>
          <w:lang w:val="en-GB"/>
        </w:rPr>
      </w:pPr>
      <w:r w:rsidRPr="005A0CEA">
        <w:rPr>
          <w:lang w:val="en-GB"/>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5A0CEA">
          <w:rPr>
            <w:rStyle w:val="Hyperlink"/>
            <w:lang w:val="en-GB"/>
          </w:rPr>
          <w:t>www.tga.gov.au/reporting-problems</w:t>
        </w:r>
      </w:hyperlink>
      <w:r w:rsidRPr="005A0CEA">
        <w:rPr>
          <w:lang w:val="en-GB"/>
        </w:rPr>
        <w:t>.</w:t>
      </w:r>
    </w:p>
    <w:p w14:paraId="5C0B9995" w14:textId="0D74B67C" w:rsidR="00234D10" w:rsidRPr="005A0CEA" w:rsidRDefault="0007114A" w:rsidP="007C5F0E">
      <w:pPr>
        <w:pStyle w:val="Heading4"/>
        <w:rPr>
          <w:lang w:val="en-GB"/>
        </w:rPr>
      </w:pPr>
      <w:r w:rsidRPr="005A0CEA">
        <w:rPr>
          <w:lang w:val="en-GB"/>
        </w:rPr>
        <w:lastRenderedPageBreak/>
        <w:t>Tabulated List of Adverse Events</w:t>
      </w:r>
      <w:r w:rsidR="00234D10" w:rsidRPr="005A0CEA">
        <w:rPr>
          <w:lang w:val="en-GB"/>
        </w:rPr>
        <w:t xml:space="preserve"> </w:t>
      </w:r>
    </w:p>
    <w:p w14:paraId="2E69DA42" w14:textId="5B982F89" w:rsidR="00001202" w:rsidRPr="005A0CEA" w:rsidRDefault="00001202" w:rsidP="007C5F0E">
      <w:pPr>
        <w:rPr>
          <w:lang w:val="en-GB"/>
        </w:rPr>
      </w:pPr>
      <w:r w:rsidRPr="005A0CEA">
        <w:rPr>
          <w:lang w:val="en-GB"/>
        </w:rPr>
        <w:t xml:space="preserve">Table </w:t>
      </w:r>
      <w:r w:rsidRPr="005A0CEA">
        <w:rPr>
          <w:lang w:val="en-GB"/>
        </w:rPr>
        <w:fldChar w:fldCharType="begin"/>
      </w:r>
      <w:r w:rsidRPr="005A0CEA">
        <w:rPr>
          <w:lang w:val="en-GB"/>
        </w:rPr>
        <w:instrText xml:space="preserve"> SEQ Table \* ARABIC </w:instrText>
      </w:r>
      <w:r w:rsidRPr="005A0CEA">
        <w:rPr>
          <w:lang w:val="en-GB"/>
        </w:rPr>
        <w:fldChar w:fldCharType="separate"/>
      </w:r>
      <w:r w:rsidR="00A334F6">
        <w:rPr>
          <w:noProof/>
          <w:lang w:val="en-GB"/>
        </w:rPr>
        <w:t>1</w:t>
      </w:r>
      <w:r w:rsidRPr="005A0CEA">
        <w:rPr>
          <w:lang w:val="en-GB"/>
        </w:rPr>
        <w:fldChar w:fldCharType="end"/>
      </w:r>
      <w:r w:rsidRPr="005A0CEA">
        <w:rPr>
          <w:lang w:val="en-GB"/>
        </w:rPr>
        <w:t>: Treatment-emergent adverse events with frequency ≥ 5% comparing Rybelsus with comparators</w:t>
      </w:r>
    </w:p>
    <w:tbl>
      <w:tblPr>
        <w:tblStyle w:val="TableGrid"/>
        <w:tblW w:w="0" w:type="auto"/>
        <w:tblLook w:val="04A0" w:firstRow="1" w:lastRow="0" w:firstColumn="1" w:lastColumn="0" w:noHBand="0" w:noVBand="1"/>
      </w:tblPr>
      <w:tblGrid>
        <w:gridCol w:w="2928"/>
        <w:gridCol w:w="2928"/>
        <w:gridCol w:w="2928"/>
      </w:tblGrid>
      <w:tr w:rsidR="00001202" w:rsidRPr="005A0CEA" w14:paraId="1EC711A1" w14:textId="77777777" w:rsidTr="00001202">
        <w:tc>
          <w:tcPr>
            <w:tcW w:w="2928" w:type="dxa"/>
          </w:tcPr>
          <w:p w14:paraId="2DE6E673" w14:textId="77777777" w:rsidR="00001202" w:rsidRPr="005A0CEA" w:rsidRDefault="00001202" w:rsidP="007C5F0E">
            <w:pPr>
              <w:jc w:val="center"/>
              <w:rPr>
                <w:b/>
                <w:sz w:val="20"/>
                <w:szCs w:val="20"/>
                <w:lang w:val="en-GB"/>
              </w:rPr>
            </w:pPr>
            <w:r w:rsidRPr="005A0CEA">
              <w:rPr>
                <w:b/>
                <w:sz w:val="20"/>
                <w:szCs w:val="20"/>
                <w:lang w:val="en-GB"/>
              </w:rPr>
              <w:t>Adverse Event Term</w:t>
            </w:r>
          </w:p>
        </w:tc>
        <w:tc>
          <w:tcPr>
            <w:tcW w:w="2928" w:type="dxa"/>
          </w:tcPr>
          <w:p w14:paraId="4E54B5F8" w14:textId="02FFD187" w:rsidR="00001202" w:rsidRPr="005A0CEA" w:rsidRDefault="00001202" w:rsidP="007C5F0E">
            <w:pPr>
              <w:jc w:val="center"/>
              <w:rPr>
                <w:b/>
                <w:sz w:val="20"/>
                <w:szCs w:val="20"/>
                <w:lang w:val="en-GB"/>
              </w:rPr>
            </w:pPr>
            <w:r w:rsidRPr="005A0CEA">
              <w:rPr>
                <w:b/>
                <w:sz w:val="20"/>
                <w:szCs w:val="20"/>
                <w:lang w:val="en-GB"/>
              </w:rPr>
              <w:t>Rybelsus</w:t>
            </w:r>
            <w:r w:rsidRPr="005A0CEA">
              <w:rPr>
                <w:b/>
                <w:sz w:val="20"/>
                <w:szCs w:val="20"/>
                <w:vertAlign w:val="superscript"/>
                <w:lang w:val="en-GB"/>
              </w:rPr>
              <w:t>#</w:t>
            </w:r>
          </w:p>
          <w:p w14:paraId="08C170A4" w14:textId="4043EFD2" w:rsidR="00001202" w:rsidRPr="005A0CEA" w:rsidRDefault="00001202" w:rsidP="007C5F0E">
            <w:pPr>
              <w:jc w:val="center"/>
              <w:rPr>
                <w:b/>
                <w:sz w:val="20"/>
                <w:szCs w:val="20"/>
                <w:lang w:val="en-GB"/>
              </w:rPr>
            </w:pPr>
            <w:r w:rsidRPr="005A0CEA">
              <w:rPr>
                <w:b/>
                <w:sz w:val="20"/>
                <w:szCs w:val="20"/>
                <w:lang w:val="en-GB"/>
              </w:rPr>
              <w:t>% (n=4116)</w:t>
            </w:r>
          </w:p>
        </w:tc>
        <w:tc>
          <w:tcPr>
            <w:tcW w:w="2928" w:type="dxa"/>
          </w:tcPr>
          <w:p w14:paraId="5A95F805" w14:textId="60C1BC0A" w:rsidR="00001202" w:rsidRPr="005A0CEA" w:rsidRDefault="00001202" w:rsidP="007C5F0E">
            <w:pPr>
              <w:jc w:val="center"/>
              <w:rPr>
                <w:b/>
                <w:sz w:val="20"/>
                <w:szCs w:val="20"/>
                <w:lang w:val="en-GB"/>
              </w:rPr>
            </w:pPr>
            <w:r w:rsidRPr="005A0CEA">
              <w:rPr>
                <w:b/>
                <w:sz w:val="20"/>
                <w:szCs w:val="20"/>
                <w:lang w:val="en-GB"/>
              </w:rPr>
              <w:t>Comparator</w:t>
            </w:r>
            <w:r w:rsidRPr="005A0CEA">
              <w:rPr>
                <w:b/>
                <w:sz w:val="20"/>
                <w:szCs w:val="20"/>
                <w:vertAlign w:val="superscript"/>
                <w:lang w:val="en-GB"/>
              </w:rPr>
              <w:t>*</w:t>
            </w:r>
          </w:p>
          <w:p w14:paraId="42720634" w14:textId="7AC5644E" w:rsidR="00001202" w:rsidRPr="005A0CEA" w:rsidRDefault="00001202" w:rsidP="007C5F0E">
            <w:pPr>
              <w:jc w:val="center"/>
              <w:rPr>
                <w:b/>
                <w:sz w:val="20"/>
                <w:szCs w:val="20"/>
                <w:lang w:val="en-GB"/>
              </w:rPr>
            </w:pPr>
            <w:r w:rsidRPr="005A0CEA">
              <w:rPr>
                <w:b/>
                <w:sz w:val="20"/>
                <w:szCs w:val="20"/>
                <w:lang w:val="en-GB"/>
              </w:rPr>
              <w:t>% (n=2236)</w:t>
            </w:r>
          </w:p>
        </w:tc>
      </w:tr>
      <w:tr w:rsidR="00001202" w:rsidRPr="005A0CEA" w14:paraId="6A82C69F" w14:textId="77777777" w:rsidTr="00001202">
        <w:tc>
          <w:tcPr>
            <w:tcW w:w="2928" w:type="dxa"/>
          </w:tcPr>
          <w:p w14:paraId="55FC023D" w14:textId="603D3230" w:rsidR="00001202" w:rsidRPr="005A0CEA" w:rsidRDefault="00001202" w:rsidP="007C5F0E">
            <w:pPr>
              <w:rPr>
                <w:sz w:val="20"/>
                <w:szCs w:val="20"/>
                <w:lang w:val="en-GB"/>
              </w:rPr>
            </w:pPr>
            <w:r w:rsidRPr="005A0CEA">
              <w:rPr>
                <w:sz w:val="20"/>
                <w:szCs w:val="20"/>
                <w:lang w:val="en-GB"/>
              </w:rPr>
              <w:t>Nausea</w:t>
            </w:r>
          </w:p>
        </w:tc>
        <w:tc>
          <w:tcPr>
            <w:tcW w:w="2928" w:type="dxa"/>
          </w:tcPr>
          <w:p w14:paraId="3FEEB334" w14:textId="309EFC57" w:rsidR="00001202" w:rsidRPr="005A0CEA" w:rsidRDefault="00001202" w:rsidP="007C5F0E">
            <w:pPr>
              <w:jc w:val="center"/>
              <w:rPr>
                <w:sz w:val="20"/>
                <w:szCs w:val="20"/>
                <w:lang w:val="en-GB"/>
              </w:rPr>
            </w:pPr>
            <w:r w:rsidRPr="005A0CEA">
              <w:rPr>
                <w:sz w:val="20"/>
                <w:szCs w:val="20"/>
                <w:lang w:val="en-GB"/>
              </w:rPr>
              <w:t>15.4</w:t>
            </w:r>
          </w:p>
        </w:tc>
        <w:tc>
          <w:tcPr>
            <w:tcW w:w="2928" w:type="dxa"/>
          </w:tcPr>
          <w:p w14:paraId="435DB1F3" w14:textId="49D2BA19" w:rsidR="00001202" w:rsidRPr="005A0CEA" w:rsidRDefault="00001202" w:rsidP="007C5F0E">
            <w:pPr>
              <w:jc w:val="center"/>
              <w:rPr>
                <w:sz w:val="20"/>
                <w:szCs w:val="20"/>
                <w:lang w:val="en-GB"/>
              </w:rPr>
            </w:pPr>
            <w:r w:rsidRPr="005A0CEA">
              <w:rPr>
                <w:sz w:val="20"/>
                <w:szCs w:val="20"/>
                <w:lang w:val="en-GB"/>
              </w:rPr>
              <w:t>6.3</w:t>
            </w:r>
          </w:p>
        </w:tc>
      </w:tr>
      <w:tr w:rsidR="00001202" w:rsidRPr="005A0CEA" w14:paraId="6F33095C" w14:textId="77777777" w:rsidTr="00001202">
        <w:tc>
          <w:tcPr>
            <w:tcW w:w="2928" w:type="dxa"/>
          </w:tcPr>
          <w:p w14:paraId="360AAF15" w14:textId="2E49D674" w:rsidR="00001202" w:rsidRPr="005A0CEA" w:rsidRDefault="00001202" w:rsidP="007C5F0E">
            <w:pPr>
              <w:rPr>
                <w:sz w:val="20"/>
                <w:szCs w:val="20"/>
                <w:lang w:val="en-GB"/>
              </w:rPr>
            </w:pPr>
            <w:r w:rsidRPr="005A0CEA">
              <w:rPr>
                <w:sz w:val="20"/>
                <w:szCs w:val="20"/>
                <w:lang w:val="en-GB"/>
              </w:rPr>
              <w:t>Nasopharyngitis</w:t>
            </w:r>
          </w:p>
        </w:tc>
        <w:tc>
          <w:tcPr>
            <w:tcW w:w="2928" w:type="dxa"/>
          </w:tcPr>
          <w:p w14:paraId="52EB92FE" w14:textId="7FA81FB8" w:rsidR="00001202" w:rsidRPr="005A0CEA" w:rsidRDefault="00001202" w:rsidP="007C5F0E">
            <w:pPr>
              <w:jc w:val="center"/>
              <w:rPr>
                <w:sz w:val="20"/>
                <w:szCs w:val="20"/>
                <w:lang w:val="en-GB"/>
              </w:rPr>
            </w:pPr>
            <w:r w:rsidRPr="005A0CEA">
              <w:rPr>
                <w:sz w:val="20"/>
                <w:szCs w:val="20"/>
                <w:lang w:val="en-GB"/>
              </w:rPr>
              <w:t>10.4</w:t>
            </w:r>
          </w:p>
        </w:tc>
        <w:tc>
          <w:tcPr>
            <w:tcW w:w="2928" w:type="dxa"/>
          </w:tcPr>
          <w:p w14:paraId="3272F65D" w14:textId="02F0F8B1" w:rsidR="00001202" w:rsidRPr="005A0CEA" w:rsidRDefault="00001202" w:rsidP="007C5F0E">
            <w:pPr>
              <w:jc w:val="center"/>
              <w:rPr>
                <w:sz w:val="20"/>
                <w:szCs w:val="20"/>
                <w:lang w:val="en-GB"/>
              </w:rPr>
            </w:pPr>
            <w:r w:rsidRPr="005A0CEA">
              <w:rPr>
                <w:sz w:val="20"/>
                <w:szCs w:val="20"/>
                <w:lang w:val="en-GB"/>
              </w:rPr>
              <w:t>9.9</w:t>
            </w:r>
          </w:p>
        </w:tc>
      </w:tr>
      <w:tr w:rsidR="00001202" w:rsidRPr="005A0CEA" w14:paraId="7FF6920C" w14:textId="77777777" w:rsidTr="00001202">
        <w:tc>
          <w:tcPr>
            <w:tcW w:w="2928" w:type="dxa"/>
          </w:tcPr>
          <w:p w14:paraId="13FB0E54" w14:textId="086687F9" w:rsidR="00001202" w:rsidRPr="005A0CEA" w:rsidRDefault="00001202" w:rsidP="007C5F0E">
            <w:pPr>
              <w:rPr>
                <w:sz w:val="20"/>
                <w:szCs w:val="20"/>
                <w:lang w:val="en-GB"/>
              </w:rPr>
            </w:pPr>
            <w:proofErr w:type="spellStart"/>
            <w:r w:rsidRPr="005A0CEA">
              <w:rPr>
                <w:sz w:val="20"/>
                <w:szCs w:val="20"/>
                <w:lang w:val="en-GB"/>
              </w:rPr>
              <w:t>Diarrahoea</w:t>
            </w:r>
            <w:proofErr w:type="spellEnd"/>
          </w:p>
        </w:tc>
        <w:tc>
          <w:tcPr>
            <w:tcW w:w="2928" w:type="dxa"/>
          </w:tcPr>
          <w:p w14:paraId="21616264" w14:textId="3C0228F8" w:rsidR="00001202" w:rsidRPr="005A0CEA" w:rsidRDefault="00001202" w:rsidP="007C5F0E">
            <w:pPr>
              <w:jc w:val="center"/>
              <w:rPr>
                <w:sz w:val="20"/>
                <w:szCs w:val="20"/>
                <w:lang w:val="en-GB"/>
              </w:rPr>
            </w:pPr>
            <w:r w:rsidRPr="005A0CEA">
              <w:rPr>
                <w:sz w:val="20"/>
                <w:szCs w:val="20"/>
                <w:lang w:val="en-GB"/>
              </w:rPr>
              <w:t>10.1</w:t>
            </w:r>
          </w:p>
        </w:tc>
        <w:tc>
          <w:tcPr>
            <w:tcW w:w="2928" w:type="dxa"/>
          </w:tcPr>
          <w:p w14:paraId="300860CF" w14:textId="05F315B9" w:rsidR="00001202" w:rsidRPr="005A0CEA" w:rsidRDefault="00001202" w:rsidP="007C5F0E">
            <w:pPr>
              <w:jc w:val="center"/>
              <w:rPr>
                <w:sz w:val="20"/>
                <w:szCs w:val="20"/>
                <w:lang w:val="en-GB"/>
              </w:rPr>
            </w:pPr>
            <w:r w:rsidRPr="005A0CEA">
              <w:rPr>
                <w:sz w:val="20"/>
                <w:szCs w:val="20"/>
                <w:lang w:val="en-GB"/>
              </w:rPr>
              <w:t>5.7</w:t>
            </w:r>
          </w:p>
        </w:tc>
      </w:tr>
      <w:tr w:rsidR="00001202" w:rsidRPr="005A0CEA" w14:paraId="457D7CE6" w14:textId="77777777" w:rsidTr="00001202">
        <w:tc>
          <w:tcPr>
            <w:tcW w:w="2928" w:type="dxa"/>
          </w:tcPr>
          <w:p w14:paraId="314DCAE0" w14:textId="5B17A782" w:rsidR="00001202" w:rsidRPr="005A0CEA" w:rsidRDefault="00001202" w:rsidP="007C5F0E">
            <w:pPr>
              <w:rPr>
                <w:sz w:val="20"/>
                <w:szCs w:val="20"/>
                <w:lang w:val="en-GB"/>
              </w:rPr>
            </w:pPr>
            <w:r w:rsidRPr="005A0CEA">
              <w:rPr>
                <w:sz w:val="20"/>
                <w:szCs w:val="20"/>
                <w:lang w:val="en-GB"/>
              </w:rPr>
              <w:t>Vomiting</w:t>
            </w:r>
          </w:p>
        </w:tc>
        <w:tc>
          <w:tcPr>
            <w:tcW w:w="2928" w:type="dxa"/>
          </w:tcPr>
          <w:p w14:paraId="106CB83D" w14:textId="521EC87F" w:rsidR="00001202" w:rsidRPr="005A0CEA" w:rsidRDefault="00001202" w:rsidP="007C5F0E">
            <w:pPr>
              <w:jc w:val="center"/>
              <w:rPr>
                <w:sz w:val="20"/>
                <w:szCs w:val="20"/>
                <w:lang w:val="en-GB"/>
              </w:rPr>
            </w:pPr>
            <w:r w:rsidRPr="005A0CEA">
              <w:rPr>
                <w:sz w:val="20"/>
                <w:szCs w:val="20"/>
                <w:lang w:val="en-GB"/>
              </w:rPr>
              <w:t>6.6</w:t>
            </w:r>
          </w:p>
        </w:tc>
        <w:tc>
          <w:tcPr>
            <w:tcW w:w="2928" w:type="dxa"/>
          </w:tcPr>
          <w:p w14:paraId="35E4ACDD" w14:textId="225ABBF3" w:rsidR="00001202" w:rsidRPr="005A0CEA" w:rsidRDefault="00001202" w:rsidP="007C5F0E">
            <w:pPr>
              <w:jc w:val="center"/>
              <w:rPr>
                <w:sz w:val="20"/>
                <w:szCs w:val="20"/>
                <w:lang w:val="en-GB"/>
              </w:rPr>
            </w:pPr>
            <w:r w:rsidRPr="005A0CEA">
              <w:rPr>
                <w:sz w:val="20"/>
                <w:szCs w:val="20"/>
                <w:lang w:val="en-GB"/>
              </w:rPr>
              <w:t>2.8</w:t>
            </w:r>
          </w:p>
        </w:tc>
      </w:tr>
      <w:tr w:rsidR="00001202" w:rsidRPr="005A0CEA" w14:paraId="47AEB868" w14:textId="77777777" w:rsidTr="00001202">
        <w:tc>
          <w:tcPr>
            <w:tcW w:w="2928" w:type="dxa"/>
          </w:tcPr>
          <w:p w14:paraId="7A2D6A47" w14:textId="3E58BDCC" w:rsidR="00001202" w:rsidRPr="005A0CEA" w:rsidRDefault="00001202" w:rsidP="007C5F0E">
            <w:pPr>
              <w:rPr>
                <w:sz w:val="20"/>
                <w:szCs w:val="20"/>
                <w:lang w:val="en-GB"/>
              </w:rPr>
            </w:pPr>
            <w:r w:rsidRPr="005A0CEA">
              <w:rPr>
                <w:sz w:val="20"/>
                <w:szCs w:val="20"/>
                <w:lang w:val="en-GB"/>
              </w:rPr>
              <w:t>Headache</w:t>
            </w:r>
          </w:p>
        </w:tc>
        <w:tc>
          <w:tcPr>
            <w:tcW w:w="2928" w:type="dxa"/>
          </w:tcPr>
          <w:p w14:paraId="3B53271F" w14:textId="7A49090C" w:rsidR="00001202" w:rsidRPr="005A0CEA" w:rsidRDefault="00001202" w:rsidP="007C5F0E">
            <w:pPr>
              <w:jc w:val="center"/>
              <w:rPr>
                <w:sz w:val="20"/>
                <w:szCs w:val="20"/>
                <w:lang w:val="en-GB"/>
              </w:rPr>
            </w:pPr>
            <w:r w:rsidRPr="005A0CEA">
              <w:rPr>
                <w:sz w:val="20"/>
                <w:szCs w:val="20"/>
                <w:lang w:val="en-GB"/>
              </w:rPr>
              <w:t>5.9</w:t>
            </w:r>
          </w:p>
        </w:tc>
        <w:tc>
          <w:tcPr>
            <w:tcW w:w="2928" w:type="dxa"/>
          </w:tcPr>
          <w:p w14:paraId="00109786" w14:textId="578AECBC" w:rsidR="00001202" w:rsidRPr="005A0CEA" w:rsidRDefault="00001202" w:rsidP="007C5F0E">
            <w:pPr>
              <w:jc w:val="center"/>
              <w:rPr>
                <w:sz w:val="20"/>
                <w:szCs w:val="20"/>
                <w:lang w:val="en-GB"/>
              </w:rPr>
            </w:pPr>
            <w:r w:rsidRPr="005A0CEA">
              <w:rPr>
                <w:sz w:val="20"/>
                <w:szCs w:val="20"/>
                <w:lang w:val="en-GB"/>
              </w:rPr>
              <w:t>5.2</w:t>
            </w:r>
          </w:p>
        </w:tc>
      </w:tr>
      <w:tr w:rsidR="00001202" w:rsidRPr="005A0CEA" w14:paraId="56CAE18F" w14:textId="77777777" w:rsidTr="00001202">
        <w:tc>
          <w:tcPr>
            <w:tcW w:w="2928" w:type="dxa"/>
          </w:tcPr>
          <w:p w14:paraId="14E5397B" w14:textId="65A9A615" w:rsidR="00001202" w:rsidRPr="005A0CEA" w:rsidRDefault="00001202" w:rsidP="007C5F0E">
            <w:pPr>
              <w:rPr>
                <w:sz w:val="20"/>
                <w:szCs w:val="20"/>
                <w:lang w:val="en-GB"/>
              </w:rPr>
            </w:pPr>
            <w:r w:rsidRPr="005A0CEA">
              <w:rPr>
                <w:sz w:val="20"/>
                <w:szCs w:val="20"/>
                <w:lang w:val="en-GB"/>
              </w:rPr>
              <w:t>Constipation</w:t>
            </w:r>
          </w:p>
        </w:tc>
        <w:tc>
          <w:tcPr>
            <w:tcW w:w="2928" w:type="dxa"/>
          </w:tcPr>
          <w:p w14:paraId="38DAE0D3" w14:textId="46C5F68D" w:rsidR="00001202" w:rsidRPr="005A0CEA" w:rsidRDefault="00001202" w:rsidP="007C5F0E">
            <w:pPr>
              <w:jc w:val="center"/>
              <w:rPr>
                <w:sz w:val="20"/>
                <w:szCs w:val="20"/>
                <w:lang w:val="en-GB"/>
              </w:rPr>
            </w:pPr>
            <w:r w:rsidRPr="005A0CEA">
              <w:rPr>
                <w:sz w:val="20"/>
                <w:szCs w:val="20"/>
                <w:lang w:val="en-GB"/>
              </w:rPr>
              <w:t>5.8</w:t>
            </w:r>
          </w:p>
        </w:tc>
        <w:tc>
          <w:tcPr>
            <w:tcW w:w="2928" w:type="dxa"/>
          </w:tcPr>
          <w:p w14:paraId="3FEFE0E2" w14:textId="4441B8E0" w:rsidR="00001202" w:rsidRPr="005A0CEA" w:rsidRDefault="00001202" w:rsidP="007C5F0E">
            <w:pPr>
              <w:jc w:val="center"/>
              <w:rPr>
                <w:sz w:val="20"/>
                <w:szCs w:val="20"/>
                <w:lang w:val="en-GB"/>
              </w:rPr>
            </w:pPr>
            <w:r w:rsidRPr="005A0CEA">
              <w:rPr>
                <w:sz w:val="20"/>
                <w:szCs w:val="20"/>
                <w:lang w:val="en-GB"/>
              </w:rPr>
              <w:t>3.7</w:t>
            </w:r>
          </w:p>
        </w:tc>
      </w:tr>
      <w:tr w:rsidR="00001202" w:rsidRPr="005A0CEA" w14:paraId="66E850A5" w14:textId="77777777" w:rsidTr="00001202">
        <w:tc>
          <w:tcPr>
            <w:tcW w:w="2928" w:type="dxa"/>
          </w:tcPr>
          <w:p w14:paraId="403BFCD9" w14:textId="1BABC320" w:rsidR="00001202" w:rsidRPr="005A0CEA" w:rsidRDefault="00001202" w:rsidP="007C5F0E">
            <w:pPr>
              <w:rPr>
                <w:sz w:val="20"/>
                <w:szCs w:val="20"/>
                <w:lang w:val="en-GB"/>
              </w:rPr>
            </w:pPr>
            <w:r w:rsidRPr="005A0CEA">
              <w:rPr>
                <w:sz w:val="20"/>
                <w:szCs w:val="20"/>
                <w:lang w:val="en-GB"/>
              </w:rPr>
              <w:t>Decreased appetite</w:t>
            </w:r>
          </w:p>
        </w:tc>
        <w:tc>
          <w:tcPr>
            <w:tcW w:w="2928" w:type="dxa"/>
          </w:tcPr>
          <w:p w14:paraId="585FD8C3" w14:textId="24B62C29" w:rsidR="00001202" w:rsidRPr="005A0CEA" w:rsidRDefault="00001202" w:rsidP="007C5F0E">
            <w:pPr>
              <w:jc w:val="center"/>
              <w:rPr>
                <w:sz w:val="20"/>
                <w:szCs w:val="20"/>
                <w:lang w:val="en-GB"/>
              </w:rPr>
            </w:pPr>
            <w:r w:rsidRPr="005A0CEA">
              <w:rPr>
                <w:sz w:val="20"/>
                <w:szCs w:val="20"/>
                <w:lang w:val="en-GB"/>
              </w:rPr>
              <w:t>5.0</w:t>
            </w:r>
          </w:p>
        </w:tc>
        <w:tc>
          <w:tcPr>
            <w:tcW w:w="2928" w:type="dxa"/>
          </w:tcPr>
          <w:p w14:paraId="700B9910" w14:textId="62026260" w:rsidR="00001202" w:rsidRPr="005A0CEA" w:rsidRDefault="00001202" w:rsidP="007C5F0E">
            <w:pPr>
              <w:jc w:val="center"/>
              <w:rPr>
                <w:sz w:val="20"/>
                <w:szCs w:val="20"/>
                <w:lang w:val="en-GB"/>
              </w:rPr>
            </w:pPr>
            <w:r w:rsidRPr="005A0CEA">
              <w:rPr>
                <w:sz w:val="20"/>
                <w:szCs w:val="20"/>
                <w:lang w:val="en-GB"/>
              </w:rPr>
              <w:t>2.0</w:t>
            </w:r>
          </w:p>
        </w:tc>
      </w:tr>
    </w:tbl>
    <w:p w14:paraId="00FF987C" w14:textId="2433CBB4" w:rsidR="00001202" w:rsidRPr="005A0CEA" w:rsidRDefault="00001202" w:rsidP="007C5F0E">
      <w:pPr>
        <w:rPr>
          <w:sz w:val="18"/>
          <w:szCs w:val="18"/>
          <w:lang w:val="en-GB"/>
        </w:rPr>
      </w:pPr>
      <w:r w:rsidRPr="005A0CEA">
        <w:rPr>
          <w:vertAlign w:val="superscript"/>
          <w:lang w:val="en-GB"/>
        </w:rPr>
        <w:t xml:space="preserve"># </w:t>
      </w:r>
      <w:r w:rsidRPr="005A0CEA">
        <w:rPr>
          <w:sz w:val="18"/>
          <w:szCs w:val="18"/>
          <w:lang w:val="en-GB"/>
        </w:rPr>
        <w:t>Data from all three oral semaglutide doses (3, 7 and 14 mg).</w:t>
      </w:r>
    </w:p>
    <w:p w14:paraId="4C2F339C" w14:textId="4EE9F8EE" w:rsidR="00001202" w:rsidRPr="005A0CEA" w:rsidRDefault="00001202" w:rsidP="007C5F0E">
      <w:pPr>
        <w:rPr>
          <w:lang w:val="en-GB"/>
        </w:rPr>
      </w:pPr>
      <w:r w:rsidRPr="005A0CEA">
        <w:rPr>
          <w:vertAlign w:val="superscript"/>
          <w:lang w:val="en-GB"/>
        </w:rPr>
        <w:t>*</w:t>
      </w:r>
      <w:r w:rsidRPr="005A0CEA">
        <w:rPr>
          <w:lang w:val="en-GB"/>
        </w:rPr>
        <w:t xml:space="preserve"> </w:t>
      </w:r>
      <w:r w:rsidRPr="005A0CEA">
        <w:rPr>
          <w:sz w:val="18"/>
          <w:szCs w:val="18"/>
          <w:lang w:val="en-GB"/>
        </w:rPr>
        <w:t>Comparator: sitagliptin, empagliflozin, liraglutide, dulaglutide and placebo.</w:t>
      </w:r>
    </w:p>
    <w:p w14:paraId="307758D9" w14:textId="1A8E6653" w:rsidR="00001202" w:rsidRPr="005A0CEA" w:rsidRDefault="00001202" w:rsidP="007C5F0E">
      <w:pPr>
        <w:pStyle w:val="Heading4"/>
        <w:spacing w:line="276" w:lineRule="auto"/>
        <w:rPr>
          <w:lang w:val="en-GB"/>
        </w:rPr>
      </w:pPr>
      <w:r w:rsidRPr="005A0CEA">
        <w:rPr>
          <w:lang w:val="en-GB"/>
        </w:rPr>
        <w:t>Adverse Reactions</w:t>
      </w:r>
    </w:p>
    <w:p w14:paraId="6D81ADF1" w14:textId="3991FBD8" w:rsidR="0007114A" w:rsidRPr="005A0CEA" w:rsidRDefault="0007114A" w:rsidP="007C5F0E">
      <w:pPr>
        <w:rPr>
          <w:lang w:val="en-GB"/>
        </w:rPr>
      </w:pPr>
      <w:r w:rsidRPr="005A0CEA">
        <w:rPr>
          <w:lang w:val="en-GB"/>
        </w:rPr>
        <w:t xml:space="preserve">Table </w:t>
      </w:r>
      <w:r w:rsidR="00124ECF" w:rsidRPr="005A0CEA">
        <w:rPr>
          <w:lang w:val="en-GB"/>
        </w:rPr>
        <w:t>2</w:t>
      </w:r>
      <w:r w:rsidRPr="005A0CEA">
        <w:rPr>
          <w:lang w:val="en-GB"/>
        </w:rPr>
        <w:t xml:space="preserve"> lists adverse reactions identified in all phase 3a trials in patients with type 2 diabetes (further described in section 5.1). The frequencies of the adverse reactions are based on a pool of the phase 3a trials excluding the cardiovascular outcomes trial.</w:t>
      </w:r>
    </w:p>
    <w:p w14:paraId="1C0990F3" w14:textId="77777777" w:rsidR="00001202" w:rsidRPr="005A0CEA" w:rsidRDefault="00001202" w:rsidP="007C5F0E">
      <w:pPr>
        <w:rPr>
          <w:lang w:val="en-GB"/>
        </w:rPr>
      </w:pPr>
    </w:p>
    <w:p w14:paraId="1D5CF063" w14:textId="73BBF87D" w:rsidR="0007114A" w:rsidRPr="005A0CEA" w:rsidRDefault="0007114A" w:rsidP="007C5F0E">
      <w:pPr>
        <w:rPr>
          <w:lang w:val="en-GB"/>
        </w:rPr>
      </w:pPr>
      <w:r w:rsidRPr="005A0CEA">
        <w:rPr>
          <w:lang w:val="en-GB"/>
        </w:rPr>
        <w:t>The reactions are listed below by system organ class and absolute frequency.</w:t>
      </w:r>
    </w:p>
    <w:p w14:paraId="196024FA" w14:textId="77777777" w:rsidR="00BF0244" w:rsidRPr="005A0CEA" w:rsidRDefault="00BF0244" w:rsidP="007C5F0E">
      <w:pPr>
        <w:rPr>
          <w:lang w:val="en-GB"/>
        </w:rPr>
      </w:pPr>
    </w:p>
    <w:p w14:paraId="27F9BCEF" w14:textId="3E713DE4" w:rsidR="00BF0244" w:rsidRPr="005A0CEA" w:rsidRDefault="0007114A" w:rsidP="007C5F0E">
      <w:pPr>
        <w:rPr>
          <w:lang w:val="en-GB"/>
        </w:rPr>
      </w:pPr>
      <w:r w:rsidRPr="005A0CEA">
        <w:rPr>
          <w:lang w:val="en-GB"/>
        </w:rPr>
        <w:t>Frequencies are defined as: very common: (≥1/10); common: (≥1/100 to &lt;1/10);</w:t>
      </w:r>
      <w:r w:rsidR="00BF0244" w:rsidRPr="005A0CEA">
        <w:rPr>
          <w:lang w:val="en-GB"/>
        </w:rPr>
        <w:t xml:space="preserve">  </w:t>
      </w:r>
      <w:r w:rsidR="00BF0244" w:rsidRPr="005A0CEA">
        <w:rPr>
          <w:lang w:val="en-GB"/>
        </w:rPr>
        <w:br/>
      </w:r>
      <w:r w:rsidRPr="005A0CEA">
        <w:rPr>
          <w:lang w:val="en-GB"/>
        </w:rPr>
        <w:t>uncommon (≥1/1,000 to &lt;1/100); rare: (≥1/10,000 to &lt;1/1,000); and very rare:</w:t>
      </w:r>
      <w:r w:rsidR="00BF0244" w:rsidRPr="005A0CEA">
        <w:rPr>
          <w:lang w:val="en-GB"/>
        </w:rPr>
        <w:t xml:space="preserve"> </w:t>
      </w:r>
      <w:r w:rsidRPr="005A0CEA">
        <w:rPr>
          <w:lang w:val="en-GB"/>
        </w:rPr>
        <w:t xml:space="preserve">(&lt;1/10,000). </w:t>
      </w:r>
    </w:p>
    <w:p w14:paraId="39BA62E8" w14:textId="77777777" w:rsidR="00BF0244" w:rsidRPr="005A0CEA" w:rsidRDefault="00BF0244" w:rsidP="007C5F0E">
      <w:pPr>
        <w:rPr>
          <w:lang w:val="en-GB"/>
        </w:rPr>
      </w:pPr>
    </w:p>
    <w:p w14:paraId="16B9E82B" w14:textId="32D1E7E7" w:rsidR="0007114A" w:rsidRPr="005A0CEA" w:rsidRDefault="0007114A" w:rsidP="007C5F0E">
      <w:pPr>
        <w:rPr>
          <w:lang w:val="en-GB"/>
        </w:rPr>
      </w:pPr>
      <w:r w:rsidRPr="005A0CEA">
        <w:rPr>
          <w:lang w:val="en-GB"/>
        </w:rPr>
        <w:t>Within each frequency grouping, adverse reactions are presented in</w:t>
      </w:r>
      <w:r w:rsidR="00BF0244" w:rsidRPr="005A0CEA">
        <w:rPr>
          <w:lang w:val="en-GB"/>
        </w:rPr>
        <w:t xml:space="preserve"> </w:t>
      </w:r>
      <w:r w:rsidRPr="005A0CEA">
        <w:rPr>
          <w:lang w:val="en-GB"/>
        </w:rPr>
        <w:t>order of decreasing seriousness.</w:t>
      </w:r>
    </w:p>
    <w:p w14:paraId="7D7631A1" w14:textId="2691A491" w:rsidR="0007114A" w:rsidRPr="005A0CEA" w:rsidRDefault="0007114A" w:rsidP="007C5F0E">
      <w:pPr>
        <w:rPr>
          <w:lang w:val="en-GB"/>
        </w:rPr>
      </w:pPr>
    </w:p>
    <w:p w14:paraId="43FBA207" w14:textId="3B7E5CB6" w:rsidR="0007114A" w:rsidRPr="005A0CEA" w:rsidRDefault="0007114A" w:rsidP="00221C88">
      <w:pPr>
        <w:keepNext/>
        <w:keepLines/>
        <w:rPr>
          <w:b/>
          <w:bCs/>
          <w:lang w:val="en-GB"/>
        </w:rPr>
      </w:pPr>
      <w:r w:rsidRPr="005A0CEA">
        <w:rPr>
          <w:b/>
          <w:bCs/>
          <w:lang w:val="en-GB"/>
        </w:rPr>
        <w:t xml:space="preserve">Table </w:t>
      </w:r>
      <w:r w:rsidRPr="005A0CEA">
        <w:rPr>
          <w:b/>
          <w:bCs/>
          <w:lang w:val="en-GB"/>
        </w:rPr>
        <w:fldChar w:fldCharType="begin"/>
      </w:r>
      <w:r w:rsidRPr="005A0CEA">
        <w:rPr>
          <w:b/>
          <w:bCs/>
          <w:lang w:val="en-GB"/>
        </w:rPr>
        <w:instrText xml:space="preserve"> SEQ Table \* ARABIC \s 1 </w:instrText>
      </w:r>
      <w:r w:rsidRPr="005A0CEA">
        <w:rPr>
          <w:b/>
          <w:bCs/>
          <w:lang w:val="en-GB"/>
        </w:rPr>
        <w:fldChar w:fldCharType="separate"/>
      </w:r>
      <w:r w:rsidR="00A334F6">
        <w:rPr>
          <w:b/>
          <w:bCs/>
          <w:noProof/>
          <w:lang w:val="en-GB"/>
        </w:rPr>
        <w:t>2</w:t>
      </w:r>
      <w:r w:rsidRPr="005A0CEA">
        <w:rPr>
          <w:lang w:val="en-GB"/>
        </w:rPr>
        <w:fldChar w:fldCharType="end"/>
      </w:r>
      <w:r w:rsidRPr="005A0CEA">
        <w:rPr>
          <w:lang w:val="en-GB"/>
        </w:rPr>
        <w:t xml:space="preserve">: </w:t>
      </w:r>
      <w:r w:rsidRPr="005A0CEA">
        <w:rPr>
          <w:b/>
          <w:bCs/>
          <w:lang w:val="en-GB"/>
        </w:rPr>
        <w:t>Adverse reactions from controlled phase 3a trials</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531"/>
        <w:gridCol w:w="1530"/>
        <w:gridCol w:w="1530"/>
        <w:gridCol w:w="1530"/>
        <w:gridCol w:w="1530"/>
      </w:tblGrid>
      <w:tr w:rsidR="00001202" w:rsidRPr="005A0CEA" w14:paraId="1D7DC521" w14:textId="77777777" w:rsidTr="00001202">
        <w:tc>
          <w:tcPr>
            <w:tcW w:w="834" w:type="pct"/>
            <w:tcBorders>
              <w:top w:val="single" w:sz="4" w:space="0" w:color="auto"/>
              <w:left w:val="single" w:sz="4" w:space="0" w:color="auto"/>
              <w:bottom w:val="single" w:sz="4" w:space="0" w:color="auto"/>
              <w:right w:val="single" w:sz="4" w:space="0" w:color="auto"/>
            </w:tcBorders>
            <w:vAlign w:val="center"/>
            <w:hideMark/>
          </w:tcPr>
          <w:p w14:paraId="1F35D8D4" w14:textId="77777777" w:rsidR="00001202" w:rsidRPr="005A0CEA" w:rsidRDefault="00001202" w:rsidP="00221C88">
            <w:pPr>
              <w:pStyle w:val="TableText"/>
              <w:rPr>
                <w:b/>
                <w:szCs w:val="20"/>
              </w:rPr>
            </w:pPr>
            <w:r w:rsidRPr="005A0CEA">
              <w:rPr>
                <w:b/>
                <w:szCs w:val="20"/>
              </w:rPr>
              <w:t>MedDRA</w:t>
            </w:r>
          </w:p>
          <w:p w14:paraId="6FCBF86E" w14:textId="77777777" w:rsidR="00001202" w:rsidRPr="005A0CEA" w:rsidRDefault="00001202" w:rsidP="00221C88">
            <w:pPr>
              <w:pStyle w:val="TableText"/>
              <w:rPr>
                <w:b/>
                <w:szCs w:val="20"/>
              </w:rPr>
            </w:pPr>
            <w:r w:rsidRPr="005A0CEA">
              <w:rPr>
                <w:b/>
                <w:szCs w:val="20"/>
              </w:rPr>
              <w:t>system organ</w:t>
            </w:r>
          </w:p>
          <w:p w14:paraId="7F0695BC" w14:textId="77777777" w:rsidR="00001202" w:rsidRPr="005A0CEA" w:rsidRDefault="00001202" w:rsidP="00221C88">
            <w:pPr>
              <w:pStyle w:val="TableText"/>
              <w:rPr>
                <w:b/>
                <w:szCs w:val="20"/>
              </w:rPr>
            </w:pPr>
            <w:r w:rsidRPr="005A0CEA">
              <w:rPr>
                <w:b/>
                <w:szCs w:val="20"/>
              </w:rPr>
              <w:t>class</w:t>
            </w:r>
          </w:p>
        </w:tc>
        <w:tc>
          <w:tcPr>
            <w:tcW w:w="834" w:type="pct"/>
            <w:tcBorders>
              <w:top w:val="single" w:sz="4" w:space="0" w:color="auto"/>
              <w:left w:val="single" w:sz="4" w:space="0" w:color="auto"/>
              <w:bottom w:val="single" w:sz="4" w:space="0" w:color="auto"/>
              <w:right w:val="single" w:sz="4" w:space="0" w:color="auto"/>
            </w:tcBorders>
          </w:tcPr>
          <w:p w14:paraId="7D34767D" w14:textId="77777777" w:rsidR="00001202" w:rsidRPr="005A0CEA" w:rsidRDefault="00001202" w:rsidP="00221C88">
            <w:pPr>
              <w:pStyle w:val="TableText"/>
              <w:rPr>
                <w:b/>
                <w:szCs w:val="20"/>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3AAB3E37" w14:textId="4B6F058B" w:rsidR="00001202" w:rsidRPr="005A0CEA" w:rsidRDefault="00001202" w:rsidP="00221C88">
            <w:pPr>
              <w:pStyle w:val="TableText"/>
              <w:rPr>
                <w:b/>
                <w:szCs w:val="20"/>
              </w:rPr>
            </w:pPr>
            <w:r w:rsidRPr="005A0CEA">
              <w:rPr>
                <w:b/>
                <w:szCs w:val="20"/>
              </w:rPr>
              <w:t>Very common</w:t>
            </w:r>
          </w:p>
        </w:tc>
        <w:tc>
          <w:tcPr>
            <w:tcW w:w="833" w:type="pct"/>
            <w:tcBorders>
              <w:top w:val="single" w:sz="4" w:space="0" w:color="auto"/>
              <w:left w:val="single" w:sz="4" w:space="0" w:color="auto"/>
              <w:bottom w:val="single" w:sz="4" w:space="0" w:color="auto"/>
              <w:right w:val="single" w:sz="4" w:space="0" w:color="auto"/>
            </w:tcBorders>
            <w:vAlign w:val="center"/>
            <w:hideMark/>
          </w:tcPr>
          <w:p w14:paraId="567E93A1" w14:textId="77777777" w:rsidR="00001202" w:rsidRPr="005A0CEA" w:rsidRDefault="00001202" w:rsidP="00221C88">
            <w:pPr>
              <w:pStyle w:val="TableText"/>
              <w:rPr>
                <w:b/>
                <w:szCs w:val="20"/>
              </w:rPr>
            </w:pPr>
            <w:r w:rsidRPr="005A0CEA">
              <w:rPr>
                <w:b/>
                <w:szCs w:val="20"/>
              </w:rPr>
              <w:t>Common</w:t>
            </w:r>
          </w:p>
        </w:tc>
        <w:tc>
          <w:tcPr>
            <w:tcW w:w="833" w:type="pct"/>
            <w:tcBorders>
              <w:top w:val="single" w:sz="4" w:space="0" w:color="auto"/>
              <w:left w:val="single" w:sz="4" w:space="0" w:color="auto"/>
              <w:bottom w:val="single" w:sz="4" w:space="0" w:color="auto"/>
              <w:right w:val="single" w:sz="4" w:space="0" w:color="auto"/>
            </w:tcBorders>
            <w:vAlign w:val="center"/>
            <w:hideMark/>
          </w:tcPr>
          <w:p w14:paraId="50F2648C" w14:textId="77777777" w:rsidR="00001202" w:rsidRPr="005A0CEA" w:rsidRDefault="00001202" w:rsidP="00221C88">
            <w:pPr>
              <w:pStyle w:val="TableText"/>
              <w:rPr>
                <w:b/>
                <w:szCs w:val="20"/>
              </w:rPr>
            </w:pPr>
            <w:r w:rsidRPr="005A0CEA">
              <w:rPr>
                <w:b/>
                <w:szCs w:val="20"/>
              </w:rPr>
              <w:t>Uncommon</w:t>
            </w:r>
          </w:p>
        </w:tc>
        <w:tc>
          <w:tcPr>
            <w:tcW w:w="833" w:type="pct"/>
            <w:tcBorders>
              <w:top w:val="single" w:sz="4" w:space="0" w:color="auto"/>
              <w:left w:val="single" w:sz="4" w:space="0" w:color="auto"/>
              <w:bottom w:val="single" w:sz="4" w:space="0" w:color="auto"/>
              <w:right w:val="single" w:sz="4" w:space="0" w:color="auto"/>
            </w:tcBorders>
            <w:vAlign w:val="center"/>
            <w:hideMark/>
          </w:tcPr>
          <w:p w14:paraId="7E083F9F" w14:textId="77777777" w:rsidR="00001202" w:rsidRPr="005A0CEA" w:rsidRDefault="00001202" w:rsidP="00221C88">
            <w:pPr>
              <w:pStyle w:val="TableText"/>
              <w:rPr>
                <w:b/>
                <w:szCs w:val="20"/>
              </w:rPr>
            </w:pPr>
            <w:r w:rsidRPr="005A0CEA">
              <w:rPr>
                <w:b/>
                <w:szCs w:val="20"/>
              </w:rPr>
              <w:t>Rare</w:t>
            </w:r>
          </w:p>
        </w:tc>
      </w:tr>
      <w:tr w:rsidR="00001202" w:rsidRPr="005A0CEA" w14:paraId="7905D3B4" w14:textId="77777777" w:rsidTr="00001202">
        <w:trPr>
          <w:trHeight w:val="399"/>
        </w:trPr>
        <w:tc>
          <w:tcPr>
            <w:tcW w:w="834" w:type="pct"/>
            <w:tcBorders>
              <w:top w:val="single" w:sz="4" w:space="0" w:color="auto"/>
              <w:left w:val="single" w:sz="4" w:space="0" w:color="auto"/>
              <w:bottom w:val="single" w:sz="4" w:space="0" w:color="auto"/>
              <w:right w:val="single" w:sz="4" w:space="0" w:color="auto"/>
            </w:tcBorders>
            <w:hideMark/>
          </w:tcPr>
          <w:p w14:paraId="7D003AF5" w14:textId="77777777" w:rsidR="00001202" w:rsidRPr="005A0CEA" w:rsidRDefault="00001202" w:rsidP="007C5F0E">
            <w:pPr>
              <w:pStyle w:val="TableText"/>
              <w:keepNext w:val="0"/>
              <w:keepLines w:val="0"/>
              <w:rPr>
                <w:szCs w:val="20"/>
              </w:rPr>
            </w:pPr>
            <w:r w:rsidRPr="005A0CEA">
              <w:rPr>
                <w:szCs w:val="20"/>
              </w:rPr>
              <w:t xml:space="preserve">Immune-system disorders </w:t>
            </w:r>
          </w:p>
        </w:tc>
        <w:tc>
          <w:tcPr>
            <w:tcW w:w="834" w:type="pct"/>
            <w:tcBorders>
              <w:top w:val="single" w:sz="4" w:space="0" w:color="auto"/>
              <w:left w:val="single" w:sz="4" w:space="0" w:color="auto"/>
              <w:bottom w:val="single" w:sz="4" w:space="0" w:color="auto"/>
              <w:right w:val="single" w:sz="4" w:space="0" w:color="auto"/>
            </w:tcBorders>
          </w:tcPr>
          <w:p w14:paraId="40C4364D"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0CE2BD25" w14:textId="60B2A72C"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717EFCE5"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hideMark/>
          </w:tcPr>
          <w:p w14:paraId="2FB8CFD5"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6009F4EB" w14:textId="77777777" w:rsidR="00001202" w:rsidRPr="005A0CEA" w:rsidRDefault="00001202" w:rsidP="007C5F0E">
            <w:pPr>
              <w:pStyle w:val="TableText"/>
              <w:keepNext w:val="0"/>
              <w:keepLines w:val="0"/>
              <w:rPr>
                <w:szCs w:val="20"/>
              </w:rPr>
            </w:pPr>
            <w:r w:rsidRPr="005A0CEA">
              <w:rPr>
                <w:szCs w:val="20"/>
              </w:rPr>
              <w:t>Anaphylactic reaction</w:t>
            </w:r>
          </w:p>
        </w:tc>
      </w:tr>
      <w:tr w:rsidR="00001202" w:rsidRPr="005A0CEA" w14:paraId="7046BAD0" w14:textId="77777777" w:rsidTr="00001202">
        <w:trPr>
          <w:trHeight w:val="399"/>
        </w:trPr>
        <w:tc>
          <w:tcPr>
            <w:tcW w:w="834" w:type="pct"/>
            <w:tcBorders>
              <w:top w:val="single" w:sz="4" w:space="0" w:color="auto"/>
              <w:left w:val="single" w:sz="4" w:space="0" w:color="auto"/>
              <w:bottom w:val="single" w:sz="4" w:space="0" w:color="auto"/>
              <w:right w:val="single" w:sz="4" w:space="0" w:color="auto"/>
            </w:tcBorders>
            <w:hideMark/>
          </w:tcPr>
          <w:p w14:paraId="6F9795A7" w14:textId="77777777" w:rsidR="00001202" w:rsidRPr="005A0CEA" w:rsidRDefault="00001202" w:rsidP="007C5F0E">
            <w:pPr>
              <w:pStyle w:val="TableText"/>
              <w:keepNext w:val="0"/>
              <w:keepLines w:val="0"/>
              <w:rPr>
                <w:szCs w:val="20"/>
              </w:rPr>
            </w:pPr>
            <w:r w:rsidRPr="005A0CEA">
              <w:rPr>
                <w:szCs w:val="20"/>
              </w:rPr>
              <w:t xml:space="preserve">Metabolism and nutrition disorders </w:t>
            </w:r>
          </w:p>
        </w:tc>
        <w:tc>
          <w:tcPr>
            <w:tcW w:w="834" w:type="pct"/>
            <w:tcBorders>
              <w:top w:val="single" w:sz="4" w:space="0" w:color="auto"/>
              <w:left w:val="single" w:sz="4" w:space="0" w:color="auto"/>
              <w:bottom w:val="single" w:sz="4" w:space="0" w:color="auto"/>
              <w:right w:val="single" w:sz="4" w:space="0" w:color="auto"/>
            </w:tcBorders>
          </w:tcPr>
          <w:p w14:paraId="0F08985F"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hideMark/>
          </w:tcPr>
          <w:p w14:paraId="25550BD9" w14:textId="4263F05B" w:rsidR="00001202" w:rsidRPr="005A0CEA" w:rsidRDefault="00001202" w:rsidP="007C5F0E">
            <w:pPr>
              <w:pStyle w:val="TableText"/>
              <w:keepNext w:val="0"/>
              <w:keepLines w:val="0"/>
              <w:rPr>
                <w:szCs w:val="20"/>
              </w:rPr>
            </w:pPr>
            <w:proofErr w:type="spellStart"/>
            <w:r w:rsidRPr="005A0CEA">
              <w:rPr>
                <w:szCs w:val="20"/>
              </w:rPr>
              <w:t>Hypoglycaemia</w:t>
            </w:r>
            <w:r w:rsidRPr="005A0CEA">
              <w:rPr>
                <w:szCs w:val="20"/>
                <w:vertAlign w:val="superscript"/>
              </w:rPr>
              <w:t>a</w:t>
            </w:r>
            <w:proofErr w:type="spellEnd"/>
            <w:r w:rsidRPr="005A0CEA">
              <w:rPr>
                <w:szCs w:val="20"/>
              </w:rPr>
              <w:t xml:space="preserve"> when used with insulin or </w:t>
            </w:r>
            <w:proofErr w:type="spellStart"/>
            <w:r w:rsidRPr="005A0CEA">
              <w:rPr>
                <w:szCs w:val="20"/>
              </w:rPr>
              <w:t>sulfonylurea</w:t>
            </w:r>
            <w:r w:rsidRPr="005A0CEA">
              <w:rPr>
                <w:sz w:val="18"/>
                <w:szCs w:val="18"/>
                <w:vertAlign w:val="superscript"/>
              </w:rPr>
              <w:t>a</w:t>
            </w:r>
            <w:proofErr w:type="spellEnd"/>
          </w:p>
        </w:tc>
        <w:tc>
          <w:tcPr>
            <w:tcW w:w="833" w:type="pct"/>
            <w:tcBorders>
              <w:top w:val="single" w:sz="4" w:space="0" w:color="auto"/>
              <w:left w:val="single" w:sz="4" w:space="0" w:color="auto"/>
              <w:bottom w:val="single" w:sz="4" w:space="0" w:color="auto"/>
              <w:right w:val="single" w:sz="4" w:space="0" w:color="auto"/>
            </w:tcBorders>
          </w:tcPr>
          <w:p w14:paraId="4AB45820" w14:textId="4A2CB689" w:rsidR="00001202" w:rsidRPr="005A0CEA" w:rsidRDefault="00001202" w:rsidP="007C5F0E">
            <w:pPr>
              <w:pStyle w:val="TableText"/>
              <w:keepNext w:val="0"/>
              <w:keepLines w:val="0"/>
              <w:rPr>
                <w:szCs w:val="20"/>
              </w:rPr>
            </w:pPr>
            <w:proofErr w:type="spellStart"/>
            <w:r w:rsidRPr="005A0CEA">
              <w:rPr>
                <w:szCs w:val="20"/>
              </w:rPr>
              <w:t>Hypoglycaemia</w:t>
            </w:r>
            <w:r w:rsidRPr="005A0CEA">
              <w:rPr>
                <w:szCs w:val="20"/>
                <w:vertAlign w:val="superscript"/>
              </w:rPr>
              <w:t>a</w:t>
            </w:r>
            <w:proofErr w:type="spellEnd"/>
            <w:r w:rsidRPr="005A0CEA">
              <w:rPr>
                <w:szCs w:val="20"/>
              </w:rPr>
              <w:t xml:space="preserve"> when used with other oral antidiabetic </w:t>
            </w:r>
            <w:proofErr w:type="spellStart"/>
            <w:r w:rsidRPr="005A0CEA">
              <w:rPr>
                <w:szCs w:val="20"/>
              </w:rPr>
              <w:t>products</w:t>
            </w:r>
            <w:r w:rsidRPr="005A0CEA">
              <w:rPr>
                <w:sz w:val="18"/>
                <w:szCs w:val="18"/>
                <w:vertAlign w:val="superscript"/>
              </w:rPr>
              <w:t>a</w:t>
            </w:r>
            <w:proofErr w:type="spellEnd"/>
          </w:p>
          <w:p w14:paraId="03A5AABB" w14:textId="77777777" w:rsidR="00001202" w:rsidRPr="005A0CEA" w:rsidRDefault="00001202" w:rsidP="007C5F0E">
            <w:pPr>
              <w:pStyle w:val="TableText"/>
              <w:keepNext w:val="0"/>
              <w:keepLines w:val="0"/>
              <w:rPr>
                <w:szCs w:val="20"/>
              </w:rPr>
            </w:pPr>
            <w:r w:rsidRPr="005A0CEA">
              <w:rPr>
                <w:szCs w:val="20"/>
              </w:rPr>
              <w:t>Decreased appetite</w:t>
            </w:r>
          </w:p>
        </w:tc>
        <w:tc>
          <w:tcPr>
            <w:tcW w:w="833" w:type="pct"/>
            <w:tcBorders>
              <w:top w:val="single" w:sz="4" w:space="0" w:color="auto"/>
              <w:left w:val="single" w:sz="4" w:space="0" w:color="auto"/>
              <w:bottom w:val="single" w:sz="4" w:space="0" w:color="auto"/>
              <w:right w:val="single" w:sz="4" w:space="0" w:color="auto"/>
            </w:tcBorders>
          </w:tcPr>
          <w:p w14:paraId="05937904"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059640F5" w14:textId="77777777" w:rsidR="00001202" w:rsidRPr="005A0CEA" w:rsidRDefault="00001202" w:rsidP="007C5F0E">
            <w:pPr>
              <w:pStyle w:val="TableText"/>
              <w:keepNext w:val="0"/>
              <w:keepLines w:val="0"/>
              <w:rPr>
                <w:szCs w:val="20"/>
              </w:rPr>
            </w:pPr>
          </w:p>
        </w:tc>
      </w:tr>
      <w:tr w:rsidR="00001202" w:rsidRPr="005A0CEA" w14:paraId="73077EC9" w14:textId="77777777" w:rsidTr="00001202">
        <w:trPr>
          <w:trHeight w:val="399"/>
        </w:trPr>
        <w:tc>
          <w:tcPr>
            <w:tcW w:w="834" w:type="pct"/>
            <w:tcBorders>
              <w:top w:val="single" w:sz="4" w:space="0" w:color="auto"/>
              <w:left w:val="single" w:sz="4" w:space="0" w:color="auto"/>
              <w:bottom w:val="single" w:sz="4" w:space="0" w:color="auto"/>
              <w:right w:val="single" w:sz="4" w:space="0" w:color="auto"/>
            </w:tcBorders>
          </w:tcPr>
          <w:p w14:paraId="3857EACF" w14:textId="054A9B4A" w:rsidR="00001202" w:rsidRPr="005A0CEA" w:rsidRDefault="00001202" w:rsidP="007C5F0E">
            <w:pPr>
              <w:pStyle w:val="TableText"/>
              <w:keepNext w:val="0"/>
              <w:keepLines w:val="0"/>
              <w:rPr>
                <w:szCs w:val="20"/>
              </w:rPr>
            </w:pPr>
            <w:r w:rsidRPr="005A0CEA">
              <w:rPr>
                <w:szCs w:val="20"/>
              </w:rPr>
              <w:t>Eye disorders</w:t>
            </w:r>
          </w:p>
        </w:tc>
        <w:tc>
          <w:tcPr>
            <w:tcW w:w="834" w:type="pct"/>
            <w:tcBorders>
              <w:top w:val="single" w:sz="4" w:space="0" w:color="auto"/>
              <w:left w:val="single" w:sz="4" w:space="0" w:color="auto"/>
              <w:bottom w:val="single" w:sz="4" w:space="0" w:color="auto"/>
              <w:right w:val="single" w:sz="4" w:space="0" w:color="auto"/>
            </w:tcBorders>
          </w:tcPr>
          <w:p w14:paraId="0186C56C"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1FD7D0C8" w14:textId="57CA28A9"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35714A5F" w14:textId="31E71D19" w:rsidR="00001202" w:rsidRPr="005A0CEA" w:rsidRDefault="00001202" w:rsidP="007C5F0E">
            <w:pPr>
              <w:pStyle w:val="TableText"/>
              <w:keepNext w:val="0"/>
              <w:keepLines w:val="0"/>
              <w:rPr>
                <w:szCs w:val="20"/>
              </w:rPr>
            </w:pPr>
            <w:r w:rsidRPr="005A0CEA">
              <w:rPr>
                <w:szCs w:val="20"/>
              </w:rPr>
              <w:t xml:space="preserve">Diabetic retinopathy </w:t>
            </w:r>
            <w:proofErr w:type="spellStart"/>
            <w:r w:rsidRPr="005A0CEA">
              <w:rPr>
                <w:szCs w:val="20"/>
              </w:rPr>
              <w:t>complications</w:t>
            </w:r>
            <w:r w:rsidRPr="005A0CEA">
              <w:rPr>
                <w:sz w:val="18"/>
                <w:szCs w:val="18"/>
                <w:vertAlign w:val="superscript"/>
              </w:rPr>
              <w:t>b</w:t>
            </w:r>
            <w:proofErr w:type="spellEnd"/>
          </w:p>
        </w:tc>
        <w:tc>
          <w:tcPr>
            <w:tcW w:w="833" w:type="pct"/>
            <w:tcBorders>
              <w:top w:val="single" w:sz="4" w:space="0" w:color="auto"/>
              <w:left w:val="single" w:sz="4" w:space="0" w:color="auto"/>
              <w:bottom w:val="single" w:sz="4" w:space="0" w:color="auto"/>
              <w:right w:val="single" w:sz="4" w:space="0" w:color="auto"/>
            </w:tcBorders>
          </w:tcPr>
          <w:p w14:paraId="563EDD73"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44C274CC" w14:textId="77777777" w:rsidR="00001202" w:rsidRPr="005A0CEA" w:rsidRDefault="00001202" w:rsidP="007C5F0E">
            <w:pPr>
              <w:pStyle w:val="TableText"/>
              <w:keepNext w:val="0"/>
              <w:keepLines w:val="0"/>
              <w:rPr>
                <w:szCs w:val="20"/>
              </w:rPr>
            </w:pPr>
          </w:p>
        </w:tc>
      </w:tr>
      <w:tr w:rsidR="00001202" w:rsidRPr="005A0CEA" w14:paraId="799144E0" w14:textId="77777777" w:rsidTr="00001202">
        <w:trPr>
          <w:trHeight w:val="482"/>
        </w:trPr>
        <w:tc>
          <w:tcPr>
            <w:tcW w:w="834" w:type="pct"/>
            <w:tcBorders>
              <w:top w:val="single" w:sz="4" w:space="0" w:color="auto"/>
              <w:left w:val="single" w:sz="4" w:space="0" w:color="auto"/>
              <w:bottom w:val="single" w:sz="4" w:space="0" w:color="auto"/>
              <w:right w:val="single" w:sz="4" w:space="0" w:color="auto"/>
            </w:tcBorders>
            <w:hideMark/>
          </w:tcPr>
          <w:p w14:paraId="43BDC490" w14:textId="77777777" w:rsidR="00001202" w:rsidRPr="005A0CEA" w:rsidRDefault="00001202" w:rsidP="007C5F0E">
            <w:pPr>
              <w:pStyle w:val="TableText"/>
              <w:keepNext w:val="0"/>
              <w:keepLines w:val="0"/>
              <w:rPr>
                <w:szCs w:val="20"/>
              </w:rPr>
            </w:pPr>
            <w:r w:rsidRPr="005A0CEA">
              <w:rPr>
                <w:szCs w:val="20"/>
              </w:rPr>
              <w:t xml:space="preserve">Cardiac disorders </w:t>
            </w:r>
          </w:p>
        </w:tc>
        <w:tc>
          <w:tcPr>
            <w:tcW w:w="834" w:type="pct"/>
            <w:tcBorders>
              <w:top w:val="single" w:sz="4" w:space="0" w:color="auto"/>
              <w:left w:val="single" w:sz="4" w:space="0" w:color="auto"/>
              <w:bottom w:val="single" w:sz="4" w:space="0" w:color="auto"/>
              <w:right w:val="single" w:sz="4" w:space="0" w:color="auto"/>
            </w:tcBorders>
          </w:tcPr>
          <w:p w14:paraId="6B937D5E"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622A9DF4" w14:textId="2A507489"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17FA8B16"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hideMark/>
          </w:tcPr>
          <w:p w14:paraId="01B67E9F" w14:textId="77777777" w:rsidR="00001202" w:rsidRPr="005A0CEA" w:rsidRDefault="00001202" w:rsidP="007C5F0E">
            <w:pPr>
              <w:pStyle w:val="TableText"/>
              <w:keepNext w:val="0"/>
              <w:keepLines w:val="0"/>
              <w:rPr>
                <w:szCs w:val="20"/>
              </w:rPr>
            </w:pPr>
            <w:r w:rsidRPr="005A0CEA">
              <w:rPr>
                <w:szCs w:val="20"/>
              </w:rPr>
              <w:t>Increased heart rate</w:t>
            </w:r>
          </w:p>
        </w:tc>
        <w:tc>
          <w:tcPr>
            <w:tcW w:w="833" w:type="pct"/>
            <w:tcBorders>
              <w:top w:val="single" w:sz="4" w:space="0" w:color="auto"/>
              <w:left w:val="single" w:sz="4" w:space="0" w:color="auto"/>
              <w:bottom w:val="single" w:sz="4" w:space="0" w:color="auto"/>
              <w:right w:val="single" w:sz="4" w:space="0" w:color="auto"/>
            </w:tcBorders>
          </w:tcPr>
          <w:p w14:paraId="51245302" w14:textId="77777777" w:rsidR="00001202" w:rsidRPr="005A0CEA" w:rsidRDefault="00001202" w:rsidP="007C5F0E">
            <w:pPr>
              <w:pStyle w:val="TableText"/>
              <w:keepNext w:val="0"/>
              <w:keepLines w:val="0"/>
              <w:rPr>
                <w:szCs w:val="20"/>
              </w:rPr>
            </w:pPr>
          </w:p>
        </w:tc>
      </w:tr>
      <w:tr w:rsidR="00001202" w:rsidRPr="005A0CEA" w14:paraId="20D38768" w14:textId="77777777" w:rsidTr="00001202">
        <w:trPr>
          <w:trHeight w:val="482"/>
        </w:trPr>
        <w:tc>
          <w:tcPr>
            <w:tcW w:w="834" w:type="pct"/>
            <w:tcBorders>
              <w:top w:val="single" w:sz="4" w:space="0" w:color="auto"/>
              <w:left w:val="single" w:sz="4" w:space="0" w:color="auto"/>
              <w:bottom w:val="single" w:sz="4" w:space="0" w:color="auto"/>
              <w:right w:val="single" w:sz="4" w:space="0" w:color="auto"/>
            </w:tcBorders>
            <w:hideMark/>
          </w:tcPr>
          <w:p w14:paraId="550C2B5A" w14:textId="77777777" w:rsidR="00001202" w:rsidRPr="005A0CEA" w:rsidRDefault="00001202" w:rsidP="007C5F0E">
            <w:pPr>
              <w:pStyle w:val="TableText"/>
              <w:keepNext w:val="0"/>
              <w:keepLines w:val="0"/>
              <w:rPr>
                <w:szCs w:val="20"/>
              </w:rPr>
            </w:pPr>
            <w:r w:rsidRPr="005A0CEA">
              <w:rPr>
                <w:szCs w:val="20"/>
              </w:rPr>
              <w:t xml:space="preserve">Gastrointestinal disorders </w:t>
            </w:r>
          </w:p>
        </w:tc>
        <w:tc>
          <w:tcPr>
            <w:tcW w:w="834" w:type="pct"/>
            <w:tcBorders>
              <w:top w:val="single" w:sz="4" w:space="0" w:color="auto"/>
              <w:left w:val="single" w:sz="4" w:space="0" w:color="auto"/>
              <w:bottom w:val="single" w:sz="4" w:space="0" w:color="auto"/>
              <w:right w:val="single" w:sz="4" w:space="0" w:color="auto"/>
            </w:tcBorders>
          </w:tcPr>
          <w:p w14:paraId="11285C93"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hideMark/>
          </w:tcPr>
          <w:p w14:paraId="4EE7FDC7" w14:textId="143D5D13" w:rsidR="00001202" w:rsidRPr="005A0CEA" w:rsidRDefault="00001202" w:rsidP="007C5F0E">
            <w:pPr>
              <w:pStyle w:val="TableText"/>
              <w:keepNext w:val="0"/>
              <w:keepLines w:val="0"/>
              <w:rPr>
                <w:szCs w:val="20"/>
              </w:rPr>
            </w:pPr>
            <w:r w:rsidRPr="005A0CEA">
              <w:rPr>
                <w:szCs w:val="20"/>
              </w:rPr>
              <w:t>Nausea</w:t>
            </w:r>
          </w:p>
          <w:p w14:paraId="34FF8C37" w14:textId="77777777" w:rsidR="00001202" w:rsidRPr="005A0CEA" w:rsidRDefault="00001202" w:rsidP="007C5F0E">
            <w:pPr>
              <w:pStyle w:val="TableText"/>
              <w:keepNext w:val="0"/>
              <w:keepLines w:val="0"/>
              <w:rPr>
                <w:szCs w:val="20"/>
              </w:rPr>
            </w:pPr>
            <w:r w:rsidRPr="005A0CEA">
              <w:rPr>
                <w:szCs w:val="20"/>
              </w:rPr>
              <w:t>Diarrhoea</w:t>
            </w:r>
          </w:p>
        </w:tc>
        <w:tc>
          <w:tcPr>
            <w:tcW w:w="833" w:type="pct"/>
            <w:tcBorders>
              <w:top w:val="single" w:sz="4" w:space="0" w:color="auto"/>
              <w:left w:val="single" w:sz="4" w:space="0" w:color="auto"/>
              <w:bottom w:val="single" w:sz="4" w:space="0" w:color="auto"/>
              <w:right w:val="single" w:sz="4" w:space="0" w:color="auto"/>
            </w:tcBorders>
            <w:hideMark/>
          </w:tcPr>
          <w:p w14:paraId="4AB2FA6A" w14:textId="77777777" w:rsidR="00001202" w:rsidRPr="005A0CEA" w:rsidRDefault="00001202" w:rsidP="007C5F0E">
            <w:pPr>
              <w:pStyle w:val="TableText"/>
              <w:keepNext w:val="0"/>
              <w:keepLines w:val="0"/>
              <w:rPr>
                <w:szCs w:val="20"/>
              </w:rPr>
            </w:pPr>
            <w:r w:rsidRPr="005A0CEA">
              <w:rPr>
                <w:szCs w:val="20"/>
              </w:rPr>
              <w:t>Vomiting</w:t>
            </w:r>
          </w:p>
          <w:p w14:paraId="4F3D8594" w14:textId="77777777" w:rsidR="00001202" w:rsidRPr="005A0CEA" w:rsidRDefault="00001202" w:rsidP="007C5F0E">
            <w:pPr>
              <w:pStyle w:val="TableText"/>
              <w:keepNext w:val="0"/>
              <w:keepLines w:val="0"/>
              <w:rPr>
                <w:szCs w:val="20"/>
              </w:rPr>
            </w:pPr>
            <w:r w:rsidRPr="005A0CEA">
              <w:rPr>
                <w:szCs w:val="20"/>
              </w:rPr>
              <w:t>Abdominal pain</w:t>
            </w:r>
          </w:p>
          <w:p w14:paraId="063A6D24" w14:textId="77777777" w:rsidR="00001202" w:rsidRPr="005A0CEA" w:rsidRDefault="00001202" w:rsidP="007C5F0E">
            <w:pPr>
              <w:pStyle w:val="TableText"/>
              <w:keepNext w:val="0"/>
              <w:keepLines w:val="0"/>
              <w:rPr>
                <w:szCs w:val="20"/>
              </w:rPr>
            </w:pPr>
            <w:r w:rsidRPr="005A0CEA">
              <w:rPr>
                <w:szCs w:val="20"/>
              </w:rPr>
              <w:lastRenderedPageBreak/>
              <w:t>Abdominal distension</w:t>
            </w:r>
          </w:p>
          <w:p w14:paraId="0A79A08C" w14:textId="77777777" w:rsidR="00001202" w:rsidRPr="005A0CEA" w:rsidRDefault="00001202" w:rsidP="007C5F0E">
            <w:pPr>
              <w:pStyle w:val="TableText"/>
              <w:keepNext w:val="0"/>
              <w:keepLines w:val="0"/>
              <w:rPr>
                <w:szCs w:val="20"/>
              </w:rPr>
            </w:pPr>
            <w:r w:rsidRPr="005A0CEA">
              <w:rPr>
                <w:szCs w:val="20"/>
              </w:rPr>
              <w:t>Constipation</w:t>
            </w:r>
          </w:p>
          <w:p w14:paraId="7710E39D" w14:textId="77777777" w:rsidR="00001202" w:rsidRPr="005A0CEA" w:rsidRDefault="00001202" w:rsidP="007C5F0E">
            <w:pPr>
              <w:pStyle w:val="TableText"/>
              <w:keepNext w:val="0"/>
              <w:keepLines w:val="0"/>
              <w:rPr>
                <w:szCs w:val="20"/>
              </w:rPr>
            </w:pPr>
            <w:r w:rsidRPr="005A0CEA">
              <w:rPr>
                <w:szCs w:val="20"/>
              </w:rPr>
              <w:t>Dyspepsia</w:t>
            </w:r>
          </w:p>
          <w:p w14:paraId="5DF8E62F" w14:textId="77777777" w:rsidR="00001202" w:rsidRPr="005A0CEA" w:rsidRDefault="00001202" w:rsidP="007C5F0E">
            <w:pPr>
              <w:pStyle w:val="TableText"/>
              <w:keepNext w:val="0"/>
              <w:keepLines w:val="0"/>
              <w:rPr>
                <w:szCs w:val="20"/>
              </w:rPr>
            </w:pPr>
            <w:r w:rsidRPr="005A0CEA">
              <w:rPr>
                <w:szCs w:val="20"/>
              </w:rPr>
              <w:t>Gastritis</w:t>
            </w:r>
          </w:p>
          <w:p w14:paraId="30A3857F" w14:textId="77777777" w:rsidR="00001202" w:rsidRPr="005A0CEA" w:rsidRDefault="00001202" w:rsidP="007C5F0E">
            <w:pPr>
              <w:pStyle w:val="TableText"/>
              <w:keepNext w:val="0"/>
              <w:keepLines w:val="0"/>
              <w:rPr>
                <w:szCs w:val="20"/>
              </w:rPr>
            </w:pPr>
            <w:r w:rsidRPr="005A0CEA">
              <w:rPr>
                <w:szCs w:val="20"/>
              </w:rPr>
              <w:t>Gastro-oesophageal</w:t>
            </w:r>
          </w:p>
          <w:p w14:paraId="0C452C9C" w14:textId="77777777" w:rsidR="00001202" w:rsidRPr="005A0CEA" w:rsidRDefault="00001202" w:rsidP="007C5F0E">
            <w:pPr>
              <w:pStyle w:val="TableText"/>
              <w:keepNext w:val="0"/>
              <w:keepLines w:val="0"/>
              <w:rPr>
                <w:szCs w:val="20"/>
              </w:rPr>
            </w:pPr>
            <w:r w:rsidRPr="005A0CEA">
              <w:rPr>
                <w:szCs w:val="20"/>
              </w:rPr>
              <w:t>reflux disease</w:t>
            </w:r>
          </w:p>
          <w:p w14:paraId="5BF0FC75" w14:textId="77777777" w:rsidR="00001202" w:rsidRPr="005A0CEA" w:rsidRDefault="00001202" w:rsidP="007C5F0E">
            <w:pPr>
              <w:pStyle w:val="TableText"/>
              <w:keepNext w:val="0"/>
              <w:keepLines w:val="0"/>
              <w:rPr>
                <w:szCs w:val="20"/>
              </w:rPr>
            </w:pPr>
            <w:r w:rsidRPr="005A0CEA">
              <w:rPr>
                <w:szCs w:val="20"/>
              </w:rPr>
              <w:t>Flatulence</w:t>
            </w:r>
          </w:p>
        </w:tc>
        <w:tc>
          <w:tcPr>
            <w:tcW w:w="833" w:type="pct"/>
            <w:tcBorders>
              <w:top w:val="single" w:sz="4" w:space="0" w:color="auto"/>
              <w:left w:val="single" w:sz="4" w:space="0" w:color="auto"/>
              <w:bottom w:val="single" w:sz="4" w:space="0" w:color="auto"/>
              <w:right w:val="single" w:sz="4" w:space="0" w:color="auto"/>
            </w:tcBorders>
            <w:hideMark/>
          </w:tcPr>
          <w:p w14:paraId="4711E93F" w14:textId="3FD8F802" w:rsidR="00001202" w:rsidRPr="005A0CEA" w:rsidRDefault="00001202" w:rsidP="007C5F0E">
            <w:pPr>
              <w:pStyle w:val="TableText"/>
              <w:keepNext w:val="0"/>
              <w:keepLines w:val="0"/>
              <w:rPr>
                <w:szCs w:val="20"/>
              </w:rPr>
            </w:pPr>
            <w:r w:rsidRPr="005A0CEA">
              <w:rPr>
                <w:szCs w:val="20"/>
              </w:rPr>
              <w:lastRenderedPageBreak/>
              <w:t>Eructation</w:t>
            </w:r>
          </w:p>
        </w:tc>
        <w:tc>
          <w:tcPr>
            <w:tcW w:w="833" w:type="pct"/>
            <w:tcBorders>
              <w:top w:val="single" w:sz="4" w:space="0" w:color="auto"/>
              <w:left w:val="single" w:sz="4" w:space="0" w:color="auto"/>
              <w:bottom w:val="single" w:sz="4" w:space="0" w:color="auto"/>
              <w:right w:val="single" w:sz="4" w:space="0" w:color="auto"/>
            </w:tcBorders>
          </w:tcPr>
          <w:p w14:paraId="152E0070" w14:textId="1AD7E9B8" w:rsidR="00001202" w:rsidRPr="005A0CEA" w:rsidRDefault="00001202" w:rsidP="007C5F0E">
            <w:pPr>
              <w:pStyle w:val="TableText"/>
              <w:keepNext w:val="0"/>
              <w:keepLines w:val="0"/>
              <w:rPr>
                <w:szCs w:val="20"/>
              </w:rPr>
            </w:pPr>
            <w:r w:rsidRPr="005A0CEA">
              <w:rPr>
                <w:szCs w:val="20"/>
              </w:rPr>
              <w:t>Acute pancreatitis</w:t>
            </w:r>
          </w:p>
        </w:tc>
      </w:tr>
      <w:tr w:rsidR="00001202" w:rsidRPr="005A0CEA" w14:paraId="50A8EF89" w14:textId="77777777" w:rsidTr="00001202">
        <w:trPr>
          <w:trHeight w:val="482"/>
        </w:trPr>
        <w:tc>
          <w:tcPr>
            <w:tcW w:w="834" w:type="pct"/>
            <w:tcBorders>
              <w:top w:val="single" w:sz="4" w:space="0" w:color="auto"/>
              <w:left w:val="single" w:sz="4" w:space="0" w:color="auto"/>
              <w:bottom w:val="single" w:sz="4" w:space="0" w:color="auto"/>
              <w:right w:val="single" w:sz="4" w:space="0" w:color="auto"/>
            </w:tcBorders>
            <w:hideMark/>
          </w:tcPr>
          <w:p w14:paraId="6DFE5587" w14:textId="77777777" w:rsidR="00001202" w:rsidRPr="005A0CEA" w:rsidRDefault="00001202" w:rsidP="007C5F0E">
            <w:pPr>
              <w:pStyle w:val="TableText"/>
              <w:keepNext w:val="0"/>
              <w:keepLines w:val="0"/>
              <w:rPr>
                <w:szCs w:val="20"/>
              </w:rPr>
            </w:pPr>
            <w:r w:rsidRPr="005A0CEA">
              <w:rPr>
                <w:szCs w:val="20"/>
              </w:rPr>
              <w:t xml:space="preserve">Hepatobiliary disorders </w:t>
            </w:r>
          </w:p>
        </w:tc>
        <w:tc>
          <w:tcPr>
            <w:tcW w:w="834" w:type="pct"/>
            <w:tcBorders>
              <w:top w:val="single" w:sz="4" w:space="0" w:color="auto"/>
              <w:left w:val="single" w:sz="4" w:space="0" w:color="auto"/>
              <w:bottom w:val="single" w:sz="4" w:space="0" w:color="auto"/>
              <w:right w:val="single" w:sz="4" w:space="0" w:color="auto"/>
            </w:tcBorders>
          </w:tcPr>
          <w:p w14:paraId="084EE88B"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51241773" w14:textId="54742F7E"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hideMark/>
          </w:tcPr>
          <w:p w14:paraId="70A476E8" w14:textId="37B46459"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7072A434" w14:textId="1E7A74BD" w:rsidR="00001202" w:rsidRPr="005A0CEA" w:rsidRDefault="00001202" w:rsidP="007C5F0E">
            <w:pPr>
              <w:pStyle w:val="TableText"/>
              <w:keepNext w:val="0"/>
              <w:keepLines w:val="0"/>
              <w:rPr>
                <w:szCs w:val="20"/>
              </w:rPr>
            </w:pPr>
            <w:r w:rsidRPr="005A0CEA">
              <w:rPr>
                <w:szCs w:val="20"/>
              </w:rPr>
              <w:t>Cholelithiasis</w:t>
            </w:r>
          </w:p>
        </w:tc>
        <w:tc>
          <w:tcPr>
            <w:tcW w:w="833" w:type="pct"/>
            <w:tcBorders>
              <w:top w:val="single" w:sz="4" w:space="0" w:color="auto"/>
              <w:left w:val="single" w:sz="4" w:space="0" w:color="auto"/>
              <w:bottom w:val="single" w:sz="4" w:space="0" w:color="auto"/>
              <w:right w:val="single" w:sz="4" w:space="0" w:color="auto"/>
            </w:tcBorders>
          </w:tcPr>
          <w:p w14:paraId="79125DE4" w14:textId="77777777" w:rsidR="00001202" w:rsidRPr="005A0CEA" w:rsidRDefault="00001202" w:rsidP="007C5F0E">
            <w:pPr>
              <w:pStyle w:val="TableText"/>
              <w:keepNext w:val="0"/>
              <w:keepLines w:val="0"/>
              <w:rPr>
                <w:szCs w:val="20"/>
              </w:rPr>
            </w:pPr>
          </w:p>
        </w:tc>
      </w:tr>
      <w:tr w:rsidR="00001202" w:rsidRPr="005A0CEA" w14:paraId="70E33712" w14:textId="77777777" w:rsidTr="00001202">
        <w:trPr>
          <w:trHeight w:val="482"/>
        </w:trPr>
        <w:tc>
          <w:tcPr>
            <w:tcW w:w="834" w:type="pct"/>
            <w:tcBorders>
              <w:top w:val="single" w:sz="4" w:space="0" w:color="auto"/>
              <w:left w:val="single" w:sz="4" w:space="0" w:color="auto"/>
              <w:bottom w:val="single" w:sz="4" w:space="0" w:color="auto"/>
              <w:right w:val="single" w:sz="4" w:space="0" w:color="auto"/>
            </w:tcBorders>
            <w:hideMark/>
          </w:tcPr>
          <w:p w14:paraId="7BFA3069" w14:textId="77777777" w:rsidR="00001202" w:rsidRPr="005A0CEA" w:rsidRDefault="00001202" w:rsidP="007C5F0E">
            <w:pPr>
              <w:pStyle w:val="TableText"/>
              <w:keepNext w:val="0"/>
              <w:keepLines w:val="0"/>
              <w:rPr>
                <w:szCs w:val="20"/>
              </w:rPr>
            </w:pPr>
            <w:r w:rsidRPr="005A0CEA">
              <w:rPr>
                <w:szCs w:val="20"/>
              </w:rPr>
              <w:t xml:space="preserve">General </w:t>
            </w:r>
            <w:proofErr w:type="gramStart"/>
            <w:r w:rsidRPr="005A0CEA">
              <w:rPr>
                <w:szCs w:val="20"/>
              </w:rPr>
              <w:t>disorders  and</w:t>
            </w:r>
            <w:proofErr w:type="gramEnd"/>
            <w:r w:rsidRPr="005A0CEA">
              <w:rPr>
                <w:szCs w:val="20"/>
              </w:rPr>
              <w:t xml:space="preserve"> administration site conditions </w:t>
            </w:r>
          </w:p>
        </w:tc>
        <w:tc>
          <w:tcPr>
            <w:tcW w:w="834" w:type="pct"/>
            <w:tcBorders>
              <w:top w:val="single" w:sz="4" w:space="0" w:color="auto"/>
              <w:left w:val="single" w:sz="4" w:space="0" w:color="auto"/>
              <w:bottom w:val="single" w:sz="4" w:space="0" w:color="auto"/>
              <w:right w:val="single" w:sz="4" w:space="0" w:color="auto"/>
            </w:tcBorders>
          </w:tcPr>
          <w:p w14:paraId="4D8CCD50"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48201D96" w14:textId="563BC1F6"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131BDDA2" w14:textId="77777777" w:rsidR="00001202" w:rsidRPr="005A0CEA" w:rsidRDefault="00001202" w:rsidP="007C5F0E">
            <w:pPr>
              <w:pStyle w:val="TableText"/>
              <w:keepNext w:val="0"/>
              <w:keepLines w:val="0"/>
              <w:rPr>
                <w:szCs w:val="20"/>
              </w:rPr>
            </w:pPr>
            <w:r w:rsidRPr="005A0CEA">
              <w:rPr>
                <w:szCs w:val="20"/>
              </w:rPr>
              <w:t>Fatigue</w:t>
            </w:r>
          </w:p>
        </w:tc>
        <w:tc>
          <w:tcPr>
            <w:tcW w:w="833" w:type="pct"/>
            <w:tcBorders>
              <w:top w:val="single" w:sz="4" w:space="0" w:color="auto"/>
              <w:left w:val="single" w:sz="4" w:space="0" w:color="auto"/>
              <w:bottom w:val="single" w:sz="4" w:space="0" w:color="auto"/>
              <w:right w:val="single" w:sz="4" w:space="0" w:color="auto"/>
            </w:tcBorders>
            <w:hideMark/>
          </w:tcPr>
          <w:p w14:paraId="2F125709" w14:textId="5ADD384C"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6DA1BD2C" w14:textId="77777777" w:rsidR="00001202" w:rsidRPr="005A0CEA" w:rsidRDefault="00001202" w:rsidP="007C5F0E">
            <w:pPr>
              <w:pStyle w:val="TableText"/>
              <w:keepNext w:val="0"/>
              <w:keepLines w:val="0"/>
              <w:rPr>
                <w:szCs w:val="20"/>
              </w:rPr>
            </w:pPr>
          </w:p>
        </w:tc>
      </w:tr>
      <w:tr w:rsidR="00001202" w:rsidRPr="005A0CEA" w14:paraId="47BED50F" w14:textId="77777777" w:rsidTr="00001202">
        <w:trPr>
          <w:trHeight w:val="482"/>
        </w:trPr>
        <w:tc>
          <w:tcPr>
            <w:tcW w:w="834" w:type="pct"/>
            <w:tcBorders>
              <w:top w:val="single" w:sz="4" w:space="0" w:color="auto"/>
              <w:left w:val="single" w:sz="4" w:space="0" w:color="auto"/>
              <w:bottom w:val="single" w:sz="4" w:space="0" w:color="auto"/>
              <w:right w:val="single" w:sz="4" w:space="0" w:color="auto"/>
            </w:tcBorders>
            <w:hideMark/>
          </w:tcPr>
          <w:p w14:paraId="57C49191" w14:textId="77777777" w:rsidR="00001202" w:rsidRPr="005A0CEA" w:rsidRDefault="00001202" w:rsidP="007C5F0E">
            <w:pPr>
              <w:pStyle w:val="TableText"/>
              <w:keepNext w:val="0"/>
              <w:keepLines w:val="0"/>
              <w:rPr>
                <w:szCs w:val="20"/>
              </w:rPr>
            </w:pPr>
            <w:r w:rsidRPr="005A0CEA">
              <w:rPr>
                <w:szCs w:val="20"/>
              </w:rPr>
              <w:t>Investigations</w:t>
            </w:r>
          </w:p>
        </w:tc>
        <w:tc>
          <w:tcPr>
            <w:tcW w:w="834" w:type="pct"/>
            <w:tcBorders>
              <w:top w:val="single" w:sz="4" w:space="0" w:color="auto"/>
              <w:left w:val="single" w:sz="4" w:space="0" w:color="auto"/>
              <w:bottom w:val="single" w:sz="4" w:space="0" w:color="auto"/>
              <w:right w:val="single" w:sz="4" w:space="0" w:color="auto"/>
            </w:tcBorders>
          </w:tcPr>
          <w:p w14:paraId="6D4F3D8B" w14:textId="77777777"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2B115466" w14:textId="2DAD52D3" w:rsidR="00001202" w:rsidRPr="005A0CEA" w:rsidRDefault="00001202" w:rsidP="007C5F0E">
            <w:pPr>
              <w:pStyle w:val="TableText"/>
              <w:keepNext w:val="0"/>
              <w:keepLines w:val="0"/>
              <w:rPr>
                <w:szCs w:val="20"/>
              </w:rPr>
            </w:pPr>
          </w:p>
        </w:tc>
        <w:tc>
          <w:tcPr>
            <w:tcW w:w="833" w:type="pct"/>
            <w:tcBorders>
              <w:top w:val="single" w:sz="4" w:space="0" w:color="auto"/>
              <w:left w:val="single" w:sz="4" w:space="0" w:color="auto"/>
              <w:bottom w:val="single" w:sz="4" w:space="0" w:color="auto"/>
              <w:right w:val="single" w:sz="4" w:space="0" w:color="auto"/>
            </w:tcBorders>
          </w:tcPr>
          <w:p w14:paraId="52DF9609" w14:textId="77777777" w:rsidR="00001202" w:rsidRPr="005A0CEA" w:rsidRDefault="00001202" w:rsidP="007C5F0E">
            <w:pPr>
              <w:pStyle w:val="TableText"/>
              <w:keepNext w:val="0"/>
              <w:keepLines w:val="0"/>
              <w:rPr>
                <w:szCs w:val="20"/>
              </w:rPr>
            </w:pPr>
            <w:r w:rsidRPr="005A0CEA">
              <w:rPr>
                <w:szCs w:val="20"/>
              </w:rPr>
              <w:t xml:space="preserve">Increased lipase </w:t>
            </w:r>
          </w:p>
          <w:p w14:paraId="179D9647" w14:textId="0E42F51F" w:rsidR="00001202" w:rsidRPr="005A0CEA" w:rsidRDefault="00001202" w:rsidP="007C5F0E">
            <w:pPr>
              <w:pStyle w:val="TableText"/>
              <w:keepNext w:val="0"/>
              <w:keepLines w:val="0"/>
              <w:rPr>
                <w:szCs w:val="20"/>
              </w:rPr>
            </w:pPr>
            <w:r w:rsidRPr="005A0CEA">
              <w:rPr>
                <w:szCs w:val="20"/>
              </w:rPr>
              <w:t xml:space="preserve">Increased amylase </w:t>
            </w:r>
          </w:p>
        </w:tc>
        <w:tc>
          <w:tcPr>
            <w:tcW w:w="833" w:type="pct"/>
            <w:tcBorders>
              <w:top w:val="single" w:sz="4" w:space="0" w:color="auto"/>
              <w:left w:val="single" w:sz="4" w:space="0" w:color="auto"/>
              <w:bottom w:val="single" w:sz="4" w:space="0" w:color="auto"/>
              <w:right w:val="single" w:sz="4" w:space="0" w:color="auto"/>
            </w:tcBorders>
            <w:hideMark/>
          </w:tcPr>
          <w:p w14:paraId="139AE874" w14:textId="6BC253C1" w:rsidR="00001202" w:rsidRPr="005A0CEA" w:rsidRDefault="00001202" w:rsidP="007C5F0E">
            <w:pPr>
              <w:pStyle w:val="TableText"/>
              <w:keepNext w:val="0"/>
              <w:keepLines w:val="0"/>
              <w:rPr>
                <w:szCs w:val="20"/>
              </w:rPr>
            </w:pPr>
            <w:r w:rsidRPr="005A0CEA">
              <w:rPr>
                <w:szCs w:val="20"/>
              </w:rPr>
              <w:t>Weight decreased</w:t>
            </w:r>
          </w:p>
        </w:tc>
        <w:tc>
          <w:tcPr>
            <w:tcW w:w="833" w:type="pct"/>
            <w:tcBorders>
              <w:top w:val="single" w:sz="4" w:space="0" w:color="auto"/>
              <w:left w:val="single" w:sz="4" w:space="0" w:color="auto"/>
              <w:bottom w:val="single" w:sz="4" w:space="0" w:color="auto"/>
              <w:right w:val="single" w:sz="4" w:space="0" w:color="auto"/>
            </w:tcBorders>
          </w:tcPr>
          <w:p w14:paraId="38D468A2" w14:textId="77777777" w:rsidR="00001202" w:rsidRPr="005A0CEA" w:rsidRDefault="00001202" w:rsidP="007C5F0E">
            <w:pPr>
              <w:pStyle w:val="TableText"/>
              <w:keepNext w:val="0"/>
              <w:keepLines w:val="0"/>
              <w:rPr>
                <w:szCs w:val="20"/>
              </w:rPr>
            </w:pPr>
          </w:p>
        </w:tc>
      </w:tr>
    </w:tbl>
    <w:p w14:paraId="0587D3C1" w14:textId="1926A5C1" w:rsidR="001862A7" w:rsidRPr="005A0CEA" w:rsidRDefault="0007114A" w:rsidP="007C5F0E">
      <w:pPr>
        <w:ind w:left="142" w:hanging="142"/>
        <w:rPr>
          <w:sz w:val="18"/>
          <w:szCs w:val="18"/>
          <w:lang w:val="en-GB"/>
        </w:rPr>
      </w:pPr>
      <w:r w:rsidRPr="005A0CEA">
        <w:rPr>
          <w:sz w:val="18"/>
          <w:szCs w:val="18"/>
          <w:vertAlign w:val="superscript"/>
          <w:lang w:val="en-GB"/>
        </w:rPr>
        <w:t>a</w:t>
      </w:r>
      <w:r w:rsidRPr="005A0CEA">
        <w:rPr>
          <w:sz w:val="18"/>
          <w:szCs w:val="18"/>
          <w:lang w:val="en-GB"/>
        </w:rPr>
        <w:t xml:space="preserve"> </w:t>
      </w:r>
      <w:r w:rsidR="001862A7" w:rsidRPr="005A0CEA">
        <w:rPr>
          <w:sz w:val="18"/>
          <w:szCs w:val="18"/>
          <w:lang w:val="en-GB"/>
        </w:rPr>
        <w:t>Hypoglycaemia defined as blood glucose &lt;3.0 mmol/L or &lt;54 mg/dL</w:t>
      </w:r>
    </w:p>
    <w:p w14:paraId="044B9050" w14:textId="7A7882BE" w:rsidR="001862A7" w:rsidRPr="005A0CEA" w:rsidRDefault="001862A7" w:rsidP="007C5F0E">
      <w:pPr>
        <w:ind w:left="142" w:hanging="142"/>
        <w:rPr>
          <w:sz w:val="18"/>
          <w:szCs w:val="18"/>
          <w:lang w:val="en-GB"/>
        </w:rPr>
      </w:pPr>
      <w:r w:rsidRPr="005A0CEA">
        <w:rPr>
          <w:sz w:val="18"/>
          <w:szCs w:val="18"/>
          <w:vertAlign w:val="superscript"/>
          <w:lang w:val="en-GB"/>
        </w:rPr>
        <w:t>b</w:t>
      </w:r>
      <w:r w:rsidRPr="005A0CEA">
        <w:rPr>
          <w:sz w:val="18"/>
          <w:szCs w:val="18"/>
          <w:lang w:val="en-GB"/>
        </w:rPr>
        <w:t xml:space="preserve"> Diabetic retinopathy complications is a composite of retinal photocoagulation, treatment with intravitreal agents, vitreous </w:t>
      </w:r>
      <w:proofErr w:type="gramStart"/>
      <w:r w:rsidRPr="005A0CEA">
        <w:rPr>
          <w:sz w:val="18"/>
          <w:szCs w:val="18"/>
          <w:lang w:val="en-GB"/>
        </w:rPr>
        <w:t>haemorrhage</w:t>
      </w:r>
      <w:proofErr w:type="gramEnd"/>
      <w:r w:rsidRPr="005A0CEA">
        <w:rPr>
          <w:sz w:val="18"/>
          <w:szCs w:val="18"/>
          <w:lang w:val="en-GB"/>
        </w:rPr>
        <w:t xml:space="preserve"> and diabetes-related blindness (uncommon). Frequency is based on the cardiovascular outcomes trial with </w:t>
      </w:r>
      <w:proofErr w:type="spellStart"/>
      <w:r w:rsidR="00E5148F" w:rsidRPr="005A0CEA">
        <w:rPr>
          <w:sz w:val="18"/>
          <w:szCs w:val="18"/>
          <w:lang w:val="en-GB"/>
        </w:rPr>
        <w:t>subcutaeous</w:t>
      </w:r>
      <w:proofErr w:type="spellEnd"/>
      <w:r w:rsidRPr="005A0CEA">
        <w:rPr>
          <w:sz w:val="18"/>
          <w:szCs w:val="18"/>
          <w:lang w:val="en-GB"/>
        </w:rPr>
        <w:t xml:space="preserve"> </w:t>
      </w:r>
      <w:proofErr w:type="spellStart"/>
      <w:r w:rsidRPr="005A0CEA">
        <w:rPr>
          <w:sz w:val="18"/>
          <w:szCs w:val="18"/>
          <w:lang w:val="en-GB"/>
        </w:rPr>
        <w:t>semaglutide</w:t>
      </w:r>
      <w:proofErr w:type="spellEnd"/>
      <w:r w:rsidRPr="005A0CEA">
        <w:rPr>
          <w:sz w:val="18"/>
          <w:szCs w:val="18"/>
          <w:lang w:val="en-GB"/>
        </w:rPr>
        <w:t>, but it cannot be excluded that the risk of diabetic retinopathy complications identified also applies to Rybelsus</w:t>
      </w:r>
    </w:p>
    <w:p w14:paraId="7C3CA476" w14:textId="77777777" w:rsidR="00001202" w:rsidRPr="005A0CEA" w:rsidRDefault="00001202" w:rsidP="007C5F0E">
      <w:pPr>
        <w:ind w:left="142" w:hanging="142"/>
        <w:rPr>
          <w:sz w:val="18"/>
          <w:szCs w:val="18"/>
          <w:lang w:val="en-GB"/>
        </w:rPr>
      </w:pPr>
    </w:p>
    <w:p w14:paraId="33E5D2C9" w14:textId="77777777" w:rsidR="009F2C36" w:rsidRPr="005A0CEA" w:rsidRDefault="009F2C36" w:rsidP="007C5F0E">
      <w:pPr>
        <w:pStyle w:val="Heading4"/>
        <w:rPr>
          <w:lang w:val="en-GB"/>
        </w:rPr>
      </w:pPr>
      <w:r w:rsidRPr="005A0CEA">
        <w:rPr>
          <w:lang w:val="en-GB"/>
        </w:rPr>
        <w:t>Description of Selected Adverse Reactions</w:t>
      </w:r>
    </w:p>
    <w:p w14:paraId="7BBCA610" w14:textId="1F2C147C" w:rsidR="009F2C36" w:rsidRPr="005A0CEA" w:rsidRDefault="009F2C36" w:rsidP="007C5F0E">
      <w:pPr>
        <w:pStyle w:val="Heading6"/>
        <w:rPr>
          <w:lang w:val="en-GB"/>
        </w:rPr>
      </w:pPr>
      <w:r w:rsidRPr="005A0CEA">
        <w:rPr>
          <w:lang w:val="en-GB"/>
        </w:rPr>
        <w:t>Hypoglycaemia</w:t>
      </w:r>
    </w:p>
    <w:p w14:paraId="12B5CA71" w14:textId="4D83F967" w:rsidR="009F2C36" w:rsidRPr="005A0CEA" w:rsidRDefault="009F2C36" w:rsidP="007C5F0E">
      <w:pPr>
        <w:rPr>
          <w:lang w:val="en-GB"/>
        </w:rPr>
      </w:pPr>
      <w:r w:rsidRPr="005A0CEA">
        <w:rPr>
          <w:lang w:val="en-GB"/>
        </w:rPr>
        <w:t>Severe hypoglycaemia was primarily observed when Rybelsus was used with a sulfonylurea (&lt;0.1% of subjects, &lt;0.001 events/ patient years) or insulin (1.1% of subjects, 0.013 events/patient years). Few episodes (0.1% of subjects, 0.001 events/patient year) were observed with Rybelsus in combination with oral antidiabetics other than sulfonylurea.</w:t>
      </w:r>
    </w:p>
    <w:p w14:paraId="4C5894A1" w14:textId="791A9031" w:rsidR="009F2C36" w:rsidRPr="005A0CEA" w:rsidRDefault="009F2C36" w:rsidP="00221C88">
      <w:pPr>
        <w:pStyle w:val="Heading6"/>
        <w:keepNext/>
        <w:keepLines/>
        <w:rPr>
          <w:lang w:val="en-GB"/>
        </w:rPr>
      </w:pPr>
      <w:r w:rsidRPr="005A0CEA">
        <w:rPr>
          <w:lang w:val="en-GB"/>
        </w:rPr>
        <w:t>Gastrointestinal adverse reactions</w:t>
      </w:r>
    </w:p>
    <w:p w14:paraId="5B03C274" w14:textId="582A2424" w:rsidR="009F2C36" w:rsidRPr="005A0CEA" w:rsidRDefault="009F2C36" w:rsidP="007C5F0E">
      <w:pPr>
        <w:rPr>
          <w:lang w:val="en-GB"/>
        </w:rPr>
      </w:pPr>
      <w:r w:rsidRPr="005A0CEA">
        <w:rPr>
          <w:lang w:val="en-GB"/>
        </w:rPr>
        <w:t>Nausea occurred in 15%, diarrhoea in 10%, vomiting in 7% of patients when treated with Rybelsus. Most events were mild to moderate in severity and of short duration. The events led to treatment discontinuation in 4% of subjects. The events were most frequently reported during the first months on treatment.</w:t>
      </w:r>
    </w:p>
    <w:p w14:paraId="63B965CC" w14:textId="77777777" w:rsidR="00F70ECD" w:rsidRPr="005A0CEA" w:rsidRDefault="00F70ECD" w:rsidP="007C5F0E">
      <w:pPr>
        <w:rPr>
          <w:lang w:val="en-GB"/>
        </w:rPr>
      </w:pPr>
    </w:p>
    <w:p w14:paraId="1F69DCE4" w14:textId="500DE8F3" w:rsidR="00F70ECD" w:rsidRPr="005A0CEA" w:rsidRDefault="00F70ECD" w:rsidP="007C5F0E">
      <w:pPr>
        <w:rPr>
          <w:lang w:val="en-GB"/>
        </w:rPr>
      </w:pPr>
      <w:r w:rsidRPr="005A0CEA">
        <w:rPr>
          <w:lang w:val="en-GB"/>
        </w:rPr>
        <w:t>Acute pancreatitis confirmed by adjudication has been reported in phase 3a trials, semaglutide (&lt;0.1%) and comparator (0.2%</w:t>
      </w:r>
      <w:proofErr w:type="gramStart"/>
      <w:r w:rsidRPr="005A0CEA">
        <w:rPr>
          <w:lang w:val="en-GB"/>
        </w:rPr>
        <w:t>).In</w:t>
      </w:r>
      <w:proofErr w:type="gramEnd"/>
      <w:r w:rsidRPr="005A0CEA">
        <w:rPr>
          <w:lang w:val="en-GB"/>
        </w:rPr>
        <w:t xml:space="preserve"> the cardiovascular outcomes trial the frequency of acute pancreatitis confirmed by adjudication was 0.1% for semaglutide and 0.2% for placebo.</w:t>
      </w:r>
    </w:p>
    <w:p w14:paraId="43A5FB1A" w14:textId="0B1A9C05" w:rsidR="00F70ECD" w:rsidRPr="005A0CEA" w:rsidRDefault="00F70ECD" w:rsidP="007C5F0E">
      <w:pPr>
        <w:pStyle w:val="Heading6"/>
        <w:rPr>
          <w:lang w:val="en-GB"/>
        </w:rPr>
      </w:pPr>
      <w:r w:rsidRPr="005A0CEA">
        <w:rPr>
          <w:lang w:val="en-GB"/>
        </w:rPr>
        <w:t>Diabetic retinopathy complications</w:t>
      </w:r>
    </w:p>
    <w:p w14:paraId="65DDCE8C" w14:textId="44EA6464" w:rsidR="00F70ECD" w:rsidRPr="005A0CEA" w:rsidRDefault="00F70ECD" w:rsidP="007C5F0E">
      <w:pPr>
        <w:rPr>
          <w:lang w:val="en-GB"/>
        </w:rPr>
      </w:pPr>
      <w:r w:rsidRPr="005A0CEA">
        <w:rPr>
          <w:lang w:val="en-GB"/>
        </w:rPr>
        <w:t xml:space="preserve">A 2-year clinical trial with subcutaneous semaglutide investigated 3,297 patients with type 2 diabetes, with high cardiovascular risk, long duration of diabetes and poorly controlled blood glucose. In this trial, adjudicated events of diabetic retinopathy complications occurred in more patients treated with subcutaneous semaglutide (3.0%) compared to placebo (1.8%). This was observed in insulin-treated patients with known diabetic retinopathy. The treatment difference appeared early and persisted throughout the trial. Systematic evaluation of diabetic retinopathy </w:t>
      </w:r>
      <w:r w:rsidRPr="005A0CEA">
        <w:rPr>
          <w:lang w:val="en-GB"/>
        </w:rPr>
        <w:lastRenderedPageBreak/>
        <w:t xml:space="preserve">complication was only performed in the cardiovascular outcomes trial with subcutaneous semaglutide. </w:t>
      </w:r>
    </w:p>
    <w:p w14:paraId="6F1A2F42" w14:textId="77777777" w:rsidR="00E5148F" w:rsidRPr="005A0CEA" w:rsidRDefault="00E5148F" w:rsidP="007C5F0E">
      <w:pPr>
        <w:rPr>
          <w:lang w:val="en-GB"/>
        </w:rPr>
      </w:pPr>
    </w:p>
    <w:p w14:paraId="4F2C015F" w14:textId="33CE44BD" w:rsidR="00F70ECD" w:rsidRPr="005A0CEA" w:rsidRDefault="00F70ECD" w:rsidP="007C5F0E">
      <w:pPr>
        <w:rPr>
          <w:lang w:val="en-GB"/>
        </w:rPr>
      </w:pPr>
      <w:r w:rsidRPr="005A0CEA">
        <w:rPr>
          <w:lang w:val="en-GB"/>
        </w:rPr>
        <w:t>In clinical trials with Rybelsus of up to 18 months duration involving 6,352 patients with type 2 diabetes, adverse events related to diabetic retinopathy were reported in similar proportions in subjects treated with semaglutide (4.2%) and comparators (3.8%).</w:t>
      </w:r>
    </w:p>
    <w:p w14:paraId="3EB1BAB7" w14:textId="16E014CE" w:rsidR="009F2C36" w:rsidRPr="005A0CEA" w:rsidRDefault="009F2C36" w:rsidP="007C5F0E">
      <w:pPr>
        <w:pStyle w:val="Heading6"/>
        <w:rPr>
          <w:lang w:val="en-GB"/>
        </w:rPr>
      </w:pPr>
      <w:r w:rsidRPr="005A0CEA">
        <w:rPr>
          <w:lang w:val="en-GB"/>
        </w:rPr>
        <w:t>Discontinuation due to an adverse event</w:t>
      </w:r>
    </w:p>
    <w:p w14:paraId="3D56296B" w14:textId="5218E1F1" w:rsidR="009F2C36" w:rsidRPr="005A0CEA" w:rsidRDefault="009F2C36" w:rsidP="007C5F0E">
      <w:pPr>
        <w:rPr>
          <w:lang w:val="en-GB"/>
        </w:rPr>
      </w:pPr>
      <w:r w:rsidRPr="005A0CEA">
        <w:rPr>
          <w:lang w:val="en-GB"/>
        </w:rPr>
        <w:t xml:space="preserve">Discontinuation of treatment due to adverse events was 9% for patients treated with Rybelsus. </w:t>
      </w:r>
      <w:r w:rsidR="00642581" w:rsidRPr="005A0CEA">
        <w:rPr>
          <w:lang w:val="en-GB"/>
        </w:rPr>
        <w:t>The rate of discontinuation increased with semaglutide dose and occurred more frequently in the dose-escalation phase. The events leading to discontinuation were predominantly gastrointestinal, particularly nausea and vomiting.</w:t>
      </w:r>
    </w:p>
    <w:p w14:paraId="2DC01A96" w14:textId="59E16A89" w:rsidR="009F2C36" w:rsidRPr="005A0CEA" w:rsidRDefault="009F2C36" w:rsidP="007C5F0E">
      <w:pPr>
        <w:pStyle w:val="Heading6"/>
        <w:rPr>
          <w:lang w:val="en-GB"/>
        </w:rPr>
      </w:pPr>
      <w:r w:rsidRPr="005A0CEA">
        <w:rPr>
          <w:lang w:val="en-GB"/>
        </w:rPr>
        <w:t>Increased heart rate</w:t>
      </w:r>
    </w:p>
    <w:p w14:paraId="02017D6A" w14:textId="36E2445A" w:rsidR="009F2C36" w:rsidRPr="005A0CEA" w:rsidRDefault="00F70ECD" w:rsidP="007C5F0E">
      <w:pPr>
        <w:rPr>
          <w:lang w:val="en-GB"/>
        </w:rPr>
      </w:pPr>
      <w:r w:rsidRPr="005A0CEA">
        <w:rPr>
          <w:lang w:val="en-GB"/>
        </w:rPr>
        <w:t>Increased heart rate has been observed with GLP-1 receptor agonists. In the phase 3a trials, mean changes of 0 to 4 beats per minute (bpm) from a baseline of 69 to 76 were observed in patients treated with Rybelsus</w:t>
      </w:r>
      <w:r w:rsidR="009F2C36" w:rsidRPr="005A0CEA">
        <w:rPr>
          <w:lang w:val="en-GB"/>
        </w:rPr>
        <w:t>.</w:t>
      </w:r>
    </w:p>
    <w:p w14:paraId="2DC57E1A" w14:textId="2F024B6B" w:rsidR="00234D10" w:rsidRPr="005A0CEA" w:rsidRDefault="0007114A" w:rsidP="007C5F0E">
      <w:pPr>
        <w:pStyle w:val="Heading4"/>
        <w:rPr>
          <w:lang w:val="en-GB"/>
        </w:rPr>
      </w:pPr>
      <w:r w:rsidRPr="005A0CEA">
        <w:rPr>
          <w:lang w:val="en-GB"/>
        </w:rPr>
        <w:t>Reporting adverse events</w:t>
      </w:r>
    </w:p>
    <w:p w14:paraId="03803B36" w14:textId="255E71E1" w:rsidR="00C44B67" w:rsidRPr="005A0CEA" w:rsidRDefault="00F17541" w:rsidP="007C5F0E">
      <w:pPr>
        <w:rPr>
          <w:lang w:val="en-GB"/>
        </w:rPr>
      </w:pPr>
      <w:r w:rsidRPr="005A0CEA">
        <w:rPr>
          <w:lang w:val="en-GB"/>
        </w:rPr>
        <w:t>Reporting suspected adverse reactions after registration of the medicinal product is important. It allows continued monitoring of the benefit-risk balance of the medicinal product.</w:t>
      </w:r>
      <w:r w:rsidR="00C44B67" w:rsidRPr="005A0CEA">
        <w:rPr>
          <w:lang w:val="en-GB"/>
        </w:rPr>
        <w:t xml:space="preserve"> Healthcare professionals are as</w:t>
      </w:r>
      <w:r w:rsidRPr="005A0CEA">
        <w:rPr>
          <w:lang w:val="en-GB"/>
        </w:rPr>
        <w:t xml:space="preserve">ked to report any suspected adverse reactions at </w:t>
      </w:r>
      <w:hyperlink r:id="rId10" w:history="1">
        <w:r w:rsidR="00C44B67" w:rsidRPr="005A0CEA">
          <w:rPr>
            <w:rStyle w:val="Hyperlink"/>
            <w:color w:val="auto"/>
            <w:u w:val="none"/>
            <w:lang w:val="en-GB"/>
          </w:rPr>
          <w:t>http://www.tga.gov.au/reporting-problems</w:t>
        </w:r>
      </w:hyperlink>
      <w:r w:rsidRPr="005A0CEA">
        <w:rPr>
          <w:lang w:val="en-GB"/>
        </w:rPr>
        <w:t>.</w:t>
      </w:r>
    </w:p>
    <w:p w14:paraId="696C2F9A" w14:textId="77777777" w:rsidR="00C44B67" w:rsidRPr="005A0CEA" w:rsidRDefault="00C44B67" w:rsidP="007C5F0E">
      <w:pPr>
        <w:pStyle w:val="Heading3"/>
        <w:rPr>
          <w:lang w:val="en-GB"/>
        </w:rPr>
      </w:pPr>
      <w:r w:rsidRPr="005A0CEA">
        <w:rPr>
          <w:lang w:val="en-GB"/>
        </w:rPr>
        <w:t>4.9</w:t>
      </w:r>
      <w:r w:rsidRPr="005A0CEA">
        <w:rPr>
          <w:lang w:val="en-GB"/>
        </w:rPr>
        <w:tab/>
        <w:t>Overdose</w:t>
      </w:r>
    </w:p>
    <w:p w14:paraId="1D5B38E3" w14:textId="0DF8CE65" w:rsidR="0003583A" w:rsidRPr="005A0CEA" w:rsidRDefault="0003583A" w:rsidP="007C5F0E">
      <w:pPr>
        <w:rPr>
          <w:lang w:val="en-GB"/>
        </w:rPr>
      </w:pPr>
      <w:r w:rsidRPr="005A0CEA">
        <w:rPr>
          <w:lang w:val="en-GB"/>
        </w:rPr>
        <w:t>Effects of overdose with semaglutide in clinical studies may be associated with gastrointestinal disorders. In the event of overdose, appropriate supportive treatment should be initiated according to the patient’s clinical signs and symptoms.</w:t>
      </w:r>
      <w:r w:rsidR="00BE2C4A" w:rsidRPr="005A0CEA">
        <w:rPr>
          <w:lang w:val="en-GB"/>
        </w:rPr>
        <w:t xml:space="preserve"> prolonged period of observation and treatment of the symptoms may be necessary, </w:t>
      </w:r>
      <w:proofErr w:type="gramStart"/>
      <w:r w:rsidR="00BE2C4A" w:rsidRPr="005A0CEA">
        <w:rPr>
          <w:lang w:val="en-GB"/>
        </w:rPr>
        <w:t>taking into account</w:t>
      </w:r>
      <w:proofErr w:type="gramEnd"/>
      <w:r w:rsidR="00BE2C4A" w:rsidRPr="005A0CEA">
        <w:rPr>
          <w:lang w:val="en-GB"/>
        </w:rPr>
        <w:t xml:space="preserve"> the long half-life of semaglutide of approximately 1 week. There is no specific antidote for overdose with semaglutide.</w:t>
      </w:r>
    </w:p>
    <w:p w14:paraId="180259F3" w14:textId="77777777" w:rsidR="0003583A" w:rsidRPr="005A0CEA" w:rsidRDefault="0003583A" w:rsidP="007C5F0E">
      <w:pPr>
        <w:rPr>
          <w:lang w:val="en-GB"/>
        </w:rPr>
      </w:pPr>
    </w:p>
    <w:p w14:paraId="26B941C2" w14:textId="38FF70AB" w:rsidR="00C44B67" w:rsidRPr="005A0CEA" w:rsidRDefault="00C44B67" w:rsidP="007C5F0E">
      <w:pPr>
        <w:rPr>
          <w:lang w:val="en-GB"/>
        </w:rPr>
      </w:pPr>
      <w:r w:rsidRPr="005A0CEA">
        <w:rPr>
          <w:lang w:val="en-GB"/>
        </w:rPr>
        <w:t>For information on the management of overdose, contact the Poisons Information Centre on 13 11 26 (Australia).</w:t>
      </w:r>
    </w:p>
    <w:p w14:paraId="2C1C7C81" w14:textId="77777777" w:rsidR="00C44B67" w:rsidRPr="005A0CEA" w:rsidRDefault="00C44B67" w:rsidP="007C5F0E">
      <w:pPr>
        <w:pStyle w:val="Heading2"/>
        <w:rPr>
          <w:lang w:val="en-GB"/>
        </w:rPr>
      </w:pPr>
      <w:r w:rsidRPr="005A0CEA">
        <w:rPr>
          <w:lang w:val="en-GB"/>
        </w:rPr>
        <w:t>5.</w:t>
      </w:r>
      <w:r w:rsidRPr="005A0CEA">
        <w:rPr>
          <w:lang w:val="en-GB"/>
        </w:rPr>
        <w:tab/>
        <w:t>PHA</w:t>
      </w:r>
      <w:r w:rsidR="00C233E1" w:rsidRPr="005A0CEA">
        <w:rPr>
          <w:lang w:val="en-GB"/>
        </w:rPr>
        <w:t>R</w:t>
      </w:r>
      <w:r w:rsidRPr="005A0CEA">
        <w:rPr>
          <w:lang w:val="en-GB"/>
        </w:rPr>
        <w:t>MACOLOGICAL PROPERTIES</w:t>
      </w:r>
    </w:p>
    <w:p w14:paraId="5BE13036" w14:textId="77777777" w:rsidR="00C44B67" w:rsidRPr="005A0CEA" w:rsidRDefault="00C44B67" w:rsidP="007C5F0E">
      <w:pPr>
        <w:pStyle w:val="Heading3"/>
        <w:rPr>
          <w:lang w:val="en-GB"/>
        </w:rPr>
      </w:pPr>
      <w:r w:rsidRPr="005A0CEA">
        <w:rPr>
          <w:lang w:val="en-GB"/>
        </w:rPr>
        <w:t>5.1</w:t>
      </w:r>
      <w:r w:rsidRPr="005A0CEA">
        <w:rPr>
          <w:lang w:val="en-GB"/>
        </w:rPr>
        <w:tab/>
        <w:t>Pharmacodynamic Properties</w:t>
      </w:r>
    </w:p>
    <w:p w14:paraId="196A6AE0" w14:textId="165DDBA2" w:rsidR="00827623" w:rsidRPr="005A0CEA" w:rsidRDefault="00827623" w:rsidP="007C5F0E">
      <w:pPr>
        <w:pStyle w:val="Heading4"/>
        <w:rPr>
          <w:lang w:val="en-GB"/>
        </w:rPr>
      </w:pPr>
      <w:r w:rsidRPr="005A0CEA">
        <w:rPr>
          <w:lang w:val="en-GB"/>
        </w:rPr>
        <w:t>Mechanism of action</w:t>
      </w:r>
    </w:p>
    <w:p w14:paraId="29BF9791" w14:textId="2E3686E0" w:rsidR="00827623" w:rsidRPr="005A0CEA" w:rsidRDefault="004C213D" w:rsidP="00221C88">
      <w:pPr>
        <w:rPr>
          <w:lang w:val="en-GB"/>
        </w:rPr>
      </w:pPr>
      <w:r w:rsidRPr="005A0CEA">
        <w:rPr>
          <w:lang w:val="en-GB"/>
        </w:rPr>
        <w:t xml:space="preserve">Semaglutide is a GLP-1 analogue with 94% sequence homology to human GLP-1. Semaglutide acts as a GLP-1 receptor agonist that binds to and activates the GLP-1 receptor, the target for native GLP-1. GLP-1 is a physiological hormone that has multiple actions in glucose and appetite regulation, and in the cardiovascular system. The glucose and appetite effects are specifically mediated via GLP-1 receptors in the pancreas and the brain. GLP-1 receptors are also expressed in the heart, vasculature and immune system and kidney from where it may mediate cardiovascular and microvascular effects. Compared to native GLP-1, semaglutide has a prolonged half-life of around 1 week. The principal mechanism of protraction is albumin binding, which results in decreased renal clearance and protection from metabolic degradation. </w:t>
      </w:r>
      <w:r w:rsidRPr="005A0CEA">
        <w:rPr>
          <w:lang w:val="en-GB"/>
        </w:rPr>
        <w:lastRenderedPageBreak/>
        <w:t xml:space="preserve">Furthermore, semaglutide is stabilised against degradation by the DPP-4 enzyme. Semaglutide reduces blood glucose through a mechanism where it stimulates insulin secretion and lowers glucagon secretion, both in a glucose-dependent manner. Thus, when blood glucose is high, insulin secretion is </w:t>
      </w:r>
      <w:proofErr w:type="gramStart"/>
      <w:r w:rsidRPr="005A0CEA">
        <w:rPr>
          <w:lang w:val="en-GB"/>
        </w:rPr>
        <w:t>stimulated</w:t>
      </w:r>
      <w:proofErr w:type="gramEnd"/>
      <w:r w:rsidRPr="005A0CEA">
        <w:rPr>
          <w:lang w:val="en-GB"/>
        </w:rPr>
        <w:t xml:space="preserve"> and glucagon secretion is inhibited. The mechanism of blood glucose lowering also involves a minor delay in gastric emptying in the early postprandial phase. During hypoglycaemia semaglutide diminishes insulin secretion and does not impair glucagon secretion. Semaglutide reduces body weight and body fat mass through lowered energy intake, involving an overall reduced appetite, which includes increased satiety and reduced hunger, as well as improved control of eating and decreased food cravings. Insulin resistance is also reduced, probably through reduction in body weight. In addition, semaglutide reduces the preference for high fat foods. Semaglutide had a beneficial effect on plasma lipids, lowered systolic blood pressure and reduced inflammation in clinical studies. In animal studies, semaglutide attenuates the development of atherosclerosis by preventing aortic plaque progression and reducing inflammation in the plaque.</w:t>
      </w:r>
    </w:p>
    <w:p w14:paraId="69036F2A" w14:textId="06D96BA4" w:rsidR="00C44B67" w:rsidRPr="005A0CEA" w:rsidRDefault="00827623" w:rsidP="007C5F0E">
      <w:pPr>
        <w:pStyle w:val="Heading4"/>
        <w:rPr>
          <w:lang w:val="en-GB"/>
        </w:rPr>
      </w:pPr>
      <w:r w:rsidRPr="005A0CEA">
        <w:rPr>
          <w:lang w:val="en-GB"/>
        </w:rPr>
        <w:t>Pharmacodynamic effects</w:t>
      </w:r>
    </w:p>
    <w:p w14:paraId="43CC9F82" w14:textId="2D8AE406" w:rsidR="00C44B67" w:rsidRPr="005A0CEA" w:rsidRDefault="00EA6BB4" w:rsidP="007C5F0E">
      <w:pPr>
        <w:rPr>
          <w:lang w:val="en-GB"/>
        </w:rPr>
      </w:pPr>
      <w:r w:rsidRPr="005A0CEA">
        <w:rPr>
          <w:lang w:val="en-GB"/>
        </w:rPr>
        <w:t>Rybelsus lowers fasting glucose and self-measured plasma glucose. The onset happens early with a lowering of fasting glucose within the first week of treatment.</w:t>
      </w:r>
    </w:p>
    <w:p w14:paraId="1C1024BB" w14:textId="7BFFA905" w:rsidR="00C44B67" w:rsidRPr="005A0CEA" w:rsidRDefault="00C44B67" w:rsidP="007C5F0E">
      <w:pPr>
        <w:rPr>
          <w:lang w:val="en-GB"/>
        </w:rPr>
      </w:pPr>
    </w:p>
    <w:p w14:paraId="1A0431E9" w14:textId="445A9511" w:rsidR="00EA6BB4" w:rsidRPr="005A0CEA" w:rsidRDefault="00EA6BB4" w:rsidP="007C5F0E">
      <w:pPr>
        <w:rPr>
          <w:lang w:val="en-GB"/>
        </w:rPr>
      </w:pPr>
      <w:r w:rsidRPr="005A0CEA">
        <w:rPr>
          <w:lang w:val="en-GB"/>
        </w:rPr>
        <w:t>All pharmacodynamic evaluations described below were performed after 12 weeks of treatment.</w:t>
      </w:r>
    </w:p>
    <w:p w14:paraId="6991C1E3" w14:textId="621593AD" w:rsidR="00332F74" w:rsidRPr="005A0CEA" w:rsidRDefault="00332F74" w:rsidP="007C5F0E">
      <w:pPr>
        <w:pStyle w:val="Heading6"/>
        <w:rPr>
          <w:lang w:val="en-GB"/>
        </w:rPr>
      </w:pPr>
      <w:r w:rsidRPr="005A0CEA">
        <w:rPr>
          <w:lang w:val="en-GB"/>
        </w:rPr>
        <w:t>Fasting plasma glucose and postprandial increments</w:t>
      </w:r>
    </w:p>
    <w:p w14:paraId="42EC4E97" w14:textId="5AB3E425" w:rsidR="00332F74" w:rsidRPr="005A0CEA" w:rsidRDefault="00B940A1" w:rsidP="007C5F0E">
      <w:pPr>
        <w:rPr>
          <w:lang w:val="en-GB"/>
        </w:rPr>
      </w:pPr>
      <w:r w:rsidRPr="005A0CEA">
        <w:rPr>
          <w:lang w:val="en-GB"/>
        </w:rPr>
        <w:t xml:space="preserve">Semaglutide compared to placebo lowered fasting triglyceride and very </w:t>
      </w:r>
      <w:proofErr w:type="gramStart"/>
      <w:r w:rsidRPr="005A0CEA">
        <w:rPr>
          <w:lang w:val="en-GB"/>
        </w:rPr>
        <w:t>low density</w:t>
      </w:r>
      <w:proofErr w:type="gramEnd"/>
      <w:r w:rsidRPr="005A0CEA">
        <w:rPr>
          <w:lang w:val="en-GB"/>
        </w:rPr>
        <w:t xml:space="preserve"> lipoproteins (VLDL) cholesterol concentrations by 19% [8; 28] and 20% [5; 33], respectively. The postprandial triglyceride and VLDL cholesterol response to a high fat meal was reduced by 24% [9; 36] and 21% [7; 32], respectively. ApoB48 was reduced both in fasting and postprandial state by 25% [2; 42] and 30% [15; 43], respectively</w:t>
      </w:r>
      <w:r w:rsidR="00332F74" w:rsidRPr="005A0CEA">
        <w:rPr>
          <w:lang w:val="en-GB"/>
        </w:rPr>
        <w:t>.</w:t>
      </w:r>
    </w:p>
    <w:p w14:paraId="4F725A64" w14:textId="70CF4044" w:rsidR="00332F74" w:rsidRPr="005A0CEA" w:rsidRDefault="00332F74" w:rsidP="007C5F0E">
      <w:pPr>
        <w:pStyle w:val="Heading6"/>
        <w:rPr>
          <w:lang w:val="en-GB"/>
        </w:rPr>
      </w:pPr>
      <w:r w:rsidRPr="005A0CEA">
        <w:rPr>
          <w:lang w:val="en-GB"/>
        </w:rPr>
        <w:t>Beta-cell function and insulin secretion</w:t>
      </w:r>
    </w:p>
    <w:p w14:paraId="68754B8B" w14:textId="33634946" w:rsidR="00332F74" w:rsidRPr="005A0CEA" w:rsidRDefault="00332F74" w:rsidP="007C5F0E">
      <w:pPr>
        <w:rPr>
          <w:lang w:val="en-GB"/>
        </w:rPr>
      </w:pPr>
      <w:r w:rsidRPr="005A0CEA">
        <w:rPr>
          <w:lang w:val="en-GB"/>
        </w:rPr>
        <w:t>Semaglutide improves beta-cell function. Compared to placebo, semaglutide improved both first- and second-phase insulin response, with a 3- and 2-fold increase, respectively, and increased maximal beta-cell secretory capacity after an arginine stimulation test in patients with type 2 diabetes. In addition, semaglutide treatment increased fasting insulin concentrations compared to placebo.</w:t>
      </w:r>
    </w:p>
    <w:p w14:paraId="02FEDB4C" w14:textId="37C0F119" w:rsidR="00332F74" w:rsidRPr="005A0CEA" w:rsidRDefault="00332F74" w:rsidP="007C5F0E">
      <w:pPr>
        <w:pStyle w:val="Heading6"/>
        <w:rPr>
          <w:lang w:val="en-GB"/>
        </w:rPr>
      </w:pPr>
      <w:r w:rsidRPr="005A0CEA">
        <w:rPr>
          <w:lang w:val="en-GB"/>
        </w:rPr>
        <w:t>Glucagon secretion</w:t>
      </w:r>
    </w:p>
    <w:p w14:paraId="27C02841" w14:textId="1C01E8D1" w:rsidR="00332F74" w:rsidRPr="005A0CEA" w:rsidRDefault="00B940A1" w:rsidP="007C5F0E">
      <w:pPr>
        <w:rPr>
          <w:lang w:val="en-GB"/>
        </w:rPr>
      </w:pPr>
      <w:r w:rsidRPr="005A0CEA">
        <w:rPr>
          <w:lang w:val="en-GB"/>
        </w:rPr>
        <w:t>Semaglutide lowers the postprandial glucagon concentrations. In patients with type 2 diabetes, semaglutide resulted in the following relative reductions in glucagon compared to placebo: postprandial glucagon response of 29% [15; 41]</w:t>
      </w:r>
      <w:r w:rsidR="00332F74" w:rsidRPr="005A0CEA">
        <w:rPr>
          <w:lang w:val="en-GB"/>
        </w:rPr>
        <w:t>.</w:t>
      </w:r>
    </w:p>
    <w:p w14:paraId="73C4CB7A" w14:textId="7FEE1210" w:rsidR="00332F74" w:rsidRPr="005A0CEA" w:rsidRDefault="00332F74" w:rsidP="007C5F0E">
      <w:pPr>
        <w:pStyle w:val="Heading6"/>
        <w:rPr>
          <w:lang w:val="en-GB"/>
        </w:rPr>
      </w:pPr>
      <w:r w:rsidRPr="005A0CEA">
        <w:rPr>
          <w:lang w:val="en-GB"/>
        </w:rPr>
        <w:t>Glucose-dependent insulin and glucagon secretion</w:t>
      </w:r>
    </w:p>
    <w:p w14:paraId="61AC8DBD" w14:textId="31854497" w:rsidR="00332F74" w:rsidRPr="005A0CEA" w:rsidRDefault="00E622C6" w:rsidP="007C5F0E">
      <w:pPr>
        <w:rPr>
          <w:lang w:val="en-GB"/>
        </w:rPr>
      </w:pPr>
      <w:r w:rsidRPr="005A0CEA">
        <w:rPr>
          <w:lang w:val="en-GB"/>
        </w:rPr>
        <w:t>Semaglutide reduces blood glucose in a glucose-dependent manner by stimulating insulin secretion and lowering glucagon secretion when blood glucose is high. The mechanism of blood glucose lowering also involves a minor delay in gastric emptying in the early postprandial phase. During hypoglycaemia, semaglutide diminishes insulin secretion and does not impair glucagon secretion. The mechanism of semaglutide is independent of the route of administration</w:t>
      </w:r>
      <w:r w:rsidR="00332F74" w:rsidRPr="005A0CEA">
        <w:rPr>
          <w:lang w:val="en-GB"/>
        </w:rPr>
        <w:t>.</w:t>
      </w:r>
    </w:p>
    <w:p w14:paraId="275F3C3C" w14:textId="6B37E2AD" w:rsidR="00332F74" w:rsidRPr="005A0CEA" w:rsidRDefault="00332F74" w:rsidP="007C5F0E">
      <w:pPr>
        <w:pStyle w:val="Heading6"/>
        <w:rPr>
          <w:lang w:val="en-GB"/>
        </w:rPr>
      </w:pPr>
      <w:r w:rsidRPr="005A0CEA">
        <w:rPr>
          <w:lang w:val="en-GB"/>
        </w:rPr>
        <w:lastRenderedPageBreak/>
        <w:t>Gastric emptying</w:t>
      </w:r>
    </w:p>
    <w:p w14:paraId="0F3FECDF" w14:textId="1DF71ED4" w:rsidR="00332F74" w:rsidRPr="005A0CEA" w:rsidRDefault="00F9538E" w:rsidP="007C5F0E">
      <w:pPr>
        <w:rPr>
          <w:lang w:val="en-GB"/>
        </w:rPr>
      </w:pPr>
      <w:r w:rsidRPr="005A0CEA">
        <w:rPr>
          <w:lang w:val="en-GB"/>
        </w:rPr>
        <w:t>Semaglutide causes a minor delay in early postprandial gastric emptying, with paracetamol exposure (AUC</w:t>
      </w:r>
      <w:r w:rsidRPr="005A0CEA">
        <w:rPr>
          <w:vertAlign w:val="subscript"/>
          <w:lang w:val="en-GB"/>
        </w:rPr>
        <w:t>0-1h</w:t>
      </w:r>
      <w:r w:rsidRPr="005A0CEA">
        <w:rPr>
          <w:lang w:val="en-GB"/>
        </w:rPr>
        <w:t>) 31% [13; 46] lower in the first hour after the meal, thereby reducing the rate at which glucose appears in the circulation postprandially</w:t>
      </w:r>
      <w:r w:rsidR="00332F74" w:rsidRPr="005A0CEA">
        <w:rPr>
          <w:lang w:val="en-GB"/>
        </w:rPr>
        <w:t>.</w:t>
      </w:r>
    </w:p>
    <w:p w14:paraId="7F7EA1AA" w14:textId="59FFF238" w:rsidR="00332F74" w:rsidRPr="005A0CEA" w:rsidRDefault="00332F74" w:rsidP="007C5F0E">
      <w:pPr>
        <w:pStyle w:val="Heading6"/>
        <w:keepNext/>
        <w:keepLines/>
        <w:rPr>
          <w:lang w:val="en-GB"/>
        </w:rPr>
      </w:pPr>
      <w:r w:rsidRPr="005A0CEA">
        <w:rPr>
          <w:lang w:val="en-GB"/>
        </w:rPr>
        <w:t>Body weight and body composition</w:t>
      </w:r>
    </w:p>
    <w:p w14:paraId="28CBDA97" w14:textId="2DF9DD9C" w:rsidR="00332F74" w:rsidRPr="005A0CEA" w:rsidRDefault="00332F74" w:rsidP="007C5F0E">
      <w:pPr>
        <w:keepNext/>
        <w:keepLines/>
        <w:rPr>
          <w:lang w:val="en-GB"/>
        </w:rPr>
      </w:pPr>
      <w:r w:rsidRPr="005A0CEA">
        <w:rPr>
          <w:lang w:val="en-GB"/>
        </w:rPr>
        <w:t>A greater reduction in body weight was observed with Rybelsus compared to studied comparators (placebo, sitagliptin, empagliflozin and liraglutide). The body weight loss with semaglutide was predominantly from fat tissue with loss of fat mass being 3-fold larger than loss of lean mass.</w:t>
      </w:r>
    </w:p>
    <w:p w14:paraId="65B772BA" w14:textId="4AFC336C" w:rsidR="00332F74" w:rsidRPr="005A0CEA" w:rsidRDefault="00332F74" w:rsidP="007C5F0E">
      <w:pPr>
        <w:pStyle w:val="Heading6"/>
        <w:rPr>
          <w:lang w:val="en-GB"/>
        </w:rPr>
      </w:pPr>
      <w:r w:rsidRPr="005A0CEA">
        <w:rPr>
          <w:lang w:val="en-GB"/>
        </w:rPr>
        <w:t>Appetite, energy intake and food choice</w:t>
      </w:r>
    </w:p>
    <w:p w14:paraId="6AC66FF7" w14:textId="59A0AE0C" w:rsidR="00332F74" w:rsidRPr="005A0CEA" w:rsidRDefault="00332F74" w:rsidP="007C5F0E">
      <w:pPr>
        <w:rPr>
          <w:lang w:val="en-GB"/>
        </w:rPr>
      </w:pPr>
      <w:r w:rsidRPr="005A0CEA">
        <w:rPr>
          <w:lang w:val="en-GB"/>
        </w:rPr>
        <w:t xml:space="preserve">Semaglutide compared to placebo lowered the energy intake of 3 consecutive </w:t>
      </w:r>
      <w:r w:rsidRPr="005A0CEA">
        <w:rPr>
          <w:i/>
          <w:iCs/>
          <w:lang w:val="en-GB"/>
        </w:rPr>
        <w:t>ad libitum</w:t>
      </w:r>
      <w:r w:rsidRPr="005A0CEA">
        <w:rPr>
          <w:lang w:val="en-GB"/>
        </w:rPr>
        <w:t xml:space="preserve"> meals by 18-35%. This was supported by a semaglutide-induced suppression of appetite in the fasting state as well as postprandially, improved control of eating, less food cravings and a relative lower preference for high fat food.</w:t>
      </w:r>
    </w:p>
    <w:p w14:paraId="0441F335" w14:textId="484D9159" w:rsidR="009E5ACE" w:rsidRPr="005A0CEA" w:rsidRDefault="009E5ACE" w:rsidP="007C5F0E">
      <w:pPr>
        <w:pStyle w:val="Heading6"/>
        <w:rPr>
          <w:lang w:val="en-GB"/>
        </w:rPr>
      </w:pPr>
      <w:r w:rsidRPr="005A0CEA">
        <w:rPr>
          <w:lang w:val="en-GB"/>
        </w:rPr>
        <w:t>Fasting and postprandial lipids</w:t>
      </w:r>
    </w:p>
    <w:p w14:paraId="1CB64B63" w14:textId="52133AFF" w:rsidR="009E5ACE" w:rsidRPr="005A0CEA" w:rsidRDefault="00F9538E" w:rsidP="007C5F0E">
      <w:pPr>
        <w:rPr>
          <w:lang w:val="en-GB"/>
        </w:rPr>
      </w:pPr>
      <w:r w:rsidRPr="005A0CEA">
        <w:rPr>
          <w:lang w:val="en-GB"/>
        </w:rPr>
        <w:t xml:space="preserve">Semaglutide compared to placebo lowered fasting triglyceride and very </w:t>
      </w:r>
      <w:proofErr w:type="gramStart"/>
      <w:r w:rsidRPr="005A0CEA">
        <w:rPr>
          <w:lang w:val="en-GB"/>
        </w:rPr>
        <w:t>low density</w:t>
      </w:r>
      <w:proofErr w:type="gramEnd"/>
      <w:r w:rsidRPr="005A0CEA">
        <w:rPr>
          <w:lang w:val="en-GB"/>
        </w:rPr>
        <w:t xml:space="preserve"> lipoproteins (VLDL) cholesterol concentrations by 19% [8; 28] and 20% [5; 33], respectively. The postprandial triglyceride and VLDL cholesterol response to a high fat meal was reduced by 24% [9; 36] and 21% [7; 32], respectively. ApoB48 was reduced both in fasting and postprandial state by 25% [2; 42] and 30% [15; 43], respectively.</w:t>
      </w:r>
    </w:p>
    <w:p w14:paraId="1451CBD7" w14:textId="62CDD860" w:rsidR="009E5ACE" w:rsidRPr="005A0CEA" w:rsidRDefault="009E5ACE" w:rsidP="007C5F0E">
      <w:pPr>
        <w:pStyle w:val="Heading6"/>
        <w:keepNext/>
        <w:keepLines/>
        <w:rPr>
          <w:lang w:val="en-GB"/>
        </w:rPr>
      </w:pPr>
      <w:r w:rsidRPr="005A0CEA">
        <w:rPr>
          <w:lang w:val="en-GB"/>
        </w:rPr>
        <w:t>Cardiac electrophysiology (QTc)</w:t>
      </w:r>
    </w:p>
    <w:p w14:paraId="4136DFB5" w14:textId="00C0FD3B" w:rsidR="009E5ACE" w:rsidRPr="005A0CEA" w:rsidRDefault="009E5ACE" w:rsidP="007C5F0E">
      <w:pPr>
        <w:keepNext/>
        <w:keepLines/>
        <w:rPr>
          <w:lang w:val="en-GB"/>
        </w:rPr>
      </w:pPr>
      <w:r w:rsidRPr="005A0CEA">
        <w:rPr>
          <w:lang w:val="en-GB"/>
        </w:rPr>
        <w:t>The effect of semaglutide on cardiac repolarisation was tested in a thorough QTc trial. At an average exposure level 4-fold higher than that of the maximum recommended dose of Rybelsus, semaglutide did not prolong QTc intervals to any clinically relevant extent.</w:t>
      </w:r>
    </w:p>
    <w:p w14:paraId="325DDFFE" w14:textId="77777777" w:rsidR="00C44B67" w:rsidRPr="005A0CEA" w:rsidRDefault="00C44B67" w:rsidP="007C5F0E">
      <w:pPr>
        <w:pStyle w:val="Heading4"/>
        <w:rPr>
          <w:lang w:val="en-GB"/>
        </w:rPr>
      </w:pPr>
      <w:r w:rsidRPr="005A0CEA">
        <w:rPr>
          <w:lang w:val="en-GB"/>
        </w:rPr>
        <w:t>Clinical trials</w:t>
      </w:r>
    </w:p>
    <w:p w14:paraId="4A7BA305" w14:textId="0DF2BAF0" w:rsidR="005F0D0A" w:rsidRPr="005A0CEA" w:rsidRDefault="005F0D0A" w:rsidP="007C5F0E">
      <w:pPr>
        <w:rPr>
          <w:lang w:val="en-GB"/>
        </w:rPr>
      </w:pPr>
      <w:r w:rsidRPr="005A0CEA">
        <w:rPr>
          <w:lang w:val="en-GB"/>
        </w:rPr>
        <w:t>The efficacy and safety of Rybelsus have been evaluated in eight global randomised controlled phase 3a trials. In seven trials, the primary objective was the assessment of glycaemic efficacy; in one trial, the primary objective was the assessment of cardiovascular outcomes. Additionally, two phase 3a trials were conducted with Rybelsus in Japanese patients.</w:t>
      </w:r>
    </w:p>
    <w:p w14:paraId="402A8A37" w14:textId="77777777" w:rsidR="005F0D0A" w:rsidRPr="005A0CEA" w:rsidRDefault="005F0D0A" w:rsidP="007C5F0E">
      <w:pPr>
        <w:rPr>
          <w:lang w:val="en-GB"/>
        </w:rPr>
      </w:pPr>
    </w:p>
    <w:p w14:paraId="063BF329" w14:textId="33FA376B" w:rsidR="005F0D0A" w:rsidRPr="005A0CEA" w:rsidRDefault="005F0D0A" w:rsidP="007C5F0E">
      <w:pPr>
        <w:rPr>
          <w:lang w:val="en-GB"/>
        </w:rPr>
      </w:pPr>
      <w:r w:rsidRPr="005A0CEA">
        <w:rPr>
          <w:lang w:val="en-GB"/>
        </w:rPr>
        <w:t>The phase 3a trials comprised 9,543 randomised patients with type 2 diabetes (5,707 treated with Rybelsus), including 1,170 patients with moderate renal impairment. The efficacy of Rybelsus was compared with placebo, empagliflozin, sitagliptin, liraglutide and dulaglutide.</w:t>
      </w:r>
    </w:p>
    <w:p w14:paraId="38901624" w14:textId="77777777" w:rsidR="005F0D0A" w:rsidRPr="005A0CEA" w:rsidRDefault="005F0D0A" w:rsidP="007C5F0E">
      <w:pPr>
        <w:rPr>
          <w:lang w:val="en-GB"/>
        </w:rPr>
      </w:pPr>
    </w:p>
    <w:p w14:paraId="5666E6BE" w14:textId="212CE07C" w:rsidR="00C44B67" w:rsidRPr="005A0CEA" w:rsidRDefault="005F0D0A" w:rsidP="007C5F0E">
      <w:pPr>
        <w:rPr>
          <w:lang w:val="en-GB"/>
        </w:rPr>
      </w:pPr>
      <w:r w:rsidRPr="005A0CEA">
        <w:rPr>
          <w:lang w:val="en-GB"/>
        </w:rPr>
        <w:t xml:space="preserve">The efficacy of Rybelsus was not impacted by baseline age, gender, race, ethnicity, body weight, BMI, diabetes duration, upper gastrointestinal </w:t>
      </w:r>
      <w:proofErr w:type="gramStart"/>
      <w:r w:rsidRPr="005A0CEA">
        <w:rPr>
          <w:lang w:val="en-GB"/>
        </w:rPr>
        <w:t>disease</w:t>
      </w:r>
      <w:proofErr w:type="gramEnd"/>
      <w:r w:rsidRPr="005A0CEA">
        <w:rPr>
          <w:lang w:val="en-GB"/>
        </w:rPr>
        <w:t xml:space="preserve"> and level of renal function.</w:t>
      </w:r>
    </w:p>
    <w:p w14:paraId="2D960BF6" w14:textId="23138786" w:rsidR="005A2200" w:rsidRPr="005A0CEA" w:rsidRDefault="005A2200" w:rsidP="007C5F0E">
      <w:pPr>
        <w:pStyle w:val="Heading3"/>
        <w:rPr>
          <w:lang w:val="en-GB"/>
        </w:rPr>
      </w:pPr>
      <w:r w:rsidRPr="005A0CEA">
        <w:rPr>
          <w:lang w:val="en-GB"/>
        </w:rPr>
        <w:t>Clinical efficacy – PIONEER trials</w:t>
      </w:r>
    </w:p>
    <w:p w14:paraId="5B156306" w14:textId="51ACBC01" w:rsidR="007E1324" w:rsidRPr="005A0CEA" w:rsidRDefault="007E1324" w:rsidP="007C5F0E">
      <w:pPr>
        <w:pStyle w:val="Heading6"/>
        <w:keepNext/>
        <w:keepLines/>
        <w:rPr>
          <w:lang w:val="en-GB"/>
        </w:rPr>
      </w:pPr>
      <w:r w:rsidRPr="005A0CEA">
        <w:rPr>
          <w:lang w:val="en-GB"/>
        </w:rPr>
        <w:t>PIONEER 1 – Monotherapy</w:t>
      </w:r>
    </w:p>
    <w:p w14:paraId="5469BB1A" w14:textId="355C44E7" w:rsidR="007E1324" w:rsidRPr="005A0CEA" w:rsidRDefault="007E1324" w:rsidP="007C5F0E">
      <w:pPr>
        <w:rPr>
          <w:lang w:val="en-GB"/>
        </w:rPr>
      </w:pPr>
      <w:r w:rsidRPr="005A0CEA">
        <w:rPr>
          <w:lang w:val="en-GB"/>
        </w:rPr>
        <w:t>In a 26-week double-blind trial, 703 patients with type 2 diabetes inadequately controlled with diet and exercise were randomised to Rybelsus 3 mg, Rybelsus 7 mg, Rybelsus 14 mg or placebo once daily.</w:t>
      </w:r>
    </w:p>
    <w:p w14:paraId="1D373283" w14:textId="77777777" w:rsidR="007E1324" w:rsidRPr="005A0CEA" w:rsidRDefault="007E1324" w:rsidP="007C5F0E">
      <w:pPr>
        <w:rPr>
          <w:lang w:val="en-GB"/>
        </w:rPr>
      </w:pPr>
    </w:p>
    <w:p w14:paraId="0376DCC3" w14:textId="6AB54CB9" w:rsidR="007E1324" w:rsidRPr="005A0CEA" w:rsidRDefault="007E1324" w:rsidP="007C5F0E">
      <w:pPr>
        <w:rPr>
          <w:lang w:val="en-GB"/>
        </w:rPr>
      </w:pPr>
      <w:r w:rsidRPr="005A0CEA">
        <w:rPr>
          <w:lang w:val="en-GB"/>
        </w:rPr>
        <w:lastRenderedPageBreak/>
        <w:t>The mean age of the study population was 55 years, and the mean duration of type 2 diabetes was 3.5 years. Overall, 75% were White, 5% were Black or African American and 17% were Asian. Hispanic or Latino patients compromised 26% (n=180) of the population. The mean body weight at baseline was 88 kg.</w:t>
      </w:r>
    </w:p>
    <w:p w14:paraId="4C9575E8" w14:textId="77777777" w:rsidR="007E1324" w:rsidRPr="005A0CEA" w:rsidRDefault="007E1324" w:rsidP="007C5F0E">
      <w:pPr>
        <w:rPr>
          <w:lang w:val="en-GB"/>
        </w:rPr>
      </w:pPr>
    </w:p>
    <w:p w14:paraId="530603DC" w14:textId="484D57A8" w:rsidR="007E1324" w:rsidRPr="005A0CEA" w:rsidRDefault="00272D24" w:rsidP="007C5F0E">
      <w:pPr>
        <w:rPr>
          <w:lang w:val="en-GB"/>
        </w:rPr>
      </w:pPr>
      <w:r w:rsidRPr="005A0CEA">
        <w:rPr>
          <w:lang w:val="en-GB"/>
        </w:rPr>
        <w:t>Monotherapy with Rybelsus 7 mg and 14 mg once daily was superior at week 26 in reducing HbA</w:t>
      </w:r>
      <w:r w:rsidRPr="005A0CEA">
        <w:rPr>
          <w:vertAlign w:val="subscript"/>
          <w:lang w:val="en-GB"/>
        </w:rPr>
        <w:t>1c</w:t>
      </w:r>
      <w:r w:rsidRPr="005A0CEA">
        <w:rPr>
          <w:lang w:val="en-GB"/>
        </w:rPr>
        <w:t xml:space="preserve"> compared with placebo. Rybelsus 14 mg was superior in reducing body weight compared with placebo </w:t>
      </w:r>
      <w:r w:rsidR="007E1324" w:rsidRPr="005A0CEA">
        <w:rPr>
          <w:lang w:val="en-GB"/>
        </w:rPr>
        <w:t xml:space="preserve">(Table </w:t>
      </w:r>
      <w:r w:rsidR="00BF0244" w:rsidRPr="005A0CEA">
        <w:rPr>
          <w:lang w:val="en-GB"/>
        </w:rPr>
        <w:t>2</w:t>
      </w:r>
      <w:r w:rsidR="007E1324" w:rsidRPr="005A0CEA">
        <w:rPr>
          <w:lang w:val="en-GB"/>
        </w:rPr>
        <w:t>).</w:t>
      </w:r>
    </w:p>
    <w:p w14:paraId="475C9387" w14:textId="459478A9" w:rsidR="00BD63AB" w:rsidRPr="005A0CEA" w:rsidRDefault="00BD63AB" w:rsidP="007C5F0E">
      <w:pPr>
        <w:rPr>
          <w:lang w:val="en-GB"/>
        </w:rPr>
      </w:pPr>
    </w:p>
    <w:p w14:paraId="6BE5C455" w14:textId="5F3F7E2B" w:rsidR="00BD63AB" w:rsidRPr="005A0CEA" w:rsidRDefault="00026C85" w:rsidP="007C5F0E">
      <w:pPr>
        <w:rPr>
          <w:b/>
          <w:bCs/>
          <w:lang w:val="en-GB"/>
        </w:rPr>
      </w:pPr>
      <w:r w:rsidRPr="005A0CEA">
        <w:rPr>
          <w:b/>
          <w:bCs/>
          <w:lang w:val="en-GB"/>
        </w:rPr>
        <w:t xml:space="preserve">Table </w:t>
      </w:r>
      <w:r w:rsidR="00BF0244" w:rsidRPr="005A0CEA">
        <w:rPr>
          <w:b/>
          <w:bCs/>
          <w:lang w:val="en-GB"/>
        </w:rPr>
        <w:fldChar w:fldCharType="begin"/>
      </w:r>
      <w:r w:rsidR="00BF0244" w:rsidRPr="005A0CEA">
        <w:rPr>
          <w:b/>
          <w:bCs/>
          <w:lang w:val="en-GB"/>
        </w:rPr>
        <w:instrText xml:space="preserve"> SEQ Table \* ARABIC \s 1 </w:instrText>
      </w:r>
      <w:r w:rsidR="00BF0244" w:rsidRPr="005A0CEA">
        <w:rPr>
          <w:b/>
          <w:bCs/>
          <w:lang w:val="en-GB"/>
        </w:rPr>
        <w:fldChar w:fldCharType="separate"/>
      </w:r>
      <w:r w:rsidR="00A334F6">
        <w:rPr>
          <w:b/>
          <w:bCs/>
          <w:noProof/>
          <w:lang w:val="en-GB"/>
        </w:rPr>
        <w:t>3</w:t>
      </w:r>
      <w:r w:rsidR="00BF0244" w:rsidRPr="005A0CEA">
        <w:rPr>
          <w:lang w:val="en-GB"/>
        </w:rPr>
        <w:fldChar w:fldCharType="end"/>
      </w:r>
      <w:r w:rsidRPr="005A0CEA">
        <w:rPr>
          <w:b/>
          <w:bCs/>
          <w:lang w:val="en-GB"/>
        </w:rPr>
        <w:t xml:space="preserve">: </w:t>
      </w:r>
      <w:r w:rsidR="001D289E" w:rsidRPr="005A0CEA">
        <w:rPr>
          <w:b/>
          <w:bCs/>
          <w:lang w:val="en-GB"/>
        </w:rPr>
        <w:t xml:space="preserve">Results of a 26-week monotherapy trial comparing semaglutide with placebo </w:t>
      </w:r>
      <w:r w:rsidR="00BD63AB" w:rsidRPr="005A0CEA">
        <w:rPr>
          <w:b/>
          <w:bCs/>
          <w:lang w:val="en-GB"/>
        </w:rPr>
        <w:t>(PIONEER 1)</w:t>
      </w:r>
    </w:p>
    <w:tbl>
      <w:tblPr>
        <w:tblW w:w="946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794"/>
        <w:gridCol w:w="1890"/>
        <w:gridCol w:w="1890"/>
        <w:gridCol w:w="1890"/>
      </w:tblGrid>
      <w:tr w:rsidR="00BD63AB" w:rsidRPr="005A0CEA" w14:paraId="3E6D61D2" w14:textId="77777777" w:rsidTr="008D3AA2">
        <w:trPr>
          <w:trHeight w:val="274"/>
        </w:trPr>
        <w:tc>
          <w:tcPr>
            <w:tcW w:w="3794" w:type="dxa"/>
            <w:tcBorders>
              <w:top w:val="single" w:sz="4" w:space="0" w:color="auto"/>
              <w:left w:val="single" w:sz="4" w:space="0" w:color="auto"/>
              <w:bottom w:val="single" w:sz="4" w:space="0" w:color="auto"/>
              <w:right w:val="single" w:sz="4" w:space="0" w:color="auto"/>
            </w:tcBorders>
          </w:tcPr>
          <w:p w14:paraId="3EBF1421" w14:textId="77777777" w:rsidR="00BD63AB" w:rsidRPr="005A0CEA" w:rsidRDefault="00BD63AB" w:rsidP="007C5F0E">
            <w:pPr>
              <w:pStyle w:val="TableText"/>
              <w:keepNext w:val="0"/>
              <w:keepLines w:val="0"/>
            </w:pPr>
          </w:p>
        </w:tc>
        <w:tc>
          <w:tcPr>
            <w:tcW w:w="18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740C88" w14:textId="2132593B" w:rsidR="00BD63AB" w:rsidRPr="005A0CEA" w:rsidRDefault="00BD63AB" w:rsidP="007C5F0E">
            <w:pPr>
              <w:pStyle w:val="TableText"/>
              <w:keepNext w:val="0"/>
              <w:keepLines w:val="0"/>
              <w:jc w:val="center"/>
              <w:rPr>
                <w:b/>
              </w:rPr>
            </w:pPr>
            <w:r w:rsidRPr="005A0CEA">
              <w:rPr>
                <w:b/>
              </w:rPr>
              <w:t>Rybelsus 7 mg</w:t>
            </w:r>
          </w:p>
        </w:tc>
        <w:tc>
          <w:tcPr>
            <w:tcW w:w="18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118F60" w14:textId="06033D1D" w:rsidR="00BD63AB" w:rsidRPr="005A0CEA" w:rsidRDefault="00BD63AB" w:rsidP="007C5F0E">
            <w:pPr>
              <w:pStyle w:val="TableText"/>
              <w:keepNext w:val="0"/>
              <w:keepLines w:val="0"/>
              <w:jc w:val="center"/>
              <w:rPr>
                <w:b/>
              </w:rPr>
            </w:pPr>
            <w:r w:rsidRPr="005A0CEA">
              <w:rPr>
                <w:b/>
              </w:rPr>
              <w:t>Rybelsus 14 mg</w:t>
            </w:r>
          </w:p>
        </w:tc>
        <w:tc>
          <w:tcPr>
            <w:tcW w:w="1890" w:type="dxa"/>
            <w:tcBorders>
              <w:top w:val="single" w:sz="4" w:space="0" w:color="auto"/>
              <w:left w:val="single" w:sz="4" w:space="0" w:color="auto"/>
              <w:bottom w:val="single" w:sz="4" w:space="0" w:color="auto"/>
              <w:right w:val="single" w:sz="4" w:space="0" w:color="auto"/>
            </w:tcBorders>
          </w:tcPr>
          <w:p w14:paraId="7AB64B22" w14:textId="77777777" w:rsidR="00BD63AB" w:rsidRPr="005A0CEA" w:rsidRDefault="00BD63AB" w:rsidP="007C5F0E">
            <w:pPr>
              <w:pStyle w:val="TableText"/>
              <w:keepNext w:val="0"/>
              <w:keepLines w:val="0"/>
              <w:jc w:val="center"/>
              <w:rPr>
                <w:b/>
              </w:rPr>
            </w:pPr>
            <w:r w:rsidRPr="005A0CEA">
              <w:rPr>
                <w:b/>
              </w:rPr>
              <w:t>Placebo</w:t>
            </w:r>
          </w:p>
        </w:tc>
      </w:tr>
      <w:tr w:rsidR="006E0359" w:rsidRPr="005A0CEA" w14:paraId="1E84CA47" w14:textId="77777777" w:rsidTr="008D3AA2">
        <w:trPr>
          <w:trHeight w:val="340"/>
        </w:trPr>
        <w:tc>
          <w:tcPr>
            <w:tcW w:w="3794" w:type="dxa"/>
            <w:tcBorders>
              <w:top w:val="single" w:sz="4" w:space="0" w:color="auto"/>
              <w:left w:val="single" w:sz="4" w:space="0" w:color="auto"/>
              <w:bottom w:val="single" w:sz="4" w:space="0" w:color="auto"/>
              <w:right w:val="single" w:sz="4" w:space="0" w:color="auto"/>
            </w:tcBorders>
          </w:tcPr>
          <w:p w14:paraId="054E828B" w14:textId="668E63DD" w:rsidR="006E0359" w:rsidRPr="005A0CEA" w:rsidRDefault="006E0359" w:rsidP="007C5F0E">
            <w:pPr>
              <w:pStyle w:val="TableText"/>
              <w:keepNext w:val="0"/>
              <w:keepLines w:val="0"/>
            </w:pPr>
            <w:r w:rsidRPr="005A0CEA">
              <w:t>Full analysis set (N)</w:t>
            </w:r>
          </w:p>
        </w:tc>
        <w:tc>
          <w:tcPr>
            <w:tcW w:w="18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F2CC63" w14:textId="7F99FDE2" w:rsidR="006E0359" w:rsidRPr="005A0CEA" w:rsidRDefault="006E0359" w:rsidP="007C5F0E">
            <w:pPr>
              <w:pStyle w:val="TableText"/>
              <w:keepNext w:val="0"/>
              <w:keepLines w:val="0"/>
              <w:jc w:val="center"/>
              <w:rPr>
                <w:rFonts w:asciiTheme="majorBidi" w:hAnsiTheme="majorBidi" w:cstheme="majorBidi"/>
                <w:szCs w:val="20"/>
              </w:rPr>
            </w:pPr>
            <w:r w:rsidRPr="005A0CEA">
              <w:rPr>
                <w:rFonts w:asciiTheme="majorBidi" w:eastAsia="PMingLiU" w:hAnsiTheme="majorBidi" w:cstheme="majorBidi"/>
                <w:szCs w:val="20"/>
              </w:rPr>
              <w:t>175</w:t>
            </w:r>
          </w:p>
        </w:tc>
        <w:tc>
          <w:tcPr>
            <w:tcW w:w="18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A62D2E" w14:textId="51ADB6D2" w:rsidR="006E0359" w:rsidRPr="005A0CEA" w:rsidRDefault="006E0359" w:rsidP="007C5F0E">
            <w:pPr>
              <w:pStyle w:val="TableText"/>
              <w:keepNext w:val="0"/>
              <w:keepLines w:val="0"/>
              <w:jc w:val="center"/>
              <w:rPr>
                <w:rFonts w:asciiTheme="majorBidi" w:hAnsiTheme="majorBidi" w:cstheme="majorBidi"/>
                <w:szCs w:val="20"/>
              </w:rPr>
            </w:pPr>
            <w:r w:rsidRPr="005A0CEA">
              <w:rPr>
                <w:rFonts w:asciiTheme="majorBidi" w:eastAsia="PMingLiU" w:hAnsiTheme="majorBidi" w:cstheme="majorBidi"/>
                <w:szCs w:val="20"/>
              </w:rPr>
              <w:t>175</w:t>
            </w:r>
          </w:p>
        </w:tc>
        <w:tc>
          <w:tcPr>
            <w:tcW w:w="1890" w:type="dxa"/>
            <w:tcBorders>
              <w:top w:val="single" w:sz="4" w:space="0" w:color="auto"/>
              <w:left w:val="single" w:sz="4" w:space="0" w:color="auto"/>
              <w:bottom w:val="single" w:sz="4" w:space="0" w:color="auto"/>
              <w:right w:val="single" w:sz="4" w:space="0" w:color="auto"/>
            </w:tcBorders>
          </w:tcPr>
          <w:p w14:paraId="442019A6" w14:textId="104B698A" w:rsidR="006E0359" w:rsidRPr="005A0CEA" w:rsidRDefault="006E0359" w:rsidP="007C5F0E">
            <w:pPr>
              <w:pStyle w:val="TableText"/>
              <w:keepNext w:val="0"/>
              <w:keepLines w:val="0"/>
              <w:jc w:val="center"/>
              <w:rPr>
                <w:rFonts w:asciiTheme="majorBidi" w:hAnsiTheme="majorBidi" w:cstheme="majorBidi"/>
                <w:szCs w:val="20"/>
              </w:rPr>
            </w:pPr>
            <w:r w:rsidRPr="005A0CEA">
              <w:rPr>
                <w:rFonts w:asciiTheme="majorBidi" w:eastAsia="PMingLiU" w:hAnsiTheme="majorBidi" w:cstheme="majorBidi"/>
                <w:szCs w:val="20"/>
              </w:rPr>
              <w:t>178</w:t>
            </w:r>
          </w:p>
        </w:tc>
      </w:tr>
      <w:tr w:rsidR="006E0359" w:rsidRPr="005A0CEA" w14:paraId="749DE956" w14:textId="77777777" w:rsidTr="004A6384">
        <w:trPr>
          <w:trHeight w:val="225"/>
        </w:trPr>
        <w:tc>
          <w:tcPr>
            <w:tcW w:w="3794" w:type="dxa"/>
            <w:tcBorders>
              <w:top w:val="single" w:sz="4" w:space="0" w:color="auto"/>
              <w:left w:val="single" w:sz="4" w:space="0" w:color="auto"/>
              <w:bottom w:val="single" w:sz="4" w:space="0" w:color="auto"/>
              <w:right w:val="nil"/>
            </w:tcBorders>
            <w:hideMark/>
          </w:tcPr>
          <w:p w14:paraId="6750B884" w14:textId="3DDFC716" w:rsidR="006E0359" w:rsidRPr="005A0CEA" w:rsidRDefault="006E0359" w:rsidP="007C5F0E">
            <w:pPr>
              <w:pStyle w:val="TableText"/>
              <w:keepNext w:val="0"/>
              <w:keepLines w:val="0"/>
              <w:rPr>
                <w:b/>
                <w:bCs/>
                <w:i/>
              </w:rPr>
            </w:pPr>
            <w:r w:rsidRPr="005A0CEA">
              <w:rPr>
                <w:b/>
                <w:bCs/>
              </w:rPr>
              <w:t>HbA</w:t>
            </w:r>
            <w:r w:rsidRPr="005A0CEA">
              <w:rPr>
                <w:b/>
                <w:bCs/>
                <w:vertAlign w:val="subscript"/>
              </w:rPr>
              <w:t xml:space="preserve">1c </w:t>
            </w:r>
            <w:r w:rsidRPr="005A0CEA">
              <w:rPr>
                <w:b/>
                <w:bCs/>
              </w:rPr>
              <w:t>(%)</w:t>
            </w:r>
          </w:p>
        </w:tc>
        <w:tc>
          <w:tcPr>
            <w:tcW w:w="5670" w:type="dxa"/>
            <w:gridSpan w:val="3"/>
            <w:tcBorders>
              <w:top w:val="single" w:sz="4" w:space="0" w:color="auto"/>
              <w:left w:val="nil"/>
              <w:bottom w:val="single" w:sz="4" w:space="0" w:color="auto"/>
              <w:right w:val="single" w:sz="4" w:space="0" w:color="auto"/>
            </w:tcBorders>
          </w:tcPr>
          <w:p w14:paraId="3A629FEC" w14:textId="77777777" w:rsidR="006E0359" w:rsidRPr="005A0CEA" w:rsidRDefault="006E0359" w:rsidP="007C5F0E">
            <w:pPr>
              <w:pStyle w:val="TableText"/>
              <w:keepNext w:val="0"/>
              <w:keepLines w:val="0"/>
              <w:jc w:val="center"/>
              <w:rPr>
                <w:rFonts w:asciiTheme="majorBidi" w:hAnsiTheme="majorBidi" w:cstheme="majorBidi"/>
                <w:szCs w:val="20"/>
              </w:rPr>
            </w:pPr>
          </w:p>
        </w:tc>
      </w:tr>
      <w:tr w:rsidR="00D500FF" w:rsidRPr="005A0CEA" w14:paraId="28952CF3" w14:textId="77777777" w:rsidTr="008D3AA2">
        <w:trPr>
          <w:trHeight w:val="204"/>
        </w:trPr>
        <w:tc>
          <w:tcPr>
            <w:tcW w:w="3794" w:type="dxa"/>
            <w:tcBorders>
              <w:top w:val="single" w:sz="4" w:space="0" w:color="auto"/>
              <w:left w:val="single" w:sz="4" w:space="0" w:color="auto"/>
              <w:bottom w:val="single" w:sz="4" w:space="0" w:color="auto"/>
              <w:right w:val="single" w:sz="4" w:space="0" w:color="auto"/>
            </w:tcBorders>
            <w:hideMark/>
          </w:tcPr>
          <w:p w14:paraId="690D88D1" w14:textId="381C7F0B" w:rsidR="00D500FF" w:rsidRPr="005A0CEA" w:rsidRDefault="00D500FF" w:rsidP="007C5F0E">
            <w:pPr>
              <w:pStyle w:val="TableText"/>
              <w:keepNext w:val="0"/>
              <w:keepLines w:val="0"/>
              <w:ind w:left="171"/>
              <w:rPr>
                <w:b/>
                <w:bCs/>
              </w:rPr>
            </w:pPr>
            <w:r w:rsidRPr="005A0CEA">
              <w:t>Baseline</w:t>
            </w:r>
          </w:p>
        </w:tc>
        <w:tc>
          <w:tcPr>
            <w:tcW w:w="1890" w:type="dxa"/>
            <w:tcBorders>
              <w:top w:val="single" w:sz="4" w:space="0" w:color="auto"/>
              <w:left w:val="single" w:sz="4" w:space="0" w:color="auto"/>
              <w:bottom w:val="single" w:sz="4" w:space="0" w:color="auto"/>
              <w:right w:val="single" w:sz="4" w:space="0" w:color="auto"/>
            </w:tcBorders>
            <w:hideMark/>
          </w:tcPr>
          <w:p w14:paraId="4746AE70" w14:textId="38428D68"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8.0</w:t>
            </w:r>
          </w:p>
        </w:tc>
        <w:tc>
          <w:tcPr>
            <w:tcW w:w="1890" w:type="dxa"/>
            <w:tcBorders>
              <w:top w:val="single" w:sz="4" w:space="0" w:color="auto"/>
              <w:left w:val="single" w:sz="4" w:space="0" w:color="auto"/>
              <w:bottom w:val="single" w:sz="4" w:space="0" w:color="auto"/>
              <w:right w:val="single" w:sz="4" w:space="0" w:color="auto"/>
            </w:tcBorders>
            <w:hideMark/>
          </w:tcPr>
          <w:p w14:paraId="547D86D7" w14:textId="6C37A266"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8.0</w:t>
            </w:r>
          </w:p>
        </w:tc>
        <w:tc>
          <w:tcPr>
            <w:tcW w:w="1890" w:type="dxa"/>
            <w:tcBorders>
              <w:top w:val="single" w:sz="4" w:space="0" w:color="auto"/>
              <w:left w:val="single" w:sz="4" w:space="0" w:color="auto"/>
              <w:bottom w:val="single" w:sz="4" w:space="0" w:color="auto"/>
              <w:right w:val="single" w:sz="4" w:space="0" w:color="auto"/>
            </w:tcBorders>
            <w:hideMark/>
          </w:tcPr>
          <w:p w14:paraId="6EAAC6AF" w14:textId="2D5E182B"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7.9</w:t>
            </w:r>
          </w:p>
        </w:tc>
      </w:tr>
      <w:tr w:rsidR="00D500FF" w:rsidRPr="005A0CEA" w14:paraId="444905BE" w14:textId="77777777" w:rsidTr="008D3AA2">
        <w:trPr>
          <w:trHeight w:val="204"/>
        </w:trPr>
        <w:tc>
          <w:tcPr>
            <w:tcW w:w="3794" w:type="dxa"/>
            <w:tcBorders>
              <w:top w:val="single" w:sz="4" w:space="0" w:color="auto"/>
              <w:left w:val="single" w:sz="4" w:space="0" w:color="auto"/>
              <w:bottom w:val="single" w:sz="4" w:space="0" w:color="auto"/>
              <w:right w:val="single" w:sz="4" w:space="0" w:color="auto"/>
            </w:tcBorders>
            <w:hideMark/>
          </w:tcPr>
          <w:p w14:paraId="7DEA260A" w14:textId="514E672D" w:rsidR="00D500FF" w:rsidRPr="005A0CEA" w:rsidRDefault="00D500FF" w:rsidP="007C5F0E">
            <w:pPr>
              <w:pStyle w:val="TableText"/>
              <w:keepNext w:val="0"/>
              <w:keepLines w:val="0"/>
              <w:ind w:left="171"/>
            </w:pPr>
            <w:r w:rsidRPr="005A0CEA">
              <w:t>Change from baseline</w:t>
            </w:r>
            <w:r w:rsidR="003F25CC" w:rsidRPr="005A0CEA">
              <w:rPr>
                <w:vertAlign w:val="superscript"/>
              </w:rPr>
              <w:t>1</w:t>
            </w:r>
          </w:p>
        </w:tc>
        <w:tc>
          <w:tcPr>
            <w:tcW w:w="1890" w:type="dxa"/>
            <w:tcBorders>
              <w:top w:val="single" w:sz="4" w:space="0" w:color="auto"/>
              <w:left w:val="single" w:sz="4" w:space="0" w:color="auto"/>
              <w:bottom w:val="single" w:sz="4" w:space="0" w:color="auto"/>
              <w:right w:val="single" w:sz="4" w:space="0" w:color="auto"/>
            </w:tcBorders>
            <w:hideMark/>
          </w:tcPr>
          <w:p w14:paraId="1AC23D94" w14:textId="721D87C5"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-1.2</w:t>
            </w:r>
          </w:p>
        </w:tc>
        <w:tc>
          <w:tcPr>
            <w:tcW w:w="1890" w:type="dxa"/>
            <w:tcBorders>
              <w:top w:val="single" w:sz="4" w:space="0" w:color="auto"/>
              <w:left w:val="single" w:sz="4" w:space="0" w:color="auto"/>
              <w:bottom w:val="single" w:sz="4" w:space="0" w:color="auto"/>
              <w:right w:val="single" w:sz="4" w:space="0" w:color="auto"/>
            </w:tcBorders>
            <w:hideMark/>
          </w:tcPr>
          <w:p w14:paraId="12DAA55E" w14:textId="63C53A52"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-1.4</w:t>
            </w:r>
          </w:p>
        </w:tc>
        <w:tc>
          <w:tcPr>
            <w:tcW w:w="1890" w:type="dxa"/>
            <w:tcBorders>
              <w:top w:val="single" w:sz="4" w:space="0" w:color="auto"/>
              <w:left w:val="single" w:sz="4" w:space="0" w:color="auto"/>
              <w:bottom w:val="single" w:sz="4" w:space="0" w:color="auto"/>
              <w:right w:val="single" w:sz="4" w:space="0" w:color="auto"/>
            </w:tcBorders>
            <w:hideMark/>
          </w:tcPr>
          <w:p w14:paraId="6906C88F" w14:textId="68921739"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-0.3</w:t>
            </w:r>
          </w:p>
        </w:tc>
      </w:tr>
      <w:tr w:rsidR="00D500FF" w:rsidRPr="005A0CEA" w14:paraId="3DDF417D" w14:textId="77777777" w:rsidTr="008D3AA2">
        <w:trPr>
          <w:trHeight w:val="260"/>
        </w:trPr>
        <w:tc>
          <w:tcPr>
            <w:tcW w:w="3794" w:type="dxa"/>
            <w:tcBorders>
              <w:top w:val="single" w:sz="4" w:space="0" w:color="auto"/>
              <w:left w:val="single" w:sz="4" w:space="0" w:color="auto"/>
              <w:bottom w:val="single" w:sz="4" w:space="0" w:color="auto"/>
              <w:right w:val="single" w:sz="4" w:space="0" w:color="auto"/>
            </w:tcBorders>
            <w:hideMark/>
          </w:tcPr>
          <w:p w14:paraId="5C6E2670" w14:textId="03CD78D4" w:rsidR="00D500FF" w:rsidRPr="005A0CEA" w:rsidRDefault="00D500FF" w:rsidP="007C5F0E">
            <w:pPr>
              <w:pStyle w:val="TableText"/>
              <w:keepNext w:val="0"/>
              <w:keepLines w:val="0"/>
              <w:ind w:left="171"/>
            </w:pPr>
            <w:r w:rsidRPr="005A0CEA">
              <w:t>Difference from placebo</w:t>
            </w:r>
            <w:r w:rsidR="003F25CC" w:rsidRPr="005A0CEA">
              <w:rPr>
                <w:vertAlign w:val="superscript"/>
              </w:rPr>
              <w:t>1</w:t>
            </w:r>
            <w:r w:rsidRPr="005A0CEA">
              <w:t xml:space="preserve"> [95% CI]</w:t>
            </w:r>
          </w:p>
        </w:tc>
        <w:tc>
          <w:tcPr>
            <w:tcW w:w="1890" w:type="dxa"/>
            <w:tcBorders>
              <w:top w:val="single" w:sz="4" w:space="0" w:color="auto"/>
              <w:left w:val="single" w:sz="4" w:space="0" w:color="auto"/>
              <w:bottom w:val="single" w:sz="4" w:space="0" w:color="auto"/>
              <w:right w:val="single" w:sz="4" w:space="0" w:color="auto"/>
            </w:tcBorders>
            <w:hideMark/>
          </w:tcPr>
          <w:p w14:paraId="34577826" w14:textId="77777777" w:rsidR="00D500FF" w:rsidRPr="005A0CEA" w:rsidRDefault="00D500FF" w:rsidP="007C5F0E">
            <w:pPr>
              <w:pStyle w:val="TableText"/>
              <w:jc w:val="center"/>
              <w:rPr>
                <w:szCs w:val="20"/>
              </w:rPr>
            </w:pPr>
            <w:r w:rsidRPr="005A0CEA">
              <w:rPr>
                <w:rFonts w:eastAsia="PMingLiU"/>
                <w:szCs w:val="20"/>
              </w:rPr>
              <w:t>-0.9</w:t>
            </w:r>
          </w:p>
          <w:p w14:paraId="1CB0D7BB" w14:textId="41F1BB8B" w:rsidR="00D500FF" w:rsidRPr="005A0CEA" w:rsidRDefault="00D500FF" w:rsidP="007C5F0E">
            <w:pPr>
              <w:pStyle w:val="TableText"/>
              <w:keepNext w:val="0"/>
              <w:keepLines w:val="0"/>
              <w:jc w:val="center"/>
              <w:rPr>
                <w:rFonts w:asciiTheme="majorBidi" w:hAnsiTheme="majorBidi" w:cstheme="majorBidi"/>
                <w:szCs w:val="20"/>
                <w:vertAlign w:val="superscript"/>
              </w:rPr>
            </w:pPr>
            <w:r w:rsidRPr="005A0CEA">
              <w:rPr>
                <w:rFonts w:eastAsia="PMingLiU"/>
                <w:szCs w:val="20"/>
              </w:rPr>
              <w:t>[-1.1; -0.</w:t>
            </w:r>
            <w:proofErr w:type="gramStart"/>
            <w:r w:rsidRPr="005A0CEA">
              <w:rPr>
                <w:rFonts w:eastAsia="PMingLiU"/>
                <w:szCs w:val="20"/>
              </w:rPr>
              <w:t>6]</w:t>
            </w:r>
            <w:r w:rsidRPr="005A0CEA">
              <w:rPr>
                <w:rFonts w:eastAsia="PMingLiU"/>
                <w:szCs w:val="20"/>
                <w:vertAlign w:val="superscript"/>
              </w:rPr>
              <w:t>*</w:t>
            </w:r>
            <w:proofErr w:type="gramEnd"/>
          </w:p>
        </w:tc>
        <w:tc>
          <w:tcPr>
            <w:tcW w:w="1890" w:type="dxa"/>
            <w:tcBorders>
              <w:top w:val="single" w:sz="4" w:space="0" w:color="auto"/>
              <w:left w:val="single" w:sz="4" w:space="0" w:color="auto"/>
              <w:bottom w:val="single" w:sz="4" w:space="0" w:color="auto"/>
              <w:right w:val="single" w:sz="4" w:space="0" w:color="auto"/>
            </w:tcBorders>
            <w:hideMark/>
          </w:tcPr>
          <w:p w14:paraId="67F6554E" w14:textId="77777777" w:rsidR="00D500FF" w:rsidRPr="005A0CEA" w:rsidRDefault="00D500FF" w:rsidP="007C5F0E">
            <w:pPr>
              <w:pStyle w:val="TableText"/>
              <w:jc w:val="center"/>
              <w:rPr>
                <w:szCs w:val="20"/>
              </w:rPr>
            </w:pPr>
            <w:r w:rsidRPr="005A0CEA">
              <w:rPr>
                <w:rFonts w:eastAsia="PMingLiU"/>
                <w:szCs w:val="20"/>
              </w:rPr>
              <w:t>-1.1</w:t>
            </w:r>
          </w:p>
          <w:p w14:paraId="1FC9053B" w14:textId="37E54AD9"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[-1.3; -0.</w:t>
            </w:r>
            <w:proofErr w:type="gramStart"/>
            <w:r w:rsidRPr="005A0CEA">
              <w:rPr>
                <w:rFonts w:eastAsia="PMingLiU"/>
                <w:szCs w:val="20"/>
              </w:rPr>
              <w:t>9]</w:t>
            </w:r>
            <w:r w:rsidRPr="005A0CEA">
              <w:rPr>
                <w:rFonts w:eastAsia="PMingLiU"/>
                <w:szCs w:val="20"/>
                <w:vertAlign w:val="superscript"/>
              </w:rPr>
              <w:t>*</w:t>
            </w:r>
            <w:proofErr w:type="gramEnd"/>
          </w:p>
        </w:tc>
        <w:tc>
          <w:tcPr>
            <w:tcW w:w="1890" w:type="dxa"/>
            <w:tcBorders>
              <w:top w:val="single" w:sz="4" w:space="0" w:color="auto"/>
              <w:left w:val="single" w:sz="4" w:space="0" w:color="auto"/>
              <w:bottom w:val="single" w:sz="4" w:space="0" w:color="auto"/>
              <w:right w:val="single" w:sz="4" w:space="0" w:color="auto"/>
            </w:tcBorders>
            <w:hideMark/>
          </w:tcPr>
          <w:p w14:paraId="7DDA619A" w14:textId="7275367A" w:rsidR="00D500FF" w:rsidRPr="005A0CEA" w:rsidRDefault="00D500FF" w:rsidP="007C5F0E">
            <w:pPr>
              <w:pStyle w:val="TableText"/>
              <w:keepNext w:val="0"/>
              <w:keepLines w:val="0"/>
              <w:jc w:val="center"/>
              <w:rPr>
                <w:rFonts w:asciiTheme="majorBidi" w:hAnsiTheme="majorBidi" w:cstheme="majorBidi"/>
                <w:szCs w:val="20"/>
              </w:rPr>
            </w:pPr>
          </w:p>
        </w:tc>
      </w:tr>
      <w:tr w:rsidR="006E0359" w:rsidRPr="005A0CEA" w14:paraId="2E2A7A7D" w14:textId="77777777" w:rsidTr="008D3AA2">
        <w:trPr>
          <w:trHeight w:val="108"/>
        </w:trPr>
        <w:tc>
          <w:tcPr>
            <w:tcW w:w="3794" w:type="dxa"/>
            <w:tcBorders>
              <w:top w:val="single" w:sz="4" w:space="0" w:color="auto"/>
              <w:left w:val="single" w:sz="4" w:space="0" w:color="auto"/>
              <w:bottom w:val="single" w:sz="4" w:space="0" w:color="auto"/>
              <w:right w:val="single" w:sz="4" w:space="0" w:color="auto"/>
            </w:tcBorders>
            <w:hideMark/>
          </w:tcPr>
          <w:p w14:paraId="38E02BA8" w14:textId="4CE56B5C" w:rsidR="006E0359" w:rsidRPr="005A0CEA" w:rsidRDefault="006E0359" w:rsidP="007C5F0E">
            <w:pPr>
              <w:pStyle w:val="TableText"/>
              <w:keepNext w:val="0"/>
              <w:keepLines w:val="0"/>
              <w:rPr>
                <w:b/>
                <w:bCs/>
              </w:rPr>
            </w:pPr>
            <w:r w:rsidRPr="005A0CEA">
              <w:rPr>
                <w:b/>
                <w:bCs/>
              </w:rPr>
              <w:t>Patients (%) achieving HbA</w:t>
            </w:r>
            <w:r w:rsidRPr="005A0CEA">
              <w:rPr>
                <w:b/>
                <w:bCs/>
                <w:vertAlign w:val="subscript"/>
              </w:rPr>
              <w:t>1c</w:t>
            </w:r>
            <w:r w:rsidRPr="005A0CEA">
              <w:rPr>
                <w:b/>
                <w:bCs/>
              </w:rPr>
              <w:t xml:space="preserve"> &lt;7</w:t>
            </w:r>
          </w:p>
        </w:tc>
        <w:tc>
          <w:tcPr>
            <w:tcW w:w="1890" w:type="dxa"/>
            <w:tcBorders>
              <w:top w:val="single" w:sz="4" w:space="0" w:color="auto"/>
              <w:left w:val="single" w:sz="4" w:space="0" w:color="auto"/>
              <w:bottom w:val="single" w:sz="4" w:space="0" w:color="auto"/>
              <w:right w:val="single" w:sz="4" w:space="0" w:color="auto"/>
            </w:tcBorders>
            <w:hideMark/>
          </w:tcPr>
          <w:p w14:paraId="0AF79E4E" w14:textId="2094395F" w:rsidR="006E0359" w:rsidRPr="005A0CEA" w:rsidRDefault="006E0359" w:rsidP="007C5F0E">
            <w:pPr>
              <w:pStyle w:val="TableText"/>
              <w:keepNext w:val="0"/>
              <w:keepLines w:val="0"/>
              <w:jc w:val="center"/>
              <w:rPr>
                <w:rFonts w:asciiTheme="majorBidi" w:hAnsiTheme="majorBidi" w:cstheme="majorBidi"/>
                <w:szCs w:val="20"/>
              </w:rPr>
            </w:pPr>
            <w:r w:rsidRPr="005A0CEA">
              <w:rPr>
                <w:rFonts w:asciiTheme="majorBidi" w:eastAsia="PMingLiU" w:hAnsiTheme="majorBidi" w:cstheme="majorBidi"/>
                <w:szCs w:val="20"/>
              </w:rPr>
              <w:t>69</w:t>
            </w:r>
            <w:r w:rsidRPr="005A0CEA">
              <w:rPr>
                <w:rFonts w:asciiTheme="majorBidi" w:eastAsia="PMingLiU" w:hAnsiTheme="majorBidi" w:cstheme="majorBidi"/>
                <w:szCs w:val="20"/>
                <w:vertAlign w:val="superscript"/>
              </w:rPr>
              <w:t>§</w:t>
            </w:r>
          </w:p>
        </w:tc>
        <w:tc>
          <w:tcPr>
            <w:tcW w:w="1890" w:type="dxa"/>
            <w:tcBorders>
              <w:top w:val="single" w:sz="4" w:space="0" w:color="auto"/>
              <w:left w:val="single" w:sz="4" w:space="0" w:color="auto"/>
              <w:bottom w:val="single" w:sz="4" w:space="0" w:color="auto"/>
              <w:right w:val="single" w:sz="4" w:space="0" w:color="auto"/>
            </w:tcBorders>
            <w:hideMark/>
          </w:tcPr>
          <w:p w14:paraId="6254A501" w14:textId="7EFC37C8" w:rsidR="006E0359" w:rsidRPr="005A0CEA" w:rsidRDefault="006E0359" w:rsidP="007C5F0E">
            <w:pPr>
              <w:pStyle w:val="TableText"/>
              <w:keepNext w:val="0"/>
              <w:keepLines w:val="0"/>
              <w:jc w:val="center"/>
              <w:rPr>
                <w:rFonts w:asciiTheme="majorBidi" w:hAnsiTheme="majorBidi" w:cstheme="majorBidi"/>
                <w:szCs w:val="20"/>
              </w:rPr>
            </w:pPr>
            <w:r w:rsidRPr="005A0CEA">
              <w:rPr>
                <w:rFonts w:asciiTheme="majorBidi" w:eastAsia="PMingLiU" w:hAnsiTheme="majorBidi" w:cstheme="majorBidi"/>
                <w:szCs w:val="20"/>
              </w:rPr>
              <w:t>77</w:t>
            </w:r>
            <w:r w:rsidRPr="005A0CEA">
              <w:rPr>
                <w:rFonts w:asciiTheme="majorBidi" w:eastAsia="PMingLiU" w:hAnsiTheme="majorBidi" w:cstheme="majorBidi"/>
                <w:szCs w:val="20"/>
                <w:vertAlign w:val="superscript"/>
              </w:rPr>
              <w:t>§</w:t>
            </w:r>
          </w:p>
        </w:tc>
        <w:tc>
          <w:tcPr>
            <w:tcW w:w="1890" w:type="dxa"/>
            <w:tcBorders>
              <w:top w:val="single" w:sz="4" w:space="0" w:color="auto"/>
              <w:left w:val="single" w:sz="4" w:space="0" w:color="auto"/>
              <w:bottom w:val="single" w:sz="4" w:space="0" w:color="auto"/>
              <w:right w:val="single" w:sz="4" w:space="0" w:color="auto"/>
            </w:tcBorders>
            <w:hideMark/>
          </w:tcPr>
          <w:p w14:paraId="644B0C79" w14:textId="2CF4FC8D" w:rsidR="006E0359" w:rsidRPr="005A0CEA" w:rsidRDefault="006E0359" w:rsidP="007C5F0E">
            <w:pPr>
              <w:pStyle w:val="TableText"/>
              <w:keepNext w:val="0"/>
              <w:keepLines w:val="0"/>
              <w:jc w:val="center"/>
              <w:rPr>
                <w:rFonts w:asciiTheme="majorBidi" w:hAnsiTheme="majorBidi" w:cstheme="majorBidi"/>
                <w:szCs w:val="20"/>
              </w:rPr>
            </w:pPr>
            <w:r w:rsidRPr="005A0CEA">
              <w:rPr>
                <w:rFonts w:asciiTheme="majorBidi" w:eastAsia="PMingLiU" w:hAnsiTheme="majorBidi" w:cstheme="majorBidi"/>
                <w:szCs w:val="20"/>
              </w:rPr>
              <w:t>31</w:t>
            </w:r>
          </w:p>
        </w:tc>
      </w:tr>
      <w:tr w:rsidR="006E0359" w:rsidRPr="005A0CEA" w14:paraId="73359999" w14:textId="77777777" w:rsidTr="004A6384">
        <w:trPr>
          <w:trHeight w:val="193"/>
        </w:trPr>
        <w:tc>
          <w:tcPr>
            <w:tcW w:w="3794" w:type="dxa"/>
            <w:tcBorders>
              <w:top w:val="single" w:sz="4" w:space="0" w:color="auto"/>
              <w:left w:val="single" w:sz="4" w:space="0" w:color="auto"/>
              <w:bottom w:val="single" w:sz="4" w:space="0" w:color="auto"/>
              <w:right w:val="nil"/>
            </w:tcBorders>
            <w:hideMark/>
          </w:tcPr>
          <w:p w14:paraId="07DB148A" w14:textId="1854967F" w:rsidR="006E0359" w:rsidRPr="005A0CEA" w:rsidRDefault="006E0359" w:rsidP="007C5F0E">
            <w:pPr>
              <w:pStyle w:val="TableText"/>
              <w:keepNext w:val="0"/>
              <w:keepLines w:val="0"/>
              <w:rPr>
                <w:b/>
                <w:bCs/>
                <w:i/>
              </w:rPr>
            </w:pPr>
            <w:r w:rsidRPr="005A0CEA">
              <w:rPr>
                <w:b/>
                <w:bCs/>
              </w:rPr>
              <w:t>FPG (mmol/l)</w:t>
            </w:r>
          </w:p>
        </w:tc>
        <w:tc>
          <w:tcPr>
            <w:tcW w:w="5670" w:type="dxa"/>
            <w:gridSpan w:val="3"/>
            <w:tcBorders>
              <w:top w:val="single" w:sz="4" w:space="0" w:color="auto"/>
              <w:left w:val="nil"/>
              <w:bottom w:val="single" w:sz="4" w:space="0" w:color="auto"/>
              <w:right w:val="single" w:sz="4" w:space="0" w:color="auto"/>
            </w:tcBorders>
          </w:tcPr>
          <w:p w14:paraId="5855EB6D" w14:textId="44DC01A3" w:rsidR="006E0359" w:rsidRPr="005A0CEA" w:rsidRDefault="006E0359" w:rsidP="007C5F0E">
            <w:pPr>
              <w:pStyle w:val="TableText"/>
              <w:keepNext w:val="0"/>
              <w:keepLines w:val="0"/>
              <w:jc w:val="center"/>
              <w:rPr>
                <w:rFonts w:asciiTheme="majorBidi" w:hAnsiTheme="majorBidi" w:cstheme="majorBidi"/>
                <w:szCs w:val="20"/>
              </w:rPr>
            </w:pPr>
          </w:p>
        </w:tc>
      </w:tr>
      <w:tr w:rsidR="00D500FF" w:rsidRPr="005A0CEA" w14:paraId="363D5338" w14:textId="77777777" w:rsidTr="008D3AA2">
        <w:trPr>
          <w:trHeight w:val="182"/>
        </w:trPr>
        <w:tc>
          <w:tcPr>
            <w:tcW w:w="3794" w:type="dxa"/>
            <w:tcBorders>
              <w:top w:val="single" w:sz="4" w:space="0" w:color="auto"/>
              <w:left w:val="single" w:sz="4" w:space="0" w:color="auto"/>
              <w:bottom w:val="single" w:sz="4" w:space="0" w:color="auto"/>
              <w:right w:val="single" w:sz="4" w:space="0" w:color="auto"/>
            </w:tcBorders>
            <w:hideMark/>
          </w:tcPr>
          <w:p w14:paraId="6A527D16" w14:textId="6D561212" w:rsidR="00D500FF" w:rsidRPr="005A0CEA" w:rsidRDefault="00D500FF" w:rsidP="007C5F0E">
            <w:pPr>
              <w:pStyle w:val="TableText"/>
              <w:keepNext w:val="0"/>
              <w:keepLines w:val="0"/>
              <w:ind w:left="171"/>
              <w:rPr>
                <w:b/>
                <w:bCs/>
              </w:rPr>
            </w:pPr>
            <w:r w:rsidRPr="005A0CEA">
              <w:t>Baseline</w:t>
            </w:r>
          </w:p>
        </w:tc>
        <w:tc>
          <w:tcPr>
            <w:tcW w:w="1890" w:type="dxa"/>
            <w:tcBorders>
              <w:top w:val="single" w:sz="4" w:space="0" w:color="auto"/>
              <w:left w:val="single" w:sz="4" w:space="0" w:color="auto"/>
              <w:bottom w:val="single" w:sz="4" w:space="0" w:color="auto"/>
              <w:right w:val="single" w:sz="4" w:space="0" w:color="auto"/>
            </w:tcBorders>
            <w:hideMark/>
          </w:tcPr>
          <w:p w14:paraId="7995B498" w14:textId="4D8981AB"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9.0</w:t>
            </w:r>
          </w:p>
        </w:tc>
        <w:tc>
          <w:tcPr>
            <w:tcW w:w="1890" w:type="dxa"/>
            <w:tcBorders>
              <w:top w:val="single" w:sz="4" w:space="0" w:color="auto"/>
              <w:left w:val="single" w:sz="4" w:space="0" w:color="auto"/>
              <w:bottom w:val="single" w:sz="4" w:space="0" w:color="auto"/>
              <w:right w:val="single" w:sz="4" w:space="0" w:color="auto"/>
            </w:tcBorders>
            <w:hideMark/>
          </w:tcPr>
          <w:p w14:paraId="0B406C29" w14:textId="2F404BCC"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8.8</w:t>
            </w:r>
          </w:p>
        </w:tc>
        <w:tc>
          <w:tcPr>
            <w:tcW w:w="1890" w:type="dxa"/>
            <w:tcBorders>
              <w:top w:val="single" w:sz="4" w:space="0" w:color="auto"/>
              <w:left w:val="single" w:sz="4" w:space="0" w:color="auto"/>
              <w:bottom w:val="single" w:sz="4" w:space="0" w:color="auto"/>
              <w:right w:val="single" w:sz="4" w:space="0" w:color="auto"/>
            </w:tcBorders>
            <w:hideMark/>
          </w:tcPr>
          <w:p w14:paraId="418213C5" w14:textId="50A8A04F"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8.9</w:t>
            </w:r>
          </w:p>
        </w:tc>
      </w:tr>
      <w:tr w:rsidR="00D500FF" w:rsidRPr="005A0CEA" w14:paraId="6BE7C2D0" w14:textId="77777777" w:rsidTr="008D3AA2">
        <w:trPr>
          <w:trHeight w:val="216"/>
        </w:trPr>
        <w:tc>
          <w:tcPr>
            <w:tcW w:w="3794" w:type="dxa"/>
            <w:tcBorders>
              <w:top w:val="single" w:sz="4" w:space="0" w:color="auto"/>
              <w:left w:val="single" w:sz="4" w:space="0" w:color="auto"/>
              <w:bottom w:val="single" w:sz="4" w:space="0" w:color="auto"/>
              <w:right w:val="single" w:sz="4" w:space="0" w:color="auto"/>
            </w:tcBorders>
            <w:hideMark/>
          </w:tcPr>
          <w:p w14:paraId="69AE5F56" w14:textId="4B6B4580" w:rsidR="00D500FF" w:rsidRPr="005A0CEA" w:rsidRDefault="00D500FF" w:rsidP="007C5F0E">
            <w:pPr>
              <w:pStyle w:val="TableText"/>
              <w:keepNext w:val="0"/>
              <w:keepLines w:val="0"/>
              <w:ind w:left="171"/>
            </w:pPr>
            <w:r w:rsidRPr="005A0CEA">
              <w:t>Change from baseline</w:t>
            </w:r>
          </w:p>
        </w:tc>
        <w:tc>
          <w:tcPr>
            <w:tcW w:w="1890" w:type="dxa"/>
            <w:tcBorders>
              <w:top w:val="single" w:sz="4" w:space="0" w:color="auto"/>
              <w:left w:val="single" w:sz="4" w:space="0" w:color="auto"/>
              <w:bottom w:val="single" w:sz="4" w:space="0" w:color="auto"/>
              <w:right w:val="single" w:sz="4" w:space="0" w:color="auto"/>
            </w:tcBorders>
            <w:hideMark/>
          </w:tcPr>
          <w:p w14:paraId="618C57D5" w14:textId="701AD050"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-1.5</w:t>
            </w:r>
          </w:p>
        </w:tc>
        <w:tc>
          <w:tcPr>
            <w:tcW w:w="1890" w:type="dxa"/>
            <w:tcBorders>
              <w:top w:val="single" w:sz="4" w:space="0" w:color="auto"/>
              <w:left w:val="single" w:sz="4" w:space="0" w:color="auto"/>
              <w:bottom w:val="single" w:sz="4" w:space="0" w:color="auto"/>
              <w:right w:val="single" w:sz="4" w:space="0" w:color="auto"/>
            </w:tcBorders>
            <w:hideMark/>
          </w:tcPr>
          <w:p w14:paraId="3E1E7DB4" w14:textId="4FB67031"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-1.8</w:t>
            </w:r>
          </w:p>
        </w:tc>
        <w:tc>
          <w:tcPr>
            <w:tcW w:w="1890" w:type="dxa"/>
            <w:tcBorders>
              <w:top w:val="single" w:sz="4" w:space="0" w:color="auto"/>
              <w:left w:val="single" w:sz="4" w:space="0" w:color="auto"/>
              <w:bottom w:val="single" w:sz="4" w:space="0" w:color="auto"/>
              <w:right w:val="single" w:sz="4" w:space="0" w:color="auto"/>
            </w:tcBorders>
            <w:hideMark/>
          </w:tcPr>
          <w:p w14:paraId="32C9344A" w14:textId="24FAEDA1"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-0.2</w:t>
            </w:r>
          </w:p>
        </w:tc>
      </w:tr>
      <w:tr w:rsidR="00D500FF" w:rsidRPr="005A0CEA" w14:paraId="3BCEA9AD" w14:textId="77777777" w:rsidTr="008D3AA2">
        <w:trPr>
          <w:trHeight w:val="257"/>
        </w:trPr>
        <w:tc>
          <w:tcPr>
            <w:tcW w:w="3794" w:type="dxa"/>
            <w:tcBorders>
              <w:top w:val="single" w:sz="4" w:space="0" w:color="auto"/>
              <w:left w:val="single" w:sz="4" w:space="0" w:color="auto"/>
              <w:bottom w:val="single" w:sz="4" w:space="0" w:color="auto"/>
              <w:right w:val="single" w:sz="4" w:space="0" w:color="auto"/>
            </w:tcBorders>
            <w:hideMark/>
          </w:tcPr>
          <w:p w14:paraId="16314B56" w14:textId="1A001CD3" w:rsidR="00D500FF" w:rsidRPr="005A0CEA" w:rsidRDefault="00D500FF" w:rsidP="007C5F0E">
            <w:pPr>
              <w:pStyle w:val="TableText"/>
              <w:keepNext w:val="0"/>
              <w:keepLines w:val="0"/>
              <w:ind w:left="171"/>
            </w:pPr>
            <w:r w:rsidRPr="005A0CEA">
              <w:t>Difference from placebo</w:t>
            </w:r>
            <w:r w:rsidRPr="005A0CEA">
              <w:rPr>
                <w:vertAlign w:val="superscript"/>
              </w:rPr>
              <w:t xml:space="preserve"> </w:t>
            </w:r>
            <w:r w:rsidRPr="005A0CEA">
              <w:t>[95% CI]</w:t>
            </w:r>
          </w:p>
        </w:tc>
        <w:tc>
          <w:tcPr>
            <w:tcW w:w="1890" w:type="dxa"/>
            <w:tcBorders>
              <w:top w:val="single" w:sz="4" w:space="0" w:color="auto"/>
              <w:left w:val="single" w:sz="4" w:space="0" w:color="auto"/>
              <w:bottom w:val="single" w:sz="4" w:space="0" w:color="auto"/>
              <w:right w:val="single" w:sz="4" w:space="0" w:color="auto"/>
            </w:tcBorders>
            <w:hideMark/>
          </w:tcPr>
          <w:p w14:paraId="08ECC170" w14:textId="497B0D8F"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-1.4 [-1.9; -0.</w:t>
            </w:r>
            <w:proofErr w:type="gramStart"/>
            <w:r w:rsidRPr="005A0CEA">
              <w:rPr>
                <w:rFonts w:eastAsia="PMingLiU"/>
                <w:szCs w:val="20"/>
              </w:rPr>
              <w:t>8]</w:t>
            </w:r>
            <w:r w:rsidRPr="005A0CEA">
              <w:rPr>
                <w:rFonts w:eastAsia="PMingLiU"/>
                <w:szCs w:val="20"/>
                <w:vertAlign w:val="superscript"/>
              </w:rPr>
              <w:t>§</w:t>
            </w:r>
            <w:proofErr w:type="gramEnd"/>
          </w:p>
        </w:tc>
        <w:tc>
          <w:tcPr>
            <w:tcW w:w="1890" w:type="dxa"/>
            <w:tcBorders>
              <w:top w:val="single" w:sz="4" w:space="0" w:color="auto"/>
              <w:left w:val="single" w:sz="4" w:space="0" w:color="auto"/>
              <w:bottom w:val="single" w:sz="4" w:space="0" w:color="auto"/>
              <w:right w:val="single" w:sz="4" w:space="0" w:color="auto"/>
            </w:tcBorders>
            <w:hideMark/>
          </w:tcPr>
          <w:p w14:paraId="5F23F3C1" w14:textId="4939E43F"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-1.6 [-2.1; -1.</w:t>
            </w:r>
            <w:proofErr w:type="gramStart"/>
            <w:r w:rsidRPr="005A0CEA">
              <w:rPr>
                <w:rFonts w:eastAsia="PMingLiU"/>
                <w:szCs w:val="20"/>
              </w:rPr>
              <w:t>2]</w:t>
            </w:r>
            <w:r w:rsidRPr="005A0CEA">
              <w:rPr>
                <w:rFonts w:eastAsia="PMingLiU"/>
                <w:szCs w:val="20"/>
                <w:vertAlign w:val="superscript"/>
              </w:rPr>
              <w:t>§</w:t>
            </w:r>
            <w:proofErr w:type="gramEnd"/>
          </w:p>
        </w:tc>
        <w:tc>
          <w:tcPr>
            <w:tcW w:w="1890" w:type="dxa"/>
            <w:tcBorders>
              <w:top w:val="single" w:sz="4" w:space="0" w:color="auto"/>
              <w:left w:val="single" w:sz="4" w:space="0" w:color="auto"/>
              <w:bottom w:val="single" w:sz="4" w:space="0" w:color="auto"/>
              <w:right w:val="single" w:sz="4" w:space="0" w:color="auto"/>
            </w:tcBorders>
            <w:hideMark/>
          </w:tcPr>
          <w:p w14:paraId="014B2B74" w14:textId="4CF61CA1" w:rsidR="00D500FF" w:rsidRPr="005A0CEA" w:rsidRDefault="00D500FF" w:rsidP="007C5F0E">
            <w:pPr>
              <w:pStyle w:val="TableText"/>
              <w:keepNext w:val="0"/>
              <w:keepLines w:val="0"/>
              <w:jc w:val="center"/>
              <w:rPr>
                <w:rFonts w:asciiTheme="majorBidi" w:hAnsiTheme="majorBidi" w:cstheme="majorBidi"/>
                <w:szCs w:val="20"/>
              </w:rPr>
            </w:pPr>
          </w:p>
        </w:tc>
      </w:tr>
      <w:tr w:rsidR="006E0359" w:rsidRPr="005A0CEA" w14:paraId="1B7D7243" w14:textId="77777777" w:rsidTr="004A6384">
        <w:trPr>
          <w:trHeight w:val="236"/>
        </w:trPr>
        <w:tc>
          <w:tcPr>
            <w:tcW w:w="3794" w:type="dxa"/>
            <w:tcBorders>
              <w:top w:val="single" w:sz="4" w:space="0" w:color="auto"/>
              <w:left w:val="single" w:sz="4" w:space="0" w:color="auto"/>
              <w:bottom w:val="single" w:sz="4" w:space="0" w:color="auto"/>
              <w:right w:val="nil"/>
            </w:tcBorders>
            <w:hideMark/>
          </w:tcPr>
          <w:p w14:paraId="025035F5" w14:textId="001E3319" w:rsidR="006E0359" w:rsidRPr="005A0CEA" w:rsidRDefault="006E0359" w:rsidP="007C5F0E">
            <w:pPr>
              <w:pStyle w:val="TableText"/>
              <w:keepNext w:val="0"/>
              <w:keepLines w:val="0"/>
              <w:rPr>
                <w:b/>
                <w:bCs/>
              </w:rPr>
            </w:pPr>
            <w:r w:rsidRPr="005A0CEA">
              <w:rPr>
                <w:b/>
                <w:bCs/>
              </w:rPr>
              <w:t>Body weight (kg)</w:t>
            </w:r>
          </w:p>
        </w:tc>
        <w:tc>
          <w:tcPr>
            <w:tcW w:w="5670" w:type="dxa"/>
            <w:gridSpan w:val="3"/>
            <w:tcBorders>
              <w:top w:val="single" w:sz="4" w:space="0" w:color="auto"/>
              <w:left w:val="nil"/>
              <w:bottom w:val="single" w:sz="4" w:space="0" w:color="auto"/>
              <w:right w:val="single" w:sz="4" w:space="0" w:color="auto"/>
            </w:tcBorders>
          </w:tcPr>
          <w:p w14:paraId="71DBE217" w14:textId="3DBA6B5E" w:rsidR="006E0359" w:rsidRPr="005A0CEA" w:rsidRDefault="006E0359" w:rsidP="007C5F0E">
            <w:pPr>
              <w:pStyle w:val="TableText"/>
              <w:keepNext w:val="0"/>
              <w:keepLines w:val="0"/>
              <w:jc w:val="center"/>
              <w:rPr>
                <w:rFonts w:asciiTheme="majorBidi" w:hAnsiTheme="majorBidi" w:cstheme="majorBidi"/>
                <w:szCs w:val="20"/>
              </w:rPr>
            </w:pPr>
          </w:p>
        </w:tc>
      </w:tr>
      <w:tr w:rsidR="00D500FF" w:rsidRPr="005A0CEA" w14:paraId="16217C00" w14:textId="77777777" w:rsidTr="008D3AA2">
        <w:trPr>
          <w:trHeight w:val="175"/>
        </w:trPr>
        <w:tc>
          <w:tcPr>
            <w:tcW w:w="3794" w:type="dxa"/>
            <w:tcBorders>
              <w:top w:val="single" w:sz="4" w:space="0" w:color="auto"/>
              <w:left w:val="single" w:sz="4" w:space="0" w:color="auto"/>
              <w:bottom w:val="single" w:sz="4" w:space="0" w:color="auto"/>
              <w:right w:val="single" w:sz="4" w:space="0" w:color="auto"/>
            </w:tcBorders>
            <w:hideMark/>
          </w:tcPr>
          <w:p w14:paraId="36952904" w14:textId="73752E80" w:rsidR="00D500FF" w:rsidRPr="005A0CEA" w:rsidRDefault="00D500FF" w:rsidP="007C5F0E">
            <w:pPr>
              <w:pStyle w:val="TableText"/>
              <w:keepNext w:val="0"/>
              <w:keepLines w:val="0"/>
              <w:ind w:left="171"/>
              <w:rPr>
                <w:b/>
                <w:bCs/>
              </w:rPr>
            </w:pPr>
            <w:r w:rsidRPr="005A0CEA">
              <w:t>Baseline</w:t>
            </w:r>
          </w:p>
        </w:tc>
        <w:tc>
          <w:tcPr>
            <w:tcW w:w="1890" w:type="dxa"/>
            <w:tcBorders>
              <w:top w:val="single" w:sz="4" w:space="0" w:color="auto"/>
              <w:left w:val="single" w:sz="4" w:space="0" w:color="auto"/>
              <w:bottom w:val="single" w:sz="4" w:space="0" w:color="auto"/>
              <w:right w:val="single" w:sz="4" w:space="0" w:color="auto"/>
            </w:tcBorders>
            <w:hideMark/>
          </w:tcPr>
          <w:p w14:paraId="13534C88" w14:textId="18B51ADE"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89.0</w:t>
            </w:r>
          </w:p>
        </w:tc>
        <w:tc>
          <w:tcPr>
            <w:tcW w:w="1890" w:type="dxa"/>
            <w:tcBorders>
              <w:top w:val="single" w:sz="4" w:space="0" w:color="auto"/>
              <w:left w:val="single" w:sz="4" w:space="0" w:color="auto"/>
              <w:bottom w:val="single" w:sz="4" w:space="0" w:color="auto"/>
              <w:right w:val="single" w:sz="4" w:space="0" w:color="auto"/>
            </w:tcBorders>
            <w:hideMark/>
          </w:tcPr>
          <w:p w14:paraId="403A4DED" w14:textId="76D469F9"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88.1</w:t>
            </w:r>
          </w:p>
        </w:tc>
        <w:tc>
          <w:tcPr>
            <w:tcW w:w="1890" w:type="dxa"/>
            <w:tcBorders>
              <w:top w:val="single" w:sz="4" w:space="0" w:color="auto"/>
              <w:left w:val="single" w:sz="4" w:space="0" w:color="auto"/>
              <w:bottom w:val="single" w:sz="4" w:space="0" w:color="auto"/>
              <w:right w:val="single" w:sz="4" w:space="0" w:color="auto"/>
            </w:tcBorders>
            <w:hideMark/>
          </w:tcPr>
          <w:p w14:paraId="17CC5D3C" w14:textId="4DF25F8E"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88.6</w:t>
            </w:r>
          </w:p>
        </w:tc>
      </w:tr>
      <w:tr w:rsidR="00D500FF" w:rsidRPr="005A0CEA" w14:paraId="53F28686" w14:textId="77777777" w:rsidTr="008D3AA2">
        <w:trPr>
          <w:trHeight w:val="226"/>
        </w:trPr>
        <w:tc>
          <w:tcPr>
            <w:tcW w:w="3794" w:type="dxa"/>
            <w:tcBorders>
              <w:top w:val="single" w:sz="4" w:space="0" w:color="auto"/>
              <w:left w:val="single" w:sz="4" w:space="0" w:color="auto"/>
              <w:bottom w:val="single" w:sz="4" w:space="0" w:color="auto"/>
              <w:right w:val="single" w:sz="4" w:space="0" w:color="auto"/>
            </w:tcBorders>
            <w:hideMark/>
          </w:tcPr>
          <w:p w14:paraId="1D9EBE21" w14:textId="115E8DDE" w:rsidR="00D500FF" w:rsidRPr="005A0CEA" w:rsidRDefault="00D500FF" w:rsidP="007C5F0E">
            <w:pPr>
              <w:pStyle w:val="TableText"/>
              <w:keepNext w:val="0"/>
              <w:keepLines w:val="0"/>
              <w:ind w:left="171"/>
            </w:pPr>
            <w:r w:rsidRPr="005A0CEA">
              <w:t>Change from baseline</w:t>
            </w:r>
          </w:p>
        </w:tc>
        <w:tc>
          <w:tcPr>
            <w:tcW w:w="1890" w:type="dxa"/>
            <w:tcBorders>
              <w:top w:val="single" w:sz="4" w:space="0" w:color="auto"/>
              <w:left w:val="single" w:sz="4" w:space="0" w:color="auto"/>
              <w:bottom w:val="single" w:sz="4" w:space="0" w:color="auto"/>
              <w:right w:val="single" w:sz="4" w:space="0" w:color="auto"/>
            </w:tcBorders>
            <w:hideMark/>
          </w:tcPr>
          <w:p w14:paraId="6DF0BF51" w14:textId="6648AC37"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-2.3</w:t>
            </w:r>
          </w:p>
        </w:tc>
        <w:tc>
          <w:tcPr>
            <w:tcW w:w="1890" w:type="dxa"/>
            <w:tcBorders>
              <w:top w:val="single" w:sz="4" w:space="0" w:color="auto"/>
              <w:left w:val="single" w:sz="4" w:space="0" w:color="auto"/>
              <w:bottom w:val="single" w:sz="4" w:space="0" w:color="auto"/>
              <w:right w:val="single" w:sz="4" w:space="0" w:color="auto"/>
            </w:tcBorders>
            <w:hideMark/>
          </w:tcPr>
          <w:p w14:paraId="3E0EA569" w14:textId="0D03ADD3"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-3.7</w:t>
            </w:r>
          </w:p>
        </w:tc>
        <w:tc>
          <w:tcPr>
            <w:tcW w:w="1890" w:type="dxa"/>
            <w:tcBorders>
              <w:top w:val="single" w:sz="4" w:space="0" w:color="auto"/>
              <w:left w:val="single" w:sz="4" w:space="0" w:color="auto"/>
              <w:bottom w:val="single" w:sz="4" w:space="0" w:color="auto"/>
              <w:right w:val="single" w:sz="4" w:space="0" w:color="auto"/>
            </w:tcBorders>
            <w:hideMark/>
          </w:tcPr>
          <w:p w14:paraId="52EC7287" w14:textId="61302415"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-1.4</w:t>
            </w:r>
          </w:p>
        </w:tc>
      </w:tr>
      <w:tr w:rsidR="00D500FF" w:rsidRPr="005A0CEA" w14:paraId="5FABB142" w14:textId="77777777" w:rsidTr="008D3AA2">
        <w:trPr>
          <w:trHeight w:val="272"/>
        </w:trPr>
        <w:tc>
          <w:tcPr>
            <w:tcW w:w="3794" w:type="dxa"/>
            <w:tcBorders>
              <w:top w:val="single" w:sz="4" w:space="0" w:color="auto"/>
              <w:left w:val="single" w:sz="4" w:space="0" w:color="auto"/>
              <w:bottom w:val="single" w:sz="4" w:space="0" w:color="auto"/>
              <w:right w:val="single" w:sz="4" w:space="0" w:color="auto"/>
            </w:tcBorders>
            <w:hideMark/>
          </w:tcPr>
          <w:p w14:paraId="4B93372B" w14:textId="7185CED2" w:rsidR="00D500FF" w:rsidRPr="005A0CEA" w:rsidRDefault="00D500FF" w:rsidP="007C5F0E">
            <w:pPr>
              <w:pStyle w:val="TableText"/>
              <w:keepNext w:val="0"/>
              <w:keepLines w:val="0"/>
              <w:ind w:left="171"/>
            </w:pPr>
            <w:r w:rsidRPr="005A0CEA">
              <w:t>Difference from placebo [95% CI]</w:t>
            </w:r>
          </w:p>
        </w:tc>
        <w:tc>
          <w:tcPr>
            <w:tcW w:w="1890" w:type="dxa"/>
            <w:tcBorders>
              <w:top w:val="single" w:sz="4" w:space="0" w:color="auto"/>
              <w:left w:val="single" w:sz="4" w:space="0" w:color="auto"/>
              <w:bottom w:val="single" w:sz="4" w:space="0" w:color="auto"/>
              <w:right w:val="single" w:sz="4" w:space="0" w:color="auto"/>
            </w:tcBorders>
            <w:hideMark/>
          </w:tcPr>
          <w:p w14:paraId="252694AC" w14:textId="77777777" w:rsidR="00D500FF" w:rsidRPr="005A0CEA" w:rsidRDefault="00D500FF" w:rsidP="007C5F0E">
            <w:pPr>
              <w:pStyle w:val="TableText"/>
              <w:jc w:val="center"/>
              <w:rPr>
                <w:szCs w:val="20"/>
              </w:rPr>
            </w:pPr>
            <w:r w:rsidRPr="005A0CEA">
              <w:rPr>
                <w:rFonts w:eastAsia="PMingLiU"/>
                <w:szCs w:val="20"/>
              </w:rPr>
              <w:t>-0.9</w:t>
            </w:r>
          </w:p>
          <w:p w14:paraId="5BB0A2D8" w14:textId="0EE52ED2"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[-1.9; 0.1]</w:t>
            </w:r>
          </w:p>
        </w:tc>
        <w:tc>
          <w:tcPr>
            <w:tcW w:w="1890" w:type="dxa"/>
            <w:tcBorders>
              <w:top w:val="single" w:sz="4" w:space="0" w:color="auto"/>
              <w:left w:val="single" w:sz="4" w:space="0" w:color="auto"/>
              <w:bottom w:val="single" w:sz="4" w:space="0" w:color="auto"/>
              <w:right w:val="single" w:sz="4" w:space="0" w:color="auto"/>
            </w:tcBorders>
            <w:hideMark/>
          </w:tcPr>
          <w:p w14:paraId="18ABC0A2" w14:textId="77777777" w:rsidR="00D500FF" w:rsidRPr="005A0CEA" w:rsidRDefault="00D500FF" w:rsidP="007C5F0E">
            <w:pPr>
              <w:pStyle w:val="TableText"/>
              <w:jc w:val="center"/>
              <w:rPr>
                <w:szCs w:val="20"/>
              </w:rPr>
            </w:pPr>
            <w:r w:rsidRPr="005A0CEA">
              <w:rPr>
                <w:rFonts w:eastAsia="PMingLiU"/>
                <w:szCs w:val="20"/>
              </w:rPr>
              <w:t>-2.3</w:t>
            </w:r>
          </w:p>
          <w:p w14:paraId="1D3B3A1B" w14:textId="0941E511" w:rsidR="00D500FF" w:rsidRPr="005A0CEA" w:rsidRDefault="00D500FF" w:rsidP="007C5F0E">
            <w:pPr>
              <w:pStyle w:val="TableText"/>
              <w:keepNext w:val="0"/>
              <w:keepLines w:val="0"/>
              <w:jc w:val="center"/>
              <w:rPr>
                <w:rFonts w:asciiTheme="majorBidi" w:hAnsiTheme="majorBidi" w:cstheme="majorBidi"/>
                <w:szCs w:val="20"/>
              </w:rPr>
            </w:pPr>
            <w:r w:rsidRPr="005A0CEA">
              <w:rPr>
                <w:rFonts w:eastAsia="PMingLiU"/>
                <w:szCs w:val="20"/>
              </w:rPr>
              <w:t>[-3.1; -1.</w:t>
            </w:r>
            <w:proofErr w:type="gramStart"/>
            <w:r w:rsidRPr="005A0CEA">
              <w:rPr>
                <w:rFonts w:eastAsia="PMingLiU"/>
                <w:szCs w:val="20"/>
              </w:rPr>
              <w:t>5]</w:t>
            </w:r>
            <w:r w:rsidRPr="005A0CEA">
              <w:rPr>
                <w:rFonts w:eastAsia="PMingLiU"/>
                <w:szCs w:val="20"/>
                <w:vertAlign w:val="superscript"/>
              </w:rPr>
              <w:t>*</w:t>
            </w:r>
            <w:proofErr w:type="gramEnd"/>
          </w:p>
        </w:tc>
        <w:tc>
          <w:tcPr>
            <w:tcW w:w="1890" w:type="dxa"/>
            <w:tcBorders>
              <w:top w:val="single" w:sz="4" w:space="0" w:color="auto"/>
              <w:left w:val="single" w:sz="4" w:space="0" w:color="auto"/>
              <w:bottom w:val="single" w:sz="4" w:space="0" w:color="auto"/>
              <w:right w:val="single" w:sz="4" w:space="0" w:color="auto"/>
            </w:tcBorders>
            <w:hideMark/>
          </w:tcPr>
          <w:p w14:paraId="0430D017" w14:textId="3FFD682F" w:rsidR="00D500FF" w:rsidRPr="005A0CEA" w:rsidRDefault="00D500FF" w:rsidP="007C5F0E">
            <w:pPr>
              <w:pStyle w:val="TableText"/>
              <w:keepNext w:val="0"/>
              <w:keepLines w:val="0"/>
              <w:jc w:val="center"/>
              <w:rPr>
                <w:rFonts w:asciiTheme="majorBidi" w:hAnsiTheme="majorBidi" w:cstheme="majorBidi"/>
                <w:szCs w:val="20"/>
              </w:rPr>
            </w:pPr>
          </w:p>
        </w:tc>
      </w:tr>
    </w:tbl>
    <w:p w14:paraId="00327DA2" w14:textId="77777777" w:rsidR="006E0359" w:rsidRPr="005A0CEA" w:rsidRDefault="006E0359" w:rsidP="007C5F0E">
      <w:pPr>
        <w:ind w:left="140" w:hanging="140"/>
        <w:rPr>
          <w:sz w:val="18"/>
          <w:szCs w:val="18"/>
          <w:lang w:val="en-GB"/>
        </w:rPr>
      </w:pPr>
      <w:r w:rsidRPr="005A0CEA">
        <w:rPr>
          <w:sz w:val="18"/>
          <w:szCs w:val="18"/>
          <w:lang w:val="en-GB"/>
        </w:rPr>
        <w:t>1.</w:t>
      </w:r>
      <w:r w:rsidRPr="005A0CEA">
        <w:rPr>
          <w:sz w:val="14"/>
          <w:szCs w:val="14"/>
          <w:lang w:val="en-GB"/>
        </w:rPr>
        <w:t xml:space="preserve">  </w:t>
      </w:r>
      <w:r w:rsidRPr="005A0CEA">
        <w:rPr>
          <w:sz w:val="18"/>
          <w:szCs w:val="18"/>
          <w:lang w:val="en-GB"/>
        </w:rPr>
        <w:t xml:space="preserve">Irrespective of treatment discontinuation or initiation of rescue medication (pattern mixture model using multiple imputation). </w:t>
      </w:r>
    </w:p>
    <w:p w14:paraId="233B7A17" w14:textId="77777777" w:rsidR="006E0359" w:rsidRPr="005A0CEA" w:rsidRDefault="006E0359" w:rsidP="007C5F0E">
      <w:pPr>
        <w:ind w:left="140" w:hanging="140"/>
        <w:rPr>
          <w:sz w:val="18"/>
          <w:szCs w:val="18"/>
          <w:lang w:val="en-GB"/>
        </w:rPr>
      </w:pPr>
      <w:r w:rsidRPr="005A0CEA">
        <w:rPr>
          <w:sz w:val="18"/>
          <w:szCs w:val="18"/>
          <w:lang w:val="en-GB"/>
        </w:rPr>
        <w:t xml:space="preserve">* p&lt;0.001 (unadjusted 2-sided) for superiority, controlled for multiplicity. </w:t>
      </w:r>
    </w:p>
    <w:p w14:paraId="634E7054" w14:textId="4F187FF3" w:rsidR="001D289E" w:rsidRPr="005A0CEA" w:rsidRDefault="006E0359" w:rsidP="007C5F0E">
      <w:pPr>
        <w:ind w:left="140" w:hanging="140"/>
        <w:rPr>
          <w:lang w:val="en-GB"/>
        </w:rPr>
      </w:pPr>
      <w:r w:rsidRPr="005A0CEA">
        <w:rPr>
          <w:sz w:val="18"/>
          <w:szCs w:val="18"/>
          <w:lang w:val="en-GB"/>
        </w:rPr>
        <w:t>§ p&lt;0.05, not controlled for multiplicity; for ‘Patients achieving HbA</w:t>
      </w:r>
      <w:r w:rsidRPr="005A0CEA">
        <w:rPr>
          <w:sz w:val="18"/>
          <w:szCs w:val="18"/>
          <w:vertAlign w:val="subscript"/>
          <w:lang w:val="en-GB"/>
        </w:rPr>
        <w:t>1c</w:t>
      </w:r>
      <w:r w:rsidRPr="005A0CEA">
        <w:rPr>
          <w:sz w:val="18"/>
          <w:szCs w:val="18"/>
          <w:lang w:val="en-GB"/>
        </w:rPr>
        <w:t xml:space="preserve"> &lt;7.0%’, the p-value is for the odds ratio vs placebo.</w:t>
      </w:r>
    </w:p>
    <w:p w14:paraId="5B50099A" w14:textId="3F4F00F5" w:rsidR="00BD63AB" w:rsidRPr="005A0CEA" w:rsidRDefault="00BD63AB" w:rsidP="007C5F0E">
      <w:pPr>
        <w:ind w:left="140" w:hanging="140"/>
        <w:rPr>
          <w:lang w:val="en-GB"/>
        </w:rPr>
      </w:pPr>
    </w:p>
    <w:p w14:paraId="432A0AED" w14:textId="65328A08" w:rsidR="004A6384" w:rsidRPr="005A0CEA" w:rsidRDefault="004A6384" w:rsidP="007C5F0E">
      <w:pPr>
        <w:pStyle w:val="Heading6"/>
        <w:rPr>
          <w:lang w:val="en-GB"/>
        </w:rPr>
      </w:pPr>
      <w:r w:rsidRPr="005A0CEA">
        <w:rPr>
          <w:lang w:val="en-GB"/>
        </w:rPr>
        <w:t>PIONEER 2 – Rybelsus vs. empagliflozin, both in combination with metformin</w:t>
      </w:r>
    </w:p>
    <w:p w14:paraId="582C42EF" w14:textId="4DF151E6" w:rsidR="004A6384" w:rsidRPr="005A0CEA" w:rsidRDefault="004A6384" w:rsidP="007C5F0E">
      <w:pPr>
        <w:rPr>
          <w:lang w:val="en-GB"/>
        </w:rPr>
      </w:pPr>
      <w:r w:rsidRPr="005A0CEA">
        <w:rPr>
          <w:lang w:val="en-GB"/>
        </w:rPr>
        <w:t>In a 52-week open-label trial, 822 patients with type 2 diabetes were randomised to Rybelsus 14 mg or empagliflozin 25 mg once daily, both in combination with metformin.</w:t>
      </w:r>
    </w:p>
    <w:p w14:paraId="1754CC02" w14:textId="77777777" w:rsidR="004A6384" w:rsidRPr="005A0CEA" w:rsidRDefault="004A6384" w:rsidP="007C5F0E">
      <w:pPr>
        <w:rPr>
          <w:lang w:val="en-GB"/>
        </w:rPr>
      </w:pPr>
    </w:p>
    <w:p w14:paraId="29AF1B4F" w14:textId="5F9D62E0" w:rsidR="004A6384" w:rsidRPr="005A0CEA" w:rsidRDefault="004A6384" w:rsidP="007C5F0E">
      <w:pPr>
        <w:rPr>
          <w:lang w:val="en-GB"/>
        </w:rPr>
      </w:pPr>
      <w:r w:rsidRPr="005A0CEA">
        <w:rPr>
          <w:lang w:val="en-GB"/>
        </w:rPr>
        <w:t>The mean age of the trial population was 58 years, and the mean duration of type 2 diabetes was 7.4 years. Overall, 86% were White, 7% were Black or African American and 6% were Asian. Hispanic or Latino patients comprised 24% (n=199) of the population. The mean body weight at baseline was 92 kg.</w:t>
      </w:r>
    </w:p>
    <w:p w14:paraId="3D4BAE9D" w14:textId="77777777" w:rsidR="004A6384" w:rsidRPr="005A0CEA" w:rsidRDefault="004A6384" w:rsidP="007C5F0E">
      <w:pPr>
        <w:rPr>
          <w:lang w:val="en-GB"/>
        </w:rPr>
      </w:pPr>
    </w:p>
    <w:p w14:paraId="131E0080" w14:textId="660F44C3" w:rsidR="004A6384" w:rsidRPr="005A0CEA" w:rsidRDefault="00646C58" w:rsidP="007C5F0E">
      <w:pPr>
        <w:rPr>
          <w:lang w:val="en-GB"/>
        </w:rPr>
      </w:pPr>
      <w:r w:rsidRPr="005A0CEA">
        <w:rPr>
          <w:lang w:val="en-GB"/>
        </w:rPr>
        <w:t>Treatment with Rybelsus 14 mg once daily was superior at week 26 in reducing HbA</w:t>
      </w:r>
      <w:r w:rsidRPr="005A0CEA">
        <w:rPr>
          <w:vertAlign w:val="subscript"/>
          <w:lang w:val="en-GB"/>
        </w:rPr>
        <w:t>1c</w:t>
      </w:r>
      <w:r w:rsidRPr="005A0CEA">
        <w:rPr>
          <w:lang w:val="en-GB"/>
        </w:rPr>
        <w:t xml:space="preserve"> compared to empagliflozin 25 mg once daily</w:t>
      </w:r>
      <w:r w:rsidR="009A5CB4" w:rsidRPr="005A0CEA">
        <w:rPr>
          <w:lang w:val="en-GB"/>
        </w:rPr>
        <w:t xml:space="preserve"> (Table 3).</w:t>
      </w:r>
    </w:p>
    <w:p w14:paraId="58CC703A" w14:textId="6F51360A" w:rsidR="004A6384" w:rsidRPr="005A0CEA" w:rsidRDefault="00026C85" w:rsidP="007C5F0E">
      <w:pPr>
        <w:keepNext/>
        <w:keepLines/>
        <w:rPr>
          <w:b/>
          <w:bCs/>
          <w:lang w:val="en-GB"/>
        </w:rPr>
      </w:pPr>
      <w:r w:rsidRPr="005A0CEA">
        <w:rPr>
          <w:b/>
          <w:bCs/>
          <w:lang w:val="en-GB"/>
        </w:rPr>
        <w:lastRenderedPageBreak/>
        <w:t xml:space="preserve">Table </w:t>
      </w:r>
      <w:r w:rsidR="00BF0244" w:rsidRPr="005A0CEA">
        <w:rPr>
          <w:b/>
          <w:bCs/>
          <w:lang w:val="en-GB"/>
        </w:rPr>
        <w:fldChar w:fldCharType="begin"/>
      </w:r>
      <w:r w:rsidR="00BF0244" w:rsidRPr="005A0CEA">
        <w:rPr>
          <w:b/>
          <w:bCs/>
          <w:lang w:val="en-GB"/>
        </w:rPr>
        <w:instrText xml:space="preserve"> SEQ Table \* ARABIC \s 1 </w:instrText>
      </w:r>
      <w:r w:rsidR="00BF0244" w:rsidRPr="005A0CEA">
        <w:rPr>
          <w:b/>
          <w:bCs/>
          <w:lang w:val="en-GB"/>
        </w:rPr>
        <w:fldChar w:fldCharType="separate"/>
      </w:r>
      <w:r w:rsidR="00A334F6">
        <w:rPr>
          <w:b/>
          <w:bCs/>
          <w:noProof/>
          <w:lang w:val="en-GB"/>
        </w:rPr>
        <w:t>4</w:t>
      </w:r>
      <w:r w:rsidR="00BF0244" w:rsidRPr="005A0CEA">
        <w:rPr>
          <w:lang w:val="en-GB"/>
        </w:rPr>
        <w:fldChar w:fldCharType="end"/>
      </w:r>
      <w:r w:rsidRPr="005A0CEA">
        <w:rPr>
          <w:b/>
          <w:bCs/>
          <w:lang w:val="en-GB"/>
        </w:rPr>
        <w:t xml:space="preserve">: </w:t>
      </w:r>
      <w:r w:rsidR="004A6384" w:rsidRPr="005A0CEA">
        <w:rPr>
          <w:b/>
          <w:bCs/>
          <w:lang w:val="en-GB"/>
        </w:rPr>
        <w:t xml:space="preserve">Results </w:t>
      </w:r>
      <w:r w:rsidR="00646C58" w:rsidRPr="005A0CEA">
        <w:rPr>
          <w:b/>
          <w:bCs/>
          <w:lang w:val="en-GB"/>
        </w:rPr>
        <w:t xml:space="preserve">of a </w:t>
      </w:r>
      <w:proofErr w:type="gramStart"/>
      <w:r w:rsidR="00646C58" w:rsidRPr="005A0CEA">
        <w:rPr>
          <w:b/>
          <w:bCs/>
          <w:lang w:val="en-GB"/>
        </w:rPr>
        <w:t>52 week</w:t>
      </w:r>
      <w:proofErr w:type="gramEnd"/>
      <w:r w:rsidR="00646C58" w:rsidRPr="005A0CEA">
        <w:rPr>
          <w:b/>
          <w:bCs/>
          <w:lang w:val="en-GB"/>
        </w:rPr>
        <w:t xml:space="preserve"> trial comparing semaglutide with empagliflozin</w:t>
      </w:r>
      <w:r w:rsidR="004A6384" w:rsidRPr="005A0CEA">
        <w:rPr>
          <w:b/>
          <w:bCs/>
          <w:lang w:val="en-GB"/>
        </w:rPr>
        <w:t xml:space="preserve"> (PIONEER 2)</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894"/>
        <w:gridCol w:w="2644"/>
        <w:gridCol w:w="2644"/>
      </w:tblGrid>
      <w:tr w:rsidR="004A6384" w:rsidRPr="005A0CEA" w14:paraId="7BCAF2F0" w14:textId="77777777" w:rsidTr="000E41F5">
        <w:trPr>
          <w:trHeight w:val="274"/>
        </w:trPr>
        <w:tc>
          <w:tcPr>
            <w:tcW w:w="2120" w:type="pct"/>
            <w:tcBorders>
              <w:top w:val="single" w:sz="4" w:space="0" w:color="auto"/>
              <w:left w:val="single" w:sz="4" w:space="0" w:color="auto"/>
              <w:bottom w:val="single" w:sz="4" w:space="0" w:color="auto"/>
              <w:right w:val="single" w:sz="4" w:space="0" w:color="auto"/>
            </w:tcBorders>
          </w:tcPr>
          <w:p w14:paraId="79BD5635" w14:textId="77777777" w:rsidR="004A6384" w:rsidRPr="005A0CEA" w:rsidRDefault="004A6384" w:rsidP="007C5F0E">
            <w:pPr>
              <w:pStyle w:val="TableText"/>
            </w:pPr>
          </w:p>
        </w:tc>
        <w:tc>
          <w:tcPr>
            <w:tcW w:w="144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FA12C9B" w14:textId="68A13852" w:rsidR="004A6384" w:rsidRPr="005A0CEA" w:rsidRDefault="004A6384" w:rsidP="007C5F0E">
            <w:pPr>
              <w:pStyle w:val="TableText"/>
              <w:jc w:val="center"/>
              <w:rPr>
                <w:b/>
              </w:rPr>
            </w:pPr>
            <w:r w:rsidRPr="005A0CEA">
              <w:rPr>
                <w:b/>
              </w:rPr>
              <w:t>Rybelsus 14 mg</w:t>
            </w:r>
          </w:p>
        </w:tc>
        <w:tc>
          <w:tcPr>
            <w:tcW w:w="144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39322B" w14:textId="3AAE928F" w:rsidR="004A6384" w:rsidRPr="005A0CEA" w:rsidRDefault="004A6384" w:rsidP="007C5F0E">
            <w:pPr>
              <w:pStyle w:val="TableText"/>
              <w:jc w:val="center"/>
              <w:rPr>
                <w:b/>
              </w:rPr>
            </w:pPr>
            <w:r w:rsidRPr="005A0CEA">
              <w:rPr>
                <w:b/>
              </w:rPr>
              <w:t>Empagliflozin 25 mg</w:t>
            </w:r>
          </w:p>
        </w:tc>
      </w:tr>
      <w:tr w:rsidR="004A6384" w:rsidRPr="005A0CEA" w14:paraId="78C7F60A" w14:textId="77777777" w:rsidTr="000E41F5">
        <w:trPr>
          <w:trHeight w:val="340"/>
        </w:trPr>
        <w:tc>
          <w:tcPr>
            <w:tcW w:w="2120" w:type="pct"/>
            <w:tcBorders>
              <w:top w:val="single" w:sz="4" w:space="0" w:color="auto"/>
              <w:left w:val="single" w:sz="4" w:space="0" w:color="auto"/>
              <w:bottom w:val="single" w:sz="4" w:space="0" w:color="auto"/>
              <w:right w:val="single" w:sz="4" w:space="0" w:color="auto"/>
            </w:tcBorders>
          </w:tcPr>
          <w:p w14:paraId="33D6E24A" w14:textId="71814F77" w:rsidR="004A6384" w:rsidRPr="005A0CEA" w:rsidRDefault="00646C58" w:rsidP="007C5F0E">
            <w:pPr>
              <w:pStyle w:val="TableText"/>
            </w:pPr>
            <w:r w:rsidRPr="005A0CEA">
              <w:t xml:space="preserve">Full analysis set </w:t>
            </w:r>
            <w:r w:rsidR="004A6384" w:rsidRPr="005A0CEA">
              <w:t>(N)</w:t>
            </w:r>
          </w:p>
        </w:tc>
        <w:tc>
          <w:tcPr>
            <w:tcW w:w="144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B40986" w14:textId="0FEB9B92" w:rsidR="004A6384" w:rsidRPr="005A0CEA" w:rsidRDefault="004A6384" w:rsidP="007C5F0E">
            <w:pPr>
              <w:pStyle w:val="TableText"/>
              <w:jc w:val="center"/>
            </w:pPr>
            <w:r w:rsidRPr="005A0CEA">
              <w:t>411</w:t>
            </w:r>
          </w:p>
        </w:tc>
        <w:tc>
          <w:tcPr>
            <w:tcW w:w="144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DE2EF2" w14:textId="77AC6995" w:rsidR="004A6384" w:rsidRPr="005A0CEA" w:rsidRDefault="004A6384" w:rsidP="007C5F0E">
            <w:pPr>
              <w:pStyle w:val="TableText"/>
              <w:jc w:val="center"/>
            </w:pPr>
            <w:r w:rsidRPr="005A0CEA">
              <w:t>410</w:t>
            </w:r>
          </w:p>
        </w:tc>
      </w:tr>
      <w:tr w:rsidR="00646C58" w:rsidRPr="005A0CEA" w14:paraId="1F186260" w14:textId="77777777" w:rsidTr="00646C58">
        <w:trPr>
          <w:trHeight w:val="340"/>
        </w:trPr>
        <w:tc>
          <w:tcPr>
            <w:tcW w:w="5000" w:type="pct"/>
            <w:gridSpan w:val="3"/>
            <w:tcBorders>
              <w:top w:val="single" w:sz="4" w:space="0" w:color="auto"/>
              <w:left w:val="single" w:sz="4" w:space="0" w:color="auto"/>
              <w:bottom w:val="single" w:sz="4" w:space="0" w:color="auto"/>
              <w:right w:val="single" w:sz="4" w:space="0" w:color="auto"/>
            </w:tcBorders>
          </w:tcPr>
          <w:p w14:paraId="08E6F381" w14:textId="0E5B8C23" w:rsidR="00646C58" w:rsidRPr="005A0CEA" w:rsidRDefault="00646C58" w:rsidP="007C5F0E">
            <w:pPr>
              <w:pStyle w:val="TableText"/>
            </w:pPr>
            <w:r w:rsidRPr="005A0CEA">
              <w:rPr>
                <w:b/>
                <w:bCs/>
              </w:rPr>
              <w:t>Week 26</w:t>
            </w:r>
          </w:p>
        </w:tc>
      </w:tr>
      <w:tr w:rsidR="004A6384" w:rsidRPr="005A0CEA" w14:paraId="233BB20C" w14:textId="77777777" w:rsidTr="000E41F5">
        <w:trPr>
          <w:trHeight w:val="225"/>
        </w:trPr>
        <w:tc>
          <w:tcPr>
            <w:tcW w:w="2120" w:type="pct"/>
            <w:tcBorders>
              <w:top w:val="single" w:sz="4" w:space="0" w:color="auto"/>
              <w:left w:val="single" w:sz="4" w:space="0" w:color="auto"/>
              <w:bottom w:val="single" w:sz="4" w:space="0" w:color="auto"/>
              <w:right w:val="nil"/>
            </w:tcBorders>
            <w:hideMark/>
          </w:tcPr>
          <w:p w14:paraId="2A36E8B4" w14:textId="08D2897C" w:rsidR="004A6384" w:rsidRPr="005A0CEA" w:rsidRDefault="00646C58" w:rsidP="007C5F0E">
            <w:pPr>
              <w:pStyle w:val="TableText"/>
              <w:rPr>
                <w:b/>
                <w:bCs/>
                <w:i/>
              </w:rPr>
            </w:pPr>
            <w:r w:rsidRPr="005A0CEA">
              <w:rPr>
                <w:b/>
                <w:bCs/>
              </w:rPr>
              <w:t xml:space="preserve"> </w:t>
            </w:r>
            <w:r w:rsidR="004A6384" w:rsidRPr="005A0CEA">
              <w:rPr>
                <w:b/>
                <w:bCs/>
              </w:rPr>
              <w:t>HbA</w:t>
            </w:r>
            <w:r w:rsidR="004A6384" w:rsidRPr="005A0CEA">
              <w:rPr>
                <w:b/>
                <w:bCs/>
                <w:vertAlign w:val="subscript"/>
              </w:rPr>
              <w:t xml:space="preserve">1c </w:t>
            </w:r>
            <w:r w:rsidR="004A6384" w:rsidRPr="005A0CEA">
              <w:rPr>
                <w:b/>
                <w:bCs/>
              </w:rPr>
              <w:t>(%)</w:t>
            </w:r>
          </w:p>
        </w:tc>
        <w:tc>
          <w:tcPr>
            <w:tcW w:w="2880" w:type="pct"/>
            <w:gridSpan w:val="2"/>
            <w:tcBorders>
              <w:top w:val="single" w:sz="4" w:space="0" w:color="auto"/>
              <w:left w:val="nil"/>
              <w:bottom w:val="single" w:sz="4" w:space="0" w:color="auto"/>
              <w:right w:val="single" w:sz="4" w:space="0" w:color="auto"/>
            </w:tcBorders>
          </w:tcPr>
          <w:p w14:paraId="1789F9AA" w14:textId="77777777" w:rsidR="004A6384" w:rsidRPr="005A0CEA" w:rsidRDefault="004A6384" w:rsidP="007C5F0E">
            <w:pPr>
              <w:pStyle w:val="TableText"/>
              <w:jc w:val="center"/>
            </w:pPr>
          </w:p>
        </w:tc>
      </w:tr>
      <w:tr w:rsidR="004A6384" w:rsidRPr="005A0CEA" w14:paraId="73C65BCF" w14:textId="77777777" w:rsidTr="000E41F5">
        <w:trPr>
          <w:trHeight w:val="204"/>
        </w:trPr>
        <w:tc>
          <w:tcPr>
            <w:tcW w:w="2120" w:type="pct"/>
            <w:tcBorders>
              <w:top w:val="single" w:sz="4" w:space="0" w:color="auto"/>
              <w:left w:val="single" w:sz="4" w:space="0" w:color="auto"/>
              <w:bottom w:val="single" w:sz="4" w:space="0" w:color="auto"/>
              <w:right w:val="single" w:sz="4" w:space="0" w:color="auto"/>
            </w:tcBorders>
            <w:hideMark/>
          </w:tcPr>
          <w:p w14:paraId="442A2E2E" w14:textId="0FF11A44" w:rsidR="004A6384" w:rsidRPr="005A0CEA" w:rsidRDefault="004A6384" w:rsidP="007C5F0E">
            <w:pPr>
              <w:pStyle w:val="TableText"/>
              <w:ind w:left="171"/>
              <w:rPr>
                <w:b/>
                <w:bCs/>
              </w:rPr>
            </w:pPr>
            <w:r w:rsidRPr="005A0CEA">
              <w:t>Baseline</w:t>
            </w:r>
          </w:p>
        </w:tc>
        <w:tc>
          <w:tcPr>
            <w:tcW w:w="1440" w:type="pct"/>
            <w:tcBorders>
              <w:top w:val="single" w:sz="4" w:space="0" w:color="auto"/>
              <w:left w:val="single" w:sz="4" w:space="0" w:color="auto"/>
              <w:bottom w:val="single" w:sz="4" w:space="0" w:color="auto"/>
              <w:right w:val="single" w:sz="4" w:space="0" w:color="auto"/>
            </w:tcBorders>
            <w:hideMark/>
          </w:tcPr>
          <w:p w14:paraId="213A80EA" w14:textId="4995C2DE" w:rsidR="004A6384" w:rsidRPr="005A0CEA" w:rsidRDefault="004A6384" w:rsidP="007C5F0E">
            <w:pPr>
              <w:pStyle w:val="TableText"/>
              <w:jc w:val="center"/>
            </w:pPr>
            <w:r w:rsidRPr="005A0CEA">
              <w:t>8.1</w:t>
            </w:r>
          </w:p>
        </w:tc>
        <w:tc>
          <w:tcPr>
            <w:tcW w:w="1440" w:type="pct"/>
            <w:tcBorders>
              <w:top w:val="single" w:sz="4" w:space="0" w:color="auto"/>
              <w:left w:val="single" w:sz="4" w:space="0" w:color="auto"/>
              <w:bottom w:val="single" w:sz="4" w:space="0" w:color="auto"/>
              <w:right w:val="single" w:sz="4" w:space="0" w:color="auto"/>
            </w:tcBorders>
            <w:hideMark/>
          </w:tcPr>
          <w:p w14:paraId="5C70618E" w14:textId="0CE866FC" w:rsidR="004A6384" w:rsidRPr="005A0CEA" w:rsidRDefault="004A6384" w:rsidP="007C5F0E">
            <w:pPr>
              <w:pStyle w:val="TableText"/>
              <w:jc w:val="center"/>
            </w:pPr>
            <w:r w:rsidRPr="005A0CEA">
              <w:t>8.1</w:t>
            </w:r>
          </w:p>
        </w:tc>
      </w:tr>
      <w:tr w:rsidR="00955C33" w:rsidRPr="005A0CEA" w14:paraId="720A25BD" w14:textId="77777777" w:rsidTr="000E41F5">
        <w:trPr>
          <w:trHeight w:val="204"/>
        </w:trPr>
        <w:tc>
          <w:tcPr>
            <w:tcW w:w="2120" w:type="pct"/>
            <w:tcBorders>
              <w:top w:val="single" w:sz="4" w:space="0" w:color="auto"/>
              <w:left w:val="single" w:sz="4" w:space="0" w:color="auto"/>
              <w:bottom w:val="single" w:sz="4" w:space="0" w:color="auto"/>
              <w:right w:val="single" w:sz="4" w:space="0" w:color="auto"/>
            </w:tcBorders>
            <w:hideMark/>
          </w:tcPr>
          <w:p w14:paraId="1BBD00B3" w14:textId="2F89495E" w:rsidR="00955C33" w:rsidRPr="005A0CEA" w:rsidRDefault="00955C33" w:rsidP="007C5F0E">
            <w:pPr>
              <w:pStyle w:val="TableText"/>
              <w:keepNext w:val="0"/>
              <w:keepLines w:val="0"/>
              <w:ind w:left="171"/>
            </w:pPr>
            <w:r w:rsidRPr="005A0CEA">
              <w:t>Change from baseline</w:t>
            </w:r>
          </w:p>
        </w:tc>
        <w:tc>
          <w:tcPr>
            <w:tcW w:w="1440" w:type="pct"/>
            <w:tcBorders>
              <w:top w:val="single" w:sz="4" w:space="0" w:color="auto"/>
              <w:left w:val="single" w:sz="4" w:space="0" w:color="auto"/>
              <w:bottom w:val="single" w:sz="4" w:space="0" w:color="auto"/>
              <w:right w:val="single" w:sz="4" w:space="0" w:color="auto"/>
            </w:tcBorders>
            <w:hideMark/>
          </w:tcPr>
          <w:p w14:paraId="3CD0871A" w14:textId="40D06A7F" w:rsidR="00955C33" w:rsidRPr="005A0CEA" w:rsidRDefault="00955C33" w:rsidP="007C5F0E">
            <w:pPr>
              <w:pStyle w:val="TableText"/>
              <w:keepNext w:val="0"/>
              <w:keepLines w:val="0"/>
              <w:jc w:val="center"/>
              <w:rPr>
                <w:szCs w:val="20"/>
              </w:rPr>
            </w:pPr>
            <w:r w:rsidRPr="005A0CEA">
              <w:rPr>
                <w:szCs w:val="20"/>
              </w:rPr>
              <w:t>−1.3</w:t>
            </w:r>
          </w:p>
        </w:tc>
        <w:tc>
          <w:tcPr>
            <w:tcW w:w="1440" w:type="pct"/>
            <w:tcBorders>
              <w:top w:val="single" w:sz="4" w:space="0" w:color="auto"/>
              <w:left w:val="single" w:sz="4" w:space="0" w:color="auto"/>
              <w:bottom w:val="single" w:sz="4" w:space="0" w:color="auto"/>
              <w:right w:val="single" w:sz="4" w:space="0" w:color="auto"/>
            </w:tcBorders>
            <w:hideMark/>
          </w:tcPr>
          <w:p w14:paraId="26DBD381" w14:textId="169271B1" w:rsidR="00955C33" w:rsidRPr="005A0CEA" w:rsidRDefault="00955C33" w:rsidP="007C5F0E">
            <w:pPr>
              <w:pStyle w:val="TableText"/>
              <w:keepNext w:val="0"/>
              <w:keepLines w:val="0"/>
              <w:jc w:val="center"/>
              <w:rPr>
                <w:szCs w:val="20"/>
              </w:rPr>
            </w:pPr>
            <w:r w:rsidRPr="005A0CEA">
              <w:rPr>
                <w:szCs w:val="20"/>
              </w:rPr>
              <w:t>−0.9</w:t>
            </w:r>
          </w:p>
        </w:tc>
      </w:tr>
      <w:tr w:rsidR="00955C33" w:rsidRPr="005A0CEA" w14:paraId="3696D4D6" w14:textId="77777777" w:rsidTr="000E41F5">
        <w:trPr>
          <w:trHeight w:val="260"/>
        </w:trPr>
        <w:tc>
          <w:tcPr>
            <w:tcW w:w="2120" w:type="pct"/>
            <w:tcBorders>
              <w:top w:val="single" w:sz="4" w:space="0" w:color="auto"/>
              <w:left w:val="single" w:sz="4" w:space="0" w:color="auto"/>
              <w:bottom w:val="single" w:sz="4" w:space="0" w:color="auto"/>
              <w:right w:val="single" w:sz="4" w:space="0" w:color="auto"/>
            </w:tcBorders>
            <w:hideMark/>
          </w:tcPr>
          <w:p w14:paraId="0A56BFF8" w14:textId="0B2047D4" w:rsidR="00955C33" w:rsidRPr="005A0CEA" w:rsidRDefault="00955C33" w:rsidP="007C5F0E">
            <w:pPr>
              <w:pStyle w:val="TableText"/>
              <w:keepNext w:val="0"/>
              <w:keepLines w:val="0"/>
              <w:ind w:left="171"/>
            </w:pPr>
            <w:r w:rsidRPr="005A0CEA">
              <w:t>Difference from empagliflozin</w:t>
            </w:r>
            <w:r w:rsidRPr="005A0CEA">
              <w:rPr>
                <w:vertAlign w:val="superscript"/>
              </w:rPr>
              <w:t>1</w:t>
            </w:r>
            <w:r w:rsidRPr="005A0CEA">
              <w:t xml:space="preserve"> [95% CI]</w:t>
            </w:r>
          </w:p>
        </w:tc>
        <w:tc>
          <w:tcPr>
            <w:tcW w:w="1440" w:type="pct"/>
            <w:tcBorders>
              <w:top w:val="single" w:sz="4" w:space="0" w:color="auto"/>
              <w:left w:val="single" w:sz="4" w:space="0" w:color="auto"/>
              <w:bottom w:val="single" w:sz="4" w:space="0" w:color="auto"/>
              <w:right w:val="single" w:sz="4" w:space="0" w:color="auto"/>
            </w:tcBorders>
            <w:hideMark/>
          </w:tcPr>
          <w:p w14:paraId="3D0F4DC2" w14:textId="70705027" w:rsidR="00955C33" w:rsidRPr="005A0CEA" w:rsidRDefault="00955C33" w:rsidP="007C5F0E">
            <w:pPr>
              <w:pStyle w:val="TableText"/>
              <w:keepNext w:val="0"/>
              <w:keepLines w:val="0"/>
              <w:jc w:val="center"/>
              <w:rPr>
                <w:szCs w:val="20"/>
                <w:vertAlign w:val="superscript"/>
              </w:rPr>
            </w:pPr>
            <w:r w:rsidRPr="005A0CEA">
              <w:rPr>
                <w:szCs w:val="20"/>
              </w:rPr>
              <w:t>−0.4 [−0.6; −0.</w:t>
            </w:r>
            <w:proofErr w:type="gramStart"/>
            <w:r w:rsidRPr="005A0CEA">
              <w:rPr>
                <w:szCs w:val="20"/>
              </w:rPr>
              <w:t>3]*</w:t>
            </w:r>
            <w:proofErr w:type="gramEnd"/>
          </w:p>
        </w:tc>
        <w:tc>
          <w:tcPr>
            <w:tcW w:w="1440" w:type="pct"/>
            <w:tcBorders>
              <w:top w:val="single" w:sz="4" w:space="0" w:color="auto"/>
              <w:left w:val="single" w:sz="4" w:space="0" w:color="auto"/>
              <w:bottom w:val="single" w:sz="4" w:space="0" w:color="auto"/>
              <w:right w:val="single" w:sz="4" w:space="0" w:color="auto"/>
            </w:tcBorders>
            <w:hideMark/>
          </w:tcPr>
          <w:p w14:paraId="60D0D643" w14:textId="1D4B7867" w:rsidR="00955C33" w:rsidRPr="005A0CEA" w:rsidRDefault="00955C33" w:rsidP="007C5F0E">
            <w:pPr>
              <w:pStyle w:val="TableText"/>
              <w:keepNext w:val="0"/>
              <w:keepLines w:val="0"/>
              <w:jc w:val="center"/>
              <w:rPr>
                <w:szCs w:val="20"/>
              </w:rPr>
            </w:pPr>
            <w:r w:rsidRPr="005A0CEA">
              <w:rPr>
                <w:szCs w:val="20"/>
              </w:rPr>
              <w:t>-</w:t>
            </w:r>
          </w:p>
        </w:tc>
      </w:tr>
      <w:tr w:rsidR="00955C33" w:rsidRPr="005A0CEA" w14:paraId="69CA1FA3" w14:textId="77777777" w:rsidTr="000E41F5">
        <w:trPr>
          <w:trHeight w:val="108"/>
        </w:trPr>
        <w:tc>
          <w:tcPr>
            <w:tcW w:w="2120" w:type="pct"/>
            <w:tcBorders>
              <w:top w:val="single" w:sz="4" w:space="0" w:color="auto"/>
              <w:left w:val="single" w:sz="4" w:space="0" w:color="auto"/>
              <w:bottom w:val="single" w:sz="4" w:space="0" w:color="auto"/>
              <w:right w:val="single" w:sz="4" w:space="0" w:color="auto"/>
            </w:tcBorders>
            <w:hideMark/>
          </w:tcPr>
          <w:p w14:paraId="536FF3B4" w14:textId="7356CF32" w:rsidR="00955C33" w:rsidRPr="005A0CEA" w:rsidRDefault="00955C33" w:rsidP="007C5F0E">
            <w:pPr>
              <w:pStyle w:val="TableText"/>
              <w:keepNext w:val="0"/>
              <w:keepLines w:val="0"/>
              <w:rPr>
                <w:b/>
                <w:bCs/>
              </w:rPr>
            </w:pPr>
            <w:r w:rsidRPr="005A0CEA">
              <w:rPr>
                <w:rStyle w:val="FootnoteReference"/>
              </w:rPr>
              <w:t xml:space="preserve"> </w:t>
            </w:r>
            <w:r w:rsidRPr="005A0CEA">
              <w:rPr>
                <w:b/>
                <w:bCs/>
              </w:rPr>
              <w:t>Patients (%) achieving HbA</w:t>
            </w:r>
            <w:r w:rsidRPr="005A0CEA">
              <w:rPr>
                <w:b/>
                <w:bCs/>
                <w:vertAlign w:val="subscript"/>
              </w:rPr>
              <w:t>1c</w:t>
            </w:r>
            <w:r w:rsidRPr="005A0CEA">
              <w:rPr>
                <w:b/>
                <w:bCs/>
              </w:rPr>
              <w:t xml:space="preserve"> &lt;7%</w:t>
            </w:r>
            <w:r w:rsidRPr="005A0CEA">
              <w:rPr>
                <w:vertAlign w:val="superscript"/>
              </w:rPr>
              <w:t>2</w:t>
            </w:r>
          </w:p>
        </w:tc>
        <w:tc>
          <w:tcPr>
            <w:tcW w:w="1440" w:type="pct"/>
            <w:tcBorders>
              <w:top w:val="single" w:sz="4" w:space="0" w:color="auto"/>
              <w:left w:val="single" w:sz="4" w:space="0" w:color="auto"/>
              <w:bottom w:val="single" w:sz="4" w:space="0" w:color="auto"/>
              <w:right w:val="single" w:sz="4" w:space="0" w:color="auto"/>
            </w:tcBorders>
            <w:hideMark/>
          </w:tcPr>
          <w:p w14:paraId="08E511B1" w14:textId="134D741F" w:rsidR="00955C33" w:rsidRPr="005A0CEA" w:rsidRDefault="00955C33" w:rsidP="007C5F0E">
            <w:pPr>
              <w:pStyle w:val="TableText"/>
              <w:keepNext w:val="0"/>
              <w:keepLines w:val="0"/>
              <w:jc w:val="center"/>
              <w:rPr>
                <w:szCs w:val="20"/>
              </w:rPr>
            </w:pPr>
            <w:r w:rsidRPr="005A0CEA">
              <w:rPr>
                <w:szCs w:val="20"/>
              </w:rPr>
              <w:t>67</w:t>
            </w:r>
            <w:r w:rsidRPr="005A0CEA">
              <w:rPr>
                <w:szCs w:val="20"/>
                <w:vertAlign w:val="superscript"/>
              </w:rPr>
              <w:t>§</w:t>
            </w:r>
          </w:p>
        </w:tc>
        <w:tc>
          <w:tcPr>
            <w:tcW w:w="1440" w:type="pct"/>
            <w:tcBorders>
              <w:top w:val="single" w:sz="4" w:space="0" w:color="auto"/>
              <w:left w:val="single" w:sz="4" w:space="0" w:color="auto"/>
              <w:bottom w:val="single" w:sz="4" w:space="0" w:color="auto"/>
              <w:right w:val="single" w:sz="4" w:space="0" w:color="auto"/>
            </w:tcBorders>
            <w:hideMark/>
          </w:tcPr>
          <w:p w14:paraId="56E469D9" w14:textId="1D6C90E5" w:rsidR="00955C33" w:rsidRPr="005A0CEA" w:rsidRDefault="00955C33" w:rsidP="007C5F0E">
            <w:pPr>
              <w:pStyle w:val="TableText"/>
              <w:keepNext w:val="0"/>
              <w:keepLines w:val="0"/>
              <w:jc w:val="center"/>
              <w:rPr>
                <w:szCs w:val="20"/>
              </w:rPr>
            </w:pPr>
            <w:r w:rsidRPr="005A0CEA">
              <w:rPr>
                <w:szCs w:val="20"/>
              </w:rPr>
              <w:t>40</w:t>
            </w:r>
          </w:p>
        </w:tc>
      </w:tr>
      <w:tr w:rsidR="004A6384" w:rsidRPr="005A0CEA" w14:paraId="4A88029A" w14:textId="77777777" w:rsidTr="000E41F5">
        <w:trPr>
          <w:trHeight w:val="193"/>
        </w:trPr>
        <w:tc>
          <w:tcPr>
            <w:tcW w:w="2120" w:type="pct"/>
            <w:tcBorders>
              <w:top w:val="single" w:sz="4" w:space="0" w:color="auto"/>
              <w:left w:val="single" w:sz="4" w:space="0" w:color="auto"/>
              <w:bottom w:val="single" w:sz="4" w:space="0" w:color="auto"/>
              <w:right w:val="nil"/>
            </w:tcBorders>
            <w:hideMark/>
          </w:tcPr>
          <w:p w14:paraId="05771D5E" w14:textId="68FF6D8B" w:rsidR="004A6384" w:rsidRPr="005A0CEA" w:rsidRDefault="00955C33" w:rsidP="007C5F0E">
            <w:pPr>
              <w:pStyle w:val="TableText"/>
              <w:keepNext w:val="0"/>
              <w:keepLines w:val="0"/>
              <w:rPr>
                <w:b/>
                <w:bCs/>
                <w:i/>
              </w:rPr>
            </w:pPr>
            <w:r w:rsidRPr="005A0CEA">
              <w:rPr>
                <w:rStyle w:val="FootnoteReference"/>
              </w:rPr>
              <w:t xml:space="preserve"> </w:t>
            </w:r>
            <w:r w:rsidR="004A6384" w:rsidRPr="005A0CEA">
              <w:rPr>
                <w:b/>
                <w:bCs/>
              </w:rPr>
              <w:t>FPG (mmol/l)</w:t>
            </w:r>
          </w:p>
        </w:tc>
        <w:tc>
          <w:tcPr>
            <w:tcW w:w="2880" w:type="pct"/>
            <w:gridSpan w:val="2"/>
            <w:tcBorders>
              <w:top w:val="single" w:sz="4" w:space="0" w:color="auto"/>
              <w:left w:val="nil"/>
              <w:bottom w:val="single" w:sz="4" w:space="0" w:color="auto"/>
              <w:right w:val="single" w:sz="4" w:space="0" w:color="auto"/>
            </w:tcBorders>
          </w:tcPr>
          <w:p w14:paraId="45AE4B35" w14:textId="77777777" w:rsidR="004A6384" w:rsidRPr="005A0CEA" w:rsidRDefault="004A6384" w:rsidP="007C5F0E">
            <w:pPr>
              <w:pStyle w:val="TableText"/>
              <w:keepNext w:val="0"/>
              <w:keepLines w:val="0"/>
              <w:jc w:val="center"/>
            </w:pPr>
          </w:p>
        </w:tc>
      </w:tr>
      <w:tr w:rsidR="00955C33" w:rsidRPr="005A0CEA" w14:paraId="7114CA94" w14:textId="77777777" w:rsidTr="000E41F5">
        <w:trPr>
          <w:trHeight w:val="182"/>
        </w:trPr>
        <w:tc>
          <w:tcPr>
            <w:tcW w:w="2120" w:type="pct"/>
            <w:tcBorders>
              <w:top w:val="single" w:sz="4" w:space="0" w:color="auto"/>
              <w:left w:val="single" w:sz="4" w:space="0" w:color="auto"/>
              <w:bottom w:val="single" w:sz="4" w:space="0" w:color="auto"/>
              <w:right w:val="single" w:sz="4" w:space="0" w:color="auto"/>
            </w:tcBorders>
            <w:hideMark/>
          </w:tcPr>
          <w:p w14:paraId="5ED89952" w14:textId="2A1A4ADC" w:rsidR="00955C33" w:rsidRPr="005A0CEA" w:rsidRDefault="00955C33" w:rsidP="007C5F0E">
            <w:pPr>
              <w:pStyle w:val="TableText"/>
              <w:keepNext w:val="0"/>
              <w:keepLines w:val="0"/>
              <w:ind w:left="171"/>
              <w:rPr>
                <w:b/>
                <w:bCs/>
              </w:rPr>
            </w:pPr>
            <w:r w:rsidRPr="005A0CEA">
              <w:t>Baseline</w:t>
            </w:r>
          </w:p>
        </w:tc>
        <w:tc>
          <w:tcPr>
            <w:tcW w:w="1440" w:type="pct"/>
            <w:tcBorders>
              <w:top w:val="single" w:sz="4" w:space="0" w:color="auto"/>
              <w:left w:val="single" w:sz="4" w:space="0" w:color="auto"/>
              <w:bottom w:val="single" w:sz="4" w:space="0" w:color="auto"/>
              <w:right w:val="single" w:sz="4" w:space="0" w:color="auto"/>
            </w:tcBorders>
            <w:hideMark/>
          </w:tcPr>
          <w:p w14:paraId="367ED4A7" w14:textId="4DB699D6" w:rsidR="00955C33" w:rsidRPr="005A0CEA" w:rsidRDefault="00955C33" w:rsidP="007C5F0E">
            <w:pPr>
              <w:pStyle w:val="TableText"/>
              <w:keepNext w:val="0"/>
              <w:keepLines w:val="0"/>
              <w:jc w:val="center"/>
              <w:rPr>
                <w:szCs w:val="20"/>
              </w:rPr>
            </w:pPr>
            <w:r w:rsidRPr="005A0CEA">
              <w:rPr>
                <w:szCs w:val="20"/>
              </w:rPr>
              <w:t>9.5</w:t>
            </w:r>
          </w:p>
        </w:tc>
        <w:tc>
          <w:tcPr>
            <w:tcW w:w="1440" w:type="pct"/>
            <w:tcBorders>
              <w:top w:val="single" w:sz="4" w:space="0" w:color="auto"/>
              <w:left w:val="single" w:sz="4" w:space="0" w:color="auto"/>
              <w:bottom w:val="single" w:sz="4" w:space="0" w:color="auto"/>
              <w:right w:val="single" w:sz="4" w:space="0" w:color="auto"/>
            </w:tcBorders>
            <w:hideMark/>
          </w:tcPr>
          <w:p w14:paraId="3AB0D9CB" w14:textId="71387E41" w:rsidR="00955C33" w:rsidRPr="005A0CEA" w:rsidRDefault="00955C33" w:rsidP="007C5F0E">
            <w:pPr>
              <w:pStyle w:val="TableText"/>
              <w:keepNext w:val="0"/>
              <w:keepLines w:val="0"/>
              <w:jc w:val="center"/>
              <w:rPr>
                <w:szCs w:val="20"/>
              </w:rPr>
            </w:pPr>
            <w:r w:rsidRPr="005A0CEA">
              <w:rPr>
                <w:szCs w:val="20"/>
              </w:rPr>
              <w:t>9.7</w:t>
            </w:r>
          </w:p>
        </w:tc>
      </w:tr>
      <w:tr w:rsidR="00955C33" w:rsidRPr="005A0CEA" w14:paraId="6981C257" w14:textId="77777777" w:rsidTr="000E41F5">
        <w:trPr>
          <w:trHeight w:val="216"/>
        </w:trPr>
        <w:tc>
          <w:tcPr>
            <w:tcW w:w="2120" w:type="pct"/>
            <w:tcBorders>
              <w:top w:val="single" w:sz="4" w:space="0" w:color="auto"/>
              <w:left w:val="single" w:sz="4" w:space="0" w:color="auto"/>
              <w:bottom w:val="single" w:sz="4" w:space="0" w:color="auto"/>
              <w:right w:val="single" w:sz="4" w:space="0" w:color="auto"/>
            </w:tcBorders>
            <w:hideMark/>
          </w:tcPr>
          <w:p w14:paraId="45AC7525" w14:textId="1F5089D0" w:rsidR="00955C33" w:rsidRPr="005A0CEA" w:rsidRDefault="00955C33" w:rsidP="007C5F0E">
            <w:pPr>
              <w:pStyle w:val="TableText"/>
              <w:keepNext w:val="0"/>
              <w:keepLines w:val="0"/>
              <w:ind w:left="171"/>
            </w:pPr>
            <w:r w:rsidRPr="005A0CEA">
              <w:t>Change from baseline</w:t>
            </w:r>
            <w:r w:rsidRPr="005A0CEA">
              <w:rPr>
                <w:vertAlign w:val="superscript"/>
              </w:rPr>
              <w:t>1</w:t>
            </w:r>
          </w:p>
        </w:tc>
        <w:tc>
          <w:tcPr>
            <w:tcW w:w="1440" w:type="pct"/>
            <w:tcBorders>
              <w:top w:val="single" w:sz="4" w:space="0" w:color="auto"/>
              <w:left w:val="single" w:sz="4" w:space="0" w:color="auto"/>
              <w:bottom w:val="single" w:sz="4" w:space="0" w:color="auto"/>
              <w:right w:val="single" w:sz="4" w:space="0" w:color="auto"/>
            </w:tcBorders>
            <w:hideMark/>
          </w:tcPr>
          <w:p w14:paraId="0416DD25" w14:textId="6FC3B053" w:rsidR="00955C33" w:rsidRPr="005A0CEA" w:rsidRDefault="00955C33" w:rsidP="007C5F0E">
            <w:pPr>
              <w:pStyle w:val="TableText"/>
              <w:keepNext w:val="0"/>
              <w:keepLines w:val="0"/>
              <w:jc w:val="center"/>
              <w:rPr>
                <w:szCs w:val="20"/>
              </w:rPr>
            </w:pPr>
            <w:r w:rsidRPr="005A0CEA">
              <w:rPr>
                <w:szCs w:val="20"/>
              </w:rPr>
              <w:t>−2.0</w:t>
            </w:r>
          </w:p>
        </w:tc>
        <w:tc>
          <w:tcPr>
            <w:tcW w:w="1440" w:type="pct"/>
            <w:tcBorders>
              <w:top w:val="single" w:sz="4" w:space="0" w:color="auto"/>
              <w:left w:val="single" w:sz="4" w:space="0" w:color="auto"/>
              <w:bottom w:val="single" w:sz="4" w:space="0" w:color="auto"/>
              <w:right w:val="single" w:sz="4" w:space="0" w:color="auto"/>
            </w:tcBorders>
            <w:hideMark/>
          </w:tcPr>
          <w:p w14:paraId="7C2E799A" w14:textId="41505018" w:rsidR="00955C33" w:rsidRPr="005A0CEA" w:rsidRDefault="00955C33" w:rsidP="007C5F0E">
            <w:pPr>
              <w:pStyle w:val="TableText"/>
              <w:keepNext w:val="0"/>
              <w:keepLines w:val="0"/>
              <w:jc w:val="center"/>
              <w:rPr>
                <w:szCs w:val="20"/>
              </w:rPr>
            </w:pPr>
            <w:r w:rsidRPr="005A0CEA">
              <w:rPr>
                <w:szCs w:val="20"/>
              </w:rPr>
              <w:t>−2.0</w:t>
            </w:r>
          </w:p>
        </w:tc>
      </w:tr>
      <w:tr w:rsidR="00955C33" w:rsidRPr="005A0CEA" w14:paraId="45E71747" w14:textId="77777777" w:rsidTr="000E41F5">
        <w:trPr>
          <w:trHeight w:val="257"/>
        </w:trPr>
        <w:tc>
          <w:tcPr>
            <w:tcW w:w="2120" w:type="pct"/>
            <w:tcBorders>
              <w:top w:val="single" w:sz="4" w:space="0" w:color="auto"/>
              <w:left w:val="single" w:sz="4" w:space="0" w:color="auto"/>
              <w:bottom w:val="single" w:sz="4" w:space="0" w:color="auto"/>
              <w:right w:val="single" w:sz="4" w:space="0" w:color="auto"/>
            </w:tcBorders>
            <w:hideMark/>
          </w:tcPr>
          <w:p w14:paraId="32098455" w14:textId="411D90F2" w:rsidR="00955C33" w:rsidRPr="005A0CEA" w:rsidRDefault="00955C33" w:rsidP="007C5F0E">
            <w:pPr>
              <w:pStyle w:val="TableText"/>
              <w:keepNext w:val="0"/>
              <w:keepLines w:val="0"/>
              <w:ind w:left="171"/>
            </w:pPr>
            <w:r w:rsidRPr="005A0CEA">
              <w:t>Difference from empagliglozin</w:t>
            </w:r>
            <w:r w:rsidRPr="005A0CEA">
              <w:rPr>
                <w:vertAlign w:val="superscript"/>
              </w:rPr>
              <w:t xml:space="preserve">1 </w:t>
            </w:r>
            <w:r w:rsidRPr="005A0CEA">
              <w:t>[95% CI]</w:t>
            </w:r>
          </w:p>
        </w:tc>
        <w:tc>
          <w:tcPr>
            <w:tcW w:w="1440" w:type="pct"/>
            <w:tcBorders>
              <w:top w:val="single" w:sz="4" w:space="0" w:color="auto"/>
              <w:left w:val="single" w:sz="4" w:space="0" w:color="auto"/>
              <w:bottom w:val="single" w:sz="4" w:space="0" w:color="auto"/>
              <w:right w:val="single" w:sz="4" w:space="0" w:color="auto"/>
            </w:tcBorders>
            <w:hideMark/>
          </w:tcPr>
          <w:p w14:paraId="32268CF8" w14:textId="264E60CB" w:rsidR="00955C33" w:rsidRPr="005A0CEA" w:rsidRDefault="00955C33" w:rsidP="007C5F0E">
            <w:pPr>
              <w:pStyle w:val="TableText"/>
              <w:keepNext w:val="0"/>
              <w:keepLines w:val="0"/>
              <w:jc w:val="center"/>
              <w:rPr>
                <w:szCs w:val="20"/>
              </w:rPr>
            </w:pPr>
            <w:r w:rsidRPr="005A0CEA">
              <w:rPr>
                <w:szCs w:val="20"/>
              </w:rPr>
              <w:t>0.0 [−0.2; 0.3]</w:t>
            </w:r>
          </w:p>
        </w:tc>
        <w:tc>
          <w:tcPr>
            <w:tcW w:w="1440" w:type="pct"/>
            <w:tcBorders>
              <w:top w:val="single" w:sz="4" w:space="0" w:color="auto"/>
              <w:left w:val="single" w:sz="4" w:space="0" w:color="auto"/>
              <w:bottom w:val="single" w:sz="4" w:space="0" w:color="auto"/>
              <w:right w:val="single" w:sz="4" w:space="0" w:color="auto"/>
            </w:tcBorders>
            <w:hideMark/>
          </w:tcPr>
          <w:p w14:paraId="0BFAC2A4" w14:textId="27E40D29" w:rsidR="00955C33" w:rsidRPr="005A0CEA" w:rsidRDefault="00955C33" w:rsidP="007C5F0E">
            <w:pPr>
              <w:pStyle w:val="TableText"/>
              <w:keepNext w:val="0"/>
              <w:keepLines w:val="0"/>
              <w:jc w:val="center"/>
              <w:rPr>
                <w:szCs w:val="20"/>
              </w:rPr>
            </w:pPr>
            <w:r w:rsidRPr="005A0CEA">
              <w:rPr>
                <w:szCs w:val="20"/>
              </w:rPr>
              <w:t>-</w:t>
            </w:r>
          </w:p>
        </w:tc>
      </w:tr>
      <w:tr w:rsidR="004A6384" w:rsidRPr="005A0CEA" w14:paraId="005298DA" w14:textId="77777777" w:rsidTr="000E41F5">
        <w:trPr>
          <w:trHeight w:val="236"/>
        </w:trPr>
        <w:tc>
          <w:tcPr>
            <w:tcW w:w="2120" w:type="pct"/>
            <w:tcBorders>
              <w:top w:val="single" w:sz="4" w:space="0" w:color="auto"/>
              <w:left w:val="single" w:sz="4" w:space="0" w:color="auto"/>
              <w:bottom w:val="single" w:sz="4" w:space="0" w:color="auto"/>
              <w:right w:val="nil"/>
            </w:tcBorders>
            <w:hideMark/>
          </w:tcPr>
          <w:p w14:paraId="4D74D3FC" w14:textId="72D9A752" w:rsidR="004A6384" w:rsidRPr="005A0CEA" w:rsidRDefault="00955C33" w:rsidP="007C5F0E">
            <w:pPr>
              <w:pStyle w:val="TableText"/>
              <w:keepNext w:val="0"/>
              <w:keepLines w:val="0"/>
              <w:rPr>
                <w:b/>
                <w:bCs/>
              </w:rPr>
            </w:pPr>
            <w:r w:rsidRPr="005A0CEA">
              <w:rPr>
                <w:rStyle w:val="FootnoteReference"/>
              </w:rPr>
              <w:t xml:space="preserve"> </w:t>
            </w:r>
            <w:r w:rsidR="004A6384" w:rsidRPr="005A0CEA">
              <w:rPr>
                <w:b/>
                <w:bCs/>
              </w:rPr>
              <w:t>Body weight (kg)</w:t>
            </w:r>
          </w:p>
        </w:tc>
        <w:tc>
          <w:tcPr>
            <w:tcW w:w="2880" w:type="pct"/>
            <w:gridSpan w:val="2"/>
            <w:tcBorders>
              <w:top w:val="single" w:sz="4" w:space="0" w:color="auto"/>
              <w:left w:val="nil"/>
              <w:bottom w:val="single" w:sz="4" w:space="0" w:color="auto"/>
              <w:right w:val="single" w:sz="4" w:space="0" w:color="auto"/>
            </w:tcBorders>
          </w:tcPr>
          <w:p w14:paraId="15F5588B" w14:textId="77777777" w:rsidR="004A6384" w:rsidRPr="005A0CEA" w:rsidRDefault="004A6384" w:rsidP="007C5F0E">
            <w:pPr>
              <w:pStyle w:val="TableText"/>
              <w:keepNext w:val="0"/>
              <w:keepLines w:val="0"/>
              <w:jc w:val="center"/>
            </w:pPr>
          </w:p>
        </w:tc>
      </w:tr>
      <w:tr w:rsidR="00955C33" w:rsidRPr="005A0CEA" w14:paraId="7BA9E45B" w14:textId="77777777" w:rsidTr="000E41F5">
        <w:trPr>
          <w:trHeight w:val="175"/>
        </w:trPr>
        <w:tc>
          <w:tcPr>
            <w:tcW w:w="2120" w:type="pct"/>
            <w:tcBorders>
              <w:top w:val="single" w:sz="4" w:space="0" w:color="auto"/>
              <w:left w:val="single" w:sz="4" w:space="0" w:color="auto"/>
              <w:bottom w:val="single" w:sz="4" w:space="0" w:color="auto"/>
              <w:right w:val="single" w:sz="4" w:space="0" w:color="auto"/>
            </w:tcBorders>
            <w:hideMark/>
          </w:tcPr>
          <w:p w14:paraId="7BBE9A30" w14:textId="22F4F54B" w:rsidR="00955C33" w:rsidRPr="005A0CEA" w:rsidRDefault="00955C33" w:rsidP="007C5F0E">
            <w:pPr>
              <w:pStyle w:val="TableText"/>
              <w:keepNext w:val="0"/>
              <w:keepLines w:val="0"/>
              <w:ind w:left="171"/>
              <w:rPr>
                <w:b/>
                <w:bCs/>
              </w:rPr>
            </w:pPr>
            <w:r w:rsidRPr="005A0CEA">
              <w:t>Baseline</w:t>
            </w:r>
          </w:p>
        </w:tc>
        <w:tc>
          <w:tcPr>
            <w:tcW w:w="1440" w:type="pct"/>
            <w:tcBorders>
              <w:top w:val="single" w:sz="4" w:space="0" w:color="auto"/>
              <w:left w:val="single" w:sz="4" w:space="0" w:color="auto"/>
              <w:bottom w:val="single" w:sz="4" w:space="0" w:color="auto"/>
              <w:right w:val="single" w:sz="4" w:space="0" w:color="auto"/>
            </w:tcBorders>
            <w:hideMark/>
          </w:tcPr>
          <w:p w14:paraId="5A2E3014" w14:textId="2A730581" w:rsidR="00955C33" w:rsidRPr="005A0CEA" w:rsidRDefault="00955C33" w:rsidP="007C5F0E">
            <w:pPr>
              <w:pStyle w:val="TableText"/>
              <w:keepNext w:val="0"/>
              <w:keepLines w:val="0"/>
              <w:jc w:val="center"/>
              <w:rPr>
                <w:szCs w:val="20"/>
              </w:rPr>
            </w:pPr>
            <w:r w:rsidRPr="005A0CEA">
              <w:rPr>
                <w:szCs w:val="20"/>
              </w:rPr>
              <w:t>91.9</w:t>
            </w:r>
          </w:p>
        </w:tc>
        <w:tc>
          <w:tcPr>
            <w:tcW w:w="1440" w:type="pct"/>
            <w:tcBorders>
              <w:top w:val="single" w:sz="4" w:space="0" w:color="auto"/>
              <w:left w:val="single" w:sz="4" w:space="0" w:color="auto"/>
              <w:bottom w:val="single" w:sz="4" w:space="0" w:color="auto"/>
              <w:right w:val="single" w:sz="4" w:space="0" w:color="auto"/>
            </w:tcBorders>
            <w:hideMark/>
          </w:tcPr>
          <w:p w14:paraId="38F7553E" w14:textId="19A6F5BD" w:rsidR="00955C33" w:rsidRPr="005A0CEA" w:rsidRDefault="00955C33" w:rsidP="007C5F0E">
            <w:pPr>
              <w:pStyle w:val="TableText"/>
              <w:keepNext w:val="0"/>
              <w:keepLines w:val="0"/>
              <w:jc w:val="center"/>
              <w:rPr>
                <w:szCs w:val="20"/>
              </w:rPr>
            </w:pPr>
            <w:r w:rsidRPr="005A0CEA">
              <w:rPr>
                <w:szCs w:val="20"/>
              </w:rPr>
              <w:t>91.3</w:t>
            </w:r>
          </w:p>
        </w:tc>
      </w:tr>
      <w:tr w:rsidR="00955C33" w:rsidRPr="005A0CEA" w14:paraId="3CCC8F92" w14:textId="77777777" w:rsidTr="000E41F5">
        <w:trPr>
          <w:trHeight w:val="226"/>
        </w:trPr>
        <w:tc>
          <w:tcPr>
            <w:tcW w:w="2120" w:type="pct"/>
            <w:tcBorders>
              <w:top w:val="single" w:sz="4" w:space="0" w:color="auto"/>
              <w:left w:val="single" w:sz="4" w:space="0" w:color="auto"/>
              <w:bottom w:val="single" w:sz="4" w:space="0" w:color="auto"/>
              <w:right w:val="single" w:sz="4" w:space="0" w:color="auto"/>
            </w:tcBorders>
            <w:hideMark/>
          </w:tcPr>
          <w:p w14:paraId="3FAA81FA" w14:textId="352E1F44" w:rsidR="00955C33" w:rsidRPr="005A0CEA" w:rsidRDefault="00955C33" w:rsidP="007C5F0E">
            <w:pPr>
              <w:pStyle w:val="TableText"/>
              <w:keepNext w:val="0"/>
              <w:keepLines w:val="0"/>
              <w:ind w:left="171"/>
            </w:pPr>
            <w:r w:rsidRPr="005A0CEA">
              <w:t>Change from baseline</w:t>
            </w:r>
            <w:r w:rsidRPr="005A0CEA">
              <w:rPr>
                <w:vertAlign w:val="superscript"/>
              </w:rPr>
              <w:t>1</w:t>
            </w:r>
          </w:p>
        </w:tc>
        <w:tc>
          <w:tcPr>
            <w:tcW w:w="1440" w:type="pct"/>
            <w:tcBorders>
              <w:top w:val="single" w:sz="4" w:space="0" w:color="auto"/>
              <w:left w:val="single" w:sz="4" w:space="0" w:color="auto"/>
              <w:bottom w:val="single" w:sz="4" w:space="0" w:color="auto"/>
              <w:right w:val="single" w:sz="4" w:space="0" w:color="auto"/>
            </w:tcBorders>
            <w:hideMark/>
          </w:tcPr>
          <w:p w14:paraId="0B4924AC" w14:textId="457231BE" w:rsidR="00955C33" w:rsidRPr="005A0CEA" w:rsidRDefault="00955C33" w:rsidP="007C5F0E">
            <w:pPr>
              <w:pStyle w:val="TableText"/>
              <w:keepNext w:val="0"/>
              <w:keepLines w:val="0"/>
              <w:jc w:val="center"/>
              <w:rPr>
                <w:szCs w:val="20"/>
              </w:rPr>
            </w:pPr>
            <w:r w:rsidRPr="005A0CEA">
              <w:rPr>
                <w:szCs w:val="20"/>
              </w:rPr>
              <w:t>−3.8</w:t>
            </w:r>
          </w:p>
        </w:tc>
        <w:tc>
          <w:tcPr>
            <w:tcW w:w="1440" w:type="pct"/>
            <w:tcBorders>
              <w:top w:val="single" w:sz="4" w:space="0" w:color="auto"/>
              <w:left w:val="single" w:sz="4" w:space="0" w:color="auto"/>
              <w:bottom w:val="single" w:sz="4" w:space="0" w:color="auto"/>
              <w:right w:val="single" w:sz="4" w:space="0" w:color="auto"/>
            </w:tcBorders>
            <w:hideMark/>
          </w:tcPr>
          <w:p w14:paraId="10108D97" w14:textId="48EB2F26" w:rsidR="00955C33" w:rsidRPr="005A0CEA" w:rsidRDefault="00955C33" w:rsidP="007C5F0E">
            <w:pPr>
              <w:pStyle w:val="TableText"/>
              <w:keepNext w:val="0"/>
              <w:keepLines w:val="0"/>
              <w:jc w:val="center"/>
              <w:rPr>
                <w:szCs w:val="20"/>
              </w:rPr>
            </w:pPr>
            <w:r w:rsidRPr="005A0CEA">
              <w:rPr>
                <w:szCs w:val="20"/>
              </w:rPr>
              <w:t>−3.7</w:t>
            </w:r>
          </w:p>
        </w:tc>
      </w:tr>
      <w:tr w:rsidR="00955C33" w:rsidRPr="005A0CEA" w14:paraId="30CC5BF9" w14:textId="77777777" w:rsidTr="000E41F5">
        <w:trPr>
          <w:trHeight w:val="272"/>
        </w:trPr>
        <w:tc>
          <w:tcPr>
            <w:tcW w:w="2120" w:type="pct"/>
            <w:tcBorders>
              <w:top w:val="single" w:sz="4" w:space="0" w:color="auto"/>
              <w:left w:val="single" w:sz="4" w:space="0" w:color="auto"/>
              <w:bottom w:val="single" w:sz="4" w:space="0" w:color="auto"/>
              <w:right w:val="single" w:sz="4" w:space="0" w:color="auto"/>
            </w:tcBorders>
            <w:hideMark/>
          </w:tcPr>
          <w:p w14:paraId="0EACA065" w14:textId="017C9894" w:rsidR="00955C33" w:rsidRPr="005A0CEA" w:rsidRDefault="00955C33" w:rsidP="007C5F0E">
            <w:pPr>
              <w:pStyle w:val="TableText"/>
              <w:keepNext w:val="0"/>
              <w:keepLines w:val="0"/>
              <w:ind w:left="171"/>
            </w:pPr>
            <w:r w:rsidRPr="005A0CEA">
              <w:t>Difference from empagliflozin</w:t>
            </w:r>
            <w:r w:rsidRPr="005A0CEA">
              <w:rPr>
                <w:vertAlign w:val="superscript"/>
              </w:rPr>
              <w:t>1</w:t>
            </w:r>
            <w:r w:rsidRPr="005A0CEA">
              <w:t xml:space="preserve"> [95% CI]</w:t>
            </w:r>
          </w:p>
        </w:tc>
        <w:tc>
          <w:tcPr>
            <w:tcW w:w="1440" w:type="pct"/>
            <w:tcBorders>
              <w:top w:val="single" w:sz="4" w:space="0" w:color="auto"/>
              <w:left w:val="single" w:sz="4" w:space="0" w:color="auto"/>
              <w:bottom w:val="single" w:sz="4" w:space="0" w:color="auto"/>
              <w:right w:val="single" w:sz="4" w:space="0" w:color="auto"/>
            </w:tcBorders>
            <w:hideMark/>
          </w:tcPr>
          <w:p w14:paraId="0F91F9B1" w14:textId="23F61C17" w:rsidR="00955C33" w:rsidRPr="005A0CEA" w:rsidRDefault="00955C33" w:rsidP="007C5F0E">
            <w:pPr>
              <w:pStyle w:val="TableText"/>
              <w:keepNext w:val="0"/>
              <w:keepLines w:val="0"/>
              <w:jc w:val="center"/>
              <w:rPr>
                <w:szCs w:val="20"/>
              </w:rPr>
            </w:pPr>
            <w:r w:rsidRPr="005A0CEA">
              <w:rPr>
                <w:szCs w:val="20"/>
              </w:rPr>
              <w:t>−0.1 [−0.7; 0.5]</w:t>
            </w:r>
          </w:p>
        </w:tc>
        <w:tc>
          <w:tcPr>
            <w:tcW w:w="1440" w:type="pct"/>
            <w:tcBorders>
              <w:top w:val="single" w:sz="4" w:space="0" w:color="auto"/>
              <w:left w:val="single" w:sz="4" w:space="0" w:color="auto"/>
              <w:bottom w:val="single" w:sz="4" w:space="0" w:color="auto"/>
              <w:right w:val="single" w:sz="4" w:space="0" w:color="auto"/>
            </w:tcBorders>
            <w:hideMark/>
          </w:tcPr>
          <w:p w14:paraId="6E24BB36" w14:textId="33A06C48" w:rsidR="00955C33" w:rsidRPr="005A0CEA" w:rsidRDefault="00955C33" w:rsidP="007C5F0E">
            <w:pPr>
              <w:pStyle w:val="TableText"/>
              <w:keepNext w:val="0"/>
              <w:keepLines w:val="0"/>
              <w:jc w:val="center"/>
              <w:rPr>
                <w:szCs w:val="20"/>
              </w:rPr>
            </w:pPr>
            <w:r w:rsidRPr="005A0CEA">
              <w:rPr>
                <w:szCs w:val="20"/>
              </w:rPr>
              <w:t>-</w:t>
            </w:r>
          </w:p>
        </w:tc>
      </w:tr>
      <w:tr w:rsidR="00955C33" w:rsidRPr="005A0CEA" w14:paraId="238C0DF8" w14:textId="77777777" w:rsidTr="00D038B0">
        <w:trPr>
          <w:trHeight w:val="236"/>
        </w:trPr>
        <w:tc>
          <w:tcPr>
            <w:tcW w:w="5000" w:type="pct"/>
            <w:gridSpan w:val="3"/>
            <w:tcBorders>
              <w:top w:val="single" w:sz="4" w:space="0" w:color="auto"/>
              <w:left w:val="single" w:sz="4" w:space="0" w:color="auto"/>
              <w:bottom w:val="single" w:sz="4" w:space="0" w:color="auto"/>
              <w:right w:val="single" w:sz="4" w:space="0" w:color="auto"/>
            </w:tcBorders>
          </w:tcPr>
          <w:p w14:paraId="0A3D49B5" w14:textId="0056FB05" w:rsidR="00955C33" w:rsidRPr="005A0CEA" w:rsidRDefault="00955C33" w:rsidP="007C5F0E">
            <w:pPr>
              <w:pStyle w:val="TableText"/>
              <w:keepNext w:val="0"/>
              <w:keepLines w:val="0"/>
              <w:rPr>
                <w:b/>
                <w:bCs/>
              </w:rPr>
            </w:pPr>
            <w:r w:rsidRPr="005A0CEA">
              <w:rPr>
                <w:rStyle w:val="FootnoteReference"/>
                <w:b/>
                <w:bCs/>
                <w:vertAlign w:val="baseline"/>
              </w:rPr>
              <w:t>Week 52</w:t>
            </w:r>
          </w:p>
        </w:tc>
      </w:tr>
      <w:tr w:rsidR="00955C33" w:rsidRPr="005A0CEA" w14:paraId="65CC5B9A"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4F009A2A" w14:textId="1F34C1EE" w:rsidR="00955C33" w:rsidRPr="005A0CEA" w:rsidRDefault="00955C33" w:rsidP="007C5F0E">
            <w:pPr>
              <w:pStyle w:val="TableText"/>
              <w:keepNext w:val="0"/>
              <w:keepLines w:val="0"/>
              <w:rPr>
                <w:b/>
                <w:bCs/>
                <w:szCs w:val="20"/>
              </w:rPr>
            </w:pPr>
            <w:r w:rsidRPr="005A0CEA">
              <w:rPr>
                <w:b/>
                <w:szCs w:val="20"/>
              </w:rPr>
              <w:t xml:space="preserve"> HbA</w:t>
            </w:r>
            <w:r w:rsidRPr="005A0CEA">
              <w:rPr>
                <w:b/>
                <w:szCs w:val="20"/>
                <w:vertAlign w:val="subscript"/>
              </w:rPr>
              <w:t xml:space="preserve">1c </w:t>
            </w:r>
            <w:r w:rsidRPr="005A0CEA">
              <w:rPr>
                <w:b/>
                <w:szCs w:val="20"/>
              </w:rPr>
              <w:t>(%)</w:t>
            </w:r>
          </w:p>
        </w:tc>
        <w:tc>
          <w:tcPr>
            <w:tcW w:w="1440" w:type="pct"/>
            <w:tcBorders>
              <w:top w:val="single" w:sz="4" w:space="0" w:color="auto"/>
              <w:left w:val="single" w:sz="4" w:space="0" w:color="auto"/>
              <w:bottom w:val="single" w:sz="4" w:space="0" w:color="auto"/>
              <w:right w:val="single" w:sz="4" w:space="0" w:color="auto"/>
            </w:tcBorders>
          </w:tcPr>
          <w:p w14:paraId="65272A80" w14:textId="1B483D0F" w:rsidR="00955C33" w:rsidRPr="005A0CEA" w:rsidRDefault="00955C33" w:rsidP="007C5F0E">
            <w:pPr>
              <w:pStyle w:val="TableText"/>
              <w:keepNext w:val="0"/>
              <w:keepLines w:val="0"/>
              <w:jc w:val="center"/>
              <w:rPr>
                <w:szCs w:val="20"/>
                <w:vertAlign w:val="superscript"/>
              </w:rPr>
            </w:pPr>
          </w:p>
        </w:tc>
        <w:tc>
          <w:tcPr>
            <w:tcW w:w="1440" w:type="pct"/>
            <w:tcBorders>
              <w:top w:val="single" w:sz="4" w:space="0" w:color="auto"/>
              <w:left w:val="single" w:sz="4" w:space="0" w:color="auto"/>
              <w:bottom w:val="single" w:sz="4" w:space="0" w:color="auto"/>
              <w:right w:val="single" w:sz="4" w:space="0" w:color="auto"/>
            </w:tcBorders>
          </w:tcPr>
          <w:p w14:paraId="2A966A43" w14:textId="3D5B3B2C" w:rsidR="00955C33" w:rsidRPr="005A0CEA" w:rsidRDefault="00955C33" w:rsidP="007C5F0E">
            <w:pPr>
              <w:pStyle w:val="TableText"/>
              <w:keepNext w:val="0"/>
              <w:keepLines w:val="0"/>
              <w:jc w:val="center"/>
              <w:rPr>
                <w:szCs w:val="20"/>
              </w:rPr>
            </w:pPr>
          </w:p>
        </w:tc>
      </w:tr>
      <w:tr w:rsidR="00955C33" w:rsidRPr="005A0CEA" w14:paraId="77DD1B83"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02F663EC" w14:textId="3D51F685" w:rsidR="00955C33" w:rsidRPr="005A0CEA" w:rsidRDefault="00955C33" w:rsidP="007C5F0E">
            <w:pPr>
              <w:pStyle w:val="TableText"/>
              <w:keepNext w:val="0"/>
              <w:keepLines w:val="0"/>
              <w:ind w:left="171"/>
              <w:rPr>
                <w:b/>
                <w:bCs/>
                <w:szCs w:val="20"/>
              </w:rPr>
            </w:pPr>
            <w:r w:rsidRPr="005A0CEA">
              <w:rPr>
                <w:szCs w:val="20"/>
              </w:rPr>
              <w:t>Change from baseline</w:t>
            </w:r>
            <w:r w:rsidRPr="005A0CEA">
              <w:rPr>
                <w:szCs w:val="20"/>
                <w:vertAlign w:val="superscript"/>
              </w:rPr>
              <w:t>1</w:t>
            </w:r>
          </w:p>
        </w:tc>
        <w:tc>
          <w:tcPr>
            <w:tcW w:w="1440" w:type="pct"/>
            <w:tcBorders>
              <w:top w:val="single" w:sz="4" w:space="0" w:color="auto"/>
              <w:left w:val="single" w:sz="4" w:space="0" w:color="auto"/>
              <w:bottom w:val="single" w:sz="4" w:space="0" w:color="auto"/>
              <w:right w:val="single" w:sz="4" w:space="0" w:color="auto"/>
            </w:tcBorders>
          </w:tcPr>
          <w:p w14:paraId="416401C4" w14:textId="055041F5" w:rsidR="00955C33" w:rsidRPr="005A0CEA" w:rsidRDefault="00955C33" w:rsidP="007C5F0E">
            <w:pPr>
              <w:pStyle w:val="TableText"/>
              <w:keepNext w:val="0"/>
              <w:keepLines w:val="0"/>
              <w:jc w:val="center"/>
              <w:rPr>
                <w:szCs w:val="20"/>
              </w:rPr>
            </w:pPr>
            <w:r w:rsidRPr="005A0CEA">
              <w:rPr>
                <w:szCs w:val="20"/>
              </w:rPr>
              <w:t>−1.3</w:t>
            </w:r>
          </w:p>
        </w:tc>
        <w:tc>
          <w:tcPr>
            <w:tcW w:w="1440" w:type="pct"/>
            <w:tcBorders>
              <w:top w:val="single" w:sz="4" w:space="0" w:color="auto"/>
              <w:left w:val="single" w:sz="4" w:space="0" w:color="auto"/>
              <w:bottom w:val="single" w:sz="4" w:space="0" w:color="auto"/>
              <w:right w:val="single" w:sz="4" w:space="0" w:color="auto"/>
            </w:tcBorders>
          </w:tcPr>
          <w:p w14:paraId="34A49C6A" w14:textId="72FF0B73" w:rsidR="00955C33" w:rsidRPr="005A0CEA" w:rsidRDefault="00955C33" w:rsidP="007C5F0E">
            <w:pPr>
              <w:pStyle w:val="TableText"/>
              <w:keepNext w:val="0"/>
              <w:keepLines w:val="0"/>
              <w:jc w:val="center"/>
              <w:rPr>
                <w:szCs w:val="20"/>
              </w:rPr>
            </w:pPr>
            <w:r w:rsidRPr="005A0CEA">
              <w:rPr>
                <w:szCs w:val="20"/>
              </w:rPr>
              <w:t>−0.9</w:t>
            </w:r>
          </w:p>
        </w:tc>
      </w:tr>
      <w:tr w:rsidR="00955C33" w:rsidRPr="005A0CEA" w14:paraId="04EA65D5"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49DCEB4B" w14:textId="2D963938" w:rsidR="00955C33" w:rsidRPr="005A0CEA" w:rsidRDefault="00955C33" w:rsidP="007C5F0E">
            <w:pPr>
              <w:pStyle w:val="TableText"/>
              <w:keepNext w:val="0"/>
              <w:keepLines w:val="0"/>
              <w:ind w:left="171"/>
              <w:rPr>
                <w:b/>
                <w:bCs/>
                <w:szCs w:val="20"/>
              </w:rPr>
            </w:pPr>
            <w:r w:rsidRPr="005A0CEA">
              <w:rPr>
                <w:szCs w:val="20"/>
              </w:rPr>
              <w:t>Difference from empagliflozin</w:t>
            </w:r>
            <w:r w:rsidRPr="005A0CEA">
              <w:rPr>
                <w:szCs w:val="20"/>
                <w:vertAlign w:val="superscript"/>
              </w:rPr>
              <w:t xml:space="preserve">1 </w:t>
            </w:r>
            <w:r w:rsidRPr="005A0CEA">
              <w:rPr>
                <w:szCs w:val="20"/>
              </w:rPr>
              <w:t>[95% CI]</w:t>
            </w:r>
          </w:p>
        </w:tc>
        <w:tc>
          <w:tcPr>
            <w:tcW w:w="1440" w:type="pct"/>
            <w:tcBorders>
              <w:top w:val="single" w:sz="4" w:space="0" w:color="auto"/>
              <w:left w:val="single" w:sz="4" w:space="0" w:color="auto"/>
              <w:bottom w:val="single" w:sz="4" w:space="0" w:color="auto"/>
              <w:right w:val="single" w:sz="4" w:space="0" w:color="auto"/>
            </w:tcBorders>
          </w:tcPr>
          <w:p w14:paraId="3B3B6E98" w14:textId="50D0DD39" w:rsidR="00955C33" w:rsidRPr="005A0CEA" w:rsidRDefault="00955C33" w:rsidP="007C5F0E">
            <w:pPr>
              <w:pStyle w:val="TableText"/>
              <w:keepNext w:val="0"/>
              <w:keepLines w:val="0"/>
              <w:jc w:val="center"/>
              <w:rPr>
                <w:szCs w:val="20"/>
              </w:rPr>
            </w:pPr>
            <w:r w:rsidRPr="005A0CEA">
              <w:rPr>
                <w:szCs w:val="20"/>
              </w:rPr>
              <w:t>−0.4 [−0.5; −0.</w:t>
            </w:r>
            <w:proofErr w:type="gramStart"/>
            <w:r w:rsidRPr="005A0CEA">
              <w:rPr>
                <w:szCs w:val="20"/>
              </w:rPr>
              <w:t>3]</w:t>
            </w:r>
            <w:r w:rsidRPr="005A0CEA">
              <w:rPr>
                <w:szCs w:val="20"/>
                <w:vertAlign w:val="superscript"/>
              </w:rPr>
              <w:t>§</w:t>
            </w:r>
            <w:proofErr w:type="gramEnd"/>
          </w:p>
        </w:tc>
        <w:tc>
          <w:tcPr>
            <w:tcW w:w="1440" w:type="pct"/>
            <w:tcBorders>
              <w:top w:val="single" w:sz="4" w:space="0" w:color="auto"/>
              <w:left w:val="single" w:sz="4" w:space="0" w:color="auto"/>
              <w:bottom w:val="single" w:sz="4" w:space="0" w:color="auto"/>
              <w:right w:val="single" w:sz="4" w:space="0" w:color="auto"/>
            </w:tcBorders>
          </w:tcPr>
          <w:p w14:paraId="720E8898" w14:textId="77C3B363" w:rsidR="00955C33" w:rsidRPr="005A0CEA" w:rsidRDefault="00955C33" w:rsidP="007C5F0E">
            <w:pPr>
              <w:pStyle w:val="TableText"/>
              <w:keepNext w:val="0"/>
              <w:keepLines w:val="0"/>
              <w:jc w:val="center"/>
              <w:rPr>
                <w:szCs w:val="20"/>
              </w:rPr>
            </w:pPr>
            <w:r w:rsidRPr="005A0CEA">
              <w:rPr>
                <w:szCs w:val="20"/>
              </w:rPr>
              <w:t>-</w:t>
            </w:r>
          </w:p>
        </w:tc>
      </w:tr>
      <w:tr w:rsidR="00955C33" w:rsidRPr="005A0CEA" w14:paraId="2CDB44F9"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2A2D912E" w14:textId="76992E6E" w:rsidR="00955C33" w:rsidRPr="005A0CEA" w:rsidDel="00955C33" w:rsidRDefault="00955C33" w:rsidP="007C5F0E">
            <w:pPr>
              <w:pStyle w:val="TableText"/>
              <w:keepNext w:val="0"/>
              <w:keepLines w:val="0"/>
              <w:rPr>
                <w:rStyle w:val="FootnoteReference"/>
                <w:szCs w:val="20"/>
              </w:rPr>
            </w:pPr>
            <w:r w:rsidRPr="005A0CEA">
              <w:rPr>
                <w:b/>
                <w:szCs w:val="20"/>
              </w:rPr>
              <w:t xml:space="preserve"> Patients (%) achieving HbA</w:t>
            </w:r>
            <w:r w:rsidRPr="005A0CEA">
              <w:rPr>
                <w:b/>
                <w:szCs w:val="20"/>
                <w:vertAlign w:val="subscript"/>
              </w:rPr>
              <w:t>1c</w:t>
            </w:r>
            <w:r w:rsidRPr="005A0CEA">
              <w:rPr>
                <w:b/>
                <w:szCs w:val="20"/>
              </w:rPr>
              <w:t xml:space="preserve"> &lt;7.0%</w:t>
            </w:r>
          </w:p>
        </w:tc>
        <w:tc>
          <w:tcPr>
            <w:tcW w:w="1440" w:type="pct"/>
            <w:tcBorders>
              <w:top w:val="single" w:sz="4" w:space="0" w:color="auto"/>
              <w:left w:val="single" w:sz="4" w:space="0" w:color="auto"/>
              <w:bottom w:val="single" w:sz="4" w:space="0" w:color="auto"/>
              <w:right w:val="single" w:sz="4" w:space="0" w:color="auto"/>
            </w:tcBorders>
          </w:tcPr>
          <w:p w14:paraId="3127693A" w14:textId="3513E93E" w:rsidR="00955C33" w:rsidRPr="005A0CEA" w:rsidDel="00955C33" w:rsidRDefault="00955C33" w:rsidP="007C5F0E">
            <w:pPr>
              <w:pStyle w:val="TableText"/>
              <w:keepNext w:val="0"/>
              <w:keepLines w:val="0"/>
              <w:jc w:val="center"/>
              <w:rPr>
                <w:szCs w:val="20"/>
              </w:rPr>
            </w:pPr>
            <w:r w:rsidRPr="005A0CEA">
              <w:rPr>
                <w:szCs w:val="20"/>
              </w:rPr>
              <w:t>66</w:t>
            </w:r>
            <w:r w:rsidRPr="005A0CEA">
              <w:rPr>
                <w:szCs w:val="20"/>
                <w:vertAlign w:val="superscript"/>
              </w:rPr>
              <w:t>§</w:t>
            </w:r>
          </w:p>
        </w:tc>
        <w:tc>
          <w:tcPr>
            <w:tcW w:w="1440" w:type="pct"/>
            <w:tcBorders>
              <w:top w:val="single" w:sz="4" w:space="0" w:color="auto"/>
              <w:left w:val="single" w:sz="4" w:space="0" w:color="auto"/>
              <w:bottom w:val="single" w:sz="4" w:space="0" w:color="auto"/>
              <w:right w:val="single" w:sz="4" w:space="0" w:color="auto"/>
            </w:tcBorders>
          </w:tcPr>
          <w:p w14:paraId="4FFCB5E7" w14:textId="57E7BBF3" w:rsidR="00955C33" w:rsidRPr="005A0CEA" w:rsidDel="00955C33" w:rsidRDefault="00955C33" w:rsidP="007C5F0E">
            <w:pPr>
              <w:pStyle w:val="TableText"/>
              <w:keepNext w:val="0"/>
              <w:keepLines w:val="0"/>
              <w:jc w:val="center"/>
              <w:rPr>
                <w:szCs w:val="20"/>
              </w:rPr>
            </w:pPr>
            <w:r w:rsidRPr="005A0CEA">
              <w:rPr>
                <w:szCs w:val="20"/>
              </w:rPr>
              <w:t>43</w:t>
            </w:r>
          </w:p>
        </w:tc>
      </w:tr>
      <w:tr w:rsidR="00955C33" w:rsidRPr="005A0CEA" w14:paraId="285DA3F7"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3E1EB5D5" w14:textId="6D9716D0" w:rsidR="00955C33" w:rsidRPr="005A0CEA" w:rsidDel="00955C33" w:rsidRDefault="00955C33" w:rsidP="007C5F0E">
            <w:pPr>
              <w:pStyle w:val="TableText"/>
              <w:keepNext w:val="0"/>
              <w:keepLines w:val="0"/>
              <w:rPr>
                <w:rStyle w:val="FootnoteReference"/>
                <w:szCs w:val="20"/>
              </w:rPr>
            </w:pPr>
            <w:r w:rsidRPr="005A0CEA">
              <w:rPr>
                <w:b/>
                <w:szCs w:val="20"/>
              </w:rPr>
              <w:t xml:space="preserve"> Body weight (kg)</w:t>
            </w:r>
          </w:p>
        </w:tc>
        <w:tc>
          <w:tcPr>
            <w:tcW w:w="1440" w:type="pct"/>
            <w:tcBorders>
              <w:top w:val="single" w:sz="4" w:space="0" w:color="auto"/>
              <w:left w:val="single" w:sz="4" w:space="0" w:color="auto"/>
              <w:bottom w:val="single" w:sz="4" w:space="0" w:color="auto"/>
              <w:right w:val="single" w:sz="4" w:space="0" w:color="auto"/>
            </w:tcBorders>
          </w:tcPr>
          <w:p w14:paraId="3B327D3A" w14:textId="77777777" w:rsidR="00955C33" w:rsidRPr="005A0CEA" w:rsidDel="00955C33" w:rsidRDefault="00955C33" w:rsidP="007C5F0E">
            <w:pPr>
              <w:pStyle w:val="TableText"/>
              <w:keepNext w:val="0"/>
              <w:keepLines w:val="0"/>
              <w:jc w:val="center"/>
              <w:rPr>
                <w:szCs w:val="20"/>
              </w:rPr>
            </w:pPr>
          </w:p>
        </w:tc>
        <w:tc>
          <w:tcPr>
            <w:tcW w:w="1440" w:type="pct"/>
            <w:tcBorders>
              <w:top w:val="single" w:sz="4" w:space="0" w:color="auto"/>
              <w:left w:val="single" w:sz="4" w:space="0" w:color="auto"/>
              <w:bottom w:val="single" w:sz="4" w:space="0" w:color="auto"/>
              <w:right w:val="single" w:sz="4" w:space="0" w:color="auto"/>
            </w:tcBorders>
          </w:tcPr>
          <w:p w14:paraId="1AFAF38A" w14:textId="77777777" w:rsidR="00955C33" w:rsidRPr="005A0CEA" w:rsidDel="00955C33" w:rsidRDefault="00955C33" w:rsidP="007C5F0E">
            <w:pPr>
              <w:pStyle w:val="TableText"/>
              <w:keepNext w:val="0"/>
              <w:keepLines w:val="0"/>
              <w:jc w:val="center"/>
              <w:rPr>
                <w:szCs w:val="20"/>
              </w:rPr>
            </w:pPr>
          </w:p>
        </w:tc>
      </w:tr>
      <w:tr w:rsidR="00955C33" w:rsidRPr="005A0CEA" w14:paraId="22666B51"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3A53F80F" w14:textId="6CA24576" w:rsidR="00955C33" w:rsidRPr="005A0CEA" w:rsidDel="00955C33" w:rsidRDefault="00955C33" w:rsidP="007C5F0E">
            <w:pPr>
              <w:pStyle w:val="TableText"/>
              <w:keepNext w:val="0"/>
              <w:keepLines w:val="0"/>
              <w:ind w:left="171"/>
              <w:rPr>
                <w:rStyle w:val="FootnoteReference"/>
                <w:szCs w:val="20"/>
              </w:rPr>
            </w:pPr>
            <w:r w:rsidRPr="005A0CEA">
              <w:rPr>
                <w:szCs w:val="20"/>
              </w:rPr>
              <w:t>Change from baseline</w:t>
            </w:r>
            <w:r w:rsidRPr="005A0CEA">
              <w:rPr>
                <w:szCs w:val="20"/>
                <w:vertAlign w:val="superscript"/>
              </w:rPr>
              <w:t>1</w:t>
            </w:r>
          </w:p>
        </w:tc>
        <w:tc>
          <w:tcPr>
            <w:tcW w:w="1440" w:type="pct"/>
            <w:tcBorders>
              <w:top w:val="single" w:sz="4" w:space="0" w:color="auto"/>
              <w:left w:val="single" w:sz="4" w:space="0" w:color="auto"/>
              <w:bottom w:val="single" w:sz="4" w:space="0" w:color="auto"/>
              <w:right w:val="single" w:sz="4" w:space="0" w:color="auto"/>
            </w:tcBorders>
          </w:tcPr>
          <w:p w14:paraId="42602826" w14:textId="284FBE46" w:rsidR="00955C33" w:rsidRPr="005A0CEA" w:rsidDel="00955C33" w:rsidRDefault="00955C33" w:rsidP="007C5F0E">
            <w:pPr>
              <w:pStyle w:val="TableText"/>
              <w:keepNext w:val="0"/>
              <w:keepLines w:val="0"/>
              <w:jc w:val="center"/>
              <w:rPr>
                <w:szCs w:val="20"/>
              </w:rPr>
            </w:pPr>
            <w:r w:rsidRPr="005A0CEA">
              <w:rPr>
                <w:szCs w:val="20"/>
              </w:rPr>
              <w:t>−3.8</w:t>
            </w:r>
          </w:p>
        </w:tc>
        <w:tc>
          <w:tcPr>
            <w:tcW w:w="1440" w:type="pct"/>
            <w:tcBorders>
              <w:top w:val="single" w:sz="4" w:space="0" w:color="auto"/>
              <w:left w:val="single" w:sz="4" w:space="0" w:color="auto"/>
              <w:bottom w:val="single" w:sz="4" w:space="0" w:color="auto"/>
              <w:right w:val="single" w:sz="4" w:space="0" w:color="auto"/>
            </w:tcBorders>
          </w:tcPr>
          <w:p w14:paraId="7DF10554" w14:textId="16434764" w:rsidR="00955C33" w:rsidRPr="005A0CEA" w:rsidDel="00955C33" w:rsidRDefault="00955C33" w:rsidP="007C5F0E">
            <w:pPr>
              <w:pStyle w:val="TableText"/>
              <w:keepNext w:val="0"/>
              <w:keepLines w:val="0"/>
              <w:jc w:val="center"/>
              <w:rPr>
                <w:szCs w:val="20"/>
              </w:rPr>
            </w:pPr>
            <w:r w:rsidRPr="005A0CEA">
              <w:rPr>
                <w:szCs w:val="20"/>
              </w:rPr>
              <w:t>−3.6</w:t>
            </w:r>
          </w:p>
        </w:tc>
      </w:tr>
      <w:tr w:rsidR="00955C33" w:rsidRPr="005A0CEA" w14:paraId="3D1522FF" w14:textId="77777777" w:rsidTr="000E41F5">
        <w:trPr>
          <w:trHeight w:val="275"/>
        </w:trPr>
        <w:tc>
          <w:tcPr>
            <w:tcW w:w="2120" w:type="pct"/>
            <w:tcBorders>
              <w:top w:val="single" w:sz="4" w:space="0" w:color="auto"/>
              <w:left w:val="single" w:sz="4" w:space="0" w:color="auto"/>
              <w:bottom w:val="single" w:sz="4" w:space="0" w:color="auto"/>
              <w:right w:val="single" w:sz="4" w:space="0" w:color="auto"/>
            </w:tcBorders>
          </w:tcPr>
          <w:p w14:paraId="04023045" w14:textId="2E169781" w:rsidR="00955C33" w:rsidRPr="005A0CEA" w:rsidDel="00955C33" w:rsidRDefault="00955C33" w:rsidP="007C5F0E">
            <w:pPr>
              <w:pStyle w:val="TableText"/>
              <w:keepNext w:val="0"/>
              <w:keepLines w:val="0"/>
              <w:ind w:left="171"/>
              <w:rPr>
                <w:rStyle w:val="FootnoteReference"/>
                <w:szCs w:val="20"/>
              </w:rPr>
            </w:pPr>
            <w:r w:rsidRPr="005A0CEA">
              <w:rPr>
                <w:szCs w:val="20"/>
              </w:rPr>
              <w:t>Difference from empagliflozin</w:t>
            </w:r>
            <w:r w:rsidRPr="005A0CEA">
              <w:rPr>
                <w:szCs w:val="20"/>
                <w:vertAlign w:val="superscript"/>
              </w:rPr>
              <w:t>1</w:t>
            </w:r>
            <w:r w:rsidRPr="005A0CEA">
              <w:rPr>
                <w:szCs w:val="20"/>
              </w:rPr>
              <w:t xml:space="preserve"> [95% CI] </w:t>
            </w:r>
          </w:p>
        </w:tc>
        <w:tc>
          <w:tcPr>
            <w:tcW w:w="1440" w:type="pct"/>
            <w:tcBorders>
              <w:top w:val="single" w:sz="4" w:space="0" w:color="auto"/>
              <w:left w:val="single" w:sz="4" w:space="0" w:color="auto"/>
              <w:bottom w:val="single" w:sz="4" w:space="0" w:color="auto"/>
              <w:right w:val="single" w:sz="4" w:space="0" w:color="auto"/>
            </w:tcBorders>
          </w:tcPr>
          <w:p w14:paraId="63027EA9" w14:textId="33BEF0FA" w:rsidR="00955C33" w:rsidRPr="005A0CEA" w:rsidDel="00955C33" w:rsidRDefault="00955C33" w:rsidP="007C5F0E">
            <w:pPr>
              <w:pStyle w:val="TableText"/>
              <w:keepNext w:val="0"/>
              <w:keepLines w:val="0"/>
              <w:jc w:val="center"/>
              <w:rPr>
                <w:szCs w:val="20"/>
              </w:rPr>
            </w:pPr>
            <w:r w:rsidRPr="005A0CEA">
              <w:rPr>
                <w:szCs w:val="20"/>
              </w:rPr>
              <w:t>−0.2 [−0.9; 0.5]</w:t>
            </w:r>
          </w:p>
        </w:tc>
        <w:tc>
          <w:tcPr>
            <w:tcW w:w="1440" w:type="pct"/>
            <w:tcBorders>
              <w:top w:val="single" w:sz="4" w:space="0" w:color="auto"/>
              <w:left w:val="single" w:sz="4" w:space="0" w:color="auto"/>
              <w:bottom w:val="single" w:sz="4" w:space="0" w:color="auto"/>
              <w:right w:val="single" w:sz="4" w:space="0" w:color="auto"/>
            </w:tcBorders>
          </w:tcPr>
          <w:p w14:paraId="71C2110D" w14:textId="3F2F7ABE" w:rsidR="00955C33" w:rsidRPr="005A0CEA" w:rsidDel="00955C33" w:rsidRDefault="00955C33" w:rsidP="007C5F0E">
            <w:pPr>
              <w:pStyle w:val="TableText"/>
              <w:keepNext w:val="0"/>
              <w:keepLines w:val="0"/>
              <w:jc w:val="center"/>
              <w:rPr>
                <w:szCs w:val="20"/>
              </w:rPr>
            </w:pPr>
            <w:r w:rsidRPr="005A0CEA">
              <w:rPr>
                <w:szCs w:val="20"/>
              </w:rPr>
              <w:t>-</w:t>
            </w:r>
          </w:p>
        </w:tc>
      </w:tr>
    </w:tbl>
    <w:p w14:paraId="16EA1AE2" w14:textId="77777777" w:rsidR="00955C33" w:rsidRPr="005A0CEA" w:rsidRDefault="00646C58" w:rsidP="007C5F0E">
      <w:pPr>
        <w:ind w:left="142" w:hanging="142"/>
        <w:rPr>
          <w:sz w:val="18"/>
          <w:szCs w:val="18"/>
          <w:lang w:val="en-GB"/>
        </w:rPr>
      </w:pPr>
      <w:r w:rsidRPr="005A0CEA">
        <w:rPr>
          <w:sz w:val="18"/>
          <w:szCs w:val="18"/>
          <w:vertAlign w:val="superscript"/>
          <w:lang w:val="en-GB"/>
        </w:rPr>
        <w:t>1</w:t>
      </w:r>
      <w:r w:rsidRPr="005A0CEA">
        <w:rPr>
          <w:sz w:val="18"/>
          <w:szCs w:val="18"/>
          <w:lang w:val="en-GB"/>
        </w:rPr>
        <w:t xml:space="preserve"> Irrespective of treatment discontinuation or </w:t>
      </w:r>
      <w:proofErr w:type="spellStart"/>
      <w:r w:rsidRPr="005A0CEA">
        <w:rPr>
          <w:sz w:val="18"/>
          <w:szCs w:val="18"/>
          <w:lang w:val="en-GB"/>
        </w:rPr>
        <w:t>initiaton</w:t>
      </w:r>
      <w:proofErr w:type="spellEnd"/>
      <w:r w:rsidRPr="005A0CEA">
        <w:rPr>
          <w:sz w:val="18"/>
          <w:szCs w:val="18"/>
          <w:lang w:val="en-GB"/>
        </w:rPr>
        <w:t xml:space="preserve"> of rescue </w:t>
      </w:r>
      <w:proofErr w:type="spellStart"/>
      <w:r w:rsidRPr="005A0CEA">
        <w:rPr>
          <w:sz w:val="18"/>
          <w:szCs w:val="18"/>
          <w:lang w:val="en-GB"/>
        </w:rPr>
        <w:t>medicaton</w:t>
      </w:r>
      <w:proofErr w:type="spellEnd"/>
      <w:r w:rsidRPr="005A0CEA">
        <w:rPr>
          <w:sz w:val="18"/>
          <w:szCs w:val="18"/>
          <w:lang w:val="en-GB"/>
        </w:rPr>
        <w:t xml:space="preserve"> (pattern mixture model using multiple imputation). </w:t>
      </w:r>
    </w:p>
    <w:p w14:paraId="21C16655" w14:textId="77777777" w:rsidR="00955C33" w:rsidRPr="005A0CEA" w:rsidRDefault="00646C58" w:rsidP="007C5F0E">
      <w:pPr>
        <w:ind w:left="142" w:hanging="142"/>
        <w:rPr>
          <w:sz w:val="18"/>
          <w:szCs w:val="18"/>
          <w:lang w:val="en-GB"/>
        </w:rPr>
      </w:pPr>
      <w:r w:rsidRPr="005A0CEA">
        <w:rPr>
          <w:sz w:val="18"/>
          <w:szCs w:val="18"/>
          <w:lang w:val="en-GB"/>
        </w:rPr>
        <w:t xml:space="preserve">* p&lt;0.001 (unadjusted 2-sided) for superiority, controlled for multiplicity. </w:t>
      </w:r>
    </w:p>
    <w:p w14:paraId="69E54B73" w14:textId="2BC94641" w:rsidR="000E41F5" w:rsidRPr="005A0CEA" w:rsidRDefault="00646C58" w:rsidP="007C5F0E">
      <w:pPr>
        <w:ind w:left="142" w:hanging="142"/>
        <w:rPr>
          <w:sz w:val="18"/>
          <w:szCs w:val="18"/>
          <w:lang w:val="en-GB"/>
        </w:rPr>
      </w:pPr>
      <w:r w:rsidRPr="005A0CEA">
        <w:rPr>
          <w:sz w:val="18"/>
          <w:szCs w:val="18"/>
          <w:lang w:val="en-GB"/>
        </w:rPr>
        <w:t>§ p&lt;0.05, not controlled for multiplicity; for ‘Patients achieving HbA1c &lt;7.0%’, the p-value is for the odds ratio vs empagliflozin 25 mg.</w:t>
      </w:r>
    </w:p>
    <w:p w14:paraId="39BF7224" w14:textId="5ED724E1" w:rsidR="00E347F2" w:rsidRPr="005A0CEA" w:rsidRDefault="00E347F2" w:rsidP="007C5F0E">
      <w:pPr>
        <w:rPr>
          <w:b/>
          <w:bCs/>
          <w:lang w:val="en-GB"/>
        </w:rPr>
      </w:pPr>
    </w:p>
    <w:p w14:paraId="31E5492E" w14:textId="33E71267" w:rsidR="008D3AA2" w:rsidRPr="005A0CEA" w:rsidRDefault="008D3AA2" w:rsidP="007C5F0E">
      <w:pPr>
        <w:pStyle w:val="Heading6"/>
        <w:rPr>
          <w:lang w:val="en-GB"/>
        </w:rPr>
      </w:pPr>
      <w:r w:rsidRPr="005A0CEA">
        <w:rPr>
          <w:lang w:val="en-GB"/>
        </w:rPr>
        <w:t xml:space="preserve">PIONEER 3 – Rybelsus vs. sitagliptin, both in combination with metformin </w:t>
      </w:r>
      <w:proofErr w:type="gramStart"/>
      <w:r w:rsidRPr="005A0CEA">
        <w:rPr>
          <w:lang w:val="en-GB"/>
        </w:rPr>
        <w:t>or</w:t>
      </w:r>
      <w:proofErr w:type="gramEnd"/>
      <w:r w:rsidRPr="005A0CEA">
        <w:rPr>
          <w:lang w:val="en-GB"/>
        </w:rPr>
        <w:t xml:space="preserve"> metformin with sulfonylurea</w:t>
      </w:r>
    </w:p>
    <w:p w14:paraId="20D6696E" w14:textId="42B9C9E4" w:rsidR="008D3AA2" w:rsidRPr="005A0CEA" w:rsidRDefault="008D3AA2" w:rsidP="007C5F0E">
      <w:pPr>
        <w:rPr>
          <w:lang w:val="en-GB"/>
        </w:rPr>
      </w:pPr>
      <w:r w:rsidRPr="005A0CEA">
        <w:rPr>
          <w:lang w:val="en-GB"/>
        </w:rPr>
        <w:t>In a 78-week, double-blind, double-dummy trial, 1,864 patients with type 2 diabetes were randomised to Rybelsus 3 mg, Rybelsus 7 mg, Rybelsus 14 mg or sitagliptin 100 mg once daily, all in combination with metformin alone or metformin and sulfonylurea.</w:t>
      </w:r>
    </w:p>
    <w:p w14:paraId="35B31A4F" w14:textId="77777777" w:rsidR="008D3AA2" w:rsidRPr="005A0CEA" w:rsidRDefault="008D3AA2" w:rsidP="007C5F0E">
      <w:pPr>
        <w:rPr>
          <w:lang w:val="en-GB"/>
        </w:rPr>
      </w:pPr>
    </w:p>
    <w:p w14:paraId="733C04AE" w14:textId="6C830CD0" w:rsidR="008D3AA2" w:rsidRPr="005A0CEA" w:rsidRDefault="008D3AA2" w:rsidP="007C5F0E">
      <w:pPr>
        <w:rPr>
          <w:lang w:val="en-GB"/>
        </w:rPr>
      </w:pPr>
      <w:r w:rsidRPr="005A0CEA">
        <w:rPr>
          <w:lang w:val="en-GB"/>
        </w:rPr>
        <w:t>The mean age of the trial population was 58 years, and the mean duration of type 2 diabetes was 8.6 years. Overall, 71% were White, 9% were Black or African American and 13% were Asian. Hispanic or Latino patients comprised 17% (n=321) of the population. The mean body weight at baseline was 91 kg.</w:t>
      </w:r>
    </w:p>
    <w:p w14:paraId="5427BDF3" w14:textId="77777777" w:rsidR="008D3AA2" w:rsidRPr="005A0CEA" w:rsidRDefault="008D3AA2" w:rsidP="007C5F0E">
      <w:pPr>
        <w:rPr>
          <w:lang w:val="en-GB"/>
        </w:rPr>
      </w:pPr>
    </w:p>
    <w:p w14:paraId="71E8B979" w14:textId="7A8F715C" w:rsidR="008D3AA2" w:rsidRPr="005A0CEA" w:rsidRDefault="005C4741" w:rsidP="007C5F0E">
      <w:pPr>
        <w:rPr>
          <w:lang w:val="en-GB"/>
        </w:rPr>
      </w:pPr>
      <w:r w:rsidRPr="005A0CEA">
        <w:rPr>
          <w:lang w:val="en-GB"/>
        </w:rPr>
        <w:t>Treatment with Rybelsus 7 mg and 14 mg once daily was superior at week 26 in reducing HbA</w:t>
      </w:r>
      <w:r w:rsidRPr="005A0CEA">
        <w:rPr>
          <w:vertAlign w:val="subscript"/>
          <w:lang w:val="en-GB"/>
        </w:rPr>
        <w:t>1c</w:t>
      </w:r>
      <w:r w:rsidRPr="005A0CEA">
        <w:rPr>
          <w:lang w:val="en-GB"/>
        </w:rPr>
        <w:t xml:space="preserve"> and body weight compared to sitagliptin 100 mg once daily </w:t>
      </w:r>
      <w:r w:rsidR="008D3AA2" w:rsidRPr="005A0CEA">
        <w:rPr>
          <w:lang w:val="en-GB"/>
        </w:rPr>
        <w:t xml:space="preserve">(Table </w:t>
      </w:r>
      <w:r w:rsidR="00BF0244" w:rsidRPr="005A0CEA">
        <w:rPr>
          <w:lang w:val="en-GB"/>
        </w:rPr>
        <w:t>4</w:t>
      </w:r>
      <w:r w:rsidR="008D3AA2" w:rsidRPr="005A0CEA">
        <w:rPr>
          <w:lang w:val="en-GB"/>
        </w:rPr>
        <w:t>).</w:t>
      </w:r>
    </w:p>
    <w:p w14:paraId="34E04CFD" w14:textId="1BF662F9" w:rsidR="008D3AA2" w:rsidRPr="005A0CEA" w:rsidRDefault="008D3AA2" w:rsidP="007C5F0E">
      <w:pPr>
        <w:rPr>
          <w:lang w:val="en-GB"/>
        </w:rPr>
      </w:pPr>
    </w:p>
    <w:p w14:paraId="563FB4DC" w14:textId="61FC3001" w:rsidR="008D3AA2" w:rsidRPr="005A0CEA" w:rsidRDefault="000021EC" w:rsidP="00EC6639">
      <w:pPr>
        <w:keepNext/>
        <w:keepLines/>
        <w:rPr>
          <w:b/>
          <w:bCs/>
          <w:lang w:val="en-GB"/>
        </w:rPr>
      </w:pPr>
      <w:r w:rsidRPr="005A0CEA">
        <w:rPr>
          <w:b/>
          <w:bCs/>
          <w:lang w:val="en-GB"/>
        </w:rPr>
        <w:lastRenderedPageBreak/>
        <w:t xml:space="preserve">Table </w:t>
      </w:r>
      <w:r w:rsidRPr="005A0CEA">
        <w:rPr>
          <w:b/>
          <w:bCs/>
          <w:lang w:val="en-GB"/>
        </w:rPr>
        <w:fldChar w:fldCharType="begin"/>
      </w:r>
      <w:r w:rsidRPr="005A0CEA">
        <w:rPr>
          <w:b/>
          <w:bCs/>
          <w:lang w:val="en-GB"/>
        </w:rPr>
        <w:instrText xml:space="preserve"> SEQ Table \* ARABIC </w:instrText>
      </w:r>
      <w:r w:rsidRPr="005A0CEA">
        <w:rPr>
          <w:b/>
          <w:bCs/>
          <w:lang w:val="en-GB"/>
        </w:rPr>
        <w:fldChar w:fldCharType="separate"/>
      </w:r>
      <w:r w:rsidR="00A334F6">
        <w:rPr>
          <w:b/>
          <w:bCs/>
          <w:noProof/>
          <w:lang w:val="en-GB"/>
        </w:rPr>
        <w:t>5</w:t>
      </w:r>
      <w:r w:rsidRPr="005A0CEA">
        <w:rPr>
          <w:b/>
          <w:bCs/>
          <w:lang w:val="en-GB"/>
        </w:rPr>
        <w:fldChar w:fldCharType="end"/>
      </w:r>
      <w:r w:rsidRPr="005A0CEA">
        <w:rPr>
          <w:b/>
          <w:bCs/>
          <w:lang w:val="en-GB"/>
        </w:rPr>
        <w:t xml:space="preserve">: </w:t>
      </w:r>
      <w:r w:rsidR="008D3AA2" w:rsidRPr="005A0CEA">
        <w:rPr>
          <w:b/>
          <w:bCs/>
          <w:lang w:val="en-GB"/>
        </w:rPr>
        <w:t xml:space="preserve">Results </w:t>
      </w:r>
      <w:r w:rsidR="006C16B1" w:rsidRPr="005A0CEA">
        <w:rPr>
          <w:b/>
          <w:bCs/>
          <w:lang w:val="en-GB"/>
        </w:rPr>
        <w:t xml:space="preserve">of a </w:t>
      </w:r>
      <w:proofErr w:type="gramStart"/>
      <w:r w:rsidR="006C16B1" w:rsidRPr="005A0CEA">
        <w:rPr>
          <w:b/>
          <w:bCs/>
          <w:lang w:val="en-GB"/>
        </w:rPr>
        <w:t>78 week</w:t>
      </w:r>
      <w:proofErr w:type="gramEnd"/>
      <w:r w:rsidR="006C16B1" w:rsidRPr="005A0CEA">
        <w:rPr>
          <w:b/>
          <w:bCs/>
          <w:lang w:val="en-GB"/>
        </w:rPr>
        <w:t xml:space="preserve"> trial comparing semaglutide with sitagliptin </w:t>
      </w:r>
      <w:r w:rsidR="008D3AA2" w:rsidRPr="005A0CEA">
        <w:rPr>
          <w:b/>
          <w:bCs/>
          <w:lang w:val="en-GB"/>
        </w:rPr>
        <w:t>(PIONEER 3)</w:t>
      </w:r>
    </w:p>
    <w:tbl>
      <w:tblPr>
        <w:tblW w:w="9209"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3"/>
        <w:gridCol w:w="1842"/>
        <w:gridCol w:w="1985"/>
        <w:gridCol w:w="1559"/>
      </w:tblGrid>
      <w:tr w:rsidR="006C16B1" w:rsidRPr="005A0CEA" w14:paraId="1E7AD2DA" w14:textId="77777777" w:rsidTr="00D038B0">
        <w:trPr>
          <w:trHeight w:val="487"/>
        </w:trPr>
        <w:tc>
          <w:tcPr>
            <w:tcW w:w="3823" w:type="dxa"/>
            <w:tcBorders>
              <w:top w:val="single" w:sz="4" w:space="0" w:color="auto"/>
              <w:left w:val="single" w:sz="4" w:space="0" w:color="auto"/>
              <w:bottom w:val="single" w:sz="4" w:space="0" w:color="auto"/>
              <w:right w:val="single" w:sz="4" w:space="0" w:color="auto"/>
            </w:tcBorders>
          </w:tcPr>
          <w:p w14:paraId="06FD2F78" w14:textId="77777777" w:rsidR="006C16B1" w:rsidRPr="005A0CEA" w:rsidRDefault="006C16B1" w:rsidP="00EC6639">
            <w:pPr>
              <w:pStyle w:val="TableText"/>
              <w:jc w:val="center"/>
              <w:rPr>
                <w:rFonts w:asciiTheme="majorBidi" w:hAnsiTheme="majorBidi" w:cstheme="majorBidi"/>
                <w:b/>
                <w:szCs w:val="20"/>
              </w:rPr>
            </w:pP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A12C06C" w14:textId="77777777" w:rsidR="006C16B1" w:rsidRPr="005A0CEA" w:rsidRDefault="006C16B1" w:rsidP="00EC6639">
            <w:pPr>
              <w:pStyle w:val="TableText"/>
              <w:jc w:val="center"/>
              <w:rPr>
                <w:rFonts w:asciiTheme="majorBidi" w:hAnsiTheme="majorBidi" w:cstheme="majorBidi"/>
                <w:b/>
                <w:szCs w:val="20"/>
              </w:rPr>
            </w:pPr>
            <w:r w:rsidRPr="005A0CEA">
              <w:rPr>
                <w:rFonts w:asciiTheme="majorBidi" w:hAnsiTheme="majorBidi" w:cstheme="majorBidi"/>
                <w:b/>
                <w:szCs w:val="20"/>
              </w:rPr>
              <w:t>Rybelsus</w:t>
            </w:r>
            <w:r w:rsidRPr="005A0CEA">
              <w:rPr>
                <w:rFonts w:asciiTheme="majorBidi" w:hAnsiTheme="majorBidi" w:cstheme="majorBidi"/>
                <w:b/>
                <w:szCs w:val="20"/>
                <w:vertAlign w:val="superscript"/>
              </w:rPr>
              <w:t>®</w:t>
            </w:r>
          </w:p>
          <w:p w14:paraId="7C6CC10D" w14:textId="77777777" w:rsidR="006C16B1" w:rsidRPr="005A0CEA" w:rsidRDefault="006C16B1" w:rsidP="00EC6639">
            <w:pPr>
              <w:pStyle w:val="TableText"/>
              <w:jc w:val="center"/>
              <w:rPr>
                <w:rFonts w:asciiTheme="majorBidi" w:hAnsiTheme="majorBidi" w:cstheme="majorBidi"/>
                <w:szCs w:val="20"/>
              </w:rPr>
            </w:pPr>
            <w:r w:rsidRPr="005A0CEA">
              <w:rPr>
                <w:rFonts w:asciiTheme="majorBidi" w:hAnsiTheme="majorBidi" w:cstheme="majorBidi"/>
                <w:b/>
                <w:szCs w:val="20"/>
              </w:rPr>
              <w:t>7 mg</w:t>
            </w:r>
          </w:p>
        </w:tc>
        <w:tc>
          <w:tcPr>
            <w:tcW w:w="1985" w:type="dxa"/>
            <w:tcBorders>
              <w:top w:val="single" w:sz="4" w:space="0" w:color="auto"/>
              <w:left w:val="single" w:sz="4" w:space="0" w:color="auto"/>
              <w:bottom w:val="single" w:sz="4" w:space="0" w:color="auto"/>
              <w:right w:val="single" w:sz="4" w:space="0" w:color="auto"/>
            </w:tcBorders>
          </w:tcPr>
          <w:p w14:paraId="73371D69" w14:textId="77777777" w:rsidR="006C16B1" w:rsidRPr="005A0CEA" w:rsidRDefault="006C16B1" w:rsidP="00EC6639">
            <w:pPr>
              <w:pStyle w:val="TableText"/>
              <w:jc w:val="center"/>
              <w:rPr>
                <w:rFonts w:asciiTheme="majorBidi" w:hAnsiTheme="majorBidi" w:cstheme="majorBidi"/>
                <w:b/>
                <w:szCs w:val="20"/>
              </w:rPr>
            </w:pPr>
            <w:r w:rsidRPr="005A0CEA">
              <w:rPr>
                <w:rFonts w:asciiTheme="majorBidi" w:hAnsiTheme="majorBidi" w:cstheme="majorBidi"/>
                <w:b/>
                <w:szCs w:val="20"/>
              </w:rPr>
              <w:t>Rybelsus</w:t>
            </w:r>
            <w:r w:rsidRPr="005A0CEA">
              <w:rPr>
                <w:rFonts w:asciiTheme="majorBidi" w:hAnsiTheme="majorBidi" w:cstheme="majorBidi"/>
                <w:b/>
                <w:szCs w:val="20"/>
                <w:vertAlign w:val="superscript"/>
              </w:rPr>
              <w:t>®</w:t>
            </w:r>
          </w:p>
          <w:p w14:paraId="24703191" w14:textId="77777777" w:rsidR="006C16B1" w:rsidRPr="005A0CEA" w:rsidRDefault="006C16B1" w:rsidP="00EC6639">
            <w:pPr>
              <w:pStyle w:val="TableText"/>
              <w:jc w:val="center"/>
              <w:rPr>
                <w:rFonts w:asciiTheme="majorBidi" w:hAnsiTheme="majorBidi" w:cstheme="majorBidi"/>
                <w:szCs w:val="20"/>
              </w:rPr>
            </w:pPr>
            <w:r w:rsidRPr="005A0CEA">
              <w:rPr>
                <w:rFonts w:asciiTheme="majorBidi" w:hAnsiTheme="majorBidi" w:cstheme="majorBidi"/>
                <w:b/>
                <w:szCs w:val="20"/>
              </w:rPr>
              <w:t>14 mg</w:t>
            </w:r>
          </w:p>
        </w:tc>
        <w:tc>
          <w:tcPr>
            <w:tcW w:w="1559" w:type="dxa"/>
            <w:tcBorders>
              <w:top w:val="single" w:sz="4" w:space="0" w:color="auto"/>
              <w:left w:val="single" w:sz="4" w:space="0" w:color="auto"/>
              <w:bottom w:val="single" w:sz="4" w:space="0" w:color="auto"/>
              <w:right w:val="single" w:sz="4" w:space="0" w:color="auto"/>
            </w:tcBorders>
          </w:tcPr>
          <w:p w14:paraId="7F2A5B38" w14:textId="77777777" w:rsidR="006C16B1" w:rsidRPr="005A0CEA" w:rsidRDefault="006C16B1" w:rsidP="00EC6639">
            <w:pPr>
              <w:pStyle w:val="TableText"/>
              <w:jc w:val="center"/>
              <w:rPr>
                <w:rFonts w:asciiTheme="majorBidi" w:hAnsiTheme="majorBidi" w:cstheme="majorBidi"/>
                <w:b/>
                <w:szCs w:val="20"/>
              </w:rPr>
            </w:pPr>
            <w:r w:rsidRPr="005A0CEA">
              <w:rPr>
                <w:rFonts w:asciiTheme="majorBidi" w:hAnsiTheme="majorBidi" w:cstheme="majorBidi"/>
                <w:b/>
                <w:szCs w:val="20"/>
              </w:rPr>
              <w:t>Sitagliptin</w:t>
            </w:r>
          </w:p>
          <w:p w14:paraId="16FA617E" w14:textId="77777777" w:rsidR="006C16B1" w:rsidRPr="005A0CEA" w:rsidRDefault="006C16B1" w:rsidP="00EC6639">
            <w:pPr>
              <w:pStyle w:val="TableText"/>
              <w:jc w:val="center"/>
              <w:rPr>
                <w:rFonts w:asciiTheme="majorBidi" w:hAnsiTheme="majorBidi" w:cstheme="majorBidi"/>
                <w:szCs w:val="20"/>
              </w:rPr>
            </w:pPr>
            <w:r w:rsidRPr="005A0CEA">
              <w:rPr>
                <w:rFonts w:asciiTheme="majorBidi" w:hAnsiTheme="majorBidi" w:cstheme="majorBidi"/>
                <w:b/>
                <w:szCs w:val="20"/>
              </w:rPr>
              <w:t>100 mg</w:t>
            </w:r>
          </w:p>
        </w:tc>
      </w:tr>
      <w:tr w:rsidR="006C16B1" w:rsidRPr="005A0CEA" w14:paraId="3229BCF9"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68F7B1E3" w14:textId="77777777" w:rsidR="006C16B1" w:rsidRPr="005A0CEA" w:rsidRDefault="006C16B1" w:rsidP="00EC6639">
            <w:pPr>
              <w:pStyle w:val="TableText"/>
              <w:rPr>
                <w:rFonts w:asciiTheme="majorBidi" w:hAnsiTheme="majorBidi" w:cstheme="majorBidi"/>
                <w:szCs w:val="20"/>
              </w:rPr>
            </w:pPr>
            <w:r w:rsidRPr="005A0CEA">
              <w:rPr>
                <w:rFonts w:asciiTheme="majorBidi" w:hAnsiTheme="majorBidi" w:cstheme="majorBidi"/>
                <w:szCs w:val="20"/>
              </w:rPr>
              <w:t>Full analysis set (N)</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703041" w14:textId="77777777" w:rsidR="006C16B1" w:rsidRPr="005A0CEA" w:rsidRDefault="006C16B1" w:rsidP="00EC6639">
            <w:pPr>
              <w:pStyle w:val="TableText"/>
              <w:jc w:val="center"/>
              <w:rPr>
                <w:rFonts w:asciiTheme="majorBidi" w:hAnsiTheme="majorBidi" w:cstheme="majorBidi"/>
                <w:szCs w:val="20"/>
              </w:rPr>
            </w:pPr>
            <w:r w:rsidRPr="005A0CEA">
              <w:rPr>
                <w:rFonts w:asciiTheme="majorBidi" w:hAnsiTheme="majorBidi" w:cstheme="majorBidi"/>
                <w:szCs w:val="20"/>
              </w:rPr>
              <w:t>465</w:t>
            </w:r>
          </w:p>
        </w:tc>
        <w:tc>
          <w:tcPr>
            <w:tcW w:w="1985" w:type="dxa"/>
            <w:tcBorders>
              <w:top w:val="single" w:sz="4" w:space="0" w:color="auto"/>
              <w:left w:val="single" w:sz="4" w:space="0" w:color="auto"/>
              <w:bottom w:val="single" w:sz="4" w:space="0" w:color="auto"/>
              <w:right w:val="single" w:sz="4" w:space="0" w:color="auto"/>
            </w:tcBorders>
          </w:tcPr>
          <w:p w14:paraId="47F7D879" w14:textId="77777777" w:rsidR="006C16B1" w:rsidRPr="005A0CEA" w:rsidRDefault="006C16B1" w:rsidP="00EC6639">
            <w:pPr>
              <w:pStyle w:val="TableText"/>
              <w:jc w:val="center"/>
              <w:rPr>
                <w:rFonts w:asciiTheme="majorBidi" w:hAnsiTheme="majorBidi" w:cstheme="majorBidi"/>
                <w:szCs w:val="20"/>
              </w:rPr>
            </w:pPr>
            <w:r w:rsidRPr="005A0CEA">
              <w:rPr>
                <w:rFonts w:asciiTheme="majorBidi" w:hAnsiTheme="majorBidi" w:cstheme="majorBidi"/>
                <w:szCs w:val="20"/>
              </w:rPr>
              <w:t>465</w:t>
            </w:r>
          </w:p>
        </w:tc>
        <w:tc>
          <w:tcPr>
            <w:tcW w:w="1559" w:type="dxa"/>
            <w:tcBorders>
              <w:top w:val="single" w:sz="4" w:space="0" w:color="auto"/>
              <w:left w:val="single" w:sz="4" w:space="0" w:color="auto"/>
              <w:bottom w:val="single" w:sz="4" w:space="0" w:color="auto"/>
              <w:right w:val="single" w:sz="4" w:space="0" w:color="auto"/>
            </w:tcBorders>
          </w:tcPr>
          <w:p w14:paraId="0A386FE8" w14:textId="77777777" w:rsidR="006C16B1" w:rsidRPr="005A0CEA" w:rsidRDefault="006C16B1" w:rsidP="00EC6639">
            <w:pPr>
              <w:pStyle w:val="TableText"/>
              <w:jc w:val="center"/>
              <w:rPr>
                <w:rFonts w:asciiTheme="majorBidi" w:hAnsiTheme="majorBidi" w:cstheme="majorBidi"/>
                <w:szCs w:val="20"/>
              </w:rPr>
            </w:pPr>
            <w:r w:rsidRPr="005A0CEA">
              <w:rPr>
                <w:rFonts w:asciiTheme="majorBidi" w:hAnsiTheme="majorBidi" w:cstheme="majorBidi"/>
                <w:szCs w:val="20"/>
              </w:rPr>
              <w:t>467</w:t>
            </w:r>
          </w:p>
        </w:tc>
      </w:tr>
      <w:tr w:rsidR="00FF19B5" w:rsidRPr="005A0CEA" w14:paraId="074F0BD3" w14:textId="77777777" w:rsidTr="00833543">
        <w:trPr>
          <w:trHeight w:val="253"/>
        </w:trPr>
        <w:tc>
          <w:tcPr>
            <w:tcW w:w="9209" w:type="dxa"/>
            <w:gridSpan w:val="4"/>
            <w:tcBorders>
              <w:top w:val="single" w:sz="4" w:space="0" w:color="auto"/>
              <w:left w:val="single" w:sz="4" w:space="0" w:color="auto"/>
              <w:bottom w:val="single" w:sz="4" w:space="0" w:color="auto"/>
              <w:right w:val="single" w:sz="4" w:space="0" w:color="auto"/>
            </w:tcBorders>
          </w:tcPr>
          <w:p w14:paraId="0AAC1930" w14:textId="3F552A0B" w:rsidR="00FF19B5" w:rsidRPr="005A0CEA" w:rsidRDefault="00FF19B5" w:rsidP="00EC6639">
            <w:pPr>
              <w:pStyle w:val="TableText"/>
              <w:jc w:val="both"/>
              <w:rPr>
                <w:rFonts w:asciiTheme="majorBidi" w:hAnsiTheme="majorBidi" w:cstheme="majorBidi"/>
                <w:szCs w:val="20"/>
              </w:rPr>
            </w:pPr>
            <w:r w:rsidRPr="005A0CEA">
              <w:rPr>
                <w:rFonts w:asciiTheme="majorBidi" w:hAnsiTheme="majorBidi" w:cstheme="majorBidi"/>
                <w:b/>
                <w:bCs/>
                <w:szCs w:val="20"/>
              </w:rPr>
              <w:t>Week 26</w:t>
            </w:r>
          </w:p>
        </w:tc>
      </w:tr>
      <w:tr w:rsidR="00FF19B5" w:rsidRPr="005A0CEA" w14:paraId="7F85A146" w14:textId="77777777" w:rsidTr="00833543">
        <w:trPr>
          <w:trHeight w:val="253"/>
        </w:trPr>
        <w:tc>
          <w:tcPr>
            <w:tcW w:w="9209" w:type="dxa"/>
            <w:gridSpan w:val="4"/>
            <w:tcBorders>
              <w:top w:val="single" w:sz="4" w:space="0" w:color="auto"/>
              <w:left w:val="single" w:sz="4" w:space="0" w:color="auto"/>
              <w:bottom w:val="single" w:sz="4" w:space="0" w:color="auto"/>
              <w:right w:val="single" w:sz="4" w:space="0" w:color="auto"/>
            </w:tcBorders>
          </w:tcPr>
          <w:p w14:paraId="30C48DEE" w14:textId="2888B717" w:rsidR="00FF19B5" w:rsidRPr="005A0CEA" w:rsidRDefault="00FF19B5" w:rsidP="007C5F0E">
            <w:pPr>
              <w:pStyle w:val="TableText"/>
              <w:ind w:left="284"/>
              <w:rPr>
                <w:rStyle w:val="FootnoteReference"/>
                <w:vertAlign w:val="baseline"/>
              </w:rPr>
            </w:pPr>
            <w:r w:rsidRPr="005A0CEA">
              <w:rPr>
                <w:rStyle w:val="FootnoteReference"/>
                <w:vertAlign w:val="baseline"/>
              </w:rPr>
              <w:t>HbA</w:t>
            </w:r>
            <w:r w:rsidRPr="005A0CEA">
              <w:rPr>
                <w:rStyle w:val="FootnoteReference"/>
                <w:vertAlign w:val="subscript"/>
              </w:rPr>
              <w:t>1c</w:t>
            </w:r>
            <w:r w:rsidRPr="005A0CEA">
              <w:rPr>
                <w:rStyle w:val="FootnoteReference"/>
                <w:vertAlign w:val="baseline"/>
              </w:rPr>
              <w:t xml:space="preserve"> (%) </w:t>
            </w:r>
          </w:p>
        </w:tc>
      </w:tr>
      <w:tr w:rsidR="006C16B1" w:rsidRPr="005A0CEA" w14:paraId="15210249"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4488F503"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2C543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8.4</w:t>
            </w:r>
          </w:p>
        </w:tc>
        <w:tc>
          <w:tcPr>
            <w:tcW w:w="1985" w:type="dxa"/>
            <w:tcBorders>
              <w:top w:val="single" w:sz="4" w:space="0" w:color="auto"/>
              <w:left w:val="single" w:sz="4" w:space="0" w:color="auto"/>
              <w:bottom w:val="single" w:sz="4" w:space="0" w:color="auto"/>
              <w:right w:val="single" w:sz="4" w:space="0" w:color="auto"/>
            </w:tcBorders>
          </w:tcPr>
          <w:p w14:paraId="20A7EA46"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8.3</w:t>
            </w:r>
          </w:p>
        </w:tc>
        <w:tc>
          <w:tcPr>
            <w:tcW w:w="1559" w:type="dxa"/>
            <w:tcBorders>
              <w:top w:val="single" w:sz="4" w:space="0" w:color="auto"/>
              <w:left w:val="single" w:sz="4" w:space="0" w:color="auto"/>
              <w:bottom w:val="single" w:sz="4" w:space="0" w:color="auto"/>
              <w:right w:val="single" w:sz="4" w:space="0" w:color="auto"/>
            </w:tcBorders>
          </w:tcPr>
          <w:p w14:paraId="64D3318E"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8.3</w:t>
            </w:r>
          </w:p>
        </w:tc>
      </w:tr>
      <w:tr w:rsidR="006C16B1" w:rsidRPr="005A0CEA" w14:paraId="48E1FE1F"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2E615B00"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7ECD67B"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 xml:space="preserve">−1.0 </w:t>
            </w:r>
          </w:p>
        </w:tc>
        <w:tc>
          <w:tcPr>
            <w:tcW w:w="1985" w:type="dxa"/>
            <w:tcBorders>
              <w:top w:val="single" w:sz="4" w:space="0" w:color="auto"/>
              <w:left w:val="single" w:sz="4" w:space="0" w:color="auto"/>
              <w:bottom w:val="single" w:sz="4" w:space="0" w:color="auto"/>
              <w:right w:val="single" w:sz="4" w:space="0" w:color="auto"/>
            </w:tcBorders>
          </w:tcPr>
          <w:p w14:paraId="03ED1177"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−1.3</w:t>
            </w:r>
          </w:p>
        </w:tc>
        <w:tc>
          <w:tcPr>
            <w:tcW w:w="1559" w:type="dxa"/>
            <w:tcBorders>
              <w:top w:val="single" w:sz="4" w:space="0" w:color="auto"/>
              <w:left w:val="single" w:sz="4" w:space="0" w:color="auto"/>
              <w:bottom w:val="single" w:sz="4" w:space="0" w:color="auto"/>
              <w:right w:val="single" w:sz="4" w:space="0" w:color="auto"/>
            </w:tcBorders>
          </w:tcPr>
          <w:p w14:paraId="38C3C17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−0.8</w:t>
            </w:r>
          </w:p>
        </w:tc>
      </w:tr>
      <w:tr w:rsidR="006C16B1" w:rsidRPr="005A0CEA" w14:paraId="5955AF2B"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20DEC9D3"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Difference from sitagliptin</w:t>
            </w:r>
            <w:r w:rsidRPr="005A0CEA">
              <w:rPr>
                <w:rFonts w:asciiTheme="majorBidi" w:hAnsiTheme="majorBidi" w:cstheme="majorBidi"/>
                <w:szCs w:val="20"/>
                <w:vertAlign w:val="superscript"/>
              </w:rPr>
              <w:t xml:space="preserve">1 </w:t>
            </w:r>
            <w:r w:rsidRPr="005A0CEA">
              <w:rPr>
                <w:rFonts w:asciiTheme="majorBidi" w:hAnsiTheme="majorBidi" w:cstheme="majorBidi"/>
                <w:szCs w:val="20"/>
              </w:rPr>
              <w:t>[95% CI]</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F15FF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−0.3 [−0.4; −0.</w:t>
            </w:r>
            <w:proofErr w:type="gramStart"/>
            <w:r w:rsidRPr="005A0CEA">
              <w:rPr>
                <w:rFonts w:asciiTheme="majorBidi" w:hAnsiTheme="majorBidi" w:cstheme="majorBidi"/>
                <w:szCs w:val="20"/>
              </w:rPr>
              <w:t>1]</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4FFB8F66"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−0.5 [−0.6; −0.</w:t>
            </w:r>
            <w:proofErr w:type="gramStart"/>
            <w:r w:rsidRPr="005A0CEA">
              <w:rPr>
                <w:rFonts w:asciiTheme="majorBidi" w:hAnsiTheme="majorBidi" w:cstheme="majorBidi"/>
                <w:szCs w:val="20"/>
              </w:rPr>
              <w:t>4]</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00B921E3"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6C16B1" w:rsidRPr="005A0CEA" w14:paraId="613D436B"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472DFD2F" w14:textId="1FE4BCEE" w:rsidR="006C16B1" w:rsidRPr="005A0CEA" w:rsidRDefault="006C16B1" w:rsidP="007C5F0E">
            <w:pPr>
              <w:pStyle w:val="TableText"/>
              <w:ind w:left="285"/>
              <w:rPr>
                <w:rFonts w:asciiTheme="majorBidi" w:eastAsia="PMingLiU" w:hAnsiTheme="majorBidi" w:cstheme="majorBidi"/>
                <w:szCs w:val="20"/>
                <w:lang w:eastAsia="zh-TW"/>
              </w:rPr>
            </w:pPr>
            <w:r w:rsidRPr="005A0CEA">
              <w:rPr>
                <w:rFonts w:asciiTheme="majorBidi" w:hAnsiTheme="majorBidi" w:cstheme="majorBidi"/>
                <w:b/>
                <w:bCs/>
                <w:szCs w:val="20"/>
              </w:rPr>
              <w:t>Patients (%) achieving HbA</w:t>
            </w:r>
            <w:r w:rsidRPr="005A0CEA">
              <w:rPr>
                <w:rFonts w:asciiTheme="majorBidi" w:hAnsiTheme="majorBidi" w:cstheme="majorBidi"/>
                <w:b/>
                <w:bCs/>
                <w:szCs w:val="20"/>
                <w:vertAlign w:val="subscript"/>
              </w:rPr>
              <w:t>1c</w:t>
            </w:r>
            <w:r w:rsidRPr="005A0CEA">
              <w:rPr>
                <w:rFonts w:asciiTheme="majorBidi" w:hAnsiTheme="majorBidi" w:cstheme="majorBidi"/>
                <w:b/>
                <w:bCs/>
                <w:szCs w:val="20"/>
              </w:rPr>
              <w:t xml:space="preserve"> &lt;7.0%</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56BCFB"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44</w:t>
            </w:r>
            <w:r w:rsidRPr="005A0CEA">
              <w:rPr>
                <w:rFonts w:asciiTheme="majorBidi" w:hAnsiTheme="majorBidi" w:cstheme="majorBidi"/>
                <w:szCs w:val="20"/>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7C9CB8E7"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56</w:t>
            </w:r>
            <w:r w:rsidRPr="005A0CEA">
              <w:rPr>
                <w:rFonts w:asciiTheme="majorBidi" w:hAnsiTheme="majorBidi" w:cstheme="majorBidi"/>
                <w:szCs w:val="20"/>
                <w:vertAlign w:val="superscript"/>
              </w:rPr>
              <w:t>§</w:t>
            </w:r>
          </w:p>
        </w:tc>
        <w:tc>
          <w:tcPr>
            <w:tcW w:w="1559" w:type="dxa"/>
            <w:tcBorders>
              <w:top w:val="single" w:sz="4" w:space="0" w:color="auto"/>
              <w:left w:val="single" w:sz="4" w:space="0" w:color="auto"/>
              <w:bottom w:val="single" w:sz="4" w:space="0" w:color="auto"/>
              <w:right w:val="single" w:sz="4" w:space="0" w:color="auto"/>
            </w:tcBorders>
          </w:tcPr>
          <w:p w14:paraId="236E8050"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32</w:t>
            </w:r>
          </w:p>
        </w:tc>
      </w:tr>
      <w:tr w:rsidR="006C16B1" w:rsidRPr="005A0CEA" w14:paraId="1F1D1930" w14:textId="77777777" w:rsidTr="00D038B0">
        <w:trPr>
          <w:trHeight w:val="253"/>
        </w:trPr>
        <w:tc>
          <w:tcPr>
            <w:tcW w:w="3823" w:type="dxa"/>
            <w:tcBorders>
              <w:top w:val="single" w:sz="4" w:space="0" w:color="auto"/>
              <w:left w:val="single" w:sz="4" w:space="0" w:color="auto"/>
              <w:bottom w:val="single" w:sz="4" w:space="0" w:color="auto"/>
              <w:right w:val="nil"/>
            </w:tcBorders>
          </w:tcPr>
          <w:p w14:paraId="06504F38" w14:textId="2530CC8E" w:rsidR="006C16B1" w:rsidRPr="005A0CEA" w:rsidRDefault="006C16B1" w:rsidP="007C5F0E">
            <w:pPr>
              <w:pStyle w:val="TableText"/>
              <w:ind w:left="284"/>
              <w:rPr>
                <w:rFonts w:asciiTheme="majorBidi" w:eastAsia="PMingLiU" w:hAnsiTheme="majorBidi" w:cstheme="majorBidi"/>
                <w:szCs w:val="20"/>
                <w:lang w:eastAsia="zh-TW"/>
              </w:rPr>
            </w:pPr>
            <w:r w:rsidRPr="005A0CEA">
              <w:rPr>
                <w:rFonts w:asciiTheme="majorBidi" w:hAnsiTheme="majorBidi" w:cstheme="majorBidi"/>
                <w:b/>
                <w:bCs/>
                <w:szCs w:val="20"/>
              </w:rPr>
              <w:t xml:space="preserve">FPG (mmol/L) </w:t>
            </w:r>
          </w:p>
        </w:tc>
        <w:tc>
          <w:tcPr>
            <w:tcW w:w="1842" w:type="dxa"/>
            <w:tcBorders>
              <w:top w:val="single" w:sz="4" w:space="0" w:color="auto"/>
              <w:left w:val="nil"/>
              <w:bottom w:val="single" w:sz="4" w:space="0" w:color="auto"/>
              <w:right w:val="nil"/>
            </w:tcBorders>
            <w:tcMar>
              <w:top w:w="0" w:type="dxa"/>
              <w:left w:w="57" w:type="dxa"/>
              <w:bottom w:w="0" w:type="dxa"/>
              <w:right w:w="57" w:type="dxa"/>
            </w:tcMar>
          </w:tcPr>
          <w:p w14:paraId="51FBC7AC" w14:textId="77777777" w:rsidR="006C16B1" w:rsidRPr="005A0CEA" w:rsidRDefault="006C16B1"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4327F165" w14:textId="77777777" w:rsidR="006C16B1" w:rsidRPr="005A0CEA" w:rsidRDefault="006C16B1" w:rsidP="007C5F0E">
            <w:pPr>
              <w:pStyle w:val="TableText"/>
              <w:jc w:val="center"/>
              <w:rPr>
                <w:rFonts w:asciiTheme="majorBidi" w:hAnsiTheme="majorBidi" w:cstheme="majorBidi"/>
                <w:szCs w:val="20"/>
              </w:rPr>
            </w:pPr>
          </w:p>
        </w:tc>
        <w:tc>
          <w:tcPr>
            <w:tcW w:w="1559" w:type="dxa"/>
            <w:tcBorders>
              <w:top w:val="single" w:sz="4" w:space="0" w:color="auto"/>
              <w:left w:val="nil"/>
              <w:bottom w:val="single" w:sz="4" w:space="0" w:color="auto"/>
              <w:right w:val="single" w:sz="4" w:space="0" w:color="auto"/>
            </w:tcBorders>
          </w:tcPr>
          <w:p w14:paraId="6E647659" w14:textId="77777777" w:rsidR="006C16B1" w:rsidRPr="005A0CEA" w:rsidRDefault="006C16B1" w:rsidP="007C5F0E">
            <w:pPr>
              <w:pStyle w:val="TableText"/>
              <w:jc w:val="center"/>
              <w:rPr>
                <w:rFonts w:asciiTheme="majorBidi" w:hAnsiTheme="majorBidi" w:cstheme="majorBidi"/>
                <w:szCs w:val="20"/>
              </w:rPr>
            </w:pPr>
          </w:p>
        </w:tc>
      </w:tr>
      <w:tr w:rsidR="006C16B1" w:rsidRPr="005A0CEA" w14:paraId="6F8F5D98"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3A5C0CCC"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63B716"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9.4</w:t>
            </w:r>
          </w:p>
        </w:tc>
        <w:tc>
          <w:tcPr>
            <w:tcW w:w="1985" w:type="dxa"/>
            <w:tcBorders>
              <w:top w:val="single" w:sz="4" w:space="0" w:color="auto"/>
              <w:left w:val="single" w:sz="4" w:space="0" w:color="auto"/>
              <w:bottom w:val="single" w:sz="4" w:space="0" w:color="auto"/>
              <w:right w:val="single" w:sz="4" w:space="0" w:color="auto"/>
            </w:tcBorders>
          </w:tcPr>
          <w:p w14:paraId="2473C40D"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9.3</w:t>
            </w:r>
          </w:p>
        </w:tc>
        <w:tc>
          <w:tcPr>
            <w:tcW w:w="1559" w:type="dxa"/>
            <w:tcBorders>
              <w:top w:val="single" w:sz="4" w:space="0" w:color="auto"/>
              <w:left w:val="single" w:sz="4" w:space="0" w:color="auto"/>
              <w:bottom w:val="single" w:sz="4" w:space="0" w:color="auto"/>
              <w:right w:val="single" w:sz="4" w:space="0" w:color="auto"/>
            </w:tcBorders>
          </w:tcPr>
          <w:p w14:paraId="0834E05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9.5</w:t>
            </w:r>
          </w:p>
        </w:tc>
      </w:tr>
      <w:tr w:rsidR="006C16B1" w:rsidRPr="005A0CEA" w14:paraId="5AB6A418"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6A0670F3"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28074D"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−1.2</w:t>
            </w:r>
          </w:p>
        </w:tc>
        <w:tc>
          <w:tcPr>
            <w:tcW w:w="1985" w:type="dxa"/>
            <w:tcBorders>
              <w:top w:val="single" w:sz="4" w:space="0" w:color="auto"/>
              <w:left w:val="single" w:sz="4" w:space="0" w:color="auto"/>
              <w:bottom w:val="single" w:sz="4" w:space="0" w:color="auto"/>
              <w:right w:val="single" w:sz="4" w:space="0" w:color="auto"/>
            </w:tcBorders>
          </w:tcPr>
          <w:p w14:paraId="5EACD376"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−1.7</w:t>
            </w:r>
          </w:p>
        </w:tc>
        <w:tc>
          <w:tcPr>
            <w:tcW w:w="1559" w:type="dxa"/>
            <w:tcBorders>
              <w:top w:val="single" w:sz="4" w:space="0" w:color="auto"/>
              <w:left w:val="single" w:sz="4" w:space="0" w:color="auto"/>
              <w:bottom w:val="single" w:sz="4" w:space="0" w:color="auto"/>
              <w:right w:val="single" w:sz="4" w:space="0" w:color="auto"/>
            </w:tcBorders>
          </w:tcPr>
          <w:p w14:paraId="27394271"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−0.9</w:t>
            </w:r>
          </w:p>
        </w:tc>
      </w:tr>
      <w:tr w:rsidR="006C16B1" w:rsidRPr="005A0CEA" w14:paraId="2E786789"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2BC20BA8"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Difference from sitagliptin</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45E4D4"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 xml:space="preserve">−0.3 [−0.6; </w:t>
            </w:r>
            <w:proofErr w:type="gramStart"/>
            <w:r w:rsidRPr="005A0CEA">
              <w:rPr>
                <w:rFonts w:asciiTheme="majorBidi" w:hAnsiTheme="majorBidi" w:cstheme="majorBidi"/>
                <w:szCs w:val="20"/>
              </w:rPr>
              <w:t>0.0]</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6A6866B7"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−0.8 [−1.1; −0.</w:t>
            </w:r>
            <w:proofErr w:type="gramStart"/>
            <w:r w:rsidRPr="005A0CEA">
              <w:rPr>
                <w:rFonts w:asciiTheme="majorBidi" w:hAnsiTheme="majorBidi" w:cstheme="majorBidi"/>
                <w:szCs w:val="20"/>
              </w:rPr>
              <w:t>5]</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4239622E"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6C16B1" w:rsidRPr="005A0CEA" w14:paraId="5087C0E7"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5C28D107" w14:textId="5C24321C" w:rsidR="006C16B1" w:rsidRPr="005A0CEA" w:rsidRDefault="006C16B1" w:rsidP="007C5F0E">
            <w:pPr>
              <w:pStyle w:val="TableText"/>
              <w:ind w:left="285"/>
              <w:rPr>
                <w:rFonts w:asciiTheme="majorBidi" w:eastAsia="PMingLiU" w:hAnsiTheme="majorBidi" w:cstheme="majorBidi"/>
                <w:szCs w:val="20"/>
                <w:lang w:eastAsia="zh-TW"/>
              </w:rPr>
            </w:pPr>
            <w:r w:rsidRPr="005A0CEA">
              <w:rPr>
                <w:rFonts w:asciiTheme="majorBidi" w:hAnsiTheme="majorBidi" w:cstheme="majorBidi"/>
                <w:b/>
                <w:bCs/>
                <w:szCs w:val="20"/>
              </w:rPr>
              <w:t xml:space="preserve">Body weight (kg) </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E7E6B7" w14:textId="77777777" w:rsidR="006C16B1" w:rsidRPr="005A0CEA" w:rsidRDefault="006C16B1" w:rsidP="007C5F0E">
            <w:pPr>
              <w:pStyle w:val="TableText"/>
              <w:jc w:val="center"/>
              <w:rPr>
                <w:rFonts w:asciiTheme="majorBidi" w:hAnsiTheme="majorBidi" w:cstheme="majorBidi"/>
                <w:szCs w:val="20"/>
              </w:rPr>
            </w:pPr>
          </w:p>
        </w:tc>
        <w:tc>
          <w:tcPr>
            <w:tcW w:w="1985" w:type="dxa"/>
            <w:tcBorders>
              <w:top w:val="single" w:sz="4" w:space="0" w:color="auto"/>
              <w:left w:val="single" w:sz="4" w:space="0" w:color="auto"/>
              <w:bottom w:val="single" w:sz="4" w:space="0" w:color="auto"/>
              <w:right w:val="single" w:sz="4" w:space="0" w:color="auto"/>
            </w:tcBorders>
          </w:tcPr>
          <w:p w14:paraId="6F8AC6E8" w14:textId="77777777" w:rsidR="006C16B1" w:rsidRPr="005A0CEA" w:rsidRDefault="006C16B1" w:rsidP="007C5F0E">
            <w:pPr>
              <w:pStyle w:val="TableText"/>
              <w:jc w:val="center"/>
              <w:rPr>
                <w:rFonts w:asciiTheme="majorBidi"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39FD969C" w14:textId="77777777" w:rsidR="006C16B1" w:rsidRPr="005A0CEA" w:rsidRDefault="006C16B1" w:rsidP="007C5F0E">
            <w:pPr>
              <w:pStyle w:val="TableText"/>
              <w:jc w:val="center"/>
              <w:rPr>
                <w:rFonts w:asciiTheme="majorBidi" w:hAnsiTheme="majorBidi" w:cstheme="majorBidi"/>
                <w:szCs w:val="20"/>
              </w:rPr>
            </w:pPr>
          </w:p>
        </w:tc>
      </w:tr>
      <w:tr w:rsidR="006C16B1" w:rsidRPr="005A0CEA" w14:paraId="72BBB819"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03003CC8"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28767C"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91.3</w:t>
            </w:r>
          </w:p>
        </w:tc>
        <w:tc>
          <w:tcPr>
            <w:tcW w:w="1985" w:type="dxa"/>
            <w:tcBorders>
              <w:top w:val="single" w:sz="4" w:space="0" w:color="auto"/>
              <w:left w:val="single" w:sz="4" w:space="0" w:color="auto"/>
              <w:bottom w:val="single" w:sz="4" w:space="0" w:color="auto"/>
              <w:right w:val="single" w:sz="4" w:space="0" w:color="auto"/>
            </w:tcBorders>
          </w:tcPr>
          <w:p w14:paraId="1A5644E0"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91.2</w:t>
            </w:r>
          </w:p>
        </w:tc>
        <w:tc>
          <w:tcPr>
            <w:tcW w:w="1559" w:type="dxa"/>
            <w:tcBorders>
              <w:top w:val="single" w:sz="4" w:space="0" w:color="auto"/>
              <w:left w:val="single" w:sz="4" w:space="0" w:color="auto"/>
              <w:bottom w:val="single" w:sz="4" w:space="0" w:color="auto"/>
              <w:right w:val="single" w:sz="4" w:space="0" w:color="auto"/>
            </w:tcBorders>
          </w:tcPr>
          <w:p w14:paraId="7A9CF6F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90.9</w:t>
            </w:r>
          </w:p>
        </w:tc>
      </w:tr>
      <w:tr w:rsidR="006C16B1" w:rsidRPr="005A0CEA" w14:paraId="3580D93F"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26928AD9"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E572BC"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−2.2</w:t>
            </w:r>
          </w:p>
        </w:tc>
        <w:tc>
          <w:tcPr>
            <w:tcW w:w="1985" w:type="dxa"/>
            <w:tcBorders>
              <w:top w:val="single" w:sz="4" w:space="0" w:color="auto"/>
              <w:left w:val="single" w:sz="4" w:space="0" w:color="auto"/>
              <w:bottom w:val="single" w:sz="4" w:space="0" w:color="auto"/>
              <w:right w:val="single" w:sz="4" w:space="0" w:color="auto"/>
            </w:tcBorders>
          </w:tcPr>
          <w:p w14:paraId="236F7037"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−3.1</w:t>
            </w:r>
          </w:p>
        </w:tc>
        <w:tc>
          <w:tcPr>
            <w:tcW w:w="1559" w:type="dxa"/>
            <w:tcBorders>
              <w:top w:val="single" w:sz="4" w:space="0" w:color="auto"/>
              <w:left w:val="single" w:sz="4" w:space="0" w:color="auto"/>
              <w:bottom w:val="single" w:sz="4" w:space="0" w:color="auto"/>
              <w:right w:val="single" w:sz="4" w:space="0" w:color="auto"/>
            </w:tcBorders>
          </w:tcPr>
          <w:p w14:paraId="0530A043"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−0.6</w:t>
            </w:r>
          </w:p>
        </w:tc>
      </w:tr>
      <w:tr w:rsidR="006C16B1" w:rsidRPr="005A0CEA" w14:paraId="1D3EDA34"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2B1B147D"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Difference from sitagliptin</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 </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EDC7A4"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−1.6 [−2.0; −1.</w:t>
            </w:r>
            <w:proofErr w:type="gramStart"/>
            <w:r w:rsidRPr="005A0CEA">
              <w:rPr>
                <w:rFonts w:asciiTheme="majorBidi" w:hAnsiTheme="majorBidi" w:cstheme="majorBidi"/>
                <w:szCs w:val="20"/>
              </w:rPr>
              <w:t>1]</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6510BC50"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−2.5 [−3.0; −2.</w:t>
            </w:r>
            <w:proofErr w:type="gramStart"/>
            <w:r w:rsidRPr="005A0CEA">
              <w:rPr>
                <w:rFonts w:asciiTheme="majorBidi" w:hAnsiTheme="majorBidi" w:cstheme="majorBidi"/>
                <w:szCs w:val="20"/>
              </w:rPr>
              <w:t>0]</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4E152BD1"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FF19B5" w:rsidRPr="005A0CEA" w14:paraId="64E77ECC" w14:textId="77777777" w:rsidTr="00D038B0">
        <w:trPr>
          <w:trHeight w:val="253"/>
        </w:trPr>
        <w:tc>
          <w:tcPr>
            <w:tcW w:w="9209" w:type="dxa"/>
            <w:gridSpan w:val="4"/>
            <w:tcBorders>
              <w:top w:val="single" w:sz="4" w:space="0" w:color="auto"/>
              <w:left w:val="single" w:sz="4" w:space="0" w:color="auto"/>
              <w:bottom w:val="single" w:sz="4" w:space="0" w:color="auto"/>
              <w:right w:val="single" w:sz="4" w:space="0" w:color="auto"/>
            </w:tcBorders>
          </w:tcPr>
          <w:p w14:paraId="341A02BB" w14:textId="4AF30AD4" w:rsidR="00FF19B5" w:rsidRPr="005A0CEA" w:rsidRDefault="00FF19B5" w:rsidP="007C5F0E">
            <w:pPr>
              <w:pStyle w:val="TableText"/>
              <w:rPr>
                <w:rFonts w:asciiTheme="majorBidi" w:hAnsiTheme="majorBidi" w:cstheme="majorBidi"/>
                <w:szCs w:val="20"/>
              </w:rPr>
            </w:pPr>
            <w:r w:rsidRPr="005A0CEA">
              <w:rPr>
                <w:rFonts w:asciiTheme="majorBidi" w:hAnsiTheme="majorBidi" w:cstheme="majorBidi"/>
                <w:b/>
                <w:bCs/>
                <w:szCs w:val="20"/>
              </w:rPr>
              <w:t>Week 78</w:t>
            </w:r>
          </w:p>
        </w:tc>
      </w:tr>
      <w:tr w:rsidR="006C16B1" w:rsidRPr="005A0CEA" w14:paraId="5778A2FD" w14:textId="77777777" w:rsidTr="00D038B0">
        <w:trPr>
          <w:trHeight w:val="253"/>
        </w:trPr>
        <w:tc>
          <w:tcPr>
            <w:tcW w:w="3823" w:type="dxa"/>
            <w:tcBorders>
              <w:top w:val="single" w:sz="4" w:space="0" w:color="auto"/>
              <w:left w:val="single" w:sz="4" w:space="0" w:color="auto"/>
              <w:bottom w:val="single" w:sz="4" w:space="0" w:color="auto"/>
              <w:right w:val="nil"/>
            </w:tcBorders>
          </w:tcPr>
          <w:p w14:paraId="1FF84129" w14:textId="77777777" w:rsidR="006C16B1" w:rsidRPr="005A0CEA" w:rsidRDefault="006C16B1" w:rsidP="007C5F0E">
            <w:pPr>
              <w:pStyle w:val="TableText"/>
              <w:ind w:left="285"/>
              <w:rPr>
                <w:rFonts w:asciiTheme="majorBidi" w:eastAsia="PMingLiU" w:hAnsiTheme="majorBidi" w:cstheme="majorBidi"/>
                <w:szCs w:val="20"/>
                <w:lang w:eastAsia="zh-TW"/>
              </w:rPr>
            </w:pPr>
            <w:r w:rsidRPr="005A0CEA">
              <w:rPr>
                <w:rFonts w:asciiTheme="majorBidi" w:hAnsiTheme="majorBidi" w:cstheme="majorBidi"/>
                <w:b/>
                <w:szCs w:val="20"/>
              </w:rPr>
              <w:t>HbA</w:t>
            </w:r>
            <w:r w:rsidRPr="005A0CEA">
              <w:rPr>
                <w:rFonts w:asciiTheme="majorBidi" w:hAnsiTheme="majorBidi" w:cstheme="majorBidi"/>
                <w:b/>
                <w:szCs w:val="20"/>
                <w:vertAlign w:val="subscript"/>
              </w:rPr>
              <w:t xml:space="preserve">1c </w:t>
            </w:r>
            <w:r w:rsidRPr="005A0CEA">
              <w:rPr>
                <w:rFonts w:asciiTheme="majorBidi" w:hAnsiTheme="majorBidi" w:cstheme="majorBidi"/>
                <w:b/>
                <w:szCs w:val="20"/>
              </w:rPr>
              <w:t>(%)</w:t>
            </w:r>
          </w:p>
        </w:tc>
        <w:tc>
          <w:tcPr>
            <w:tcW w:w="1842" w:type="dxa"/>
            <w:tcBorders>
              <w:top w:val="single" w:sz="4" w:space="0" w:color="auto"/>
              <w:left w:val="nil"/>
              <w:bottom w:val="single" w:sz="4" w:space="0" w:color="auto"/>
              <w:right w:val="nil"/>
            </w:tcBorders>
            <w:tcMar>
              <w:top w:w="0" w:type="dxa"/>
              <w:left w:w="57" w:type="dxa"/>
              <w:bottom w:w="0" w:type="dxa"/>
              <w:right w:w="57" w:type="dxa"/>
            </w:tcMar>
          </w:tcPr>
          <w:p w14:paraId="11E88EB3" w14:textId="77777777" w:rsidR="006C16B1" w:rsidRPr="005A0CEA" w:rsidRDefault="006C16B1"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21B72379" w14:textId="77777777" w:rsidR="006C16B1" w:rsidRPr="005A0CEA" w:rsidRDefault="006C16B1" w:rsidP="007C5F0E">
            <w:pPr>
              <w:pStyle w:val="TableText"/>
              <w:jc w:val="center"/>
              <w:rPr>
                <w:rFonts w:asciiTheme="majorBidi" w:hAnsiTheme="majorBidi" w:cstheme="majorBidi"/>
                <w:szCs w:val="20"/>
              </w:rPr>
            </w:pPr>
          </w:p>
        </w:tc>
        <w:tc>
          <w:tcPr>
            <w:tcW w:w="1559" w:type="dxa"/>
            <w:tcBorders>
              <w:top w:val="single" w:sz="4" w:space="0" w:color="auto"/>
              <w:left w:val="nil"/>
              <w:bottom w:val="single" w:sz="4" w:space="0" w:color="auto"/>
              <w:right w:val="single" w:sz="4" w:space="0" w:color="auto"/>
            </w:tcBorders>
          </w:tcPr>
          <w:p w14:paraId="09D8A683" w14:textId="77777777" w:rsidR="006C16B1" w:rsidRPr="005A0CEA" w:rsidRDefault="006C16B1" w:rsidP="007C5F0E">
            <w:pPr>
              <w:pStyle w:val="TableText"/>
              <w:jc w:val="center"/>
              <w:rPr>
                <w:rFonts w:asciiTheme="majorBidi" w:hAnsiTheme="majorBidi" w:cstheme="majorBidi"/>
                <w:szCs w:val="20"/>
              </w:rPr>
            </w:pPr>
          </w:p>
        </w:tc>
      </w:tr>
      <w:tr w:rsidR="006C16B1" w:rsidRPr="005A0CEA" w14:paraId="4DF324FC"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4A11B4FA"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58B855"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−0.8</w:t>
            </w:r>
          </w:p>
        </w:tc>
        <w:tc>
          <w:tcPr>
            <w:tcW w:w="1985" w:type="dxa"/>
            <w:tcBorders>
              <w:top w:val="single" w:sz="4" w:space="0" w:color="auto"/>
              <w:left w:val="single" w:sz="4" w:space="0" w:color="auto"/>
              <w:bottom w:val="single" w:sz="4" w:space="0" w:color="auto"/>
              <w:right w:val="single" w:sz="4" w:space="0" w:color="auto"/>
            </w:tcBorders>
          </w:tcPr>
          <w:p w14:paraId="7AA462BA"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−1.1</w:t>
            </w:r>
          </w:p>
        </w:tc>
        <w:tc>
          <w:tcPr>
            <w:tcW w:w="1559" w:type="dxa"/>
            <w:tcBorders>
              <w:top w:val="single" w:sz="4" w:space="0" w:color="auto"/>
              <w:left w:val="single" w:sz="4" w:space="0" w:color="auto"/>
              <w:bottom w:val="single" w:sz="4" w:space="0" w:color="auto"/>
              <w:right w:val="single" w:sz="4" w:space="0" w:color="auto"/>
            </w:tcBorders>
          </w:tcPr>
          <w:p w14:paraId="0F6C6F36"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−0.7</w:t>
            </w:r>
          </w:p>
        </w:tc>
      </w:tr>
      <w:tr w:rsidR="006C16B1" w:rsidRPr="005A0CEA" w14:paraId="22987C9E"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03DEC47F"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Difference from sitagliptin</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24F3A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−0.1 [−0.3; 0.0]</w:t>
            </w:r>
          </w:p>
        </w:tc>
        <w:tc>
          <w:tcPr>
            <w:tcW w:w="1985" w:type="dxa"/>
            <w:tcBorders>
              <w:top w:val="single" w:sz="4" w:space="0" w:color="auto"/>
              <w:left w:val="single" w:sz="4" w:space="0" w:color="auto"/>
              <w:bottom w:val="single" w:sz="4" w:space="0" w:color="auto"/>
              <w:right w:val="single" w:sz="4" w:space="0" w:color="auto"/>
            </w:tcBorders>
          </w:tcPr>
          <w:p w14:paraId="68A464B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−0.4 [−0.6; −0.</w:t>
            </w:r>
            <w:proofErr w:type="gramStart"/>
            <w:r w:rsidRPr="005A0CEA">
              <w:rPr>
                <w:rFonts w:asciiTheme="majorBidi" w:hAnsiTheme="majorBidi" w:cstheme="majorBidi"/>
                <w:szCs w:val="20"/>
              </w:rPr>
              <w:t>3]</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05B8EE3E"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6C16B1" w:rsidRPr="005A0CEA" w14:paraId="379F673F"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4EF186CC" w14:textId="77777777" w:rsidR="006C16B1" w:rsidRPr="005A0CEA" w:rsidRDefault="006C16B1" w:rsidP="007C5F0E">
            <w:pPr>
              <w:pStyle w:val="TableText"/>
              <w:ind w:left="284"/>
              <w:rPr>
                <w:rFonts w:asciiTheme="majorBidi" w:eastAsia="PMingLiU" w:hAnsiTheme="majorBidi" w:cstheme="majorBidi"/>
                <w:szCs w:val="20"/>
                <w:lang w:eastAsia="zh-TW"/>
              </w:rPr>
            </w:pPr>
            <w:r w:rsidRPr="005A0CEA">
              <w:rPr>
                <w:rFonts w:asciiTheme="majorBidi" w:hAnsiTheme="majorBidi" w:cstheme="majorBidi"/>
                <w:b/>
                <w:szCs w:val="20"/>
              </w:rPr>
              <w:t>Patients (%) achieving HbA</w:t>
            </w:r>
            <w:r w:rsidRPr="005A0CEA">
              <w:rPr>
                <w:rFonts w:asciiTheme="majorBidi" w:hAnsiTheme="majorBidi" w:cstheme="majorBidi"/>
                <w:b/>
                <w:szCs w:val="20"/>
                <w:vertAlign w:val="subscript"/>
              </w:rPr>
              <w:t>1c</w:t>
            </w:r>
            <w:r w:rsidRPr="005A0CEA">
              <w:rPr>
                <w:rFonts w:asciiTheme="majorBidi" w:hAnsiTheme="majorBidi" w:cstheme="majorBidi"/>
                <w:b/>
                <w:szCs w:val="20"/>
              </w:rPr>
              <w:t xml:space="preserve"> &lt;7.0%</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2CD324D"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39</w:t>
            </w:r>
            <w:r w:rsidRPr="005A0CEA">
              <w:rPr>
                <w:rFonts w:asciiTheme="majorBidi" w:hAnsiTheme="majorBidi" w:cstheme="majorBidi"/>
                <w:szCs w:val="20"/>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350F86EB"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45</w:t>
            </w:r>
            <w:r w:rsidRPr="005A0CEA">
              <w:rPr>
                <w:rFonts w:asciiTheme="majorBidi" w:hAnsiTheme="majorBidi" w:cstheme="majorBidi"/>
                <w:szCs w:val="20"/>
                <w:vertAlign w:val="superscript"/>
              </w:rPr>
              <w:t>§</w:t>
            </w:r>
          </w:p>
        </w:tc>
        <w:tc>
          <w:tcPr>
            <w:tcW w:w="1559" w:type="dxa"/>
            <w:tcBorders>
              <w:top w:val="single" w:sz="4" w:space="0" w:color="auto"/>
              <w:left w:val="single" w:sz="4" w:space="0" w:color="auto"/>
              <w:bottom w:val="single" w:sz="4" w:space="0" w:color="auto"/>
              <w:right w:val="single" w:sz="4" w:space="0" w:color="auto"/>
            </w:tcBorders>
          </w:tcPr>
          <w:p w14:paraId="2FB7C222"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29</w:t>
            </w:r>
          </w:p>
        </w:tc>
      </w:tr>
      <w:tr w:rsidR="006C16B1" w:rsidRPr="005A0CEA" w14:paraId="2DA1244E" w14:textId="77777777" w:rsidTr="00D038B0">
        <w:trPr>
          <w:trHeight w:val="253"/>
        </w:trPr>
        <w:tc>
          <w:tcPr>
            <w:tcW w:w="3823" w:type="dxa"/>
            <w:tcBorders>
              <w:top w:val="single" w:sz="4" w:space="0" w:color="auto"/>
              <w:left w:val="single" w:sz="4" w:space="0" w:color="auto"/>
              <w:bottom w:val="single" w:sz="4" w:space="0" w:color="auto"/>
              <w:right w:val="nil"/>
            </w:tcBorders>
          </w:tcPr>
          <w:p w14:paraId="7948AE01" w14:textId="77777777" w:rsidR="006C16B1" w:rsidRPr="005A0CEA" w:rsidRDefault="006C16B1" w:rsidP="007C5F0E">
            <w:pPr>
              <w:pStyle w:val="TableText"/>
              <w:ind w:left="284"/>
              <w:rPr>
                <w:rFonts w:asciiTheme="majorBidi" w:eastAsia="PMingLiU" w:hAnsiTheme="majorBidi" w:cstheme="majorBidi"/>
                <w:szCs w:val="20"/>
                <w:lang w:eastAsia="zh-TW"/>
              </w:rPr>
            </w:pPr>
            <w:r w:rsidRPr="005A0CEA">
              <w:rPr>
                <w:rFonts w:asciiTheme="majorBidi" w:hAnsiTheme="majorBidi" w:cstheme="majorBidi"/>
                <w:b/>
                <w:szCs w:val="20"/>
              </w:rPr>
              <w:t>Body weight (kg)</w:t>
            </w:r>
          </w:p>
        </w:tc>
        <w:tc>
          <w:tcPr>
            <w:tcW w:w="1842" w:type="dxa"/>
            <w:tcBorders>
              <w:top w:val="single" w:sz="4" w:space="0" w:color="auto"/>
              <w:left w:val="nil"/>
              <w:bottom w:val="single" w:sz="4" w:space="0" w:color="auto"/>
              <w:right w:val="nil"/>
            </w:tcBorders>
            <w:tcMar>
              <w:top w:w="0" w:type="dxa"/>
              <w:left w:w="57" w:type="dxa"/>
              <w:bottom w:w="0" w:type="dxa"/>
              <w:right w:w="57" w:type="dxa"/>
            </w:tcMar>
          </w:tcPr>
          <w:p w14:paraId="74485F8F" w14:textId="77777777" w:rsidR="006C16B1" w:rsidRPr="005A0CEA" w:rsidRDefault="006C16B1"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1786F341" w14:textId="77777777" w:rsidR="006C16B1" w:rsidRPr="005A0CEA" w:rsidRDefault="006C16B1" w:rsidP="007C5F0E">
            <w:pPr>
              <w:pStyle w:val="TableText"/>
              <w:jc w:val="center"/>
              <w:rPr>
                <w:rFonts w:asciiTheme="majorBidi" w:hAnsiTheme="majorBidi" w:cstheme="majorBidi"/>
                <w:szCs w:val="20"/>
              </w:rPr>
            </w:pPr>
          </w:p>
        </w:tc>
        <w:tc>
          <w:tcPr>
            <w:tcW w:w="1559" w:type="dxa"/>
            <w:tcBorders>
              <w:top w:val="single" w:sz="4" w:space="0" w:color="auto"/>
              <w:left w:val="nil"/>
              <w:bottom w:val="single" w:sz="4" w:space="0" w:color="auto"/>
              <w:right w:val="single" w:sz="4" w:space="0" w:color="auto"/>
            </w:tcBorders>
          </w:tcPr>
          <w:p w14:paraId="2F2EB34C" w14:textId="77777777" w:rsidR="006C16B1" w:rsidRPr="005A0CEA" w:rsidRDefault="006C16B1" w:rsidP="007C5F0E">
            <w:pPr>
              <w:pStyle w:val="TableText"/>
              <w:jc w:val="center"/>
              <w:rPr>
                <w:rFonts w:asciiTheme="majorBidi" w:hAnsiTheme="majorBidi" w:cstheme="majorBidi"/>
                <w:szCs w:val="20"/>
              </w:rPr>
            </w:pPr>
          </w:p>
        </w:tc>
      </w:tr>
      <w:tr w:rsidR="006C16B1" w:rsidRPr="005A0CEA" w14:paraId="6FB8A8C1"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19FA98EF" w14:textId="77777777" w:rsidR="006C16B1" w:rsidRPr="005A0CEA" w:rsidRDefault="006C16B1"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C9BF13"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−2.7</w:t>
            </w:r>
          </w:p>
        </w:tc>
        <w:tc>
          <w:tcPr>
            <w:tcW w:w="1985" w:type="dxa"/>
            <w:tcBorders>
              <w:top w:val="single" w:sz="4" w:space="0" w:color="auto"/>
              <w:left w:val="single" w:sz="4" w:space="0" w:color="auto"/>
              <w:bottom w:val="single" w:sz="4" w:space="0" w:color="auto"/>
              <w:right w:val="single" w:sz="4" w:space="0" w:color="auto"/>
            </w:tcBorders>
          </w:tcPr>
          <w:p w14:paraId="7FB402DB"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−3.2</w:t>
            </w:r>
          </w:p>
        </w:tc>
        <w:tc>
          <w:tcPr>
            <w:tcW w:w="1559" w:type="dxa"/>
            <w:tcBorders>
              <w:top w:val="single" w:sz="4" w:space="0" w:color="auto"/>
              <w:left w:val="single" w:sz="4" w:space="0" w:color="auto"/>
              <w:bottom w:val="single" w:sz="4" w:space="0" w:color="auto"/>
              <w:right w:val="single" w:sz="4" w:space="0" w:color="auto"/>
            </w:tcBorders>
          </w:tcPr>
          <w:p w14:paraId="37DE8C49"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−1.0</w:t>
            </w:r>
          </w:p>
        </w:tc>
      </w:tr>
      <w:tr w:rsidR="006C16B1" w:rsidRPr="005A0CEA" w14:paraId="67628596" w14:textId="77777777" w:rsidTr="00D038B0">
        <w:trPr>
          <w:trHeight w:val="253"/>
        </w:trPr>
        <w:tc>
          <w:tcPr>
            <w:tcW w:w="3823" w:type="dxa"/>
            <w:tcBorders>
              <w:top w:val="single" w:sz="4" w:space="0" w:color="auto"/>
              <w:left w:val="single" w:sz="4" w:space="0" w:color="auto"/>
              <w:bottom w:val="single" w:sz="4" w:space="0" w:color="auto"/>
              <w:right w:val="single" w:sz="4" w:space="0" w:color="auto"/>
            </w:tcBorders>
          </w:tcPr>
          <w:p w14:paraId="1A2EE4F5" w14:textId="77777777" w:rsidR="006C16B1" w:rsidRPr="005A0CEA" w:rsidRDefault="006C16B1" w:rsidP="007C5F0E">
            <w:pPr>
              <w:pStyle w:val="TableText"/>
              <w:ind w:left="465"/>
              <w:rPr>
                <w:rFonts w:asciiTheme="majorBidi" w:hAnsiTheme="majorBidi" w:cstheme="majorBidi"/>
                <w:szCs w:val="20"/>
              </w:rPr>
            </w:pPr>
            <w:r w:rsidRPr="005A0CEA">
              <w:rPr>
                <w:rFonts w:asciiTheme="majorBidi" w:hAnsiTheme="majorBidi" w:cstheme="majorBidi"/>
                <w:szCs w:val="20"/>
              </w:rPr>
              <w:t>Difference from sitagliptin</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1253C3"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−1.7 [−2.3; −1.</w:t>
            </w:r>
            <w:proofErr w:type="gramStart"/>
            <w:r w:rsidRPr="005A0CEA">
              <w:rPr>
                <w:rFonts w:asciiTheme="majorBidi" w:hAnsiTheme="majorBidi" w:cstheme="majorBidi"/>
                <w:szCs w:val="20"/>
              </w:rPr>
              <w:t>0]</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1E2421A1"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−2.1 [−2.8; −1.</w:t>
            </w:r>
            <w:proofErr w:type="gramStart"/>
            <w:r w:rsidRPr="005A0CEA">
              <w:rPr>
                <w:rFonts w:asciiTheme="majorBidi" w:hAnsiTheme="majorBidi" w:cstheme="majorBidi"/>
                <w:szCs w:val="20"/>
              </w:rPr>
              <w:t>5]</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6B2AE365" w14:textId="77777777" w:rsidR="006C16B1" w:rsidRPr="005A0CEA" w:rsidRDefault="006C16B1"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bl>
    <w:p w14:paraId="010EC563" w14:textId="77777777" w:rsidR="00EE79A9" w:rsidRPr="005A0CEA" w:rsidRDefault="00EE79A9" w:rsidP="007C5F0E">
      <w:pPr>
        <w:rPr>
          <w:sz w:val="18"/>
          <w:szCs w:val="18"/>
          <w:lang w:val="en-GB"/>
        </w:rPr>
      </w:pPr>
      <w:r w:rsidRPr="005A0CEA">
        <w:rPr>
          <w:sz w:val="20"/>
          <w:szCs w:val="20"/>
          <w:vertAlign w:val="superscript"/>
          <w:lang w:val="en-GB"/>
        </w:rPr>
        <w:t>1</w:t>
      </w:r>
      <w:r w:rsidRPr="005A0CEA">
        <w:rPr>
          <w:sz w:val="16"/>
          <w:szCs w:val="16"/>
          <w:lang w:val="en-GB"/>
        </w:rPr>
        <w:t xml:space="preserve"> </w:t>
      </w:r>
      <w:r w:rsidRPr="005A0CEA">
        <w:rPr>
          <w:sz w:val="18"/>
          <w:szCs w:val="18"/>
          <w:lang w:val="en-GB"/>
        </w:rPr>
        <w:t xml:space="preserve">Irrespective of treatment discontinuation or initiation of rescue medication (pattern mixture model using multiple imputation). </w:t>
      </w:r>
    </w:p>
    <w:p w14:paraId="419DD14D" w14:textId="77777777" w:rsidR="00EE79A9" w:rsidRPr="005A0CEA" w:rsidRDefault="00EE79A9" w:rsidP="007C5F0E">
      <w:pPr>
        <w:rPr>
          <w:sz w:val="18"/>
          <w:szCs w:val="18"/>
          <w:lang w:val="en-GB"/>
        </w:rPr>
      </w:pPr>
      <w:r w:rsidRPr="005A0CEA">
        <w:rPr>
          <w:sz w:val="18"/>
          <w:szCs w:val="18"/>
          <w:lang w:val="en-GB"/>
        </w:rPr>
        <w:t xml:space="preserve">* p&lt;0.001 (unadjusted 2-sided) for superiority, controlled for multiplicity. </w:t>
      </w:r>
    </w:p>
    <w:p w14:paraId="416BED10" w14:textId="0D7D62A4" w:rsidR="00B43C9F" w:rsidRPr="005A0CEA" w:rsidRDefault="00EE79A9" w:rsidP="007C5F0E">
      <w:pPr>
        <w:rPr>
          <w:sz w:val="18"/>
          <w:szCs w:val="18"/>
          <w:lang w:val="en-GB"/>
        </w:rPr>
      </w:pPr>
      <w:r w:rsidRPr="005A0CEA">
        <w:rPr>
          <w:sz w:val="18"/>
          <w:szCs w:val="18"/>
          <w:lang w:val="en-GB"/>
        </w:rPr>
        <w:t>§ p&lt;0.05, not controlled for multiplicity; for ‘Patients achieving HbA</w:t>
      </w:r>
      <w:r w:rsidRPr="005A0CEA">
        <w:rPr>
          <w:sz w:val="18"/>
          <w:szCs w:val="18"/>
          <w:vertAlign w:val="subscript"/>
          <w:lang w:val="en-GB"/>
        </w:rPr>
        <w:t>1c</w:t>
      </w:r>
      <w:r w:rsidRPr="005A0CEA">
        <w:rPr>
          <w:sz w:val="18"/>
          <w:szCs w:val="18"/>
          <w:lang w:val="en-GB"/>
        </w:rPr>
        <w:t> &lt;7.0%’, the p-value is for the odds ratio vs sitagliptin 100 mg.</w:t>
      </w:r>
    </w:p>
    <w:p w14:paraId="3B916A3D" w14:textId="1C53EEC1" w:rsidR="008D3AA2" w:rsidRPr="005A0CEA" w:rsidRDefault="006C24E2" w:rsidP="007C5F0E">
      <w:pPr>
        <w:pStyle w:val="Heading6"/>
        <w:rPr>
          <w:lang w:val="en-GB"/>
        </w:rPr>
      </w:pPr>
      <w:r w:rsidRPr="005A0CEA">
        <w:rPr>
          <w:lang w:val="en-GB"/>
        </w:rPr>
        <w:t>PIONEER 4 – Rybelsus vs. liraglutide and placebo, all in combination with metformin or metformin with an SGLT2 inhibitor</w:t>
      </w:r>
    </w:p>
    <w:p w14:paraId="06FE38FF" w14:textId="6FA89A4E" w:rsidR="00EE79A9" w:rsidRPr="005A0CEA" w:rsidRDefault="00EE79A9" w:rsidP="007C5F0E">
      <w:pPr>
        <w:rPr>
          <w:lang w:val="en-GB"/>
        </w:rPr>
      </w:pPr>
      <w:r w:rsidRPr="005A0CEA">
        <w:rPr>
          <w:lang w:val="en-GB"/>
        </w:rPr>
        <w:t xml:space="preserve">In a 52-week double-blind, double-dummy trial (26-week primary endpoint), 711 patients with type 2 diabetes were randomized to Rybelsus 14 mg, liraglutide 1.8 mg </w:t>
      </w:r>
      <w:proofErr w:type="spellStart"/>
      <w:r w:rsidRPr="005A0CEA">
        <w:rPr>
          <w:lang w:val="en-GB"/>
        </w:rPr>
        <w:t>s.c.</w:t>
      </w:r>
      <w:proofErr w:type="spellEnd"/>
      <w:r w:rsidRPr="005A0CEA">
        <w:rPr>
          <w:lang w:val="en-GB"/>
        </w:rPr>
        <w:t xml:space="preserve"> injection or placebo once daily, all in combination with metformin or metformin and an SGLT2 inhibitor.</w:t>
      </w:r>
    </w:p>
    <w:p w14:paraId="097051BB" w14:textId="77777777" w:rsidR="00EE79A9" w:rsidRPr="005A0CEA" w:rsidRDefault="00EE79A9" w:rsidP="007C5F0E">
      <w:pPr>
        <w:rPr>
          <w:lang w:val="en-GB"/>
        </w:rPr>
      </w:pPr>
    </w:p>
    <w:p w14:paraId="61DD3AB1" w14:textId="5AFB2433" w:rsidR="00EE79A9" w:rsidRPr="005A0CEA" w:rsidRDefault="00EE79A9" w:rsidP="007C5F0E">
      <w:pPr>
        <w:rPr>
          <w:lang w:val="en-GB"/>
        </w:rPr>
      </w:pPr>
      <w:r w:rsidRPr="005A0CEA">
        <w:rPr>
          <w:lang w:val="en-GB"/>
        </w:rPr>
        <w:t>The mean age of the trial population was 56 years, and the mean duration of type 2 diabetes was 7.6 years. Overall, 73% were White, 4% were Black or African American and 13% were Asian. Hispanic or Latino patients comprised 6% (n=40) of the population. The mean body weight at baseline was 94 kg.</w:t>
      </w:r>
    </w:p>
    <w:p w14:paraId="2E8A2A3E" w14:textId="77777777" w:rsidR="00EE79A9" w:rsidRPr="005A0CEA" w:rsidRDefault="00EE79A9" w:rsidP="007C5F0E">
      <w:pPr>
        <w:rPr>
          <w:lang w:val="en-GB"/>
        </w:rPr>
      </w:pPr>
    </w:p>
    <w:p w14:paraId="6ADDFACA" w14:textId="3234A41D" w:rsidR="006C24E2" w:rsidRPr="005A0CEA" w:rsidRDefault="00EE79A9" w:rsidP="007C5F0E">
      <w:pPr>
        <w:rPr>
          <w:lang w:val="en-GB"/>
        </w:rPr>
      </w:pPr>
      <w:r w:rsidRPr="005A0CEA">
        <w:rPr>
          <w:lang w:val="en-GB"/>
        </w:rPr>
        <w:t>Treatment with Rybelsus 14 mg once daily was superior at week 26 in reducing HbA</w:t>
      </w:r>
      <w:r w:rsidRPr="005A0CEA">
        <w:rPr>
          <w:vertAlign w:val="subscript"/>
          <w:lang w:val="en-GB"/>
        </w:rPr>
        <w:t>1c</w:t>
      </w:r>
      <w:r w:rsidRPr="005A0CEA">
        <w:rPr>
          <w:lang w:val="en-GB"/>
        </w:rPr>
        <w:t xml:space="preserve"> and body weight compared with placebo. Treatment with Rybelsus 14 mg was non-inferior in reducing HbA</w:t>
      </w:r>
      <w:r w:rsidRPr="005A0CEA">
        <w:rPr>
          <w:vertAlign w:val="subscript"/>
          <w:lang w:val="en-GB"/>
        </w:rPr>
        <w:t>1c</w:t>
      </w:r>
      <w:r w:rsidRPr="005A0CEA">
        <w:rPr>
          <w:lang w:val="en-GB"/>
        </w:rPr>
        <w:t xml:space="preserve"> and superior in reducing body weight at week 26 compared with liraglutide 1.8 mg </w:t>
      </w:r>
      <w:r w:rsidR="006C24E2" w:rsidRPr="005A0CEA">
        <w:rPr>
          <w:lang w:val="en-GB"/>
        </w:rPr>
        <w:t xml:space="preserve">(Table </w:t>
      </w:r>
      <w:r w:rsidR="00BF0244" w:rsidRPr="005A0CEA">
        <w:rPr>
          <w:lang w:val="en-GB"/>
        </w:rPr>
        <w:t>5</w:t>
      </w:r>
      <w:r w:rsidR="006C24E2" w:rsidRPr="005A0CEA">
        <w:rPr>
          <w:lang w:val="en-GB"/>
        </w:rPr>
        <w:t>).</w:t>
      </w:r>
    </w:p>
    <w:p w14:paraId="1DF3F4D8" w14:textId="3304D0D8" w:rsidR="006C24E2" w:rsidRPr="005A0CEA" w:rsidRDefault="006C24E2" w:rsidP="007C5F0E">
      <w:pPr>
        <w:rPr>
          <w:lang w:val="en-GB"/>
        </w:rPr>
      </w:pPr>
    </w:p>
    <w:p w14:paraId="5ACCC828" w14:textId="3BD77D56" w:rsidR="006C24E2" w:rsidRPr="005A0CEA" w:rsidRDefault="00FE2929" w:rsidP="00EC6639">
      <w:pPr>
        <w:keepNext/>
        <w:keepLines/>
        <w:rPr>
          <w:b/>
          <w:bCs/>
          <w:lang w:val="en-GB"/>
        </w:rPr>
      </w:pPr>
      <w:r w:rsidRPr="005A0CEA">
        <w:rPr>
          <w:b/>
          <w:bCs/>
          <w:lang w:val="en-GB"/>
        </w:rPr>
        <w:lastRenderedPageBreak/>
        <w:t xml:space="preserve">Table </w:t>
      </w:r>
      <w:r w:rsidRPr="005A0CEA">
        <w:rPr>
          <w:b/>
          <w:bCs/>
          <w:lang w:val="en-GB"/>
        </w:rPr>
        <w:fldChar w:fldCharType="begin"/>
      </w:r>
      <w:r w:rsidRPr="005A0CEA">
        <w:rPr>
          <w:b/>
          <w:bCs/>
          <w:lang w:val="en-GB"/>
        </w:rPr>
        <w:instrText xml:space="preserve"> SEQ Table \* ARABIC </w:instrText>
      </w:r>
      <w:r w:rsidRPr="005A0CEA">
        <w:rPr>
          <w:b/>
          <w:bCs/>
          <w:lang w:val="en-GB"/>
        </w:rPr>
        <w:fldChar w:fldCharType="separate"/>
      </w:r>
      <w:r w:rsidR="00A334F6">
        <w:rPr>
          <w:b/>
          <w:bCs/>
          <w:noProof/>
          <w:lang w:val="en-GB"/>
        </w:rPr>
        <w:t>6</w:t>
      </w:r>
      <w:r w:rsidRPr="005A0CEA">
        <w:rPr>
          <w:b/>
          <w:bCs/>
          <w:lang w:val="en-GB"/>
        </w:rPr>
        <w:fldChar w:fldCharType="end"/>
      </w:r>
      <w:r w:rsidRPr="005A0CEA">
        <w:rPr>
          <w:b/>
          <w:bCs/>
          <w:lang w:val="en-GB"/>
        </w:rPr>
        <w:t xml:space="preserve">: </w:t>
      </w:r>
      <w:r w:rsidR="006C24E2" w:rsidRPr="005A0CEA">
        <w:rPr>
          <w:b/>
          <w:bCs/>
          <w:lang w:val="en-GB"/>
        </w:rPr>
        <w:t xml:space="preserve">Results </w:t>
      </w:r>
      <w:r w:rsidR="00EE79A9" w:rsidRPr="005A0CEA">
        <w:rPr>
          <w:b/>
          <w:bCs/>
          <w:lang w:val="en-GB"/>
        </w:rPr>
        <w:t xml:space="preserve">of a </w:t>
      </w:r>
      <w:proofErr w:type="gramStart"/>
      <w:r w:rsidR="00EE79A9" w:rsidRPr="005A0CEA">
        <w:rPr>
          <w:b/>
          <w:bCs/>
          <w:lang w:val="en-GB"/>
        </w:rPr>
        <w:t>52 week</w:t>
      </w:r>
      <w:proofErr w:type="gramEnd"/>
      <w:r w:rsidR="00EE79A9" w:rsidRPr="005A0CEA">
        <w:rPr>
          <w:b/>
          <w:bCs/>
          <w:lang w:val="en-GB"/>
        </w:rPr>
        <w:t xml:space="preserve"> trial comparing semaglutide with liraglutide and placebo </w:t>
      </w:r>
      <w:r w:rsidR="006C24E2" w:rsidRPr="005A0CEA">
        <w:rPr>
          <w:b/>
          <w:bCs/>
          <w:lang w:val="en-GB"/>
        </w:rPr>
        <w:t>(PIONEER 4)</w:t>
      </w:r>
    </w:p>
    <w:tbl>
      <w:tblPr>
        <w:tblW w:w="9209"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964"/>
        <w:gridCol w:w="2127"/>
        <w:gridCol w:w="1559"/>
        <w:gridCol w:w="1559"/>
      </w:tblGrid>
      <w:tr w:rsidR="00EE79A9" w:rsidRPr="005A0CEA" w14:paraId="646DE01D" w14:textId="77777777" w:rsidTr="00D038B0">
        <w:trPr>
          <w:trHeight w:val="487"/>
        </w:trPr>
        <w:tc>
          <w:tcPr>
            <w:tcW w:w="3964" w:type="dxa"/>
            <w:tcBorders>
              <w:top w:val="single" w:sz="4" w:space="0" w:color="auto"/>
              <w:left w:val="single" w:sz="4" w:space="0" w:color="auto"/>
              <w:bottom w:val="single" w:sz="4" w:space="0" w:color="auto"/>
              <w:right w:val="single" w:sz="4" w:space="0" w:color="auto"/>
            </w:tcBorders>
          </w:tcPr>
          <w:p w14:paraId="200950B1" w14:textId="77777777" w:rsidR="00EE79A9" w:rsidRPr="005A0CEA" w:rsidRDefault="00EE79A9" w:rsidP="00EC6639">
            <w:pPr>
              <w:pStyle w:val="TableText"/>
              <w:jc w:val="center"/>
              <w:rPr>
                <w:rFonts w:asciiTheme="majorBidi" w:hAnsiTheme="majorBidi" w:cstheme="majorBidi"/>
                <w:szCs w:val="20"/>
              </w:rPr>
            </w:pPr>
          </w:p>
        </w:tc>
        <w:tc>
          <w:tcPr>
            <w:tcW w:w="2127" w:type="dxa"/>
            <w:tcBorders>
              <w:top w:val="single" w:sz="4" w:space="0" w:color="auto"/>
              <w:left w:val="single" w:sz="4" w:space="0" w:color="auto"/>
              <w:bottom w:val="single" w:sz="4" w:space="0" w:color="auto"/>
              <w:right w:val="single" w:sz="4" w:space="0" w:color="auto"/>
            </w:tcBorders>
          </w:tcPr>
          <w:p w14:paraId="206962BB" w14:textId="77777777" w:rsidR="00EE79A9" w:rsidRPr="005A0CEA" w:rsidRDefault="00EE79A9" w:rsidP="00EC6639">
            <w:pPr>
              <w:pStyle w:val="TableText"/>
              <w:jc w:val="center"/>
              <w:rPr>
                <w:rFonts w:asciiTheme="majorBidi" w:hAnsiTheme="majorBidi" w:cstheme="majorBidi"/>
                <w:b/>
                <w:szCs w:val="20"/>
              </w:rPr>
            </w:pPr>
            <w:r w:rsidRPr="005A0CEA">
              <w:rPr>
                <w:rFonts w:asciiTheme="majorBidi" w:hAnsiTheme="majorBidi" w:cstheme="majorBidi"/>
                <w:b/>
                <w:szCs w:val="20"/>
              </w:rPr>
              <w:t>Rybelsus</w:t>
            </w:r>
            <w:r w:rsidRPr="005A0CEA">
              <w:rPr>
                <w:rFonts w:asciiTheme="majorBidi" w:hAnsiTheme="majorBidi" w:cstheme="majorBidi"/>
                <w:b/>
                <w:szCs w:val="20"/>
                <w:vertAlign w:val="superscript"/>
              </w:rPr>
              <w:t>®</w:t>
            </w:r>
          </w:p>
          <w:p w14:paraId="05FD5DE7" w14:textId="77777777" w:rsidR="00EE79A9" w:rsidRPr="005A0CEA" w:rsidRDefault="00EE79A9" w:rsidP="00EC6639">
            <w:pPr>
              <w:pStyle w:val="TableText"/>
              <w:jc w:val="center"/>
              <w:rPr>
                <w:rFonts w:asciiTheme="majorBidi" w:hAnsiTheme="majorBidi" w:cstheme="majorBidi"/>
                <w:b/>
                <w:szCs w:val="20"/>
              </w:rPr>
            </w:pPr>
            <w:r w:rsidRPr="005A0CEA">
              <w:rPr>
                <w:rFonts w:asciiTheme="majorBidi" w:hAnsiTheme="majorBidi" w:cstheme="majorBidi"/>
                <w:b/>
                <w:szCs w:val="20"/>
              </w:rPr>
              <w:t>14 mg</w:t>
            </w:r>
          </w:p>
        </w:tc>
        <w:tc>
          <w:tcPr>
            <w:tcW w:w="1559" w:type="dxa"/>
            <w:tcBorders>
              <w:top w:val="single" w:sz="4" w:space="0" w:color="auto"/>
              <w:left w:val="single" w:sz="4" w:space="0" w:color="auto"/>
              <w:bottom w:val="single" w:sz="4" w:space="0" w:color="auto"/>
              <w:right w:val="single" w:sz="4" w:space="0" w:color="auto"/>
            </w:tcBorders>
          </w:tcPr>
          <w:p w14:paraId="640822B5" w14:textId="77777777" w:rsidR="00EE79A9" w:rsidRPr="005A0CEA" w:rsidRDefault="00EE79A9" w:rsidP="00EC6639">
            <w:pPr>
              <w:pStyle w:val="TableText"/>
              <w:jc w:val="center"/>
              <w:rPr>
                <w:rFonts w:asciiTheme="majorBidi" w:hAnsiTheme="majorBidi" w:cstheme="majorBidi"/>
                <w:b/>
                <w:szCs w:val="20"/>
              </w:rPr>
            </w:pPr>
            <w:r w:rsidRPr="005A0CEA">
              <w:rPr>
                <w:rFonts w:asciiTheme="majorBidi" w:hAnsiTheme="majorBidi" w:cstheme="majorBidi"/>
                <w:b/>
                <w:szCs w:val="20"/>
              </w:rPr>
              <w:t>Liraglutide</w:t>
            </w:r>
          </w:p>
          <w:p w14:paraId="27287803" w14:textId="77777777" w:rsidR="00EE79A9" w:rsidRPr="005A0CEA" w:rsidRDefault="00EE79A9" w:rsidP="00EC6639">
            <w:pPr>
              <w:pStyle w:val="TableText"/>
              <w:jc w:val="center"/>
              <w:rPr>
                <w:rFonts w:asciiTheme="majorBidi" w:hAnsiTheme="majorBidi" w:cstheme="majorBidi"/>
                <w:szCs w:val="20"/>
              </w:rPr>
            </w:pPr>
            <w:r w:rsidRPr="005A0CEA">
              <w:rPr>
                <w:rFonts w:asciiTheme="majorBidi" w:hAnsiTheme="majorBidi" w:cstheme="majorBidi"/>
                <w:b/>
                <w:szCs w:val="20"/>
              </w:rPr>
              <w:t>1.8 mg</w:t>
            </w:r>
          </w:p>
        </w:tc>
        <w:tc>
          <w:tcPr>
            <w:tcW w:w="1559" w:type="dxa"/>
            <w:tcBorders>
              <w:top w:val="single" w:sz="4" w:space="0" w:color="auto"/>
              <w:left w:val="single" w:sz="4" w:space="0" w:color="auto"/>
              <w:bottom w:val="single" w:sz="4" w:space="0" w:color="auto"/>
              <w:right w:val="single" w:sz="4" w:space="0" w:color="auto"/>
            </w:tcBorders>
          </w:tcPr>
          <w:p w14:paraId="5690C10A" w14:textId="77777777" w:rsidR="00EE79A9" w:rsidRPr="005A0CEA" w:rsidRDefault="00EE79A9" w:rsidP="00EC6639">
            <w:pPr>
              <w:pStyle w:val="TableText"/>
              <w:jc w:val="center"/>
              <w:rPr>
                <w:rFonts w:asciiTheme="majorBidi" w:hAnsiTheme="majorBidi" w:cstheme="majorBidi"/>
                <w:szCs w:val="20"/>
              </w:rPr>
            </w:pPr>
            <w:r w:rsidRPr="005A0CEA">
              <w:rPr>
                <w:rFonts w:asciiTheme="majorBidi" w:hAnsiTheme="majorBidi" w:cstheme="majorBidi"/>
                <w:b/>
                <w:szCs w:val="20"/>
              </w:rPr>
              <w:t>Placebo</w:t>
            </w:r>
          </w:p>
          <w:p w14:paraId="0A4A6E15" w14:textId="77777777" w:rsidR="00EE79A9" w:rsidRPr="005A0CEA" w:rsidRDefault="00EE79A9" w:rsidP="00EC6639">
            <w:pPr>
              <w:pStyle w:val="TableText"/>
              <w:jc w:val="center"/>
              <w:rPr>
                <w:rFonts w:asciiTheme="majorBidi" w:hAnsiTheme="majorBidi" w:cstheme="majorBidi"/>
                <w:b/>
                <w:szCs w:val="20"/>
              </w:rPr>
            </w:pPr>
          </w:p>
        </w:tc>
      </w:tr>
      <w:tr w:rsidR="00EE79A9" w:rsidRPr="005A0CEA" w14:paraId="4D23D8EA"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663B931F" w14:textId="77777777" w:rsidR="00EE79A9" w:rsidRPr="005A0CEA" w:rsidRDefault="00EE79A9" w:rsidP="00EC6639">
            <w:pPr>
              <w:pStyle w:val="TableText"/>
              <w:rPr>
                <w:rFonts w:asciiTheme="majorBidi" w:hAnsiTheme="majorBidi" w:cstheme="majorBidi"/>
                <w:szCs w:val="20"/>
              </w:rPr>
            </w:pPr>
            <w:r w:rsidRPr="005A0CEA">
              <w:rPr>
                <w:rFonts w:asciiTheme="majorBidi" w:hAnsiTheme="majorBidi" w:cstheme="majorBidi"/>
                <w:szCs w:val="20"/>
              </w:rPr>
              <w:t>Full analysis set (N)</w:t>
            </w:r>
          </w:p>
        </w:tc>
        <w:tc>
          <w:tcPr>
            <w:tcW w:w="2127" w:type="dxa"/>
            <w:tcBorders>
              <w:top w:val="single" w:sz="4" w:space="0" w:color="auto"/>
              <w:left w:val="single" w:sz="4" w:space="0" w:color="auto"/>
              <w:bottom w:val="single" w:sz="4" w:space="0" w:color="auto"/>
              <w:right w:val="single" w:sz="4" w:space="0" w:color="auto"/>
            </w:tcBorders>
          </w:tcPr>
          <w:p w14:paraId="1687FD42" w14:textId="77777777" w:rsidR="00EE79A9" w:rsidRPr="005A0CEA" w:rsidRDefault="00EE79A9" w:rsidP="00EC6639">
            <w:pPr>
              <w:pStyle w:val="TableText"/>
              <w:jc w:val="center"/>
              <w:rPr>
                <w:rFonts w:asciiTheme="majorBidi" w:eastAsia="PMingLiU" w:hAnsiTheme="majorBidi" w:cstheme="majorBidi"/>
                <w:szCs w:val="20"/>
              </w:rPr>
            </w:pPr>
            <w:r w:rsidRPr="005A0CEA">
              <w:rPr>
                <w:rFonts w:asciiTheme="majorBidi" w:hAnsiTheme="majorBidi" w:cstheme="majorBidi"/>
                <w:szCs w:val="20"/>
              </w:rPr>
              <w:t>285</w:t>
            </w:r>
          </w:p>
        </w:tc>
        <w:tc>
          <w:tcPr>
            <w:tcW w:w="1559" w:type="dxa"/>
            <w:tcBorders>
              <w:top w:val="single" w:sz="4" w:space="0" w:color="auto"/>
              <w:left w:val="single" w:sz="4" w:space="0" w:color="auto"/>
              <w:bottom w:val="single" w:sz="4" w:space="0" w:color="auto"/>
              <w:right w:val="single" w:sz="4" w:space="0" w:color="auto"/>
            </w:tcBorders>
          </w:tcPr>
          <w:p w14:paraId="7A0B7D27" w14:textId="77777777" w:rsidR="00EE79A9" w:rsidRPr="005A0CEA" w:rsidRDefault="00EE79A9" w:rsidP="00EC6639">
            <w:pPr>
              <w:pStyle w:val="TableText"/>
              <w:jc w:val="center"/>
              <w:rPr>
                <w:rFonts w:asciiTheme="majorBidi" w:hAnsiTheme="majorBidi" w:cstheme="majorBidi"/>
                <w:szCs w:val="20"/>
              </w:rPr>
            </w:pPr>
            <w:r w:rsidRPr="005A0CEA">
              <w:rPr>
                <w:rFonts w:asciiTheme="majorBidi" w:hAnsiTheme="majorBidi" w:cstheme="majorBidi"/>
                <w:szCs w:val="20"/>
              </w:rPr>
              <w:t>284</w:t>
            </w:r>
          </w:p>
        </w:tc>
        <w:tc>
          <w:tcPr>
            <w:tcW w:w="1559" w:type="dxa"/>
            <w:tcBorders>
              <w:top w:val="single" w:sz="4" w:space="0" w:color="auto"/>
              <w:left w:val="single" w:sz="4" w:space="0" w:color="auto"/>
              <w:bottom w:val="single" w:sz="4" w:space="0" w:color="auto"/>
              <w:right w:val="single" w:sz="4" w:space="0" w:color="auto"/>
            </w:tcBorders>
          </w:tcPr>
          <w:p w14:paraId="25CD3981" w14:textId="77777777" w:rsidR="00EE79A9" w:rsidRPr="005A0CEA" w:rsidRDefault="00EE79A9" w:rsidP="00EC6639">
            <w:pPr>
              <w:pStyle w:val="TableText"/>
              <w:jc w:val="center"/>
              <w:rPr>
                <w:rFonts w:asciiTheme="majorBidi" w:eastAsia="PMingLiU" w:hAnsiTheme="majorBidi" w:cstheme="majorBidi"/>
                <w:szCs w:val="20"/>
              </w:rPr>
            </w:pPr>
            <w:r w:rsidRPr="005A0CEA">
              <w:rPr>
                <w:rFonts w:asciiTheme="majorBidi" w:hAnsiTheme="majorBidi" w:cstheme="majorBidi"/>
                <w:szCs w:val="20"/>
              </w:rPr>
              <w:t>142</w:t>
            </w:r>
          </w:p>
        </w:tc>
      </w:tr>
      <w:tr w:rsidR="00FF19B5" w:rsidRPr="005A0CEA" w14:paraId="4FE6BA02" w14:textId="77777777" w:rsidTr="00833543">
        <w:trPr>
          <w:trHeight w:val="253"/>
        </w:trPr>
        <w:tc>
          <w:tcPr>
            <w:tcW w:w="9209" w:type="dxa"/>
            <w:gridSpan w:val="4"/>
            <w:tcBorders>
              <w:top w:val="single" w:sz="4" w:space="0" w:color="auto"/>
              <w:left w:val="single" w:sz="4" w:space="0" w:color="auto"/>
              <w:bottom w:val="single" w:sz="4" w:space="0" w:color="auto"/>
              <w:right w:val="single" w:sz="4" w:space="0" w:color="auto"/>
            </w:tcBorders>
          </w:tcPr>
          <w:p w14:paraId="01485B64" w14:textId="086373B5" w:rsidR="00FF19B5" w:rsidRPr="005A0CEA" w:rsidRDefault="00FF19B5" w:rsidP="007C5F0E">
            <w:pPr>
              <w:pStyle w:val="TableText"/>
              <w:keepNext w:val="0"/>
              <w:keepLines w:val="0"/>
              <w:rPr>
                <w:rFonts w:asciiTheme="majorBidi" w:hAnsiTheme="majorBidi" w:cstheme="majorBidi"/>
                <w:szCs w:val="20"/>
              </w:rPr>
            </w:pPr>
            <w:r w:rsidRPr="005A0CEA">
              <w:rPr>
                <w:rFonts w:asciiTheme="majorBidi" w:hAnsiTheme="majorBidi" w:cstheme="majorBidi"/>
                <w:b/>
                <w:bCs/>
                <w:szCs w:val="20"/>
              </w:rPr>
              <w:t>Week 26</w:t>
            </w:r>
          </w:p>
        </w:tc>
      </w:tr>
      <w:tr w:rsidR="00EE79A9" w:rsidRPr="005A0CEA" w14:paraId="272916BA"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617ABEC9" w14:textId="5041E0F9" w:rsidR="00EE79A9" w:rsidRPr="005A0CEA" w:rsidRDefault="00EE79A9" w:rsidP="007C5F0E">
            <w:pPr>
              <w:pStyle w:val="TableText"/>
              <w:keepNext w:val="0"/>
              <w:keepLines w:val="0"/>
              <w:ind w:left="284"/>
              <w:rPr>
                <w:rFonts w:asciiTheme="majorBidi" w:eastAsia="PMingLiU" w:hAnsiTheme="majorBidi" w:cstheme="majorBidi"/>
                <w:szCs w:val="20"/>
                <w:lang w:eastAsia="zh-TW"/>
              </w:rPr>
            </w:pPr>
            <w:r w:rsidRPr="005A0CEA">
              <w:rPr>
                <w:rFonts w:asciiTheme="majorBidi" w:hAnsiTheme="majorBidi" w:cstheme="majorBidi"/>
                <w:b/>
                <w:bCs/>
                <w:szCs w:val="20"/>
              </w:rPr>
              <w:t>HbA</w:t>
            </w:r>
            <w:r w:rsidRPr="005A0CEA">
              <w:rPr>
                <w:rFonts w:asciiTheme="majorBidi" w:hAnsiTheme="majorBidi" w:cstheme="majorBidi"/>
                <w:b/>
                <w:bCs/>
                <w:szCs w:val="20"/>
                <w:vertAlign w:val="subscript"/>
              </w:rPr>
              <w:t xml:space="preserve">1c </w:t>
            </w:r>
            <w:r w:rsidRPr="005A0CEA">
              <w:rPr>
                <w:rFonts w:asciiTheme="majorBidi" w:hAnsiTheme="majorBidi" w:cstheme="majorBidi"/>
                <w:b/>
                <w:bCs/>
                <w:szCs w:val="20"/>
              </w:rPr>
              <w:t>(%)</w:t>
            </w:r>
          </w:p>
        </w:tc>
        <w:tc>
          <w:tcPr>
            <w:tcW w:w="2127" w:type="dxa"/>
            <w:tcBorders>
              <w:top w:val="single" w:sz="4" w:space="0" w:color="auto"/>
              <w:left w:val="single" w:sz="4" w:space="0" w:color="auto"/>
              <w:bottom w:val="single" w:sz="4" w:space="0" w:color="auto"/>
              <w:right w:val="single" w:sz="4" w:space="0" w:color="auto"/>
            </w:tcBorders>
          </w:tcPr>
          <w:p w14:paraId="3CF60514"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452DA4DC" w14:textId="77777777" w:rsidR="00EE79A9" w:rsidRPr="005A0CEA" w:rsidRDefault="00EE79A9" w:rsidP="007C5F0E">
            <w:pPr>
              <w:pStyle w:val="TableText"/>
              <w:keepNext w:val="0"/>
              <w:keepLines w:val="0"/>
              <w:jc w:val="center"/>
              <w:rPr>
                <w:rFonts w:asciiTheme="majorBidi"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031A688A"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r>
      <w:tr w:rsidR="00EE79A9" w:rsidRPr="005A0CEA" w14:paraId="6CE87341"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6E59B7EF"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2127" w:type="dxa"/>
            <w:tcBorders>
              <w:top w:val="single" w:sz="4" w:space="0" w:color="auto"/>
              <w:left w:val="single" w:sz="4" w:space="0" w:color="auto"/>
              <w:bottom w:val="single" w:sz="4" w:space="0" w:color="auto"/>
              <w:right w:val="single" w:sz="4" w:space="0" w:color="auto"/>
            </w:tcBorders>
          </w:tcPr>
          <w:p w14:paraId="02F23EEB"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8.0</w:t>
            </w:r>
          </w:p>
        </w:tc>
        <w:tc>
          <w:tcPr>
            <w:tcW w:w="1559" w:type="dxa"/>
            <w:tcBorders>
              <w:top w:val="single" w:sz="4" w:space="0" w:color="auto"/>
              <w:left w:val="single" w:sz="4" w:space="0" w:color="auto"/>
              <w:bottom w:val="single" w:sz="4" w:space="0" w:color="auto"/>
              <w:right w:val="single" w:sz="4" w:space="0" w:color="auto"/>
            </w:tcBorders>
          </w:tcPr>
          <w:p w14:paraId="226470D9"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8.0</w:t>
            </w:r>
          </w:p>
        </w:tc>
        <w:tc>
          <w:tcPr>
            <w:tcW w:w="1559" w:type="dxa"/>
            <w:tcBorders>
              <w:top w:val="single" w:sz="4" w:space="0" w:color="auto"/>
              <w:left w:val="single" w:sz="4" w:space="0" w:color="auto"/>
              <w:bottom w:val="single" w:sz="4" w:space="0" w:color="auto"/>
              <w:right w:val="single" w:sz="4" w:space="0" w:color="auto"/>
            </w:tcBorders>
          </w:tcPr>
          <w:p w14:paraId="024A0683"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7.9</w:t>
            </w:r>
          </w:p>
        </w:tc>
      </w:tr>
      <w:tr w:rsidR="00EE79A9" w:rsidRPr="005A0CEA" w14:paraId="1FA6D0BC"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2C9A7024"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2127" w:type="dxa"/>
            <w:tcBorders>
              <w:top w:val="single" w:sz="4" w:space="0" w:color="auto"/>
              <w:left w:val="single" w:sz="4" w:space="0" w:color="auto"/>
              <w:bottom w:val="single" w:sz="4" w:space="0" w:color="auto"/>
              <w:right w:val="single" w:sz="4" w:space="0" w:color="auto"/>
            </w:tcBorders>
          </w:tcPr>
          <w:p w14:paraId="3BCCD24C"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−1.2</w:t>
            </w:r>
          </w:p>
        </w:tc>
        <w:tc>
          <w:tcPr>
            <w:tcW w:w="1559" w:type="dxa"/>
            <w:tcBorders>
              <w:top w:val="single" w:sz="4" w:space="0" w:color="auto"/>
              <w:left w:val="single" w:sz="4" w:space="0" w:color="auto"/>
              <w:bottom w:val="single" w:sz="4" w:space="0" w:color="auto"/>
              <w:right w:val="single" w:sz="4" w:space="0" w:color="auto"/>
            </w:tcBorders>
          </w:tcPr>
          <w:p w14:paraId="3BAC7072"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−1.1</w:t>
            </w:r>
          </w:p>
        </w:tc>
        <w:tc>
          <w:tcPr>
            <w:tcW w:w="1559" w:type="dxa"/>
            <w:tcBorders>
              <w:top w:val="single" w:sz="4" w:space="0" w:color="auto"/>
              <w:left w:val="single" w:sz="4" w:space="0" w:color="auto"/>
              <w:bottom w:val="single" w:sz="4" w:space="0" w:color="auto"/>
              <w:right w:val="single" w:sz="4" w:space="0" w:color="auto"/>
            </w:tcBorders>
          </w:tcPr>
          <w:p w14:paraId="6162A027"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−0.2</w:t>
            </w:r>
          </w:p>
        </w:tc>
      </w:tr>
      <w:tr w:rsidR="00EE79A9" w:rsidRPr="005A0CEA" w14:paraId="1D976773"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5DA28A98"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liraglutide</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3FABE24E"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−0.1 [−0.3; 0.0]</w:t>
            </w:r>
            <w:r w:rsidRPr="005A0CEA">
              <w:rPr>
                <w:rFonts w:asciiTheme="majorBidi" w:hAnsiTheme="majorBidi" w:cstheme="majorBidi"/>
                <w:szCs w:val="20"/>
                <w:vertAlign w:val="superscript"/>
              </w:rPr>
              <w:t xml:space="preserve"> </w:t>
            </w:r>
          </w:p>
        </w:tc>
        <w:tc>
          <w:tcPr>
            <w:tcW w:w="1559" w:type="dxa"/>
            <w:tcBorders>
              <w:top w:val="single" w:sz="4" w:space="0" w:color="auto"/>
              <w:left w:val="single" w:sz="4" w:space="0" w:color="auto"/>
              <w:bottom w:val="single" w:sz="4" w:space="0" w:color="auto"/>
              <w:right w:val="single" w:sz="4" w:space="0" w:color="auto"/>
            </w:tcBorders>
          </w:tcPr>
          <w:p w14:paraId="40159231"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16964310"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362E6A8E"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546867D0"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446389E1"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−1.1 [−1.2; −0.</w:t>
            </w:r>
            <w:proofErr w:type="gramStart"/>
            <w:r w:rsidRPr="005A0CEA">
              <w:rPr>
                <w:rFonts w:asciiTheme="majorBidi" w:hAnsiTheme="majorBidi" w:cstheme="majorBidi"/>
                <w:szCs w:val="20"/>
              </w:rPr>
              <w:t>9]*</w:t>
            </w:r>
            <w:proofErr w:type="gramEnd"/>
          </w:p>
        </w:tc>
        <w:tc>
          <w:tcPr>
            <w:tcW w:w="1559" w:type="dxa"/>
            <w:tcBorders>
              <w:top w:val="single" w:sz="4" w:space="0" w:color="auto"/>
              <w:left w:val="single" w:sz="4" w:space="0" w:color="auto"/>
              <w:bottom w:val="single" w:sz="4" w:space="0" w:color="auto"/>
              <w:right w:val="single" w:sz="4" w:space="0" w:color="auto"/>
            </w:tcBorders>
          </w:tcPr>
          <w:p w14:paraId="39AD451F"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47417B92"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3F9B9077"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2DBA8D3F" w14:textId="0A6089B3" w:rsidR="00EE79A9" w:rsidRPr="005A0CEA" w:rsidRDefault="00EE79A9" w:rsidP="007C5F0E">
            <w:pPr>
              <w:pStyle w:val="TableText"/>
              <w:keepNext w:val="0"/>
              <w:keepLines w:val="0"/>
              <w:ind w:left="285"/>
              <w:rPr>
                <w:rFonts w:asciiTheme="majorBidi" w:eastAsia="PMingLiU" w:hAnsiTheme="majorBidi" w:cstheme="majorBidi"/>
                <w:szCs w:val="20"/>
                <w:lang w:eastAsia="zh-TW"/>
              </w:rPr>
            </w:pPr>
            <w:r w:rsidRPr="005A0CEA">
              <w:rPr>
                <w:rFonts w:asciiTheme="majorBidi" w:hAnsiTheme="majorBidi" w:cstheme="majorBidi"/>
                <w:b/>
                <w:szCs w:val="20"/>
              </w:rPr>
              <w:t>Patients (%) achieving HbA</w:t>
            </w:r>
            <w:r w:rsidRPr="005A0CEA">
              <w:rPr>
                <w:rFonts w:asciiTheme="majorBidi" w:hAnsiTheme="majorBidi" w:cstheme="majorBidi"/>
                <w:b/>
                <w:szCs w:val="20"/>
                <w:vertAlign w:val="subscript"/>
              </w:rPr>
              <w:t>1c</w:t>
            </w:r>
            <w:r w:rsidRPr="005A0CEA">
              <w:rPr>
                <w:rFonts w:asciiTheme="majorBidi" w:hAnsiTheme="majorBidi" w:cstheme="majorBidi"/>
                <w:b/>
                <w:szCs w:val="20"/>
              </w:rPr>
              <w:t xml:space="preserve"> &lt;7.0%</w:t>
            </w:r>
          </w:p>
        </w:tc>
        <w:tc>
          <w:tcPr>
            <w:tcW w:w="2127" w:type="dxa"/>
            <w:tcBorders>
              <w:top w:val="single" w:sz="4" w:space="0" w:color="auto"/>
              <w:left w:val="single" w:sz="4" w:space="0" w:color="auto"/>
              <w:bottom w:val="single" w:sz="4" w:space="0" w:color="auto"/>
              <w:right w:val="single" w:sz="4" w:space="0" w:color="auto"/>
            </w:tcBorders>
          </w:tcPr>
          <w:p w14:paraId="68C9848C"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68</w:t>
            </w:r>
            <w:r w:rsidRPr="005A0CEA">
              <w:rPr>
                <w:rFonts w:asciiTheme="majorBidi" w:hAnsiTheme="majorBidi" w:cstheme="majorBidi"/>
                <w:szCs w:val="20"/>
                <w:vertAlign w:val="superscript"/>
              </w:rPr>
              <w:t>§</w:t>
            </w:r>
          </w:p>
        </w:tc>
        <w:tc>
          <w:tcPr>
            <w:tcW w:w="1559" w:type="dxa"/>
            <w:tcBorders>
              <w:top w:val="single" w:sz="4" w:space="0" w:color="auto"/>
              <w:left w:val="single" w:sz="4" w:space="0" w:color="auto"/>
              <w:bottom w:val="single" w:sz="4" w:space="0" w:color="auto"/>
              <w:right w:val="single" w:sz="4" w:space="0" w:color="auto"/>
            </w:tcBorders>
          </w:tcPr>
          <w:p w14:paraId="15EEE6D3"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62</w:t>
            </w:r>
          </w:p>
        </w:tc>
        <w:tc>
          <w:tcPr>
            <w:tcW w:w="1559" w:type="dxa"/>
            <w:tcBorders>
              <w:top w:val="single" w:sz="4" w:space="0" w:color="auto"/>
              <w:left w:val="single" w:sz="4" w:space="0" w:color="auto"/>
              <w:bottom w:val="single" w:sz="4" w:space="0" w:color="auto"/>
              <w:right w:val="single" w:sz="4" w:space="0" w:color="auto"/>
            </w:tcBorders>
          </w:tcPr>
          <w:p w14:paraId="0919D8B7"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14</w:t>
            </w:r>
          </w:p>
        </w:tc>
      </w:tr>
      <w:tr w:rsidR="00EE79A9" w:rsidRPr="005A0CEA" w14:paraId="39936C2D"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4E01F09C" w14:textId="348F5851" w:rsidR="00EE79A9" w:rsidRPr="005A0CEA" w:rsidRDefault="00EE79A9" w:rsidP="007C5F0E">
            <w:pPr>
              <w:pStyle w:val="TableText"/>
              <w:keepNext w:val="0"/>
              <w:keepLines w:val="0"/>
              <w:ind w:left="284"/>
              <w:rPr>
                <w:rFonts w:asciiTheme="majorBidi" w:eastAsia="PMingLiU" w:hAnsiTheme="majorBidi" w:cstheme="majorBidi"/>
                <w:szCs w:val="20"/>
                <w:lang w:eastAsia="zh-TW"/>
              </w:rPr>
            </w:pPr>
            <w:r w:rsidRPr="005A0CEA">
              <w:rPr>
                <w:rFonts w:asciiTheme="majorBidi" w:hAnsiTheme="majorBidi" w:cstheme="majorBidi"/>
                <w:b/>
                <w:bCs/>
                <w:szCs w:val="20"/>
              </w:rPr>
              <w:t>FPG (mmol/L)</w:t>
            </w:r>
          </w:p>
        </w:tc>
        <w:tc>
          <w:tcPr>
            <w:tcW w:w="2127" w:type="dxa"/>
            <w:tcBorders>
              <w:top w:val="single" w:sz="4" w:space="0" w:color="auto"/>
              <w:left w:val="single" w:sz="4" w:space="0" w:color="auto"/>
              <w:bottom w:val="single" w:sz="4" w:space="0" w:color="auto"/>
              <w:right w:val="single" w:sz="4" w:space="0" w:color="auto"/>
            </w:tcBorders>
          </w:tcPr>
          <w:p w14:paraId="3B78602C"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140E471D" w14:textId="77777777" w:rsidR="00EE79A9" w:rsidRPr="005A0CEA" w:rsidRDefault="00EE79A9" w:rsidP="007C5F0E">
            <w:pPr>
              <w:pStyle w:val="TableText"/>
              <w:keepNext w:val="0"/>
              <w:keepLines w:val="0"/>
              <w:jc w:val="center"/>
              <w:rPr>
                <w:rFonts w:asciiTheme="majorBidi"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02CACFD2"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r>
      <w:tr w:rsidR="00EE79A9" w:rsidRPr="005A0CEA" w14:paraId="25A556B4"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67A9DFBA"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2127" w:type="dxa"/>
            <w:tcBorders>
              <w:top w:val="single" w:sz="4" w:space="0" w:color="auto"/>
              <w:left w:val="single" w:sz="4" w:space="0" w:color="auto"/>
              <w:bottom w:val="single" w:sz="4" w:space="0" w:color="auto"/>
              <w:right w:val="single" w:sz="4" w:space="0" w:color="auto"/>
            </w:tcBorders>
          </w:tcPr>
          <w:p w14:paraId="7AF8CA31"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9.3</w:t>
            </w:r>
          </w:p>
        </w:tc>
        <w:tc>
          <w:tcPr>
            <w:tcW w:w="1559" w:type="dxa"/>
            <w:tcBorders>
              <w:top w:val="single" w:sz="4" w:space="0" w:color="auto"/>
              <w:left w:val="single" w:sz="4" w:space="0" w:color="auto"/>
              <w:bottom w:val="single" w:sz="4" w:space="0" w:color="auto"/>
              <w:right w:val="single" w:sz="4" w:space="0" w:color="auto"/>
            </w:tcBorders>
          </w:tcPr>
          <w:p w14:paraId="3571C205"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9.3</w:t>
            </w:r>
          </w:p>
        </w:tc>
        <w:tc>
          <w:tcPr>
            <w:tcW w:w="1559" w:type="dxa"/>
            <w:tcBorders>
              <w:top w:val="single" w:sz="4" w:space="0" w:color="auto"/>
              <w:left w:val="single" w:sz="4" w:space="0" w:color="auto"/>
              <w:bottom w:val="single" w:sz="4" w:space="0" w:color="auto"/>
              <w:right w:val="single" w:sz="4" w:space="0" w:color="auto"/>
            </w:tcBorders>
          </w:tcPr>
          <w:p w14:paraId="682D1C58"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9.2</w:t>
            </w:r>
          </w:p>
        </w:tc>
      </w:tr>
      <w:tr w:rsidR="00EE79A9" w:rsidRPr="005A0CEA" w14:paraId="53E18591"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52FBFF19"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2127" w:type="dxa"/>
            <w:tcBorders>
              <w:top w:val="single" w:sz="4" w:space="0" w:color="auto"/>
              <w:left w:val="single" w:sz="4" w:space="0" w:color="auto"/>
              <w:bottom w:val="single" w:sz="4" w:space="0" w:color="auto"/>
              <w:right w:val="single" w:sz="4" w:space="0" w:color="auto"/>
            </w:tcBorders>
          </w:tcPr>
          <w:p w14:paraId="28763567"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−2.0</w:t>
            </w:r>
          </w:p>
        </w:tc>
        <w:tc>
          <w:tcPr>
            <w:tcW w:w="1559" w:type="dxa"/>
            <w:tcBorders>
              <w:top w:val="single" w:sz="4" w:space="0" w:color="auto"/>
              <w:left w:val="single" w:sz="4" w:space="0" w:color="auto"/>
              <w:bottom w:val="single" w:sz="4" w:space="0" w:color="auto"/>
              <w:right w:val="single" w:sz="4" w:space="0" w:color="auto"/>
            </w:tcBorders>
          </w:tcPr>
          <w:p w14:paraId="59EB89A8"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−1.9</w:t>
            </w:r>
          </w:p>
        </w:tc>
        <w:tc>
          <w:tcPr>
            <w:tcW w:w="1559" w:type="dxa"/>
            <w:tcBorders>
              <w:top w:val="single" w:sz="4" w:space="0" w:color="auto"/>
              <w:left w:val="single" w:sz="4" w:space="0" w:color="auto"/>
              <w:bottom w:val="single" w:sz="4" w:space="0" w:color="auto"/>
              <w:right w:val="single" w:sz="4" w:space="0" w:color="auto"/>
            </w:tcBorders>
          </w:tcPr>
          <w:p w14:paraId="3C0CD8AF"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−0.4</w:t>
            </w:r>
          </w:p>
        </w:tc>
      </w:tr>
      <w:tr w:rsidR="00EE79A9" w:rsidRPr="005A0CEA" w14:paraId="446F7B6F"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0DCDFD45"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liraglutide</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327A01A1"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−0.1 [−0.4; 0.1]</w:t>
            </w:r>
            <w:r w:rsidRPr="005A0CEA">
              <w:rPr>
                <w:rFonts w:asciiTheme="majorBidi" w:hAnsiTheme="majorBidi" w:cstheme="majorBidi"/>
                <w:szCs w:val="20"/>
                <w:vertAlign w:val="superscript"/>
              </w:rPr>
              <w:t xml:space="preserve"> </w:t>
            </w:r>
          </w:p>
        </w:tc>
        <w:tc>
          <w:tcPr>
            <w:tcW w:w="1559" w:type="dxa"/>
            <w:tcBorders>
              <w:top w:val="single" w:sz="4" w:space="0" w:color="auto"/>
              <w:left w:val="single" w:sz="4" w:space="0" w:color="auto"/>
              <w:bottom w:val="single" w:sz="4" w:space="0" w:color="auto"/>
              <w:right w:val="single" w:sz="4" w:space="0" w:color="auto"/>
            </w:tcBorders>
          </w:tcPr>
          <w:p w14:paraId="0D9D54DC"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67CD2774"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76C5F8D5"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03DF398E"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25AFA31A"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−1.6 [−2.0; −1.</w:t>
            </w:r>
            <w:proofErr w:type="gramStart"/>
            <w:r w:rsidRPr="005A0CEA">
              <w:rPr>
                <w:rFonts w:asciiTheme="majorBidi" w:hAnsiTheme="majorBidi" w:cstheme="majorBidi"/>
                <w:szCs w:val="20"/>
              </w:rPr>
              <w:t>3]</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5E10DDDB" w14:textId="77777777" w:rsidR="00EE79A9" w:rsidRPr="005A0CEA" w:rsidRDefault="00EE79A9" w:rsidP="007C5F0E">
            <w:pPr>
              <w:pStyle w:val="TableText"/>
              <w:keepNext w:val="0"/>
              <w:keepLines w:val="0"/>
              <w:jc w:val="center"/>
              <w:rPr>
                <w:rFonts w:asciiTheme="majorBidi"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481C0A5A"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137753DF"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23E7F0ED" w14:textId="7A3BEF6B" w:rsidR="00EE79A9" w:rsidRPr="005A0CEA" w:rsidRDefault="00EE79A9" w:rsidP="007C5F0E">
            <w:pPr>
              <w:pStyle w:val="TableText"/>
              <w:keepNext w:val="0"/>
              <w:keepLines w:val="0"/>
              <w:ind w:left="284"/>
              <w:rPr>
                <w:rFonts w:asciiTheme="majorBidi" w:eastAsia="PMingLiU" w:hAnsiTheme="majorBidi" w:cstheme="majorBidi"/>
                <w:szCs w:val="20"/>
                <w:lang w:eastAsia="zh-TW"/>
              </w:rPr>
            </w:pPr>
            <w:r w:rsidRPr="005A0CEA">
              <w:rPr>
                <w:rFonts w:asciiTheme="majorBidi" w:hAnsiTheme="majorBidi" w:cstheme="majorBidi"/>
                <w:b/>
                <w:bCs/>
                <w:szCs w:val="20"/>
              </w:rPr>
              <w:t>Body weight (kg)</w:t>
            </w:r>
          </w:p>
        </w:tc>
        <w:tc>
          <w:tcPr>
            <w:tcW w:w="2127" w:type="dxa"/>
            <w:tcBorders>
              <w:top w:val="single" w:sz="4" w:space="0" w:color="auto"/>
              <w:left w:val="single" w:sz="4" w:space="0" w:color="auto"/>
              <w:bottom w:val="single" w:sz="4" w:space="0" w:color="auto"/>
              <w:right w:val="single" w:sz="4" w:space="0" w:color="auto"/>
            </w:tcBorders>
          </w:tcPr>
          <w:p w14:paraId="14127D28" w14:textId="77777777" w:rsidR="00EE79A9" w:rsidRPr="005A0CEA" w:rsidRDefault="00EE79A9" w:rsidP="007C5F0E">
            <w:pPr>
              <w:pStyle w:val="TableText"/>
              <w:keepNext w:val="0"/>
              <w:keepLines w:val="0"/>
              <w:jc w:val="center"/>
              <w:rPr>
                <w:rFonts w:asciiTheme="majorBidi"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24581ED5" w14:textId="77777777" w:rsidR="00EE79A9" w:rsidRPr="005A0CEA" w:rsidRDefault="00EE79A9" w:rsidP="007C5F0E">
            <w:pPr>
              <w:pStyle w:val="TableText"/>
              <w:keepNext w:val="0"/>
              <w:keepLines w:val="0"/>
              <w:jc w:val="center"/>
              <w:rPr>
                <w:rFonts w:asciiTheme="majorBidi"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63A386CD"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r>
      <w:tr w:rsidR="00EE79A9" w:rsidRPr="005A0CEA" w14:paraId="4C9F75A6"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63D94CFA"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2127" w:type="dxa"/>
            <w:tcBorders>
              <w:top w:val="single" w:sz="4" w:space="0" w:color="auto"/>
              <w:left w:val="single" w:sz="4" w:space="0" w:color="auto"/>
              <w:bottom w:val="single" w:sz="4" w:space="0" w:color="auto"/>
              <w:right w:val="single" w:sz="4" w:space="0" w:color="auto"/>
            </w:tcBorders>
          </w:tcPr>
          <w:p w14:paraId="226B1127"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92.9</w:t>
            </w:r>
          </w:p>
        </w:tc>
        <w:tc>
          <w:tcPr>
            <w:tcW w:w="1559" w:type="dxa"/>
            <w:tcBorders>
              <w:top w:val="single" w:sz="4" w:space="0" w:color="auto"/>
              <w:left w:val="single" w:sz="4" w:space="0" w:color="auto"/>
              <w:bottom w:val="single" w:sz="4" w:space="0" w:color="auto"/>
              <w:right w:val="single" w:sz="4" w:space="0" w:color="auto"/>
            </w:tcBorders>
          </w:tcPr>
          <w:p w14:paraId="007DC217"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95.5</w:t>
            </w:r>
          </w:p>
        </w:tc>
        <w:tc>
          <w:tcPr>
            <w:tcW w:w="1559" w:type="dxa"/>
            <w:tcBorders>
              <w:top w:val="single" w:sz="4" w:space="0" w:color="auto"/>
              <w:left w:val="single" w:sz="4" w:space="0" w:color="auto"/>
              <w:bottom w:val="single" w:sz="4" w:space="0" w:color="auto"/>
              <w:right w:val="single" w:sz="4" w:space="0" w:color="auto"/>
            </w:tcBorders>
          </w:tcPr>
          <w:p w14:paraId="738B9351"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93.2</w:t>
            </w:r>
          </w:p>
        </w:tc>
      </w:tr>
      <w:tr w:rsidR="00EE79A9" w:rsidRPr="005A0CEA" w14:paraId="64D4C098"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1C7143FD"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2127" w:type="dxa"/>
            <w:tcBorders>
              <w:top w:val="single" w:sz="4" w:space="0" w:color="auto"/>
              <w:left w:val="single" w:sz="4" w:space="0" w:color="auto"/>
              <w:bottom w:val="single" w:sz="4" w:space="0" w:color="auto"/>
              <w:right w:val="single" w:sz="4" w:space="0" w:color="auto"/>
            </w:tcBorders>
          </w:tcPr>
          <w:p w14:paraId="4049FCDA"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−4.4</w:t>
            </w:r>
          </w:p>
        </w:tc>
        <w:tc>
          <w:tcPr>
            <w:tcW w:w="1559" w:type="dxa"/>
            <w:tcBorders>
              <w:top w:val="single" w:sz="4" w:space="0" w:color="auto"/>
              <w:left w:val="single" w:sz="4" w:space="0" w:color="auto"/>
              <w:bottom w:val="single" w:sz="4" w:space="0" w:color="auto"/>
              <w:right w:val="single" w:sz="4" w:space="0" w:color="auto"/>
            </w:tcBorders>
          </w:tcPr>
          <w:p w14:paraId="71761D05"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−3.1</w:t>
            </w:r>
          </w:p>
        </w:tc>
        <w:tc>
          <w:tcPr>
            <w:tcW w:w="1559" w:type="dxa"/>
            <w:tcBorders>
              <w:top w:val="single" w:sz="4" w:space="0" w:color="auto"/>
              <w:left w:val="single" w:sz="4" w:space="0" w:color="auto"/>
              <w:bottom w:val="single" w:sz="4" w:space="0" w:color="auto"/>
              <w:right w:val="single" w:sz="4" w:space="0" w:color="auto"/>
            </w:tcBorders>
          </w:tcPr>
          <w:p w14:paraId="5B44433F"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−0.5</w:t>
            </w:r>
          </w:p>
        </w:tc>
      </w:tr>
      <w:tr w:rsidR="00EE79A9" w:rsidRPr="005A0CEA" w14:paraId="07F9F3A8"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50ED78F6"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liraglutide</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414644DE"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−1.2 [−1.9; −0.</w:t>
            </w:r>
            <w:proofErr w:type="gramStart"/>
            <w:r w:rsidRPr="005A0CEA">
              <w:rPr>
                <w:rFonts w:asciiTheme="majorBidi" w:hAnsiTheme="majorBidi" w:cstheme="majorBidi"/>
                <w:szCs w:val="20"/>
              </w:rPr>
              <w:t>6]*</w:t>
            </w:r>
            <w:proofErr w:type="gramEnd"/>
            <w:r w:rsidRPr="005A0CEA">
              <w:rPr>
                <w:rFonts w:asciiTheme="majorBidi" w:hAnsiTheme="majorBidi" w:cstheme="majorBidi"/>
                <w:szCs w:val="20"/>
                <w:vertAlign w:val="superscript"/>
              </w:rPr>
              <w:t xml:space="preserve"> </w:t>
            </w:r>
          </w:p>
        </w:tc>
        <w:tc>
          <w:tcPr>
            <w:tcW w:w="1559" w:type="dxa"/>
            <w:tcBorders>
              <w:top w:val="single" w:sz="4" w:space="0" w:color="auto"/>
              <w:left w:val="single" w:sz="4" w:space="0" w:color="auto"/>
              <w:bottom w:val="single" w:sz="4" w:space="0" w:color="auto"/>
              <w:right w:val="single" w:sz="4" w:space="0" w:color="auto"/>
            </w:tcBorders>
          </w:tcPr>
          <w:p w14:paraId="3FCCC7C6"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2E18C994"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20706CA9"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1B05330C"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 xml:space="preserve">1 </w:t>
            </w:r>
            <w:r w:rsidRPr="005A0CEA">
              <w:rPr>
                <w:rFonts w:asciiTheme="majorBidi" w:hAnsiTheme="majorBidi" w:cstheme="majorBidi"/>
                <w:szCs w:val="20"/>
              </w:rPr>
              <w:t>[95% CI]</w:t>
            </w:r>
          </w:p>
        </w:tc>
        <w:tc>
          <w:tcPr>
            <w:tcW w:w="2127" w:type="dxa"/>
            <w:tcBorders>
              <w:top w:val="single" w:sz="4" w:space="0" w:color="auto"/>
              <w:left w:val="single" w:sz="4" w:space="0" w:color="auto"/>
              <w:bottom w:val="single" w:sz="4" w:space="0" w:color="auto"/>
              <w:right w:val="single" w:sz="4" w:space="0" w:color="auto"/>
            </w:tcBorders>
          </w:tcPr>
          <w:p w14:paraId="318423FC"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−3.8 [−4.7; −3.</w:t>
            </w:r>
            <w:proofErr w:type="gramStart"/>
            <w:r w:rsidRPr="005A0CEA">
              <w:rPr>
                <w:rFonts w:asciiTheme="majorBidi" w:hAnsiTheme="majorBidi" w:cstheme="majorBidi"/>
                <w:szCs w:val="20"/>
              </w:rPr>
              <w:t>0]*</w:t>
            </w:r>
            <w:proofErr w:type="gramEnd"/>
          </w:p>
        </w:tc>
        <w:tc>
          <w:tcPr>
            <w:tcW w:w="1559" w:type="dxa"/>
            <w:tcBorders>
              <w:top w:val="single" w:sz="4" w:space="0" w:color="auto"/>
              <w:left w:val="single" w:sz="4" w:space="0" w:color="auto"/>
              <w:bottom w:val="single" w:sz="4" w:space="0" w:color="auto"/>
              <w:right w:val="single" w:sz="4" w:space="0" w:color="auto"/>
            </w:tcBorders>
          </w:tcPr>
          <w:p w14:paraId="35653F1B"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0832D05E"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FF19B5" w:rsidRPr="005A0CEA" w14:paraId="4766D05E" w14:textId="77777777" w:rsidTr="00833543">
        <w:trPr>
          <w:trHeight w:val="253"/>
        </w:trPr>
        <w:tc>
          <w:tcPr>
            <w:tcW w:w="9209" w:type="dxa"/>
            <w:gridSpan w:val="4"/>
            <w:tcBorders>
              <w:top w:val="single" w:sz="4" w:space="0" w:color="auto"/>
              <w:left w:val="single" w:sz="4" w:space="0" w:color="auto"/>
              <w:bottom w:val="single" w:sz="4" w:space="0" w:color="auto"/>
              <w:right w:val="single" w:sz="4" w:space="0" w:color="auto"/>
            </w:tcBorders>
          </w:tcPr>
          <w:p w14:paraId="67B28A0C" w14:textId="4FC78BAF" w:rsidR="00FF19B5" w:rsidRPr="005A0CEA" w:rsidRDefault="00FF19B5" w:rsidP="007C5F0E">
            <w:pPr>
              <w:pStyle w:val="TableText"/>
              <w:keepNext w:val="0"/>
              <w:keepLines w:val="0"/>
              <w:rPr>
                <w:rFonts w:asciiTheme="majorBidi" w:eastAsia="PMingLiU" w:hAnsiTheme="majorBidi" w:cstheme="majorBidi"/>
                <w:szCs w:val="20"/>
              </w:rPr>
            </w:pPr>
            <w:r w:rsidRPr="005A0CEA">
              <w:rPr>
                <w:rFonts w:asciiTheme="majorBidi" w:hAnsiTheme="majorBidi" w:cstheme="majorBidi"/>
                <w:b/>
                <w:bCs/>
                <w:szCs w:val="20"/>
              </w:rPr>
              <w:t>Week 52</w:t>
            </w:r>
          </w:p>
        </w:tc>
      </w:tr>
      <w:tr w:rsidR="00EE79A9" w:rsidRPr="005A0CEA" w14:paraId="4BBD3D05"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4E54701A" w14:textId="77777777" w:rsidR="00EE79A9" w:rsidRPr="005A0CEA" w:rsidRDefault="00EE79A9" w:rsidP="007C5F0E">
            <w:pPr>
              <w:pStyle w:val="TableText"/>
              <w:keepNext w:val="0"/>
              <w:keepLines w:val="0"/>
              <w:ind w:left="284"/>
              <w:rPr>
                <w:rFonts w:asciiTheme="majorBidi" w:eastAsia="PMingLiU" w:hAnsiTheme="majorBidi" w:cstheme="majorBidi"/>
                <w:szCs w:val="20"/>
                <w:lang w:eastAsia="zh-TW"/>
              </w:rPr>
            </w:pPr>
            <w:r w:rsidRPr="005A0CEA">
              <w:rPr>
                <w:rFonts w:asciiTheme="majorBidi" w:hAnsiTheme="majorBidi" w:cstheme="majorBidi"/>
                <w:b/>
                <w:bCs/>
                <w:szCs w:val="20"/>
              </w:rPr>
              <w:t>HbA</w:t>
            </w:r>
            <w:r w:rsidRPr="005A0CEA">
              <w:rPr>
                <w:rFonts w:asciiTheme="majorBidi" w:hAnsiTheme="majorBidi" w:cstheme="majorBidi"/>
                <w:b/>
                <w:bCs/>
                <w:szCs w:val="20"/>
                <w:vertAlign w:val="subscript"/>
              </w:rPr>
              <w:t xml:space="preserve">1c </w:t>
            </w:r>
            <w:r w:rsidRPr="005A0CEA">
              <w:rPr>
                <w:rFonts w:asciiTheme="majorBidi" w:hAnsiTheme="majorBidi" w:cstheme="majorBidi"/>
                <w:b/>
                <w:bCs/>
                <w:szCs w:val="20"/>
              </w:rPr>
              <w:t>(%)</w:t>
            </w:r>
          </w:p>
        </w:tc>
        <w:tc>
          <w:tcPr>
            <w:tcW w:w="2127" w:type="dxa"/>
            <w:tcBorders>
              <w:top w:val="single" w:sz="4" w:space="0" w:color="auto"/>
              <w:left w:val="single" w:sz="4" w:space="0" w:color="auto"/>
              <w:bottom w:val="single" w:sz="4" w:space="0" w:color="auto"/>
              <w:right w:val="single" w:sz="4" w:space="0" w:color="auto"/>
            </w:tcBorders>
          </w:tcPr>
          <w:p w14:paraId="185D7A00"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551E22B2"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0025F88F"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r>
      <w:tr w:rsidR="00EE79A9" w:rsidRPr="005A0CEA" w14:paraId="3334DD5B"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35DAD610"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2127" w:type="dxa"/>
            <w:tcBorders>
              <w:top w:val="single" w:sz="4" w:space="0" w:color="auto"/>
              <w:left w:val="single" w:sz="4" w:space="0" w:color="auto"/>
              <w:bottom w:val="single" w:sz="4" w:space="0" w:color="auto"/>
              <w:right w:val="single" w:sz="4" w:space="0" w:color="auto"/>
            </w:tcBorders>
          </w:tcPr>
          <w:p w14:paraId="27530599"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−1.2</w:t>
            </w:r>
          </w:p>
        </w:tc>
        <w:tc>
          <w:tcPr>
            <w:tcW w:w="1559" w:type="dxa"/>
            <w:tcBorders>
              <w:top w:val="single" w:sz="4" w:space="0" w:color="auto"/>
              <w:left w:val="single" w:sz="4" w:space="0" w:color="auto"/>
              <w:bottom w:val="single" w:sz="4" w:space="0" w:color="auto"/>
              <w:right w:val="single" w:sz="4" w:space="0" w:color="auto"/>
            </w:tcBorders>
          </w:tcPr>
          <w:p w14:paraId="370A73A2"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−0.9</w:t>
            </w:r>
          </w:p>
        </w:tc>
        <w:tc>
          <w:tcPr>
            <w:tcW w:w="1559" w:type="dxa"/>
            <w:tcBorders>
              <w:top w:val="single" w:sz="4" w:space="0" w:color="auto"/>
              <w:left w:val="single" w:sz="4" w:space="0" w:color="auto"/>
              <w:bottom w:val="single" w:sz="4" w:space="0" w:color="auto"/>
              <w:right w:val="single" w:sz="4" w:space="0" w:color="auto"/>
            </w:tcBorders>
          </w:tcPr>
          <w:p w14:paraId="2702D868"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−0.2</w:t>
            </w:r>
          </w:p>
        </w:tc>
      </w:tr>
      <w:tr w:rsidR="00EE79A9" w:rsidRPr="005A0CEA" w14:paraId="2DC76769"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0E1CC228"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liraglutide</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005120B2"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−0.3 [−0.5; −0.</w:t>
            </w:r>
            <w:proofErr w:type="gramStart"/>
            <w:r w:rsidRPr="005A0CEA">
              <w:rPr>
                <w:rFonts w:asciiTheme="majorBidi" w:hAnsiTheme="majorBidi" w:cstheme="majorBidi"/>
                <w:szCs w:val="20"/>
              </w:rPr>
              <w:t>1]</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43600DED"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57031EF4"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16D1C453"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55D6E8C8"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30AD1EFE"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−1.0 [−1.2; −0.</w:t>
            </w:r>
            <w:proofErr w:type="gramStart"/>
            <w:r w:rsidRPr="005A0CEA">
              <w:rPr>
                <w:rFonts w:asciiTheme="majorBidi" w:hAnsiTheme="majorBidi" w:cstheme="majorBidi"/>
                <w:szCs w:val="20"/>
              </w:rPr>
              <w:t>8]</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7C8AC40C"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728FEF07"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35378C71"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08656378" w14:textId="77777777" w:rsidR="00EE79A9" w:rsidRPr="005A0CEA" w:rsidRDefault="00EE79A9" w:rsidP="007C5F0E">
            <w:pPr>
              <w:pStyle w:val="TableText"/>
              <w:keepNext w:val="0"/>
              <w:keepLines w:val="0"/>
              <w:ind w:left="284"/>
              <w:rPr>
                <w:rFonts w:asciiTheme="majorBidi" w:eastAsia="PMingLiU" w:hAnsiTheme="majorBidi" w:cstheme="majorBidi"/>
                <w:szCs w:val="20"/>
                <w:lang w:eastAsia="zh-TW"/>
              </w:rPr>
            </w:pPr>
            <w:r w:rsidRPr="005A0CEA">
              <w:rPr>
                <w:rFonts w:asciiTheme="majorBidi" w:hAnsiTheme="majorBidi" w:cstheme="majorBidi"/>
                <w:b/>
                <w:szCs w:val="20"/>
              </w:rPr>
              <w:t>Patients (%) achieving HbA</w:t>
            </w:r>
            <w:r w:rsidRPr="005A0CEA">
              <w:rPr>
                <w:rFonts w:asciiTheme="majorBidi" w:hAnsiTheme="majorBidi" w:cstheme="majorBidi"/>
                <w:b/>
                <w:szCs w:val="20"/>
                <w:vertAlign w:val="subscript"/>
              </w:rPr>
              <w:t>1c</w:t>
            </w:r>
            <w:r w:rsidRPr="005A0CEA">
              <w:rPr>
                <w:rFonts w:asciiTheme="majorBidi" w:hAnsiTheme="majorBidi" w:cstheme="majorBidi"/>
                <w:b/>
                <w:szCs w:val="20"/>
              </w:rPr>
              <w:t xml:space="preserve"> &lt;7.0%</w:t>
            </w:r>
          </w:p>
        </w:tc>
        <w:tc>
          <w:tcPr>
            <w:tcW w:w="2127" w:type="dxa"/>
            <w:tcBorders>
              <w:top w:val="single" w:sz="4" w:space="0" w:color="auto"/>
              <w:left w:val="single" w:sz="4" w:space="0" w:color="auto"/>
              <w:bottom w:val="single" w:sz="4" w:space="0" w:color="auto"/>
              <w:right w:val="single" w:sz="4" w:space="0" w:color="auto"/>
            </w:tcBorders>
          </w:tcPr>
          <w:p w14:paraId="34A5B8BA"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61</w:t>
            </w:r>
            <w:r w:rsidRPr="005A0CEA">
              <w:rPr>
                <w:rFonts w:asciiTheme="majorBidi" w:hAnsiTheme="majorBidi" w:cstheme="majorBidi"/>
                <w:szCs w:val="20"/>
                <w:vertAlign w:val="superscript"/>
              </w:rPr>
              <w:t>§</w:t>
            </w:r>
          </w:p>
        </w:tc>
        <w:tc>
          <w:tcPr>
            <w:tcW w:w="1559" w:type="dxa"/>
            <w:tcBorders>
              <w:top w:val="single" w:sz="4" w:space="0" w:color="auto"/>
              <w:left w:val="single" w:sz="4" w:space="0" w:color="auto"/>
              <w:bottom w:val="single" w:sz="4" w:space="0" w:color="auto"/>
              <w:right w:val="single" w:sz="4" w:space="0" w:color="auto"/>
            </w:tcBorders>
          </w:tcPr>
          <w:p w14:paraId="54AC9202"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55</w:t>
            </w:r>
          </w:p>
        </w:tc>
        <w:tc>
          <w:tcPr>
            <w:tcW w:w="1559" w:type="dxa"/>
            <w:tcBorders>
              <w:top w:val="single" w:sz="4" w:space="0" w:color="auto"/>
              <w:left w:val="single" w:sz="4" w:space="0" w:color="auto"/>
              <w:bottom w:val="single" w:sz="4" w:space="0" w:color="auto"/>
              <w:right w:val="single" w:sz="4" w:space="0" w:color="auto"/>
            </w:tcBorders>
          </w:tcPr>
          <w:p w14:paraId="7B6A39C7"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15</w:t>
            </w:r>
          </w:p>
        </w:tc>
      </w:tr>
      <w:tr w:rsidR="00EE79A9" w:rsidRPr="005A0CEA" w14:paraId="7195C0C5"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2F139C59" w14:textId="77777777" w:rsidR="00EE79A9" w:rsidRPr="005A0CEA" w:rsidRDefault="00EE79A9" w:rsidP="007C5F0E">
            <w:pPr>
              <w:pStyle w:val="TableText"/>
              <w:keepNext w:val="0"/>
              <w:keepLines w:val="0"/>
              <w:ind w:left="284"/>
              <w:rPr>
                <w:rFonts w:asciiTheme="majorBidi" w:eastAsia="PMingLiU" w:hAnsiTheme="majorBidi" w:cstheme="majorBidi"/>
                <w:szCs w:val="20"/>
                <w:lang w:eastAsia="zh-TW"/>
              </w:rPr>
            </w:pPr>
            <w:r w:rsidRPr="005A0CEA">
              <w:rPr>
                <w:rFonts w:asciiTheme="majorBidi" w:hAnsiTheme="majorBidi" w:cstheme="majorBidi"/>
                <w:b/>
                <w:bCs/>
                <w:szCs w:val="20"/>
              </w:rPr>
              <w:t>Body weight (kg)</w:t>
            </w:r>
          </w:p>
        </w:tc>
        <w:tc>
          <w:tcPr>
            <w:tcW w:w="2127" w:type="dxa"/>
            <w:tcBorders>
              <w:top w:val="single" w:sz="4" w:space="0" w:color="auto"/>
              <w:left w:val="single" w:sz="4" w:space="0" w:color="auto"/>
              <w:bottom w:val="single" w:sz="4" w:space="0" w:color="auto"/>
              <w:right w:val="single" w:sz="4" w:space="0" w:color="auto"/>
            </w:tcBorders>
          </w:tcPr>
          <w:p w14:paraId="1E61DF3F"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2BBE305B"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c>
          <w:tcPr>
            <w:tcW w:w="1559" w:type="dxa"/>
            <w:tcBorders>
              <w:top w:val="single" w:sz="4" w:space="0" w:color="auto"/>
              <w:left w:val="single" w:sz="4" w:space="0" w:color="auto"/>
              <w:bottom w:val="single" w:sz="4" w:space="0" w:color="auto"/>
              <w:right w:val="single" w:sz="4" w:space="0" w:color="auto"/>
            </w:tcBorders>
          </w:tcPr>
          <w:p w14:paraId="3A51DCF0" w14:textId="77777777" w:rsidR="00EE79A9" w:rsidRPr="005A0CEA" w:rsidRDefault="00EE79A9" w:rsidP="007C5F0E">
            <w:pPr>
              <w:pStyle w:val="TableText"/>
              <w:keepNext w:val="0"/>
              <w:keepLines w:val="0"/>
              <w:jc w:val="center"/>
              <w:rPr>
                <w:rFonts w:asciiTheme="majorBidi" w:eastAsia="PMingLiU" w:hAnsiTheme="majorBidi" w:cstheme="majorBidi"/>
                <w:szCs w:val="20"/>
              </w:rPr>
            </w:pPr>
          </w:p>
        </w:tc>
      </w:tr>
      <w:tr w:rsidR="00EE79A9" w:rsidRPr="005A0CEA" w14:paraId="618829CE"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191140C0"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2127" w:type="dxa"/>
            <w:tcBorders>
              <w:top w:val="single" w:sz="4" w:space="0" w:color="auto"/>
              <w:left w:val="single" w:sz="4" w:space="0" w:color="auto"/>
              <w:bottom w:val="single" w:sz="4" w:space="0" w:color="auto"/>
              <w:right w:val="single" w:sz="4" w:space="0" w:color="auto"/>
            </w:tcBorders>
          </w:tcPr>
          <w:p w14:paraId="45EDD0E7"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−4.3</w:t>
            </w:r>
          </w:p>
        </w:tc>
        <w:tc>
          <w:tcPr>
            <w:tcW w:w="1559" w:type="dxa"/>
            <w:tcBorders>
              <w:top w:val="single" w:sz="4" w:space="0" w:color="auto"/>
              <w:left w:val="single" w:sz="4" w:space="0" w:color="auto"/>
              <w:bottom w:val="single" w:sz="4" w:space="0" w:color="auto"/>
              <w:right w:val="single" w:sz="4" w:space="0" w:color="auto"/>
            </w:tcBorders>
          </w:tcPr>
          <w:p w14:paraId="4F740EE0"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−3.0</w:t>
            </w:r>
          </w:p>
        </w:tc>
        <w:tc>
          <w:tcPr>
            <w:tcW w:w="1559" w:type="dxa"/>
            <w:tcBorders>
              <w:top w:val="single" w:sz="4" w:space="0" w:color="auto"/>
              <w:left w:val="single" w:sz="4" w:space="0" w:color="auto"/>
              <w:bottom w:val="single" w:sz="4" w:space="0" w:color="auto"/>
              <w:right w:val="single" w:sz="4" w:space="0" w:color="auto"/>
            </w:tcBorders>
          </w:tcPr>
          <w:p w14:paraId="326B82DD"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−1.0</w:t>
            </w:r>
          </w:p>
        </w:tc>
      </w:tr>
      <w:tr w:rsidR="00EE79A9" w:rsidRPr="005A0CEA" w14:paraId="7AAADA03"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3FB8B5A7"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liraglutide</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2127" w:type="dxa"/>
            <w:tcBorders>
              <w:top w:val="single" w:sz="4" w:space="0" w:color="auto"/>
              <w:left w:val="single" w:sz="4" w:space="0" w:color="auto"/>
              <w:bottom w:val="single" w:sz="4" w:space="0" w:color="auto"/>
              <w:right w:val="single" w:sz="4" w:space="0" w:color="auto"/>
            </w:tcBorders>
          </w:tcPr>
          <w:p w14:paraId="2C1D9E23"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−1.3 [−2.1; −0.</w:t>
            </w:r>
            <w:proofErr w:type="gramStart"/>
            <w:r w:rsidRPr="005A0CEA">
              <w:rPr>
                <w:rFonts w:asciiTheme="majorBidi" w:hAnsiTheme="majorBidi" w:cstheme="majorBidi"/>
                <w:szCs w:val="20"/>
              </w:rPr>
              <w:t>5]</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07486FB9"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00F2B8DE"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r w:rsidR="00EE79A9" w:rsidRPr="005A0CEA" w14:paraId="44B8E195" w14:textId="77777777" w:rsidTr="00D038B0">
        <w:trPr>
          <w:trHeight w:val="253"/>
        </w:trPr>
        <w:tc>
          <w:tcPr>
            <w:tcW w:w="3964" w:type="dxa"/>
            <w:tcBorders>
              <w:top w:val="single" w:sz="4" w:space="0" w:color="auto"/>
              <w:left w:val="single" w:sz="4" w:space="0" w:color="auto"/>
              <w:bottom w:val="single" w:sz="4" w:space="0" w:color="auto"/>
              <w:right w:val="single" w:sz="4" w:space="0" w:color="auto"/>
            </w:tcBorders>
          </w:tcPr>
          <w:p w14:paraId="077A9C3B" w14:textId="77777777" w:rsidR="00EE79A9" w:rsidRPr="005A0CEA" w:rsidRDefault="00EE79A9" w:rsidP="007C5F0E">
            <w:pPr>
              <w:pStyle w:val="TableText"/>
              <w:keepNext w:val="0"/>
              <w:keepLines w:val="0"/>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 xml:space="preserve">1 </w:t>
            </w:r>
            <w:r w:rsidRPr="005A0CEA">
              <w:rPr>
                <w:rFonts w:asciiTheme="majorBidi" w:hAnsiTheme="majorBidi" w:cstheme="majorBidi"/>
                <w:szCs w:val="20"/>
              </w:rPr>
              <w:t>[95% CI]</w:t>
            </w:r>
          </w:p>
        </w:tc>
        <w:tc>
          <w:tcPr>
            <w:tcW w:w="2127" w:type="dxa"/>
            <w:tcBorders>
              <w:top w:val="single" w:sz="4" w:space="0" w:color="auto"/>
              <w:left w:val="single" w:sz="4" w:space="0" w:color="auto"/>
              <w:bottom w:val="single" w:sz="4" w:space="0" w:color="auto"/>
              <w:right w:val="single" w:sz="4" w:space="0" w:color="auto"/>
            </w:tcBorders>
          </w:tcPr>
          <w:p w14:paraId="05C83B1C"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−3.3 [−4.3; −2.</w:t>
            </w:r>
            <w:proofErr w:type="gramStart"/>
            <w:r w:rsidRPr="005A0CEA">
              <w:rPr>
                <w:rFonts w:asciiTheme="majorBidi" w:hAnsiTheme="majorBidi" w:cstheme="majorBidi"/>
                <w:szCs w:val="20"/>
              </w:rPr>
              <w:t>4]</w:t>
            </w:r>
            <w:r w:rsidRPr="005A0CEA">
              <w:rPr>
                <w:rFonts w:asciiTheme="majorBidi" w:hAnsiTheme="majorBidi" w:cstheme="majorBidi"/>
                <w:szCs w:val="20"/>
                <w:vertAlign w:val="superscript"/>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6D905312"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c>
          <w:tcPr>
            <w:tcW w:w="1559" w:type="dxa"/>
            <w:tcBorders>
              <w:top w:val="single" w:sz="4" w:space="0" w:color="auto"/>
              <w:left w:val="single" w:sz="4" w:space="0" w:color="auto"/>
              <w:bottom w:val="single" w:sz="4" w:space="0" w:color="auto"/>
              <w:right w:val="single" w:sz="4" w:space="0" w:color="auto"/>
            </w:tcBorders>
          </w:tcPr>
          <w:p w14:paraId="54CFD8B1" w14:textId="77777777" w:rsidR="00EE79A9" w:rsidRPr="005A0CEA" w:rsidRDefault="00EE79A9" w:rsidP="007C5F0E">
            <w:pPr>
              <w:pStyle w:val="TableText"/>
              <w:keepNext w:val="0"/>
              <w:keepLines w:val="0"/>
              <w:jc w:val="center"/>
              <w:rPr>
                <w:rFonts w:asciiTheme="majorBidi" w:eastAsia="PMingLiU" w:hAnsiTheme="majorBidi" w:cstheme="majorBidi"/>
                <w:szCs w:val="20"/>
              </w:rPr>
            </w:pPr>
            <w:r w:rsidRPr="005A0CEA">
              <w:rPr>
                <w:rFonts w:asciiTheme="majorBidi" w:hAnsiTheme="majorBidi" w:cstheme="majorBidi"/>
                <w:szCs w:val="20"/>
              </w:rPr>
              <w:t>-</w:t>
            </w:r>
          </w:p>
        </w:tc>
      </w:tr>
    </w:tbl>
    <w:p w14:paraId="54D73C8E" w14:textId="77777777" w:rsidR="00EE79A9" w:rsidRPr="005A0CEA" w:rsidRDefault="00EE79A9" w:rsidP="007C5F0E">
      <w:pPr>
        <w:ind w:left="142" w:hanging="142"/>
        <w:rPr>
          <w:sz w:val="18"/>
          <w:szCs w:val="18"/>
          <w:lang w:val="en-GB"/>
        </w:rPr>
      </w:pPr>
      <w:r w:rsidRPr="005A0CEA">
        <w:rPr>
          <w:sz w:val="18"/>
          <w:szCs w:val="18"/>
          <w:vertAlign w:val="superscript"/>
          <w:lang w:val="en-GB"/>
        </w:rPr>
        <w:t xml:space="preserve">1 </w:t>
      </w:r>
      <w:r w:rsidRPr="005A0CEA">
        <w:rPr>
          <w:sz w:val="18"/>
          <w:szCs w:val="18"/>
          <w:lang w:val="en-GB"/>
        </w:rPr>
        <w:t xml:space="preserve">Irrespective of treatment discontinuation or initiation of rescue medication (pattern mixture model using multiple imputation). </w:t>
      </w:r>
    </w:p>
    <w:p w14:paraId="4F2386BC" w14:textId="77777777" w:rsidR="00EE79A9" w:rsidRPr="005A0CEA" w:rsidRDefault="00EE79A9" w:rsidP="007C5F0E">
      <w:pPr>
        <w:ind w:left="142" w:hanging="142"/>
        <w:rPr>
          <w:sz w:val="18"/>
          <w:szCs w:val="18"/>
          <w:lang w:val="en-GB"/>
        </w:rPr>
      </w:pPr>
      <w:r w:rsidRPr="005A0CEA">
        <w:rPr>
          <w:sz w:val="18"/>
          <w:szCs w:val="18"/>
          <w:vertAlign w:val="superscript"/>
          <w:lang w:val="en-GB"/>
        </w:rPr>
        <w:t xml:space="preserve">* </w:t>
      </w:r>
      <w:r w:rsidRPr="005A0CEA">
        <w:rPr>
          <w:sz w:val="18"/>
          <w:szCs w:val="18"/>
          <w:lang w:val="en-GB"/>
        </w:rPr>
        <w:t xml:space="preserve">p&lt;0.001 (unadjusted 2-sided) for superiority, controlled for multiplicity. </w:t>
      </w:r>
    </w:p>
    <w:p w14:paraId="6EF63A8B" w14:textId="0680083F" w:rsidR="00EE79A9" w:rsidRPr="005A0CEA" w:rsidRDefault="00EE79A9" w:rsidP="007C5F0E">
      <w:pPr>
        <w:ind w:left="142" w:hanging="142"/>
        <w:rPr>
          <w:sz w:val="18"/>
          <w:szCs w:val="18"/>
          <w:lang w:val="en-GB"/>
        </w:rPr>
      </w:pPr>
      <w:r w:rsidRPr="005A0CEA">
        <w:rPr>
          <w:sz w:val="18"/>
          <w:szCs w:val="18"/>
          <w:vertAlign w:val="superscript"/>
          <w:lang w:val="en-GB"/>
        </w:rPr>
        <w:t>§</w:t>
      </w:r>
      <w:r w:rsidRPr="005A0CEA">
        <w:rPr>
          <w:sz w:val="18"/>
          <w:szCs w:val="18"/>
          <w:lang w:val="en-GB"/>
        </w:rPr>
        <w:t xml:space="preserve"> p&lt;0.05, not controlled for multiplicity; for ‘Patients achieving HbA</w:t>
      </w:r>
      <w:r w:rsidRPr="005A0CEA">
        <w:rPr>
          <w:sz w:val="18"/>
          <w:szCs w:val="18"/>
          <w:vertAlign w:val="subscript"/>
          <w:lang w:val="en-GB"/>
        </w:rPr>
        <w:t>1c</w:t>
      </w:r>
      <w:r w:rsidRPr="005A0CEA">
        <w:rPr>
          <w:sz w:val="18"/>
          <w:szCs w:val="18"/>
          <w:lang w:val="en-GB"/>
        </w:rPr>
        <w:t> &lt;7.0%’, the p-value is for the odds ratio vs placebo.</w:t>
      </w:r>
    </w:p>
    <w:p w14:paraId="6CD56033" w14:textId="3D9630B1" w:rsidR="00F6498C" w:rsidRPr="005A0CEA" w:rsidRDefault="00F6498C" w:rsidP="007C5F0E">
      <w:pPr>
        <w:rPr>
          <w:lang w:val="en-GB"/>
        </w:rPr>
      </w:pPr>
    </w:p>
    <w:p w14:paraId="194F4783" w14:textId="2D853E5E" w:rsidR="00B15C92" w:rsidRPr="005A0CEA" w:rsidRDefault="00B15C92" w:rsidP="007C5F0E">
      <w:pPr>
        <w:rPr>
          <w:b/>
          <w:bCs/>
          <w:lang w:val="en-GB"/>
        </w:rPr>
      </w:pPr>
    </w:p>
    <w:p w14:paraId="2CDA8639" w14:textId="685CCD76" w:rsidR="00B15C92" w:rsidRPr="005A0CEA" w:rsidRDefault="00B15C92" w:rsidP="007C5F0E">
      <w:pPr>
        <w:pStyle w:val="Heading6"/>
        <w:rPr>
          <w:lang w:val="en-GB"/>
        </w:rPr>
      </w:pPr>
      <w:r w:rsidRPr="005A0CEA">
        <w:rPr>
          <w:lang w:val="en-GB"/>
        </w:rPr>
        <w:t>PIONEER 5 – Rybelsus vs. placebo, both in combination with basal insulin alone, metformin and basal insulin or metformin and/or sulfonylurea, in patients with moderate renal impairment</w:t>
      </w:r>
    </w:p>
    <w:p w14:paraId="0DCC7576" w14:textId="4B430FCB" w:rsidR="00B15C92" w:rsidRPr="005A0CEA" w:rsidRDefault="00B15C92" w:rsidP="007C5F0E">
      <w:pPr>
        <w:rPr>
          <w:lang w:val="en-GB"/>
        </w:rPr>
      </w:pPr>
      <w:r w:rsidRPr="005A0CEA">
        <w:rPr>
          <w:lang w:val="en-GB"/>
        </w:rPr>
        <w:t>In a 26-week double-blind trial, 324 patients with type 2 diabetes and moderate renal impairment (eGFR 30-59 mL/min/1.73 m</w:t>
      </w:r>
      <w:r w:rsidRPr="005A0CEA">
        <w:rPr>
          <w:vertAlign w:val="superscript"/>
          <w:lang w:val="en-GB"/>
        </w:rPr>
        <w:t>2</w:t>
      </w:r>
      <w:r w:rsidRPr="005A0CEA">
        <w:rPr>
          <w:lang w:val="en-GB"/>
        </w:rPr>
        <w:t>) were randomised to Rybelsus 14 mg or placebo once daily. Trial product was added to the patient’s stable pretrial antidiabetic regimen.</w:t>
      </w:r>
    </w:p>
    <w:p w14:paraId="17171E90" w14:textId="77777777" w:rsidR="00B15C92" w:rsidRPr="005A0CEA" w:rsidRDefault="00B15C92" w:rsidP="007C5F0E">
      <w:pPr>
        <w:rPr>
          <w:lang w:val="en-GB"/>
        </w:rPr>
      </w:pPr>
    </w:p>
    <w:p w14:paraId="49048900" w14:textId="66C1B61C" w:rsidR="00B15C92" w:rsidRPr="005A0CEA" w:rsidRDefault="00B15C92" w:rsidP="007C5F0E">
      <w:pPr>
        <w:rPr>
          <w:lang w:val="en-GB"/>
        </w:rPr>
      </w:pPr>
      <w:r w:rsidRPr="005A0CEA">
        <w:rPr>
          <w:lang w:val="en-GB"/>
        </w:rPr>
        <w:t xml:space="preserve">The mean age of the trial population was 70 years, and the mean duration of type 2 diabetes was 14.0 years. Overall, 96% were White, 4% were Black or African American and less than </w:t>
      </w:r>
      <w:r w:rsidRPr="005A0CEA">
        <w:rPr>
          <w:lang w:val="en-GB"/>
        </w:rPr>
        <w:lastRenderedPageBreak/>
        <w:t>1% was Asian. Hispanic or Latino patients comprised 6% (n=21) of the population. The mean body weight at baseline was 91 kg.</w:t>
      </w:r>
    </w:p>
    <w:p w14:paraId="6C8398CF" w14:textId="77777777" w:rsidR="00B15C92" w:rsidRPr="005A0CEA" w:rsidRDefault="00B15C92" w:rsidP="007C5F0E">
      <w:pPr>
        <w:rPr>
          <w:lang w:val="en-GB"/>
        </w:rPr>
      </w:pPr>
    </w:p>
    <w:p w14:paraId="2E7AB696" w14:textId="3074486F" w:rsidR="00B15C92" w:rsidRPr="005A0CEA" w:rsidRDefault="00D26574" w:rsidP="007C5F0E">
      <w:pPr>
        <w:rPr>
          <w:lang w:val="en-GB"/>
        </w:rPr>
      </w:pPr>
      <w:r w:rsidRPr="005A0CEA">
        <w:rPr>
          <w:lang w:val="en-GB"/>
        </w:rPr>
        <w:t>Treatment with Rybelsus 14 mg once daily was superior at week 26 in reducing HbA1c and body weight compared with placebo</w:t>
      </w:r>
      <w:r w:rsidR="00B15C92" w:rsidRPr="005A0CEA">
        <w:rPr>
          <w:lang w:val="en-GB"/>
        </w:rPr>
        <w:t>.</w:t>
      </w:r>
    </w:p>
    <w:p w14:paraId="47366976" w14:textId="0D78B102" w:rsidR="00B15C92" w:rsidRPr="005A0CEA" w:rsidRDefault="00B15C92" w:rsidP="007C5F0E">
      <w:pPr>
        <w:rPr>
          <w:lang w:val="en-GB"/>
        </w:rPr>
      </w:pPr>
    </w:p>
    <w:p w14:paraId="6A2B44BC" w14:textId="7760A1FD" w:rsidR="00B15C92" w:rsidRPr="005A0CEA" w:rsidRDefault="00690894" w:rsidP="007C5F0E">
      <w:pPr>
        <w:rPr>
          <w:b/>
          <w:bCs/>
          <w:lang w:val="en-GB"/>
        </w:rPr>
      </w:pPr>
      <w:r w:rsidRPr="005A0CEA">
        <w:rPr>
          <w:b/>
          <w:bCs/>
          <w:lang w:val="en-GB"/>
        </w:rPr>
        <w:t xml:space="preserve">Table </w:t>
      </w:r>
      <w:r w:rsidRPr="005A0CEA">
        <w:rPr>
          <w:b/>
          <w:bCs/>
          <w:lang w:val="en-GB"/>
        </w:rPr>
        <w:fldChar w:fldCharType="begin"/>
      </w:r>
      <w:r w:rsidRPr="005A0CEA">
        <w:rPr>
          <w:b/>
          <w:bCs/>
          <w:lang w:val="en-GB"/>
        </w:rPr>
        <w:instrText xml:space="preserve"> SEQ Table \* ARABIC </w:instrText>
      </w:r>
      <w:r w:rsidRPr="005A0CEA">
        <w:rPr>
          <w:b/>
          <w:bCs/>
          <w:lang w:val="en-GB"/>
        </w:rPr>
        <w:fldChar w:fldCharType="separate"/>
      </w:r>
      <w:r w:rsidR="00A334F6">
        <w:rPr>
          <w:b/>
          <w:bCs/>
          <w:noProof/>
          <w:lang w:val="en-GB"/>
        </w:rPr>
        <w:t>7</w:t>
      </w:r>
      <w:r w:rsidRPr="005A0CEA">
        <w:rPr>
          <w:b/>
          <w:bCs/>
          <w:lang w:val="en-GB"/>
        </w:rPr>
        <w:fldChar w:fldCharType="end"/>
      </w:r>
      <w:r w:rsidRPr="005A0CEA">
        <w:rPr>
          <w:b/>
          <w:bCs/>
          <w:lang w:val="en-GB"/>
        </w:rPr>
        <w:t xml:space="preserve">: </w:t>
      </w:r>
      <w:r w:rsidR="00B15C92" w:rsidRPr="005A0CEA">
        <w:rPr>
          <w:b/>
          <w:bCs/>
          <w:lang w:val="en-GB"/>
        </w:rPr>
        <w:t xml:space="preserve">Results </w:t>
      </w:r>
      <w:r w:rsidR="00D26574" w:rsidRPr="005A0CEA">
        <w:rPr>
          <w:b/>
          <w:bCs/>
          <w:lang w:val="en-GB"/>
        </w:rPr>
        <w:t xml:space="preserve">of a </w:t>
      </w:r>
      <w:proofErr w:type="gramStart"/>
      <w:r w:rsidR="00D26574" w:rsidRPr="005A0CEA">
        <w:rPr>
          <w:b/>
          <w:bCs/>
          <w:lang w:val="en-GB"/>
        </w:rPr>
        <w:t>26 week</w:t>
      </w:r>
      <w:proofErr w:type="gramEnd"/>
      <w:r w:rsidR="00D26574" w:rsidRPr="005A0CEA">
        <w:rPr>
          <w:b/>
          <w:bCs/>
          <w:lang w:val="en-GB"/>
        </w:rPr>
        <w:t xml:space="preserve"> trial comparing semaglutide with placebo in patients with type 2 diabetes and moderate renal impairment</w:t>
      </w:r>
      <w:r w:rsidR="00B15C92" w:rsidRPr="005A0CEA">
        <w:rPr>
          <w:b/>
          <w:bCs/>
          <w:lang w:val="en-GB"/>
        </w:rPr>
        <w:t xml:space="preserve"> (PIONEER 5)</w:t>
      </w:r>
    </w:p>
    <w:tbl>
      <w:tblPr>
        <w:tblW w:w="9209"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106"/>
        <w:gridCol w:w="2693"/>
        <w:gridCol w:w="2410"/>
      </w:tblGrid>
      <w:tr w:rsidR="00D26574" w:rsidRPr="005A0CEA" w14:paraId="250BB4C4" w14:textId="77777777" w:rsidTr="00D038B0">
        <w:trPr>
          <w:trHeight w:val="418"/>
        </w:trPr>
        <w:tc>
          <w:tcPr>
            <w:tcW w:w="4106" w:type="dxa"/>
            <w:tcBorders>
              <w:top w:val="single" w:sz="4" w:space="0" w:color="auto"/>
              <w:left w:val="single" w:sz="4" w:space="0" w:color="auto"/>
              <w:bottom w:val="single" w:sz="4" w:space="0" w:color="auto"/>
              <w:right w:val="single" w:sz="4" w:space="0" w:color="auto"/>
            </w:tcBorders>
          </w:tcPr>
          <w:p w14:paraId="3C38FE0F" w14:textId="77777777" w:rsidR="00D26574" w:rsidRPr="005A0CEA" w:rsidRDefault="00D26574" w:rsidP="007C5F0E">
            <w:pPr>
              <w:pStyle w:val="TableText"/>
              <w:jc w:val="center"/>
              <w:rPr>
                <w:b/>
                <w:szCs w:val="20"/>
              </w:rPr>
            </w:pPr>
          </w:p>
        </w:tc>
        <w:tc>
          <w:tcPr>
            <w:tcW w:w="2693" w:type="dxa"/>
            <w:tcBorders>
              <w:top w:val="single" w:sz="4" w:space="0" w:color="auto"/>
              <w:left w:val="single" w:sz="4" w:space="0" w:color="auto"/>
              <w:bottom w:val="single" w:sz="4" w:space="0" w:color="auto"/>
              <w:right w:val="single" w:sz="4" w:space="0" w:color="auto"/>
            </w:tcBorders>
          </w:tcPr>
          <w:p w14:paraId="71776415" w14:textId="77777777" w:rsidR="00D26574" w:rsidRPr="005A0CEA" w:rsidRDefault="00D26574" w:rsidP="007C5F0E">
            <w:pPr>
              <w:pStyle w:val="TableText"/>
              <w:jc w:val="center"/>
              <w:rPr>
                <w:b/>
                <w:szCs w:val="20"/>
              </w:rPr>
            </w:pPr>
            <w:r w:rsidRPr="005A0CEA">
              <w:rPr>
                <w:b/>
                <w:szCs w:val="20"/>
              </w:rPr>
              <w:t>Rybelsus</w:t>
            </w:r>
            <w:r w:rsidRPr="005A0CEA">
              <w:rPr>
                <w:b/>
                <w:szCs w:val="20"/>
                <w:vertAlign w:val="superscript"/>
              </w:rPr>
              <w:t>®</w:t>
            </w:r>
          </w:p>
          <w:p w14:paraId="0C476348" w14:textId="77777777" w:rsidR="00D26574" w:rsidRPr="005A0CEA" w:rsidRDefault="00D26574" w:rsidP="007C5F0E">
            <w:pPr>
              <w:pStyle w:val="TableText"/>
              <w:jc w:val="center"/>
              <w:rPr>
                <w:szCs w:val="20"/>
              </w:rPr>
            </w:pPr>
            <w:r w:rsidRPr="005A0CEA">
              <w:rPr>
                <w:b/>
                <w:szCs w:val="20"/>
              </w:rPr>
              <w:t>14 mg</w:t>
            </w:r>
          </w:p>
        </w:tc>
        <w:tc>
          <w:tcPr>
            <w:tcW w:w="2410" w:type="dxa"/>
            <w:tcBorders>
              <w:top w:val="single" w:sz="4" w:space="0" w:color="auto"/>
              <w:left w:val="single" w:sz="4" w:space="0" w:color="auto"/>
              <w:bottom w:val="single" w:sz="4" w:space="0" w:color="auto"/>
              <w:right w:val="single" w:sz="4" w:space="0" w:color="auto"/>
            </w:tcBorders>
          </w:tcPr>
          <w:p w14:paraId="29B87921" w14:textId="77777777" w:rsidR="00D26574" w:rsidRPr="005A0CEA" w:rsidRDefault="00D26574" w:rsidP="007C5F0E">
            <w:pPr>
              <w:pStyle w:val="TableText"/>
              <w:jc w:val="center"/>
              <w:rPr>
                <w:b/>
                <w:szCs w:val="20"/>
              </w:rPr>
            </w:pPr>
            <w:r w:rsidRPr="005A0CEA">
              <w:rPr>
                <w:b/>
                <w:szCs w:val="20"/>
              </w:rPr>
              <w:t>Placebo</w:t>
            </w:r>
          </w:p>
        </w:tc>
      </w:tr>
      <w:tr w:rsidR="00D26574" w:rsidRPr="005A0CEA" w14:paraId="52DA955E"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4D228B82" w14:textId="77777777" w:rsidR="00D26574" w:rsidRPr="005A0CEA" w:rsidRDefault="00D26574" w:rsidP="007C5F0E">
            <w:pPr>
              <w:pStyle w:val="TableText"/>
              <w:rPr>
                <w:szCs w:val="20"/>
              </w:rPr>
            </w:pPr>
            <w:r w:rsidRPr="005A0CEA">
              <w:rPr>
                <w:szCs w:val="20"/>
              </w:rPr>
              <w:t>Full analysis set (N)</w:t>
            </w:r>
          </w:p>
        </w:tc>
        <w:tc>
          <w:tcPr>
            <w:tcW w:w="2693" w:type="dxa"/>
            <w:tcBorders>
              <w:top w:val="single" w:sz="4" w:space="0" w:color="auto"/>
              <w:left w:val="single" w:sz="4" w:space="0" w:color="auto"/>
              <w:bottom w:val="single" w:sz="4" w:space="0" w:color="auto"/>
              <w:right w:val="single" w:sz="4" w:space="0" w:color="auto"/>
            </w:tcBorders>
          </w:tcPr>
          <w:p w14:paraId="414EDEEE" w14:textId="77777777" w:rsidR="00D26574" w:rsidRPr="005A0CEA" w:rsidRDefault="00D26574" w:rsidP="007C5F0E">
            <w:pPr>
              <w:pStyle w:val="TableText"/>
              <w:jc w:val="center"/>
              <w:rPr>
                <w:szCs w:val="20"/>
              </w:rPr>
            </w:pPr>
            <w:r w:rsidRPr="005A0CEA">
              <w:rPr>
                <w:szCs w:val="20"/>
              </w:rPr>
              <w:t>163</w:t>
            </w:r>
          </w:p>
        </w:tc>
        <w:tc>
          <w:tcPr>
            <w:tcW w:w="2410" w:type="dxa"/>
            <w:tcBorders>
              <w:top w:val="single" w:sz="4" w:space="0" w:color="auto"/>
              <w:left w:val="single" w:sz="4" w:space="0" w:color="auto"/>
              <w:bottom w:val="single" w:sz="4" w:space="0" w:color="auto"/>
              <w:right w:val="single" w:sz="4" w:space="0" w:color="auto"/>
            </w:tcBorders>
          </w:tcPr>
          <w:p w14:paraId="09CB2F19" w14:textId="77777777" w:rsidR="00D26574" w:rsidRPr="005A0CEA" w:rsidRDefault="00D26574" w:rsidP="007C5F0E">
            <w:pPr>
              <w:pStyle w:val="TableText"/>
              <w:jc w:val="center"/>
              <w:rPr>
                <w:rFonts w:eastAsia="PMingLiU"/>
                <w:szCs w:val="20"/>
              </w:rPr>
            </w:pPr>
            <w:r w:rsidRPr="005A0CEA">
              <w:rPr>
                <w:szCs w:val="20"/>
              </w:rPr>
              <w:t>161</w:t>
            </w:r>
          </w:p>
        </w:tc>
      </w:tr>
      <w:tr w:rsidR="00D26574" w:rsidRPr="005A0CEA" w14:paraId="0869644E" w14:textId="77777777" w:rsidTr="00D26574">
        <w:trPr>
          <w:trHeight w:val="230"/>
        </w:trPr>
        <w:tc>
          <w:tcPr>
            <w:tcW w:w="4106" w:type="dxa"/>
            <w:tcBorders>
              <w:top w:val="single" w:sz="4" w:space="0" w:color="auto"/>
              <w:left w:val="single" w:sz="4" w:space="0" w:color="auto"/>
              <w:bottom w:val="single" w:sz="4" w:space="0" w:color="auto"/>
              <w:right w:val="nil"/>
            </w:tcBorders>
          </w:tcPr>
          <w:p w14:paraId="26A11556" w14:textId="780B9241" w:rsidR="00D26574" w:rsidRPr="005A0CEA" w:rsidRDefault="00D26574" w:rsidP="007C5F0E">
            <w:pPr>
              <w:pStyle w:val="TableText"/>
              <w:rPr>
                <w:rFonts w:eastAsia="PMingLiU"/>
                <w:szCs w:val="20"/>
                <w:lang w:eastAsia="zh-TW"/>
              </w:rPr>
            </w:pPr>
            <w:r w:rsidRPr="005A0CEA">
              <w:rPr>
                <w:b/>
                <w:bCs/>
                <w:szCs w:val="20"/>
              </w:rPr>
              <w:t>HbA</w:t>
            </w:r>
            <w:r w:rsidRPr="005A0CEA">
              <w:rPr>
                <w:b/>
                <w:bCs/>
                <w:szCs w:val="20"/>
                <w:vertAlign w:val="subscript"/>
              </w:rPr>
              <w:t xml:space="preserve">1c </w:t>
            </w:r>
            <w:r w:rsidRPr="005A0CEA">
              <w:rPr>
                <w:b/>
                <w:bCs/>
                <w:szCs w:val="20"/>
              </w:rPr>
              <w:t>(%)</w:t>
            </w:r>
          </w:p>
        </w:tc>
        <w:tc>
          <w:tcPr>
            <w:tcW w:w="2693" w:type="dxa"/>
            <w:tcBorders>
              <w:top w:val="single" w:sz="4" w:space="0" w:color="auto"/>
              <w:left w:val="nil"/>
              <w:bottom w:val="single" w:sz="4" w:space="0" w:color="auto"/>
              <w:right w:val="nil"/>
            </w:tcBorders>
          </w:tcPr>
          <w:p w14:paraId="0CBC4416" w14:textId="77777777" w:rsidR="00D26574" w:rsidRPr="005A0CEA" w:rsidRDefault="00D26574" w:rsidP="007C5F0E">
            <w:pPr>
              <w:pStyle w:val="TableText"/>
              <w:jc w:val="center"/>
              <w:rPr>
                <w:szCs w:val="20"/>
              </w:rPr>
            </w:pPr>
          </w:p>
        </w:tc>
        <w:tc>
          <w:tcPr>
            <w:tcW w:w="2410" w:type="dxa"/>
            <w:tcBorders>
              <w:top w:val="single" w:sz="4" w:space="0" w:color="auto"/>
              <w:left w:val="nil"/>
              <w:bottom w:val="single" w:sz="4" w:space="0" w:color="auto"/>
              <w:right w:val="single" w:sz="4" w:space="0" w:color="auto"/>
            </w:tcBorders>
          </w:tcPr>
          <w:p w14:paraId="2D8CAA2E" w14:textId="77777777" w:rsidR="00D26574" w:rsidRPr="005A0CEA" w:rsidRDefault="00D26574" w:rsidP="007C5F0E">
            <w:pPr>
              <w:pStyle w:val="TableText"/>
              <w:jc w:val="center"/>
              <w:rPr>
                <w:szCs w:val="20"/>
              </w:rPr>
            </w:pPr>
          </w:p>
        </w:tc>
      </w:tr>
      <w:tr w:rsidR="00D26574" w:rsidRPr="005A0CEA" w14:paraId="3E71D2B3"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4E39C3A6" w14:textId="77777777" w:rsidR="00D26574" w:rsidRPr="005A0CEA" w:rsidRDefault="00D26574" w:rsidP="007C5F0E">
            <w:pPr>
              <w:pStyle w:val="TableText"/>
              <w:ind w:left="284"/>
              <w:rPr>
                <w:rFonts w:eastAsia="PMingLiU"/>
                <w:szCs w:val="20"/>
                <w:lang w:eastAsia="zh-TW"/>
              </w:rPr>
            </w:pPr>
            <w:r w:rsidRPr="005A0CEA">
              <w:rPr>
                <w:szCs w:val="20"/>
              </w:rPr>
              <w:t>Baseline</w:t>
            </w:r>
          </w:p>
        </w:tc>
        <w:tc>
          <w:tcPr>
            <w:tcW w:w="2693" w:type="dxa"/>
            <w:tcBorders>
              <w:top w:val="single" w:sz="4" w:space="0" w:color="auto"/>
              <w:left w:val="single" w:sz="4" w:space="0" w:color="auto"/>
              <w:bottom w:val="single" w:sz="4" w:space="0" w:color="auto"/>
              <w:right w:val="single" w:sz="4" w:space="0" w:color="auto"/>
            </w:tcBorders>
          </w:tcPr>
          <w:p w14:paraId="1913A3CE" w14:textId="77777777" w:rsidR="00D26574" w:rsidRPr="005A0CEA" w:rsidRDefault="00D26574" w:rsidP="007C5F0E">
            <w:pPr>
              <w:pStyle w:val="TableText"/>
              <w:jc w:val="center"/>
              <w:rPr>
                <w:szCs w:val="20"/>
              </w:rPr>
            </w:pPr>
            <w:r w:rsidRPr="005A0CEA">
              <w:rPr>
                <w:szCs w:val="20"/>
              </w:rPr>
              <w:t>8.0</w:t>
            </w:r>
          </w:p>
        </w:tc>
        <w:tc>
          <w:tcPr>
            <w:tcW w:w="2410" w:type="dxa"/>
            <w:tcBorders>
              <w:top w:val="single" w:sz="4" w:space="0" w:color="auto"/>
              <w:left w:val="single" w:sz="4" w:space="0" w:color="auto"/>
              <w:bottom w:val="single" w:sz="4" w:space="0" w:color="auto"/>
              <w:right w:val="single" w:sz="4" w:space="0" w:color="auto"/>
            </w:tcBorders>
          </w:tcPr>
          <w:p w14:paraId="217FC9EA" w14:textId="77777777" w:rsidR="00D26574" w:rsidRPr="005A0CEA" w:rsidRDefault="00D26574" w:rsidP="007C5F0E">
            <w:pPr>
              <w:pStyle w:val="TableText"/>
              <w:jc w:val="center"/>
              <w:rPr>
                <w:rFonts w:eastAsia="PMingLiU"/>
                <w:szCs w:val="20"/>
              </w:rPr>
            </w:pPr>
            <w:r w:rsidRPr="005A0CEA">
              <w:rPr>
                <w:szCs w:val="20"/>
              </w:rPr>
              <w:t>7.9</w:t>
            </w:r>
          </w:p>
        </w:tc>
      </w:tr>
      <w:tr w:rsidR="00D26574" w:rsidRPr="005A0CEA" w14:paraId="20122B52"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2FACFBD0" w14:textId="77777777" w:rsidR="00D26574" w:rsidRPr="005A0CEA" w:rsidRDefault="00D26574" w:rsidP="007C5F0E">
            <w:pPr>
              <w:pStyle w:val="TableText"/>
              <w:ind w:left="284"/>
              <w:rPr>
                <w:rFonts w:eastAsia="PMingLiU"/>
                <w:szCs w:val="20"/>
                <w:lang w:eastAsia="zh-TW"/>
              </w:rPr>
            </w:pPr>
            <w:r w:rsidRPr="005A0CEA">
              <w:rPr>
                <w:szCs w:val="20"/>
              </w:rPr>
              <w:t>Change from baseline</w:t>
            </w:r>
            <w:r w:rsidRPr="005A0CEA">
              <w:rPr>
                <w:szCs w:val="20"/>
                <w:vertAlign w:val="superscript"/>
              </w:rPr>
              <w:t>1</w:t>
            </w:r>
          </w:p>
        </w:tc>
        <w:tc>
          <w:tcPr>
            <w:tcW w:w="2693" w:type="dxa"/>
            <w:tcBorders>
              <w:top w:val="single" w:sz="4" w:space="0" w:color="auto"/>
              <w:left w:val="single" w:sz="4" w:space="0" w:color="auto"/>
              <w:bottom w:val="single" w:sz="4" w:space="0" w:color="auto"/>
              <w:right w:val="single" w:sz="4" w:space="0" w:color="auto"/>
            </w:tcBorders>
          </w:tcPr>
          <w:p w14:paraId="1A452BCA" w14:textId="77777777" w:rsidR="00D26574" w:rsidRPr="005A0CEA" w:rsidRDefault="00D26574" w:rsidP="007C5F0E">
            <w:pPr>
              <w:pStyle w:val="TableText"/>
              <w:jc w:val="center"/>
              <w:rPr>
                <w:szCs w:val="20"/>
              </w:rPr>
            </w:pPr>
            <w:r w:rsidRPr="005A0CEA">
              <w:rPr>
                <w:szCs w:val="20"/>
              </w:rPr>
              <w:t>−1.0</w:t>
            </w:r>
          </w:p>
        </w:tc>
        <w:tc>
          <w:tcPr>
            <w:tcW w:w="2410" w:type="dxa"/>
            <w:tcBorders>
              <w:top w:val="single" w:sz="4" w:space="0" w:color="auto"/>
              <w:left w:val="single" w:sz="4" w:space="0" w:color="auto"/>
              <w:bottom w:val="single" w:sz="4" w:space="0" w:color="auto"/>
              <w:right w:val="single" w:sz="4" w:space="0" w:color="auto"/>
            </w:tcBorders>
          </w:tcPr>
          <w:p w14:paraId="6AAD93F6" w14:textId="77777777" w:rsidR="00D26574" w:rsidRPr="005A0CEA" w:rsidRDefault="00D26574" w:rsidP="007C5F0E">
            <w:pPr>
              <w:pStyle w:val="TableText"/>
              <w:jc w:val="center"/>
              <w:rPr>
                <w:rFonts w:eastAsia="PMingLiU"/>
                <w:szCs w:val="20"/>
              </w:rPr>
            </w:pPr>
            <w:r w:rsidRPr="005A0CEA">
              <w:rPr>
                <w:szCs w:val="20"/>
              </w:rPr>
              <w:t>−0.2</w:t>
            </w:r>
          </w:p>
        </w:tc>
      </w:tr>
      <w:tr w:rsidR="00D26574" w:rsidRPr="005A0CEA" w14:paraId="7A59848A"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7414B24A" w14:textId="77777777" w:rsidR="00D26574" w:rsidRPr="005A0CEA" w:rsidRDefault="00D26574" w:rsidP="007C5F0E">
            <w:pPr>
              <w:pStyle w:val="TableText"/>
              <w:ind w:left="284"/>
              <w:rPr>
                <w:rFonts w:eastAsia="PMingLiU"/>
                <w:szCs w:val="20"/>
                <w:lang w:eastAsia="zh-TW"/>
              </w:rPr>
            </w:pPr>
            <w:r w:rsidRPr="005A0CEA">
              <w:rPr>
                <w:szCs w:val="20"/>
              </w:rPr>
              <w:t>Difference from placebo</w:t>
            </w:r>
            <w:r w:rsidRPr="005A0CEA">
              <w:rPr>
                <w:szCs w:val="20"/>
                <w:vertAlign w:val="superscript"/>
              </w:rPr>
              <w:t>1</w:t>
            </w:r>
            <w:r w:rsidRPr="005A0CEA">
              <w:rPr>
                <w:szCs w:val="20"/>
              </w:rPr>
              <w:t xml:space="preserve"> [95% CI]</w:t>
            </w:r>
          </w:p>
        </w:tc>
        <w:tc>
          <w:tcPr>
            <w:tcW w:w="2693" w:type="dxa"/>
            <w:tcBorders>
              <w:top w:val="single" w:sz="4" w:space="0" w:color="auto"/>
              <w:left w:val="single" w:sz="4" w:space="0" w:color="auto"/>
              <w:bottom w:val="single" w:sz="4" w:space="0" w:color="auto"/>
              <w:right w:val="single" w:sz="4" w:space="0" w:color="auto"/>
            </w:tcBorders>
          </w:tcPr>
          <w:p w14:paraId="5908C85A" w14:textId="77777777" w:rsidR="00D26574" w:rsidRPr="005A0CEA" w:rsidRDefault="00D26574" w:rsidP="007C5F0E">
            <w:pPr>
              <w:pStyle w:val="TableText"/>
              <w:jc w:val="center"/>
              <w:rPr>
                <w:szCs w:val="20"/>
              </w:rPr>
            </w:pPr>
            <w:r w:rsidRPr="005A0CEA">
              <w:rPr>
                <w:szCs w:val="20"/>
              </w:rPr>
              <w:t>−0.8 [−1.0; −0.</w:t>
            </w:r>
            <w:proofErr w:type="gramStart"/>
            <w:r w:rsidRPr="005A0CEA">
              <w:rPr>
                <w:szCs w:val="20"/>
              </w:rPr>
              <w:t>6]</w:t>
            </w:r>
            <w:r w:rsidRPr="005A0CEA">
              <w:rPr>
                <w:szCs w:val="20"/>
                <w:vertAlign w:val="superscript"/>
              </w:rPr>
              <w:t>*</w:t>
            </w:r>
            <w:proofErr w:type="gramEnd"/>
          </w:p>
        </w:tc>
        <w:tc>
          <w:tcPr>
            <w:tcW w:w="2410" w:type="dxa"/>
            <w:tcBorders>
              <w:top w:val="single" w:sz="4" w:space="0" w:color="auto"/>
              <w:left w:val="single" w:sz="4" w:space="0" w:color="auto"/>
              <w:bottom w:val="single" w:sz="4" w:space="0" w:color="auto"/>
              <w:right w:val="single" w:sz="4" w:space="0" w:color="auto"/>
            </w:tcBorders>
          </w:tcPr>
          <w:p w14:paraId="40FB0E1F" w14:textId="77777777" w:rsidR="00D26574" w:rsidRPr="005A0CEA" w:rsidRDefault="00D26574" w:rsidP="007C5F0E">
            <w:pPr>
              <w:pStyle w:val="TableText"/>
              <w:jc w:val="center"/>
              <w:rPr>
                <w:rFonts w:eastAsia="PMingLiU"/>
                <w:szCs w:val="20"/>
              </w:rPr>
            </w:pPr>
            <w:r w:rsidRPr="005A0CEA">
              <w:rPr>
                <w:szCs w:val="20"/>
              </w:rPr>
              <w:t>-</w:t>
            </w:r>
          </w:p>
        </w:tc>
      </w:tr>
      <w:tr w:rsidR="00D26574" w:rsidRPr="005A0CEA" w14:paraId="6420FC44"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573E94B2" w14:textId="6EF6AFD6" w:rsidR="00D26574" w:rsidRPr="005A0CEA" w:rsidRDefault="00D26574" w:rsidP="007C5F0E">
            <w:pPr>
              <w:pStyle w:val="TableText"/>
              <w:rPr>
                <w:rFonts w:eastAsia="PMingLiU"/>
                <w:szCs w:val="20"/>
                <w:lang w:eastAsia="zh-TW"/>
              </w:rPr>
            </w:pPr>
            <w:r w:rsidRPr="005A0CEA">
              <w:rPr>
                <w:b/>
                <w:szCs w:val="20"/>
              </w:rPr>
              <w:t>Patients (%) achieving HbA</w:t>
            </w:r>
            <w:r w:rsidRPr="005A0CEA">
              <w:rPr>
                <w:b/>
                <w:szCs w:val="20"/>
                <w:vertAlign w:val="subscript"/>
              </w:rPr>
              <w:t>1c</w:t>
            </w:r>
            <w:r w:rsidRPr="005A0CEA">
              <w:rPr>
                <w:b/>
                <w:szCs w:val="20"/>
              </w:rPr>
              <w:t xml:space="preserve"> &lt;7.0%</w:t>
            </w:r>
          </w:p>
        </w:tc>
        <w:tc>
          <w:tcPr>
            <w:tcW w:w="2693" w:type="dxa"/>
            <w:tcBorders>
              <w:top w:val="single" w:sz="4" w:space="0" w:color="auto"/>
              <w:left w:val="single" w:sz="4" w:space="0" w:color="auto"/>
              <w:bottom w:val="single" w:sz="4" w:space="0" w:color="auto"/>
              <w:right w:val="single" w:sz="4" w:space="0" w:color="auto"/>
            </w:tcBorders>
          </w:tcPr>
          <w:p w14:paraId="16DB6687" w14:textId="77777777" w:rsidR="00D26574" w:rsidRPr="005A0CEA" w:rsidRDefault="00D26574" w:rsidP="007C5F0E">
            <w:pPr>
              <w:pStyle w:val="TableText"/>
              <w:jc w:val="center"/>
              <w:rPr>
                <w:szCs w:val="20"/>
              </w:rPr>
            </w:pPr>
            <w:r w:rsidRPr="005A0CEA">
              <w:rPr>
                <w:szCs w:val="20"/>
              </w:rPr>
              <w:t>58</w:t>
            </w:r>
            <w:r w:rsidRPr="005A0CEA">
              <w:rPr>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tcPr>
          <w:p w14:paraId="79F9182A" w14:textId="77777777" w:rsidR="00D26574" w:rsidRPr="005A0CEA" w:rsidRDefault="00D26574" w:rsidP="007C5F0E">
            <w:pPr>
              <w:pStyle w:val="TableText"/>
              <w:jc w:val="center"/>
              <w:rPr>
                <w:rFonts w:eastAsia="PMingLiU"/>
                <w:szCs w:val="20"/>
              </w:rPr>
            </w:pPr>
            <w:r w:rsidRPr="005A0CEA">
              <w:rPr>
                <w:szCs w:val="20"/>
              </w:rPr>
              <w:t>23</w:t>
            </w:r>
          </w:p>
        </w:tc>
      </w:tr>
      <w:tr w:rsidR="00D26574" w:rsidRPr="005A0CEA" w14:paraId="686828D0" w14:textId="77777777" w:rsidTr="00D26574">
        <w:trPr>
          <w:trHeight w:val="230"/>
        </w:trPr>
        <w:tc>
          <w:tcPr>
            <w:tcW w:w="4106" w:type="dxa"/>
            <w:tcBorders>
              <w:top w:val="single" w:sz="4" w:space="0" w:color="auto"/>
              <w:left w:val="single" w:sz="4" w:space="0" w:color="auto"/>
              <w:bottom w:val="single" w:sz="4" w:space="0" w:color="auto"/>
              <w:right w:val="nil"/>
            </w:tcBorders>
          </w:tcPr>
          <w:p w14:paraId="607AA407" w14:textId="08C4980F" w:rsidR="00D26574" w:rsidRPr="005A0CEA" w:rsidRDefault="00D26574" w:rsidP="007C5F0E">
            <w:pPr>
              <w:pStyle w:val="TableText"/>
              <w:rPr>
                <w:rFonts w:eastAsia="PMingLiU"/>
                <w:szCs w:val="20"/>
                <w:lang w:eastAsia="zh-TW"/>
              </w:rPr>
            </w:pPr>
            <w:r w:rsidRPr="005A0CEA">
              <w:rPr>
                <w:b/>
                <w:bCs/>
                <w:szCs w:val="20"/>
              </w:rPr>
              <w:t>FPG (mmol/L)</w:t>
            </w:r>
          </w:p>
        </w:tc>
        <w:tc>
          <w:tcPr>
            <w:tcW w:w="2693" w:type="dxa"/>
            <w:tcBorders>
              <w:top w:val="single" w:sz="4" w:space="0" w:color="auto"/>
              <w:left w:val="nil"/>
              <w:bottom w:val="single" w:sz="4" w:space="0" w:color="auto"/>
              <w:right w:val="nil"/>
            </w:tcBorders>
          </w:tcPr>
          <w:p w14:paraId="5BF38CE3" w14:textId="77777777" w:rsidR="00D26574" w:rsidRPr="005A0CEA" w:rsidRDefault="00D26574" w:rsidP="007C5F0E">
            <w:pPr>
              <w:pStyle w:val="TableText"/>
              <w:jc w:val="center"/>
              <w:rPr>
                <w:szCs w:val="20"/>
              </w:rPr>
            </w:pPr>
          </w:p>
        </w:tc>
        <w:tc>
          <w:tcPr>
            <w:tcW w:w="2410" w:type="dxa"/>
            <w:tcBorders>
              <w:top w:val="single" w:sz="4" w:space="0" w:color="auto"/>
              <w:left w:val="nil"/>
              <w:bottom w:val="single" w:sz="4" w:space="0" w:color="auto"/>
              <w:right w:val="single" w:sz="4" w:space="0" w:color="auto"/>
            </w:tcBorders>
          </w:tcPr>
          <w:p w14:paraId="2970D355" w14:textId="77777777" w:rsidR="00D26574" w:rsidRPr="005A0CEA" w:rsidRDefault="00D26574" w:rsidP="007C5F0E">
            <w:pPr>
              <w:pStyle w:val="TableText"/>
              <w:jc w:val="center"/>
              <w:rPr>
                <w:szCs w:val="20"/>
              </w:rPr>
            </w:pPr>
          </w:p>
        </w:tc>
      </w:tr>
      <w:tr w:rsidR="00D26574" w:rsidRPr="005A0CEA" w14:paraId="67FEC1B5"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7EF29198" w14:textId="77777777" w:rsidR="00D26574" w:rsidRPr="005A0CEA" w:rsidRDefault="00D26574" w:rsidP="007C5F0E">
            <w:pPr>
              <w:pStyle w:val="TableText"/>
              <w:ind w:left="284"/>
              <w:rPr>
                <w:rFonts w:eastAsia="PMingLiU"/>
                <w:szCs w:val="20"/>
                <w:lang w:eastAsia="zh-TW"/>
              </w:rPr>
            </w:pPr>
            <w:r w:rsidRPr="005A0CEA">
              <w:rPr>
                <w:szCs w:val="20"/>
              </w:rPr>
              <w:t>Baseline</w:t>
            </w:r>
          </w:p>
        </w:tc>
        <w:tc>
          <w:tcPr>
            <w:tcW w:w="2693" w:type="dxa"/>
            <w:tcBorders>
              <w:top w:val="single" w:sz="4" w:space="0" w:color="auto"/>
              <w:left w:val="single" w:sz="4" w:space="0" w:color="auto"/>
              <w:bottom w:val="single" w:sz="4" w:space="0" w:color="auto"/>
              <w:right w:val="single" w:sz="4" w:space="0" w:color="auto"/>
            </w:tcBorders>
          </w:tcPr>
          <w:p w14:paraId="3AC872D9" w14:textId="77777777" w:rsidR="00D26574" w:rsidRPr="005A0CEA" w:rsidRDefault="00D26574" w:rsidP="007C5F0E">
            <w:pPr>
              <w:pStyle w:val="TableText"/>
              <w:jc w:val="center"/>
              <w:rPr>
                <w:szCs w:val="20"/>
              </w:rPr>
            </w:pPr>
            <w:r w:rsidRPr="005A0CEA">
              <w:rPr>
                <w:szCs w:val="20"/>
              </w:rPr>
              <w:t>9.1</w:t>
            </w:r>
          </w:p>
        </w:tc>
        <w:tc>
          <w:tcPr>
            <w:tcW w:w="2410" w:type="dxa"/>
            <w:tcBorders>
              <w:top w:val="single" w:sz="4" w:space="0" w:color="auto"/>
              <w:left w:val="single" w:sz="4" w:space="0" w:color="auto"/>
              <w:bottom w:val="single" w:sz="4" w:space="0" w:color="auto"/>
              <w:right w:val="single" w:sz="4" w:space="0" w:color="auto"/>
            </w:tcBorders>
          </w:tcPr>
          <w:p w14:paraId="36EAC7C6" w14:textId="77777777" w:rsidR="00D26574" w:rsidRPr="005A0CEA" w:rsidRDefault="00D26574" w:rsidP="007C5F0E">
            <w:pPr>
              <w:pStyle w:val="TableText"/>
              <w:jc w:val="center"/>
              <w:rPr>
                <w:rFonts w:eastAsia="PMingLiU"/>
                <w:szCs w:val="20"/>
              </w:rPr>
            </w:pPr>
            <w:r w:rsidRPr="005A0CEA">
              <w:rPr>
                <w:szCs w:val="20"/>
              </w:rPr>
              <w:t>9.1</w:t>
            </w:r>
          </w:p>
        </w:tc>
      </w:tr>
      <w:tr w:rsidR="00D26574" w:rsidRPr="005A0CEA" w14:paraId="4C32E95C"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335A213C" w14:textId="77777777" w:rsidR="00D26574" w:rsidRPr="005A0CEA" w:rsidRDefault="00D26574" w:rsidP="007C5F0E">
            <w:pPr>
              <w:pStyle w:val="TableText"/>
              <w:ind w:left="284"/>
              <w:rPr>
                <w:rFonts w:eastAsia="PMingLiU"/>
                <w:szCs w:val="20"/>
                <w:lang w:eastAsia="zh-TW"/>
              </w:rPr>
            </w:pPr>
            <w:r w:rsidRPr="005A0CEA">
              <w:rPr>
                <w:szCs w:val="20"/>
              </w:rPr>
              <w:t>Change from baseline</w:t>
            </w:r>
            <w:r w:rsidRPr="005A0CEA">
              <w:rPr>
                <w:szCs w:val="20"/>
                <w:vertAlign w:val="superscript"/>
              </w:rPr>
              <w:t>1</w:t>
            </w:r>
          </w:p>
        </w:tc>
        <w:tc>
          <w:tcPr>
            <w:tcW w:w="2693" w:type="dxa"/>
            <w:tcBorders>
              <w:top w:val="single" w:sz="4" w:space="0" w:color="auto"/>
              <w:left w:val="single" w:sz="4" w:space="0" w:color="auto"/>
              <w:bottom w:val="single" w:sz="4" w:space="0" w:color="auto"/>
              <w:right w:val="single" w:sz="4" w:space="0" w:color="auto"/>
            </w:tcBorders>
          </w:tcPr>
          <w:p w14:paraId="23B9C487" w14:textId="77777777" w:rsidR="00D26574" w:rsidRPr="005A0CEA" w:rsidRDefault="00D26574" w:rsidP="007C5F0E">
            <w:pPr>
              <w:pStyle w:val="TableText"/>
              <w:jc w:val="center"/>
              <w:rPr>
                <w:szCs w:val="20"/>
              </w:rPr>
            </w:pPr>
            <w:r w:rsidRPr="005A0CEA">
              <w:rPr>
                <w:szCs w:val="20"/>
              </w:rPr>
              <w:t>−1.5</w:t>
            </w:r>
          </w:p>
        </w:tc>
        <w:tc>
          <w:tcPr>
            <w:tcW w:w="2410" w:type="dxa"/>
            <w:tcBorders>
              <w:top w:val="single" w:sz="4" w:space="0" w:color="auto"/>
              <w:left w:val="single" w:sz="4" w:space="0" w:color="auto"/>
              <w:bottom w:val="single" w:sz="4" w:space="0" w:color="auto"/>
              <w:right w:val="single" w:sz="4" w:space="0" w:color="auto"/>
            </w:tcBorders>
          </w:tcPr>
          <w:p w14:paraId="28B53EB2" w14:textId="77777777" w:rsidR="00D26574" w:rsidRPr="005A0CEA" w:rsidRDefault="00D26574" w:rsidP="007C5F0E">
            <w:pPr>
              <w:pStyle w:val="TableText"/>
              <w:jc w:val="center"/>
              <w:rPr>
                <w:rFonts w:eastAsia="PMingLiU"/>
                <w:szCs w:val="20"/>
              </w:rPr>
            </w:pPr>
            <w:r w:rsidRPr="005A0CEA">
              <w:rPr>
                <w:szCs w:val="20"/>
              </w:rPr>
              <w:t>−0.4</w:t>
            </w:r>
          </w:p>
        </w:tc>
      </w:tr>
      <w:tr w:rsidR="00D26574" w:rsidRPr="005A0CEA" w14:paraId="23FEDAF5"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582F5F30" w14:textId="77777777" w:rsidR="00D26574" w:rsidRPr="005A0CEA" w:rsidRDefault="00D26574" w:rsidP="007C5F0E">
            <w:pPr>
              <w:pStyle w:val="TableText"/>
              <w:ind w:left="284"/>
              <w:rPr>
                <w:rFonts w:eastAsia="PMingLiU"/>
                <w:szCs w:val="20"/>
                <w:lang w:eastAsia="zh-TW"/>
              </w:rPr>
            </w:pPr>
            <w:r w:rsidRPr="005A0CEA">
              <w:rPr>
                <w:szCs w:val="20"/>
              </w:rPr>
              <w:t>Difference from placebo</w:t>
            </w:r>
            <w:r w:rsidRPr="005A0CEA">
              <w:rPr>
                <w:szCs w:val="20"/>
                <w:vertAlign w:val="superscript"/>
              </w:rPr>
              <w:t>1</w:t>
            </w:r>
            <w:r w:rsidRPr="005A0CEA">
              <w:rPr>
                <w:szCs w:val="20"/>
              </w:rPr>
              <w:t xml:space="preserve"> [95% CI]</w:t>
            </w:r>
          </w:p>
        </w:tc>
        <w:tc>
          <w:tcPr>
            <w:tcW w:w="2693" w:type="dxa"/>
            <w:tcBorders>
              <w:top w:val="single" w:sz="4" w:space="0" w:color="auto"/>
              <w:left w:val="single" w:sz="4" w:space="0" w:color="auto"/>
              <w:bottom w:val="single" w:sz="4" w:space="0" w:color="auto"/>
              <w:right w:val="single" w:sz="4" w:space="0" w:color="auto"/>
            </w:tcBorders>
          </w:tcPr>
          <w:p w14:paraId="2C639C71" w14:textId="77777777" w:rsidR="00D26574" w:rsidRPr="005A0CEA" w:rsidRDefault="00D26574" w:rsidP="007C5F0E">
            <w:pPr>
              <w:pStyle w:val="TableText"/>
              <w:jc w:val="center"/>
              <w:rPr>
                <w:rFonts w:eastAsia="PMingLiU"/>
                <w:szCs w:val="20"/>
              </w:rPr>
            </w:pPr>
            <w:r w:rsidRPr="005A0CEA">
              <w:rPr>
                <w:szCs w:val="20"/>
              </w:rPr>
              <w:t>−1.2 [−1.7; −0.</w:t>
            </w:r>
            <w:proofErr w:type="gramStart"/>
            <w:r w:rsidRPr="005A0CEA">
              <w:rPr>
                <w:szCs w:val="20"/>
              </w:rPr>
              <w:t>6]</w:t>
            </w:r>
            <w:r w:rsidRPr="005A0CEA">
              <w:rPr>
                <w:szCs w:val="20"/>
                <w:vertAlign w:val="superscript"/>
              </w:rPr>
              <w:t>§</w:t>
            </w:r>
            <w:proofErr w:type="gramEnd"/>
          </w:p>
        </w:tc>
        <w:tc>
          <w:tcPr>
            <w:tcW w:w="2410" w:type="dxa"/>
            <w:tcBorders>
              <w:top w:val="single" w:sz="4" w:space="0" w:color="auto"/>
              <w:left w:val="single" w:sz="4" w:space="0" w:color="auto"/>
              <w:bottom w:val="single" w:sz="4" w:space="0" w:color="auto"/>
              <w:right w:val="single" w:sz="4" w:space="0" w:color="auto"/>
            </w:tcBorders>
          </w:tcPr>
          <w:p w14:paraId="04755307" w14:textId="77777777" w:rsidR="00D26574" w:rsidRPr="005A0CEA" w:rsidRDefault="00D26574" w:rsidP="007C5F0E">
            <w:pPr>
              <w:pStyle w:val="TableText"/>
              <w:jc w:val="center"/>
              <w:rPr>
                <w:rFonts w:eastAsia="PMingLiU"/>
                <w:szCs w:val="20"/>
              </w:rPr>
            </w:pPr>
            <w:r w:rsidRPr="005A0CEA">
              <w:rPr>
                <w:szCs w:val="20"/>
              </w:rPr>
              <w:t>-</w:t>
            </w:r>
          </w:p>
        </w:tc>
      </w:tr>
      <w:tr w:rsidR="00D26574" w:rsidRPr="005A0CEA" w14:paraId="425A9160" w14:textId="77777777" w:rsidTr="00D26574">
        <w:trPr>
          <w:trHeight w:val="230"/>
        </w:trPr>
        <w:tc>
          <w:tcPr>
            <w:tcW w:w="4106" w:type="dxa"/>
            <w:tcBorders>
              <w:top w:val="single" w:sz="4" w:space="0" w:color="auto"/>
              <w:left w:val="single" w:sz="4" w:space="0" w:color="auto"/>
              <w:bottom w:val="single" w:sz="4" w:space="0" w:color="auto"/>
              <w:right w:val="nil"/>
            </w:tcBorders>
          </w:tcPr>
          <w:p w14:paraId="0322B150" w14:textId="790A3FE7" w:rsidR="00D26574" w:rsidRPr="005A0CEA" w:rsidRDefault="00D26574" w:rsidP="007C5F0E">
            <w:pPr>
              <w:pStyle w:val="TableText"/>
              <w:rPr>
                <w:rFonts w:eastAsia="PMingLiU"/>
                <w:szCs w:val="20"/>
                <w:lang w:eastAsia="zh-TW"/>
              </w:rPr>
            </w:pPr>
            <w:r w:rsidRPr="005A0CEA">
              <w:rPr>
                <w:b/>
                <w:bCs/>
                <w:szCs w:val="20"/>
              </w:rPr>
              <w:t>Body weight (kg)</w:t>
            </w:r>
          </w:p>
        </w:tc>
        <w:tc>
          <w:tcPr>
            <w:tcW w:w="2693" w:type="dxa"/>
            <w:tcBorders>
              <w:top w:val="single" w:sz="4" w:space="0" w:color="auto"/>
              <w:left w:val="nil"/>
              <w:bottom w:val="single" w:sz="4" w:space="0" w:color="auto"/>
              <w:right w:val="nil"/>
            </w:tcBorders>
          </w:tcPr>
          <w:p w14:paraId="64F90867" w14:textId="77777777" w:rsidR="00D26574" w:rsidRPr="005A0CEA" w:rsidRDefault="00D26574" w:rsidP="007C5F0E">
            <w:pPr>
              <w:pStyle w:val="TableText"/>
              <w:jc w:val="center"/>
              <w:rPr>
                <w:szCs w:val="20"/>
              </w:rPr>
            </w:pPr>
          </w:p>
        </w:tc>
        <w:tc>
          <w:tcPr>
            <w:tcW w:w="2410" w:type="dxa"/>
            <w:tcBorders>
              <w:top w:val="single" w:sz="4" w:space="0" w:color="auto"/>
              <w:left w:val="nil"/>
              <w:bottom w:val="single" w:sz="4" w:space="0" w:color="auto"/>
              <w:right w:val="single" w:sz="4" w:space="0" w:color="auto"/>
            </w:tcBorders>
          </w:tcPr>
          <w:p w14:paraId="40C4360E" w14:textId="77777777" w:rsidR="00D26574" w:rsidRPr="005A0CEA" w:rsidRDefault="00D26574" w:rsidP="007C5F0E">
            <w:pPr>
              <w:pStyle w:val="TableText"/>
              <w:jc w:val="center"/>
              <w:rPr>
                <w:szCs w:val="20"/>
              </w:rPr>
            </w:pPr>
          </w:p>
        </w:tc>
      </w:tr>
      <w:tr w:rsidR="00D26574" w:rsidRPr="005A0CEA" w14:paraId="30790767"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2787E4FF" w14:textId="77777777" w:rsidR="00D26574" w:rsidRPr="005A0CEA" w:rsidRDefault="00D26574" w:rsidP="007C5F0E">
            <w:pPr>
              <w:pStyle w:val="TableText"/>
              <w:ind w:left="284"/>
              <w:rPr>
                <w:rFonts w:eastAsia="PMingLiU"/>
                <w:szCs w:val="20"/>
                <w:lang w:eastAsia="zh-TW"/>
              </w:rPr>
            </w:pPr>
            <w:r w:rsidRPr="005A0CEA">
              <w:rPr>
                <w:szCs w:val="20"/>
              </w:rPr>
              <w:t>Baseline</w:t>
            </w:r>
          </w:p>
        </w:tc>
        <w:tc>
          <w:tcPr>
            <w:tcW w:w="2693" w:type="dxa"/>
            <w:tcBorders>
              <w:top w:val="single" w:sz="4" w:space="0" w:color="auto"/>
              <w:left w:val="single" w:sz="4" w:space="0" w:color="auto"/>
              <w:bottom w:val="single" w:sz="4" w:space="0" w:color="auto"/>
              <w:right w:val="single" w:sz="4" w:space="0" w:color="auto"/>
            </w:tcBorders>
          </w:tcPr>
          <w:p w14:paraId="2368CB4D" w14:textId="77777777" w:rsidR="00D26574" w:rsidRPr="005A0CEA" w:rsidRDefault="00D26574" w:rsidP="007C5F0E">
            <w:pPr>
              <w:pStyle w:val="TableText"/>
              <w:jc w:val="center"/>
              <w:rPr>
                <w:szCs w:val="20"/>
              </w:rPr>
            </w:pPr>
            <w:r w:rsidRPr="005A0CEA">
              <w:rPr>
                <w:szCs w:val="20"/>
              </w:rPr>
              <w:t>91.3</w:t>
            </w:r>
          </w:p>
        </w:tc>
        <w:tc>
          <w:tcPr>
            <w:tcW w:w="2410" w:type="dxa"/>
            <w:tcBorders>
              <w:top w:val="single" w:sz="4" w:space="0" w:color="auto"/>
              <w:left w:val="single" w:sz="4" w:space="0" w:color="auto"/>
              <w:bottom w:val="single" w:sz="4" w:space="0" w:color="auto"/>
              <w:right w:val="single" w:sz="4" w:space="0" w:color="auto"/>
            </w:tcBorders>
          </w:tcPr>
          <w:p w14:paraId="064C1973" w14:textId="77777777" w:rsidR="00D26574" w:rsidRPr="005A0CEA" w:rsidRDefault="00D26574" w:rsidP="007C5F0E">
            <w:pPr>
              <w:pStyle w:val="TableText"/>
              <w:jc w:val="center"/>
              <w:rPr>
                <w:rFonts w:eastAsia="PMingLiU"/>
                <w:szCs w:val="20"/>
              </w:rPr>
            </w:pPr>
            <w:r w:rsidRPr="005A0CEA">
              <w:rPr>
                <w:szCs w:val="20"/>
              </w:rPr>
              <w:t>90.4</w:t>
            </w:r>
          </w:p>
        </w:tc>
      </w:tr>
      <w:tr w:rsidR="00D26574" w:rsidRPr="005A0CEA" w14:paraId="3ADA4443"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2E1DBDDB" w14:textId="77777777" w:rsidR="00D26574" w:rsidRPr="005A0CEA" w:rsidRDefault="00D26574" w:rsidP="007C5F0E">
            <w:pPr>
              <w:pStyle w:val="TableText"/>
              <w:ind w:left="284"/>
              <w:rPr>
                <w:rFonts w:eastAsia="PMingLiU"/>
                <w:szCs w:val="20"/>
                <w:lang w:eastAsia="zh-TW"/>
              </w:rPr>
            </w:pPr>
            <w:r w:rsidRPr="005A0CEA">
              <w:rPr>
                <w:szCs w:val="20"/>
              </w:rPr>
              <w:t>Change from baseline</w:t>
            </w:r>
            <w:r w:rsidRPr="005A0CEA">
              <w:rPr>
                <w:szCs w:val="20"/>
                <w:vertAlign w:val="superscript"/>
              </w:rPr>
              <w:t>1</w:t>
            </w:r>
          </w:p>
        </w:tc>
        <w:tc>
          <w:tcPr>
            <w:tcW w:w="2693" w:type="dxa"/>
            <w:tcBorders>
              <w:top w:val="single" w:sz="4" w:space="0" w:color="auto"/>
              <w:left w:val="single" w:sz="4" w:space="0" w:color="auto"/>
              <w:bottom w:val="single" w:sz="4" w:space="0" w:color="auto"/>
              <w:right w:val="single" w:sz="4" w:space="0" w:color="auto"/>
            </w:tcBorders>
          </w:tcPr>
          <w:p w14:paraId="46094051" w14:textId="77777777" w:rsidR="00D26574" w:rsidRPr="005A0CEA" w:rsidRDefault="00D26574" w:rsidP="007C5F0E">
            <w:pPr>
              <w:pStyle w:val="TableText"/>
              <w:jc w:val="center"/>
              <w:rPr>
                <w:szCs w:val="20"/>
              </w:rPr>
            </w:pPr>
            <w:r w:rsidRPr="005A0CEA">
              <w:rPr>
                <w:szCs w:val="20"/>
              </w:rPr>
              <w:t>−3.4</w:t>
            </w:r>
          </w:p>
        </w:tc>
        <w:tc>
          <w:tcPr>
            <w:tcW w:w="2410" w:type="dxa"/>
            <w:tcBorders>
              <w:top w:val="single" w:sz="4" w:space="0" w:color="auto"/>
              <w:left w:val="single" w:sz="4" w:space="0" w:color="auto"/>
              <w:bottom w:val="single" w:sz="4" w:space="0" w:color="auto"/>
              <w:right w:val="single" w:sz="4" w:space="0" w:color="auto"/>
            </w:tcBorders>
          </w:tcPr>
          <w:p w14:paraId="6BF54162" w14:textId="77777777" w:rsidR="00D26574" w:rsidRPr="005A0CEA" w:rsidRDefault="00D26574" w:rsidP="007C5F0E">
            <w:pPr>
              <w:pStyle w:val="TableText"/>
              <w:jc w:val="center"/>
              <w:rPr>
                <w:rFonts w:eastAsia="PMingLiU"/>
                <w:szCs w:val="20"/>
              </w:rPr>
            </w:pPr>
            <w:r w:rsidRPr="005A0CEA">
              <w:rPr>
                <w:szCs w:val="20"/>
              </w:rPr>
              <w:t>−0.9</w:t>
            </w:r>
          </w:p>
        </w:tc>
      </w:tr>
      <w:tr w:rsidR="00D26574" w:rsidRPr="005A0CEA" w14:paraId="61E04D17" w14:textId="77777777" w:rsidTr="00D038B0">
        <w:trPr>
          <w:trHeight w:val="230"/>
        </w:trPr>
        <w:tc>
          <w:tcPr>
            <w:tcW w:w="4106" w:type="dxa"/>
            <w:tcBorders>
              <w:top w:val="single" w:sz="4" w:space="0" w:color="auto"/>
              <w:left w:val="single" w:sz="4" w:space="0" w:color="auto"/>
              <w:bottom w:val="single" w:sz="4" w:space="0" w:color="auto"/>
              <w:right w:val="single" w:sz="4" w:space="0" w:color="auto"/>
            </w:tcBorders>
          </w:tcPr>
          <w:p w14:paraId="62799B53" w14:textId="77777777" w:rsidR="00D26574" w:rsidRPr="005A0CEA" w:rsidRDefault="00D26574" w:rsidP="007C5F0E">
            <w:pPr>
              <w:pStyle w:val="TableText"/>
              <w:ind w:left="284"/>
              <w:rPr>
                <w:rFonts w:eastAsia="PMingLiU"/>
                <w:szCs w:val="20"/>
                <w:lang w:eastAsia="zh-TW"/>
              </w:rPr>
            </w:pPr>
            <w:r w:rsidRPr="005A0CEA">
              <w:rPr>
                <w:szCs w:val="20"/>
              </w:rPr>
              <w:t>Difference from placebo</w:t>
            </w:r>
            <w:r w:rsidRPr="005A0CEA">
              <w:rPr>
                <w:szCs w:val="20"/>
                <w:vertAlign w:val="superscript"/>
              </w:rPr>
              <w:t>1</w:t>
            </w:r>
            <w:r w:rsidRPr="005A0CEA">
              <w:rPr>
                <w:szCs w:val="20"/>
              </w:rPr>
              <w:t xml:space="preserve"> [95% CI]</w:t>
            </w:r>
          </w:p>
        </w:tc>
        <w:tc>
          <w:tcPr>
            <w:tcW w:w="2693" w:type="dxa"/>
            <w:tcBorders>
              <w:top w:val="single" w:sz="4" w:space="0" w:color="auto"/>
              <w:left w:val="single" w:sz="4" w:space="0" w:color="auto"/>
              <w:bottom w:val="single" w:sz="4" w:space="0" w:color="auto"/>
              <w:right w:val="single" w:sz="4" w:space="0" w:color="auto"/>
            </w:tcBorders>
          </w:tcPr>
          <w:p w14:paraId="6E48A8F3" w14:textId="77777777" w:rsidR="00D26574" w:rsidRPr="005A0CEA" w:rsidRDefault="00D26574" w:rsidP="007C5F0E">
            <w:pPr>
              <w:pStyle w:val="TableText"/>
              <w:jc w:val="center"/>
              <w:rPr>
                <w:szCs w:val="20"/>
              </w:rPr>
            </w:pPr>
            <w:r w:rsidRPr="005A0CEA">
              <w:rPr>
                <w:szCs w:val="20"/>
              </w:rPr>
              <w:t>−2.5 [−3.2; −1.</w:t>
            </w:r>
            <w:proofErr w:type="gramStart"/>
            <w:r w:rsidRPr="005A0CEA">
              <w:rPr>
                <w:szCs w:val="20"/>
              </w:rPr>
              <w:t>8]</w:t>
            </w:r>
            <w:r w:rsidRPr="005A0CEA">
              <w:rPr>
                <w:szCs w:val="20"/>
                <w:vertAlign w:val="superscript"/>
              </w:rPr>
              <w:t>*</w:t>
            </w:r>
            <w:proofErr w:type="gramEnd"/>
          </w:p>
        </w:tc>
        <w:tc>
          <w:tcPr>
            <w:tcW w:w="2410" w:type="dxa"/>
            <w:tcBorders>
              <w:top w:val="single" w:sz="4" w:space="0" w:color="auto"/>
              <w:left w:val="single" w:sz="4" w:space="0" w:color="auto"/>
              <w:bottom w:val="single" w:sz="4" w:space="0" w:color="auto"/>
              <w:right w:val="single" w:sz="4" w:space="0" w:color="auto"/>
            </w:tcBorders>
          </w:tcPr>
          <w:p w14:paraId="74865E65" w14:textId="77777777" w:rsidR="00D26574" w:rsidRPr="005A0CEA" w:rsidRDefault="00D26574" w:rsidP="007C5F0E">
            <w:pPr>
              <w:pStyle w:val="TableText"/>
              <w:jc w:val="center"/>
              <w:rPr>
                <w:rFonts w:eastAsia="PMingLiU"/>
                <w:szCs w:val="20"/>
              </w:rPr>
            </w:pPr>
            <w:r w:rsidRPr="005A0CEA">
              <w:rPr>
                <w:szCs w:val="20"/>
              </w:rPr>
              <w:t>-</w:t>
            </w:r>
          </w:p>
        </w:tc>
      </w:tr>
    </w:tbl>
    <w:p w14:paraId="20713108" w14:textId="77777777" w:rsidR="00D26574" w:rsidRPr="005A0CEA" w:rsidRDefault="00D26574" w:rsidP="007C5F0E">
      <w:pPr>
        <w:ind w:left="142" w:hanging="142"/>
        <w:rPr>
          <w:sz w:val="18"/>
          <w:szCs w:val="18"/>
          <w:vertAlign w:val="superscript"/>
          <w:lang w:val="en-GB"/>
        </w:rPr>
      </w:pPr>
      <w:proofErr w:type="gramStart"/>
      <w:r w:rsidRPr="005A0CEA">
        <w:rPr>
          <w:sz w:val="18"/>
          <w:szCs w:val="18"/>
          <w:vertAlign w:val="superscript"/>
          <w:lang w:val="en-GB"/>
        </w:rPr>
        <w:t xml:space="preserve">1  </w:t>
      </w:r>
      <w:r w:rsidRPr="005A0CEA">
        <w:rPr>
          <w:sz w:val="18"/>
          <w:szCs w:val="18"/>
          <w:lang w:val="en-GB"/>
        </w:rPr>
        <w:t>Irrespective</w:t>
      </w:r>
      <w:proofErr w:type="gramEnd"/>
      <w:r w:rsidRPr="005A0CEA">
        <w:rPr>
          <w:sz w:val="18"/>
          <w:szCs w:val="18"/>
          <w:lang w:val="en-GB"/>
        </w:rPr>
        <w:t xml:space="preserve"> of treatment discontinuation or initiation of rescue medication (pattern mixture model using multiple imputation).</w:t>
      </w:r>
      <w:r w:rsidRPr="005A0CEA">
        <w:rPr>
          <w:sz w:val="18"/>
          <w:szCs w:val="18"/>
          <w:vertAlign w:val="superscript"/>
          <w:lang w:val="en-GB"/>
        </w:rPr>
        <w:t xml:space="preserve"> </w:t>
      </w:r>
    </w:p>
    <w:p w14:paraId="181CCCB0" w14:textId="0499EEF7" w:rsidR="00D26574" w:rsidRPr="005A0CEA" w:rsidRDefault="00D26574" w:rsidP="007C5F0E">
      <w:pPr>
        <w:ind w:left="142" w:hanging="142"/>
        <w:rPr>
          <w:sz w:val="18"/>
          <w:szCs w:val="18"/>
          <w:lang w:val="en-GB"/>
        </w:rPr>
      </w:pPr>
      <w:r w:rsidRPr="005A0CEA">
        <w:rPr>
          <w:sz w:val="18"/>
          <w:szCs w:val="18"/>
          <w:vertAlign w:val="superscript"/>
          <w:lang w:val="en-GB"/>
        </w:rPr>
        <w:t xml:space="preserve">* </w:t>
      </w:r>
      <w:r w:rsidRPr="005A0CEA">
        <w:rPr>
          <w:sz w:val="18"/>
          <w:szCs w:val="18"/>
          <w:lang w:val="en-GB"/>
        </w:rPr>
        <w:t xml:space="preserve">p&lt;0.001 (unadjusted 2-sided) for superiority, controlled for multiplicity. </w:t>
      </w:r>
    </w:p>
    <w:p w14:paraId="1B12D318" w14:textId="6E1AE053" w:rsidR="00D26574" w:rsidRPr="005A0CEA" w:rsidRDefault="00D26574" w:rsidP="007C5F0E">
      <w:pPr>
        <w:ind w:left="142" w:hanging="142"/>
        <w:rPr>
          <w:sz w:val="18"/>
          <w:szCs w:val="18"/>
          <w:lang w:val="en-GB"/>
        </w:rPr>
      </w:pPr>
      <w:r w:rsidRPr="005A0CEA">
        <w:rPr>
          <w:sz w:val="18"/>
          <w:szCs w:val="18"/>
          <w:vertAlign w:val="superscript"/>
          <w:lang w:val="en-GB"/>
        </w:rPr>
        <w:t>§</w:t>
      </w:r>
      <w:r w:rsidRPr="005A0CEA">
        <w:rPr>
          <w:sz w:val="18"/>
          <w:szCs w:val="18"/>
          <w:lang w:val="en-GB"/>
        </w:rPr>
        <w:t xml:space="preserve"> p&lt;0.05, not controlled for multiplicity; for ‘Patients achieving HbA</w:t>
      </w:r>
      <w:r w:rsidRPr="005A0CEA">
        <w:rPr>
          <w:sz w:val="18"/>
          <w:szCs w:val="18"/>
          <w:vertAlign w:val="subscript"/>
          <w:lang w:val="en-GB"/>
        </w:rPr>
        <w:t>1c</w:t>
      </w:r>
      <w:r w:rsidRPr="005A0CEA">
        <w:rPr>
          <w:sz w:val="18"/>
          <w:szCs w:val="18"/>
          <w:lang w:val="en-GB"/>
        </w:rPr>
        <w:t> &lt;7.0%’, the p-value is for the odds ratio vs placebo.</w:t>
      </w:r>
    </w:p>
    <w:p w14:paraId="6D0D3017" w14:textId="660983EB" w:rsidR="004D6E5F" w:rsidRPr="005A0CEA" w:rsidRDefault="004D6E5F" w:rsidP="007C5F0E">
      <w:pPr>
        <w:rPr>
          <w:sz w:val="18"/>
          <w:szCs w:val="18"/>
          <w:lang w:val="en-GB"/>
        </w:rPr>
      </w:pPr>
    </w:p>
    <w:p w14:paraId="70E2DAC4" w14:textId="25580B7E" w:rsidR="00B15C92" w:rsidRPr="005A0CEA" w:rsidRDefault="004D6E5F" w:rsidP="007C5F0E">
      <w:pPr>
        <w:pStyle w:val="Heading6"/>
        <w:keepNext/>
        <w:keepLines/>
        <w:rPr>
          <w:lang w:val="en-GB"/>
        </w:rPr>
      </w:pPr>
      <w:r w:rsidRPr="005A0CEA">
        <w:rPr>
          <w:lang w:val="en-GB"/>
        </w:rPr>
        <w:t>PIONEER 7 – Rybelsus vs. sitagliptin, all in combination with metformin, SGLT2 inhibitors, sulfonylurea or thiazolidinediones. Flexible-dose-adjustment trial</w:t>
      </w:r>
    </w:p>
    <w:p w14:paraId="1196C136" w14:textId="317F184A" w:rsidR="00E27446" w:rsidRPr="005A0CEA" w:rsidRDefault="00E27446" w:rsidP="007C5F0E">
      <w:pPr>
        <w:rPr>
          <w:lang w:val="en-GB"/>
        </w:rPr>
      </w:pPr>
      <w:r w:rsidRPr="005A0CEA">
        <w:rPr>
          <w:lang w:val="en-GB"/>
        </w:rPr>
        <w:t>In a 52-week open-label trial, 504 patients with type 2 diabetes were randomized to Rybelsus (flexible dose adjustment of 3 mg, 7 mg, and 14 mg once daily) or sitagliptin 100 mg once daily, all in combination with 1-2 oral glucose-lowering medications (metformin, SGLT2 inhibitors, sulfonylurea or thiazolidinediones). The dose of Rybelsus was adjusted every 8 weeks based on patient’s glycaemic response and tolerability. The sitagliptin 100 mg dose was fixed. The efficacy and safety of Rybelsus were evaluated at week 52. At the end of 52 weeks, the percentage of patients on-treatment with Rybelsus 7 mg were 30.2% and Rybelsus 14 mg were 59.4%.</w:t>
      </w:r>
    </w:p>
    <w:p w14:paraId="387E7319" w14:textId="77777777" w:rsidR="00E27446" w:rsidRPr="005A0CEA" w:rsidRDefault="00E27446" w:rsidP="007C5F0E">
      <w:pPr>
        <w:rPr>
          <w:lang w:val="en-GB"/>
        </w:rPr>
      </w:pPr>
    </w:p>
    <w:p w14:paraId="5F7EF4FB" w14:textId="66124D90" w:rsidR="00E27446" w:rsidRPr="005A0CEA" w:rsidRDefault="00E27446" w:rsidP="007C5F0E">
      <w:pPr>
        <w:rPr>
          <w:lang w:val="en-GB"/>
        </w:rPr>
      </w:pPr>
      <w:r w:rsidRPr="005A0CEA">
        <w:rPr>
          <w:lang w:val="en-GB"/>
        </w:rPr>
        <w:t>The mean age of the trial population was 57 years, and the mean duration of type 2 diabetes was 8.8 years. Overall, 76% were White, 9% were Black or African American and 14% were Asian. Hispanic or Latino patients comprised 21% (n=105) of the population. The mean body weight at baseline was 89 kg.</w:t>
      </w:r>
    </w:p>
    <w:p w14:paraId="67367217" w14:textId="77777777" w:rsidR="00E27446" w:rsidRPr="005A0CEA" w:rsidRDefault="00E27446" w:rsidP="007C5F0E">
      <w:pPr>
        <w:rPr>
          <w:lang w:val="en-GB"/>
        </w:rPr>
      </w:pPr>
    </w:p>
    <w:p w14:paraId="3F306EF5" w14:textId="3DBDB2BF" w:rsidR="004D6E5F" w:rsidRPr="005A0CEA" w:rsidRDefault="00E27446" w:rsidP="007C5F0E">
      <w:pPr>
        <w:rPr>
          <w:lang w:val="en-GB"/>
        </w:rPr>
      </w:pPr>
      <w:r w:rsidRPr="005A0CEA">
        <w:rPr>
          <w:lang w:val="en-GB"/>
        </w:rPr>
        <w:lastRenderedPageBreak/>
        <w:t>After 52 weeks of treatment, 58.3% of the patients achieved the target of HbA</w:t>
      </w:r>
      <w:r w:rsidRPr="005A0CEA">
        <w:rPr>
          <w:vertAlign w:val="subscript"/>
          <w:lang w:val="en-GB"/>
        </w:rPr>
        <w:t>1c</w:t>
      </w:r>
      <w:r w:rsidRPr="005A0CEA">
        <w:rPr>
          <w:lang w:val="en-GB"/>
        </w:rPr>
        <w:t xml:space="preserve"> &lt;7.0% with adjustable dosing of Rybelsus compared to 25.2% of patients treated with sitagliptin 100 mg. Rybelsus was superior to sitagliptin at week 52 in enabling patients to achieve HbA</w:t>
      </w:r>
      <w:r w:rsidRPr="005A0CEA">
        <w:rPr>
          <w:vertAlign w:val="subscript"/>
          <w:lang w:val="en-GB"/>
        </w:rPr>
        <w:t>1c</w:t>
      </w:r>
      <w:r w:rsidRPr="005A0CEA">
        <w:rPr>
          <w:lang w:val="en-GB"/>
        </w:rPr>
        <w:t xml:space="preserve"> &lt;7.0% and in reducing body weight.</w:t>
      </w:r>
    </w:p>
    <w:p w14:paraId="1D173E70" w14:textId="1FC2FEB8" w:rsidR="00766E58" w:rsidRPr="005A0CEA" w:rsidRDefault="00766E58" w:rsidP="007C5F0E">
      <w:pPr>
        <w:rPr>
          <w:lang w:val="en-GB"/>
        </w:rPr>
      </w:pPr>
    </w:p>
    <w:p w14:paraId="16B29CE2" w14:textId="2B0D6B34" w:rsidR="00766E58" w:rsidRPr="005A0CEA" w:rsidRDefault="00690894" w:rsidP="007C5F0E">
      <w:pPr>
        <w:rPr>
          <w:lang w:val="en-GB"/>
        </w:rPr>
      </w:pPr>
      <w:r w:rsidRPr="005A0CEA">
        <w:rPr>
          <w:b/>
          <w:bCs/>
          <w:lang w:val="en-GB"/>
        </w:rPr>
        <w:t xml:space="preserve">Table </w:t>
      </w:r>
      <w:r w:rsidRPr="005A0CEA">
        <w:rPr>
          <w:b/>
          <w:bCs/>
          <w:lang w:val="en-GB"/>
        </w:rPr>
        <w:fldChar w:fldCharType="begin"/>
      </w:r>
      <w:r w:rsidRPr="005A0CEA">
        <w:rPr>
          <w:b/>
          <w:bCs/>
          <w:lang w:val="en-GB"/>
        </w:rPr>
        <w:instrText xml:space="preserve"> SEQ Table \* ARABIC </w:instrText>
      </w:r>
      <w:r w:rsidRPr="005A0CEA">
        <w:rPr>
          <w:b/>
          <w:bCs/>
          <w:lang w:val="en-GB"/>
        </w:rPr>
        <w:fldChar w:fldCharType="separate"/>
      </w:r>
      <w:r w:rsidR="00A334F6">
        <w:rPr>
          <w:b/>
          <w:bCs/>
          <w:noProof/>
          <w:lang w:val="en-GB"/>
        </w:rPr>
        <w:t>8</w:t>
      </w:r>
      <w:r w:rsidRPr="005A0CEA">
        <w:rPr>
          <w:b/>
          <w:bCs/>
          <w:lang w:val="en-GB"/>
        </w:rPr>
        <w:fldChar w:fldCharType="end"/>
      </w:r>
      <w:r w:rsidRPr="005A0CEA">
        <w:rPr>
          <w:b/>
          <w:bCs/>
          <w:lang w:val="en-GB"/>
        </w:rPr>
        <w:t xml:space="preserve">: </w:t>
      </w:r>
      <w:r w:rsidR="00766E58" w:rsidRPr="005A0CEA">
        <w:rPr>
          <w:b/>
          <w:bCs/>
          <w:lang w:val="en-GB"/>
        </w:rPr>
        <w:t xml:space="preserve">Results </w:t>
      </w:r>
      <w:r w:rsidR="00E27446" w:rsidRPr="005A0CEA">
        <w:rPr>
          <w:b/>
          <w:bCs/>
          <w:lang w:val="en-GB"/>
        </w:rPr>
        <w:t xml:space="preserve">of a </w:t>
      </w:r>
      <w:proofErr w:type="gramStart"/>
      <w:r w:rsidR="00E27446" w:rsidRPr="005A0CEA">
        <w:rPr>
          <w:b/>
          <w:bCs/>
          <w:lang w:val="en-GB"/>
        </w:rPr>
        <w:t>52 week</w:t>
      </w:r>
      <w:proofErr w:type="gramEnd"/>
      <w:r w:rsidR="00E27446" w:rsidRPr="005A0CEA">
        <w:rPr>
          <w:b/>
          <w:bCs/>
          <w:lang w:val="en-GB"/>
        </w:rPr>
        <w:t xml:space="preserve"> flexible-dose-adjustment trial comparing semaglutide with sitagliptin</w:t>
      </w:r>
      <w:r w:rsidR="00766E58" w:rsidRPr="005A0CEA">
        <w:rPr>
          <w:b/>
          <w:bCs/>
          <w:lang w:val="en-GB"/>
        </w:rPr>
        <w:t xml:space="preserve"> (PIONEER 7</w:t>
      </w:r>
      <w:r w:rsidR="00766E58" w:rsidRPr="005A0CEA">
        <w:rPr>
          <w:lang w:val="en-GB"/>
        </w:rPr>
        <w:t>)</w:t>
      </w:r>
    </w:p>
    <w:tbl>
      <w:tblPr>
        <w:tblW w:w="89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531"/>
        <w:gridCol w:w="2410"/>
        <w:gridCol w:w="1985"/>
      </w:tblGrid>
      <w:tr w:rsidR="00E27446" w:rsidRPr="005A0CEA" w14:paraId="1AB00692" w14:textId="77777777" w:rsidTr="00D038B0">
        <w:trPr>
          <w:trHeight w:val="499"/>
        </w:trPr>
        <w:tc>
          <w:tcPr>
            <w:tcW w:w="4531" w:type="dxa"/>
            <w:tcBorders>
              <w:top w:val="single" w:sz="4" w:space="0" w:color="auto"/>
              <w:left w:val="single" w:sz="4" w:space="0" w:color="auto"/>
              <w:bottom w:val="single" w:sz="4" w:space="0" w:color="auto"/>
              <w:right w:val="single" w:sz="4" w:space="0" w:color="auto"/>
            </w:tcBorders>
          </w:tcPr>
          <w:p w14:paraId="1FB08554" w14:textId="77777777" w:rsidR="00E27446" w:rsidRPr="005A0CEA" w:rsidRDefault="00E27446" w:rsidP="007C5F0E">
            <w:pPr>
              <w:pStyle w:val="TableText"/>
              <w:jc w:val="center"/>
              <w:rPr>
                <w:b/>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F7A5DB" w14:textId="77777777" w:rsidR="00E27446" w:rsidRPr="005A0CEA" w:rsidRDefault="00E27446" w:rsidP="007C5F0E">
            <w:pPr>
              <w:pStyle w:val="TableText"/>
              <w:jc w:val="center"/>
              <w:rPr>
                <w:b/>
                <w:szCs w:val="20"/>
              </w:rPr>
            </w:pPr>
            <w:r w:rsidRPr="005A0CEA">
              <w:rPr>
                <w:b/>
                <w:szCs w:val="20"/>
              </w:rPr>
              <w:t>Rybelsus</w:t>
            </w:r>
            <w:r w:rsidRPr="005A0CEA">
              <w:rPr>
                <w:b/>
                <w:szCs w:val="20"/>
                <w:vertAlign w:val="superscript"/>
              </w:rPr>
              <w:t>®</w:t>
            </w:r>
          </w:p>
          <w:p w14:paraId="24A2A132" w14:textId="77777777" w:rsidR="00E27446" w:rsidRPr="005A0CEA" w:rsidRDefault="00E27446" w:rsidP="007C5F0E">
            <w:pPr>
              <w:pStyle w:val="TableText"/>
              <w:jc w:val="center"/>
              <w:rPr>
                <w:szCs w:val="20"/>
              </w:rPr>
            </w:pPr>
            <w:r w:rsidRPr="005A0CEA">
              <w:rPr>
                <w:b/>
                <w:szCs w:val="20"/>
              </w:rPr>
              <w:t>Flexible dose</w:t>
            </w:r>
          </w:p>
        </w:tc>
        <w:tc>
          <w:tcPr>
            <w:tcW w:w="1985" w:type="dxa"/>
            <w:tcBorders>
              <w:top w:val="single" w:sz="4" w:space="0" w:color="auto"/>
              <w:left w:val="single" w:sz="4" w:space="0" w:color="auto"/>
              <w:bottom w:val="single" w:sz="4" w:space="0" w:color="auto"/>
              <w:right w:val="single" w:sz="4" w:space="0" w:color="auto"/>
            </w:tcBorders>
          </w:tcPr>
          <w:p w14:paraId="0E0EBE74" w14:textId="77777777" w:rsidR="00E27446" w:rsidRPr="005A0CEA" w:rsidRDefault="00E27446" w:rsidP="007C5F0E">
            <w:pPr>
              <w:pStyle w:val="TableText"/>
              <w:jc w:val="center"/>
              <w:rPr>
                <w:rFonts w:cstheme="minorBidi"/>
                <w:b/>
                <w:bCs/>
                <w:szCs w:val="20"/>
              </w:rPr>
            </w:pPr>
            <w:r w:rsidRPr="005A0CEA">
              <w:rPr>
                <w:rFonts w:cstheme="minorBidi"/>
                <w:b/>
                <w:bCs/>
                <w:szCs w:val="20"/>
              </w:rPr>
              <w:t>Sitagliptin</w:t>
            </w:r>
          </w:p>
          <w:p w14:paraId="66AD1FF6" w14:textId="77777777" w:rsidR="00E27446" w:rsidRPr="005A0CEA" w:rsidRDefault="00E27446" w:rsidP="007C5F0E">
            <w:pPr>
              <w:pStyle w:val="TableText"/>
              <w:jc w:val="center"/>
              <w:rPr>
                <w:rFonts w:cstheme="minorBidi"/>
                <w:szCs w:val="20"/>
              </w:rPr>
            </w:pPr>
            <w:r w:rsidRPr="005A0CEA">
              <w:rPr>
                <w:rFonts w:cstheme="minorBidi"/>
                <w:b/>
                <w:bCs/>
                <w:szCs w:val="20"/>
              </w:rPr>
              <w:t>100 mg</w:t>
            </w:r>
          </w:p>
        </w:tc>
      </w:tr>
      <w:tr w:rsidR="00E27446" w:rsidRPr="005A0CEA" w14:paraId="567B76AB"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6DF8DF96" w14:textId="77777777" w:rsidR="00E27446" w:rsidRPr="005A0CEA" w:rsidRDefault="00E27446" w:rsidP="007C5F0E">
            <w:pPr>
              <w:pStyle w:val="TableText"/>
              <w:rPr>
                <w:szCs w:val="20"/>
              </w:rPr>
            </w:pPr>
            <w:r w:rsidRPr="005A0CEA">
              <w:rPr>
                <w:szCs w:val="20"/>
              </w:rPr>
              <w:t>Full analysis set (N)</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A66171" w14:textId="77777777" w:rsidR="00E27446" w:rsidRPr="005A0CEA" w:rsidRDefault="00E27446" w:rsidP="007C5F0E">
            <w:pPr>
              <w:pStyle w:val="TableText"/>
              <w:jc w:val="center"/>
              <w:rPr>
                <w:szCs w:val="20"/>
              </w:rPr>
            </w:pPr>
            <w:r w:rsidRPr="005A0CEA">
              <w:rPr>
                <w:szCs w:val="20"/>
              </w:rPr>
              <w:t>253</w:t>
            </w:r>
          </w:p>
        </w:tc>
        <w:tc>
          <w:tcPr>
            <w:tcW w:w="1985" w:type="dxa"/>
            <w:tcBorders>
              <w:top w:val="single" w:sz="4" w:space="0" w:color="auto"/>
              <w:left w:val="single" w:sz="4" w:space="0" w:color="auto"/>
              <w:bottom w:val="single" w:sz="4" w:space="0" w:color="auto"/>
              <w:right w:val="single" w:sz="4" w:space="0" w:color="auto"/>
            </w:tcBorders>
          </w:tcPr>
          <w:p w14:paraId="2CF5383E" w14:textId="77777777" w:rsidR="00E27446" w:rsidRPr="005A0CEA" w:rsidRDefault="00E27446" w:rsidP="007C5F0E">
            <w:pPr>
              <w:pStyle w:val="TableText"/>
              <w:jc w:val="center"/>
              <w:rPr>
                <w:szCs w:val="20"/>
              </w:rPr>
            </w:pPr>
            <w:r w:rsidRPr="005A0CEA">
              <w:rPr>
                <w:szCs w:val="20"/>
              </w:rPr>
              <w:t>251</w:t>
            </w:r>
          </w:p>
        </w:tc>
      </w:tr>
      <w:tr w:rsidR="00E27446" w:rsidRPr="005A0CEA" w14:paraId="648E5194"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59845749" w14:textId="77777777" w:rsidR="00E27446" w:rsidRPr="005A0CEA" w:rsidRDefault="00E27446" w:rsidP="007C5F0E">
            <w:pPr>
              <w:pStyle w:val="TableText"/>
              <w:rPr>
                <w:rFonts w:eastAsia="PMingLiU"/>
                <w:szCs w:val="20"/>
                <w:lang w:eastAsia="zh-TW"/>
              </w:rPr>
            </w:pPr>
            <w:r w:rsidRPr="005A0CEA">
              <w:rPr>
                <w:b/>
                <w:szCs w:val="20"/>
              </w:rPr>
              <w:t>HbA</w:t>
            </w:r>
            <w:r w:rsidRPr="005A0CEA">
              <w:rPr>
                <w:b/>
                <w:szCs w:val="20"/>
                <w:vertAlign w:val="subscript"/>
              </w:rPr>
              <w:t xml:space="preserve">1c </w:t>
            </w:r>
            <w:r w:rsidRPr="005A0CEA">
              <w:rPr>
                <w:b/>
                <w:szCs w:val="20"/>
              </w:rPr>
              <w:t>(%)</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156B34" w14:textId="77777777" w:rsidR="00E27446" w:rsidRPr="005A0CEA" w:rsidRDefault="00E27446" w:rsidP="007C5F0E">
            <w:pPr>
              <w:pStyle w:val="TableText"/>
              <w:jc w:val="center"/>
              <w:rPr>
                <w:szCs w:val="20"/>
              </w:rPr>
            </w:pPr>
          </w:p>
        </w:tc>
        <w:tc>
          <w:tcPr>
            <w:tcW w:w="1985" w:type="dxa"/>
            <w:tcBorders>
              <w:top w:val="single" w:sz="4" w:space="0" w:color="auto"/>
              <w:left w:val="single" w:sz="4" w:space="0" w:color="auto"/>
              <w:bottom w:val="single" w:sz="4" w:space="0" w:color="auto"/>
              <w:right w:val="single" w:sz="4" w:space="0" w:color="auto"/>
            </w:tcBorders>
          </w:tcPr>
          <w:p w14:paraId="61BE8201" w14:textId="77777777" w:rsidR="00E27446" w:rsidRPr="005A0CEA" w:rsidRDefault="00E27446" w:rsidP="007C5F0E">
            <w:pPr>
              <w:pStyle w:val="TableText"/>
              <w:jc w:val="center"/>
              <w:rPr>
                <w:szCs w:val="20"/>
              </w:rPr>
            </w:pPr>
          </w:p>
        </w:tc>
      </w:tr>
      <w:tr w:rsidR="00E27446" w:rsidRPr="005A0CEA" w14:paraId="46633A47"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42DC8637" w14:textId="77777777" w:rsidR="00E27446" w:rsidRPr="005A0CEA" w:rsidRDefault="00E27446" w:rsidP="007C5F0E">
            <w:pPr>
              <w:pStyle w:val="TableText"/>
              <w:ind w:left="284"/>
              <w:rPr>
                <w:rFonts w:eastAsia="PMingLiU"/>
                <w:szCs w:val="20"/>
                <w:lang w:eastAsia="zh-TW"/>
              </w:rPr>
            </w:pPr>
            <w:r w:rsidRPr="005A0CEA">
              <w:rPr>
                <w:szCs w:val="20"/>
              </w:rPr>
              <w:t>Baseline</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115B197" w14:textId="77777777" w:rsidR="00E27446" w:rsidRPr="005A0CEA" w:rsidRDefault="00E27446" w:rsidP="007C5F0E">
            <w:pPr>
              <w:pStyle w:val="TableText"/>
              <w:jc w:val="center"/>
              <w:rPr>
                <w:szCs w:val="20"/>
              </w:rPr>
            </w:pPr>
            <w:r w:rsidRPr="005A0CEA">
              <w:rPr>
                <w:szCs w:val="20"/>
              </w:rPr>
              <w:t>8.3</w:t>
            </w:r>
          </w:p>
        </w:tc>
        <w:tc>
          <w:tcPr>
            <w:tcW w:w="1985" w:type="dxa"/>
            <w:tcBorders>
              <w:top w:val="single" w:sz="4" w:space="0" w:color="auto"/>
              <w:left w:val="single" w:sz="4" w:space="0" w:color="auto"/>
              <w:bottom w:val="single" w:sz="4" w:space="0" w:color="auto"/>
              <w:right w:val="single" w:sz="4" w:space="0" w:color="auto"/>
            </w:tcBorders>
          </w:tcPr>
          <w:p w14:paraId="584ABDE1" w14:textId="77777777" w:rsidR="00E27446" w:rsidRPr="005A0CEA" w:rsidRDefault="00E27446" w:rsidP="007C5F0E">
            <w:pPr>
              <w:pStyle w:val="TableText"/>
              <w:jc w:val="center"/>
              <w:rPr>
                <w:szCs w:val="20"/>
              </w:rPr>
            </w:pPr>
            <w:r w:rsidRPr="005A0CEA">
              <w:rPr>
                <w:szCs w:val="20"/>
              </w:rPr>
              <w:t>8.3</w:t>
            </w:r>
          </w:p>
        </w:tc>
      </w:tr>
      <w:tr w:rsidR="00E27446" w:rsidRPr="005A0CEA" w14:paraId="65E5500C"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67BF91F4" w14:textId="77777777" w:rsidR="00E27446" w:rsidRPr="005A0CEA" w:rsidRDefault="00E27446" w:rsidP="007C5F0E">
            <w:pPr>
              <w:pStyle w:val="TableText"/>
              <w:ind w:left="284"/>
              <w:rPr>
                <w:rFonts w:eastAsia="PMingLiU"/>
                <w:szCs w:val="20"/>
                <w:lang w:eastAsia="zh-TW"/>
              </w:rPr>
            </w:pPr>
            <w:r w:rsidRPr="005A0CEA">
              <w:rPr>
                <w:szCs w:val="20"/>
              </w:rPr>
              <w:t>Patients (%) achieving HbA</w:t>
            </w:r>
            <w:r w:rsidRPr="005A0CEA">
              <w:rPr>
                <w:szCs w:val="20"/>
                <w:vertAlign w:val="subscript"/>
              </w:rPr>
              <w:t>1c</w:t>
            </w:r>
            <w:r w:rsidRPr="005A0CEA">
              <w:rPr>
                <w:szCs w:val="20"/>
              </w:rPr>
              <w:t xml:space="preserve"> &lt;7.0%</w:t>
            </w:r>
            <w:r w:rsidRPr="005A0CEA">
              <w:rPr>
                <w:szCs w:val="20"/>
                <w:vertAlign w:val="superscript"/>
              </w:rPr>
              <w:t>1</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4F2784" w14:textId="77777777" w:rsidR="00E27446" w:rsidRPr="005A0CEA" w:rsidRDefault="00E27446" w:rsidP="007C5F0E">
            <w:pPr>
              <w:pStyle w:val="TableText"/>
              <w:jc w:val="center"/>
              <w:rPr>
                <w:szCs w:val="20"/>
              </w:rPr>
            </w:pPr>
            <w:r w:rsidRPr="005A0CEA">
              <w:rPr>
                <w:szCs w:val="20"/>
              </w:rPr>
              <w:t>58*</w:t>
            </w:r>
          </w:p>
        </w:tc>
        <w:tc>
          <w:tcPr>
            <w:tcW w:w="1985" w:type="dxa"/>
            <w:tcBorders>
              <w:top w:val="single" w:sz="4" w:space="0" w:color="auto"/>
              <w:left w:val="single" w:sz="4" w:space="0" w:color="auto"/>
              <w:bottom w:val="single" w:sz="4" w:space="0" w:color="auto"/>
              <w:right w:val="single" w:sz="4" w:space="0" w:color="auto"/>
            </w:tcBorders>
          </w:tcPr>
          <w:p w14:paraId="66ABBFAD" w14:textId="77777777" w:rsidR="00E27446" w:rsidRPr="005A0CEA" w:rsidRDefault="00E27446" w:rsidP="007C5F0E">
            <w:pPr>
              <w:pStyle w:val="TableText"/>
              <w:jc w:val="center"/>
              <w:rPr>
                <w:szCs w:val="20"/>
              </w:rPr>
            </w:pPr>
            <w:r w:rsidRPr="005A0CEA">
              <w:rPr>
                <w:szCs w:val="20"/>
              </w:rPr>
              <w:t>25</w:t>
            </w:r>
          </w:p>
        </w:tc>
      </w:tr>
      <w:tr w:rsidR="00E27446" w:rsidRPr="005A0CEA" w14:paraId="53DFE44F"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293CD465" w14:textId="77777777" w:rsidR="00E27446" w:rsidRPr="005A0CEA" w:rsidRDefault="00E27446" w:rsidP="007C5F0E">
            <w:pPr>
              <w:pStyle w:val="TableText"/>
              <w:ind w:left="284"/>
              <w:rPr>
                <w:rFonts w:eastAsia="PMingLiU"/>
                <w:szCs w:val="20"/>
                <w:lang w:eastAsia="zh-TW"/>
              </w:rPr>
            </w:pPr>
            <w:r w:rsidRPr="005A0CEA">
              <w:rPr>
                <w:b/>
                <w:szCs w:val="20"/>
              </w:rPr>
              <w:t>Body weight (kg)</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AD0015" w14:textId="77777777" w:rsidR="00E27446" w:rsidRPr="005A0CEA" w:rsidRDefault="00E27446" w:rsidP="007C5F0E">
            <w:pPr>
              <w:pStyle w:val="TableText"/>
              <w:jc w:val="center"/>
              <w:rPr>
                <w:szCs w:val="20"/>
              </w:rPr>
            </w:pPr>
          </w:p>
        </w:tc>
        <w:tc>
          <w:tcPr>
            <w:tcW w:w="1985" w:type="dxa"/>
            <w:tcBorders>
              <w:top w:val="single" w:sz="4" w:space="0" w:color="auto"/>
              <w:left w:val="single" w:sz="4" w:space="0" w:color="auto"/>
              <w:bottom w:val="single" w:sz="4" w:space="0" w:color="auto"/>
              <w:right w:val="single" w:sz="4" w:space="0" w:color="auto"/>
            </w:tcBorders>
          </w:tcPr>
          <w:p w14:paraId="10E8F3DB" w14:textId="77777777" w:rsidR="00E27446" w:rsidRPr="005A0CEA" w:rsidRDefault="00E27446" w:rsidP="007C5F0E">
            <w:pPr>
              <w:pStyle w:val="TableText"/>
              <w:jc w:val="center"/>
              <w:rPr>
                <w:szCs w:val="20"/>
              </w:rPr>
            </w:pPr>
          </w:p>
        </w:tc>
      </w:tr>
      <w:tr w:rsidR="00E27446" w:rsidRPr="005A0CEA" w14:paraId="66521499"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4F469D0A" w14:textId="77777777" w:rsidR="00E27446" w:rsidRPr="005A0CEA" w:rsidRDefault="00E27446" w:rsidP="007C5F0E">
            <w:pPr>
              <w:pStyle w:val="TableText"/>
              <w:ind w:left="285"/>
              <w:rPr>
                <w:rFonts w:eastAsia="PMingLiU"/>
                <w:szCs w:val="20"/>
                <w:lang w:eastAsia="zh-TW"/>
              </w:rPr>
            </w:pPr>
            <w:r w:rsidRPr="005A0CEA">
              <w:rPr>
                <w:szCs w:val="20"/>
              </w:rPr>
              <w:t>Baseline</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036983" w14:textId="77777777" w:rsidR="00E27446" w:rsidRPr="005A0CEA" w:rsidRDefault="00E27446" w:rsidP="007C5F0E">
            <w:pPr>
              <w:pStyle w:val="TableText"/>
              <w:jc w:val="center"/>
              <w:rPr>
                <w:szCs w:val="20"/>
              </w:rPr>
            </w:pPr>
            <w:r w:rsidRPr="005A0CEA">
              <w:rPr>
                <w:szCs w:val="20"/>
              </w:rPr>
              <w:t>88.9</w:t>
            </w:r>
          </w:p>
        </w:tc>
        <w:tc>
          <w:tcPr>
            <w:tcW w:w="1985" w:type="dxa"/>
            <w:tcBorders>
              <w:top w:val="single" w:sz="4" w:space="0" w:color="auto"/>
              <w:left w:val="single" w:sz="4" w:space="0" w:color="auto"/>
              <w:bottom w:val="single" w:sz="4" w:space="0" w:color="auto"/>
              <w:right w:val="single" w:sz="4" w:space="0" w:color="auto"/>
            </w:tcBorders>
          </w:tcPr>
          <w:p w14:paraId="14F3C17A" w14:textId="77777777" w:rsidR="00E27446" w:rsidRPr="005A0CEA" w:rsidRDefault="00E27446" w:rsidP="007C5F0E">
            <w:pPr>
              <w:pStyle w:val="TableText"/>
              <w:jc w:val="center"/>
              <w:rPr>
                <w:szCs w:val="20"/>
              </w:rPr>
            </w:pPr>
            <w:r w:rsidRPr="005A0CEA">
              <w:rPr>
                <w:szCs w:val="20"/>
              </w:rPr>
              <w:t>88.4</w:t>
            </w:r>
          </w:p>
        </w:tc>
      </w:tr>
      <w:tr w:rsidR="00E27446" w:rsidRPr="005A0CEA" w14:paraId="5DA86473"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75ED2305" w14:textId="77777777" w:rsidR="00E27446" w:rsidRPr="005A0CEA" w:rsidRDefault="00E27446" w:rsidP="007C5F0E">
            <w:pPr>
              <w:pStyle w:val="TableText"/>
              <w:ind w:left="284"/>
              <w:rPr>
                <w:szCs w:val="20"/>
              </w:rPr>
            </w:pPr>
            <w:r w:rsidRPr="005A0CEA">
              <w:rPr>
                <w:szCs w:val="20"/>
              </w:rPr>
              <w:t>Change from baseline</w:t>
            </w:r>
            <w:r w:rsidRPr="005A0CEA">
              <w:rPr>
                <w:szCs w:val="20"/>
                <w:vertAlign w:val="superscript"/>
              </w:rPr>
              <w:t>1</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65772C" w14:textId="77777777" w:rsidR="00E27446" w:rsidRPr="005A0CEA" w:rsidRDefault="00E27446" w:rsidP="007C5F0E">
            <w:pPr>
              <w:pStyle w:val="TableText"/>
              <w:jc w:val="center"/>
              <w:rPr>
                <w:rFonts w:eastAsia="PMingLiU"/>
                <w:szCs w:val="20"/>
              </w:rPr>
            </w:pPr>
            <w:r w:rsidRPr="005A0CEA">
              <w:rPr>
                <w:szCs w:val="20"/>
              </w:rPr>
              <w:t>−2.6</w:t>
            </w:r>
          </w:p>
        </w:tc>
        <w:tc>
          <w:tcPr>
            <w:tcW w:w="1985" w:type="dxa"/>
            <w:tcBorders>
              <w:top w:val="single" w:sz="4" w:space="0" w:color="auto"/>
              <w:left w:val="single" w:sz="4" w:space="0" w:color="auto"/>
              <w:bottom w:val="single" w:sz="4" w:space="0" w:color="auto"/>
              <w:right w:val="single" w:sz="4" w:space="0" w:color="auto"/>
            </w:tcBorders>
          </w:tcPr>
          <w:p w14:paraId="40998C4E" w14:textId="77777777" w:rsidR="00E27446" w:rsidRPr="005A0CEA" w:rsidRDefault="00E27446" w:rsidP="007C5F0E">
            <w:pPr>
              <w:pStyle w:val="TableText"/>
              <w:jc w:val="center"/>
              <w:rPr>
                <w:rFonts w:eastAsia="PMingLiU"/>
                <w:szCs w:val="20"/>
              </w:rPr>
            </w:pPr>
            <w:r w:rsidRPr="005A0CEA">
              <w:rPr>
                <w:szCs w:val="20"/>
              </w:rPr>
              <w:t>−0.7</w:t>
            </w:r>
          </w:p>
        </w:tc>
      </w:tr>
      <w:tr w:rsidR="00E27446" w:rsidRPr="005A0CEA" w14:paraId="53987AF3" w14:textId="77777777" w:rsidTr="00D038B0">
        <w:trPr>
          <w:trHeight w:val="251"/>
        </w:trPr>
        <w:tc>
          <w:tcPr>
            <w:tcW w:w="4531" w:type="dxa"/>
            <w:tcBorders>
              <w:top w:val="single" w:sz="4" w:space="0" w:color="auto"/>
              <w:left w:val="single" w:sz="4" w:space="0" w:color="auto"/>
              <w:bottom w:val="single" w:sz="4" w:space="0" w:color="auto"/>
              <w:right w:val="single" w:sz="4" w:space="0" w:color="auto"/>
            </w:tcBorders>
          </w:tcPr>
          <w:p w14:paraId="202280FF" w14:textId="77777777" w:rsidR="00E27446" w:rsidRPr="005A0CEA" w:rsidRDefault="00E27446" w:rsidP="007C5F0E">
            <w:pPr>
              <w:pStyle w:val="TableText"/>
              <w:ind w:left="284"/>
              <w:rPr>
                <w:szCs w:val="20"/>
              </w:rPr>
            </w:pPr>
            <w:r w:rsidRPr="005A0CEA">
              <w:rPr>
                <w:szCs w:val="20"/>
              </w:rPr>
              <w:t>Difference from sitagliptin</w:t>
            </w:r>
            <w:r w:rsidRPr="005A0CEA">
              <w:rPr>
                <w:szCs w:val="20"/>
                <w:vertAlign w:val="superscript"/>
              </w:rPr>
              <w:t>1</w:t>
            </w:r>
            <w:r w:rsidRPr="005A0CEA">
              <w:rPr>
                <w:szCs w:val="20"/>
              </w:rPr>
              <w:t xml:space="preserve"> [95% CI]</w:t>
            </w:r>
          </w:p>
        </w:tc>
        <w:tc>
          <w:tcPr>
            <w:tcW w:w="24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BB7BB8" w14:textId="77777777" w:rsidR="00E27446" w:rsidRPr="005A0CEA" w:rsidRDefault="00E27446" w:rsidP="007C5F0E">
            <w:pPr>
              <w:pStyle w:val="TableText"/>
              <w:jc w:val="center"/>
              <w:rPr>
                <w:rFonts w:eastAsia="PMingLiU"/>
                <w:szCs w:val="20"/>
              </w:rPr>
            </w:pPr>
            <w:r w:rsidRPr="005A0CEA">
              <w:rPr>
                <w:szCs w:val="20"/>
              </w:rPr>
              <w:t>−1.9 [−2.6; −1.</w:t>
            </w:r>
            <w:proofErr w:type="gramStart"/>
            <w:r w:rsidRPr="005A0CEA">
              <w:rPr>
                <w:szCs w:val="20"/>
              </w:rPr>
              <w:t>2]*</w:t>
            </w:r>
            <w:proofErr w:type="gramEnd"/>
          </w:p>
        </w:tc>
        <w:tc>
          <w:tcPr>
            <w:tcW w:w="1985" w:type="dxa"/>
            <w:tcBorders>
              <w:top w:val="single" w:sz="4" w:space="0" w:color="auto"/>
              <w:left w:val="single" w:sz="4" w:space="0" w:color="auto"/>
              <w:bottom w:val="single" w:sz="4" w:space="0" w:color="auto"/>
              <w:right w:val="single" w:sz="4" w:space="0" w:color="auto"/>
            </w:tcBorders>
          </w:tcPr>
          <w:p w14:paraId="41862DD1" w14:textId="77777777" w:rsidR="00E27446" w:rsidRPr="005A0CEA" w:rsidRDefault="00E27446" w:rsidP="007C5F0E">
            <w:pPr>
              <w:pStyle w:val="TableText"/>
              <w:jc w:val="center"/>
              <w:rPr>
                <w:rFonts w:eastAsia="PMingLiU"/>
                <w:szCs w:val="20"/>
              </w:rPr>
            </w:pPr>
            <w:r w:rsidRPr="005A0CEA">
              <w:rPr>
                <w:szCs w:val="20"/>
              </w:rPr>
              <w:t>-</w:t>
            </w:r>
          </w:p>
        </w:tc>
      </w:tr>
    </w:tbl>
    <w:p w14:paraId="4F4C8EC9" w14:textId="77777777" w:rsidR="003251FC" w:rsidRPr="005A0CEA" w:rsidRDefault="0082671E" w:rsidP="007C5F0E">
      <w:pPr>
        <w:ind w:left="142" w:hanging="142"/>
        <w:rPr>
          <w:sz w:val="18"/>
          <w:szCs w:val="18"/>
          <w:lang w:val="en-GB"/>
        </w:rPr>
      </w:pPr>
      <w:r w:rsidRPr="005A0CEA">
        <w:rPr>
          <w:sz w:val="18"/>
          <w:szCs w:val="18"/>
          <w:vertAlign w:val="superscript"/>
          <w:lang w:val="en-GB"/>
        </w:rPr>
        <w:t>1</w:t>
      </w:r>
      <w:r w:rsidRPr="005A0CEA">
        <w:rPr>
          <w:sz w:val="18"/>
          <w:szCs w:val="18"/>
          <w:lang w:val="en-GB"/>
        </w:rPr>
        <w:t xml:space="preserve"> </w:t>
      </w:r>
      <w:r w:rsidR="003251FC" w:rsidRPr="005A0CEA">
        <w:rPr>
          <w:sz w:val="18"/>
          <w:szCs w:val="18"/>
          <w:lang w:val="en-GB"/>
        </w:rPr>
        <w:t xml:space="preserve">Irrespective of treatment discontinuation (16.6% of the patients with semaglutide flexible dose and 9.2% with sitagliptin, where 8.7% and 4.0%, respectively, were due to AEs) or initiation of rescue medication (pattern mixture model using multiple imputation). </w:t>
      </w:r>
    </w:p>
    <w:p w14:paraId="0D5F8C83" w14:textId="656B413C" w:rsidR="00DB1E41" w:rsidRPr="005A0CEA" w:rsidRDefault="003251FC" w:rsidP="007C5F0E">
      <w:pPr>
        <w:ind w:left="142" w:hanging="142"/>
        <w:rPr>
          <w:sz w:val="18"/>
          <w:szCs w:val="18"/>
          <w:lang w:val="en-GB"/>
        </w:rPr>
      </w:pPr>
      <w:r w:rsidRPr="005A0CEA">
        <w:rPr>
          <w:sz w:val="18"/>
          <w:szCs w:val="18"/>
          <w:lang w:val="en-GB"/>
        </w:rPr>
        <w:t>* p&lt;0.001 (unadjusted 2-sided) for superiority, controlled for multiplicity (for ‘Patients achieving HbA</w:t>
      </w:r>
      <w:r w:rsidRPr="005A0CEA">
        <w:rPr>
          <w:sz w:val="18"/>
          <w:szCs w:val="18"/>
          <w:vertAlign w:val="subscript"/>
          <w:lang w:val="en-GB"/>
        </w:rPr>
        <w:t>1c</w:t>
      </w:r>
      <w:r w:rsidRPr="005A0CEA">
        <w:rPr>
          <w:sz w:val="18"/>
          <w:szCs w:val="18"/>
          <w:lang w:val="en-GB"/>
        </w:rPr>
        <w:t xml:space="preserve"> &lt;7.0%’, the p-value is for the odds ratio vs sitagliptin 100 mg).</w:t>
      </w:r>
    </w:p>
    <w:p w14:paraId="1AC286AF" w14:textId="3D73CFBF" w:rsidR="0082671E" w:rsidRPr="005A0CEA" w:rsidRDefault="0082671E" w:rsidP="007C5F0E">
      <w:pPr>
        <w:ind w:left="142" w:hanging="142"/>
        <w:rPr>
          <w:sz w:val="18"/>
          <w:szCs w:val="18"/>
          <w:lang w:val="en-GB"/>
        </w:rPr>
      </w:pPr>
    </w:p>
    <w:p w14:paraId="3A0EA2D6" w14:textId="00767E35" w:rsidR="00766E58" w:rsidRPr="005A0CEA" w:rsidRDefault="0082671E" w:rsidP="007C5F0E">
      <w:pPr>
        <w:pStyle w:val="Heading6"/>
        <w:rPr>
          <w:lang w:val="en-GB"/>
        </w:rPr>
      </w:pPr>
      <w:r w:rsidRPr="005A0CEA">
        <w:rPr>
          <w:lang w:val="en-GB"/>
        </w:rPr>
        <w:t xml:space="preserve">PIONEER 8 – Rybelsus vs. placebo, both in combination with insulin with </w:t>
      </w:r>
      <w:proofErr w:type="gramStart"/>
      <w:r w:rsidRPr="005A0CEA">
        <w:rPr>
          <w:lang w:val="en-GB"/>
        </w:rPr>
        <w:t>or</w:t>
      </w:r>
      <w:proofErr w:type="gramEnd"/>
      <w:r w:rsidRPr="005A0CEA">
        <w:rPr>
          <w:lang w:val="en-GB"/>
        </w:rPr>
        <w:t xml:space="preserve"> without metformin</w:t>
      </w:r>
    </w:p>
    <w:p w14:paraId="6B220193" w14:textId="5CD4730C" w:rsidR="00281494" w:rsidRPr="005A0CEA" w:rsidRDefault="00281494" w:rsidP="007C5F0E">
      <w:pPr>
        <w:rPr>
          <w:lang w:val="en-GB"/>
        </w:rPr>
      </w:pPr>
      <w:r w:rsidRPr="005A0CEA">
        <w:rPr>
          <w:lang w:val="en-GB"/>
        </w:rPr>
        <w:t>In a 52-week double-blind trial, 731 patients with type 2 diabetes inadequately controlled on insulin (basal, basal/bolus or premixed) with or without metformin were randomised to Rybelsus 3 mg, Rybelsus 7 mg, Rybelsus 14 mg or placebo once daily. All patients reduced their insulin dose by 20% at randomi</w:t>
      </w:r>
      <w:r w:rsidRPr="005A0CEA">
        <w:rPr>
          <w:i/>
          <w:iCs/>
          <w:lang w:val="en-GB"/>
        </w:rPr>
        <w:t>s</w:t>
      </w:r>
      <w:r w:rsidRPr="005A0CEA">
        <w:rPr>
          <w:lang w:val="en-GB"/>
        </w:rPr>
        <w:t xml:space="preserve">ation to reduce the risk of </w:t>
      </w:r>
      <w:proofErr w:type="spellStart"/>
      <w:r w:rsidRPr="005A0CEA">
        <w:rPr>
          <w:lang w:val="en-GB"/>
        </w:rPr>
        <w:t>hypoglycemia</w:t>
      </w:r>
      <w:proofErr w:type="spellEnd"/>
      <w:r w:rsidRPr="005A0CEA">
        <w:rPr>
          <w:lang w:val="en-GB"/>
        </w:rPr>
        <w:t>. For the first 26 weeks, patients were allowed to increase the insulin dose only up to the starting insulin dose prior to randomi</w:t>
      </w:r>
      <w:r w:rsidRPr="005A0CEA">
        <w:rPr>
          <w:i/>
          <w:iCs/>
          <w:lang w:val="en-GB"/>
        </w:rPr>
        <w:t>s</w:t>
      </w:r>
      <w:r w:rsidRPr="005A0CEA">
        <w:rPr>
          <w:lang w:val="en-GB"/>
        </w:rPr>
        <w:t>ation. After the 26 weeks, patients were allowed to adjust the insulin dose as needed. At randomi</w:t>
      </w:r>
      <w:r w:rsidRPr="005A0CEA">
        <w:rPr>
          <w:i/>
          <w:iCs/>
          <w:lang w:val="en-GB"/>
        </w:rPr>
        <w:t>s</w:t>
      </w:r>
      <w:r w:rsidRPr="005A0CEA">
        <w:rPr>
          <w:lang w:val="en-GB"/>
        </w:rPr>
        <w:t>ation, the total daily insulin dose were 55 U, 63 U, and 53 U for placebo, Rybelsus</w:t>
      </w:r>
      <w:r w:rsidRPr="005A0CEA">
        <w:rPr>
          <w:i/>
          <w:iCs/>
          <w:lang w:val="en-GB"/>
        </w:rPr>
        <w:t xml:space="preserve"> </w:t>
      </w:r>
      <w:r w:rsidRPr="005A0CEA">
        <w:rPr>
          <w:lang w:val="en-GB"/>
        </w:rPr>
        <w:t>7 mg and Rybelsus 14 mg, respectively.</w:t>
      </w:r>
    </w:p>
    <w:p w14:paraId="4AFFB811" w14:textId="77777777" w:rsidR="00281494" w:rsidRPr="005A0CEA" w:rsidRDefault="00281494" w:rsidP="007C5F0E">
      <w:pPr>
        <w:rPr>
          <w:lang w:val="en-GB"/>
        </w:rPr>
      </w:pPr>
    </w:p>
    <w:p w14:paraId="12A36774" w14:textId="5D4E6B40" w:rsidR="00281494" w:rsidRPr="005A0CEA" w:rsidRDefault="00281494" w:rsidP="007C5F0E">
      <w:pPr>
        <w:rPr>
          <w:lang w:val="en-GB"/>
        </w:rPr>
      </w:pPr>
      <w:r w:rsidRPr="005A0CEA">
        <w:rPr>
          <w:lang w:val="en-GB"/>
        </w:rPr>
        <w:t>The mean age of the trial population was 61 years, and the mean duration of type 2 diabetes was 15.0 years. Overall, 51% were White, 7% were Black or African American and 36% were Asian. Hispanic or Latino patients comprised 13% (n=97) of the population. The mean body weight at baseline was 86 kg.</w:t>
      </w:r>
    </w:p>
    <w:p w14:paraId="2E1874BF" w14:textId="77777777" w:rsidR="00281494" w:rsidRPr="005A0CEA" w:rsidRDefault="00281494" w:rsidP="007C5F0E">
      <w:pPr>
        <w:rPr>
          <w:lang w:val="en-GB"/>
        </w:rPr>
      </w:pPr>
    </w:p>
    <w:p w14:paraId="35E35966" w14:textId="24755E07" w:rsidR="0082671E" w:rsidRPr="005A0CEA" w:rsidRDefault="00281494" w:rsidP="007C5F0E">
      <w:pPr>
        <w:rPr>
          <w:lang w:val="en-GB"/>
        </w:rPr>
      </w:pPr>
      <w:r w:rsidRPr="005A0CEA">
        <w:rPr>
          <w:lang w:val="en-GB"/>
        </w:rPr>
        <w:t>Treatment with Rybelsus 7 mg and 14 mg once daily was superior in reducing HbA1c and body weight compared with placebo (Table 8)</w:t>
      </w:r>
      <w:r w:rsidR="0082671E" w:rsidRPr="005A0CEA">
        <w:rPr>
          <w:lang w:val="en-GB"/>
        </w:rPr>
        <w:t>.</w:t>
      </w:r>
    </w:p>
    <w:p w14:paraId="03686604" w14:textId="536AA2BF" w:rsidR="0082671E" w:rsidRPr="005A0CEA" w:rsidRDefault="0082671E" w:rsidP="007C5F0E">
      <w:pPr>
        <w:rPr>
          <w:lang w:val="en-GB"/>
        </w:rPr>
      </w:pPr>
    </w:p>
    <w:p w14:paraId="3CF25C84" w14:textId="46DCBB52" w:rsidR="003E3545" w:rsidRPr="005A0CEA" w:rsidRDefault="00690894" w:rsidP="00EC6639">
      <w:pPr>
        <w:keepNext/>
        <w:keepLines/>
        <w:rPr>
          <w:b/>
          <w:bCs/>
          <w:lang w:val="en-GB"/>
        </w:rPr>
      </w:pPr>
      <w:r w:rsidRPr="005A0CEA">
        <w:rPr>
          <w:b/>
          <w:bCs/>
          <w:lang w:val="en-GB"/>
        </w:rPr>
        <w:lastRenderedPageBreak/>
        <w:t xml:space="preserve">Table </w:t>
      </w:r>
      <w:r w:rsidRPr="005A0CEA">
        <w:rPr>
          <w:b/>
          <w:bCs/>
          <w:lang w:val="en-GB"/>
        </w:rPr>
        <w:fldChar w:fldCharType="begin"/>
      </w:r>
      <w:r w:rsidRPr="005A0CEA">
        <w:rPr>
          <w:b/>
          <w:bCs/>
          <w:lang w:val="en-GB"/>
        </w:rPr>
        <w:instrText xml:space="preserve"> SEQ Table \* ARABIC </w:instrText>
      </w:r>
      <w:r w:rsidRPr="005A0CEA">
        <w:rPr>
          <w:b/>
          <w:bCs/>
          <w:lang w:val="en-GB"/>
        </w:rPr>
        <w:fldChar w:fldCharType="separate"/>
      </w:r>
      <w:r w:rsidR="00A334F6">
        <w:rPr>
          <w:b/>
          <w:bCs/>
          <w:noProof/>
          <w:lang w:val="en-GB"/>
        </w:rPr>
        <w:t>9</w:t>
      </w:r>
      <w:r w:rsidRPr="005A0CEA">
        <w:rPr>
          <w:b/>
          <w:bCs/>
          <w:lang w:val="en-GB"/>
        </w:rPr>
        <w:fldChar w:fldCharType="end"/>
      </w:r>
      <w:r w:rsidRPr="005A0CEA">
        <w:rPr>
          <w:b/>
          <w:bCs/>
          <w:lang w:val="en-GB"/>
        </w:rPr>
        <w:t xml:space="preserve">: </w:t>
      </w:r>
      <w:r w:rsidR="003E3545" w:rsidRPr="005A0CEA">
        <w:rPr>
          <w:b/>
          <w:bCs/>
          <w:lang w:val="en-GB"/>
        </w:rPr>
        <w:t xml:space="preserve">Results </w:t>
      </w:r>
      <w:r w:rsidR="00281494" w:rsidRPr="005A0CEA">
        <w:rPr>
          <w:b/>
          <w:bCs/>
          <w:lang w:val="en-GB"/>
        </w:rPr>
        <w:t xml:space="preserve">of a </w:t>
      </w:r>
      <w:proofErr w:type="gramStart"/>
      <w:r w:rsidR="00281494" w:rsidRPr="005A0CEA">
        <w:rPr>
          <w:b/>
          <w:bCs/>
          <w:lang w:val="en-GB"/>
        </w:rPr>
        <w:t>52 week</w:t>
      </w:r>
      <w:proofErr w:type="gramEnd"/>
      <w:r w:rsidR="00281494" w:rsidRPr="005A0CEA">
        <w:rPr>
          <w:b/>
          <w:bCs/>
          <w:lang w:val="en-GB"/>
        </w:rPr>
        <w:t xml:space="preserve"> trial comparing semaglutide with placebo in combination with insulin</w:t>
      </w:r>
      <w:r w:rsidR="003E3545" w:rsidRPr="005A0CEA">
        <w:rPr>
          <w:b/>
          <w:bCs/>
          <w:lang w:val="en-GB"/>
        </w:rPr>
        <w:t xml:space="preserve"> (PIONEER 8)</w:t>
      </w:r>
    </w:p>
    <w:tbl>
      <w:tblPr>
        <w:tblW w:w="9209"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248"/>
        <w:gridCol w:w="1984"/>
        <w:gridCol w:w="1985"/>
        <w:gridCol w:w="992"/>
      </w:tblGrid>
      <w:tr w:rsidR="00281494" w:rsidRPr="005A0CEA" w14:paraId="7827C478" w14:textId="77777777" w:rsidTr="00D038B0">
        <w:trPr>
          <w:trHeight w:val="487"/>
        </w:trPr>
        <w:tc>
          <w:tcPr>
            <w:tcW w:w="4248" w:type="dxa"/>
            <w:tcBorders>
              <w:top w:val="single" w:sz="4" w:space="0" w:color="auto"/>
              <w:left w:val="single" w:sz="4" w:space="0" w:color="auto"/>
              <w:bottom w:val="single" w:sz="4" w:space="0" w:color="auto"/>
              <w:right w:val="single" w:sz="4" w:space="0" w:color="auto"/>
            </w:tcBorders>
          </w:tcPr>
          <w:p w14:paraId="0B2AB0DD" w14:textId="77777777" w:rsidR="00281494" w:rsidRPr="005A0CEA" w:rsidRDefault="00281494" w:rsidP="00EC6639">
            <w:pPr>
              <w:pStyle w:val="TableText"/>
              <w:jc w:val="center"/>
              <w:rPr>
                <w:rFonts w:asciiTheme="majorBidi" w:hAnsiTheme="majorBidi" w:cstheme="majorBidi"/>
                <w:szCs w:val="20"/>
              </w:rPr>
            </w:pPr>
          </w:p>
        </w:tc>
        <w:tc>
          <w:tcPr>
            <w:tcW w:w="1984" w:type="dxa"/>
            <w:tcBorders>
              <w:top w:val="single" w:sz="4" w:space="0" w:color="auto"/>
              <w:left w:val="single" w:sz="4" w:space="0" w:color="auto"/>
              <w:bottom w:val="single" w:sz="4" w:space="0" w:color="auto"/>
              <w:right w:val="single" w:sz="4" w:space="0" w:color="auto"/>
            </w:tcBorders>
          </w:tcPr>
          <w:p w14:paraId="7FCFB252" w14:textId="77777777" w:rsidR="00281494" w:rsidRPr="005A0CEA" w:rsidRDefault="00281494" w:rsidP="00EC6639">
            <w:pPr>
              <w:pStyle w:val="TableText"/>
              <w:jc w:val="center"/>
              <w:rPr>
                <w:rFonts w:asciiTheme="majorBidi" w:hAnsiTheme="majorBidi" w:cstheme="majorBidi"/>
                <w:b/>
                <w:szCs w:val="20"/>
              </w:rPr>
            </w:pPr>
            <w:r w:rsidRPr="005A0CEA">
              <w:rPr>
                <w:rFonts w:asciiTheme="majorBidi" w:hAnsiTheme="majorBidi" w:cstheme="majorBidi"/>
                <w:b/>
                <w:szCs w:val="20"/>
              </w:rPr>
              <w:t>Rybelsus</w:t>
            </w:r>
            <w:r w:rsidRPr="005A0CEA">
              <w:rPr>
                <w:rFonts w:asciiTheme="majorBidi" w:hAnsiTheme="majorBidi" w:cstheme="majorBidi"/>
                <w:b/>
                <w:szCs w:val="20"/>
                <w:vertAlign w:val="superscript"/>
              </w:rPr>
              <w:t>®</w:t>
            </w:r>
          </w:p>
          <w:p w14:paraId="5DF90227" w14:textId="77777777" w:rsidR="00281494" w:rsidRPr="005A0CEA" w:rsidRDefault="00281494" w:rsidP="00EC6639">
            <w:pPr>
              <w:pStyle w:val="TableText"/>
              <w:jc w:val="center"/>
              <w:rPr>
                <w:rFonts w:asciiTheme="majorBidi" w:hAnsiTheme="majorBidi" w:cstheme="majorBidi"/>
                <w:b/>
                <w:szCs w:val="20"/>
              </w:rPr>
            </w:pPr>
            <w:r w:rsidRPr="005A0CEA">
              <w:rPr>
                <w:rFonts w:asciiTheme="majorBidi" w:hAnsiTheme="majorBidi" w:cstheme="majorBidi"/>
                <w:b/>
                <w:szCs w:val="20"/>
              </w:rPr>
              <w:t>7 mg</w:t>
            </w:r>
          </w:p>
        </w:tc>
        <w:tc>
          <w:tcPr>
            <w:tcW w:w="1985" w:type="dxa"/>
            <w:tcBorders>
              <w:top w:val="single" w:sz="4" w:space="0" w:color="auto"/>
              <w:left w:val="single" w:sz="4" w:space="0" w:color="auto"/>
              <w:bottom w:val="single" w:sz="4" w:space="0" w:color="auto"/>
              <w:right w:val="single" w:sz="4" w:space="0" w:color="auto"/>
            </w:tcBorders>
          </w:tcPr>
          <w:p w14:paraId="34D47081" w14:textId="77777777" w:rsidR="00281494" w:rsidRPr="005A0CEA" w:rsidRDefault="00281494" w:rsidP="00EC6639">
            <w:pPr>
              <w:pStyle w:val="TableText"/>
              <w:jc w:val="center"/>
              <w:rPr>
                <w:rFonts w:asciiTheme="majorBidi" w:hAnsiTheme="majorBidi" w:cstheme="majorBidi"/>
                <w:b/>
                <w:szCs w:val="20"/>
              </w:rPr>
            </w:pPr>
            <w:r w:rsidRPr="005A0CEA">
              <w:rPr>
                <w:rFonts w:asciiTheme="majorBidi" w:hAnsiTheme="majorBidi" w:cstheme="majorBidi"/>
                <w:b/>
                <w:szCs w:val="20"/>
              </w:rPr>
              <w:t>Rybelsus</w:t>
            </w:r>
            <w:r w:rsidRPr="005A0CEA">
              <w:rPr>
                <w:rFonts w:asciiTheme="majorBidi" w:hAnsiTheme="majorBidi" w:cstheme="majorBidi"/>
                <w:b/>
                <w:szCs w:val="20"/>
                <w:vertAlign w:val="superscript"/>
              </w:rPr>
              <w:t>®</w:t>
            </w:r>
          </w:p>
          <w:p w14:paraId="54ECD2A3" w14:textId="77777777" w:rsidR="00281494" w:rsidRPr="005A0CEA" w:rsidRDefault="00281494" w:rsidP="00EC6639">
            <w:pPr>
              <w:pStyle w:val="TableText"/>
              <w:jc w:val="center"/>
              <w:rPr>
                <w:rFonts w:asciiTheme="majorBidi" w:hAnsiTheme="majorBidi" w:cstheme="majorBidi"/>
                <w:szCs w:val="20"/>
              </w:rPr>
            </w:pPr>
            <w:r w:rsidRPr="005A0CEA">
              <w:rPr>
                <w:rFonts w:asciiTheme="majorBidi" w:hAnsiTheme="majorBidi" w:cstheme="majorBidi"/>
                <w:b/>
                <w:szCs w:val="20"/>
              </w:rPr>
              <w:t>14 mg</w:t>
            </w:r>
          </w:p>
        </w:tc>
        <w:tc>
          <w:tcPr>
            <w:tcW w:w="992" w:type="dxa"/>
            <w:tcBorders>
              <w:top w:val="single" w:sz="4" w:space="0" w:color="auto"/>
              <w:left w:val="single" w:sz="4" w:space="0" w:color="auto"/>
              <w:bottom w:val="single" w:sz="4" w:space="0" w:color="auto"/>
              <w:right w:val="single" w:sz="4" w:space="0" w:color="auto"/>
            </w:tcBorders>
          </w:tcPr>
          <w:p w14:paraId="1C59A5E3" w14:textId="77777777" w:rsidR="00281494" w:rsidRPr="005A0CEA" w:rsidRDefault="00281494" w:rsidP="00EC6639">
            <w:pPr>
              <w:pStyle w:val="TableText"/>
              <w:jc w:val="center"/>
              <w:rPr>
                <w:rFonts w:asciiTheme="majorBidi" w:hAnsiTheme="majorBidi" w:cstheme="majorBidi"/>
                <w:szCs w:val="20"/>
              </w:rPr>
            </w:pPr>
            <w:r w:rsidRPr="005A0CEA">
              <w:rPr>
                <w:rFonts w:asciiTheme="majorBidi" w:hAnsiTheme="majorBidi" w:cstheme="majorBidi"/>
                <w:b/>
                <w:szCs w:val="20"/>
              </w:rPr>
              <w:t>Placebo</w:t>
            </w:r>
          </w:p>
          <w:p w14:paraId="363DB3CE" w14:textId="77777777" w:rsidR="00281494" w:rsidRPr="005A0CEA" w:rsidRDefault="00281494" w:rsidP="00EC6639">
            <w:pPr>
              <w:pStyle w:val="TableText"/>
              <w:jc w:val="center"/>
              <w:rPr>
                <w:rFonts w:asciiTheme="majorBidi" w:hAnsiTheme="majorBidi" w:cstheme="majorBidi"/>
                <w:b/>
                <w:szCs w:val="20"/>
              </w:rPr>
            </w:pPr>
          </w:p>
        </w:tc>
      </w:tr>
      <w:tr w:rsidR="00281494" w:rsidRPr="005A0CEA" w14:paraId="1FB08E54"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28A9193F" w14:textId="77777777" w:rsidR="00281494" w:rsidRPr="005A0CEA" w:rsidRDefault="00281494" w:rsidP="00EC6639">
            <w:pPr>
              <w:pStyle w:val="TableText"/>
              <w:rPr>
                <w:rFonts w:asciiTheme="majorBidi" w:hAnsiTheme="majorBidi" w:cstheme="majorBidi"/>
                <w:szCs w:val="20"/>
              </w:rPr>
            </w:pPr>
            <w:r w:rsidRPr="005A0CEA">
              <w:rPr>
                <w:rFonts w:asciiTheme="majorBidi" w:hAnsiTheme="majorBidi" w:cstheme="majorBidi"/>
                <w:szCs w:val="20"/>
              </w:rPr>
              <w:t>Full analysis set (N)</w:t>
            </w:r>
          </w:p>
        </w:tc>
        <w:tc>
          <w:tcPr>
            <w:tcW w:w="1984" w:type="dxa"/>
            <w:tcBorders>
              <w:top w:val="single" w:sz="4" w:space="0" w:color="auto"/>
              <w:left w:val="single" w:sz="4" w:space="0" w:color="auto"/>
              <w:bottom w:val="single" w:sz="4" w:space="0" w:color="auto"/>
              <w:right w:val="single" w:sz="4" w:space="0" w:color="auto"/>
            </w:tcBorders>
          </w:tcPr>
          <w:p w14:paraId="7A3A3DDB" w14:textId="77777777" w:rsidR="00281494" w:rsidRPr="005A0CEA" w:rsidRDefault="00281494" w:rsidP="00EC6639">
            <w:pPr>
              <w:pStyle w:val="TableText"/>
              <w:jc w:val="center"/>
              <w:rPr>
                <w:rFonts w:asciiTheme="majorBidi" w:hAnsiTheme="majorBidi" w:cstheme="majorBidi"/>
                <w:szCs w:val="20"/>
              </w:rPr>
            </w:pPr>
            <w:r w:rsidRPr="005A0CEA">
              <w:rPr>
                <w:rFonts w:asciiTheme="majorBidi" w:hAnsiTheme="majorBidi" w:cstheme="majorBidi"/>
                <w:szCs w:val="20"/>
              </w:rPr>
              <w:t>182</w:t>
            </w:r>
          </w:p>
        </w:tc>
        <w:tc>
          <w:tcPr>
            <w:tcW w:w="1985" w:type="dxa"/>
            <w:tcBorders>
              <w:top w:val="single" w:sz="4" w:space="0" w:color="auto"/>
              <w:left w:val="single" w:sz="4" w:space="0" w:color="auto"/>
              <w:bottom w:val="single" w:sz="4" w:space="0" w:color="auto"/>
              <w:right w:val="single" w:sz="4" w:space="0" w:color="auto"/>
            </w:tcBorders>
          </w:tcPr>
          <w:p w14:paraId="2763EEB3" w14:textId="77777777" w:rsidR="00281494" w:rsidRPr="005A0CEA" w:rsidRDefault="00281494" w:rsidP="00EC6639">
            <w:pPr>
              <w:pStyle w:val="TableText"/>
              <w:jc w:val="center"/>
              <w:rPr>
                <w:rFonts w:asciiTheme="majorBidi" w:hAnsiTheme="majorBidi" w:cstheme="majorBidi"/>
                <w:szCs w:val="20"/>
              </w:rPr>
            </w:pPr>
            <w:r w:rsidRPr="005A0CEA">
              <w:rPr>
                <w:rFonts w:asciiTheme="majorBidi" w:hAnsiTheme="majorBidi" w:cstheme="majorBidi"/>
                <w:szCs w:val="20"/>
              </w:rPr>
              <w:t>181</w:t>
            </w:r>
          </w:p>
        </w:tc>
        <w:tc>
          <w:tcPr>
            <w:tcW w:w="992" w:type="dxa"/>
            <w:tcBorders>
              <w:top w:val="single" w:sz="4" w:space="0" w:color="auto"/>
              <w:left w:val="single" w:sz="4" w:space="0" w:color="auto"/>
              <w:bottom w:val="single" w:sz="4" w:space="0" w:color="auto"/>
              <w:right w:val="single" w:sz="4" w:space="0" w:color="auto"/>
            </w:tcBorders>
          </w:tcPr>
          <w:p w14:paraId="3FC9117C" w14:textId="77777777" w:rsidR="00281494" w:rsidRPr="005A0CEA" w:rsidRDefault="00281494" w:rsidP="00EC6639">
            <w:pPr>
              <w:pStyle w:val="TableText"/>
              <w:jc w:val="center"/>
              <w:rPr>
                <w:rFonts w:asciiTheme="majorBidi" w:hAnsiTheme="majorBidi" w:cstheme="majorBidi"/>
                <w:szCs w:val="20"/>
              </w:rPr>
            </w:pPr>
            <w:r w:rsidRPr="005A0CEA">
              <w:rPr>
                <w:rFonts w:asciiTheme="majorBidi" w:hAnsiTheme="majorBidi" w:cstheme="majorBidi"/>
                <w:szCs w:val="20"/>
              </w:rPr>
              <w:t>184</w:t>
            </w:r>
          </w:p>
        </w:tc>
      </w:tr>
      <w:tr w:rsidR="00281494" w:rsidRPr="005A0CEA" w14:paraId="4D53AC17" w14:textId="77777777" w:rsidTr="00D038B0">
        <w:trPr>
          <w:trHeight w:val="253"/>
        </w:trPr>
        <w:tc>
          <w:tcPr>
            <w:tcW w:w="4248" w:type="dxa"/>
            <w:tcBorders>
              <w:top w:val="single" w:sz="4" w:space="0" w:color="auto"/>
              <w:left w:val="single" w:sz="4" w:space="0" w:color="auto"/>
              <w:bottom w:val="single" w:sz="4" w:space="0" w:color="auto"/>
              <w:right w:val="nil"/>
            </w:tcBorders>
          </w:tcPr>
          <w:p w14:paraId="5350DC8B" w14:textId="77777777" w:rsidR="00281494" w:rsidRPr="005A0CEA" w:rsidRDefault="00281494" w:rsidP="00EC6639">
            <w:pPr>
              <w:pStyle w:val="TableText"/>
              <w:rPr>
                <w:rFonts w:asciiTheme="majorBidi" w:eastAsia="PMingLiU" w:hAnsiTheme="majorBidi" w:cstheme="majorBidi"/>
                <w:szCs w:val="20"/>
                <w:lang w:eastAsia="zh-TW"/>
              </w:rPr>
            </w:pPr>
            <w:r w:rsidRPr="005A0CEA">
              <w:rPr>
                <w:rFonts w:asciiTheme="majorBidi" w:hAnsiTheme="majorBidi" w:cstheme="majorBidi"/>
                <w:b/>
                <w:bCs/>
                <w:szCs w:val="20"/>
              </w:rPr>
              <w:t>Week 26 (insulin dose capped to baseline level)</w:t>
            </w:r>
          </w:p>
        </w:tc>
        <w:tc>
          <w:tcPr>
            <w:tcW w:w="1984" w:type="dxa"/>
            <w:tcBorders>
              <w:top w:val="single" w:sz="4" w:space="0" w:color="auto"/>
              <w:left w:val="nil"/>
              <w:bottom w:val="single" w:sz="4" w:space="0" w:color="auto"/>
              <w:right w:val="nil"/>
            </w:tcBorders>
          </w:tcPr>
          <w:p w14:paraId="6029AAE5" w14:textId="77777777" w:rsidR="00281494" w:rsidRPr="005A0CEA" w:rsidRDefault="00281494" w:rsidP="00EC6639">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398DEA55" w14:textId="77777777" w:rsidR="00281494" w:rsidRPr="005A0CEA" w:rsidRDefault="00281494" w:rsidP="00EC6639">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1463A23D" w14:textId="77777777" w:rsidR="00281494" w:rsidRPr="005A0CEA" w:rsidRDefault="00281494" w:rsidP="00EC6639">
            <w:pPr>
              <w:pStyle w:val="TableText"/>
              <w:jc w:val="center"/>
              <w:rPr>
                <w:rFonts w:asciiTheme="majorBidi" w:hAnsiTheme="majorBidi" w:cstheme="majorBidi"/>
                <w:szCs w:val="20"/>
              </w:rPr>
            </w:pPr>
          </w:p>
        </w:tc>
      </w:tr>
      <w:tr w:rsidR="00281494" w:rsidRPr="005A0CEA" w14:paraId="1C85C5D5" w14:textId="77777777" w:rsidTr="00D038B0">
        <w:trPr>
          <w:trHeight w:val="253"/>
        </w:trPr>
        <w:tc>
          <w:tcPr>
            <w:tcW w:w="4248" w:type="dxa"/>
            <w:tcBorders>
              <w:top w:val="single" w:sz="4" w:space="0" w:color="auto"/>
              <w:left w:val="single" w:sz="4" w:space="0" w:color="auto"/>
              <w:bottom w:val="single" w:sz="4" w:space="0" w:color="auto"/>
              <w:right w:val="nil"/>
            </w:tcBorders>
          </w:tcPr>
          <w:p w14:paraId="1DFDD576" w14:textId="2BE38149" w:rsidR="00281494" w:rsidRPr="005A0CEA" w:rsidRDefault="00281494" w:rsidP="00EC6639">
            <w:pPr>
              <w:pStyle w:val="TableText"/>
              <w:ind w:left="284"/>
              <w:rPr>
                <w:rFonts w:asciiTheme="majorBidi" w:eastAsia="PMingLiU" w:hAnsiTheme="majorBidi" w:cstheme="majorBidi"/>
                <w:szCs w:val="20"/>
                <w:lang w:eastAsia="zh-TW"/>
              </w:rPr>
            </w:pPr>
            <w:r w:rsidRPr="005A0CEA">
              <w:rPr>
                <w:rFonts w:asciiTheme="majorBidi" w:hAnsiTheme="majorBidi" w:cstheme="majorBidi"/>
                <w:b/>
                <w:bCs/>
                <w:szCs w:val="20"/>
              </w:rPr>
              <w:t>HbA</w:t>
            </w:r>
            <w:r w:rsidRPr="005A0CEA">
              <w:rPr>
                <w:rFonts w:asciiTheme="majorBidi" w:hAnsiTheme="majorBidi" w:cstheme="majorBidi"/>
                <w:b/>
                <w:bCs/>
                <w:szCs w:val="20"/>
                <w:vertAlign w:val="subscript"/>
              </w:rPr>
              <w:t xml:space="preserve">1c </w:t>
            </w:r>
            <w:r w:rsidRPr="005A0CEA">
              <w:rPr>
                <w:rFonts w:asciiTheme="majorBidi" w:hAnsiTheme="majorBidi" w:cstheme="majorBidi"/>
                <w:b/>
                <w:bCs/>
                <w:szCs w:val="20"/>
              </w:rPr>
              <w:t xml:space="preserve">(%) </w:t>
            </w:r>
          </w:p>
        </w:tc>
        <w:tc>
          <w:tcPr>
            <w:tcW w:w="1984" w:type="dxa"/>
            <w:tcBorders>
              <w:top w:val="single" w:sz="4" w:space="0" w:color="auto"/>
              <w:left w:val="nil"/>
              <w:bottom w:val="single" w:sz="4" w:space="0" w:color="auto"/>
              <w:right w:val="nil"/>
            </w:tcBorders>
          </w:tcPr>
          <w:p w14:paraId="2DF2C0F2" w14:textId="77777777" w:rsidR="00281494" w:rsidRPr="005A0CEA" w:rsidRDefault="00281494" w:rsidP="00EC6639">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54E0DCC7" w14:textId="77777777" w:rsidR="00281494" w:rsidRPr="005A0CEA" w:rsidRDefault="00281494" w:rsidP="00EC6639">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5182A877" w14:textId="77777777" w:rsidR="00281494" w:rsidRPr="005A0CEA" w:rsidRDefault="00281494" w:rsidP="00EC6639">
            <w:pPr>
              <w:pStyle w:val="TableText"/>
              <w:jc w:val="center"/>
              <w:rPr>
                <w:rFonts w:asciiTheme="majorBidi" w:hAnsiTheme="majorBidi" w:cstheme="majorBidi"/>
                <w:szCs w:val="20"/>
              </w:rPr>
            </w:pPr>
          </w:p>
        </w:tc>
      </w:tr>
      <w:tr w:rsidR="00281494" w:rsidRPr="005A0CEA" w14:paraId="2E85253D"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530345BC"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1984" w:type="dxa"/>
            <w:tcBorders>
              <w:top w:val="single" w:sz="4" w:space="0" w:color="auto"/>
              <w:left w:val="single" w:sz="4" w:space="0" w:color="auto"/>
              <w:bottom w:val="single" w:sz="4" w:space="0" w:color="auto"/>
              <w:right w:val="single" w:sz="4" w:space="0" w:color="auto"/>
            </w:tcBorders>
          </w:tcPr>
          <w:p w14:paraId="3F971078"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8.2</w:t>
            </w:r>
          </w:p>
        </w:tc>
        <w:tc>
          <w:tcPr>
            <w:tcW w:w="1985" w:type="dxa"/>
            <w:tcBorders>
              <w:top w:val="single" w:sz="4" w:space="0" w:color="auto"/>
              <w:left w:val="single" w:sz="4" w:space="0" w:color="auto"/>
              <w:bottom w:val="single" w:sz="4" w:space="0" w:color="auto"/>
              <w:right w:val="single" w:sz="4" w:space="0" w:color="auto"/>
            </w:tcBorders>
          </w:tcPr>
          <w:p w14:paraId="215F96E6"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8.2</w:t>
            </w:r>
          </w:p>
        </w:tc>
        <w:tc>
          <w:tcPr>
            <w:tcW w:w="992" w:type="dxa"/>
            <w:tcBorders>
              <w:top w:val="single" w:sz="4" w:space="0" w:color="auto"/>
              <w:left w:val="single" w:sz="4" w:space="0" w:color="auto"/>
              <w:bottom w:val="single" w:sz="4" w:space="0" w:color="auto"/>
              <w:right w:val="single" w:sz="4" w:space="0" w:color="auto"/>
            </w:tcBorders>
          </w:tcPr>
          <w:p w14:paraId="6B2CBE15"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8.2</w:t>
            </w:r>
          </w:p>
        </w:tc>
      </w:tr>
      <w:tr w:rsidR="00281494" w:rsidRPr="005A0CEA" w14:paraId="3E15CCCC"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44F26782"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984" w:type="dxa"/>
            <w:tcBorders>
              <w:top w:val="single" w:sz="4" w:space="0" w:color="auto"/>
              <w:left w:val="single" w:sz="4" w:space="0" w:color="auto"/>
              <w:bottom w:val="single" w:sz="4" w:space="0" w:color="auto"/>
              <w:right w:val="single" w:sz="4" w:space="0" w:color="auto"/>
            </w:tcBorders>
          </w:tcPr>
          <w:p w14:paraId="2279B19B"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−0.9</w:t>
            </w:r>
          </w:p>
        </w:tc>
        <w:tc>
          <w:tcPr>
            <w:tcW w:w="1985" w:type="dxa"/>
            <w:tcBorders>
              <w:top w:val="single" w:sz="4" w:space="0" w:color="auto"/>
              <w:left w:val="single" w:sz="4" w:space="0" w:color="auto"/>
              <w:bottom w:val="single" w:sz="4" w:space="0" w:color="auto"/>
              <w:right w:val="single" w:sz="4" w:space="0" w:color="auto"/>
            </w:tcBorders>
          </w:tcPr>
          <w:p w14:paraId="319F56CF"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−1.3</w:t>
            </w:r>
          </w:p>
        </w:tc>
        <w:tc>
          <w:tcPr>
            <w:tcW w:w="992" w:type="dxa"/>
            <w:tcBorders>
              <w:top w:val="single" w:sz="4" w:space="0" w:color="auto"/>
              <w:left w:val="single" w:sz="4" w:space="0" w:color="auto"/>
              <w:bottom w:val="single" w:sz="4" w:space="0" w:color="auto"/>
              <w:right w:val="single" w:sz="4" w:space="0" w:color="auto"/>
            </w:tcBorders>
          </w:tcPr>
          <w:p w14:paraId="48D21253" w14:textId="77777777" w:rsidR="00281494" w:rsidRPr="005A0CEA" w:rsidRDefault="00281494" w:rsidP="007C5F0E">
            <w:pPr>
              <w:pStyle w:val="TableText"/>
              <w:jc w:val="center"/>
              <w:rPr>
                <w:rFonts w:asciiTheme="majorBidi" w:eastAsia="PMingLiU" w:hAnsiTheme="majorBidi" w:cstheme="majorBidi"/>
                <w:szCs w:val="20"/>
                <w:lang w:eastAsia="zh-TW"/>
              </w:rPr>
            </w:pPr>
            <w:r w:rsidRPr="005A0CEA">
              <w:rPr>
                <w:rFonts w:asciiTheme="majorBidi" w:hAnsiTheme="majorBidi" w:cstheme="majorBidi"/>
                <w:szCs w:val="20"/>
              </w:rPr>
              <w:t>−0.1</w:t>
            </w:r>
          </w:p>
        </w:tc>
      </w:tr>
      <w:tr w:rsidR="00281494" w:rsidRPr="005A0CEA" w14:paraId="4D8AA836"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655E955C"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 xml:space="preserve">1 </w:t>
            </w:r>
            <w:r w:rsidRPr="005A0CEA">
              <w:rPr>
                <w:rFonts w:asciiTheme="majorBidi" w:hAnsiTheme="majorBidi" w:cstheme="majorBidi"/>
                <w:szCs w:val="20"/>
              </w:rPr>
              <w:t>[95% CI]</w:t>
            </w:r>
          </w:p>
        </w:tc>
        <w:tc>
          <w:tcPr>
            <w:tcW w:w="1984" w:type="dxa"/>
            <w:tcBorders>
              <w:top w:val="single" w:sz="4" w:space="0" w:color="auto"/>
              <w:left w:val="single" w:sz="4" w:space="0" w:color="auto"/>
              <w:bottom w:val="single" w:sz="4" w:space="0" w:color="auto"/>
              <w:right w:val="single" w:sz="4" w:space="0" w:color="auto"/>
            </w:tcBorders>
          </w:tcPr>
          <w:p w14:paraId="7894CFCC"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−0.9 [−1.1; −0.</w:t>
            </w:r>
            <w:proofErr w:type="gramStart"/>
            <w:r w:rsidRPr="005A0CEA">
              <w:rPr>
                <w:rFonts w:asciiTheme="majorBidi" w:hAnsiTheme="majorBidi" w:cstheme="majorBidi"/>
                <w:szCs w:val="20"/>
              </w:rPr>
              <w:t>7]*</w:t>
            </w:r>
            <w:proofErr w:type="gramEnd"/>
          </w:p>
        </w:tc>
        <w:tc>
          <w:tcPr>
            <w:tcW w:w="1985" w:type="dxa"/>
            <w:tcBorders>
              <w:top w:val="single" w:sz="4" w:space="0" w:color="auto"/>
              <w:left w:val="single" w:sz="4" w:space="0" w:color="auto"/>
              <w:bottom w:val="single" w:sz="4" w:space="0" w:color="auto"/>
              <w:right w:val="single" w:sz="4" w:space="0" w:color="auto"/>
            </w:tcBorders>
          </w:tcPr>
          <w:p w14:paraId="7FF4BC18"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−1.2 [−1.4; −1.</w:t>
            </w:r>
            <w:proofErr w:type="gramStart"/>
            <w:r w:rsidRPr="005A0CEA">
              <w:rPr>
                <w:rFonts w:asciiTheme="majorBidi" w:hAnsiTheme="majorBidi" w:cstheme="majorBidi"/>
                <w:szCs w:val="20"/>
              </w:rPr>
              <w:t>0]*</w:t>
            </w:r>
            <w:proofErr w:type="gramEnd"/>
          </w:p>
        </w:tc>
        <w:tc>
          <w:tcPr>
            <w:tcW w:w="992" w:type="dxa"/>
            <w:tcBorders>
              <w:top w:val="single" w:sz="4" w:space="0" w:color="auto"/>
              <w:left w:val="single" w:sz="4" w:space="0" w:color="auto"/>
              <w:bottom w:val="single" w:sz="4" w:space="0" w:color="auto"/>
              <w:right w:val="single" w:sz="4" w:space="0" w:color="auto"/>
            </w:tcBorders>
          </w:tcPr>
          <w:p w14:paraId="6AE0CFA4"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281494" w:rsidRPr="005A0CEA" w14:paraId="186711B4"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5B63ED2B" w14:textId="51E3A855" w:rsidR="00281494" w:rsidRPr="005A0CEA" w:rsidRDefault="00281494" w:rsidP="007C5F0E">
            <w:pPr>
              <w:pStyle w:val="TableText"/>
              <w:ind w:left="285"/>
              <w:rPr>
                <w:rFonts w:asciiTheme="majorBidi" w:eastAsia="PMingLiU" w:hAnsiTheme="majorBidi" w:cstheme="majorBidi"/>
                <w:szCs w:val="20"/>
                <w:lang w:eastAsia="zh-TW"/>
              </w:rPr>
            </w:pPr>
            <w:r w:rsidRPr="005A0CEA">
              <w:rPr>
                <w:rFonts w:asciiTheme="majorBidi" w:hAnsiTheme="majorBidi" w:cstheme="majorBidi"/>
                <w:b/>
                <w:bCs/>
                <w:szCs w:val="20"/>
              </w:rPr>
              <w:t>Patients (%) achieving HbA</w:t>
            </w:r>
            <w:r w:rsidRPr="005A0CEA">
              <w:rPr>
                <w:rFonts w:asciiTheme="majorBidi" w:hAnsiTheme="majorBidi" w:cstheme="majorBidi"/>
                <w:b/>
                <w:bCs/>
                <w:szCs w:val="20"/>
                <w:vertAlign w:val="subscript"/>
              </w:rPr>
              <w:t>1c</w:t>
            </w:r>
            <w:r w:rsidRPr="005A0CEA">
              <w:rPr>
                <w:rFonts w:asciiTheme="majorBidi" w:hAnsiTheme="majorBidi" w:cstheme="majorBidi"/>
                <w:b/>
                <w:bCs/>
                <w:szCs w:val="20"/>
              </w:rPr>
              <w:t xml:space="preserve"> &lt;7.0%</w:t>
            </w:r>
          </w:p>
        </w:tc>
        <w:tc>
          <w:tcPr>
            <w:tcW w:w="1984" w:type="dxa"/>
            <w:tcBorders>
              <w:top w:val="single" w:sz="4" w:space="0" w:color="auto"/>
              <w:left w:val="single" w:sz="4" w:space="0" w:color="auto"/>
              <w:bottom w:val="single" w:sz="4" w:space="0" w:color="auto"/>
              <w:right w:val="single" w:sz="4" w:space="0" w:color="auto"/>
            </w:tcBorders>
          </w:tcPr>
          <w:p w14:paraId="238E6463"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43</w:t>
            </w:r>
            <w:r w:rsidRPr="005A0CEA">
              <w:rPr>
                <w:rFonts w:asciiTheme="majorBidi" w:hAnsiTheme="majorBidi" w:cstheme="majorBidi"/>
                <w:szCs w:val="20"/>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28ADF4AC"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58</w:t>
            </w:r>
            <w:r w:rsidRPr="005A0CEA">
              <w:rPr>
                <w:rFonts w:asciiTheme="majorBidi" w:hAnsiTheme="majorBidi" w:cstheme="majorBidi"/>
                <w:szCs w:val="20"/>
                <w:vertAlign w:val="superscript"/>
              </w:rPr>
              <w:t>§</w:t>
            </w:r>
          </w:p>
        </w:tc>
        <w:tc>
          <w:tcPr>
            <w:tcW w:w="992" w:type="dxa"/>
            <w:tcBorders>
              <w:top w:val="single" w:sz="4" w:space="0" w:color="auto"/>
              <w:left w:val="single" w:sz="4" w:space="0" w:color="auto"/>
              <w:bottom w:val="single" w:sz="4" w:space="0" w:color="auto"/>
              <w:right w:val="single" w:sz="4" w:space="0" w:color="auto"/>
            </w:tcBorders>
          </w:tcPr>
          <w:p w14:paraId="349021A2"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7</w:t>
            </w:r>
          </w:p>
        </w:tc>
      </w:tr>
      <w:tr w:rsidR="00281494" w:rsidRPr="005A0CEA" w14:paraId="0E049CD7" w14:textId="77777777" w:rsidTr="00D038B0">
        <w:trPr>
          <w:trHeight w:val="253"/>
        </w:trPr>
        <w:tc>
          <w:tcPr>
            <w:tcW w:w="4248" w:type="dxa"/>
            <w:tcBorders>
              <w:top w:val="single" w:sz="4" w:space="0" w:color="auto"/>
              <w:left w:val="single" w:sz="4" w:space="0" w:color="auto"/>
              <w:bottom w:val="single" w:sz="4" w:space="0" w:color="auto"/>
              <w:right w:val="nil"/>
            </w:tcBorders>
          </w:tcPr>
          <w:p w14:paraId="451EF5AA" w14:textId="25BDA46A" w:rsidR="00281494" w:rsidRPr="005A0CEA" w:rsidRDefault="00281494" w:rsidP="007C5F0E">
            <w:pPr>
              <w:pStyle w:val="TableText"/>
              <w:ind w:left="284"/>
              <w:rPr>
                <w:rFonts w:asciiTheme="majorBidi" w:eastAsia="PMingLiU" w:hAnsiTheme="majorBidi" w:cstheme="majorBidi"/>
                <w:szCs w:val="20"/>
                <w:lang w:eastAsia="zh-TW"/>
              </w:rPr>
            </w:pPr>
            <w:r w:rsidRPr="005A0CEA">
              <w:rPr>
                <w:rFonts w:asciiTheme="majorBidi" w:hAnsiTheme="majorBidi" w:cstheme="majorBidi"/>
                <w:b/>
                <w:bCs/>
                <w:szCs w:val="20"/>
              </w:rPr>
              <w:t xml:space="preserve">FPG (mmol/L) </w:t>
            </w:r>
          </w:p>
        </w:tc>
        <w:tc>
          <w:tcPr>
            <w:tcW w:w="1984" w:type="dxa"/>
            <w:tcBorders>
              <w:top w:val="single" w:sz="4" w:space="0" w:color="auto"/>
              <w:left w:val="nil"/>
              <w:bottom w:val="single" w:sz="4" w:space="0" w:color="auto"/>
              <w:right w:val="nil"/>
            </w:tcBorders>
          </w:tcPr>
          <w:p w14:paraId="4FC35B57" w14:textId="77777777" w:rsidR="00281494" w:rsidRPr="005A0CEA" w:rsidRDefault="00281494"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1493F79E" w14:textId="77777777" w:rsidR="00281494" w:rsidRPr="005A0CEA" w:rsidRDefault="00281494" w:rsidP="007C5F0E">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0B8F282A" w14:textId="77777777" w:rsidR="00281494" w:rsidRPr="005A0CEA" w:rsidRDefault="00281494" w:rsidP="007C5F0E">
            <w:pPr>
              <w:pStyle w:val="TableText"/>
              <w:jc w:val="center"/>
              <w:rPr>
                <w:rFonts w:asciiTheme="majorBidi" w:hAnsiTheme="majorBidi" w:cstheme="majorBidi"/>
                <w:szCs w:val="20"/>
              </w:rPr>
            </w:pPr>
          </w:p>
        </w:tc>
      </w:tr>
      <w:tr w:rsidR="00281494" w:rsidRPr="005A0CEA" w14:paraId="6820BA52"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6201A5D1"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1984" w:type="dxa"/>
            <w:tcBorders>
              <w:top w:val="single" w:sz="4" w:space="0" w:color="auto"/>
              <w:left w:val="single" w:sz="4" w:space="0" w:color="auto"/>
              <w:bottom w:val="single" w:sz="4" w:space="0" w:color="auto"/>
              <w:right w:val="single" w:sz="4" w:space="0" w:color="auto"/>
            </w:tcBorders>
          </w:tcPr>
          <w:p w14:paraId="7443283A"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8.5</w:t>
            </w:r>
          </w:p>
        </w:tc>
        <w:tc>
          <w:tcPr>
            <w:tcW w:w="1985" w:type="dxa"/>
            <w:tcBorders>
              <w:top w:val="single" w:sz="4" w:space="0" w:color="auto"/>
              <w:left w:val="single" w:sz="4" w:space="0" w:color="auto"/>
              <w:bottom w:val="single" w:sz="4" w:space="0" w:color="auto"/>
              <w:right w:val="single" w:sz="4" w:space="0" w:color="auto"/>
            </w:tcBorders>
          </w:tcPr>
          <w:p w14:paraId="4F6B2916"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8.3</w:t>
            </w:r>
          </w:p>
        </w:tc>
        <w:tc>
          <w:tcPr>
            <w:tcW w:w="992" w:type="dxa"/>
            <w:tcBorders>
              <w:top w:val="single" w:sz="4" w:space="0" w:color="auto"/>
              <w:left w:val="single" w:sz="4" w:space="0" w:color="auto"/>
              <w:bottom w:val="single" w:sz="4" w:space="0" w:color="auto"/>
              <w:right w:val="single" w:sz="4" w:space="0" w:color="auto"/>
            </w:tcBorders>
          </w:tcPr>
          <w:p w14:paraId="5D14201C"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8.3</w:t>
            </w:r>
          </w:p>
        </w:tc>
      </w:tr>
      <w:tr w:rsidR="00281494" w:rsidRPr="005A0CEA" w14:paraId="734352E9"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4A98C80F"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984" w:type="dxa"/>
            <w:tcBorders>
              <w:top w:val="single" w:sz="4" w:space="0" w:color="auto"/>
              <w:left w:val="single" w:sz="4" w:space="0" w:color="auto"/>
              <w:bottom w:val="single" w:sz="4" w:space="0" w:color="auto"/>
              <w:right w:val="single" w:sz="4" w:space="0" w:color="auto"/>
            </w:tcBorders>
          </w:tcPr>
          <w:p w14:paraId="623FD358"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−1.1</w:t>
            </w:r>
          </w:p>
        </w:tc>
        <w:tc>
          <w:tcPr>
            <w:tcW w:w="1985" w:type="dxa"/>
            <w:tcBorders>
              <w:top w:val="single" w:sz="4" w:space="0" w:color="auto"/>
              <w:left w:val="single" w:sz="4" w:space="0" w:color="auto"/>
              <w:bottom w:val="single" w:sz="4" w:space="0" w:color="auto"/>
              <w:right w:val="single" w:sz="4" w:space="0" w:color="auto"/>
            </w:tcBorders>
          </w:tcPr>
          <w:p w14:paraId="459BC663"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−1.3</w:t>
            </w:r>
          </w:p>
        </w:tc>
        <w:tc>
          <w:tcPr>
            <w:tcW w:w="992" w:type="dxa"/>
            <w:tcBorders>
              <w:top w:val="single" w:sz="4" w:space="0" w:color="auto"/>
              <w:left w:val="single" w:sz="4" w:space="0" w:color="auto"/>
              <w:bottom w:val="single" w:sz="4" w:space="0" w:color="auto"/>
              <w:right w:val="single" w:sz="4" w:space="0" w:color="auto"/>
            </w:tcBorders>
          </w:tcPr>
          <w:p w14:paraId="0416A1A1"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0.3</w:t>
            </w:r>
          </w:p>
        </w:tc>
      </w:tr>
      <w:tr w:rsidR="00281494" w:rsidRPr="005A0CEA" w14:paraId="09B16301"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78D0A209"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 xml:space="preserve">1 </w:t>
            </w:r>
            <w:r w:rsidRPr="005A0CEA">
              <w:rPr>
                <w:rFonts w:asciiTheme="majorBidi" w:hAnsiTheme="majorBidi" w:cstheme="majorBidi"/>
                <w:szCs w:val="20"/>
              </w:rPr>
              <w:t>[95% CI]</w:t>
            </w:r>
          </w:p>
        </w:tc>
        <w:tc>
          <w:tcPr>
            <w:tcW w:w="1984" w:type="dxa"/>
            <w:tcBorders>
              <w:top w:val="single" w:sz="4" w:space="0" w:color="auto"/>
              <w:left w:val="single" w:sz="4" w:space="0" w:color="auto"/>
              <w:bottom w:val="single" w:sz="4" w:space="0" w:color="auto"/>
              <w:right w:val="single" w:sz="4" w:space="0" w:color="auto"/>
            </w:tcBorders>
          </w:tcPr>
          <w:p w14:paraId="76E53AF6"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−1.4 [−1.9; −0.</w:t>
            </w:r>
            <w:proofErr w:type="gramStart"/>
            <w:r w:rsidRPr="005A0CEA">
              <w:rPr>
                <w:rFonts w:asciiTheme="majorBidi" w:hAnsiTheme="majorBidi" w:cstheme="majorBidi"/>
                <w:szCs w:val="20"/>
              </w:rPr>
              <w:t>8]</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5313EDC5"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−1.6 [−2.2; −1.</w:t>
            </w:r>
            <w:proofErr w:type="gramStart"/>
            <w:r w:rsidRPr="005A0CEA">
              <w:rPr>
                <w:rFonts w:asciiTheme="majorBidi" w:hAnsiTheme="majorBidi" w:cstheme="majorBidi"/>
                <w:szCs w:val="20"/>
              </w:rPr>
              <w:t>1]</w:t>
            </w:r>
            <w:r w:rsidRPr="005A0CEA">
              <w:rPr>
                <w:rFonts w:asciiTheme="majorBidi" w:hAnsiTheme="majorBidi" w:cstheme="majorBidi"/>
                <w:szCs w:val="20"/>
                <w:vertAlign w:val="superscript"/>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3E9588E4"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281494" w:rsidRPr="005A0CEA" w14:paraId="6E1D6C61" w14:textId="77777777" w:rsidTr="00D038B0">
        <w:trPr>
          <w:trHeight w:val="253"/>
        </w:trPr>
        <w:tc>
          <w:tcPr>
            <w:tcW w:w="4248" w:type="dxa"/>
            <w:tcBorders>
              <w:top w:val="single" w:sz="4" w:space="0" w:color="auto"/>
              <w:left w:val="single" w:sz="4" w:space="0" w:color="auto"/>
              <w:bottom w:val="single" w:sz="4" w:space="0" w:color="auto"/>
              <w:right w:val="nil"/>
            </w:tcBorders>
          </w:tcPr>
          <w:p w14:paraId="752FDE79" w14:textId="775940AF" w:rsidR="00281494" w:rsidRPr="005A0CEA" w:rsidRDefault="00281494" w:rsidP="007C5F0E">
            <w:pPr>
              <w:pStyle w:val="TableText"/>
              <w:ind w:left="284"/>
              <w:rPr>
                <w:rFonts w:asciiTheme="majorBidi" w:eastAsia="PMingLiU" w:hAnsiTheme="majorBidi" w:cstheme="majorBidi"/>
                <w:szCs w:val="20"/>
                <w:lang w:eastAsia="zh-TW"/>
              </w:rPr>
            </w:pPr>
            <w:r w:rsidRPr="005A0CEA">
              <w:rPr>
                <w:rFonts w:asciiTheme="majorBidi" w:hAnsiTheme="majorBidi" w:cstheme="majorBidi"/>
                <w:b/>
                <w:bCs/>
                <w:szCs w:val="20"/>
              </w:rPr>
              <w:t xml:space="preserve">Body weight (kg) </w:t>
            </w:r>
          </w:p>
        </w:tc>
        <w:tc>
          <w:tcPr>
            <w:tcW w:w="1984" w:type="dxa"/>
            <w:tcBorders>
              <w:top w:val="single" w:sz="4" w:space="0" w:color="auto"/>
              <w:left w:val="nil"/>
              <w:bottom w:val="single" w:sz="4" w:space="0" w:color="auto"/>
              <w:right w:val="nil"/>
            </w:tcBorders>
          </w:tcPr>
          <w:p w14:paraId="4876C23D" w14:textId="77777777" w:rsidR="00281494" w:rsidRPr="005A0CEA" w:rsidRDefault="00281494"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0F0688C9" w14:textId="77777777" w:rsidR="00281494" w:rsidRPr="005A0CEA" w:rsidRDefault="00281494" w:rsidP="007C5F0E">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08BA4CB5" w14:textId="77777777" w:rsidR="00281494" w:rsidRPr="005A0CEA" w:rsidRDefault="00281494" w:rsidP="007C5F0E">
            <w:pPr>
              <w:pStyle w:val="TableText"/>
              <w:jc w:val="center"/>
              <w:rPr>
                <w:rFonts w:asciiTheme="majorBidi" w:hAnsiTheme="majorBidi" w:cstheme="majorBidi"/>
                <w:szCs w:val="20"/>
              </w:rPr>
            </w:pPr>
          </w:p>
        </w:tc>
      </w:tr>
      <w:tr w:rsidR="00281494" w:rsidRPr="005A0CEA" w14:paraId="307DBE39"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79D3C104" w14:textId="77777777" w:rsidR="00281494" w:rsidRPr="005A0CEA" w:rsidRDefault="00281494" w:rsidP="007C5F0E">
            <w:pPr>
              <w:pStyle w:val="TableText"/>
              <w:ind w:left="465"/>
              <w:rPr>
                <w:rFonts w:asciiTheme="majorBidi" w:eastAsia="PMingLiU" w:hAnsiTheme="majorBidi" w:cstheme="majorBidi"/>
                <w:szCs w:val="20"/>
                <w:lang w:eastAsia="zh-TW"/>
              </w:rPr>
            </w:pPr>
            <w:r w:rsidRPr="005A0CEA">
              <w:rPr>
                <w:rFonts w:asciiTheme="majorBidi" w:hAnsiTheme="majorBidi" w:cstheme="majorBidi"/>
                <w:szCs w:val="20"/>
              </w:rPr>
              <w:t>Baseline</w:t>
            </w:r>
          </w:p>
        </w:tc>
        <w:tc>
          <w:tcPr>
            <w:tcW w:w="1984" w:type="dxa"/>
            <w:tcBorders>
              <w:top w:val="single" w:sz="4" w:space="0" w:color="auto"/>
              <w:left w:val="single" w:sz="4" w:space="0" w:color="auto"/>
              <w:bottom w:val="single" w:sz="4" w:space="0" w:color="auto"/>
              <w:right w:val="single" w:sz="4" w:space="0" w:color="auto"/>
            </w:tcBorders>
          </w:tcPr>
          <w:p w14:paraId="4BA0B95A"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87.1</w:t>
            </w:r>
          </w:p>
        </w:tc>
        <w:tc>
          <w:tcPr>
            <w:tcW w:w="1985" w:type="dxa"/>
            <w:tcBorders>
              <w:top w:val="single" w:sz="4" w:space="0" w:color="auto"/>
              <w:left w:val="single" w:sz="4" w:space="0" w:color="auto"/>
              <w:bottom w:val="single" w:sz="4" w:space="0" w:color="auto"/>
              <w:right w:val="single" w:sz="4" w:space="0" w:color="auto"/>
            </w:tcBorders>
          </w:tcPr>
          <w:p w14:paraId="6FF3981F"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84.6</w:t>
            </w:r>
          </w:p>
        </w:tc>
        <w:tc>
          <w:tcPr>
            <w:tcW w:w="992" w:type="dxa"/>
            <w:tcBorders>
              <w:top w:val="single" w:sz="4" w:space="0" w:color="auto"/>
              <w:left w:val="single" w:sz="4" w:space="0" w:color="auto"/>
              <w:bottom w:val="single" w:sz="4" w:space="0" w:color="auto"/>
              <w:right w:val="single" w:sz="4" w:space="0" w:color="auto"/>
            </w:tcBorders>
          </w:tcPr>
          <w:p w14:paraId="6F1FC2B6"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86.0</w:t>
            </w:r>
          </w:p>
        </w:tc>
      </w:tr>
      <w:tr w:rsidR="00281494" w:rsidRPr="005A0CEA" w14:paraId="4030BEE8"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62F75F28" w14:textId="77777777" w:rsidR="00281494" w:rsidRPr="005A0CEA" w:rsidRDefault="00281494" w:rsidP="007C5F0E">
            <w:pPr>
              <w:pStyle w:val="TableText"/>
              <w:ind w:left="465"/>
              <w:rPr>
                <w:rFonts w:asciiTheme="majorBidi" w:hAnsiTheme="majorBidi" w:cstheme="majorBidi"/>
                <w:szCs w:val="20"/>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984" w:type="dxa"/>
            <w:tcBorders>
              <w:top w:val="single" w:sz="4" w:space="0" w:color="auto"/>
              <w:left w:val="single" w:sz="4" w:space="0" w:color="auto"/>
              <w:bottom w:val="single" w:sz="4" w:space="0" w:color="auto"/>
              <w:right w:val="single" w:sz="4" w:space="0" w:color="auto"/>
            </w:tcBorders>
          </w:tcPr>
          <w:p w14:paraId="470A6230"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−2.4</w:t>
            </w:r>
          </w:p>
        </w:tc>
        <w:tc>
          <w:tcPr>
            <w:tcW w:w="1985" w:type="dxa"/>
            <w:tcBorders>
              <w:top w:val="single" w:sz="4" w:space="0" w:color="auto"/>
              <w:left w:val="single" w:sz="4" w:space="0" w:color="auto"/>
              <w:bottom w:val="single" w:sz="4" w:space="0" w:color="auto"/>
              <w:right w:val="single" w:sz="4" w:space="0" w:color="auto"/>
            </w:tcBorders>
          </w:tcPr>
          <w:p w14:paraId="7465B169"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−3.7</w:t>
            </w:r>
          </w:p>
        </w:tc>
        <w:tc>
          <w:tcPr>
            <w:tcW w:w="992" w:type="dxa"/>
            <w:tcBorders>
              <w:top w:val="single" w:sz="4" w:space="0" w:color="auto"/>
              <w:left w:val="single" w:sz="4" w:space="0" w:color="auto"/>
              <w:bottom w:val="single" w:sz="4" w:space="0" w:color="auto"/>
              <w:right w:val="single" w:sz="4" w:space="0" w:color="auto"/>
            </w:tcBorders>
          </w:tcPr>
          <w:p w14:paraId="7C541183"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−0.4</w:t>
            </w:r>
          </w:p>
        </w:tc>
      </w:tr>
      <w:tr w:rsidR="00281494" w:rsidRPr="005A0CEA" w14:paraId="4D53EA24"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2918AEE9" w14:textId="77777777" w:rsidR="00281494" w:rsidRPr="005A0CEA" w:rsidRDefault="00281494" w:rsidP="007C5F0E">
            <w:pPr>
              <w:pStyle w:val="TableText"/>
              <w:ind w:left="465"/>
              <w:rPr>
                <w:rFonts w:asciiTheme="majorBidi" w:hAnsiTheme="majorBidi" w:cstheme="majorBidi"/>
                <w:szCs w:val="20"/>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 xml:space="preserve">1 </w:t>
            </w:r>
            <w:r w:rsidRPr="005A0CEA">
              <w:rPr>
                <w:rFonts w:asciiTheme="majorBidi" w:hAnsiTheme="majorBidi" w:cstheme="majorBidi"/>
                <w:szCs w:val="20"/>
              </w:rPr>
              <w:t>[95% CI]</w:t>
            </w:r>
          </w:p>
        </w:tc>
        <w:tc>
          <w:tcPr>
            <w:tcW w:w="1984" w:type="dxa"/>
            <w:tcBorders>
              <w:top w:val="single" w:sz="4" w:space="0" w:color="auto"/>
              <w:left w:val="single" w:sz="4" w:space="0" w:color="auto"/>
              <w:bottom w:val="single" w:sz="4" w:space="0" w:color="auto"/>
              <w:right w:val="single" w:sz="4" w:space="0" w:color="auto"/>
            </w:tcBorders>
          </w:tcPr>
          <w:p w14:paraId="32FAF850"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−2.0 [−3.0; −1.</w:t>
            </w:r>
            <w:proofErr w:type="gramStart"/>
            <w:r w:rsidRPr="005A0CEA">
              <w:rPr>
                <w:rFonts w:asciiTheme="majorBidi" w:hAnsiTheme="majorBidi" w:cstheme="majorBidi"/>
                <w:szCs w:val="20"/>
              </w:rPr>
              <w:t>0]*</w:t>
            </w:r>
            <w:proofErr w:type="gramEnd"/>
          </w:p>
        </w:tc>
        <w:tc>
          <w:tcPr>
            <w:tcW w:w="1985" w:type="dxa"/>
            <w:tcBorders>
              <w:top w:val="single" w:sz="4" w:space="0" w:color="auto"/>
              <w:left w:val="single" w:sz="4" w:space="0" w:color="auto"/>
              <w:bottom w:val="single" w:sz="4" w:space="0" w:color="auto"/>
              <w:right w:val="single" w:sz="4" w:space="0" w:color="auto"/>
            </w:tcBorders>
          </w:tcPr>
          <w:p w14:paraId="6114DC78"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−3.3 [−4.2; −2.</w:t>
            </w:r>
            <w:proofErr w:type="gramStart"/>
            <w:r w:rsidRPr="005A0CEA">
              <w:rPr>
                <w:rFonts w:asciiTheme="majorBidi" w:hAnsiTheme="majorBidi" w:cstheme="majorBidi"/>
                <w:szCs w:val="20"/>
              </w:rPr>
              <w:t>3]*</w:t>
            </w:r>
            <w:proofErr w:type="gramEnd"/>
          </w:p>
        </w:tc>
        <w:tc>
          <w:tcPr>
            <w:tcW w:w="992" w:type="dxa"/>
            <w:tcBorders>
              <w:top w:val="single" w:sz="4" w:space="0" w:color="auto"/>
              <w:left w:val="single" w:sz="4" w:space="0" w:color="auto"/>
              <w:bottom w:val="single" w:sz="4" w:space="0" w:color="auto"/>
              <w:right w:val="single" w:sz="4" w:space="0" w:color="auto"/>
            </w:tcBorders>
          </w:tcPr>
          <w:p w14:paraId="785AC567"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281494" w:rsidRPr="005A0CEA" w14:paraId="1E71BBA5" w14:textId="77777777" w:rsidTr="00D038B0">
        <w:trPr>
          <w:trHeight w:val="253"/>
        </w:trPr>
        <w:tc>
          <w:tcPr>
            <w:tcW w:w="4248" w:type="dxa"/>
            <w:tcBorders>
              <w:top w:val="single" w:sz="4" w:space="0" w:color="auto"/>
              <w:left w:val="single" w:sz="4" w:space="0" w:color="auto"/>
              <w:bottom w:val="single" w:sz="4" w:space="0" w:color="auto"/>
              <w:right w:val="nil"/>
            </w:tcBorders>
          </w:tcPr>
          <w:p w14:paraId="274A4C4F" w14:textId="77777777" w:rsidR="00281494" w:rsidRPr="005A0CEA" w:rsidRDefault="00281494" w:rsidP="007C5F0E">
            <w:pPr>
              <w:pStyle w:val="TableText"/>
              <w:ind w:left="15"/>
              <w:rPr>
                <w:rFonts w:asciiTheme="majorBidi" w:hAnsiTheme="majorBidi" w:cstheme="majorBidi"/>
                <w:szCs w:val="20"/>
              </w:rPr>
            </w:pPr>
            <w:r w:rsidRPr="005A0CEA">
              <w:rPr>
                <w:rFonts w:asciiTheme="majorBidi" w:hAnsiTheme="majorBidi" w:cstheme="majorBidi"/>
                <w:b/>
                <w:bCs/>
                <w:szCs w:val="20"/>
              </w:rPr>
              <w:t xml:space="preserve">Week 52 (uncapped insulin </w:t>
            </w:r>
            <w:proofErr w:type="gramStart"/>
            <w:r w:rsidRPr="005A0CEA">
              <w:rPr>
                <w:rFonts w:asciiTheme="majorBidi" w:hAnsiTheme="majorBidi" w:cstheme="majorBidi"/>
                <w:b/>
                <w:bCs/>
                <w:szCs w:val="20"/>
              </w:rPr>
              <w:t>dose)</w:t>
            </w:r>
            <w:r w:rsidRPr="005A0CEA">
              <w:rPr>
                <w:rFonts w:asciiTheme="majorBidi" w:hAnsiTheme="majorBidi" w:cstheme="majorBidi"/>
                <w:b/>
                <w:bCs/>
                <w:szCs w:val="20"/>
                <w:vertAlign w:val="superscript"/>
              </w:rPr>
              <w:t>+</w:t>
            </w:r>
            <w:proofErr w:type="gramEnd"/>
          </w:p>
        </w:tc>
        <w:tc>
          <w:tcPr>
            <w:tcW w:w="1984" w:type="dxa"/>
            <w:tcBorders>
              <w:top w:val="single" w:sz="4" w:space="0" w:color="auto"/>
              <w:left w:val="nil"/>
              <w:bottom w:val="single" w:sz="4" w:space="0" w:color="auto"/>
              <w:right w:val="nil"/>
            </w:tcBorders>
          </w:tcPr>
          <w:p w14:paraId="685E3562" w14:textId="77777777" w:rsidR="00281494" w:rsidRPr="005A0CEA" w:rsidRDefault="00281494"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0132E3C5" w14:textId="77777777" w:rsidR="00281494" w:rsidRPr="005A0CEA" w:rsidRDefault="00281494" w:rsidP="007C5F0E">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1858B703" w14:textId="77777777" w:rsidR="00281494" w:rsidRPr="005A0CEA" w:rsidRDefault="00281494" w:rsidP="007C5F0E">
            <w:pPr>
              <w:pStyle w:val="TableText"/>
              <w:jc w:val="center"/>
              <w:rPr>
                <w:rFonts w:asciiTheme="majorBidi" w:hAnsiTheme="majorBidi" w:cstheme="majorBidi"/>
                <w:szCs w:val="20"/>
              </w:rPr>
            </w:pPr>
          </w:p>
        </w:tc>
      </w:tr>
      <w:tr w:rsidR="00281494" w:rsidRPr="005A0CEA" w14:paraId="05388AC4" w14:textId="77777777" w:rsidTr="00D038B0">
        <w:trPr>
          <w:trHeight w:val="253"/>
        </w:trPr>
        <w:tc>
          <w:tcPr>
            <w:tcW w:w="4248" w:type="dxa"/>
            <w:tcBorders>
              <w:top w:val="single" w:sz="4" w:space="0" w:color="auto"/>
              <w:left w:val="single" w:sz="4" w:space="0" w:color="auto"/>
              <w:bottom w:val="single" w:sz="4" w:space="0" w:color="auto"/>
              <w:right w:val="nil"/>
            </w:tcBorders>
          </w:tcPr>
          <w:p w14:paraId="0C3867D9" w14:textId="77777777" w:rsidR="00281494" w:rsidRPr="005A0CEA" w:rsidRDefault="00281494" w:rsidP="007C5F0E">
            <w:pPr>
              <w:pStyle w:val="TableText"/>
              <w:ind w:left="284"/>
              <w:rPr>
                <w:rFonts w:asciiTheme="majorBidi" w:hAnsiTheme="majorBidi" w:cstheme="majorBidi"/>
                <w:szCs w:val="20"/>
              </w:rPr>
            </w:pPr>
            <w:r w:rsidRPr="005A0CEA">
              <w:rPr>
                <w:rFonts w:asciiTheme="majorBidi" w:hAnsiTheme="majorBidi" w:cstheme="majorBidi"/>
                <w:b/>
                <w:bCs/>
                <w:szCs w:val="20"/>
              </w:rPr>
              <w:t>HbA</w:t>
            </w:r>
            <w:r w:rsidRPr="005A0CEA">
              <w:rPr>
                <w:rFonts w:asciiTheme="majorBidi" w:hAnsiTheme="majorBidi" w:cstheme="majorBidi"/>
                <w:b/>
                <w:bCs/>
                <w:szCs w:val="20"/>
                <w:vertAlign w:val="subscript"/>
              </w:rPr>
              <w:t xml:space="preserve">1c </w:t>
            </w:r>
            <w:r w:rsidRPr="005A0CEA">
              <w:rPr>
                <w:rFonts w:asciiTheme="majorBidi" w:hAnsiTheme="majorBidi" w:cstheme="majorBidi"/>
                <w:b/>
                <w:bCs/>
                <w:szCs w:val="20"/>
              </w:rPr>
              <w:t>(%)</w:t>
            </w:r>
          </w:p>
        </w:tc>
        <w:tc>
          <w:tcPr>
            <w:tcW w:w="1984" w:type="dxa"/>
            <w:tcBorders>
              <w:top w:val="single" w:sz="4" w:space="0" w:color="auto"/>
              <w:left w:val="nil"/>
              <w:bottom w:val="single" w:sz="4" w:space="0" w:color="auto"/>
              <w:right w:val="nil"/>
            </w:tcBorders>
          </w:tcPr>
          <w:p w14:paraId="6AF4A2D2" w14:textId="77777777" w:rsidR="00281494" w:rsidRPr="005A0CEA" w:rsidRDefault="00281494"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46173036" w14:textId="77777777" w:rsidR="00281494" w:rsidRPr="005A0CEA" w:rsidRDefault="00281494" w:rsidP="007C5F0E">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02A168A7" w14:textId="77777777" w:rsidR="00281494" w:rsidRPr="005A0CEA" w:rsidRDefault="00281494" w:rsidP="007C5F0E">
            <w:pPr>
              <w:pStyle w:val="TableText"/>
              <w:jc w:val="center"/>
              <w:rPr>
                <w:rFonts w:asciiTheme="majorBidi" w:hAnsiTheme="majorBidi" w:cstheme="majorBidi"/>
                <w:szCs w:val="20"/>
              </w:rPr>
            </w:pPr>
          </w:p>
        </w:tc>
      </w:tr>
      <w:tr w:rsidR="00281494" w:rsidRPr="005A0CEA" w14:paraId="0D15E805"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6530283E" w14:textId="77777777" w:rsidR="00281494" w:rsidRPr="005A0CEA" w:rsidRDefault="00281494" w:rsidP="007C5F0E">
            <w:pPr>
              <w:pStyle w:val="TableText"/>
              <w:ind w:left="465"/>
              <w:rPr>
                <w:rFonts w:asciiTheme="majorBidi" w:hAnsiTheme="majorBidi" w:cstheme="majorBidi"/>
                <w:szCs w:val="20"/>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984" w:type="dxa"/>
            <w:tcBorders>
              <w:top w:val="single" w:sz="4" w:space="0" w:color="auto"/>
              <w:left w:val="single" w:sz="4" w:space="0" w:color="auto"/>
              <w:bottom w:val="single" w:sz="4" w:space="0" w:color="auto"/>
              <w:right w:val="single" w:sz="4" w:space="0" w:color="auto"/>
            </w:tcBorders>
          </w:tcPr>
          <w:p w14:paraId="0384B559"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−0.8</w:t>
            </w:r>
          </w:p>
        </w:tc>
        <w:tc>
          <w:tcPr>
            <w:tcW w:w="1985" w:type="dxa"/>
            <w:tcBorders>
              <w:top w:val="single" w:sz="4" w:space="0" w:color="auto"/>
              <w:left w:val="single" w:sz="4" w:space="0" w:color="auto"/>
              <w:bottom w:val="single" w:sz="4" w:space="0" w:color="auto"/>
              <w:right w:val="single" w:sz="4" w:space="0" w:color="auto"/>
            </w:tcBorders>
          </w:tcPr>
          <w:p w14:paraId="152DD1EE"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−1.2</w:t>
            </w:r>
          </w:p>
        </w:tc>
        <w:tc>
          <w:tcPr>
            <w:tcW w:w="992" w:type="dxa"/>
            <w:tcBorders>
              <w:top w:val="single" w:sz="4" w:space="0" w:color="auto"/>
              <w:left w:val="single" w:sz="4" w:space="0" w:color="auto"/>
              <w:bottom w:val="single" w:sz="4" w:space="0" w:color="auto"/>
              <w:right w:val="single" w:sz="4" w:space="0" w:color="auto"/>
            </w:tcBorders>
          </w:tcPr>
          <w:p w14:paraId="19DB4C96"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-0.2</w:t>
            </w:r>
          </w:p>
        </w:tc>
      </w:tr>
      <w:tr w:rsidR="00281494" w:rsidRPr="005A0CEA" w14:paraId="219BBCF4"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1C72ACE9" w14:textId="77777777" w:rsidR="00281494" w:rsidRPr="005A0CEA" w:rsidRDefault="00281494" w:rsidP="007C5F0E">
            <w:pPr>
              <w:pStyle w:val="TableText"/>
              <w:ind w:left="465"/>
              <w:rPr>
                <w:rFonts w:asciiTheme="majorBidi" w:hAnsiTheme="majorBidi" w:cstheme="majorBidi"/>
                <w:szCs w:val="20"/>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1984" w:type="dxa"/>
            <w:tcBorders>
              <w:top w:val="single" w:sz="4" w:space="0" w:color="auto"/>
              <w:left w:val="single" w:sz="4" w:space="0" w:color="auto"/>
              <w:bottom w:val="single" w:sz="4" w:space="0" w:color="auto"/>
              <w:right w:val="single" w:sz="4" w:space="0" w:color="auto"/>
            </w:tcBorders>
          </w:tcPr>
          <w:p w14:paraId="766016BF"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−0.6 [−0.8; −0.</w:t>
            </w:r>
            <w:proofErr w:type="gramStart"/>
            <w:r w:rsidRPr="005A0CEA">
              <w:rPr>
                <w:rFonts w:asciiTheme="majorBidi" w:hAnsiTheme="majorBidi" w:cstheme="majorBidi"/>
                <w:szCs w:val="20"/>
              </w:rPr>
              <w:t>4]</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5F558EC0"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−0.9 [−1.1; −0.</w:t>
            </w:r>
            <w:proofErr w:type="gramStart"/>
            <w:r w:rsidRPr="005A0CEA">
              <w:rPr>
                <w:rFonts w:asciiTheme="majorBidi" w:hAnsiTheme="majorBidi" w:cstheme="majorBidi"/>
                <w:szCs w:val="20"/>
              </w:rPr>
              <w:t>7]</w:t>
            </w:r>
            <w:r w:rsidRPr="005A0CEA">
              <w:rPr>
                <w:rFonts w:asciiTheme="majorBidi" w:hAnsiTheme="majorBidi" w:cstheme="majorBidi"/>
                <w:szCs w:val="20"/>
                <w:vertAlign w:val="superscript"/>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70525535"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r w:rsidR="00281494" w:rsidRPr="005A0CEA" w14:paraId="5B9C68E6"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6EACA94A" w14:textId="77777777" w:rsidR="00281494" w:rsidRPr="005A0CEA" w:rsidRDefault="00281494" w:rsidP="007C5F0E">
            <w:pPr>
              <w:pStyle w:val="TableText"/>
              <w:ind w:left="284"/>
              <w:rPr>
                <w:rFonts w:asciiTheme="majorBidi" w:hAnsiTheme="majorBidi" w:cstheme="majorBidi"/>
                <w:szCs w:val="20"/>
              </w:rPr>
            </w:pPr>
            <w:r w:rsidRPr="005A0CEA">
              <w:rPr>
                <w:rFonts w:asciiTheme="majorBidi" w:hAnsiTheme="majorBidi" w:cstheme="majorBidi"/>
                <w:b/>
                <w:szCs w:val="20"/>
              </w:rPr>
              <w:t>Patients (%) achieving HbA</w:t>
            </w:r>
            <w:r w:rsidRPr="005A0CEA">
              <w:rPr>
                <w:rFonts w:asciiTheme="majorBidi" w:hAnsiTheme="majorBidi" w:cstheme="majorBidi"/>
                <w:b/>
                <w:szCs w:val="20"/>
                <w:vertAlign w:val="subscript"/>
              </w:rPr>
              <w:t>1c</w:t>
            </w:r>
            <w:r w:rsidRPr="005A0CEA">
              <w:rPr>
                <w:rFonts w:asciiTheme="majorBidi" w:hAnsiTheme="majorBidi" w:cstheme="majorBidi"/>
                <w:b/>
                <w:szCs w:val="20"/>
              </w:rPr>
              <w:t xml:space="preserve"> &lt;7.0%</w:t>
            </w:r>
          </w:p>
        </w:tc>
        <w:tc>
          <w:tcPr>
            <w:tcW w:w="1984" w:type="dxa"/>
            <w:tcBorders>
              <w:top w:val="single" w:sz="4" w:space="0" w:color="auto"/>
              <w:left w:val="single" w:sz="4" w:space="0" w:color="auto"/>
              <w:bottom w:val="single" w:sz="4" w:space="0" w:color="auto"/>
              <w:right w:val="single" w:sz="4" w:space="0" w:color="auto"/>
            </w:tcBorders>
          </w:tcPr>
          <w:p w14:paraId="70E7751D"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40</w:t>
            </w:r>
            <w:r w:rsidRPr="005A0CEA">
              <w:rPr>
                <w:rFonts w:asciiTheme="majorBidi" w:hAnsiTheme="majorBidi" w:cstheme="majorBidi"/>
                <w:szCs w:val="20"/>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7A84D5D7"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54</w:t>
            </w:r>
            <w:r w:rsidRPr="005A0CEA">
              <w:rPr>
                <w:rFonts w:asciiTheme="majorBidi" w:hAnsiTheme="majorBidi" w:cstheme="majorBidi"/>
                <w:szCs w:val="20"/>
                <w:vertAlign w:val="superscript"/>
              </w:rPr>
              <w:t>§</w:t>
            </w:r>
          </w:p>
        </w:tc>
        <w:tc>
          <w:tcPr>
            <w:tcW w:w="992" w:type="dxa"/>
            <w:tcBorders>
              <w:top w:val="single" w:sz="4" w:space="0" w:color="auto"/>
              <w:left w:val="single" w:sz="4" w:space="0" w:color="auto"/>
              <w:bottom w:val="single" w:sz="4" w:space="0" w:color="auto"/>
              <w:right w:val="single" w:sz="4" w:space="0" w:color="auto"/>
            </w:tcBorders>
          </w:tcPr>
          <w:p w14:paraId="550C8022"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9</w:t>
            </w:r>
          </w:p>
        </w:tc>
      </w:tr>
      <w:tr w:rsidR="00281494" w:rsidRPr="005A0CEA" w14:paraId="0DD34B79" w14:textId="77777777" w:rsidTr="00D038B0">
        <w:trPr>
          <w:trHeight w:val="253"/>
        </w:trPr>
        <w:tc>
          <w:tcPr>
            <w:tcW w:w="4248" w:type="dxa"/>
            <w:tcBorders>
              <w:top w:val="single" w:sz="4" w:space="0" w:color="auto"/>
              <w:left w:val="single" w:sz="4" w:space="0" w:color="auto"/>
              <w:bottom w:val="single" w:sz="4" w:space="0" w:color="auto"/>
              <w:right w:val="nil"/>
            </w:tcBorders>
          </w:tcPr>
          <w:p w14:paraId="1A712383" w14:textId="77777777" w:rsidR="00281494" w:rsidRPr="005A0CEA" w:rsidRDefault="00281494" w:rsidP="007C5F0E">
            <w:pPr>
              <w:pStyle w:val="TableText"/>
              <w:ind w:left="284"/>
              <w:rPr>
                <w:rFonts w:asciiTheme="majorBidi" w:hAnsiTheme="majorBidi" w:cstheme="majorBidi"/>
                <w:szCs w:val="20"/>
              </w:rPr>
            </w:pPr>
            <w:r w:rsidRPr="005A0CEA">
              <w:rPr>
                <w:rFonts w:asciiTheme="majorBidi" w:hAnsiTheme="majorBidi" w:cstheme="majorBidi"/>
                <w:b/>
                <w:bCs/>
                <w:szCs w:val="20"/>
              </w:rPr>
              <w:t>Body weight (kg)</w:t>
            </w:r>
          </w:p>
        </w:tc>
        <w:tc>
          <w:tcPr>
            <w:tcW w:w="1984" w:type="dxa"/>
            <w:tcBorders>
              <w:top w:val="single" w:sz="4" w:space="0" w:color="auto"/>
              <w:left w:val="nil"/>
              <w:bottom w:val="single" w:sz="4" w:space="0" w:color="auto"/>
              <w:right w:val="nil"/>
            </w:tcBorders>
          </w:tcPr>
          <w:p w14:paraId="016C17E9" w14:textId="77777777" w:rsidR="00281494" w:rsidRPr="005A0CEA" w:rsidRDefault="00281494" w:rsidP="007C5F0E">
            <w:pPr>
              <w:pStyle w:val="TableText"/>
              <w:jc w:val="center"/>
              <w:rPr>
                <w:rFonts w:asciiTheme="majorBidi" w:hAnsiTheme="majorBidi" w:cstheme="majorBidi"/>
                <w:szCs w:val="20"/>
              </w:rPr>
            </w:pPr>
          </w:p>
        </w:tc>
        <w:tc>
          <w:tcPr>
            <w:tcW w:w="1985" w:type="dxa"/>
            <w:tcBorders>
              <w:top w:val="single" w:sz="4" w:space="0" w:color="auto"/>
              <w:left w:val="nil"/>
              <w:bottom w:val="single" w:sz="4" w:space="0" w:color="auto"/>
              <w:right w:val="nil"/>
            </w:tcBorders>
          </w:tcPr>
          <w:p w14:paraId="2ADDE56A" w14:textId="77777777" w:rsidR="00281494" w:rsidRPr="005A0CEA" w:rsidRDefault="00281494" w:rsidP="007C5F0E">
            <w:pPr>
              <w:pStyle w:val="TableText"/>
              <w:jc w:val="center"/>
              <w:rPr>
                <w:rFonts w:asciiTheme="majorBidi" w:hAnsiTheme="majorBidi" w:cstheme="majorBidi"/>
                <w:szCs w:val="20"/>
              </w:rPr>
            </w:pPr>
          </w:p>
        </w:tc>
        <w:tc>
          <w:tcPr>
            <w:tcW w:w="992" w:type="dxa"/>
            <w:tcBorders>
              <w:top w:val="single" w:sz="4" w:space="0" w:color="auto"/>
              <w:left w:val="nil"/>
              <w:bottom w:val="single" w:sz="4" w:space="0" w:color="auto"/>
              <w:right w:val="single" w:sz="4" w:space="0" w:color="auto"/>
            </w:tcBorders>
          </w:tcPr>
          <w:p w14:paraId="1DB6EDF3" w14:textId="77777777" w:rsidR="00281494" w:rsidRPr="005A0CEA" w:rsidRDefault="00281494" w:rsidP="007C5F0E">
            <w:pPr>
              <w:pStyle w:val="TableText"/>
              <w:jc w:val="center"/>
              <w:rPr>
                <w:rFonts w:asciiTheme="majorBidi" w:hAnsiTheme="majorBidi" w:cstheme="majorBidi"/>
                <w:szCs w:val="20"/>
              </w:rPr>
            </w:pPr>
          </w:p>
        </w:tc>
      </w:tr>
      <w:tr w:rsidR="00281494" w:rsidRPr="005A0CEA" w14:paraId="67DFDA41"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7E032806" w14:textId="77777777" w:rsidR="00281494" w:rsidRPr="005A0CEA" w:rsidRDefault="00281494" w:rsidP="007C5F0E">
            <w:pPr>
              <w:pStyle w:val="TableText"/>
              <w:ind w:left="465"/>
              <w:rPr>
                <w:rFonts w:asciiTheme="majorBidi" w:hAnsiTheme="majorBidi" w:cstheme="majorBidi"/>
                <w:szCs w:val="20"/>
              </w:rPr>
            </w:pPr>
            <w:r w:rsidRPr="005A0CEA">
              <w:rPr>
                <w:rFonts w:asciiTheme="majorBidi" w:hAnsiTheme="majorBidi" w:cstheme="majorBidi"/>
                <w:szCs w:val="20"/>
              </w:rPr>
              <w:t>Change from baseline</w:t>
            </w:r>
            <w:r w:rsidRPr="005A0CEA">
              <w:rPr>
                <w:rFonts w:asciiTheme="majorBidi" w:hAnsiTheme="majorBidi" w:cstheme="majorBidi"/>
                <w:szCs w:val="20"/>
                <w:vertAlign w:val="superscript"/>
              </w:rPr>
              <w:t>1</w:t>
            </w:r>
          </w:p>
        </w:tc>
        <w:tc>
          <w:tcPr>
            <w:tcW w:w="1984" w:type="dxa"/>
            <w:tcBorders>
              <w:top w:val="single" w:sz="4" w:space="0" w:color="auto"/>
              <w:left w:val="single" w:sz="4" w:space="0" w:color="auto"/>
              <w:bottom w:val="single" w:sz="4" w:space="0" w:color="auto"/>
              <w:right w:val="single" w:sz="4" w:space="0" w:color="auto"/>
            </w:tcBorders>
          </w:tcPr>
          <w:p w14:paraId="5A23662D"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−2.0</w:t>
            </w:r>
          </w:p>
        </w:tc>
        <w:tc>
          <w:tcPr>
            <w:tcW w:w="1985" w:type="dxa"/>
            <w:tcBorders>
              <w:top w:val="single" w:sz="4" w:space="0" w:color="auto"/>
              <w:left w:val="single" w:sz="4" w:space="0" w:color="auto"/>
              <w:bottom w:val="single" w:sz="4" w:space="0" w:color="auto"/>
              <w:right w:val="single" w:sz="4" w:space="0" w:color="auto"/>
            </w:tcBorders>
          </w:tcPr>
          <w:p w14:paraId="1B13B57A"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−3.7</w:t>
            </w:r>
          </w:p>
        </w:tc>
        <w:tc>
          <w:tcPr>
            <w:tcW w:w="992" w:type="dxa"/>
            <w:tcBorders>
              <w:top w:val="single" w:sz="4" w:space="0" w:color="auto"/>
              <w:left w:val="single" w:sz="4" w:space="0" w:color="auto"/>
              <w:bottom w:val="single" w:sz="4" w:space="0" w:color="auto"/>
              <w:right w:val="single" w:sz="4" w:space="0" w:color="auto"/>
            </w:tcBorders>
          </w:tcPr>
          <w:p w14:paraId="5E25B6BA"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0.5</w:t>
            </w:r>
          </w:p>
        </w:tc>
      </w:tr>
      <w:tr w:rsidR="00281494" w:rsidRPr="005A0CEA" w14:paraId="3B536BA8" w14:textId="77777777" w:rsidTr="00D038B0">
        <w:trPr>
          <w:trHeight w:val="253"/>
        </w:trPr>
        <w:tc>
          <w:tcPr>
            <w:tcW w:w="4248" w:type="dxa"/>
            <w:tcBorders>
              <w:top w:val="single" w:sz="4" w:space="0" w:color="auto"/>
              <w:left w:val="single" w:sz="4" w:space="0" w:color="auto"/>
              <w:bottom w:val="single" w:sz="4" w:space="0" w:color="auto"/>
              <w:right w:val="single" w:sz="4" w:space="0" w:color="auto"/>
            </w:tcBorders>
          </w:tcPr>
          <w:p w14:paraId="11C4E3E8" w14:textId="77777777" w:rsidR="00281494" w:rsidRPr="005A0CEA" w:rsidRDefault="00281494" w:rsidP="007C5F0E">
            <w:pPr>
              <w:pStyle w:val="TableText"/>
              <w:ind w:left="465"/>
              <w:rPr>
                <w:rFonts w:asciiTheme="majorBidi" w:hAnsiTheme="majorBidi" w:cstheme="majorBidi"/>
                <w:szCs w:val="20"/>
              </w:rPr>
            </w:pPr>
            <w:r w:rsidRPr="005A0CEA">
              <w:rPr>
                <w:rFonts w:asciiTheme="majorBidi" w:hAnsiTheme="majorBidi" w:cstheme="majorBidi"/>
                <w:szCs w:val="20"/>
              </w:rPr>
              <w:t>Difference from placebo</w:t>
            </w:r>
            <w:r w:rsidRPr="005A0CEA">
              <w:rPr>
                <w:rFonts w:asciiTheme="majorBidi" w:hAnsiTheme="majorBidi" w:cstheme="majorBidi"/>
                <w:szCs w:val="20"/>
                <w:vertAlign w:val="superscript"/>
              </w:rPr>
              <w:t>1</w:t>
            </w:r>
            <w:r w:rsidRPr="005A0CEA">
              <w:rPr>
                <w:rFonts w:asciiTheme="majorBidi" w:hAnsiTheme="majorBidi" w:cstheme="majorBidi"/>
                <w:szCs w:val="20"/>
              </w:rPr>
              <w:t xml:space="preserve"> [95% CI]</w:t>
            </w:r>
          </w:p>
        </w:tc>
        <w:tc>
          <w:tcPr>
            <w:tcW w:w="1984" w:type="dxa"/>
            <w:tcBorders>
              <w:top w:val="single" w:sz="4" w:space="0" w:color="auto"/>
              <w:left w:val="single" w:sz="4" w:space="0" w:color="auto"/>
              <w:bottom w:val="single" w:sz="4" w:space="0" w:color="auto"/>
              <w:right w:val="single" w:sz="4" w:space="0" w:color="auto"/>
            </w:tcBorders>
          </w:tcPr>
          <w:p w14:paraId="4967EB29"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−2.5 [−3.6; −1.</w:t>
            </w:r>
            <w:proofErr w:type="gramStart"/>
            <w:r w:rsidRPr="005A0CEA">
              <w:rPr>
                <w:rFonts w:asciiTheme="majorBidi" w:hAnsiTheme="majorBidi" w:cstheme="majorBidi"/>
                <w:szCs w:val="20"/>
              </w:rPr>
              <w:t>4]</w:t>
            </w:r>
            <w:r w:rsidRPr="005A0CEA">
              <w:rPr>
                <w:rFonts w:asciiTheme="majorBidi" w:hAnsiTheme="majorBidi" w:cstheme="majorBidi"/>
                <w:szCs w:val="20"/>
                <w:vertAlign w:val="superscript"/>
              </w:rPr>
              <w:t>§</w:t>
            </w:r>
            <w:proofErr w:type="gramEnd"/>
          </w:p>
        </w:tc>
        <w:tc>
          <w:tcPr>
            <w:tcW w:w="1985" w:type="dxa"/>
            <w:tcBorders>
              <w:top w:val="single" w:sz="4" w:space="0" w:color="auto"/>
              <w:left w:val="single" w:sz="4" w:space="0" w:color="auto"/>
              <w:bottom w:val="single" w:sz="4" w:space="0" w:color="auto"/>
              <w:right w:val="single" w:sz="4" w:space="0" w:color="auto"/>
            </w:tcBorders>
          </w:tcPr>
          <w:p w14:paraId="32B5605B"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−4.3 [−5.3; −3.</w:t>
            </w:r>
            <w:proofErr w:type="gramStart"/>
            <w:r w:rsidRPr="005A0CEA">
              <w:rPr>
                <w:rFonts w:asciiTheme="majorBidi" w:hAnsiTheme="majorBidi" w:cstheme="majorBidi"/>
                <w:szCs w:val="20"/>
              </w:rPr>
              <w:t>2]</w:t>
            </w:r>
            <w:r w:rsidRPr="005A0CEA">
              <w:rPr>
                <w:rFonts w:asciiTheme="majorBidi" w:hAnsiTheme="majorBidi" w:cstheme="majorBidi"/>
                <w:szCs w:val="20"/>
                <w:vertAlign w:val="superscript"/>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733E6271" w14:textId="77777777" w:rsidR="00281494" w:rsidRPr="005A0CEA" w:rsidRDefault="00281494" w:rsidP="007C5F0E">
            <w:pPr>
              <w:pStyle w:val="TableText"/>
              <w:jc w:val="center"/>
              <w:rPr>
                <w:rFonts w:asciiTheme="majorBidi" w:hAnsiTheme="majorBidi" w:cstheme="majorBidi"/>
                <w:szCs w:val="20"/>
              </w:rPr>
            </w:pPr>
            <w:r w:rsidRPr="005A0CEA">
              <w:rPr>
                <w:rFonts w:asciiTheme="majorBidi" w:hAnsiTheme="majorBidi" w:cstheme="majorBidi"/>
                <w:szCs w:val="20"/>
              </w:rPr>
              <w:t>-</w:t>
            </w:r>
          </w:p>
        </w:tc>
      </w:tr>
    </w:tbl>
    <w:p w14:paraId="3B4A02A5" w14:textId="77777777" w:rsidR="0068483B" w:rsidRPr="005A0CEA" w:rsidRDefault="0068483B" w:rsidP="007C5F0E">
      <w:pPr>
        <w:rPr>
          <w:sz w:val="18"/>
          <w:szCs w:val="22"/>
          <w:lang w:val="en-GB"/>
        </w:rPr>
      </w:pPr>
      <w:r w:rsidRPr="005A0CEA">
        <w:rPr>
          <w:sz w:val="18"/>
          <w:szCs w:val="22"/>
          <w:vertAlign w:val="superscript"/>
          <w:lang w:val="en-GB"/>
        </w:rPr>
        <w:t>1</w:t>
      </w:r>
      <w:r w:rsidRPr="005A0CEA">
        <w:rPr>
          <w:sz w:val="18"/>
          <w:szCs w:val="22"/>
          <w:lang w:val="en-GB"/>
        </w:rPr>
        <w:t xml:space="preserve"> Irrespective of treatment discontinuation or initiation of rescue medication (pattern mixture model using multiple imputation). </w:t>
      </w:r>
    </w:p>
    <w:p w14:paraId="1E434E4E" w14:textId="171FD563" w:rsidR="0068483B" w:rsidRPr="005A0CEA" w:rsidRDefault="0068483B" w:rsidP="007C5F0E">
      <w:pPr>
        <w:rPr>
          <w:sz w:val="18"/>
          <w:szCs w:val="22"/>
          <w:vertAlign w:val="superscript"/>
          <w:lang w:val="en-GB"/>
        </w:rPr>
      </w:pPr>
      <w:r w:rsidRPr="005A0CEA">
        <w:rPr>
          <w:sz w:val="18"/>
          <w:szCs w:val="22"/>
          <w:vertAlign w:val="superscript"/>
          <w:lang w:val="en-GB"/>
        </w:rPr>
        <w:t xml:space="preserve">* </w:t>
      </w:r>
      <w:r w:rsidRPr="005A0CEA">
        <w:rPr>
          <w:sz w:val="18"/>
          <w:szCs w:val="22"/>
          <w:lang w:val="en-GB"/>
        </w:rPr>
        <w:t>p&lt;0.001 (unadjusted 2-sided) for superiority, controlled for multiplicity.</w:t>
      </w:r>
      <w:r w:rsidRPr="005A0CEA">
        <w:rPr>
          <w:sz w:val="18"/>
          <w:szCs w:val="22"/>
          <w:vertAlign w:val="superscript"/>
          <w:lang w:val="en-GB"/>
        </w:rPr>
        <w:t xml:space="preserve"> </w:t>
      </w:r>
    </w:p>
    <w:p w14:paraId="3719A748" w14:textId="77777777" w:rsidR="0068483B" w:rsidRPr="005A0CEA" w:rsidRDefault="0068483B" w:rsidP="007C5F0E">
      <w:pPr>
        <w:rPr>
          <w:sz w:val="18"/>
          <w:szCs w:val="22"/>
          <w:lang w:val="en-GB"/>
        </w:rPr>
      </w:pPr>
      <w:r w:rsidRPr="005A0CEA">
        <w:rPr>
          <w:sz w:val="18"/>
          <w:szCs w:val="22"/>
          <w:vertAlign w:val="superscript"/>
          <w:lang w:val="en-GB"/>
        </w:rPr>
        <w:t>§</w:t>
      </w:r>
      <w:r w:rsidRPr="005A0CEA">
        <w:rPr>
          <w:sz w:val="18"/>
          <w:szCs w:val="22"/>
          <w:lang w:val="en-GB"/>
        </w:rPr>
        <w:t xml:space="preserve"> p&lt;0.05, not controlled for multiplicity; for ‘Patients achieving HbA</w:t>
      </w:r>
      <w:r w:rsidRPr="005A0CEA">
        <w:rPr>
          <w:sz w:val="18"/>
          <w:szCs w:val="22"/>
          <w:vertAlign w:val="subscript"/>
          <w:lang w:val="en-GB"/>
        </w:rPr>
        <w:t>1c</w:t>
      </w:r>
      <w:r w:rsidRPr="005A0CEA">
        <w:rPr>
          <w:sz w:val="18"/>
          <w:szCs w:val="22"/>
          <w:lang w:val="en-GB"/>
        </w:rPr>
        <w:t xml:space="preserve"> &lt;7.0%’, the p-value is for the odds ratio vs placebo. </w:t>
      </w:r>
    </w:p>
    <w:p w14:paraId="434C2E79" w14:textId="5526FFF0" w:rsidR="003E3545" w:rsidRPr="005A0CEA" w:rsidRDefault="0068483B" w:rsidP="007C5F0E">
      <w:pPr>
        <w:rPr>
          <w:sz w:val="18"/>
          <w:szCs w:val="18"/>
          <w:vertAlign w:val="superscript"/>
          <w:lang w:val="en-GB"/>
        </w:rPr>
      </w:pPr>
      <w:r w:rsidRPr="005A0CEA">
        <w:rPr>
          <w:sz w:val="18"/>
          <w:szCs w:val="22"/>
          <w:vertAlign w:val="superscript"/>
          <w:lang w:val="en-GB"/>
        </w:rPr>
        <w:t>+</w:t>
      </w:r>
      <w:r w:rsidRPr="005A0CEA">
        <w:rPr>
          <w:sz w:val="18"/>
          <w:szCs w:val="22"/>
          <w:lang w:val="en-GB"/>
        </w:rPr>
        <w:t xml:space="preserve"> The total daily insulin dose was statistically significantly lower with semaglutide than with placebo at week 52.</w:t>
      </w:r>
    </w:p>
    <w:p w14:paraId="6388D83C" w14:textId="5FA6568D" w:rsidR="00281494" w:rsidRPr="005A0CEA" w:rsidRDefault="00281494" w:rsidP="007C5F0E">
      <w:pPr>
        <w:rPr>
          <w:sz w:val="18"/>
          <w:szCs w:val="18"/>
          <w:lang w:val="en-GB"/>
        </w:rPr>
      </w:pPr>
    </w:p>
    <w:p w14:paraId="0B5352C4" w14:textId="119557C4" w:rsidR="008073AB" w:rsidRPr="005A0CEA" w:rsidRDefault="008073AB" w:rsidP="007C5F0E">
      <w:pPr>
        <w:rPr>
          <w:sz w:val="18"/>
          <w:szCs w:val="18"/>
          <w:lang w:val="en-GB"/>
        </w:rPr>
      </w:pPr>
      <w:r w:rsidRPr="005A0CEA">
        <w:rPr>
          <w:lang w:val="en-GB"/>
        </w:rPr>
        <w:t>The mean changes from baseline in total daily insulin dose at week 26 were −1 U, −8 U and −9 U for placebo, Rybelsus 7 mg and Rybelsus 14 mg, respectively. The difference from placebo for Rybelsus 7 mg and Rybelsus</w:t>
      </w:r>
      <w:r w:rsidRPr="005A0CEA">
        <w:rPr>
          <w:vertAlign w:val="superscript"/>
          <w:lang w:val="en-GB"/>
        </w:rPr>
        <w:t>®</w:t>
      </w:r>
      <w:r w:rsidRPr="005A0CEA">
        <w:rPr>
          <w:lang w:val="en-GB"/>
        </w:rPr>
        <w:t xml:space="preserve"> 14 mg was −8 [−12; −3]</w:t>
      </w:r>
      <w:r w:rsidRPr="005A0CEA">
        <w:rPr>
          <w:vertAlign w:val="subscript"/>
          <w:lang w:val="en-GB"/>
        </w:rPr>
        <w:t>95% CI</w:t>
      </w:r>
      <w:r w:rsidRPr="005A0CEA">
        <w:rPr>
          <w:lang w:val="en-GB"/>
        </w:rPr>
        <w:t xml:space="preserve"> and −8 [−13; −3]</w:t>
      </w:r>
      <w:r w:rsidRPr="005A0CEA">
        <w:rPr>
          <w:vertAlign w:val="subscript"/>
          <w:lang w:val="en-GB"/>
        </w:rPr>
        <w:t>95% CI</w:t>
      </w:r>
      <w:r w:rsidRPr="005A0CEA">
        <w:rPr>
          <w:lang w:val="en-GB"/>
        </w:rPr>
        <w:t>, respectively. The mean changes from baseline in daily insulin dose at week 52 were 10 U, −6 U and −7 U for placebo, Rybelsus 7 mg and Rybelsus 14 mg, respectively. The difference from placebo for Rybelsus 7 mg and Rybelsus 14 mg was −16 [−25; −8]</w:t>
      </w:r>
      <w:r w:rsidRPr="005A0CEA">
        <w:rPr>
          <w:vertAlign w:val="subscript"/>
          <w:lang w:val="en-GB"/>
        </w:rPr>
        <w:t>95% CI</w:t>
      </w:r>
      <w:r w:rsidRPr="005A0CEA">
        <w:rPr>
          <w:lang w:val="en-GB"/>
        </w:rPr>
        <w:t xml:space="preserve"> and −17 [−25; −9]</w:t>
      </w:r>
      <w:r w:rsidRPr="005A0CEA">
        <w:rPr>
          <w:vertAlign w:val="subscript"/>
          <w:lang w:val="en-GB"/>
        </w:rPr>
        <w:t>95% CI</w:t>
      </w:r>
      <w:r w:rsidRPr="005A0CEA">
        <w:rPr>
          <w:lang w:val="en-GB"/>
        </w:rPr>
        <w:t>, respectively.</w:t>
      </w:r>
    </w:p>
    <w:p w14:paraId="5A3390CE" w14:textId="63607835" w:rsidR="005A2200" w:rsidRPr="005A0CEA" w:rsidRDefault="007E086A" w:rsidP="007C5F0E">
      <w:pPr>
        <w:pStyle w:val="Heading3"/>
        <w:rPr>
          <w:lang w:val="en-GB"/>
        </w:rPr>
      </w:pPr>
      <w:r w:rsidRPr="005A0CEA">
        <w:rPr>
          <w:lang w:val="en-GB"/>
        </w:rPr>
        <w:t>C</w:t>
      </w:r>
      <w:r w:rsidR="005A2200" w:rsidRPr="005A0CEA">
        <w:rPr>
          <w:lang w:val="en-GB"/>
        </w:rPr>
        <w:t xml:space="preserve">ardiovascular </w:t>
      </w:r>
      <w:r w:rsidRPr="005A0CEA">
        <w:rPr>
          <w:lang w:val="en-GB"/>
        </w:rPr>
        <w:t>evaluation</w:t>
      </w:r>
    </w:p>
    <w:p w14:paraId="7329A01D" w14:textId="69612738" w:rsidR="009544C0" w:rsidRPr="005A0CEA" w:rsidRDefault="009544C0" w:rsidP="007C5F0E">
      <w:pPr>
        <w:pStyle w:val="Heading6"/>
        <w:keepNext/>
        <w:keepLines/>
        <w:rPr>
          <w:lang w:val="en-GB"/>
        </w:rPr>
      </w:pPr>
      <w:r w:rsidRPr="005A0CEA">
        <w:rPr>
          <w:lang w:val="en-GB"/>
        </w:rPr>
        <w:t>PIONEER 6</w:t>
      </w:r>
    </w:p>
    <w:p w14:paraId="3E8CE50C" w14:textId="7240DCFD" w:rsidR="009544C0" w:rsidRPr="005A0CEA" w:rsidRDefault="009544C0" w:rsidP="007C5F0E">
      <w:pPr>
        <w:rPr>
          <w:lang w:val="en-GB"/>
        </w:rPr>
      </w:pPr>
      <w:r w:rsidRPr="005A0CEA">
        <w:rPr>
          <w:lang w:val="en-GB"/>
        </w:rPr>
        <w:t xml:space="preserve"> </w:t>
      </w:r>
      <w:r w:rsidR="00353542" w:rsidRPr="005A0CEA">
        <w:rPr>
          <w:lang w:val="en-GB"/>
        </w:rPr>
        <w:t xml:space="preserve">In a double-blind cardiovascular outcomes trial, 3,183 patients with type 2 diabetes at high cardiovascular risk were randomised to Rybelsus 14 mg once daily or placebo in addition to standard-of-care. </w:t>
      </w:r>
      <w:r w:rsidRPr="005A0CEA">
        <w:rPr>
          <w:lang w:val="en-GB"/>
        </w:rPr>
        <w:t>The median observation period was 16 months.</w:t>
      </w:r>
    </w:p>
    <w:p w14:paraId="714AD716" w14:textId="77777777" w:rsidR="009544C0" w:rsidRPr="005A0CEA" w:rsidRDefault="009544C0" w:rsidP="007C5F0E">
      <w:pPr>
        <w:rPr>
          <w:lang w:val="en-GB"/>
        </w:rPr>
      </w:pPr>
    </w:p>
    <w:p w14:paraId="02BBFC6A" w14:textId="36137309" w:rsidR="009544C0" w:rsidRPr="005A0CEA" w:rsidRDefault="009544C0" w:rsidP="007C5F0E">
      <w:pPr>
        <w:rPr>
          <w:lang w:val="en-GB"/>
        </w:rPr>
      </w:pPr>
      <w:r w:rsidRPr="005A0CEA">
        <w:rPr>
          <w:lang w:val="en-GB"/>
        </w:rPr>
        <w:lastRenderedPageBreak/>
        <w:t xml:space="preserve">The primary endpoint was time from randomisation to first occurrence of a MACE event: cardiovascular death, non-fatal myocardial </w:t>
      </w:r>
      <w:proofErr w:type="gramStart"/>
      <w:r w:rsidRPr="005A0CEA">
        <w:rPr>
          <w:lang w:val="en-GB"/>
        </w:rPr>
        <w:t>infarction</w:t>
      </w:r>
      <w:proofErr w:type="gramEnd"/>
      <w:r w:rsidRPr="005A0CEA">
        <w:rPr>
          <w:lang w:val="en-GB"/>
        </w:rPr>
        <w:t xml:space="preserve"> or non-fatal stroke.</w:t>
      </w:r>
    </w:p>
    <w:p w14:paraId="48CA5A74" w14:textId="77777777" w:rsidR="009544C0" w:rsidRPr="005A0CEA" w:rsidRDefault="009544C0" w:rsidP="007C5F0E">
      <w:pPr>
        <w:rPr>
          <w:lang w:val="en-GB"/>
        </w:rPr>
      </w:pPr>
    </w:p>
    <w:p w14:paraId="73176407" w14:textId="2330E4AE" w:rsidR="009544C0" w:rsidRPr="005A0CEA" w:rsidRDefault="009544C0" w:rsidP="007C5F0E">
      <w:pPr>
        <w:rPr>
          <w:lang w:val="en-GB"/>
        </w:rPr>
      </w:pPr>
      <w:r w:rsidRPr="005A0CEA">
        <w:rPr>
          <w:lang w:val="en-GB"/>
        </w:rPr>
        <w:t xml:space="preserve">Patients eligible to enter the trial were: 50 years of age or older and with established cardiovascular disease and/or chronic kidney disease, or 60 years of age or older and with cardiovascular risk factors only. In total, 1,797 patients (56.5%) had established cardiovascular disease without chronic kidney disease, 354 (11.1%) had chronic kidney disease only and 544 (17.1%) had both cardiovascular disease and kidney disease. 488 patients (15.3%) had cardiovascular risk factors only. The mean age at baseline was 66 years, and 68% of the patients were men. The mean duration of diabetes was 14.9 </w:t>
      </w:r>
      <w:proofErr w:type="gramStart"/>
      <w:r w:rsidRPr="005A0CEA">
        <w:rPr>
          <w:lang w:val="en-GB"/>
        </w:rPr>
        <w:t>years</w:t>
      </w:r>
      <w:proofErr w:type="gramEnd"/>
      <w:r w:rsidRPr="005A0CEA">
        <w:rPr>
          <w:lang w:val="en-GB"/>
        </w:rPr>
        <w:t xml:space="preserve"> and the mean BMI was 32.</w:t>
      </w:r>
      <w:r w:rsidR="007E086A" w:rsidRPr="005A0CEA">
        <w:rPr>
          <w:lang w:val="en-GB"/>
        </w:rPr>
        <w:t>3</w:t>
      </w:r>
      <w:r w:rsidRPr="005A0CEA">
        <w:rPr>
          <w:lang w:val="en-GB"/>
        </w:rPr>
        <w:t xml:space="preserve"> kg/m</w:t>
      </w:r>
      <w:r w:rsidRPr="005A0CEA">
        <w:rPr>
          <w:vertAlign w:val="superscript"/>
          <w:lang w:val="en-GB"/>
        </w:rPr>
        <w:t>2</w:t>
      </w:r>
      <w:r w:rsidRPr="005A0CEA">
        <w:rPr>
          <w:lang w:val="en-GB"/>
        </w:rPr>
        <w:t>. Medical history included stroke (11.7%) and myocardial infarction (36.1%).</w:t>
      </w:r>
    </w:p>
    <w:p w14:paraId="3952919E" w14:textId="77777777" w:rsidR="009544C0" w:rsidRPr="005A0CEA" w:rsidRDefault="009544C0" w:rsidP="007C5F0E">
      <w:pPr>
        <w:rPr>
          <w:lang w:val="en-GB"/>
        </w:rPr>
      </w:pPr>
    </w:p>
    <w:p w14:paraId="4DCA1046" w14:textId="3D6ADAAF" w:rsidR="009544C0" w:rsidRPr="005A0CEA" w:rsidRDefault="009544C0" w:rsidP="007C5F0E">
      <w:pPr>
        <w:rPr>
          <w:lang w:val="en-GB"/>
        </w:rPr>
      </w:pPr>
      <w:r w:rsidRPr="005A0CEA">
        <w:rPr>
          <w:lang w:val="en-GB"/>
        </w:rPr>
        <w:t xml:space="preserve">The total number of first MACE </w:t>
      </w:r>
      <w:r w:rsidR="00642581" w:rsidRPr="005A0CEA">
        <w:rPr>
          <w:lang w:val="en-GB"/>
        </w:rPr>
        <w:t xml:space="preserve">(cardiovascular death, non-fatal myocardial infarction or non -fatal stroke) </w:t>
      </w:r>
      <w:r w:rsidRPr="005A0CEA">
        <w:rPr>
          <w:lang w:val="en-GB"/>
        </w:rPr>
        <w:t xml:space="preserve">was 137: 61 (3.8%) with Rybelsus and 76 (4.8%) with placebo. The analysis of time to first MACE </w:t>
      </w:r>
      <w:r w:rsidR="00353542" w:rsidRPr="005A0CEA">
        <w:rPr>
          <w:lang w:val="en-GB"/>
        </w:rPr>
        <w:t xml:space="preserve">(cardiovascular death, non-fatal myocardial infarction or non -fatal stroke) </w:t>
      </w:r>
      <w:r w:rsidRPr="005A0CEA">
        <w:rPr>
          <w:lang w:val="en-GB"/>
        </w:rPr>
        <w:t xml:space="preserve">resulted in a HR of 0.79 </w:t>
      </w:r>
      <w:r w:rsidR="00353542" w:rsidRPr="005A0CEA">
        <w:rPr>
          <w:lang w:val="en-GB"/>
        </w:rPr>
        <w:t>(95% CI: 0.57, 1.11)</w:t>
      </w:r>
      <w:r w:rsidRPr="005A0CEA">
        <w:rPr>
          <w:lang w:val="en-GB"/>
        </w:rPr>
        <w:t>.</w:t>
      </w:r>
    </w:p>
    <w:p w14:paraId="342A124E" w14:textId="1313C6BF" w:rsidR="009544C0" w:rsidRPr="005A0CEA" w:rsidRDefault="009544C0" w:rsidP="007C5F0E">
      <w:pPr>
        <w:rPr>
          <w:lang w:val="en-GB"/>
        </w:rPr>
      </w:pPr>
      <w:r w:rsidRPr="005A0CEA">
        <w:rPr>
          <w:noProof/>
          <w:lang w:val="en-GB"/>
        </w:rPr>
        <w:drawing>
          <wp:inline distT="0" distB="0" distL="0" distR="0" wp14:anchorId="3CB00F0B" wp14:editId="3471F6BF">
            <wp:extent cx="4540195" cy="328769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6240" cy="3292070"/>
                    </a:xfrm>
                    <a:prstGeom prst="rect">
                      <a:avLst/>
                    </a:prstGeom>
                  </pic:spPr>
                </pic:pic>
              </a:graphicData>
            </a:graphic>
          </wp:inline>
        </w:drawing>
      </w:r>
    </w:p>
    <w:p w14:paraId="244B937C" w14:textId="77777777" w:rsidR="009544C0" w:rsidRPr="005A0CEA" w:rsidRDefault="009544C0" w:rsidP="007C5F0E">
      <w:pPr>
        <w:rPr>
          <w:sz w:val="18"/>
          <w:szCs w:val="18"/>
          <w:lang w:val="en-GB"/>
        </w:rPr>
      </w:pPr>
      <w:r w:rsidRPr="005A0CEA">
        <w:rPr>
          <w:sz w:val="18"/>
          <w:szCs w:val="18"/>
          <w:lang w:val="en-GB"/>
        </w:rPr>
        <w:t>Cumulative incidence plot of primary outcome (a composite of cardiovascular death, nonfatal myocardial infarction, or</w:t>
      </w:r>
    </w:p>
    <w:p w14:paraId="0265BAFE" w14:textId="77777777" w:rsidR="009544C0" w:rsidRPr="005A0CEA" w:rsidRDefault="009544C0" w:rsidP="007C5F0E">
      <w:pPr>
        <w:rPr>
          <w:sz w:val="18"/>
          <w:szCs w:val="18"/>
          <w:lang w:val="en-GB"/>
        </w:rPr>
      </w:pPr>
      <w:r w:rsidRPr="005A0CEA">
        <w:rPr>
          <w:sz w:val="18"/>
          <w:szCs w:val="18"/>
          <w:lang w:val="en-GB"/>
        </w:rPr>
        <w:t>nonfatal stroke) with non-cardiovascular death as competing risk.</w:t>
      </w:r>
    </w:p>
    <w:p w14:paraId="13C34591" w14:textId="77777777" w:rsidR="009544C0" w:rsidRPr="005A0CEA" w:rsidRDefault="009544C0" w:rsidP="007C5F0E">
      <w:pPr>
        <w:rPr>
          <w:sz w:val="18"/>
          <w:szCs w:val="18"/>
          <w:lang w:val="en-GB"/>
        </w:rPr>
      </w:pPr>
      <w:r w:rsidRPr="005A0CEA">
        <w:rPr>
          <w:sz w:val="18"/>
          <w:szCs w:val="18"/>
          <w:lang w:val="en-GB"/>
        </w:rPr>
        <w:t>Abbreviations: CI: Confidence interval, HR: Hazard ratio</w:t>
      </w:r>
    </w:p>
    <w:p w14:paraId="78BC3A31" w14:textId="2F3793D3" w:rsidR="009544C0" w:rsidRPr="005A0CEA" w:rsidRDefault="009544C0" w:rsidP="000C4E63">
      <w:pPr>
        <w:pageBreakBefore/>
        <w:rPr>
          <w:b/>
          <w:bCs/>
          <w:lang w:val="en-GB"/>
        </w:rPr>
      </w:pPr>
      <w:r w:rsidRPr="005A0CEA">
        <w:rPr>
          <w:b/>
          <w:bCs/>
          <w:lang w:val="en-GB"/>
        </w:rPr>
        <w:lastRenderedPageBreak/>
        <w:t xml:space="preserve">Figure </w:t>
      </w:r>
      <w:r w:rsidRPr="005A0CEA">
        <w:rPr>
          <w:b/>
          <w:bCs/>
          <w:lang w:val="en-GB"/>
        </w:rPr>
        <w:fldChar w:fldCharType="begin"/>
      </w:r>
      <w:r w:rsidRPr="005A0CEA">
        <w:rPr>
          <w:b/>
          <w:bCs/>
          <w:lang w:val="en-GB"/>
        </w:rPr>
        <w:instrText xml:space="preserve"> SEQ Figure \* ARABIC \s 1 </w:instrText>
      </w:r>
      <w:r w:rsidRPr="005A0CEA">
        <w:rPr>
          <w:b/>
          <w:bCs/>
          <w:lang w:val="en-GB"/>
        </w:rPr>
        <w:fldChar w:fldCharType="separate"/>
      </w:r>
      <w:r w:rsidR="00A334F6">
        <w:rPr>
          <w:b/>
          <w:bCs/>
          <w:noProof/>
          <w:lang w:val="en-GB"/>
        </w:rPr>
        <w:t>1</w:t>
      </w:r>
      <w:r w:rsidRPr="005A0CEA">
        <w:rPr>
          <w:b/>
          <w:bCs/>
          <w:lang w:val="en-GB"/>
        </w:rPr>
        <w:fldChar w:fldCharType="end"/>
      </w:r>
      <w:r w:rsidRPr="005A0CEA">
        <w:rPr>
          <w:b/>
          <w:bCs/>
          <w:lang w:val="en-GB"/>
        </w:rPr>
        <w:t>: Cumulative incidence of time to first occurrence of MACE in PIONEER 6</w:t>
      </w:r>
    </w:p>
    <w:p w14:paraId="7E5B4498" w14:textId="77777777" w:rsidR="009544C0" w:rsidRPr="005A0CEA" w:rsidRDefault="009544C0" w:rsidP="007C5F0E">
      <w:pPr>
        <w:rPr>
          <w:lang w:val="en-GB"/>
        </w:rPr>
      </w:pPr>
    </w:p>
    <w:p w14:paraId="7ED5845B" w14:textId="14294C22" w:rsidR="009544C0" w:rsidRPr="005A0CEA" w:rsidRDefault="009544C0" w:rsidP="007C5F0E">
      <w:pPr>
        <w:keepNext/>
        <w:keepLines/>
        <w:rPr>
          <w:lang w:val="en-GB"/>
        </w:rPr>
      </w:pPr>
      <w:r w:rsidRPr="005A0CEA">
        <w:rPr>
          <w:lang w:val="en-GB"/>
        </w:rPr>
        <w:t xml:space="preserve">The treatment effect for the primary composite endpoint and its components in the PIONEER 6 trial is shown in Figure </w:t>
      </w:r>
      <w:r w:rsidR="0077683E" w:rsidRPr="005A0CEA">
        <w:rPr>
          <w:lang w:val="en-GB"/>
        </w:rPr>
        <w:t>4</w:t>
      </w:r>
      <w:r w:rsidRPr="005A0CEA">
        <w:rPr>
          <w:lang w:val="en-GB"/>
        </w:rPr>
        <w:t>.</w:t>
      </w:r>
    </w:p>
    <w:p w14:paraId="0AFB946E" w14:textId="707A068A" w:rsidR="00E4092B" w:rsidRPr="005A0CEA" w:rsidRDefault="00E4092B" w:rsidP="007C5F0E">
      <w:pPr>
        <w:keepNext/>
        <w:keepLines/>
        <w:rPr>
          <w:lang w:val="en-GB"/>
        </w:rPr>
      </w:pPr>
    </w:p>
    <w:p w14:paraId="1459E062" w14:textId="07AFB9DE" w:rsidR="00E4092B" w:rsidRPr="005A0CEA" w:rsidRDefault="00E4092B" w:rsidP="007C5F0E">
      <w:pPr>
        <w:keepNext/>
        <w:keepLines/>
        <w:rPr>
          <w:lang w:val="en-GB"/>
        </w:rPr>
      </w:pPr>
      <w:r w:rsidRPr="005A0CEA">
        <w:rPr>
          <w:noProof/>
          <w:lang w:val="en-GB"/>
        </w:rPr>
        <w:drawing>
          <wp:inline distT="0" distB="0" distL="0" distR="0" wp14:anchorId="32799F13" wp14:editId="2E297665">
            <wp:extent cx="5080883" cy="3395511"/>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0488" cy="3408613"/>
                    </a:xfrm>
                    <a:prstGeom prst="rect">
                      <a:avLst/>
                    </a:prstGeom>
                  </pic:spPr>
                </pic:pic>
              </a:graphicData>
            </a:graphic>
          </wp:inline>
        </w:drawing>
      </w:r>
    </w:p>
    <w:p w14:paraId="7B7A1D76" w14:textId="79B0564F" w:rsidR="00E4092B" w:rsidRPr="005A0CEA" w:rsidRDefault="00E4092B" w:rsidP="007C5F0E">
      <w:pPr>
        <w:keepNext/>
        <w:keepLines/>
        <w:rPr>
          <w:b/>
          <w:bCs/>
          <w:lang w:val="en-GB"/>
        </w:rPr>
      </w:pPr>
      <w:r w:rsidRPr="005A0CEA">
        <w:rPr>
          <w:b/>
          <w:bCs/>
          <w:lang w:val="en-GB"/>
        </w:rPr>
        <w:t xml:space="preserve">Figure </w:t>
      </w:r>
      <w:r w:rsidRPr="005A0CEA">
        <w:rPr>
          <w:b/>
          <w:bCs/>
          <w:lang w:val="en-GB"/>
        </w:rPr>
        <w:fldChar w:fldCharType="begin"/>
      </w:r>
      <w:r w:rsidRPr="005A0CEA">
        <w:rPr>
          <w:b/>
          <w:bCs/>
          <w:lang w:val="en-GB"/>
        </w:rPr>
        <w:instrText xml:space="preserve"> SEQ Figure \* ARABIC \s 1 </w:instrText>
      </w:r>
      <w:r w:rsidRPr="005A0CEA">
        <w:rPr>
          <w:b/>
          <w:bCs/>
          <w:lang w:val="en-GB"/>
        </w:rPr>
        <w:fldChar w:fldCharType="separate"/>
      </w:r>
      <w:r w:rsidR="00A334F6">
        <w:rPr>
          <w:b/>
          <w:bCs/>
          <w:noProof/>
          <w:lang w:val="en-GB"/>
        </w:rPr>
        <w:t>2</w:t>
      </w:r>
      <w:r w:rsidRPr="005A0CEA">
        <w:rPr>
          <w:b/>
          <w:bCs/>
          <w:lang w:val="en-GB"/>
        </w:rPr>
        <w:fldChar w:fldCharType="end"/>
      </w:r>
      <w:r w:rsidRPr="005A0CEA">
        <w:rPr>
          <w:b/>
          <w:bCs/>
          <w:lang w:val="en-GB"/>
        </w:rPr>
        <w:t xml:space="preserve">: Forest plot: Treatment effect for the primary composite endpoint, its </w:t>
      </w:r>
      <w:proofErr w:type="gramStart"/>
      <w:r w:rsidRPr="005A0CEA">
        <w:rPr>
          <w:b/>
          <w:bCs/>
          <w:lang w:val="en-GB"/>
        </w:rPr>
        <w:t>components</w:t>
      </w:r>
      <w:proofErr w:type="gramEnd"/>
      <w:r w:rsidRPr="005A0CEA">
        <w:rPr>
          <w:b/>
          <w:bCs/>
          <w:lang w:val="en-GB"/>
        </w:rPr>
        <w:t xml:space="preserve"> and all cause death (PIONEER 6)</w:t>
      </w:r>
    </w:p>
    <w:p w14:paraId="64ACCF28" w14:textId="32CB2C08" w:rsidR="00B940A1" w:rsidRPr="005A0CEA" w:rsidRDefault="00B940A1" w:rsidP="007C5F0E">
      <w:pPr>
        <w:pStyle w:val="Heading3"/>
        <w:rPr>
          <w:lang w:val="en-GB"/>
        </w:rPr>
      </w:pPr>
      <w:r w:rsidRPr="005A0CEA">
        <w:rPr>
          <w:lang w:val="en-GB"/>
        </w:rPr>
        <w:t>Body weight</w:t>
      </w:r>
    </w:p>
    <w:p w14:paraId="376507C6" w14:textId="142A6A7E" w:rsidR="00B940A1" w:rsidRPr="005A0CEA" w:rsidRDefault="00B940A1" w:rsidP="007C5F0E">
      <w:pPr>
        <w:rPr>
          <w:lang w:val="en-GB"/>
        </w:rPr>
      </w:pPr>
      <w:r w:rsidRPr="005A0CEA">
        <w:rPr>
          <w:lang w:val="en-GB"/>
        </w:rPr>
        <w:t xml:space="preserve">By end-of-treatment, 27-45% of the patients had achieved a weight loss of ≥5% and 6-16% had achieved a weight loss of ≥10% with semaglutide, compared with 12-39% and 2-8%, respectively, with the active comparators. </w:t>
      </w:r>
    </w:p>
    <w:p w14:paraId="090ECA07" w14:textId="26566CC0" w:rsidR="00B940A1" w:rsidRPr="005A0CEA" w:rsidRDefault="00B940A1" w:rsidP="007C5F0E">
      <w:pPr>
        <w:pStyle w:val="Heading3"/>
        <w:rPr>
          <w:lang w:val="en-GB"/>
        </w:rPr>
      </w:pPr>
      <w:r w:rsidRPr="005A0CEA">
        <w:rPr>
          <w:lang w:val="en-GB"/>
        </w:rPr>
        <w:t>Blood Pressure</w:t>
      </w:r>
    </w:p>
    <w:p w14:paraId="5C96C748" w14:textId="089F037B" w:rsidR="00B940A1" w:rsidRPr="005A0CEA" w:rsidRDefault="00B940A1" w:rsidP="007C5F0E">
      <w:pPr>
        <w:rPr>
          <w:lang w:val="en-GB"/>
        </w:rPr>
      </w:pPr>
      <w:r w:rsidRPr="005A0CEA">
        <w:rPr>
          <w:lang w:val="en-GB"/>
        </w:rPr>
        <w:t>Treatment with semaglutide had reduced systolic blood pressure by 2-7 mmHg.</w:t>
      </w:r>
    </w:p>
    <w:p w14:paraId="160022DC" w14:textId="19C12807" w:rsidR="00E4092B" w:rsidRPr="005A0CEA" w:rsidRDefault="00E4092B" w:rsidP="007C5F0E">
      <w:pPr>
        <w:pStyle w:val="Heading3"/>
        <w:rPr>
          <w:lang w:val="en-GB"/>
        </w:rPr>
      </w:pPr>
      <w:r w:rsidRPr="005A0CEA">
        <w:rPr>
          <w:lang w:val="en-GB"/>
        </w:rPr>
        <w:t>Immunogenicity</w:t>
      </w:r>
    </w:p>
    <w:p w14:paraId="78BBFA8E" w14:textId="32C5D6ED" w:rsidR="00E4092B" w:rsidRPr="005A0CEA" w:rsidRDefault="00E4092B" w:rsidP="007C5F0E">
      <w:pPr>
        <w:rPr>
          <w:lang w:val="en-GB"/>
        </w:rPr>
      </w:pPr>
      <w:r w:rsidRPr="005A0CEA">
        <w:rPr>
          <w:lang w:val="en-GB"/>
        </w:rPr>
        <w:t xml:space="preserve">Consistent with the potential immunogenic properties of medicinal products containing proteins or peptides, patients may develop antibodies following treatment with semaglutide. The proportion of subjects tested positive for </w:t>
      </w:r>
      <w:proofErr w:type="spellStart"/>
      <w:r w:rsidRPr="005A0CEA">
        <w:rPr>
          <w:lang w:val="en-GB"/>
        </w:rPr>
        <w:t>antisemaglutide</w:t>
      </w:r>
      <w:proofErr w:type="spellEnd"/>
      <w:r w:rsidRPr="005A0CEA">
        <w:rPr>
          <w:lang w:val="en-GB"/>
        </w:rPr>
        <w:t xml:space="preserve"> antibodies at any time point after baseline was low (0.5%) and no subjects had neutralising anti-semaglutide antibodies or anti-semaglutide antibodies with neutralising effect on endogenous GLP-1 at end-of-trial.</w:t>
      </w:r>
    </w:p>
    <w:p w14:paraId="6AD2FF89" w14:textId="77777777" w:rsidR="00E4092B" w:rsidRPr="005A0CEA" w:rsidRDefault="00E4092B" w:rsidP="007C5F0E">
      <w:pPr>
        <w:rPr>
          <w:lang w:val="en-GB"/>
        </w:rPr>
      </w:pPr>
    </w:p>
    <w:p w14:paraId="44AEEE33" w14:textId="77777777" w:rsidR="00C44B67" w:rsidRPr="005A0CEA" w:rsidRDefault="00C44B67" w:rsidP="007C5F0E">
      <w:pPr>
        <w:pStyle w:val="Heading3"/>
        <w:rPr>
          <w:lang w:val="en-GB"/>
        </w:rPr>
      </w:pPr>
      <w:r w:rsidRPr="005A0CEA">
        <w:rPr>
          <w:lang w:val="en-GB"/>
        </w:rPr>
        <w:lastRenderedPageBreak/>
        <w:t>5.2</w:t>
      </w:r>
      <w:r w:rsidRPr="005A0CEA">
        <w:rPr>
          <w:lang w:val="en-GB"/>
        </w:rPr>
        <w:tab/>
        <w:t>Pharmacokinetic Properties</w:t>
      </w:r>
    </w:p>
    <w:p w14:paraId="05F4F8F1" w14:textId="40739050" w:rsidR="00C44B67" w:rsidRPr="005A0CEA" w:rsidRDefault="00C44B67" w:rsidP="007C5F0E">
      <w:pPr>
        <w:pStyle w:val="Heading4"/>
        <w:rPr>
          <w:lang w:val="en-GB"/>
        </w:rPr>
      </w:pPr>
      <w:r w:rsidRPr="005A0CEA">
        <w:rPr>
          <w:lang w:val="en-GB"/>
        </w:rPr>
        <w:t>Absorption</w:t>
      </w:r>
    </w:p>
    <w:p w14:paraId="707FE7E5" w14:textId="0F5A6429" w:rsidR="007E086A" w:rsidRPr="005A0CEA" w:rsidRDefault="007E086A" w:rsidP="007C5F0E">
      <w:pPr>
        <w:rPr>
          <w:lang w:val="en-GB"/>
        </w:rPr>
      </w:pPr>
      <w:r w:rsidRPr="005A0CEA">
        <w:rPr>
          <w:lang w:val="en-GB"/>
        </w:rPr>
        <w:t>Orally administered semaglutide has a low absolute bioavailability and a variable absorption. Daily administration according to the recommended posology in combination with a long half-life reduces day-to-day fluctuation of the exposure.</w:t>
      </w:r>
    </w:p>
    <w:p w14:paraId="7C07ECFE" w14:textId="77777777" w:rsidR="007E086A" w:rsidRPr="005A0CEA" w:rsidRDefault="007E086A" w:rsidP="007C5F0E">
      <w:pPr>
        <w:rPr>
          <w:lang w:val="en-GB"/>
        </w:rPr>
      </w:pPr>
    </w:p>
    <w:p w14:paraId="21FEE3EF" w14:textId="222951B0" w:rsidR="00C44B67" w:rsidRPr="005A0CEA" w:rsidRDefault="000719BF" w:rsidP="007C5F0E">
      <w:pPr>
        <w:rPr>
          <w:lang w:val="en-GB"/>
        </w:rPr>
      </w:pPr>
      <w:r w:rsidRPr="005A0CEA">
        <w:rPr>
          <w:lang w:val="en-GB"/>
        </w:rPr>
        <w:t xml:space="preserve">Semaglutide is co-formulated with </w:t>
      </w:r>
      <w:proofErr w:type="spellStart"/>
      <w:r w:rsidRPr="005A0CEA">
        <w:rPr>
          <w:lang w:val="en-GB"/>
        </w:rPr>
        <w:t>salcaprozate</w:t>
      </w:r>
      <w:proofErr w:type="spellEnd"/>
      <w:r w:rsidRPr="005A0CEA">
        <w:rPr>
          <w:lang w:val="en-GB"/>
        </w:rPr>
        <w:t xml:space="preserve"> sodium which facilitates the absorption of semaglutide after oral administration. The absorption of semaglutide predominantly occurs in the stomach.</w:t>
      </w:r>
    </w:p>
    <w:p w14:paraId="17511272" w14:textId="1C3D677F" w:rsidR="000719BF" w:rsidRPr="005A0CEA" w:rsidRDefault="000719BF" w:rsidP="007C5F0E">
      <w:pPr>
        <w:rPr>
          <w:lang w:val="en-GB"/>
        </w:rPr>
      </w:pPr>
    </w:p>
    <w:p w14:paraId="7AB842EF" w14:textId="262F88CF" w:rsidR="000719BF" w:rsidRPr="005A0CEA" w:rsidRDefault="007E086A" w:rsidP="007C5F0E">
      <w:pPr>
        <w:rPr>
          <w:lang w:val="en-GB"/>
        </w:rPr>
      </w:pPr>
      <w:r w:rsidRPr="005A0CEA">
        <w:rPr>
          <w:lang w:val="en-GB"/>
        </w:rPr>
        <w:t xml:space="preserve">The pharmacokinetics of semaglutide have been extensively characterised in healthy subjects and patients with type 2 diabetes. Following oral administration, maximum plasma concentration of semaglutide occurred 1 hour post dose. Steady-state exposure was reached after 4–5 weeks of once-daily administration. In patients with type 2 diabetes, the average steady-state concentrations were approximately 6.7 nmol/L and 14.6 nmol/L with semaglutide 7 mg and 14 mg, respectively; with 90% of subjects treated with semaglutide </w:t>
      </w:r>
      <w:r w:rsidRPr="005A0CEA">
        <w:rPr>
          <w:lang w:val="en-GB"/>
        </w:rPr>
        <w:br/>
        <w:t xml:space="preserve">7 mg having an average concentration between 1.7 and 22.7 nmol/L and 90% of subjects treated with semaglutide 14 mg having an average concentration between 3.7 and </w:t>
      </w:r>
      <w:r w:rsidR="009D5438" w:rsidRPr="005A0CEA">
        <w:rPr>
          <w:lang w:val="en-GB"/>
        </w:rPr>
        <w:br/>
      </w:r>
      <w:r w:rsidRPr="005A0CEA">
        <w:rPr>
          <w:lang w:val="en-GB"/>
        </w:rPr>
        <w:t>41.3</w:t>
      </w:r>
      <w:r w:rsidR="009D5438" w:rsidRPr="005A0CEA">
        <w:rPr>
          <w:lang w:val="en-GB"/>
        </w:rPr>
        <w:t xml:space="preserve"> </w:t>
      </w:r>
      <w:r w:rsidRPr="005A0CEA">
        <w:rPr>
          <w:lang w:val="en-GB"/>
        </w:rPr>
        <w:t>nmol/L. Systemic exposure of semaglutide increased in a dose-proportional manner</w:t>
      </w:r>
      <w:r w:rsidR="000719BF" w:rsidRPr="005A0CEA">
        <w:rPr>
          <w:lang w:val="en-GB"/>
        </w:rPr>
        <w:t>.</w:t>
      </w:r>
    </w:p>
    <w:p w14:paraId="46CE1A2B" w14:textId="6BCEAEB2" w:rsidR="000719BF" w:rsidRPr="005A0CEA" w:rsidRDefault="000719BF" w:rsidP="007C5F0E">
      <w:pPr>
        <w:rPr>
          <w:lang w:val="en-GB"/>
        </w:rPr>
      </w:pPr>
    </w:p>
    <w:p w14:paraId="7310E303" w14:textId="08A025B3" w:rsidR="000719BF" w:rsidRPr="005A0CEA" w:rsidRDefault="000719BF" w:rsidP="007C5F0E">
      <w:pPr>
        <w:rPr>
          <w:lang w:val="en-GB"/>
        </w:rPr>
      </w:pPr>
      <w:r w:rsidRPr="005A0CEA">
        <w:rPr>
          <w:lang w:val="en-GB"/>
        </w:rPr>
        <w:t>Absorption of semaglutide is decreased if taken with food</w:t>
      </w:r>
      <w:r w:rsidR="007E086A" w:rsidRPr="005A0CEA">
        <w:rPr>
          <w:lang w:val="en-GB"/>
        </w:rPr>
        <w:t xml:space="preserve"> or large volumes of</w:t>
      </w:r>
      <w:r w:rsidR="009D5438" w:rsidRPr="005A0CEA">
        <w:rPr>
          <w:lang w:val="en-GB"/>
        </w:rPr>
        <w:t xml:space="preserve"> </w:t>
      </w:r>
      <w:r w:rsidR="007E086A" w:rsidRPr="005A0CEA">
        <w:rPr>
          <w:lang w:val="en-GB"/>
        </w:rPr>
        <w:t>water. A longer post-dose fasting period results in higher absorption</w:t>
      </w:r>
      <w:r w:rsidRPr="005A0CEA">
        <w:rPr>
          <w:lang w:val="en-GB"/>
        </w:rPr>
        <w:t>.</w:t>
      </w:r>
    </w:p>
    <w:p w14:paraId="69597E15" w14:textId="2946EA1C" w:rsidR="000719BF" w:rsidRPr="005A0CEA" w:rsidRDefault="000719BF" w:rsidP="007C5F0E">
      <w:pPr>
        <w:rPr>
          <w:lang w:val="en-GB"/>
        </w:rPr>
      </w:pPr>
    </w:p>
    <w:p w14:paraId="208FFF07" w14:textId="02D2F5DC" w:rsidR="000719BF" w:rsidRPr="005A0CEA" w:rsidRDefault="000719BF" w:rsidP="007C5F0E">
      <w:pPr>
        <w:rPr>
          <w:lang w:val="en-GB"/>
        </w:rPr>
      </w:pPr>
      <w:r w:rsidRPr="005A0CEA">
        <w:rPr>
          <w:lang w:val="en-GB"/>
        </w:rPr>
        <w:t>The estimated absolute bioavailability of semaglutide is approximately 1% following oral administration.</w:t>
      </w:r>
    </w:p>
    <w:p w14:paraId="4A7B0C02" w14:textId="77777777" w:rsidR="00C44B67" w:rsidRPr="005A0CEA" w:rsidRDefault="00C44B67" w:rsidP="007C5F0E">
      <w:pPr>
        <w:pStyle w:val="Heading4"/>
        <w:rPr>
          <w:lang w:val="en-GB"/>
        </w:rPr>
      </w:pPr>
      <w:r w:rsidRPr="005A0CEA">
        <w:rPr>
          <w:lang w:val="en-GB"/>
        </w:rPr>
        <w:t>Distribution</w:t>
      </w:r>
    </w:p>
    <w:p w14:paraId="6D888DCD" w14:textId="722EA461" w:rsidR="00C44B67" w:rsidRPr="005A0CEA" w:rsidRDefault="000719BF" w:rsidP="007C5F0E">
      <w:pPr>
        <w:rPr>
          <w:lang w:val="en-GB"/>
        </w:rPr>
      </w:pPr>
      <w:r w:rsidRPr="005A0CEA">
        <w:rPr>
          <w:lang w:val="en-GB"/>
        </w:rPr>
        <w:t>The estimated absolute volume of distribution is approximately 8 L in subjects with type 2 diabetes. Semaglutide is extensively bound to plasma proteins (&gt;99%).</w:t>
      </w:r>
    </w:p>
    <w:p w14:paraId="2AB4F2F3" w14:textId="77777777" w:rsidR="00C44B67" w:rsidRPr="005A0CEA" w:rsidRDefault="00C44B67" w:rsidP="007C5F0E">
      <w:pPr>
        <w:pStyle w:val="Heading4"/>
        <w:rPr>
          <w:lang w:val="en-GB"/>
        </w:rPr>
      </w:pPr>
      <w:r w:rsidRPr="005A0CEA">
        <w:rPr>
          <w:lang w:val="en-GB"/>
        </w:rPr>
        <w:t>Metabolism</w:t>
      </w:r>
    </w:p>
    <w:p w14:paraId="7AD92951" w14:textId="02650492" w:rsidR="00C44B67" w:rsidRPr="005A0CEA" w:rsidRDefault="000719BF" w:rsidP="007C5F0E">
      <w:pPr>
        <w:rPr>
          <w:lang w:val="en-GB"/>
        </w:rPr>
      </w:pPr>
      <w:r w:rsidRPr="005A0CEA">
        <w:rPr>
          <w:lang w:val="en-GB"/>
        </w:rPr>
        <w:t>Semaglutide is metabolised through proteolytic cleavage of the peptide backbone and sequential beta-oxidation of the fatty acid sidechain.</w:t>
      </w:r>
    </w:p>
    <w:p w14:paraId="78130ED8" w14:textId="26F9C0DD" w:rsidR="00C44B67" w:rsidRPr="005A0CEA" w:rsidRDefault="00C44B67" w:rsidP="007C5F0E">
      <w:pPr>
        <w:pStyle w:val="Heading4"/>
        <w:rPr>
          <w:lang w:val="en-GB"/>
        </w:rPr>
      </w:pPr>
      <w:r w:rsidRPr="005A0CEA">
        <w:rPr>
          <w:lang w:val="en-GB"/>
        </w:rPr>
        <w:t>E</w:t>
      </w:r>
      <w:r w:rsidR="000719BF" w:rsidRPr="005A0CEA">
        <w:rPr>
          <w:lang w:val="en-GB"/>
        </w:rPr>
        <w:t>limination</w:t>
      </w:r>
    </w:p>
    <w:p w14:paraId="0E2D6F94" w14:textId="68C32700" w:rsidR="00C44B67" w:rsidRPr="005A0CEA" w:rsidRDefault="000719BF" w:rsidP="007C5F0E">
      <w:pPr>
        <w:rPr>
          <w:lang w:val="en-GB"/>
        </w:rPr>
      </w:pPr>
      <w:r w:rsidRPr="005A0CEA">
        <w:rPr>
          <w:lang w:val="en-GB"/>
        </w:rPr>
        <w:t>The primary excretion routes of semaglutide-related material are via the urine and faeces. Approximately 3% of the absorbed dose is excreted as intact semaglutide via the urine.</w:t>
      </w:r>
    </w:p>
    <w:p w14:paraId="766A639C" w14:textId="6A7C5A32" w:rsidR="000719BF" w:rsidRPr="005A0CEA" w:rsidRDefault="000719BF" w:rsidP="007C5F0E">
      <w:pPr>
        <w:rPr>
          <w:lang w:val="en-GB"/>
        </w:rPr>
      </w:pPr>
    </w:p>
    <w:p w14:paraId="3F9D1A30" w14:textId="786D0BA9" w:rsidR="000719BF" w:rsidRPr="005A0CEA" w:rsidRDefault="000719BF" w:rsidP="007C5F0E">
      <w:pPr>
        <w:rPr>
          <w:lang w:val="en-GB"/>
        </w:rPr>
      </w:pPr>
      <w:r w:rsidRPr="005A0CEA">
        <w:rPr>
          <w:lang w:val="en-GB"/>
        </w:rPr>
        <w:t>With an elimination half-life of approximately 1 week, semaglutide will be present in the circulation for about 5 weeks after the last dose. The clearance of semaglutide in patients with type 2 diabetes is approximately 0.04 L/h.</w:t>
      </w:r>
    </w:p>
    <w:p w14:paraId="50466E61" w14:textId="0A653C33" w:rsidR="000719BF" w:rsidRPr="005A0CEA" w:rsidRDefault="000719BF" w:rsidP="007C5F0E">
      <w:pPr>
        <w:pStyle w:val="Heading4"/>
        <w:rPr>
          <w:lang w:val="en-GB"/>
        </w:rPr>
      </w:pPr>
      <w:r w:rsidRPr="005A0CEA">
        <w:rPr>
          <w:lang w:val="en-GB"/>
        </w:rPr>
        <w:t>Special Populations</w:t>
      </w:r>
    </w:p>
    <w:p w14:paraId="3182AFA3" w14:textId="532C2C30" w:rsidR="000719BF" w:rsidRPr="005A0CEA" w:rsidRDefault="000719BF" w:rsidP="007C5F0E">
      <w:pPr>
        <w:rPr>
          <w:lang w:val="en-GB"/>
        </w:rPr>
      </w:pPr>
      <w:r w:rsidRPr="005A0CEA">
        <w:rPr>
          <w:lang w:val="en-GB"/>
        </w:rPr>
        <w:t xml:space="preserve">Based on a population pharmacokinetic analysis, age, gender, race, ethnicity, upper GI tract disease and renal impairment did not have a clinically meaningful effect on the </w:t>
      </w:r>
      <w:r w:rsidRPr="005A0CEA">
        <w:rPr>
          <w:lang w:val="en-GB"/>
        </w:rPr>
        <w:lastRenderedPageBreak/>
        <w:t xml:space="preserve">pharmacokinetics of semaglutide; therefore, no dose adjustment is needed. The effects of intrinsic factors on the pharmacokinetics of semaglutide are shown in Figure </w:t>
      </w:r>
      <w:r w:rsidR="0077683E" w:rsidRPr="005A0CEA">
        <w:rPr>
          <w:lang w:val="en-GB"/>
        </w:rPr>
        <w:t>5</w:t>
      </w:r>
      <w:r w:rsidRPr="005A0CEA">
        <w:rPr>
          <w:lang w:val="en-GB"/>
        </w:rPr>
        <w:t>.</w:t>
      </w:r>
    </w:p>
    <w:p w14:paraId="270FA130" w14:textId="48B0EE60" w:rsidR="000719BF" w:rsidRPr="005A0CEA" w:rsidRDefault="000719BF" w:rsidP="007C5F0E">
      <w:pPr>
        <w:rPr>
          <w:lang w:val="en-GB"/>
        </w:rPr>
      </w:pPr>
    </w:p>
    <w:p w14:paraId="46B5BC4E" w14:textId="7AF67CF5" w:rsidR="00690894" w:rsidRPr="005A0CEA" w:rsidRDefault="00690894" w:rsidP="007C5F0E">
      <w:pPr>
        <w:rPr>
          <w:lang w:val="en-GB"/>
        </w:rPr>
      </w:pPr>
      <w:r w:rsidRPr="005A0CEA">
        <w:rPr>
          <w:noProof/>
          <w:lang w:val="en-GB"/>
        </w:rPr>
        <w:drawing>
          <wp:inline distT="0" distB="0" distL="0" distR="0" wp14:anchorId="5D24AD8D" wp14:editId="4EE9BC67">
            <wp:extent cx="5303520" cy="25724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3262" cy="2577161"/>
                    </a:xfrm>
                    <a:prstGeom prst="rect">
                      <a:avLst/>
                    </a:prstGeom>
                  </pic:spPr>
                </pic:pic>
              </a:graphicData>
            </a:graphic>
          </wp:inline>
        </w:drawing>
      </w:r>
    </w:p>
    <w:p w14:paraId="21EB486D" w14:textId="59338801" w:rsidR="000719BF" w:rsidRPr="005A0CEA" w:rsidRDefault="000719BF" w:rsidP="007C5F0E">
      <w:pPr>
        <w:rPr>
          <w:sz w:val="18"/>
          <w:szCs w:val="18"/>
          <w:lang w:val="en-GB"/>
        </w:rPr>
      </w:pPr>
      <w:proofErr w:type="spellStart"/>
      <w:r w:rsidRPr="005A0CEA">
        <w:rPr>
          <w:sz w:val="18"/>
          <w:szCs w:val="18"/>
          <w:lang w:val="en-GB"/>
        </w:rPr>
        <w:t>Semaglutide</w:t>
      </w:r>
      <w:proofErr w:type="spellEnd"/>
      <w:r w:rsidRPr="005A0CEA">
        <w:rPr>
          <w:sz w:val="18"/>
          <w:szCs w:val="18"/>
          <w:lang w:val="en-GB"/>
        </w:rPr>
        <w:t xml:space="preserve"> exposure (</w:t>
      </w:r>
      <w:proofErr w:type="spellStart"/>
      <w:r w:rsidRPr="005A0CEA">
        <w:rPr>
          <w:sz w:val="18"/>
          <w:szCs w:val="18"/>
          <w:lang w:val="en-GB"/>
        </w:rPr>
        <w:t>Cavg</w:t>
      </w:r>
      <w:proofErr w:type="spellEnd"/>
      <w:r w:rsidRPr="005A0CEA">
        <w:rPr>
          <w:sz w:val="18"/>
          <w:szCs w:val="18"/>
          <w:lang w:val="en-GB"/>
        </w:rPr>
        <w:t>) relative to reference subject profile: White, non-Hispanic or Latino, female aged 18-64 years, with body weight of 85 kg, without upper GI disease or renal impairment, dosed 14 mg. Body weight categories (56 and 129 kg) represent the 5% and 95% percentiles in the dataset.</w:t>
      </w:r>
    </w:p>
    <w:p w14:paraId="5A464B12" w14:textId="77777777" w:rsidR="000719BF" w:rsidRPr="005A0CEA" w:rsidRDefault="000719BF" w:rsidP="007C5F0E">
      <w:pPr>
        <w:rPr>
          <w:sz w:val="18"/>
          <w:szCs w:val="18"/>
          <w:lang w:val="en-GB"/>
        </w:rPr>
      </w:pPr>
      <w:r w:rsidRPr="005A0CEA">
        <w:rPr>
          <w:sz w:val="18"/>
          <w:szCs w:val="18"/>
          <w:lang w:val="en-GB"/>
        </w:rPr>
        <w:t xml:space="preserve">Abbreviations: </w:t>
      </w:r>
      <w:proofErr w:type="spellStart"/>
      <w:r w:rsidRPr="005A0CEA">
        <w:rPr>
          <w:sz w:val="18"/>
          <w:szCs w:val="18"/>
          <w:lang w:val="en-GB"/>
        </w:rPr>
        <w:t>Cavg</w:t>
      </w:r>
      <w:proofErr w:type="spellEnd"/>
      <w:r w:rsidRPr="005A0CEA">
        <w:rPr>
          <w:sz w:val="18"/>
          <w:szCs w:val="18"/>
          <w:lang w:val="en-GB"/>
        </w:rPr>
        <w:t xml:space="preserve">: average </w:t>
      </w:r>
      <w:proofErr w:type="spellStart"/>
      <w:r w:rsidRPr="005A0CEA">
        <w:rPr>
          <w:sz w:val="18"/>
          <w:szCs w:val="18"/>
          <w:lang w:val="en-GB"/>
        </w:rPr>
        <w:t>semaglutide</w:t>
      </w:r>
      <w:proofErr w:type="spellEnd"/>
      <w:r w:rsidRPr="005A0CEA">
        <w:rPr>
          <w:sz w:val="18"/>
          <w:szCs w:val="18"/>
          <w:lang w:val="en-GB"/>
        </w:rPr>
        <w:t xml:space="preserve"> concentration. CI: Confidence interval. GI:</w:t>
      </w:r>
    </w:p>
    <w:p w14:paraId="55BAEAB2" w14:textId="75C2A8D7" w:rsidR="000719BF" w:rsidRPr="005A0CEA" w:rsidRDefault="000719BF" w:rsidP="007C5F0E">
      <w:pPr>
        <w:rPr>
          <w:sz w:val="18"/>
          <w:szCs w:val="18"/>
          <w:lang w:val="en-GB"/>
        </w:rPr>
      </w:pPr>
      <w:r w:rsidRPr="005A0CEA">
        <w:rPr>
          <w:sz w:val="18"/>
          <w:szCs w:val="18"/>
          <w:lang w:val="en-GB"/>
        </w:rPr>
        <w:t>gastrointestinal</w:t>
      </w:r>
    </w:p>
    <w:p w14:paraId="47D42EC6" w14:textId="77777777" w:rsidR="00690894" w:rsidRPr="005A0CEA" w:rsidRDefault="00690894" w:rsidP="007C5F0E">
      <w:pPr>
        <w:rPr>
          <w:sz w:val="18"/>
          <w:szCs w:val="18"/>
          <w:lang w:val="en-GB"/>
        </w:rPr>
      </w:pPr>
    </w:p>
    <w:p w14:paraId="3C87D042" w14:textId="10252B8E" w:rsidR="000719BF" w:rsidRPr="005A0CEA" w:rsidRDefault="00690894" w:rsidP="007C5F0E">
      <w:pPr>
        <w:rPr>
          <w:b/>
          <w:bCs/>
          <w:lang w:val="en-GB"/>
        </w:rPr>
      </w:pPr>
      <w:r w:rsidRPr="005A0CEA">
        <w:rPr>
          <w:b/>
          <w:bCs/>
          <w:lang w:val="en-GB"/>
        </w:rPr>
        <w:t xml:space="preserve">Figure </w:t>
      </w:r>
      <w:r w:rsidRPr="005A0CEA">
        <w:rPr>
          <w:b/>
          <w:bCs/>
          <w:lang w:val="en-GB"/>
        </w:rPr>
        <w:fldChar w:fldCharType="begin"/>
      </w:r>
      <w:r w:rsidRPr="005A0CEA">
        <w:rPr>
          <w:b/>
          <w:bCs/>
          <w:lang w:val="en-GB"/>
        </w:rPr>
        <w:instrText xml:space="preserve"> SEQ Figure \* ARABIC \s 1 </w:instrText>
      </w:r>
      <w:r w:rsidRPr="005A0CEA">
        <w:rPr>
          <w:b/>
          <w:bCs/>
          <w:lang w:val="en-GB"/>
        </w:rPr>
        <w:fldChar w:fldCharType="separate"/>
      </w:r>
      <w:r w:rsidR="00A334F6">
        <w:rPr>
          <w:b/>
          <w:bCs/>
          <w:noProof/>
          <w:lang w:val="en-GB"/>
        </w:rPr>
        <w:t>3</w:t>
      </w:r>
      <w:r w:rsidRPr="005A0CEA">
        <w:rPr>
          <w:b/>
          <w:bCs/>
          <w:lang w:val="en-GB"/>
        </w:rPr>
        <w:fldChar w:fldCharType="end"/>
      </w:r>
      <w:r w:rsidRPr="005A0CEA">
        <w:rPr>
          <w:b/>
          <w:bCs/>
          <w:lang w:val="en-GB"/>
        </w:rPr>
        <w:t xml:space="preserve">: </w:t>
      </w:r>
      <w:r w:rsidR="000719BF" w:rsidRPr="005A0CEA">
        <w:rPr>
          <w:b/>
          <w:bCs/>
          <w:lang w:val="en-GB"/>
        </w:rPr>
        <w:t>Impact of intrinsic factors on semaglutide exposure</w:t>
      </w:r>
    </w:p>
    <w:p w14:paraId="3BFE729F" w14:textId="21BC06DD" w:rsidR="000719BF" w:rsidRPr="005A0CEA" w:rsidRDefault="000719BF" w:rsidP="007C5F0E">
      <w:pPr>
        <w:pStyle w:val="Heading6"/>
        <w:rPr>
          <w:lang w:val="en-GB"/>
        </w:rPr>
      </w:pPr>
      <w:r w:rsidRPr="005A0CEA">
        <w:rPr>
          <w:lang w:val="en-GB"/>
        </w:rPr>
        <w:t>Age</w:t>
      </w:r>
    </w:p>
    <w:p w14:paraId="316C7C2F" w14:textId="020FDB15" w:rsidR="000719BF" w:rsidRPr="005A0CEA" w:rsidRDefault="000719BF" w:rsidP="007C5F0E">
      <w:pPr>
        <w:rPr>
          <w:lang w:val="en-GB"/>
        </w:rPr>
      </w:pPr>
      <w:r w:rsidRPr="005A0CEA">
        <w:rPr>
          <w:lang w:val="en-GB"/>
        </w:rPr>
        <w:t>Age had no effect on the pharmacokinetics of semaglutide based on data from clinical trials, which studied patients up to 92 years of age.</w:t>
      </w:r>
    </w:p>
    <w:p w14:paraId="0FC39664" w14:textId="4CE2C146" w:rsidR="000719BF" w:rsidRPr="005A0CEA" w:rsidRDefault="000719BF" w:rsidP="007C5F0E">
      <w:pPr>
        <w:rPr>
          <w:lang w:val="en-GB"/>
        </w:rPr>
      </w:pPr>
      <w:r w:rsidRPr="005A0CEA">
        <w:rPr>
          <w:rStyle w:val="Heading6Char"/>
          <w:lang w:val="en-GB"/>
        </w:rPr>
        <w:t>Gende</w:t>
      </w:r>
      <w:r w:rsidR="00EC6639" w:rsidRPr="005A0CEA">
        <w:rPr>
          <w:rStyle w:val="Heading6Char"/>
          <w:lang w:val="en-GB"/>
        </w:rPr>
        <w:t>r</w:t>
      </w:r>
    </w:p>
    <w:p w14:paraId="3554584C" w14:textId="19506195" w:rsidR="000719BF" w:rsidRPr="005A0CEA" w:rsidRDefault="000719BF" w:rsidP="007C5F0E">
      <w:pPr>
        <w:rPr>
          <w:lang w:val="en-GB"/>
        </w:rPr>
      </w:pPr>
      <w:r w:rsidRPr="005A0CEA">
        <w:rPr>
          <w:lang w:val="en-GB"/>
        </w:rPr>
        <w:t>Gender had no clinically meaningful effect on pharmacokinetics of semaglutide.</w:t>
      </w:r>
    </w:p>
    <w:p w14:paraId="618EF767" w14:textId="321D7A30" w:rsidR="000719BF" w:rsidRPr="005A0CEA" w:rsidRDefault="000719BF" w:rsidP="007C5F0E">
      <w:pPr>
        <w:pStyle w:val="Heading6"/>
        <w:rPr>
          <w:lang w:val="en-GB"/>
        </w:rPr>
      </w:pPr>
      <w:r w:rsidRPr="005A0CEA">
        <w:rPr>
          <w:lang w:val="en-GB"/>
        </w:rPr>
        <w:t>Race</w:t>
      </w:r>
    </w:p>
    <w:p w14:paraId="3BBC40B5" w14:textId="4CB0F48E" w:rsidR="000719BF" w:rsidRPr="005A0CEA" w:rsidRDefault="000719BF" w:rsidP="007C5F0E">
      <w:pPr>
        <w:rPr>
          <w:lang w:val="en-GB"/>
        </w:rPr>
      </w:pPr>
      <w:r w:rsidRPr="005A0CEA">
        <w:rPr>
          <w:lang w:val="en-GB"/>
        </w:rPr>
        <w:t xml:space="preserve">Race (White, Black or </w:t>
      </w:r>
      <w:proofErr w:type="gramStart"/>
      <w:r w:rsidRPr="005A0CEA">
        <w:rPr>
          <w:lang w:val="en-GB"/>
        </w:rPr>
        <w:t>African-American</w:t>
      </w:r>
      <w:proofErr w:type="gramEnd"/>
      <w:r w:rsidRPr="005A0CEA">
        <w:rPr>
          <w:lang w:val="en-GB"/>
        </w:rPr>
        <w:t>, Asian) had no effect on the pharmacokinetics of semaglutide.</w:t>
      </w:r>
    </w:p>
    <w:p w14:paraId="202C011D" w14:textId="2FE56286" w:rsidR="000719BF" w:rsidRPr="005A0CEA" w:rsidRDefault="000719BF" w:rsidP="007C5F0E">
      <w:pPr>
        <w:spacing w:before="120"/>
        <w:rPr>
          <w:lang w:val="en-GB"/>
        </w:rPr>
      </w:pPr>
      <w:r w:rsidRPr="005A0CEA">
        <w:rPr>
          <w:rStyle w:val="Heading6Char"/>
          <w:lang w:val="en-GB"/>
        </w:rPr>
        <w:t>Ethnicity</w:t>
      </w:r>
    </w:p>
    <w:p w14:paraId="3BA2BD09" w14:textId="1FAB39DC" w:rsidR="000719BF" w:rsidRPr="005A0CEA" w:rsidRDefault="000719BF" w:rsidP="007C5F0E">
      <w:pPr>
        <w:rPr>
          <w:lang w:val="en-GB"/>
        </w:rPr>
      </w:pPr>
      <w:r w:rsidRPr="005A0CEA">
        <w:rPr>
          <w:lang w:val="en-GB"/>
        </w:rPr>
        <w:t>Ethnicity (Hispanic or Latino) had no effect on the pharmacokinetics of semaglutide.</w:t>
      </w:r>
    </w:p>
    <w:p w14:paraId="4002D351" w14:textId="0E01756A" w:rsidR="0053465F" w:rsidRPr="005A0CEA" w:rsidRDefault="0053465F" w:rsidP="007C5F0E">
      <w:pPr>
        <w:pStyle w:val="Heading6"/>
        <w:rPr>
          <w:lang w:val="en-GB"/>
        </w:rPr>
      </w:pPr>
      <w:r w:rsidRPr="005A0CEA">
        <w:rPr>
          <w:lang w:val="en-GB"/>
        </w:rPr>
        <w:t>Body weight</w:t>
      </w:r>
    </w:p>
    <w:p w14:paraId="06D775E8" w14:textId="381EDAC0" w:rsidR="000719BF" w:rsidRPr="005A0CEA" w:rsidRDefault="0053465F" w:rsidP="007C5F0E">
      <w:pPr>
        <w:rPr>
          <w:lang w:val="en-GB"/>
        </w:rPr>
      </w:pPr>
      <w:r w:rsidRPr="005A0CEA">
        <w:rPr>
          <w:lang w:val="en-GB"/>
        </w:rPr>
        <w:t xml:space="preserve">Body weight </w:t>
      </w:r>
      <w:proofErr w:type="gramStart"/>
      <w:r w:rsidRPr="005A0CEA">
        <w:rPr>
          <w:lang w:val="en-GB"/>
        </w:rPr>
        <w:t>had an effect on</w:t>
      </w:r>
      <w:proofErr w:type="gramEnd"/>
      <w:r w:rsidRPr="005A0CEA">
        <w:rPr>
          <w:lang w:val="en-GB"/>
        </w:rPr>
        <w:t xml:space="preserve"> the exposure of semaglutide. Higher body weight was associated with lower exposure. Semaglutide provided adequate systemic exposure over the body weight range of 40-188 kg evaluated in the clinical trials.</w:t>
      </w:r>
    </w:p>
    <w:p w14:paraId="30E40A48" w14:textId="690228F7" w:rsidR="0053465F" w:rsidRPr="005A0CEA" w:rsidRDefault="0053465F" w:rsidP="007C5F0E">
      <w:pPr>
        <w:spacing w:before="120"/>
        <w:rPr>
          <w:lang w:val="en-GB"/>
        </w:rPr>
      </w:pPr>
      <w:r w:rsidRPr="005A0CEA">
        <w:rPr>
          <w:rStyle w:val="Heading6Char"/>
          <w:lang w:val="en-GB"/>
        </w:rPr>
        <w:t>Renal impairment</w:t>
      </w:r>
    </w:p>
    <w:p w14:paraId="12BACA66" w14:textId="2C763A93" w:rsidR="0053465F" w:rsidRPr="005A0CEA" w:rsidRDefault="0053465F" w:rsidP="007C5F0E">
      <w:pPr>
        <w:rPr>
          <w:lang w:val="en-GB"/>
        </w:rPr>
      </w:pPr>
      <w:r w:rsidRPr="005A0CEA">
        <w:rPr>
          <w:lang w:val="en-GB"/>
        </w:rPr>
        <w:t xml:space="preserve">Renal impairment did not impact the pharmacokinetics of semaglutide in a clinically relevant manner. The pharmacokinetics of semaglutide were evaluated in patients with mild, </w:t>
      </w:r>
      <w:proofErr w:type="gramStart"/>
      <w:r w:rsidRPr="005A0CEA">
        <w:rPr>
          <w:lang w:val="en-GB"/>
        </w:rPr>
        <w:t>moderate</w:t>
      </w:r>
      <w:proofErr w:type="gramEnd"/>
      <w:r w:rsidRPr="005A0CEA">
        <w:rPr>
          <w:lang w:val="en-GB"/>
        </w:rPr>
        <w:t xml:space="preserve"> or severe renal impairment and patients with </w:t>
      </w:r>
      <w:proofErr w:type="spellStart"/>
      <w:r w:rsidRPr="005A0CEA">
        <w:rPr>
          <w:lang w:val="en-GB"/>
        </w:rPr>
        <w:t>endstage</w:t>
      </w:r>
      <w:proofErr w:type="spellEnd"/>
      <w:r w:rsidRPr="005A0CEA">
        <w:rPr>
          <w:lang w:val="en-GB"/>
        </w:rPr>
        <w:t xml:space="preserve"> renal disease on dialysis compared with subjects with normal renal function in a study with 10 consecutive days of once-daily doses of semaglutide. This was also shown for subjects with type 2 diabetes and renal impairment based on data from phase 3a studies (Figure </w:t>
      </w:r>
      <w:r w:rsidR="0077683E" w:rsidRPr="005A0CEA">
        <w:rPr>
          <w:lang w:val="en-GB"/>
        </w:rPr>
        <w:t>5</w:t>
      </w:r>
      <w:r w:rsidRPr="005A0CEA">
        <w:rPr>
          <w:lang w:val="en-GB"/>
        </w:rPr>
        <w:t>).</w:t>
      </w:r>
    </w:p>
    <w:p w14:paraId="4D70DD6A" w14:textId="12EA742F" w:rsidR="0053465F" w:rsidRPr="005A0CEA" w:rsidRDefault="0053465F" w:rsidP="007C5F0E">
      <w:pPr>
        <w:pStyle w:val="Heading6"/>
        <w:rPr>
          <w:lang w:val="en-GB"/>
        </w:rPr>
      </w:pPr>
      <w:r w:rsidRPr="005A0CEA">
        <w:rPr>
          <w:lang w:val="en-GB"/>
        </w:rPr>
        <w:lastRenderedPageBreak/>
        <w:t>Hepatic impairment</w:t>
      </w:r>
    </w:p>
    <w:p w14:paraId="69C01663" w14:textId="6BFE64CA" w:rsidR="0053465F" w:rsidRPr="005A0CEA" w:rsidRDefault="0053465F" w:rsidP="007C5F0E">
      <w:pPr>
        <w:rPr>
          <w:lang w:val="en-GB"/>
        </w:rPr>
      </w:pPr>
      <w:r w:rsidRPr="005A0CEA">
        <w:rPr>
          <w:lang w:val="en-GB"/>
        </w:rPr>
        <w:t xml:space="preserve">Hepatic impairment did not impact the pharmacokinetics of semaglutide in a clinically relevant manner. The pharmacokinetics of semaglutide were evaluated in patients with mild, </w:t>
      </w:r>
      <w:proofErr w:type="gramStart"/>
      <w:r w:rsidRPr="005A0CEA">
        <w:rPr>
          <w:lang w:val="en-GB"/>
        </w:rPr>
        <w:t>moderate</w:t>
      </w:r>
      <w:proofErr w:type="gramEnd"/>
      <w:r w:rsidRPr="005A0CEA">
        <w:rPr>
          <w:lang w:val="en-GB"/>
        </w:rPr>
        <w:t xml:space="preserve"> or severe hepatic impairment compared with subjects with normal hepatic function in a study with 10 consecutive days of once-daily doses of semaglutide.</w:t>
      </w:r>
    </w:p>
    <w:p w14:paraId="69ED0869" w14:textId="4777EA7E" w:rsidR="0053465F" w:rsidRPr="005A0CEA" w:rsidRDefault="0053465F" w:rsidP="00EC6639">
      <w:pPr>
        <w:keepNext/>
        <w:keepLines/>
        <w:spacing w:before="120"/>
        <w:rPr>
          <w:lang w:val="en-GB"/>
        </w:rPr>
      </w:pPr>
      <w:r w:rsidRPr="005A0CEA">
        <w:rPr>
          <w:rStyle w:val="Heading6Char"/>
          <w:lang w:val="en-GB"/>
        </w:rPr>
        <w:t>Upper GI tract disease</w:t>
      </w:r>
    </w:p>
    <w:p w14:paraId="196D7D0A" w14:textId="4296D905" w:rsidR="0053465F" w:rsidRPr="005A0CEA" w:rsidRDefault="0053465F" w:rsidP="00EC6639">
      <w:pPr>
        <w:keepNext/>
        <w:keepLines/>
        <w:rPr>
          <w:lang w:val="en-GB"/>
        </w:rPr>
      </w:pPr>
      <w:r w:rsidRPr="005A0CEA">
        <w:rPr>
          <w:lang w:val="en-GB"/>
        </w:rPr>
        <w:t xml:space="preserve">Upper GI tract disease (chronic gastritis and/or gastroesophageal reflux disease) did not impact the pharmacokinetics of semaglutide in a clinically relevant manner. The pharmacokinetics were evaluated in patients with type 2 diabetes with or without upper GI tract disease dosed for 10 consecutive days with </w:t>
      </w:r>
      <w:proofErr w:type="spellStart"/>
      <w:r w:rsidRPr="005A0CEA">
        <w:rPr>
          <w:lang w:val="en-GB"/>
        </w:rPr>
        <w:t>oncedaily</w:t>
      </w:r>
      <w:proofErr w:type="spellEnd"/>
      <w:r w:rsidRPr="005A0CEA">
        <w:rPr>
          <w:lang w:val="en-GB"/>
        </w:rPr>
        <w:t xml:space="preserve"> doses of </w:t>
      </w:r>
      <w:proofErr w:type="spellStart"/>
      <w:r w:rsidRPr="005A0CEA">
        <w:rPr>
          <w:lang w:val="en-GB"/>
        </w:rPr>
        <w:t>semaglutide</w:t>
      </w:r>
      <w:proofErr w:type="spellEnd"/>
      <w:r w:rsidRPr="005A0CEA">
        <w:rPr>
          <w:lang w:val="en-GB"/>
        </w:rPr>
        <w:t xml:space="preserve">. This was also shown for subjects with type 2 diabetes and upper GI tract disease based on data from phase 3a studies (Figure </w:t>
      </w:r>
      <w:r w:rsidR="00690894" w:rsidRPr="005A0CEA">
        <w:rPr>
          <w:lang w:val="en-GB"/>
        </w:rPr>
        <w:t>6</w:t>
      </w:r>
      <w:r w:rsidRPr="005A0CEA">
        <w:rPr>
          <w:lang w:val="en-GB"/>
        </w:rPr>
        <w:t>).</w:t>
      </w:r>
    </w:p>
    <w:p w14:paraId="18D6F4A9" w14:textId="77777777" w:rsidR="0053465F" w:rsidRPr="005A0CEA" w:rsidRDefault="0053465F" w:rsidP="007C5F0E">
      <w:pPr>
        <w:pStyle w:val="Heading6"/>
        <w:rPr>
          <w:lang w:val="en-GB"/>
        </w:rPr>
      </w:pPr>
      <w:r w:rsidRPr="005A0CEA">
        <w:rPr>
          <w:lang w:val="en-GB"/>
        </w:rPr>
        <w:t>Paediatrics</w:t>
      </w:r>
    </w:p>
    <w:p w14:paraId="33073E01" w14:textId="0974C972" w:rsidR="0053465F" w:rsidRPr="005A0CEA" w:rsidRDefault="0053465F" w:rsidP="007C5F0E">
      <w:pPr>
        <w:rPr>
          <w:lang w:val="en-GB"/>
        </w:rPr>
      </w:pPr>
      <w:r w:rsidRPr="005A0CEA">
        <w:rPr>
          <w:lang w:val="en-GB"/>
        </w:rPr>
        <w:t>Semaglutide has not been studied in paediatric patients.</w:t>
      </w:r>
    </w:p>
    <w:p w14:paraId="001E4508" w14:textId="77777777" w:rsidR="00C44B67" w:rsidRPr="005A0CEA" w:rsidRDefault="00F72421" w:rsidP="007C5F0E">
      <w:pPr>
        <w:pStyle w:val="Heading3"/>
        <w:rPr>
          <w:lang w:val="en-GB"/>
        </w:rPr>
      </w:pPr>
      <w:r w:rsidRPr="005A0CEA">
        <w:rPr>
          <w:lang w:val="en-GB"/>
        </w:rPr>
        <w:t>5.3</w:t>
      </w:r>
      <w:r w:rsidRPr="005A0CEA">
        <w:rPr>
          <w:lang w:val="en-GB"/>
        </w:rPr>
        <w:tab/>
        <w:t>Preclinical Safety Data</w:t>
      </w:r>
    </w:p>
    <w:p w14:paraId="244AE33A" w14:textId="2FDCADC9" w:rsidR="00F72421" w:rsidRPr="005A0CEA" w:rsidRDefault="00F72421" w:rsidP="007C5F0E">
      <w:pPr>
        <w:pStyle w:val="Heading4"/>
        <w:rPr>
          <w:lang w:val="en-GB"/>
        </w:rPr>
      </w:pPr>
      <w:r w:rsidRPr="005A0CEA">
        <w:rPr>
          <w:lang w:val="en-GB"/>
        </w:rPr>
        <w:t>Genotoxicity</w:t>
      </w:r>
    </w:p>
    <w:p w14:paraId="6E7648FD" w14:textId="75946159" w:rsidR="0032760A" w:rsidRPr="005A0CEA" w:rsidRDefault="004C213D" w:rsidP="007C5F0E">
      <w:pPr>
        <w:rPr>
          <w:lang w:val="en-GB"/>
        </w:rPr>
      </w:pPr>
      <w:r w:rsidRPr="005A0CEA">
        <w:rPr>
          <w:lang w:val="en-GB"/>
        </w:rPr>
        <w:t xml:space="preserve">Semaglutide was not mutagenic in the bacterial reverse mutation </w:t>
      </w:r>
      <w:proofErr w:type="gramStart"/>
      <w:r w:rsidRPr="005A0CEA">
        <w:rPr>
          <w:lang w:val="en-GB"/>
        </w:rPr>
        <w:t>assay, and</w:t>
      </w:r>
      <w:proofErr w:type="gramEnd"/>
      <w:r w:rsidRPr="005A0CEA">
        <w:rPr>
          <w:lang w:val="en-GB"/>
        </w:rPr>
        <w:t xml:space="preserve"> was not clastogenic in vitro (cytogenetic assay in human lymphocytes), or in vivo (rat bone marrow micronucleus test).</w:t>
      </w:r>
    </w:p>
    <w:p w14:paraId="4974EC9E" w14:textId="77777777" w:rsidR="00F72421" w:rsidRPr="005A0CEA" w:rsidRDefault="00F72421" w:rsidP="007C5F0E">
      <w:pPr>
        <w:pStyle w:val="Heading4"/>
        <w:rPr>
          <w:lang w:val="en-GB"/>
        </w:rPr>
      </w:pPr>
      <w:r w:rsidRPr="005A0CEA">
        <w:rPr>
          <w:lang w:val="en-GB"/>
        </w:rPr>
        <w:t>Carcinogenicity</w:t>
      </w:r>
    </w:p>
    <w:p w14:paraId="25A64124" w14:textId="621510C4" w:rsidR="00F72421" w:rsidRPr="005A0CEA" w:rsidRDefault="00BC6730" w:rsidP="007C5F0E">
      <w:pPr>
        <w:rPr>
          <w:lang w:val="en-GB"/>
        </w:rPr>
      </w:pPr>
      <w:r w:rsidRPr="005A0CEA">
        <w:rPr>
          <w:lang w:val="en-GB"/>
        </w:rPr>
        <w:t>Non-lethal thyroid C-cell tumours observed in rodents are a class effect for GLP-1 receptor agonists. In 2-year carcinogenicity studies in rats and mice, semaglutide caused thyroid C-cell tumours at clinically relevant exposures</w:t>
      </w:r>
      <w:r w:rsidR="004C213D" w:rsidRPr="005A0CEA">
        <w:rPr>
          <w:lang w:val="en-GB"/>
        </w:rPr>
        <w:t xml:space="preserve"> (≥ 7 times the clinical AUC at the maximum recommended human dose of 14 mg/day for mice, and below the clinical AUC in rats; a no effect level was not established in either species)</w:t>
      </w:r>
      <w:r w:rsidRPr="005A0CEA">
        <w:rPr>
          <w:lang w:val="en-GB"/>
        </w:rPr>
        <w:t xml:space="preserve">. No other treatment-related tumours were observed. The rodent C-cell tumours are caused by a non-genotoxic, specific GLP-1 receptor mediated mechanism to which rodents are particularly sensitive. The relevance for humans is considered to be </w:t>
      </w:r>
      <w:proofErr w:type="gramStart"/>
      <w:r w:rsidRPr="005A0CEA">
        <w:rPr>
          <w:lang w:val="en-GB"/>
        </w:rPr>
        <w:t>low, but</w:t>
      </w:r>
      <w:proofErr w:type="gramEnd"/>
      <w:r w:rsidRPr="005A0CEA">
        <w:rPr>
          <w:lang w:val="en-GB"/>
        </w:rPr>
        <w:t xml:space="preserve"> cannot be completely excluded.</w:t>
      </w:r>
    </w:p>
    <w:p w14:paraId="5D3119E6" w14:textId="3FBB7F92" w:rsidR="004C213D" w:rsidRPr="005A0CEA" w:rsidRDefault="004C213D" w:rsidP="007C5F0E">
      <w:pPr>
        <w:rPr>
          <w:lang w:val="en-GB"/>
        </w:rPr>
      </w:pPr>
    </w:p>
    <w:p w14:paraId="086373D3" w14:textId="77777777" w:rsidR="004C213D" w:rsidRPr="005A0CEA" w:rsidRDefault="004C213D" w:rsidP="004C213D">
      <w:pPr>
        <w:pStyle w:val="Heading4"/>
        <w:rPr>
          <w:lang w:val="en-GB"/>
        </w:rPr>
      </w:pPr>
      <w:r w:rsidRPr="005A0CEA">
        <w:rPr>
          <w:lang w:val="en-GB"/>
        </w:rPr>
        <w:t>Juvenile toxicity</w:t>
      </w:r>
    </w:p>
    <w:p w14:paraId="1719D6EA" w14:textId="4A6F2F6E" w:rsidR="004C213D" w:rsidRPr="005A0CEA" w:rsidRDefault="004C213D" w:rsidP="007C5F0E">
      <w:pPr>
        <w:rPr>
          <w:lang w:val="en-GB"/>
        </w:rPr>
      </w:pPr>
      <w:r w:rsidRPr="005A0CEA">
        <w:rPr>
          <w:lang w:val="en-GB"/>
        </w:rPr>
        <w:t>In juvenile rats, semaglutide caused delayed sexual maturation in both males and females. These delays had no impact upon fertility and reproductive capacity of either sex, or on the ability of the females to maintain pregnancy.</w:t>
      </w:r>
    </w:p>
    <w:p w14:paraId="267B6EA5" w14:textId="77777777" w:rsidR="004C213D" w:rsidRPr="005A0CEA" w:rsidRDefault="004C213D" w:rsidP="007C5F0E">
      <w:pPr>
        <w:rPr>
          <w:lang w:val="en-GB"/>
        </w:rPr>
      </w:pPr>
    </w:p>
    <w:p w14:paraId="761DD073" w14:textId="77777777" w:rsidR="00F72421" w:rsidRPr="005A0CEA" w:rsidRDefault="00F72421" w:rsidP="007C5F0E">
      <w:pPr>
        <w:pStyle w:val="Heading2"/>
        <w:rPr>
          <w:lang w:val="en-GB"/>
        </w:rPr>
      </w:pPr>
      <w:r w:rsidRPr="005A0CEA">
        <w:rPr>
          <w:lang w:val="en-GB"/>
        </w:rPr>
        <w:t>6.</w:t>
      </w:r>
      <w:r w:rsidRPr="005A0CEA">
        <w:rPr>
          <w:lang w:val="en-GB"/>
        </w:rPr>
        <w:tab/>
        <w:t>PHARMACEUTICAL PARTICULARS</w:t>
      </w:r>
    </w:p>
    <w:p w14:paraId="70D2CBD4" w14:textId="02D5E853" w:rsidR="00F72421" w:rsidRPr="005A0CEA" w:rsidRDefault="00F72421" w:rsidP="007C5F0E">
      <w:pPr>
        <w:pStyle w:val="Heading3"/>
        <w:rPr>
          <w:lang w:val="en-GB"/>
        </w:rPr>
      </w:pPr>
      <w:r w:rsidRPr="005A0CEA">
        <w:rPr>
          <w:lang w:val="en-GB"/>
        </w:rPr>
        <w:t>6.1</w:t>
      </w:r>
      <w:r w:rsidRPr="005A0CEA">
        <w:rPr>
          <w:lang w:val="en-GB"/>
        </w:rPr>
        <w:tab/>
        <w:t>List of Excipients</w:t>
      </w:r>
    </w:p>
    <w:p w14:paraId="0DDD6348" w14:textId="5C4646DE" w:rsidR="00424C6A" w:rsidRPr="005A0CEA" w:rsidRDefault="00424C6A" w:rsidP="007C5F0E">
      <w:pPr>
        <w:rPr>
          <w:lang w:val="en-GB"/>
        </w:rPr>
      </w:pPr>
      <w:proofErr w:type="spellStart"/>
      <w:r w:rsidRPr="005A0CEA">
        <w:rPr>
          <w:lang w:val="en-GB"/>
        </w:rPr>
        <w:t>Salcaprozate</w:t>
      </w:r>
      <w:proofErr w:type="spellEnd"/>
      <w:r w:rsidRPr="005A0CEA">
        <w:rPr>
          <w:lang w:val="en-GB"/>
        </w:rPr>
        <w:t xml:space="preserve"> sodium</w:t>
      </w:r>
    </w:p>
    <w:p w14:paraId="0136807A" w14:textId="0F1999FA" w:rsidR="00424C6A" w:rsidRPr="005A0CEA" w:rsidRDefault="00424C6A" w:rsidP="007C5F0E">
      <w:pPr>
        <w:rPr>
          <w:lang w:val="en-GB"/>
        </w:rPr>
      </w:pPr>
      <w:r w:rsidRPr="005A0CEA">
        <w:rPr>
          <w:lang w:val="en-GB"/>
        </w:rPr>
        <w:t>Povidone</w:t>
      </w:r>
    </w:p>
    <w:p w14:paraId="22EB6818" w14:textId="3E1078C9" w:rsidR="00424C6A" w:rsidRPr="005A0CEA" w:rsidRDefault="00484993" w:rsidP="007C5F0E">
      <w:pPr>
        <w:rPr>
          <w:lang w:val="en-GB"/>
        </w:rPr>
      </w:pPr>
      <w:r w:rsidRPr="005A0CEA">
        <w:rPr>
          <w:lang w:val="en-GB"/>
        </w:rPr>
        <w:t>M</w:t>
      </w:r>
      <w:r w:rsidR="00424C6A" w:rsidRPr="005A0CEA">
        <w:rPr>
          <w:lang w:val="en-GB"/>
        </w:rPr>
        <w:t>icrocrystalline</w:t>
      </w:r>
      <w:r w:rsidRPr="005A0CEA">
        <w:rPr>
          <w:lang w:val="en-GB"/>
        </w:rPr>
        <w:t xml:space="preserve"> cellulose</w:t>
      </w:r>
    </w:p>
    <w:p w14:paraId="61E26E30" w14:textId="74211302" w:rsidR="00F72421" w:rsidRPr="005A0CEA" w:rsidRDefault="00424C6A" w:rsidP="007C5F0E">
      <w:pPr>
        <w:rPr>
          <w:lang w:val="en-GB"/>
        </w:rPr>
      </w:pPr>
      <w:r w:rsidRPr="005A0CEA">
        <w:rPr>
          <w:lang w:val="en-GB"/>
        </w:rPr>
        <w:t>Magnesium Stearate</w:t>
      </w:r>
    </w:p>
    <w:p w14:paraId="46AA101D" w14:textId="4171B02A" w:rsidR="00F72421" w:rsidRPr="005A0CEA" w:rsidRDefault="00F72421" w:rsidP="00150BD4">
      <w:pPr>
        <w:pStyle w:val="Heading3"/>
        <w:rPr>
          <w:lang w:val="en-GB"/>
        </w:rPr>
      </w:pPr>
      <w:r w:rsidRPr="005A0CEA">
        <w:rPr>
          <w:lang w:val="en-GB"/>
        </w:rPr>
        <w:lastRenderedPageBreak/>
        <w:t>6.2</w:t>
      </w:r>
      <w:r w:rsidRPr="005A0CEA">
        <w:rPr>
          <w:lang w:val="en-GB"/>
        </w:rPr>
        <w:tab/>
        <w:t>Incompatibilities</w:t>
      </w:r>
    </w:p>
    <w:p w14:paraId="75AFDEF8" w14:textId="31CA35B4" w:rsidR="00F72421" w:rsidRPr="005A0CEA" w:rsidRDefault="00F72421" w:rsidP="007C5F0E">
      <w:pPr>
        <w:rPr>
          <w:lang w:val="en-GB"/>
        </w:rPr>
      </w:pPr>
      <w:r w:rsidRPr="005A0CEA">
        <w:rPr>
          <w:lang w:val="en-GB"/>
        </w:rPr>
        <w:t>Incompatibilities were either not assessed or not identified as part of the registration of this medicine.</w:t>
      </w:r>
    </w:p>
    <w:p w14:paraId="7709C222" w14:textId="77777777" w:rsidR="00F72421" w:rsidRPr="005A0CEA" w:rsidRDefault="00F72421" w:rsidP="007C5F0E">
      <w:pPr>
        <w:pStyle w:val="Heading3"/>
        <w:rPr>
          <w:lang w:val="en-GB"/>
        </w:rPr>
      </w:pPr>
      <w:r w:rsidRPr="005A0CEA">
        <w:rPr>
          <w:lang w:val="en-GB"/>
        </w:rPr>
        <w:t>6.3</w:t>
      </w:r>
      <w:r w:rsidRPr="005A0CEA">
        <w:rPr>
          <w:lang w:val="en-GB"/>
        </w:rPr>
        <w:tab/>
        <w:t>Shelf Life</w:t>
      </w:r>
    </w:p>
    <w:p w14:paraId="4C697DE0" w14:textId="35721FE3" w:rsidR="00F72421" w:rsidRPr="005A0CEA" w:rsidRDefault="00E761EE" w:rsidP="007C5F0E">
      <w:pPr>
        <w:rPr>
          <w:lang w:val="en-GB"/>
        </w:rPr>
      </w:pPr>
      <w:r w:rsidRPr="005A0CEA">
        <w:rPr>
          <w:lang w:val="en-GB"/>
        </w:rPr>
        <w:t>In Australia, information on the shelf life can be found on the public summary of the Australian Register of Therapeutic Goods (ARTG). The expiry date can be found on the packaging.</w:t>
      </w:r>
    </w:p>
    <w:p w14:paraId="060EC708" w14:textId="77777777" w:rsidR="00F72421" w:rsidRPr="005A0CEA" w:rsidRDefault="00F72421" w:rsidP="007C5F0E">
      <w:pPr>
        <w:pStyle w:val="Heading3"/>
        <w:rPr>
          <w:lang w:val="en-GB"/>
        </w:rPr>
      </w:pPr>
      <w:r w:rsidRPr="005A0CEA">
        <w:rPr>
          <w:lang w:val="en-GB"/>
        </w:rPr>
        <w:t>6.4</w:t>
      </w:r>
      <w:r w:rsidRPr="005A0CEA">
        <w:rPr>
          <w:lang w:val="en-GB"/>
        </w:rPr>
        <w:tab/>
        <w:t>Special Precautions for Storage</w:t>
      </w:r>
    </w:p>
    <w:p w14:paraId="76DCB7A2" w14:textId="6DE3E859" w:rsidR="00484993" w:rsidRPr="005A0CEA" w:rsidRDefault="00484993" w:rsidP="007C5F0E">
      <w:pPr>
        <w:rPr>
          <w:lang w:val="en-GB"/>
        </w:rPr>
      </w:pPr>
      <w:r w:rsidRPr="005A0CEA">
        <w:rPr>
          <w:lang w:val="en-GB"/>
        </w:rPr>
        <w:t>Store below 30°C.</w:t>
      </w:r>
    </w:p>
    <w:p w14:paraId="7FF62A69" w14:textId="0C7DAC2E" w:rsidR="00F72421" w:rsidRPr="005A0CEA" w:rsidRDefault="00484993" w:rsidP="007C5F0E">
      <w:pPr>
        <w:rPr>
          <w:lang w:val="en-GB"/>
        </w:rPr>
      </w:pPr>
      <w:r w:rsidRPr="005A0CEA">
        <w:rPr>
          <w:lang w:val="en-GB"/>
        </w:rPr>
        <w:t>Store in original blister package to protect from moisture and light</w:t>
      </w:r>
    </w:p>
    <w:p w14:paraId="21C5FA4E" w14:textId="77777777" w:rsidR="00F72421" w:rsidRPr="005A0CEA" w:rsidRDefault="00F72421" w:rsidP="007C5F0E">
      <w:pPr>
        <w:pStyle w:val="Heading3"/>
        <w:rPr>
          <w:lang w:val="en-GB"/>
        </w:rPr>
      </w:pPr>
      <w:r w:rsidRPr="005A0CEA">
        <w:rPr>
          <w:lang w:val="en-GB"/>
        </w:rPr>
        <w:t>6.5</w:t>
      </w:r>
      <w:r w:rsidRPr="005A0CEA">
        <w:rPr>
          <w:lang w:val="en-GB"/>
        </w:rPr>
        <w:tab/>
        <w:t>Nature and Contents of Container</w:t>
      </w:r>
    </w:p>
    <w:p w14:paraId="43203510" w14:textId="6FFAD78D" w:rsidR="00F72421" w:rsidRPr="005A0CEA" w:rsidRDefault="00484993" w:rsidP="007C5F0E">
      <w:pPr>
        <w:rPr>
          <w:lang w:val="en-GB"/>
        </w:rPr>
      </w:pPr>
      <w:r w:rsidRPr="005A0CEA">
        <w:rPr>
          <w:lang w:val="en-GB"/>
        </w:rPr>
        <w:t xml:space="preserve">Rybelsus is provided in </w:t>
      </w:r>
      <w:proofErr w:type="spellStart"/>
      <w:r w:rsidRPr="005A0CEA">
        <w:rPr>
          <w:lang w:val="en-GB"/>
        </w:rPr>
        <w:t>alu</w:t>
      </w:r>
      <w:proofErr w:type="spellEnd"/>
      <w:r w:rsidRPr="005A0CEA">
        <w:rPr>
          <w:lang w:val="en-GB"/>
        </w:rPr>
        <w:t>/</w:t>
      </w:r>
      <w:proofErr w:type="spellStart"/>
      <w:r w:rsidRPr="005A0CEA">
        <w:rPr>
          <w:lang w:val="en-GB"/>
        </w:rPr>
        <w:t>alu</w:t>
      </w:r>
      <w:proofErr w:type="spellEnd"/>
      <w:r w:rsidRPr="005A0CEA">
        <w:rPr>
          <w:lang w:val="en-GB"/>
        </w:rPr>
        <w:t xml:space="preserve"> blister cards which contain 3 mg, 7 </w:t>
      </w:r>
      <w:proofErr w:type="gramStart"/>
      <w:r w:rsidRPr="005A0CEA">
        <w:rPr>
          <w:lang w:val="en-GB"/>
        </w:rPr>
        <w:t>mg</w:t>
      </w:r>
      <w:proofErr w:type="gramEnd"/>
      <w:r w:rsidRPr="005A0CEA">
        <w:rPr>
          <w:lang w:val="en-GB"/>
        </w:rPr>
        <w:t xml:space="preserve"> or 14 mg semaglutide tablets.</w:t>
      </w:r>
    </w:p>
    <w:p w14:paraId="6196D6A5" w14:textId="72B55C91" w:rsidR="00484993" w:rsidRPr="005A0CEA" w:rsidRDefault="00484993" w:rsidP="007C5F0E">
      <w:pPr>
        <w:rPr>
          <w:lang w:val="en-GB"/>
        </w:rPr>
      </w:pPr>
    </w:p>
    <w:p w14:paraId="32AD24B5" w14:textId="2ED99628" w:rsidR="00484993" w:rsidRPr="005A0CEA" w:rsidRDefault="00484993" w:rsidP="007C5F0E">
      <w:pPr>
        <w:rPr>
          <w:lang w:val="en-GB"/>
        </w:rPr>
      </w:pPr>
      <w:r w:rsidRPr="005A0CEA">
        <w:rPr>
          <w:lang w:val="en-GB"/>
        </w:rPr>
        <w:t>The tablets are available in pack sizes of 10</w:t>
      </w:r>
      <w:r w:rsidR="005A0CCE" w:rsidRPr="005A0CEA">
        <w:rPr>
          <w:lang w:val="en-GB"/>
        </w:rPr>
        <w:t xml:space="preserve"> (excluding 3 mg)</w:t>
      </w:r>
      <w:r w:rsidRPr="005A0CEA">
        <w:rPr>
          <w:lang w:val="en-GB"/>
        </w:rPr>
        <w:t>, 30, 60 and 90 tablets*.</w:t>
      </w:r>
    </w:p>
    <w:p w14:paraId="163D6709" w14:textId="6B932B9B" w:rsidR="00484993" w:rsidRPr="005A0CEA" w:rsidRDefault="00484993" w:rsidP="007C5F0E">
      <w:pPr>
        <w:rPr>
          <w:sz w:val="18"/>
          <w:szCs w:val="18"/>
          <w:lang w:val="en-GB"/>
        </w:rPr>
      </w:pPr>
      <w:r w:rsidRPr="005A0CEA">
        <w:rPr>
          <w:sz w:val="18"/>
          <w:szCs w:val="18"/>
          <w:lang w:val="en-GB"/>
        </w:rPr>
        <w:t xml:space="preserve">*Not all </w:t>
      </w:r>
      <w:r w:rsidR="005A0CCE" w:rsidRPr="005A0CEA">
        <w:rPr>
          <w:sz w:val="18"/>
          <w:szCs w:val="18"/>
          <w:lang w:val="en-GB"/>
        </w:rPr>
        <w:t xml:space="preserve">presentations or </w:t>
      </w:r>
      <w:r w:rsidRPr="005A0CEA">
        <w:rPr>
          <w:sz w:val="18"/>
          <w:szCs w:val="18"/>
          <w:lang w:val="en-GB"/>
        </w:rPr>
        <w:t>pack sizes</w:t>
      </w:r>
      <w:r w:rsidR="005A0CCE" w:rsidRPr="005A0CEA">
        <w:rPr>
          <w:sz w:val="18"/>
          <w:szCs w:val="18"/>
          <w:lang w:val="en-GB"/>
        </w:rPr>
        <w:t xml:space="preserve"> may</w:t>
      </w:r>
      <w:r w:rsidRPr="005A0CEA">
        <w:rPr>
          <w:sz w:val="18"/>
          <w:szCs w:val="18"/>
          <w:lang w:val="en-GB"/>
        </w:rPr>
        <w:t xml:space="preserve"> available.</w:t>
      </w:r>
    </w:p>
    <w:p w14:paraId="45A07F87" w14:textId="77777777" w:rsidR="00F72421" w:rsidRPr="005A0CEA" w:rsidRDefault="00F72421" w:rsidP="007C5F0E">
      <w:pPr>
        <w:pStyle w:val="Heading3"/>
        <w:rPr>
          <w:lang w:val="en-GB"/>
        </w:rPr>
      </w:pPr>
      <w:r w:rsidRPr="005A0CEA">
        <w:rPr>
          <w:lang w:val="en-GB"/>
        </w:rPr>
        <w:t>6.6</w:t>
      </w:r>
      <w:r w:rsidRPr="005A0CEA">
        <w:rPr>
          <w:lang w:val="en-GB"/>
        </w:rPr>
        <w:tab/>
        <w:t>Special Precautions for Disposal</w:t>
      </w:r>
    </w:p>
    <w:p w14:paraId="39493A48" w14:textId="4024F7EE" w:rsidR="00F72421" w:rsidRPr="005A0CEA" w:rsidRDefault="00CD2086" w:rsidP="007C5F0E">
      <w:pPr>
        <w:rPr>
          <w:lang w:val="en-GB"/>
        </w:rPr>
      </w:pPr>
      <w:r w:rsidRPr="005A0CEA">
        <w:rPr>
          <w:lang w:val="en-GB"/>
        </w:rPr>
        <w:t>I</w:t>
      </w:r>
      <w:r w:rsidR="00F72421" w:rsidRPr="005A0CEA">
        <w:rPr>
          <w:lang w:val="en-GB"/>
        </w:rPr>
        <w:t>n Australia, any unused medicine or waste material should be disposed of by takin</w:t>
      </w:r>
      <w:r w:rsidR="00326EFA" w:rsidRPr="005A0CEA">
        <w:rPr>
          <w:lang w:val="en-GB"/>
        </w:rPr>
        <w:t>g</w:t>
      </w:r>
      <w:r w:rsidR="00F72421" w:rsidRPr="005A0CEA">
        <w:rPr>
          <w:lang w:val="en-GB"/>
        </w:rPr>
        <w:t xml:space="preserve"> it to your local pharmacy.</w:t>
      </w:r>
    </w:p>
    <w:p w14:paraId="494DA6A2" w14:textId="77777777" w:rsidR="00F72421" w:rsidRPr="005A0CEA" w:rsidRDefault="00F72421" w:rsidP="007C5F0E">
      <w:pPr>
        <w:pStyle w:val="Heading3"/>
        <w:rPr>
          <w:lang w:val="en-GB"/>
        </w:rPr>
      </w:pPr>
      <w:r w:rsidRPr="005A0CEA">
        <w:rPr>
          <w:lang w:val="en-GB"/>
        </w:rPr>
        <w:t>6.7</w:t>
      </w:r>
      <w:r w:rsidRPr="005A0CEA">
        <w:rPr>
          <w:lang w:val="en-GB"/>
        </w:rPr>
        <w:tab/>
        <w:t>Physi</w:t>
      </w:r>
      <w:r w:rsidR="00E97D02" w:rsidRPr="005A0CEA">
        <w:rPr>
          <w:lang w:val="en-GB"/>
        </w:rPr>
        <w:t>c</w:t>
      </w:r>
      <w:r w:rsidRPr="005A0CEA">
        <w:rPr>
          <w:lang w:val="en-GB"/>
        </w:rPr>
        <w:t>ochemical Properties</w:t>
      </w:r>
    </w:p>
    <w:p w14:paraId="42FE83D2" w14:textId="633E645C" w:rsidR="00E97D02" w:rsidRPr="005A0CEA" w:rsidRDefault="00E97D02" w:rsidP="007C5F0E">
      <w:pPr>
        <w:pStyle w:val="Heading4"/>
        <w:rPr>
          <w:lang w:val="en-GB"/>
        </w:rPr>
      </w:pPr>
      <w:r w:rsidRPr="005A0CEA">
        <w:rPr>
          <w:lang w:val="en-GB"/>
        </w:rPr>
        <w:t>Chemical structure</w:t>
      </w:r>
    </w:p>
    <w:p w14:paraId="3913E981" w14:textId="15EDF06B" w:rsidR="00E97D02" w:rsidRPr="005A0CEA" w:rsidRDefault="00E97D02" w:rsidP="007C5F0E">
      <w:pPr>
        <w:rPr>
          <w:lang w:val="en-GB"/>
        </w:rPr>
      </w:pPr>
    </w:p>
    <w:p w14:paraId="642CF2CA" w14:textId="157E354D" w:rsidR="00CD2086" w:rsidRPr="005A0CEA" w:rsidRDefault="00CD2086" w:rsidP="007C5F0E">
      <w:pPr>
        <w:rPr>
          <w:vertAlign w:val="subscript"/>
          <w:lang w:val="en-GB"/>
        </w:rPr>
      </w:pPr>
      <w:r w:rsidRPr="005A0CEA">
        <w:rPr>
          <w:lang w:val="en-GB"/>
        </w:rPr>
        <w:t>Molecular formula: C</w:t>
      </w:r>
      <w:r w:rsidRPr="005A0CEA">
        <w:rPr>
          <w:vertAlign w:val="subscript"/>
          <w:lang w:val="en-GB"/>
        </w:rPr>
        <w:t>187</w:t>
      </w:r>
      <w:r w:rsidRPr="005A0CEA">
        <w:rPr>
          <w:lang w:val="en-GB"/>
        </w:rPr>
        <w:t xml:space="preserve"> H</w:t>
      </w:r>
      <w:r w:rsidRPr="005A0CEA">
        <w:rPr>
          <w:vertAlign w:val="subscript"/>
          <w:lang w:val="en-GB"/>
        </w:rPr>
        <w:t>291</w:t>
      </w:r>
      <w:r w:rsidRPr="005A0CEA">
        <w:rPr>
          <w:lang w:val="en-GB"/>
        </w:rPr>
        <w:t xml:space="preserve"> N</w:t>
      </w:r>
      <w:r w:rsidRPr="005A0CEA">
        <w:rPr>
          <w:vertAlign w:val="subscript"/>
          <w:lang w:val="en-GB"/>
        </w:rPr>
        <w:t>45</w:t>
      </w:r>
      <w:r w:rsidRPr="005A0CEA">
        <w:rPr>
          <w:lang w:val="en-GB"/>
        </w:rPr>
        <w:t xml:space="preserve"> O</w:t>
      </w:r>
      <w:r w:rsidRPr="005A0CEA">
        <w:rPr>
          <w:vertAlign w:val="subscript"/>
          <w:lang w:val="en-GB"/>
        </w:rPr>
        <w:t>59</w:t>
      </w:r>
    </w:p>
    <w:p w14:paraId="25CF85F1" w14:textId="25524685" w:rsidR="00CD2086" w:rsidRPr="005A0CEA" w:rsidRDefault="00CD2086" w:rsidP="007C5F0E">
      <w:pPr>
        <w:rPr>
          <w:lang w:val="en-GB"/>
        </w:rPr>
      </w:pPr>
    </w:p>
    <w:p w14:paraId="6068193B" w14:textId="60B6F870" w:rsidR="00CD2086" w:rsidRPr="005A0CEA" w:rsidRDefault="00CD2086" w:rsidP="007C5F0E">
      <w:pPr>
        <w:rPr>
          <w:lang w:val="en-GB"/>
        </w:rPr>
      </w:pPr>
      <w:r w:rsidRPr="005A0CEA">
        <w:rPr>
          <w:lang w:val="en-GB"/>
        </w:rPr>
        <w:t>Molecular weight: 4113.58 Dalton</w:t>
      </w:r>
    </w:p>
    <w:p w14:paraId="2E656FF4" w14:textId="2E783B5A" w:rsidR="00CD2086" w:rsidRPr="005A0CEA" w:rsidRDefault="00CD2086" w:rsidP="007C5F0E">
      <w:pPr>
        <w:rPr>
          <w:lang w:val="en-GB"/>
        </w:rPr>
      </w:pPr>
      <w:r w:rsidRPr="005A0CEA">
        <w:rPr>
          <w:noProof/>
          <w:lang w:val="en-GB"/>
        </w:rPr>
        <w:drawing>
          <wp:inline distT="0" distB="0" distL="0" distR="0" wp14:anchorId="5589C4C9" wp14:editId="330D07B8">
            <wp:extent cx="5360302" cy="2289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5411" cy="2300703"/>
                    </a:xfrm>
                    <a:prstGeom prst="rect">
                      <a:avLst/>
                    </a:prstGeom>
                  </pic:spPr>
                </pic:pic>
              </a:graphicData>
            </a:graphic>
          </wp:inline>
        </w:drawing>
      </w:r>
    </w:p>
    <w:p w14:paraId="4BF1C803" w14:textId="77777777" w:rsidR="00E97D02" w:rsidRPr="005A0CEA" w:rsidRDefault="00E97D02" w:rsidP="007C5F0E">
      <w:pPr>
        <w:pStyle w:val="Heading4"/>
        <w:rPr>
          <w:lang w:val="en-GB"/>
        </w:rPr>
      </w:pPr>
      <w:r w:rsidRPr="005A0CEA">
        <w:rPr>
          <w:lang w:val="en-GB"/>
        </w:rPr>
        <w:t>CAS number</w:t>
      </w:r>
    </w:p>
    <w:p w14:paraId="1593063D" w14:textId="62FA16C1" w:rsidR="00E97D02" w:rsidRPr="005A0CEA" w:rsidRDefault="00CD2086" w:rsidP="007C5F0E">
      <w:pPr>
        <w:rPr>
          <w:lang w:val="en-GB"/>
        </w:rPr>
      </w:pPr>
      <w:r w:rsidRPr="005A0CEA">
        <w:rPr>
          <w:lang w:val="en-GB"/>
        </w:rPr>
        <w:t>CAS No. RN910463-68-2</w:t>
      </w:r>
    </w:p>
    <w:p w14:paraId="44632242" w14:textId="77777777" w:rsidR="00E97D02" w:rsidRPr="005A0CEA" w:rsidRDefault="00E97D02" w:rsidP="007C5F0E">
      <w:pPr>
        <w:pStyle w:val="Heading2"/>
        <w:rPr>
          <w:lang w:val="en-GB"/>
        </w:rPr>
      </w:pPr>
      <w:r w:rsidRPr="005A0CEA">
        <w:rPr>
          <w:lang w:val="en-GB"/>
        </w:rPr>
        <w:lastRenderedPageBreak/>
        <w:t>7.</w:t>
      </w:r>
      <w:r w:rsidRPr="005A0CEA">
        <w:rPr>
          <w:lang w:val="en-GB"/>
        </w:rPr>
        <w:tab/>
        <w:t>MEDICINE SCHEDULE (POISONS STANDARD)</w:t>
      </w:r>
    </w:p>
    <w:p w14:paraId="2A261E7C" w14:textId="005F1B38" w:rsidR="00E97D02" w:rsidRPr="005A0CEA" w:rsidRDefault="00CD2086" w:rsidP="007C5F0E">
      <w:pPr>
        <w:rPr>
          <w:lang w:val="en-GB"/>
        </w:rPr>
      </w:pPr>
      <w:r w:rsidRPr="005A0CEA">
        <w:rPr>
          <w:lang w:val="en-GB"/>
        </w:rPr>
        <w:t>S4</w:t>
      </w:r>
    </w:p>
    <w:p w14:paraId="136C5317" w14:textId="77777777" w:rsidR="00E97D02" w:rsidRPr="005A0CEA" w:rsidRDefault="00E97D02" w:rsidP="007C5F0E">
      <w:pPr>
        <w:pStyle w:val="Heading2"/>
        <w:rPr>
          <w:lang w:val="en-GB"/>
        </w:rPr>
      </w:pPr>
      <w:r w:rsidRPr="005A0CEA">
        <w:rPr>
          <w:lang w:val="en-GB"/>
        </w:rPr>
        <w:t xml:space="preserve">8. </w:t>
      </w:r>
      <w:r w:rsidRPr="005A0CEA">
        <w:rPr>
          <w:lang w:val="en-GB"/>
        </w:rPr>
        <w:tab/>
        <w:t>SPONSOR</w:t>
      </w:r>
    </w:p>
    <w:p w14:paraId="51A10A1D" w14:textId="77777777" w:rsidR="00CD2086" w:rsidRPr="005A0CEA" w:rsidRDefault="00CD2086" w:rsidP="007C5F0E">
      <w:pPr>
        <w:rPr>
          <w:b/>
          <w:bCs/>
          <w:lang w:val="en-GB"/>
        </w:rPr>
      </w:pPr>
      <w:r w:rsidRPr="005A0CEA">
        <w:rPr>
          <w:lang w:val="en-GB"/>
        </w:rPr>
        <w:t>Novo Nordisk Pharmaceuticals Pty Limited</w:t>
      </w:r>
    </w:p>
    <w:p w14:paraId="5CAC6B1D" w14:textId="0B0CFF98" w:rsidR="00C159DA" w:rsidRPr="005A0CEA" w:rsidRDefault="00C159DA" w:rsidP="00C159DA">
      <w:pPr>
        <w:rPr>
          <w:lang w:val="en-GB"/>
        </w:rPr>
      </w:pPr>
      <w:r w:rsidRPr="005A0CEA">
        <w:rPr>
          <w:lang w:val="en-GB"/>
        </w:rPr>
        <w:t>Level 10, 118 Mount Street</w:t>
      </w:r>
    </w:p>
    <w:p w14:paraId="6D505834" w14:textId="010212EB" w:rsidR="00C159DA" w:rsidRPr="005A0CEA" w:rsidRDefault="00C159DA" w:rsidP="007C5F0E">
      <w:pPr>
        <w:rPr>
          <w:lang w:val="en-GB"/>
        </w:rPr>
      </w:pPr>
      <w:r w:rsidRPr="005A0CEA">
        <w:rPr>
          <w:lang w:val="en-GB"/>
        </w:rPr>
        <w:t>North Sydney NSW 2060</w:t>
      </w:r>
    </w:p>
    <w:p w14:paraId="3DBC5D3E" w14:textId="5694BABA" w:rsidR="00E97D02" w:rsidRPr="005A0CEA" w:rsidRDefault="00CD2086" w:rsidP="007C5F0E">
      <w:pPr>
        <w:rPr>
          <w:lang w:val="en-GB"/>
        </w:rPr>
      </w:pPr>
      <w:r w:rsidRPr="005A0CEA">
        <w:rPr>
          <w:lang w:val="en-GB"/>
        </w:rPr>
        <w:t>Australia.</w:t>
      </w:r>
    </w:p>
    <w:p w14:paraId="7E51DCBA" w14:textId="77777777" w:rsidR="00E97D02" w:rsidRPr="005A0CEA" w:rsidRDefault="00E97D02" w:rsidP="007C5F0E">
      <w:pPr>
        <w:pStyle w:val="Heading2"/>
        <w:rPr>
          <w:lang w:val="en-GB"/>
        </w:rPr>
      </w:pPr>
      <w:r w:rsidRPr="005A0CEA">
        <w:rPr>
          <w:lang w:val="en-GB"/>
        </w:rPr>
        <w:t>9.</w:t>
      </w:r>
      <w:r w:rsidRPr="005A0CEA">
        <w:rPr>
          <w:lang w:val="en-GB"/>
        </w:rPr>
        <w:tab/>
        <w:t>DATE OF FIRST APPROVAL</w:t>
      </w:r>
    </w:p>
    <w:p w14:paraId="258DB72B" w14:textId="11277951" w:rsidR="00E97D02" w:rsidRPr="005A0CEA" w:rsidRDefault="00641647" w:rsidP="007C5F0E">
      <w:pPr>
        <w:rPr>
          <w:lang w:val="en-GB"/>
        </w:rPr>
      </w:pPr>
      <w:r w:rsidRPr="00641647">
        <w:rPr>
          <w:lang w:val="en-GB"/>
        </w:rPr>
        <w:t xml:space="preserve">07 </w:t>
      </w:r>
      <w:r w:rsidR="00FF7242" w:rsidRPr="00641647">
        <w:rPr>
          <w:lang w:val="en-GB"/>
        </w:rPr>
        <w:t>February 2022</w:t>
      </w:r>
    </w:p>
    <w:p w14:paraId="48B8C02A" w14:textId="77777777" w:rsidR="00E97D02" w:rsidRPr="005A0CEA" w:rsidRDefault="00E97D02" w:rsidP="007C5F0E">
      <w:pPr>
        <w:pStyle w:val="Heading2"/>
        <w:rPr>
          <w:lang w:val="en-GB"/>
        </w:rPr>
      </w:pPr>
      <w:r w:rsidRPr="005A0CEA">
        <w:rPr>
          <w:lang w:val="en-GB"/>
        </w:rPr>
        <w:t>10.</w:t>
      </w:r>
      <w:r w:rsidRPr="005A0CEA">
        <w:rPr>
          <w:lang w:val="en-GB"/>
        </w:rPr>
        <w:tab/>
        <w:t>DATE OF REVISION</w:t>
      </w:r>
    </w:p>
    <w:p w14:paraId="72B0F966" w14:textId="30FEBEC5" w:rsidR="00E97D02" w:rsidRPr="005A0CEA" w:rsidRDefault="00C159DA" w:rsidP="007C5F0E">
      <w:pPr>
        <w:rPr>
          <w:lang w:val="en-GB"/>
        </w:rPr>
      </w:pPr>
      <w:r w:rsidRPr="005A0CEA">
        <w:rPr>
          <w:lang w:val="en-GB"/>
        </w:rPr>
        <w:t>N/A</w:t>
      </w:r>
    </w:p>
    <w:p w14:paraId="0A5CBEB6" w14:textId="77777777" w:rsidR="00E97D02" w:rsidRPr="005A0CEA" w:rsidRDefault="00E97D02" w:rsidP="007C5F0E">
      <w:pPr>
        <w:rPr>
          <w:lang w:val="en-GB"/>
        </w:rPr>
      </w:pPr>
      <w:r w:rsidRPr="005A0CEA">
        <w:rPr>
          <w:lang w:val="en-GB"/>
        </w:rPr>
        <w:br w:type="page"/>
      </w:r>
    </w:p>
    <w:p w14:paraId="230CFAF3" w14:textId="77777777" w:rsidR="00E97D02" w:rsidRPr="005A0CEA" w:rsidRDefault="00E97D02" w:rsidP="007C5F0E">
      <w:pPr>
        <w:pStyle w:val="Heading3"/>
        <w:rPr>
          <w:lang w:val="en-GB"/>
        </w:rPr>
      </w:pPr>
      <w:r w:rsidRPr="005A0CEA">
        <w:rPr>
          <w:lang w:val="en-GB"/>
        </w:rPr>
        <w:lastRenderedPageBreak/>
        <w:t>Summary table of changes</w:t>
      </w:r>
    </w:p>
    <w:tbl>
      <w:tblPr>
        <w:tblStyle w:val="TableGrid"/>
        <w:tblW w:w="0" w:type="auto"/>
        <w:tblLook w:val="04A0" w:firstRow="1" w:lastRow="0" w:firstColumn="1" w:lastColumn="0" w:noHBand="0" w:noVBand="1"/>
      </w:tblPr>
      <w:tblGrid>
        <w:gridCol w:w="2364"/>
        <w:gridCol w:w="6818"/>
      </w:tblGrid>
      <w:tr w:rsidR="00E97D02" w:rsidRPr="005A0CEA" w14:paraId="2AE98D00" w14:textId="77777777" w:rsidTr="00F31492">
        <w:tc>
          <w:tcPr>
            <w:tcW w:w="2376" w:type="dxa"/>
          </w:tcPr>
          <w:p w14:paraId="440403E9" w14:textId="77777777" w:rsidR="00E97D02" w:rsidRPr="005A0CEA" w:rsidRDefault="00E97D02" w:rsidP="007C5F0E">
            <w:pPr>
              <w:rPr>
                <w:b/>
                <w:lang w:val="en-GB"/>
              </w:rPr>
            </w:pPr>
            <w:r w:rsidRPr="005A0CEA">
              <w:rPr>
                <w:b/>
                <w:lang w:val="en-GB"/>
              </w:rPr>
              <w:t>Section changed</w:t>
            </w:r>
          </w:p>
        </w:tc>
        <w:tc>
          <w:tcPr>
            <w:tcW w:w="6866" w:type="dxa"/>
          </w:tcPr>
          <w:p w14:paraId="6916CDFF" w14:textId="77777777" w:rsidR="00E97D02" w:rsidRPr="005A0CEA" w:rsidRDefault="00E97D02" w:rsidP="007C5F0E">
            <w:pPr>
              <w:rPr>
                <w:b/>
                <w:lang w:val="en-GB"/>
              </w:rPr>
            </w:pPr>
            <w:r w:rsidRPr="005A0CEA">
              <w:rPr>
                <w:b/>
                <w:lang w:val="en-GB"/>
              </w:rPr>
              <w:t>Summary of new information</w:t>
            </w:r>
          </w:p>
        </w:tc>
      </w:tr>
      <w:tr w:rsidR="00E97D02" w:rsidRPr="005A0CEA" w14:paraId="42B4F483" w14:textId="77777777" w:rsidTr="00F31492">
        <w:tc>
          <w:tcPr>
            <w:tcW w:w="2376" w:type="dxa"/>
          </w:tcPr>
          <w:p w14:paraId="5CD2F8EA" w14:textId="30D5E78B" w:rsidR="00E97D02" w:rsidRPr="005A0CEA" w:rsidRDefault="00150BD4" w:rsidP="007C5F0E">
            <w:pPr>
              <w:rPr>
                <w:lang w:val="en-GB"/>
              </w:rPr>
            </w:pPr>
            <w:r w:rsidRPr="005A0CEA">
              <w:rPr>
                <w:lang w:val="en-GB"/>
              </w:rPr>
              <w:t>N/A</w:t>
            </w:r>
          </w:p>
        </w:tc>
        <w:tc>
          <w:tcPr>
            <w:tcW w:w="6866" w:type="dxa"/>
          </w:tcPr>
          <w:p w14:paraId="24A40087" w14:textId="4B5F2AA5" w:rsidR="00E97D02" w:rsidRPr="005A0CEA" w:rsidRDefault="00150BD4" w:rsidP="007C5F0E">
            <w:pPr>
              <w:rPr>
                <w:lang w:val="en-GB"/>
              </w:rPr>
            </w:pPr>
            <w:r w:rsidRPr="005A0CEA">
              <w:rPr>
                <w:lang w:val="en-GB"/>
              </w:rPr>
              <w:t>New registration</w:t>
            </w:r>
          </w:p>
        </w:tc>
      </w:tr>
    </w:tbl>
    <w:p w14:paraId="2CCE92E9" w14:textId="77777777" w:rsidR="00E97D02" w:rsidRPr="005A0CEA" w:rsidRDefault="00E97D02" w:rsidP="007C5F0E">
      <w:pPr>
        <w:rPr>
          <w:lang w:val="en-GB"/>
        </w:rPr>
      </w:pPr>
    </w:p>
    <w:sectPr w:rsidR="00E97D02" w:rsidRPr="005A0CEA" w:rsidSect="00D038B0">
      <w:headerReference w:type="default" r:id="rId15"/>
      <w:footerReference w:type="defaul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0D45" w14:textId="77777777" w:rsidR="00A334F6" w:rsidRDefault="00A334F6" w:rsidP="00EB6A0C">
      <w:r>
        <w:separator/>
      </w:r>
    </w:p>
  </w:endnote>
  <w:endnote w:type="continuationSeparator" w:id="0">
    <w:p w14:paraId="7BE59A50" w14:textId="77777777" w:rsidR="00A334F6" w:rsidRDefault="00A334F6" w:rsidP="00EB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A42E" w14:textId="40BDB095" w:rsidR="00A334F6" w:rsidRDefault="00054AF4" w:rsidP="00766C3E">
    <w:pPr>
      <w:pStyle w:val="Footer"/>
      <w:tabs>
        <w:tab w:val="clear" w:pos="9026"/>
        <w:tab w:val="left" w:pos="3686"/>
        <w:tab w:val="right" w:pos="7513"/>
      </w:tabs>
    </w:pPr>
    <w:r>
      <w:rPr>
        <w:lang w:val="en-GB"/>
      </w:rPr>
      <w:t xml:space="preserve">Rybelsus PI v1.0 </w:t>
    </w:r>
    <w:r w:rsidR="00766C3E">
      <w:rPr>
        <w:lang w:val="en-GB"/>
      </w:rPr>
      <w:tab/>
    </w:r>
    <w:r w:rsidRPr="00054AF4">
      <w:rPr>
        <w:sz w:val="20"/>
        <w:szCs w:val="20"/>
        <w:lang w:val="en-GB"/>
      </w:rPr>
      <w:t>VV-LAB-092426</w:t>
    </w:r>
    <w:r w:rsidR="00A334F6" w:rsidRPr="00CD2086">
      <w:rPr>
        <w:lang w:val="en-GB"/>
      </w:rPr>
      <w:fldChar w:fldCharType="begin"/>
    </w:r>
    <w:r w:rsidR="00A334F6" w:rsidRPr="00CD2086">
      <w:rPr>
        <w:lang w:val="en-GB"/>
      </w:rPr>
      <w:instrText xml:space="preserve"> FILENAME </w:instrText>
    </w:r>
    <w:r w:rsidR="000C4E63">
      <w:rPr>
        <w:lang w:val="en-GB"/>
      </w:rPr>
      <w:fldChar w:fldCharType="separate"/>
    </w:r>
    <w:r w:rsidR="00A334F6" w:rsidRPr="00CD2086">
      <w:fldChar w:fldCharType="end"/>
    </w:r>
    <w:sdt>
      <w:sdtPr>
        <w:id w:val="-1318336367"/>
        <w:docPartObj>
          <w:docPartGallery w:val="Page Numbers (Top of Page)"/>
          <w:docPartUnique/>
        </w:docPartObj>
      </w:sdtPr>
      <w:sdtEndPr/>
      <w:sdtContent>
        <w:r w:rsidR="00A334F6" w:rsidRPr="00CD2086">
          <w:tab/>
        </w:r>
        <w:r w:rsidR="00A334F6">
          <w:tab/>
        </w:r>
        <w:r w:rsidR="00A334F6" w:rsidRPr="00CD2086">
          <w:t xml:space="preserve">Page </w:t>
        </w:r>
        <w:r w:rsidR="00A334F6" w:rsidRPr="00CD2086">
          <w:rPr>
            <w:b/>
            <w:bCs/>
          </w:rPr>
          <w:fldChar w:fldCharType="begin"/>
        </w:r>
        <w:r w:rsidR="00A334F6" w:rsidRPr="00CD2086">
          <w:rPr>
            <w:b/>
            <w:bCs/>
          </w:rPr>
          <w:instrText xml:space="preserve"> PAGE </w:instrText>
        </w:r>
        <w:r w:rsidR="00A334F6" w:rsidRPr="00CD2086">
          <w:rPr>
            <w:b/>
            <w:bCs/>
          </w:rPr>
          <w:fldChar w:fldCharType="separate"/>
        </w:r>
        <w:r w:rsidR="00A334F6" w:rsidRPr="00CD2086">
          <w:rPr>
            <w:b/>
            <w:bCs/>
          </w:rPr>
          <w:t>29</w:t>
        </w:r>
        <w:r w:rsidR="00A334F6" w:rsidRPr="00CD2086">
          <w:fldChar w:fldCharType="end"/>
        </w:r>
        <w:r w:rsidR="00A334F6" w:rsidRPr="00CD2086">
          <w:t xml:space="preserve"> of </w:t>
        </w:r>
        <w:r w:rsidR="00A334F6" w:rsidRPr="00CD2086">
          <w:rPr>
            <w:b/>
            <w:bCs/>
          </w:rPr>
          <w:fldChar w:fldCharType="begin"/>
        </w:r>
        <w:r w:rsidR="00A334F6" w:rsidRPr="00CD2086">
          <w:rPr>
            <w:b/>
            <w:bCs/>
          </w:rPr>
          <w:instrText xml:space="preserve"> NUMPAGES  </w:instrText>
        </w:r>
        <w:r w:rsidR="00A334F6" w:rsidRPr="00CD2086">
          <w:rPr>
            <w:b/>
            <w:bCs/>
          </w:rPr>
          <w:fldChar w:fldCharType="separate"/>
        </w:r>
        <w:r w:rsidR="00A334F6" w:rsidRPr="00CD2086">
          <w:rPr>
            <w:b/>
            <w:bCs/>
          </w:rPr>
          <w:t>30</w:t>
        </w:r>
        <w:r w:rsidR="00A334F6" w:rsidRPr="00CD208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9BA6" w14:textId="77777777" w:rsidR="00A334F6" w:rsidRDefault="00A334F6" w:rsidP="00EB6A0C">
      <w:r>
        <w:separator/>
      </w:r>
    </w:p>
  </w:footnote>
  <w:footnote w:type="continuationSeparator" w:id="0">
    <w:p w14:paraId="019A24B4" w14:textId="77777777" w:rsidR="00A334F6" w:rsidRDefault="00A334F6" w:rsidP="00EB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tblInd w:w="0" w:type="dxa"/>
      <w:shd w:val="clear" w:color="auto" w:fill="E4F2E0"/>
      <w:tblLook w:val="04A0" w:firstRow="1" w:lastRow="0" w:firstColumn="1" w:lastColumn="0" w:noHBand="0" w:noVBand="1"/>
    </w:tblPr>
    <w:tblGrid>
      <w:gridCol w:w="8720"/>
    </w:tblGrid>
    <w:tr w:rsidR="000C4E63" w:rsidRPr="00E57362" w14:paraId="19A4F6B1" w14:textId="77777777" w:rsidTr="00E40263">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7470777D" w14:textId="15B62603" w:rsidR="000C4E63" w:rsidRPr="000C4E63" w:rsidRDefault="000C4E63" w:rsidP="000C4E63">
          <w:pPr>
            <w:spacing w:before="180" w:after="180" w:line="240" w:lineRule="atLeast"/>
            <w:rPr>
              <w:rFonts w:asciiTheme="majorHAnsi" w:hAnsiTheme="majorHAnsi"/>
              <w:b/>
              <w:sz w:val="18"/>
              <w:szCs w:val="18"/>
            </w:rPr>
          </w:pPr>
          <w:r w:rsidRPr="000C4E63">
            <w:rPr>
              <w:rFonts w:asciiTheme="majorHAnsi" w:hAnsiTheme="majorHAnsi"/>
              <w:b/>
              <w:sz w:val="18"/>
              <w:szCs w:val="18"/>
            </w:rPr>
            <w:t xml:space="preserve">Attachment 1: Product information for </w:t>
          </w:r>
          <w:proofErr w:type="spellStart"/>
          <w:r w:rsidRPr="000C4E63">
            <w:rPr>
              <w:rFonts w:asciiTheme="majorHAnsi" w:hAnsiTheme="majorHAnsi"/>
              <w:b/>
              <w:sz w:val="18"/>
              <w:szCs w:val="18"/>
            </w:rPr>
            <w:t>AusPAR</w:t>
          </w:r>
          <w:proofErr w:type="spellEnd"/>
          <w:r w:rsidRPr="000C4E63">
            <w:rPr>
              <w:rFonts w:asciiTheme="majorHAnsi" w:hAnsiTheme="majorHAnsi"/>
              <w:b/>
              <w:sz w:val="18"/>
              <w:szCs w:val="18"/>
            </w:rPr>
            <w:t xml:space="preserve"> - </w:t>
          </w:r>
          <w:proofErr w:type="spellStart"/>
          <w:r w:rsidRPr="000C4E63">
            <w:rPr>
              <w:rFonts w:asciiTheme="majorHAnsi" w:hAnsiTheme="majorHAnsi"/>
              <w:b/>
              <w:sz w:val="18"/>
              <w:szCs w:val="18"/>
            </w:rPr>
            <w:t>Rybelsus</w:t>
          </w:r>
          <w:proofErr w:type="spellEnd"/>
          <w:r w:rsidRPr="000C4E63">
            <w:rPr>
              <w:rFonts w:asciiTheme="majorHAnsi" w:hAnsiTheme="majorHAnsi"/>
              <w:b/>
              <w:sz w:val="18"/>
              <w:szCs w:val="18"/>
            </w:rPr>
            <w:t xml:space="preserve"> - </w:t>
          </w:r>
          <w:proofErr w:type="spellStart"/>
          <w:r w:rsidRPr="000C4E63">
            <w:rPr>
              <w:rFonts w:asciiTheme="majorHAnsi" w:hAnsiTheme="majorHAnsi"/>
              <w:b/>
              <w:sz w:val="18"/>
              <w:szCs w:val="18"/>
            </w:rPr>
            <w:t>semaglutide</w:t>
          </w:r>
          <w:proofErr w:type="spellEnd"/>
          <w:r w:rsidRPr="000C4E63">
            <w:rPr>
              <w:rFonts w:asciiTheme="majorHAnsi" w:hAnsiTheme="majorHAnsi"/>
              <w:b/>
              <w:sz w:val="18"/>
              <w:szCs w:val="18"/>
            </w:rPr>
            <w:t xml:space="preserve"> - Novo Nordisk Pharmaceuticals Pty Ltd - PM-2020-03921-1-5</w:t>
          </w:r>
          <w:r w:rsidRPr="000C4E63">
            <w:rPr>
              <w:rFonts w:asciiTheme="majorHAnsi" w:hAnsiTheme="majorHAnsi"/>
              <w:b/>
              <w:sz w:val="18"/>
              <w:szCs w:val="18"/>
            </w:rPr>
            <w:t xml:space="preserve"> </w:t>
          </w:r>
          <w:r w:rsidRPr="000C4E63">
            <w:rPr>
              <w:rFonts w:asciiTheme="majorHAnsi" w:hAnsiTheme="majorHAnsi"/>
              <w:b/>
              <w:sz w:val="18"/>
              <w:szCs w:val="18"/>
            </w:rPr>
            <w:t xml:space="preserve">Final 27 October 2022. This is the Product Information that was approved with the submission described in this </w:t>
          </w:r>
          <w:proofErr w:type="spellStart"/>
          <w:r w:rsidRPr="000C4E63">
            <w:rPr>
              <w:rFonts w:asciiTheme="majorHAnsi" w:hAnsiTheme="majorHAnsi"/>
              <w:b/>
              <w:sz w:val="18"/>
              <w:szCs w:val="18"/>
            </w:rPr>
            <w:t>AusPAR</w:t>
          </w:r>
          <w:proofErr w:type="spellEnd"/>
          <w:r w:rsidRPr="000C4E63">
            <w:rPr>
              <w:rFonts w:asciiTheme="majorHAnsi" w:hAnsiTheme="majorHAnsi"/>
              <w:b/>
              <w:sz w:val="18"/>
              <w:szCs w:val="18"/>
            </w:rPr>
            <w:t>. It may have been superseded. For the most recent PI, please refer to the TGA website at &lt;</w:t>
          </w:r>
          <w:hyperlink r:id="rId1" w:history="1">
            <w:r w:rsidRPr="000C4E63">
              <w:rPr>
                <w:rFonts w:asciiTheme="majorHAnsi" w:hAnsiTheme="majorHAnsi"/>
                <w:b/>
                <w:color w:val="0000FF"/>
                <w:sz w:val="18"/>
                <w:szCs w:val="18"/>
                <w:u w:val="single"/>
              </w:rPr>
              <w:t>https://www.tga.gov.au/products/australian-register-therapeutic-goods-artg/product-information-one</w:t>
            </w:r>
          </w:hyperlink>
          <w:r w:rsidRPr="000C4E63">
            <w:rPr>
              <w:rFonts w:asciiTheme="majorHAnsi" w:hAnsiTheme="majorHAnsi"/>
              <w:b/>
              <w:color w:val="0000FF"/>
              <w:sz w:val="18"/>
              <w:szCs w:val="18"/>
              <w:u w:val="single"/>
            </w:rPr>
            <w:t>&gt;</w:t>
          </w:r>
        </w:p>
      </w:tc>
    </w:tr>
  </w:tbl>
  <w:p w14:paraId="1A135309" w14:textId="5C3B9282" w:rsidR="000C4E63" w:rsidRDefault="000C4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0E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62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8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E015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632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9EBB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CE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F891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063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6A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7591B"/>
    <w:multiLevelType w:val="hybridMultilevel"/>
    <w:tmpl w:val="3FA8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658DA"/>
    <w:multiLevelType w:val="multilevel"/>
    <w:tmpl w:val="A9C473D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361"/>
        </w:tabs>
        <w:ind w:left="1361" w:hanging="136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NDYzMDM3M7a0NDRV0lEKTi0uzszPAykwNKwFAIPG/IQtAAAA"/>
  </w:docVars>
  <w:rsids>
    <w:rsidRoot w:val="00BB4725"/>
    <w:rsid w:val="000003F6"/>
    <w:rsid w:val="00001202"/>
    <w:rsid w:val="000021EC"/>
    <w:rsid w:val="00025320"/>
    <w:rsid w:val="00025BFC"/>
    <w:rsid w:val="00026C85"/>
    <w:rsid w:val="0003583A"/>
    <w:rsid w:val="00054AF4"/>
    <w:rsid w:val="000640DE"/>
    <w:rsid w:val="0007114A"/>
    <w:rsid w:val="000719BF"/>
    <w:rsid w:val="0008797F"/>
    <w:rsid w:val="000B2DB0"/>
    <w:rsid w:val="000B4961"/>
    <w:rsid w:val="000C4E63"/>
    <w:rsid w:val="000E41F5"/>
    <w:rsid w:val="000E4E8A"/>
    <w:rsid w:val="00100A16"/>
    <w:rsid w:val="00121747"/>
    <w:rsid w:val="00124ECF"/>
    <w:rsid w:val="0014199A"/>
    <w:rsid w:val="00143E03"/>
    <w:rsid w:val="00150BD4"/>
    <w:rsid w:val="001613A8"/>
    <w:rsid w:val="001862A7"/>
    <w:rsid w:val="001A2A9B"/>
    <w:rsid w:val="001D289E"/>
    <w:rsid w:val="001D5D26"/>
    <w:rsid w:val="001F7769"/>
    <w:rsid w:val="00204A66"/>
    <w:rsid w:val="00221C88"/>
    <w:rsid w:val="002235CF"/>
    <w:rsid w:val="00234D10"/>
    <w:rsid w:val="00272D24"/>
    <w:rsid w:val="002747C1"/>
    <w:rsid w:val="00274D3B"/>
    <w:rsid w:val="00281494"/>
    <w:rsid w:val="002A1962"/>
    <w:rsid w:val="002B107C"/>
    <w:rsid w:val="002F4D63"/>
    <w:rsid w:val="0030199E"/>
    <w:rsid w:val="00301DE4"/>
    <w:rsid w:val="003035F0"/>
    <w:rsid w:val="00304BBA"/>
    <w:rsid w:val="003251FC"/>
    <w:rsid w:val="00326EFA"/>
    <w:rsid w:val="0032760A"/>
    <w:rsid w:val="00332F74"/>
    <w:rsid w:val="003403A5"/>
    <w:rsid w:val="00353542"/>
    <w:rsid w:val="00361765"/>
    <w:rsid w:val="00363D95"/>
    <w:rsid w:val="00392C85"/>
    <w:rsid w:val="003A198B"/>
    <w:rsid w:val="003D1FAD"/>
    <w:rsid w:val="003D4166"/>
    <w:rsid w:val="003E3545"/>
    <w:rsid w:val="003F25CC"/>
    <w:rsid w:val="003F6359"/>
    <w:rsid w:val="00411625"/>
    <w:rsid w:val="00411D76"/>
    <w:rsid w:val="00424C6A"/>
    <w:rsid w:val="00432700"/>
    <w:rsid w:val="00457C62"/>
    <w:rsid w:val="004803F6"/>
    <w:rsid w:val="00484993"/>
    <w:rsid w:val="00496BDC"/>
    <w:rsid w:val="004974F2"/>
    <w:rsid w:val="004A6384"/>
    <w:rsid w:val="004B1B75"/>
    <w:rsid w:val="004C213D"/>
    <w:rsid w:val="004C4FA4"/>
    <w:rsid w:val="004D57C0"/>
    <w:rsid w:val="004D6E5F"/>
    <w:rsid w:val="005278D0"/>
    <w:rsid w:val="00532465"/>
    <w:rsid w:val="0053465F"/>
    <w:rsid w:val="00541013"/>
    <w:rsid w:val="0056272E"/>
    <w:rsid w:val="005A0CCE"/>
    <w:rsid w:val="005A0CEA"/>
    <w:rsid w:val="005A2200"/>
    <w:rsid w:val="005C4741"/>
    <w:rsid w:val="005E7C15"/>
    <w:rsid w:val="005F0D0A"/>
    <w:rsid w:val="005F57BF"/>
    <w:rsid w:val="00603FE8"/>
    <w:rsid w:val="00610530"/>
    <w:rsid w:val="00616A6E"/>
    <w:rsid w:val="0062017B"/>
    <w:rsid w:val="0063243D"/>
    <w:rsid w:val="00641647"/>
    <w:rsid w:val="00642581"/>
    <w:rsid w:val="00646C58"/>
    <w:rsid w:val="00650441"/>
    <w:rsid w:val="00653E07"/>
    <w:rsid w:val="00656C5A"/>
    <w:rsid w:val="00670F81"/>
    <w:rsid w:val="0068483B"/>
    <w:rsid w:val="00690894"/>
    <w:rsid w:val="006A3493"/>
    <w:rsid w:val="006C16B1"/>
    <w:rsid w:val="006C24E2"/>
    <w:rsid w:val="006D15ED"/>
    <w:rsid w:val="006E0359"/>
    <w:rsid w:val="006F4DEC"/>
    <w:rsid w:val="00704446"/>
    <w:rsid w:val="00723F7E"/>
    <w:rsid w:val="00757677"/>
    <w:rsid w:val="00766C3E"/>
    <w:rsid w:val="00766E58"/>
    <w:rsid w:val="00772FC6"/>
    <w:rsid w:val="0077683E"/>
    <w:rsid w:val="007843DE"/>
    <w:rsid w:val="00792D2E"/>
    <w:rsid w:val="007C0398"/>
    <w:rsid w:val="007C5F0E"/>
    <w:rsid w:val="007E086A"/>
    <w:rsid w:val="007E1324"/>
    <w:rsid w:val="008073AB"/>
    <w:rsid w:val="008138E0"/>
    <w:rsid w:val="0082671E"/>
    <w:rsid w:val="00827623"/>
    <w:rsid w:val="00833543"/>
    <w:rsid w:val="008600E4"/>
    <w:rsid w:val="008624D1"/>
    <w:rsid w:val="00866991"/>
    <w:rsid w:val="0088684C"/>
    <w:rsid w:val="00892334"/>
    <w:rsid w:val="008B5975"/>
    <w:rsid w:val="008D3AA2"/>
    <w:rsid w:val="008D7690"/>
    <w:rsid w:val="008E1767"/>
    <w:rsid w:val="008E7849"/>
    <w:rsid w:val="008F609D"/>
    <w:rsid w:val="00905FC1"/>
    <w:rsid w:val="009442E2"/>
    <w:rsid w:val="0094459F"/>
    <w:rsid w:val="00947EC7"/>
    <w:rsid w:val="009544C0"/>
    <w:rsid w:val="00955C33"/>
    <w:rsid w:val="009722D6"/>
    <w:rsid w:val="009A0282"/>
    <w:rsid w:val="009A5CB4"/>
    <w:rsid w:val="009D5438"/>
    <w:rsid w:val="009D6D00"/>
    <w:rsid w:val="009E5ACE"/>
    <w:rsid w:val="009F2C36"/>
    <w:rsid w:val="00A0529E"/>
    <w:rsid w:val="00A334F6"/>
    <w:rsid w:val="00A65884"/>
    <w:rsid w:val="00A84151"/>
    <w:rsid w:val="00AB35A2"/>
    <w:rsid w:val="00AB3CBC"/>
    <w:rsid w:val="00AB7743"/>
    <w:rsid w:val="00AB79B3"/>
    <w:rsid w:val="00AD7824"/>
    <w:rsid w:val="00AF4394"/>
    <w:rsid w:val="00B05644"/>
    <w:rsid w:val="00B15C92"/>
    <w:rsid w:val="00B21F56"/>
    <w:rsid w:val="00B23EC6"/>
    <w:rsid w:val="00B43C9F"/>
    <w:rsid w:val="00B43D77"/>
    <w:rsid w:val="00B673D8"/>
    <w:rsid w:val="00B71797"/>
    <w:rsid w:val="00B80E66"/>
    <w:rsid w:val="00B82669"/>
    <w:rsid w:val="00B940A1"/>
    <w:rsid w:val="00BA5E85"/>
    <w:rsid w:val="00BB4725"/>
    <w:rsid w:val="00BC0058"/>
    <w:rsid w:val="00BC6730"/>
    <w:rsid w:val="00BD63AB"/>
    <w:rsid w:val="00BD7B5B"/>
    <w:rsid w:val="00BE2C4A"/>
    <w:rsid w:val="00BE6356"/>
    <w:rsid w:val="00BF0244"/>
    <w:rsid w:val="00BF699A"/>
    <w:rsid w:val="00C12EFA"/>
    <w:rsid w:val="00C159DA"/>
    <w:rsid w:val="00C233E1"/>
    <w:rsid w:val="00C300A8"/>
    <w:rsid w:val="00C44B67"/>
    <w:rsid w:val="00C60ECB"/>
    <w:rsid w:val="00C67BB2"/>
    <w:rsid w:val="00C9193C"/>
    <w:rsid w:val="00CB0B2D"/>
    <w:rsid w:val="00CC3B8C"/>
    <w:rsid w:val="00CC4756"/>
    <w:rsid w:val="00CD2086"/>
    <w:rsid w:val="00CD548F"/>
    <w:rsid w:val="00CD7372"/>
    <w:rsid w:val="00CE672A"/>
    <w:rsid w:val="00CE7CAA"/>
    <w:rsid w:val="00D038B0"/>
    <w:rsid w:val="00D14674"/>
    <w:rsid w:val="00D24796"/>
    <w:rsid w:val="00D26574"/>
    <w:rsid w:val="00D500FF"/>
    <w:rsid w:val="00D56FBE"/>
    <w:rsid w:val="00D87D3C"/>
    <w:rsid w:val="00DA056E"/>
    <w:rsid w:val="00DB1E41"/>
    <w:rsid w:val="00DC6711"/>
    <w:rsid w:val="00DD61FC"/>
    <w:rsid w:val="00E0101A"/>
    <w:rsid w:val="00E27446"/>
    <w:rsid w:val="00E32369"/>
    <w:rsid w:val="00E347F2"/>
    <w:rsid w:val="00E34A7A"/>
    <w:rsid w:val="00E4092B"/>
    <w:rsid w:val="00E45816"/>
    <w:rsid w:val="00E5122E"/>
    <w:rsid w:val="00E5148F"/>
    <w:rsid w:val="00E622C6"/>
    <w:rsid w:val="00E761EE"/>
    <w:rsid w:val="00E97D02"/>
    <w:rsid w:val="00EA6BB4"/>
    <w:rsid w:val="00EB6A0C"/>
    <w:rsid w:val="00EC6639"/>
    <w:rsid w:val="00ED5FAB"/>
    <w:rsid w:val="00EE23FC"/>
    <w:rsid w:val="00EE58AB"/>
    <w:rsid w:val="00EE79A9"/>
    <w:rsid w:val="00EF7E53"/>
    <w:rsid w:val="00F17541"/>
    <w:rsid w:val="00F31492"/>
    <w:rsid w:val="00F35174"/>
    <w:rsid w:val="00F378DB"/>
    <w:rsid w:val="00F40A3C"/>
    <w:rsid w:val="00F55579"/>
    <w:rsid w:val="00F6498C"/>
    <w:rsid w:val="00F70ECD"/>
    <w:rsid w:val="00F72421"/>
    <w:rsid w:val="00F828AF"/>
    <w:rsid w:val="00F9538E"/>
    <w:rsid w:val="00FB1215"/>
    <w:rsid w:val="00FC2B3D"/>
    <w:rsid w:val="00FD72F1"/>
    <w:rsid w:val="00FE2929"/>
    <w:rsid w:val="00FE3F13"/>
    <w:rsid w:val="00FF19B5"/>
    <w:rsid w:val="00FF7242"/>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5BF5BD6"/>
  <w15:docId w15:val="{418E83FD-3860-454A-9C42-1B637629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67"/>
    <w:rPr>
      <w:rFonts w:ascii="Times New Roman" w:hAnsi="Times New Roman" w:cs="Times New Roman"/>
      <w:sz w:val="24"/>
      <w:szCs w:val="24"/>
    </w:rPr>
  </w:style>
  <w:style w:type="paragraph" w:styleId="Heading1">
    <w:name w:val="heading 1"/>
    <w:basedOn w:val="Normal"/>
    <w:next w:val="Normal"/>
    <w:link w:val="Heading1Char"/>
    <w:qFormat/>
    <w:rsid w:val="003F6359"/>
    <w:pPr>
      <w:keepNext/>
      <w:keepLines/>
      <w:spacing w:before="480"/>
      <w:jc w:val="center"/>
      <w:outlineLvl w:val="0"/>
    </w:pPr>
    <w:rPr>
      <w:rFonts w:eastAsiaTheme="majorEastAsia"/>
      <w:b/>
      <w:bCs/>
    </w:rPr>
  </w:style>
  <w:style w:type="paragraph" w:styleId="Heading2">
    <w:name w:val="heading 2"/>
    <w:basedOn w:val="Normal"/>
    <w:next w:val="Normal"/>
    <w:link w:val="Heading2Char"/>
    <w:unhideWhenUsed/>
    <w:qFormat/>
    <w:rsid w:val="003F6359"/>
    <w:pPr>
      <w:keepNext/>
      <w:keepLines/>
      <w:spacing w:before="200"/>
      <w:outlineLvl w:val="1"/>
    </w:pPr>
    <w:rPr>
      <w:rFonts w:eastAsiaTheme="majorEastAsia"/>
      <w:b/>
      <w:bCs/>
    </w:rPr>
  </w:style>
  <w:style w:type="paragraph" w:styleId="Heading3">
    <w:name w:val="heading 3"/>
    <w:basedOn w:val="Normal"/>
    <w:next w:val="Normal"/>
    <w:link w:val="Heading3Char"/>
    <w:unhideWhenUsed/>
    <w:qFormat/>
    <w:rsid w:val="00D56FBE"/>
    <w:pPr>
      <w:keepNext/>
      <w:keepLines/>
      <w:spacing w:before="200"/>
      <w:outlineLvl w:val="2"/>
    </w:pPr>
    <w:rPr>
      <w:rFonts w:eastAsiaTheme="majorEastAsia"/>
      <w:b/>
      <w:bCs/>
    </w:rPr>
  </w:style>
  <w:style w:type="paragraph" w:styleId="Heading4">
    <w:name w:val="heading 4"/>
    <w:basedOn w:val="Normal"/>
    <w:next w:val="Normal"/>
    <w:link w:val="Heading4Char"/>
    <w:uiPriority w:val="9"/>
    <w:unhideWhenUsed/>
    <w:qFormat/>
    <w:rsid w:val="00D56FBE"/>
    <w:pPr>
      <w:keepNext/>
      <w:keepLines/>
      <w:spacing w:before="200"/>
      <w:outlineLvl w:val="3"/>
    </w:pPr>
    <w:rPr>
      <w:rFonts w:eastAsiaTheme="majorEastAsia"/>
      <w:bCs/>
      <w:iCs/>
      <w:u w:val="single"/>
    </w:rPr>
  </w:style>
  <w:style w:type="paragraph" w:styleId="Heading5">
    <w:name w:val="heading 5"/>
    <w:basedOn w:val="Normal"/>
    <w:next w:val="Normal"/>
    <w:link w:val="Heading5Char"/>
    <w:uiPriority w:val="9"/>
    <w:unhideWhenUsed/>
    <w:qFormat/>
    <w:rsid w:val="003F63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3465F"/>
    <w:pPr>
      <w:spacing w:before="120"/>
      <w:outlineLvl w:val="5"/>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5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3F6359"/>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D56FB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D56FBE"/>
    <w:rPr>
      <w:rFonts w:ascii="Times New Roman" w:eastAsiaTheme="majorEastAsia" w:hAnsi="Times New Roman" w:cs="Times New Roman"/>
      <w:bCs/>
      <w:iCs/>
      <w:sz w:val="24"/>
      <w:szCs w:val="24"/>
      <w:u w:val="single"/>
    </w:rPr>
  </w:style>
  <w:style w:type="character" w:customStyle="1" w:styleId="Heading5Char">
    <w:name w:val="Heading 5 Char"/>
    <w:basedOn w:val="DefaultParagraphFont"/>
    <w:link w:val="Heading5"/>
    <w:uiPriority w:val="9"/>
    <w:rsid w:val="003F6359"/>
    <w:rPr>
      <w:rFonts w:asciiTheme="majorHAnsi" w:eastAsiaTheme="majorEastAsia" w:hAnsiTheme="majorHAnsi" w:cstheme="majorBidi"/>
      <w:color w:val="243F60" w:themeColor="accent1" w:themeShade="7F"/>
    </w:rPr>
  </w:style>
  <w:style w:type="paragraph" w:styleId="Subtitle">
    <w:name w:val="Subtitle"/>
    <w:basedOn w:val="Normal"/>
    <w:next w:val="Normal"/>
    <w:link w:val="SubtitleChar"/>
    <w:uiPriority w:val="11"/>
    <w:qFormat/>
    <w:rsid w:val="003F635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F6359"/>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C44B67"/>
    <w:rPr>
      <w:color w:val="0000FF" w:themeColor="hyperlink"/>
      <w:u w:val="single"/>
    </w:rPr>
  </w:style>
  <w:style w:type="table" w:styleId="TableGrid">
    <w:name w:val="Table Grid"/>
    <w:basedOn w:val="TableNormal"/>
    <w:uiPriority w:val="59"/>
    <w:rsid w:val="00E9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7D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EB6A0C"/>
    <w:rPr>
      <w:sz w:val="20"/>
      <w:szCs w:val="20"/>
    </w:rPr>
  </w:style>
  <w:style w:type="character" w:customStyle="1" w:styleId="FootnoteTextChar">
    <w:name w:val="Footnote Text Char"/>
    <w:basedOn w:val="DefaultParagraphFont"/>
    <w:link w:val="FootnoteText"/>
    <w:uiPriority w:val="99"/>
    <w:semiHidden/>
    <w:rsid w:val="00EB6A0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B6A0C"/>
    <w:rPr>
      <w:vertAlign w:val="superscript"/>
    </w:rPr>
  </w:style>
  <w:style w:type="character" w:customStyle="1" w:styleId="Heading6Char">
    <w:name w:val="Heading 6 Char"/>
    <w:basedOn w:val="DefaultParagraphFont"/>
    <w:link w:val="Heading6"/>
    <w:uiPriority w:val="9"/>
    <w:rsid w:val="0053465F"/>
    <w:rPr>
      <w:rFonts w:ascii="Times New Roman" w:hAnsi="Times New Roman" w:cs="Times New Roman"/>
      <w:i/>
      <w:iCs/>
      <w:sz w:val="24"/>
      <w:szCs w:val="24"/>
    </w:rPr>
  </w:style>
  <w:style w:type="paragraph" w:styleId="Header">
    <w:name w:val="header"/>
    <w:basedOn w:val="Normal"/>
    <w:link w:val="HeaderChar"/>
    <w:uiPriority w:val="99"/>
    <w:unhideWhenUsed/>
    <w:rsid w:val="00F378DB"/>
    <w:pPr>
      <w:tabs>
        <w:tab w:val="center" w:pos="4513"/>
        <w:tab w:val="right" w:pos="9026"/>
      </w:tabs>
    </w:pPr>
  </w:style>
  <w:style w:type="character" w:customStyle="1" w:styleId="HeaderChar">
    <w:name w:val="Header Char"/>
    <w:basedOn w:val="DefaultParagraphFont"/>
    <w:link w:val="Header"/>
    <w:uiPriority w:val="99"/>
    <w:rsid w:val="00F378DB"/>
    <w:rPr>
      <w:rFonts w:ascii="Times New Roman" w:hAnsi="Times New Roman" w:cs="Times New Roman"/>
      <w:sz w:val="24"/>
      <w:szCs w:val="24"/>
    </w:rPr>
  </w:style>
  <w:style w:type="paragraph" w:styleId="Footer">
    <w:name w:val="footer"/>
    <w:basedOn w:val="Normal"/>
    <w:link w:val="FooterChar"/>
    <w:uiPriority w:val="99"/>
    <w:unhideWhenUsed/>
    <w:rsid w:val="00F378DB"/>
    <w:pPr>
      <w:tabs>
        <w:tab w:val="center" w:pos="4513"/>
        <w:tab w:val="right" w:pos="9026"/>
      </w:tabs>
    </w:pPr>
  </w:style>
  <w:style w:type="character" w:customStyle="1" w:styleId="FooterChar">
    <w:name w:val="Footer Char"/>
    <w:basedOn w:val="DefaultParagraphFont"/>
    <w:link w:val="Footer"/>
    <w:uiPriority w:val="99"/>
    <w:rsid w:val="00F378DB"/>
    <w:rPr>
      <w:rFonts w:ascii="Times New Roman" w:hAnsi="Times New Roman" w:cs="Times New Roman"/>
      <w:sz w:val="24"/>
      <w:szCs w:val="24"/>
    </w:rPr>
  </w:style>
  <w:style w:type="paragraph" w:customStyle="1" w:styleId="TableText">
    <w:name w:val="Table Text"/>
    <w:link w:val="TableTextChar"/>
    <w:qFormat/>
    <w:rsid w:val="0007114A"/>
    <w:pPr>
      <w:keepNext/>
      <w:keepLines/>
      <w:suppressAutoHyphens/>
      <w:spacing w:after="20" w:line="264" w:lineRule="auto"/>
    </w:pPr>
    <w:rPr>
      <w:rFonts w:ascii="Times New Roman" w:eastAsia="Times New Roman" w:hAnsi="Times New Roman" w:cs="Times New Roman"/>
      <w:sz w:val="20"/>
      <w:szCs w:val="24"/>
      <w:lang w:val="en-GB" w:eastAsia="en-GB"/>
    </w:rPr>
  </w:style>
  <w:style w:type="character" w:customStyle="1" w:styleId="TableTextChar">
    <w:name w:val="Table Text Char"/>
    <w:link w:val="TableText"/>
    <w:locked/>
    <w:rsid w:val="0007114A"/>
    <w:rPr>
      <w:rFonts w:ascii="Times New Roman" w:eastAsia="Times New Roman" w:hAnsi="Times New Roman" w:cs="Times New Roman"/>
      <w:sz w:val="20"/>
      <w:szCs w:val="24"/>
      <w:lang w:val="en-GB" w:eastAsia="en-GB"/>
    </w:rPr>
  </w:style>
  <w:style w:type="character" w:styleId="CommentReference">
    <w:name w:val="annotation reference"/>
    <w:basedOn w:val="DefaultParagraphFont"/>
    <w:uiPriority w:val="99"/>
    <w:semiHidden/>
    <w:unhideWhenUsed/>
    <w:rsid w:val="002747C1"/>
    <w:rPr>
      <w:sz w:val="16"/>
      <w:szCs w:val="16"/>
    </w:rPr>
  </w:style>
  <w:style w:type="paragraph" w:styleId="CommentText">
    <w:name w:val="annotation text"/>
    <w:basedOn w:val="Normal"/>
    <w:link w:val="CommentTextChar"/>
    <w:uiPriority w:val="99"/>
    <w:unhideWhenUsed/>
    <w:rsid w:val="002747C1"/>
    <w:rPr>
      <w:sz w:val="20"/>
      <w:szCs w:val="20"/>
    </w:rPr>
  </w:style>
  <w:style w:type="character" w:customStyle="1" w:styleId="CommentTextChar">
    <w:name w:val="Comment Text Char"/>
    <w:basedOn w:val="DefaultParagraphFont"/>
    <w:link w:val="CommentText"/>
    <w:uiPriority w:val="99"/>
    <w:rsid w:val="002747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7C1"/>
    <w:rPr>
      <w:b/>
      <w:bCs/>
    </w:rPr>
  </w:style>
  <w:style w:type="character" w:customStyle="1" w:styleId="CommentSubjectChar">
    <w:name w:val="Comment Subject Char"/>
    <w:basedOn w:val="CommentTextChar"/>
    <w:link w:val="CommentSubject"/>
    <w:uiPriority w:val="99"/>
    <w:semiHidden/>
    <w:rsid w:val="002747C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74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7C1"/>
    <w:rPr>
      <w:rFonts w:ascii="Segoe UI" w:hAnsi="Segoe UI" w:cs="Segoe UI"/>
      <w:sz w:val="18"/>
      <w:szCs w:val="18"/>
    </w:rPr>
  </w:style>
  <w:style w:type="character" w:styleId="PlaceholderText">
    <w:name w:val="Placeholder Text"/>
    <w:basedOn w:val="DefaultParagraphFont"/>
    <w:uiPriority w:val="99"/>
    <w:semiHidden/>
    <w:rsid w:val="00CB0B2D"/>
    <w:rPr>
      <w:color w:val="808080"/>
    </w:rPr>
  </w:style>
  <w:style w:type="paragraph" w:styleId="ListParagraph">
    <w:name w:val="List Paragraph"/>
    <w:basedOn w:val="Normal"/>
    <w:uiPriority w:val="34"/>
    <w:qFormat/>
    <w:rsid w:val="0088684C"/>
    <w:pPr>
      <w:ind w:left="720"/>
      <w:contextualSpacing/>
    </w:pPr>
  </w:style>
  <w:style w:type="paragraph" w:styleId="EndnoteText">
    <w:name w:val="endnote text"/>
    <w:basedOn w:val="Normal"/>
    <w:link w:val="EndnoteTextChar"/>
    <w:uiPriority w:val="99"/>
    <w:semiHidden/>
    <w:unhideWhenUsed/>
    <w:rsid w:val="00D500FF"/>
    <w:rPr>
      <w:sz w:val="20"/>
      <w:szCs w:val="20"/>
    </w:rPr>
  </w:style>
  <w:style w:type="character" w:customStyle="1" w:styleId="EndnoteTextChar">
    <w:name w:val="Endnote Text Char"/>
    <w:basedOn w:val="DefaultParagraphFont"/>
    <w:link w:val="EndnoteText"/>
    <w:uiPriority w:val="99"/>
    <w:semiHidden/>
    <w:rsid w:val="00D500F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500FF"/>
    <w:rPr>
      <w:vertAlign w:val="superscript"/>
    </w:rPr>
  </w:style>
  <w:style w:type="character" w:styleId="UnresolvedMention">
    <w:name w:val="Unresolved Mention"/>
    <w:basedOn w:val="DefaultParagraphFont"/>
    <w:uiPriority w:val="99"/>
    <w:semiHidden/>
    <w:unhideWhenUsed/>
    <w:rsid w:val="009442E2"/>
    <w:rPr>
      <w:color w:val="605E5C"/>
      <w:shd w:val="clear" w:color="auto" w:fill="E1DFDD"/>
    </w:rPr>
  </w:style>
  <w:style w:type="table" w:customStyle="1" w:styleId="TableGrid3">
    <w:name w:val="Table Grid3"/>
    <w:basedOn w:val="TableNormal"/>
    <w:next w:val="TableGrid"/>
    <w:uiPriority w:val="59"/>
    <w:rsid w:val="000C4E63"/>
    <w:rPr>
      <w:rFonts w:ascii="Cambria" w:eastAsia="Cambria" w:hAnsi="Cambria"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ga.gov.au/reporting-problems" TargetMode="Externa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3457-4D0B-4CD0-ADE9-7755790E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26</Pages>
  <Words>7959</Words>
  <Characters>44894</Characters>
  <Application>Microsoft Office Word</Application>
  <DocSecurity>0</DocSecurity>
  <Lines>935</Lines>
  <Paragraphs>503</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Rybelsus</dc:title>
  <dc:creator>KIFO (Kim Foster)</dc:creator>
  <cp:lastModifiedBy>PITKIN, Brendan</cp:lastModifiedBy>
  <cp:revision>9</cp:revision>
  <cp:lastPrinted>2022-02-08T04:04:00Z</cp:lastPrinted>
  <dcterms:created xsi:type="dcterms:W3CDTF">2022-02-04T02:37:00Z</dcterms:created>
  <dcterms:modified xsi:type="dcterms:W3CDTF">2022-11-11T01:22:00Z</dcterms:modified>
</cp:coreProperties>
</file>