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E9279E" w14:paraId="6EFC1FB1" w14:textId="77777777" w:rsidTr="00BF1190">
        <w:trPr>
          <w:trHeight w:val="1863"/>
        </w:trPr>
        <w:tc>
          <w:tcPr>
            <w:tcW w:w="3652" w:type="dxa"/>
            <w:tcBorders>
              <w:top w:val="nil"/>
              <w:left w:val="nil"/>
              <w:bottom w:val="nil"/>
              <w:right w:val="nil"/>
            </w:tcBorders>
          </w:tcPr>
          <w:p w14:paraId="1B7EEAA3" w14:textId="4EAE1877" w:rsidR="008E7846" w:rsidRPr="00E9279E" w:rsidRDefault="00DE64EB" w:rsidP="00F931CE">
            <w:pPr>
              <w:pStyle w:val="Date"/>
              <w:framePr w:hSpace="0" w:wrap="auto" w:vAnchor="margin" w:hAnchor="text" w:yAlign="inline"/>
              <w:suppressOverlap w:val="0"/>
            </w:pPr>
            <w:r w:rsidRPr="00E9279E">
              <w:t>November</w:t>
            </w:r>
            <w:r w:rsidR="00F1337D" w:rsidRPr="00E9279E">
              <w:t xml:space="preserve"> 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E9279E" w14:paraId="3B76EB5F" w14:textId="77777777" w:rsidTr="0032583B">
        <w:trPr>
          <w:trHeight w:val="868"/>
        </w:trPr>
        <w:tc>
          <w:tcPr>
            <w:tcW w:w="9079" w:type="dxa"/>
          </w:tcPr>
          <w:p w14:paraId="5958B725" w14:textId="05658550" w:rsidR="0032583B" w:rsidRPr="00E9279E" w:rsidRDefault="0032583B" w:rsidP="00F931CE">
            <w:pPr>
              <w:pStyle w:val="Title"/>
              <w:framePr w:hSpace="0" w:wrap="auto" w:vAnchor="margin" w:yAlign="inline"/>
            </w:pPr>
            <w:r w:rsidRPr="00E9279E">
              <w:t>Australian Public Assessment Report for</w:t>
            </w:r>
            <w:r w:rsidR="00AF2313" w:rsidRPr="00E9279E">
              <w:t xml:space="preserve"> </w:t>
            </w:r>
            <w:proofErr w:type="spellStart"/>
            <w:r w:rsidR="00CB3109" w:rsidRPr="00E9279E">
              <w:t>Verzenio</w:t>
            </w:r>
            <w:proofErr w:type="spellEnd"/>
          </w:p>
        </w:tc>
      </w:tr>
      <w:tr w:rsidR="0032583B" w:rsidRPr="00E9279E" w14:paraId="482D0539" w14:textId="77777777" w:rsidTr="0032583B">
        <w:tc>
          <w:tcPr>
            <w:tcW w:w="9079" w:type="dxa"/>
          </w:tcPr>
          <w:p w14:paraId="5C3068B0" w14:textId="4D053BAA" w:rsidR="0032583B" w:rsidRPr="00E9279E" w:rsidRDefault="00BB75D6" w:rsidP="00F931CE">
            <w:pPr>
              <w:pStyle w:val="Subtitle"/>
              <w:framePr w:hSpace="0" w:wrap="auto" w:vAnchor="margin" w:yAlign="inline"/>
            </w:pPr>
            <w:r w:rsidRPr="00E9279E">
              <w:t>Active ingredient</w:t>
            </w:r>
            <w:r w:rsidR="0032583B" w:rsidRPr="00E9279E">
              <w:t>:</w:t>
            </w:r>
            <w:r w:rsidR="00CB3109" w:rsidRPr="00E9279E">
              <w:t xml:space="preserve"> </w:t>
            </w:r>
            <w:bookmarkStart w:id="0" w:name="_Hlk113799274"/>
            <w:proofErr w:type="spellStart"/>
            <w:r w:rsidR="00CB3109" w:rsidRPr="00E9279E">
              <w:t>Abemaciclib</w:t>
            </w:r>
            <w:bookmarkEnd w:id="0"/>
            <w:proofErr w:type="spellEnd"/>
          </w:p>
        </w:tc>
      </w:tr>
      <w:tr w:rsidR="0032583B" w:rsidRPr="00E9279E" w14:paraId="429AE417" w14:textId="77777777" w:rsidTr="0032583B">
        <w:trPr>
          <w:trHeight w:val="486"/>
        </w:trPr>
        <w:tc>
          <w:tcPr>
            <w:tcW w:w="9079" w:type="dxa"/>
          </w:tcPr>
          <w:p w14:paraId="022E3B05" w14:textId="0C43F591" w:rsidR="0032583B" w:rsidRPr="00E9279E" w:rsidRDefault="00460036" w:rsidP="009556D7">
            <w:pPr>
              <w:pStyle w:val="Subtitle"/>
              <w:framePr w:hSpace="0" w:wrap="auto" w:vAnchor="margin" w:yAlign="inline"/>
            </w:pPr>
            <w:r w:rsidRPr="00E9279E">
              <w:t xml:space="preserve">Sponsor: </w:t>
            </w:r>
            <w:r w:rsidR="00CB3109" w:rsidRPr="00E9279E">
              <w:t>Eli Lilly Australia Pty Ltd</w:t>
            </w:r>
          </w:p>
        </w:tc>
      </w:tr>
    </w:tbl>
    <w:p w14:paraId="4B2D25D1" w14:textId="77777777" w:rsidR="008E7846" w:rsidRPr="00E9279E" w:rsidRDefault="008E7846" w:rsidP="0085156D">
      <w:r w:rsidRPr="00E9279E">
        <w:br w:type="page"/>
      </w:r>
    </w:p>
    <w:p w14:paraId="1E109D24" w14:textId="77777777" w:rsidR="008E7846" w:rsidRPr="00E9279E" w:rsidRDefault="008E7846" w:rsidP="008E7846">
      <w:pPr>
        <w:pStyle w:val="NonTOCHeading2"/>
      </w:pPr>
      <w:r w:rsidRPr="00E9279E">
        <w:lastRenderedPageBreak/>
        <w:t>About the Therapeutic Goods Administration (TGA)</w:t>
      </w:r>
    </w:p>
    <w:p w14:paraId="7E693C3A" w14:textId="77777777" w:rsidR="00AF2313" w:rsidRPr="00E9279E" w:rsidRDefault="00AF2313" w:rsidP="00AF2313">
      <w:pPr>
        <w:pStyle w:val="ListBullet"/>
      </w:pPr>
      <w:r w:rsidRPr="00E9279E">
        <w:t>The Therapeutic Goods Administration (TGA) is part of the Australian Government Department of Health and is responsible for regulating therapeutic goods, including medicines, medical devices, and biologicals.</w:t>
      </w:r>
    </w:p>
    <w:p w14:paraId="26386838" w14:textId="77777777" w:rsidR="00AF2313" w:rsidRPr="00E9279E" w:rsidRDefault="00AF2313" w:rsidP="00AF2313">
      <w:pPr>
        <w:pStyle w:val="ListBullet"/>
      </w:pPr>
      <w:r w:rsidRPr="00E9279E">
        <w:t xml:space="preserve">The TGA administers the </w:t>
      </w:r>
      <w:r w:rsidRPr="00E9279E">
        <w:rPr>
          <w:i/>
          <w:iCs/>
        </w:rPr>
        <w:t>Therapeutic Goods Act 1989</w:t>
      </w:r>
      <w:r w:rsidRPr="00E9279E">
        <w:t xml:space="preserve"> (the Act), applying a risk management approach designed to ensure therapeutic goods supplied in Australia meet acceptable standards of quality, </w:t>
      </w:r>
      <w:r w:rsidR="00CC5044" w:rsidRPr="00E9279E">
        <w:t>safety,</w:t>
      </w:r>
      <w:r w:rsidRPr="00E9279E">
        <w:t xml:space="preserve"> and efficacy.</w:t>
      </w:r>
    </w:p>
    <w:p w14:paraId="5D02FC97" w14:textId="77777777" w:rsidR="00AF2313" w:rsidRPr="00E9279E" w:rsidRDefault="00AF2313" w:rsidP="00AF2313">
      <w:pPr>
        <w:pStyle w:val="ListBullet"/>
      </w:pPr>
      <w:r w:rsidRPr="00E9279E">
        <w:t>The work of the TGA is based on applying scientific and clinical expertise to decision-making, to ensure that the benefits to the Australian public outweigh any risks associated with the use of therapeutic goods.</w:t>
      </w:r>
    </w:p>
    <w:p w14:paraId="56A11B4C" w14:textId="77777777" w:rsidR="00AF2313" w:rsidRPr="00E9279E" w:rsidRDefault="00AF2313" w:rsidP="00AF2313">
      <w:pPr>
        <w:pStyle w:val="ListBullet"/>
      </w:pPr>
      <w:r w:rsidRPr="00E9279E">
        <w:t>The TGA relies on the public, healthcare professionals and industry to report problems with therapeutic goods. The TGA investigates reports received to determine any necessary regulatory action.</w:t>
      </w:r>
    </w:p>
    <w:p w14:paraId="7DA128C5" w14:textId="09BA2D08" w:rsidR="00AF2313" w:rsidRPr="00E9279E" w:rsidRDefault="00AF2313" w:rsidP="00AF2313">
      <w:pPr>
        <w:pStyle w:val="ListBullet"/>
      </w:pPr>
      <w:r w:rsidRPr="00E9279E">
        <w:t xml:space="preserve">To report a problem with a therapeutic good, please see the information on the </w:t>
      </w:r>
      <w:hyperlink r:id="rId8" w:history="1">
        <w:r w:rsidRPr="00E9279E">
          <w:rPr>
            <w:rStyle w:val="Hyperlink"/>
          </w:rPr>
          <w:t>TGA website</w:t>
        </w:r>
      </w:hyperlink>
      <w:r w:rsidRPr="00E9279E">
        <w:t>.</w:t>
      </w:r>
    </w:p>
    <w:p w14:paraId="2AA5F891" w14:textId="77777777" w:rsidR="008E7846" w:rsidRPr="00E9279E" w:rsidRDefault="008E7846" w:rsidP="00875A6B">
      <w:pPr>
        <w:pStyle w:val="NonTOCHeading2"/>
      </w:pPr>
      <w:r w:rsidRPr="00E9279E">
        <w:t xml:space="preserve">About </w:t>
      </w:r>
      <w:proofErr w:type="spellStart"/>
      <w:r w:rsidRPr="00E9279E">
        <w:t>AusPARs</w:t>
      </w:r>
      <w:proofErr w:type="spellEnd"/>
    </w:p>
    <w:p w14:paraId="3C3D94D7" w14:textId="465E3544" w:rsidR="00AF2313" w:rsidRPr="00E9279E" w:rsidRDefault="00AF2313" w:rsidP="00AF2313">
      <w:pPr>
        <w:pStyle w:val="ListBullet"/>
      </w:pPr>
      <w:r w:rsidRPr="00E9279E">
        <w:t>The Australian Public Assessment Report (</w:t>
      </w:r>
      <w:proofErr w:type="spellStart"/>
      <w:r w:rsidRPr="00E9279E">
        <w:t>AusPAR</w:t>
      </w:r>
      <w:proofErr w:type="spellEnd"/>
      <w:r w:rsidRPr="00E9279E">
        <w:t xml:space="preserve">) provides information about the evaluation of a prescription medicine and the considerations that led the TGA to approve or not approve a prescription medicine submission. Further information can be found in </w:t>
      </w:r>
      <w:hyperlink r:id="rId9" w:history="1">
        <w:r w:rsidRPr="00E9279E">
          <w:rPr>
            <w:rStyle w:val="Hyperlink"/>
          </w:rPr>
          <w:t>Australian Public Assessment Report (</w:t>
        </w:r>
        <w:proofErr w:type="spellStart"/>
        <w:r w:rsidRPr="00E9279E">
          <w:rPr>
            <w:rStyle w:val="Hyperlink"/>
          </w:rPr>
          <w:t>AusPAR</w:t>
        </w:r>
        <w:proofErr w:type="spellEnd"/>
        <w:r w:rsidRPr="00E9279E">
          <w:rPr>
            <w:rStyle w:val="Hyperlink"/>
          </w:rPr>
          <w:t>) guidance</w:t>
        </w:r>
      </w:hyperlink>
      <w:r w:rsidRPr="00E9279E">
        <w:t>.</w:t>
      </w:r>
    </w:p>
    <w:p w14:paraId="2183BE7E" w14:textId="77777777" w:rsidR="00AF2313" w:rsidRPr="00E9279E" w:rsidRDefault="00AF2313" w:rsidP="00AF2313">
      <w:pPr>
        <w:pStyle w:val="ListBullet"/>
      </w:pPr>
      <w:proofErr w:type="spellStart"/>
      <w:r w:rsidRPr="00E9279E">
        <w:t>AusPARs</w:t>
      </w:r>
      <w:proofErr w:type="spellEnd"/>
      <w:r w:rsidRPr="00E9279E">
        <w:t xml:space="preserve"> are prepared and published by the TGA.</w:t>
      </w:r>
    </w:p>
    <w:p w14:paraId="562FBF10" w14:textId="77777777" w:rsidR="00AF2313" w:rsidRPr="00E9279E" w:rsidRDefault="00AF2313" w:rsidP="00AF2313">
      <w:pPr>
        <w:pStyle w:val="ListBullet"/>
      </w:pPr>
      <w:proofErr w:type="spellStart"/>
      <w:r w:rsidRPr="00E9279E">
        <w:t>AusPARs</w:t>
      </w:r>
      <w:proofErr w:type="spellEnd"/>
      <w:r w:rsidRPr="00E9279E">
        <w:t xml:space="preserve"> are static documents that provide information that relates to a submission at a particular point in time.</w:t>
      </w:r>
      <w:r w:rsidR="008110BC" w:rsidRPr="00E9279E">
        <w:t xml:space="preserve"> The publication of an </w:t>
      </w:r>
      <w:proofErr w:type="spellStart"/>
      <w:r w:rsidR="008110BC" w:rsidRPr="00E9279E">
        <w:t>AusPAR</w:t>
      </w:r>
      <w:proofErr w:type="spellEnd"/>
      <w:r w:rsidR="008110BC" w:rsidRPr="00E9279E">
        <w:t xml:space="preserve"> is an important part of the transparency of the TGA’s decision-making process.</w:t>
      </w:r>
    </w:p>
    <w:p w14:paraId="00C1BA1C" w14:textId="77777777" w:rsidR="00AF2313" w:rsidRPr="00E9279E" w:rsidRDefault="00AF2313" w:rsidP="00AF2313">
      <w:pPr>
        <w:pStyle w:val="ListBullet"/>
      </w:pPr>
      <w:r w:rsidRPr="00E9279E">
        <w:t xml:space="preserve">A new </w:t>
      </w:r>
      <w:proofErr w:type="spellStart"/>
      <w:r w:rsidRPr="00E9279E">
        <w:t>AusPAR</w:t>
      </w:r>
      <w:proofErr w:type="spellEnd"/>
      <w:r w:rsidRPr="00E9279E">
        <w:t xml:space="preserve"> may be provided to reflect changes to indications or major variations to a prescription medicine subject to evaluation by the TGA.</w:t>
      </w:r>
    </w:p>
    <w:p w14:paraId="230D69DD" w14:textId="77777777" w:rsidR="00924482" w:rsidRPr="00E9279E" w:rsidRDefault="00924482" w:rsidP="00F54B65">
      <w:pPr>
        <w:pStyle w:val="LegalSubheading"/>
        <w:spacing w:before="3120"/>
      </w:pPr>
      <w:r w:rsidRPr="00E9279E">
        <w:t>Copyright</w:t>
      </w:r>
    </w:p>
    <w:p w14:paraId="54A304C6" w14:textId="272E55BC" w:rsidR="00924482" w:rsidRPr="00E9279E" w:rsidRDefault="00924482" w:rsidP="00924482">
      <w:pPr>
        <w:pStyle w:val="LegalCopy"/>
      </w:pPr>
      <w:r w:rsidRPr="00E9279E">
        <w:rPr>
          <w:rFonts w:cs="Arial"/>
          <w:lang w:val="en-GB"/>
        </w:rPr>
        <w:t>© Commonwealth of Australia 20</w:t>
      </w:r>
      <w:r w:rsidR="00460036" w:rsidRPr="00E9279E">
        <w:rPr>
          <w:rFonts w:cs="Arial"/>
          <w:lang w:val="en-GB"/>
        </w:rPr>
        <w:t>2</w:t>
      </w:r>
      <w:r w:rsidR="00AF2313" w:rsidRPr="00E9279E">
        <w:rPr>
          <w:rFonts w:cs="Arial"/>
          <w:lang w:val="en-GB"/>
        </w:rPr>
        <w:t>2</w:t>
      </w:r>
      <w:r w:rsidRPr="00E9279E">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E9279E">
        <w:rPr>
          <w:rFonts w:cs="Arial"/>
          <w:i/>
          <w:lang w:val="en-GB"/>
        </w:rPr>
        <w:t>Copyright Act 1968</w:t>
      </w:r>
      <w:r w:rsidRPr="00E9279E">
        <w:rPr>
          <w:rFonts w:cs="Arial"/>
          <w:lang w:val="en-GB"/>
        </w:rPr>
        <w:t xml:space="preserve"> or allowed by this copyright notice, all other rights are </w:t>
      </w:r>
      <w:r w:rsidR="00EB36D6" w:rsidRPr="00E9279E">
        <w:rPr>
          <w:rFonts w:cs="Arial"/>
          <w:lang w:val="en-GB"/>
        </w:rPr>
        <w:t>reserved,</w:t>
      </w:r>
      <w:r w:rsidRPr="00E9279E">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E9279E">
        <w:rPr>
          <w:rFonts w:cs="Arial"/>
          <w:lang w:val="en-GB"/>
        </w:rPr>
        <w:t>Woden</w:t>
      </w:r>
      <w:proofErr w:type="spellEnd"/>
      <w:r w:rsidRPr="00E9279E">
        <w:rPr>
          <w:rFonts w:cs="Arial"/>
          <w:lang w:val="en-GB"/>
        </w:rPr>
        <w:t xml:space="preserve"> ACT 2606 or emailed to &lt;</w:t>
      </w:r>
      <w:hyperlink r:id="rId10" w:history="1">
        <w:r w:rsidRPr="00E9279E">
          <w:rPr>
            <w:rStyle w:val="Hyperlink"/>
            <w:rFonts w:cs="Arial"/>
            <w:lang w:val="en-GB"/>
          </w:rPr>
          <w:t>tga.copyright@tga.gov.au</w:t>
        </w:r>
      </w:hyperlink>
      <w:r w:rsidRPr="00E9279E">
        <w:rPr>
          <w:rFonts w:cs="Arial"/>
        </w:rPr>
        <w:t>&gt;.</w:t>
      </w:r>
    </w:p>
    <w:p w14:paraId="0CFAFBD5" w14:textId="77777777" w:rsidR="00924482" w:rsidRPr="00E9279E" w:rsidRDefault="00924482" w:rsidP="00924482">
      <w:pPr>
        <w:pStyle w:val="LegalCopy"/>
        <w:sectPr w:rsidR="00924482" w:rsidRPr="00E9279E"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139BD8B9" w14:textId="77777777" w:rsidR="0089635C" w:rsidRPr="00E9279E" w:rsidRDefault="0089635C" w:rsidP="0010788A">
          <w:pPr>
            <w:pStyle w:val="Contents"/>
          </w:pPr>
          <w:r w:rsidRPr="00E9279E">
            <w:t>Contents</w:t>
          </w:r>
        </w:p>
        <w:p w14:paraId="72257D0C" w14:textId="1D2064C7" w:rsidR="00E9279E" w:rsidRDefault="00C525A2">
          <w:pPr>
            <w:pStyle w:val="TOC1"/>
            <w:rPr>
              <w:rFonts w:asciiTheme="minorHAnsi" w:eastAsiaTheme="minorEastAsia" w:hAnsiTheme="minorHAnsi" w:cstheme="minorBidi"/>
              <w:b w:val="0"/>
              <w:noProof/>
              <w:sz w:val="22"/>
              <w:lang w:eastAsia="en-AU"/>
            </w:rPr>
          </w:pPr>
          <w:r w:rsidRPr="00E9279E">
            <w:fldChar w:fldCharType="begin"/>
          </w:r>
          <w:r w:rsidRPr="00E9279E">
            <w:instrText xml:space="preserve"> TOC \h \z \t "Heading 2,1,Heading 3,2" </w:instrText>
          </w:r>
          <w:r w:rsidRPr="00E9279E">
            <w:fldChar w:fldCharType="separate"/>
          </w:r>
          <w:hyperlink w:anchor="_Toc118379548" w:history="1">
            <w:r w:rsidR="00E9279E" w:rsidRPr="00155966">
              <w:rPr>
                <w:rStyle w:val="Hyperlink"/>
                <w:noProof/>
              </w:rPr>
              <w:t>List of abbreviations</w:t>
            </w:r>
            <w:r w:rsidR="00E9279E">
              <w:rPr>
                <w:noProof/>
                <w:webHidden/>
              </w:rPr>
              <w:tab/>
            </w:r>
            <w:r w:rsidR="00E9279E">
              <w:rPr>
                <w:noProof/>
                <w:webHidden/>
              </w:rPr>
              <w:fldChar w:fldCharType="begin"/>
            </w:r>
            <w:r w:rsidR="00E9279E">
              <w:rPr>
                <w:noProof/>
                <w:webHidden/>
              </w:rPr>
              <w:instrText xml:space="preserve"> PAGEREF _Toc118379548 \h </w:instrText>
            </w:r>
            <w:r w:rsidR="00E9279E">
              <w:rPr>
                <w:noProof/>
                <w:webHidden/>
              </w:rPr>
            </w:r>
            <w:r w:rsidR="00E9279E">
              <w:rPr>
                <w:noProof/>
                <w:webHidden/>
              </w:rPr>
              <w:fldChar w:fldCharType="separate"/>
            </w:r>
            <w:r w:rsidR="00E9279E">
              <w:rPr>
                <w:noProof/>
                <w:webHidden/>
              </w:rPr>
              <w:t>4</w:t>
            </w:r>
            <w:r w:rsidR="00E9279E">
              <w:rPr>
                <w:noProof/>
                <w:webHidden/>
              </w:rPr>
              <w:fldChar w:fldCharType="end"/>
            </w:r>
          </w:hyperlink>
        </w:p>
        <w:p w14:paraId="233B3185" w14:textId="30A59DED" w:rsidR="00E9279E" w:rsidRDefault="000C44E7">
          <w:pPr>
            <w:pStyle w:val="TOC1"/>
            <w:rPr>
              <w:rFonts w:asciiTheme="minorHAnsi" w:eastAsiaTheme="minorEastAsia" w:hAnsiTheme="minorHAnsi" w:cstheme="minorBidi"/>
              <w:b w:val="0"/>
              <w:noProof/>
              <w:sz w:val="22"/>
              <w:lang w:eastAsia="en-AU"/>
            </w:rPr>
          </w:pPr>
          <w:hyperlink w:anchor="_Toc118379549" w:history="1">
            <w:r w:rsidR="00E9279E" w:rsidRPr="00155966">
              <w:rPr>
                <w:rStyle w:val="Hyperlink"/>
                <w:noProof/>
              </w:rPr>
              <w:t>Product submission</w:t>
            </w:r>
            <w:r w:rsidR="00E9279E">
              <w:rPr>
                <w:noProof/>
                <w:webHidden/>
              </w:rPr>
              <w:tab/>
            </w:r>
            <w:r w:rsidR="00E9279E">
              <w:rPr>
                <w:noProof/>
                <w:webHidden/>
              </w:rPr>
              <w:fldChar w:fldCharType="begin"/>
            </w:r>
            <w:r w:rsidR="00E9279E">
              <w:rPr>
                <w:noProof/>
                <w:webHidden/>
              </w:rPr>
              <w:instrText xml:space="preserve"> PAGEREF _Toc118379549 \h </w:instrText>
            </w:r>
            <w:r w:rsidR="00E9279E">
              <w:rPr>
                <w:noProof/>
                <w:webHidden/>
              </w:rPr>
            </w:r>
            <w:r w:rsidR="00E9279E">
              <w:rPr>
                <w:noProof/>
                <w:webHidden/>
              </w:rPr>
              <w:fldChar w:fldCharType="separate"/>
            </w:r>
            <w:r w:rsidR="00E9279E">
              <w:rPr>
                <w:noProof/>
                <w:webHidden/>
              </w:rPr>
              <w:t>6</w:t>
            </w:r>
            <w:r w:rsidR="00E9279E">
              <w:rPr>
                <w:noProof/>
                <w:webHidden/>
              </w:rPr>
              <w:fldChar w:fldCharType="end"/>
            </w:r>
          </w:hyperlink>
        </w:p>
        <w:p w14:paraId="30E76E0B" w14:textId="7ECFE8E1" w:rsidR="00E9279E" w:rsidRDefault="000C44E7">
          <w:pPr>
            <w:pStyle w:val="TOC2"/>
            <w:rPr>
              <w:rFonts w:asciiTheme="minorHAnsi" w:eastAsiaTheme="minorEastAsia" w:hAnsiTheme="minorHAnsi" w:cstheme="minorBidi"/>
              <w:b w:val="0"/>
              <w:noProof/>
              <w:sz w:val="22"/>
              <w:lang w:eastAsia="en-AU"/>
            </w:rPr>
          </w:pPr>
          <w:hyperlink w:anchor="_Toc118379550" w:history="1">
            <w:r w:rsidR="00E9279E" w:rsidRPr="00155966">
              <w:rPr>
                <w:rStyle w:val="Hyperlink"/>
                <w:noProof/>
                <w:lang w:eastAsia="en-AU"/>
              </w:rPr>
              <w:t>Submission details</w:t>
            </w:r>
            <w:r w:rsidR="00E9279E">
              <w:rPr>
                <w:noProof/>
                <w:webHidden/>
              </w:rPr>
              <w:tab/>
            </w:r>
            <w:r w:rsidR="00E9279E">
              <w:rPr>
                <w:noProof/>
                <w:webHidden/>
              </w:rPr>
              <w:fldChar w:fldCharType="begin"/>
            </w:r>
            <w:r w:rsidR="00E9279E">
              <w:rPr>
                <w:noProof/>
                <w:webHidden/>
              </w:rPr>
              <w:instrText xml:space="preserve"> PAGEREF _Toc118379550 \h </w:instrText>
            </w:r>
            <w:r w:rsidR="00E9279E">
              <w:rPr>
                <w:noProof/>
                <w:webHidden/>
              </w:rPr>
            </w:r>
            <w:r w:rsidR="00E9279E">
              <w:rPr>
                <w:noProof/>
                <w:webHidden/>
              </w:rPr>
              <w:fldChar w:fldCharType="separate"/>
            </w:r>
            <w:r w:rsidR="00E9279E">
              <w:rPr>
                <w:noProof/>
                <w:webHidden/>
              </w:rPr>
              <w:t>6</w:t>
            </w:r>
            <w:r w:rsidR="00E9279E">
              <w:rPr>
                <w:noProof/>
                <w:webHidden/>
              </w:rPr>
              <w:fldChar w:fldCharType="end"/>
            </w:r>
          </w:hyperlink>
        </w:p>
        <w:p w14:paraId="397574B6" w14:textId="502ABA04" w:rsidR="00E9279E" w:rsidRDefault="000C44E7">
          <w:pPr>
            <w:pStyle w:val="TOC2"/>
            <w:rPr>
              <w:rFonts w:asciiTheme="minorHAnsi" w:eastAsiaTheme="minorEastAsia" w:hAnsiTheme="minorHAnsi" w:cstheme="minorBidi"/>
              <w:b w:val="0"/>
              <w:noProof/>
              <w:sz w:val="22"/>
              <w:lang w:eastAsia="en-AU"/>
            </w:rPr>
          </w:pPr>
          <w:hyperlink w:anchor="_Toc118379551" w:history="1">
            <w:r w:rsidR="00E9279E" w:rsidRPr="00155966">
              <w:rPr>
                <w:rStyle w:val="Hyperlink"/>
                <w:noProof/>
              </w:rPr>
              <w:t>Product background</w:t>
            </w:r>
            <w:r w:rsidR="00E9279E">
              <w:rPr>
                <w:noProof/>
                <w:webHidden/>
              </w:rPr>
              <w:tab/>
            </w:r>
            <w:r w:rsidR="00E9279E">
              <w:rPr>
                <w:noProof/>
                <w:webHidden/>
              </w:rPr>
              <w:fldChar w:fldCharType="begin"/>
            </w:r>
            <w:r w:rsidR="00E9279E">
              <w:rPr>
                <w:noProof/>
                <w:webHidden/>
              </w:rPr>
              <w:instrText xml:space="preserve"> PAGEREF _Toc118379551 \h </w:instrText>
            </w:r>
            <w:r w:rsidR="00E9279E">
              <w:rPr>
                <w:noProof/>
                <w:webHidden/>
              </w:rPr>
            </w:r>
            <w:r w:rsidR="00E9279E">
              <w:rPr>
                <w:noProof/>
                <w:webHidden/>
              </w:rPr>
              <w:fldChar w:fldCharType="separate"/>
            </w:r>
            <w:r w:rsidR="00E9279E">
              <w:rPr>
                <w:noProof/>
                <w:webHidden/>
              </w:rPr>
              <w:t>7</w:t>
            </w:r>
            <w:r w:rsidR="00E9279E">
              <w:rPr>
                <w:noProof/>
                <w:webHidden/>
              </w:rPr>
              <w:fldChar w:fldCharType="end"/>
            </w:r>
          </w:hyperlink>
        </w:p>
        <w:p w14:paraId="6A0B465A" w14:textId="2187D2CF" w:rsidR="00E9279E" w:rsidRDefault="000C44E7">
          <w:pPr>
            <w:pStyle w:val="TOC2"/>
            <w:rPr>
              <w:rFonts w:asciiTheme="minorHAnsi" w:eastAsiaTheme="minorEastAsia" w:hAnsiTheme="minorHAnsi" w:cstheme="minorBidi"/>
              <w:b w:val="0"/>
              <w:noProof/>
              <w:sz w:val="22"/>
              <w:lang w:eastAsia="en-AU"/>
            </w:rPr>
          </w:pPr>
          <w:hyperlink w:anchor="_Toc118379552" w:history="1">
            <w:r w:rsidR="00E9279E" w:rsidRPr="00155966">
              <w:rPr>
                <w:rStyle w:val="Hyperlink"/>
                <w:noProof/>
              </w:rPr>
              <w:t>Regulatory status</w:t>
            </w:r>
            <w:r w:rsidR="00E9279E">
              <w:rPr>
                <w:noProof/>
                <w:webHidden/>
              </w:rPr>
              <w:tab/>
            </w:r>
            <w:r w:rsidR="00E9279E">
              <w:rPr>
                <w:noProof/>
                <w:webHidden/>
              </w:rPr>
              <w:fldChar w:fldCharType="begin"/>
            </w:r>
            <w:r w:rsidR="00E9279E">
              <w:rPr>
                <w:noProof/>
                <w:webHidden/>
              </w:rPr>
              <w:instrText xml:space="preserve"> PAGEREF _Toc118379552 \h </w:instrText>
            </w:r>
            <w:r w:rsidR="00E9279E">
              <w:rPr>
                <w:noProof/>
                <w:webHidden/>
              </w:rPr>
            </w:r>
            <w:r w:rsidR="00E9279E">
              <w:rPr>
                <w:noProof/>
                <w:webHidden/>
              </w:rPr>
              <w:fldChar w:fldCharType="separate"/>
            </w:r>
            <w:r w:rsidR="00E9279E">
              <w:rPr>
                <w:noProof/>
                <w:webHidden/>
              </w:rPr>
              <w:t>11</w:t>
            </w:r>
            <w:r w:rsidR="00E9279E">
              <w:rPr>
                <w:noProof/>
                <w:webHidden/>
              </w:rPr>
              <w:fldChar w:fldCharType="end"/>
            </w:r>
          </w:hyperlink>
        </w:p>
        <w:p w14:paraId="4D96DB89" w14:textId="23A16C15" w:rsidR="00E9279E" w:rsidRDefault="000C44E7">
          <w:pPr>
            <w:pStyle w:val="TOC2"/>
            <w:rPr>
              <w:rFonts w:asciiTheme="minorHAnsi" w:eastAsiaTheme="minorEastAsia" w:hAnsiTheme="minorHAnsi" w:cstheme="minorBidi"/>
              <w:b w:val="0"/>
              <w:noProof/>
              <w:sz w:val="22"/>
              <w:lang w:eastAsia="en-AU"/>
            </w:rPr>
          </w:pPr>
          <w:hyperlink w:anchor="_Toc118379553" w:history="1">
            <w:r w:rsidR="00E9279E" w:rsidRPr="00155966">
              <w:rPr>
                <w:rStyle w:val="Hyperlink"/>
                <w:noProof/>
              </w:rPr>
              <w:t>Product Information</w:t>
            </w:r>
            <w:r w:rsidR="00E9279E">
              <w:rPr>
                <w:noProof/>
                <w:webHidden/>
              </w:rPr>
              <w:tab/>
            </w:r>
            <w:r w:rsidR="00E9279E">
              <w:rPr>
                <w:noProof/>
                <w:webHidden/>
              </w:rPr>
              <w:fldChar w:fldCharType="begin"/>
            </w:r>
            <w:r w:rsidR="00E9279E">
              <w:rPr>
                <w:noProof/>
                <w:webHidden/>
              </w:rPr>
              <w:instrText xml:space="preserve"> PAGEREF _Toc118379553 \h </w:instrText>
            </w:r>
            <w:r w:rsidR="00E9279E">
              <w:rPr>
                <w:noProof/>
                <w:webHidden/>
              </w:rPr>
            </w:r>
            <w:r w:rsidR="00E9279E">
              <w:rPr>
                <w:noProof/>
                <w:webHidden/>
              </w:rPr>
              <w:fldChar w:fldCharType="separate"/>
            </w:r>
            <w:r w:rsidR="00E9279E">
              <w:rPr>
                <w:noProof/>
                <w:webHidden/>
              </w:rPr>
              <w:t>13</w:t>
            </w:r>
            <w:r w:rsidR="00E9279E">
              <w:rPr>
                <w:noProof/>
                <w:webHidden/>
              </w:rPr>
              <w:fldChar w:fldCharType="end"/>
            </w:r>
          </w:hyperlink>
        </w:p>
        <w:p w14:paraId="2F7105BD" w14:textId="32922A87" w:rsidR="00E9279E" w:rsidRDefault="000C44E7">
          <w:pPr>
            <w:pStyle w:val="TOC1"/>
            <w:rPr>
              <w:rFonts w:asciiTheme="minorHAnsi" w:eastAsiaTheme="minorEastAsia" w:hAnsiTheme="minorHAnsi" w:cstheme="minorBidi"/>
              <w:b w:val="0"/>
              <w:noProof/>
              <w:sz w:val="22"/>
              <w:lang w:eastAsia="en-AU"/>
            </w:rPr>
          </w:pPr>
          <w:hyperlink w:anchor="_Toc118379554" w:history="1">
            <w:r w:rsidR="00E9279E" w:rsidRPr="00155966">
              <w:rPr>
                <w:rStyle w:val="Hyperlink"/>
                <w:noProof/>
              </w:rPr>
              <w:t>Registration timeline</w:t>
            </w:r>
            <w:r w:rsidR="00E9279E">
              <w:rPr>
                <w:noProof/>
                <w:webHidden/>
              </w:rPr>
              <w:tab/>
            </w:r>
            <w:r w:rsidR="00E9279E">
              <w:rPr>
                <w:noProof/>
                <w:webHidden/>
              </w:rPr>
              <w:fldChar w:fldCharType="begin"/>
            </w:r>
            <w:r w:rsidR="00E9279E">
              <w:rPr>
                <w:noProof/>
                <w:webHidden/>
              </w:rPr>
              <w:instrText xml:space="preserve"> PAGEREF _Toc118379554 \h </w:instrText>
            </w:r>
            <w:r w:rsidR="00E9279E">
              <w:rPr>
                <w:noProof/>
                <w:webHidden/>
              </w:rPr>
            </w:r>
            <w:r w:rsidR="00E9279E">
              <w:rPr>
                <w:noProof/>
                <w:webHidden/>
              </w:rPr>
              <w:fldChar w:fldCharType="separate"/>
            </w:r>
            <w:r w:rsidR="00E9279E">
              <w:rPr>
                <w:noProof/>
                <w:webHidden/>
              </w:rPr>
              <w:t>13</w:t>
            </w:r>
            <w:r w:rsidR="00E9279E">
              <w:rPr>
                <w:noProof/>
                <w:webHidden/>
              </w:rPr>
              <w:fldChar w:fldCharType="end"/>
            </w:r>
          </w:hyperlink>
        </w:p>
        <w:p w14:paraId="1DF5FDE0" w14:textId="597DE968" w:rsidR="00E9279E" w:rsidRDefault="000C44E7">
          <w:pPr>
            <w:pStyle w:val="TOC1"/>
            <w:rPr>
              <w:rFonts w:asciiTheme="minorHAnsi" w:eastAsiaTheme="minorEastAsia" w:hAnsiTheme="minorHAnsi" w:cstheme="minorBidi"/>
              <w:b w:val="0"/>
              <w:noProof/>
              <w:sz w:val="22"/>
              <w:lang w:eastAsia="en-AU"/>
            </w:rPr>
          </w:pPr>
          <w:hyperlink w:anchor="_Toc118379555" w:history="1">
            <w:r w:rsidR="00E9279E" w:rsidRPr="00155966">
              <w:rPr>
                <w:rStyle w:val="Hyperlink"/>
                <w:noProof/>
              </w:rPr>
              <w:t>Submission overview and risk/benefit assessment</w:t>
            </w:r>
            <w:r w:rsidR="00E9279E">
              <w:rPr>
                <w:noProof/>
                <w:webHidden/>
              </w:rPr>
              <w:tab/>
            </w:r>
            <w:r w:rsidR="00E9279E">
              <w:rPr>
                <w:noProof/>
                <w:webHidden/>
              </w:rPr>
              <w:fldChar w:fldCharType="begin"/>
            </w:r>
            <w:r w:rsidR="00E9279E">
              <w:rPr>
                <w:noProof/>
                <w:webHidden/>
              </w:rPr>
              <w:instrText xml:space="preserve"> PAGEREF _Toc118379555 \h </w:instrText>
            </w:r>
            <w:r w:rsidR="00E9279E">
              <w:rPr>
                <w:noProof/>
                <w:webHidden/>
              </w:rPr>
            </w:r>
            <w:r w:rsidR="00E9279E">
              <w:rPr>
                <w:noProof/>
                <w:webHidden/>
              </w:rPr>
              <w:fldChar w:fldCharType="separate"/>
            </w:r>
            <w:r w:rsidR="00E9279E">
              <w:rPr>
                <w:noProof/>
                <w:webHidden/>
              </w:rPr>
              <w:t>14</w:t>
            </w:r>
            <w:r w:rsidR="00E9279E">
              <w:rPr>
                <w:noProof/>
                <w:webHidden/>
              </w:rPr>
              <w:fldChar w:fldCharType="end"/>
            </w:r>
          </w:hyperlink>
        </w:p>
        <w:p w14:paraId="01194888" w14:textId="5AFB31F2" w:rsidR="00E9279E" w:rsidRDefault="000C44E7">
          <w:pPr>
            <w:pStyle w:val="TOC2"/>
            <w:rPr>
              <w:rFonts w:asciiTheme="minorHAnsi" w:eastAsiaTheme="minorEastAsia" w:hAnsiTheme="minorHAnsi" w:cstheme="minorBidi"/>
              <w:b w:val="0"/>
              <w:noProof/>
              <w:sz w:val="22"/>
              <w:lang w:eastAsia="en-AU"/>
            </w:rPr>
          </w:pPr>
          <w:hyperlink w:anchor="_Toc118379556" w:history="1">
            <w:r w:rsidR="00E9279E" w:rsidRPr="00155966">
              <w:rPr>
                <w:rStyle w:val="Hyperlink"/>
                <w:noProof/>
              </w:rPr>
              <w:t>Quality</w:t>
            </w:r>
            <w:r w:rsidR="00E9279E">
              <w:rPr>
                <w:noProof/>
                <w:webHidden/>
              </w:rPr>
              <w:tab/>
            </w:r>
            <w:r w:rsidR="00E9279E">
              <w:rPr>
                <w:noProof/>
                <w:webHidden/>
              </w:rPr>
              <w:fldChar w:fldCharType="begin"/>
            </w:r>
            <w:r w:rsidR="00E9279E">
              <w:rPr>
                <w:noProof/>
                <w:webHidden/>
              </w:rPr>
              <w:instrText xml:space="preserve"> PAGEREF _Toc118379556 \h </w:instrText>
            </w:r>
            <w:r w:rsidR="00E9279E">
              <w:rPr>
                <w:noProof/>
                <w:webHidden/>
              </w:rPr>
            </w:r>
            <w:r w:rsidR="00E9279E">
              <w:rPr>
                <w:noProof/>
                <w:webHidden/>
              </w:rPr>
              <w:fldChar w:fldCharType="separate"/>
            </w:r>
            <w:r w:rsidR="00E9279E">
              <w:rPr>
                <w:noProof/>
                <w:webHidden/>
              </w:rPr>
              <w:t>14</w:t>
            </w:r>
            <w:r w:rsidR="00E9279E">
              <w:rPr>
                <w:noProof/>
                <w:webHidden/>
              </w:rPr>
              <w:fldChar w:fldCharType="end"/>
            </w:r>
          </w:hyperlink>
        </w:p>
        <w:p w14:paraId="420027D4" w14:textId="00F24160" w:rsidR="00E9279E" w:rsidRDefault="000C44E7">
          <w:pPr>
            <w:pStyle w:val="TOC2"/>
            <w:rPr>
              <w:rFonts w:asciiTheme="minorHAnsi" w:eastAsiaTheme="minorEastAsia" w:hAnsiTheme="minorHAnsi" w:cstheme="minorBidi"/>
              <w:b w:val="0"/>
              <w:noProof/>
              <w:sz w:val="22"/>
              <w:lang w:eastAsia="en-AU"/>
            </w:rPr>
          </w:pPr>
          <w:hyperlink w:anchor="_Toc118379557" w:history="1">
            <w:r w:rsidR="00E9279E" w:rsidRPr="00155966">
              <w:rPr>
                <w:rStyle w:val="Hyperlink"/>
                <w:noProof/>
              </w:rPr>
              <w:t>Nonclinical</w:t>
            </w:r>
            <w:r w:rsidR="00E9279E">
              <w:rPr>
                <w:noProof/>
                <w:webHidden/>
              </w:rPr>
              <w:tab/>
            </w:r>
            <w:r w:rsidR="00E9279E">
              <w:rPr>
                <w:noProof/>
                <w:webHidden/>
              </w:rPr>
              <w:fldChar w:fldCharType="begin"/>
            </w:r>
            <w:r w:rsidR="00E9279E">
              <w:rPr>
                <w:noProof/>
                <w:webHidden/>
              </w:rPr>
              <w:instrText xml:space="preserve"> PAGEREF _Toc118379557 \h </w:instrText>
            </w:r>
            <w:r w:rsidR="00E9279E">
              <w:rPr>
                <w:noProof/>
                <w:webHidden/>
              </w:rPr>
            </w:r>
            <w:r w:rsidR="00E9279E">
              <w:rPr>
                <w:noProof/>
                <w:webHidden/>
              </w:rPr>
              <w:fldChar w:fldCharType="separate"/>
            </w:r>
            <w:r w:rsidR="00E9279E">
              <w:rPr>
                <w:noProof/>
                <w:webHidden/>
              </w:rPr>
              <w:t>14</w:t>
            </w:r>
            <w:r w:rsidR="00E9279E">
              <w:rPr>
                <w:noProof/>
                <w:webHidden/>
              </w:rPr>
              <w:fldChar w:fldCharType="end"/>
            </w:r>
          </w:hyperlink>
        </w:p>
        <w:p w14:paraId="1B04C01E" w14:textId="75BA7404" w:rsidR="00E9279E" w:rsidRDefault="000C44E7">
          <w:pPr>
            <w:pStyle w:val="TOC2"/>
            <w:rPr>
              <w:rFonts w:asciiTheme="minorHAnsi" w:eastAsiaTheme="minorEastAsia" w:hAnsiTheme="minorHAnsi" w:cstheme="minorBidi"/>
              <w:b w:val="0"/>
              <w:noProof/>
              <w:sz w:val="22"/>
              <w:lang w:eastAsia="en-AU"/>
            </w:rPr>
          </w:pPr>
          <w:hyperlink w:anchor="_Toc118379558" w:history="1">
            <w:r w:rsidR="00E9279E" w:rsidRPr="00155966">
              <w:rPr>
                <w:rStyle w:val="Hyperlink"/>
                <w:noProof/>
              </w:rPr>
              <w:t>Clinical</w:t>
            </w:r>
            <w:r w:rsidR="00E9279E">
              <w:rPr>
                <w:noProof/>
                <w:webHidden/>
              </w:rPr>
              <w:tab/>
            </w:r>
            <w:r w:rsidR="00E9279E">
              <w:rPr>
                <w:noProof/>
                <w:webHidden/>
              </w:rPr>
              <w:fldChar w:fldCharType="begin"/>
            </w:r>
            <w:r w:rsidR="00E9279E">
              <w:rPr>
                <w:noProof/>
                <w:webHidden/>
              </w:rPr>
              <w:instrText xml:space="preserve"> PAGEREF _Toc118379558 \h </w:instrText>
            </w:r>
            <w:r w:rsidR="00E9279E">
              <w:rPr>
                <w:noProof/>
                <w:webHidden/>
              </w:rPr>
            </w:r>
            <w:r w:rsidR="00E9279E">
              <w:rPr>
                <w:noProof/>
                <w:webHidden/>
              </w:rPr>
              <w:fldChar w:fldCharType="separate"/>
            </w:r>
            <w:r w:rsidR="00E9279E">
              <w:rPr>
                <w:noProof/>
                <w:webHidden/>
              </w:rPr>
              <w:t>15</w:t>
            </w:r>
            <w:r w:rsidR="00E9279E">
              <w:rPr>
                <w:noProof/>
                <w:webHidden/>
              </w:rPr>
              <w:fldChar w:fldCharType="end"/>
            </w:r>
          </w:hyperlink>
        </w:p>
        <w:p w14:paraId="204B0482" w14:textId="18431876" w:rsidR="00E9279E" w:rsidRDefault="000C44E7">
          <w:pPr>
            <w:pStyle w:val="TOC2"/>
            <w:rPr>
              <w:rFonts w:asciiTheme="minorHAnsi" w:eastAsiaTheme="minorEastAsia" w:hAnsiTheme="minorHAnsi" w:cstheme="minorBidi"/>
              <w:b w:val="0"/>
              <w:noProof/>
              <w:sz w:val="22"/>
              <w:lang w:eastAsia="en-AU"/>
            </w:rPr>
          </w:pPr>
          <w:hyperlink w:anchor="_Toc118379559" w:history="1">
            <w:r w:rsidR="00E9279E" w:rsidRPr="00155966">
              <w:rPr>
                <w:rStyle w:val="Hyperlink"/>
                <w:noProof/>
                <w:lang w:eastAsia="en-AU"/>
              </w:rPr>
              <w:t>Risk management plan</w:t>
            </w:r>
            <w:r w:rsidR="00E9279E">
              <w:rPr>
                <w:noProof/>
                <w:webHidden/>
              </w:rPr>
              <w:tab/>
            </w:r>
            <w:r w:rsidR="00E9279E">
              <w:rPr>
                <w:noProof/>
                <w:webHidden/>
              </w:rPr>
              <w:fldChar w:fldCharType="begin"/>
            </w:r>
            <w:r w:rsidR="00E9279E">
              <w:rPr>
                <w:noProof/>
                <w:webHidden/>
              </w:rPr>
              <w:instrText xml:space="preserve"> PAGEREF _Toc118379559 \h </w:instrText>
            </w:r>
            <w:r w:rsidR="00E9279E">
              <w:rPr>
                <w:noProof/>
                <w:webHidden/>
              </w:rPr>
            </w:r>
            <w:r w:rsidR="00E9279E">
              <w:rPr>
                <w:noProof/>
                <w:webHidden/>
              </w:rPr>
              <w:fldChar w:fldCharType="separate"/>
            </w:r>
            <w:r w:rsidR="00E9279E">
              <w:rPr>
                <w:noProof/>
                <w:webHidden/>
              </w:rPr>
              <w:t>39</w:t>
            </w:r>
            <w:r w:rsidR="00E9279E">
              <w:rPr>
                <w:noProof/>
                <w:webHidden/>
              </w:rPr>
              <w:fldChar w:fldCharType="end"/>
            </w:r>
          </w:hyperlink>
        </w:p>
        <w:p w14:paraId="78F8BF3F" w14:textId="7F7E1100" w:rsidR="00E9279E" w:rsidRDefault="000C44E7">
          <w:pPr>
            <w:pStyle w:val="TOC2"/>
            <w:rPr>
              <w:rFonts w:asciiTheme="minorHAnsi" w:eastAsiaTheme="minorEastAsia" w:hAnsiTheme="minorHAnsi" w:cstheme="minorBidi"/>
              <w:b w:val="0"/>
              <w:noProof/>
              <w:sz w:val="22"/>
              <w:lang w:eastAsia="en-AU"/>
            </w:rPr>
          </w:pPr>
          <w:hyperlink w:anchor="_Toc118379560" w:history="1">
            <w:r w:rsidR="00E9279E" w:rsidRPr="00155966">
              <w:rPr>
                <w:rStyle w:val="Hyperlink"/>
                <w:noProof/>
              </w:rPr>
              <w:t>Risk-benefit analysis</w:t>
            </w:r>
            <w:r w:rsidR="00E9279E">
              <w:rPr>
                <w:noProof/>
                <w:webHidden/>
              </w:rPr>
              <w:tab/>
            </w:r>
            <w:r w:rsidR="00E9279E">
              <w:rPr>
                <w:noProof/>
                <w:webHidden/>
              </w:rPr>
              <w:fldChar w:fldCharType="begin"/>
            </w:r>
            <w:r w:rsidR="00E9279E">
              <w:rPr>
                <w:noProof/>
                <w:webHidden/>
              </w:rPr>
              <w:instrText xml:space="preserve"> PAGEREF _Toc118379560 \h </w:instrText>
            </w:r>
            <w:r w:rsidR="00E9279E">
              <w:rPr>
                <w:noProof/>
                <w:webHidden/>
              </w:rPr>
            </w:r>
            <w:r w:rsidR="00E9279E">
              <w:rPr>
                <w:noProof/>
                <w:webHidden/>
              </w:rPr>
              <w:fldChar w:fldCharType="separate"/>
            </w:r>
            <w:r w:rsidR="00E9279E">
              <w:rPr>
                <w:noProof/>
                <w:webHidden/>
              </w:rPr>
              <w:t>39</w:t>
            </w:r>
            <w:r w:rsidR="00E9279E">
              <w:rPr>
                <w:noProof/>
                <w:webHidden/>
              </w:rPr>
              <w:fldChar w:fldCharType="end"/>
            </w:r>
          </w:hyperlink>
        </w:p>
        <w:p w14:paraId="79CDD3C9" w14:textId="29B772AD" w:rsidR="00E9279E" w:rsidRDefault="000C44E7">
          <w:pPr>
            <w:pStyle w:val="TOC1"/>
            <w:rPr>
              <w:rFonts w:asciiTheme="minorHAnsi" w:eastAsiaTheme="minorEastAsia" w:hAnsiTheme="minorHAnsi" w:cstheme="minorBidi"/>
              <w:b w:val="0"/>
              <w:noProof/>
              <w:sz w:val="22"/>
              <w:lang w:eastAsia="en-AU"/>
            </w:rPr>
          </w:pPr>
          <w:hyperlink w:anchor="_Toc118379561" w:history="1">
            <w:r w:rsidR="00E9279E" w:rsidRPr="00155966">
              <w:rPr>
                <w:rStyle w:val="Hyperlink"/>
                <w:noProof/>
              </w:rPr>
              <w:t>Outcome</w:t>
            </w:r>
            <w:r w:rsidR="00E9279E">
              <w:rPr>
                <w:noProof/>
                <w:webHidden/>
              </w:rPr>
              <w:tab/>
            </w:r>
            <w:r w:rsidR="00E9279E">
              <w:rPr>
                <w:noProof/>
                <w:webHidden/>
              </w:rPr>
              <w:fldChar w:fldCharType="begin"/>
            </w:r>
            <w:r w:rsidR="00E9279E">
              <w:rPr>
                <w:noProof/>
                <w:webHidden/>
              </w:rPr>
              <w:instrText xml:space="preserve"> PAGEREF _Toc118379561 \h </w:instrText>
            </w:r>
            <w:r w:rsidR="00E9279E">
              <w:rPr>
                <w:noProof/>
                <w:webHidden/>
              </w:rPr>
            </w:r>
            <w:r w:rsidR="00E9279E">
              <w:rPr>
                <w:noProof/>
                <w:webHidden/>
              </w:rPr>
              <w:fldChar w:fldCharType="separate"/>
            </w:r>
            <w:r w:rsidR="00E9279E">
              <w:rPr>
                <w:noProof/>
                <w:webHidden/>
              </w:rPr>
              <w:t>48</w:t>
            </w:r>
            <w:r w:rsidR="00E9279E">
              <w:rPr>
                <w:noProof/>
                <w:webHidden/>
              </w:rPr>
              <w:fldChar w:fldCharType="end"/>
            </w:r>
          </w:hyperlink>
        </w:p>
        <w:p w14:paraId="6842C89E" w14:textId="013C6BFE" w:rsidR="00E9279E" w:rsidRDefault="000C44E7">
          <w:pPr>
            <w:pStyle w:val="TOC2"/>
            <w:rPr>
              <w:rFonts w:asciiTheme="minorHAnsi" w:eastAsiaTheme="minorEastAsia" w:hAnsiTheme="minorHAnsi" w:cstheme="minorBidi"/>
              <w:b w:val="0"/>
              <w:noProof/>
              <w:sz w:val="22"/>
              <w:lang w:eastAsia="en-AU"/>
            </w:rPr>
          </w:pPr>
          <w:hyperlink w:anchor="_Toc118379562" w:history="1">
            <w:r w:rsidR="00E9279E" w:rsidRPr="00155966">
              <w:rPr>
                <w:rStyle w:val="Hyperlink"/>
                <w:noProof/>
              </w:rPr>
              <w:t>Specific conditions of registration applying to these goods</w:t>
            </w:r>
            <w:r w:rsidR="00E9279E">
              <w:rPr>
                <w:noProof/>
                <w:webHidden/>
              </w:rPr>
              <w:tab/>
            </w:r>
            <w:r w:rsidR="00E9279E">
              <w:rPr>
                <w:noProof/>
                <w:webHidden/>
              </w:rPr>
              <w:fldChar w:fldCharType="begin"/>
            </w:r>
            <w:r w:rsidR="00E9279E">
              <w:rPr>
                <w:noProof/>
                <w:webHidden/>
              </w:rPr>
              <w:instrText xml:space="preserve"> PAGEREF _Toc118379562 \h </w:instrText>
            </w:r>
            <w:r w:rsidR="00E9279E">
              <w:rPr>
                <w:noProof/>
                <w:webHidden/>
              </w:rPr>
            </w:r>
            <w:r w:rsidR="00E9279E">
              <w:rPr>
                <w:noProof/>
                <w:webHidden/>
              </w:rPr>
              <w:fldChar w:fldCharType="separate"/>
            </w:r>
            <w:r w:rsidR="00E9279E">
              <w:rPr>
                <w:noProof/>
                <w:webHidden/>
              </w:rPr>
              <w:t>49</w:t>
            </w:r>
            <w:r w:rsidR="00E9279E">
              <w:rPr>
                <w:noProof/>
                <w:webHidden/>
              </w:rPr>
              <w:fldChar w:fldCharType="end"/>
            </w:r>
          </w:hyperlink>
        </w:p>
        <w:p w14:paraId="65174650" w14:textId="1AF8A8D2" w:rsidR="00E9279E" w:rsidRDefault="000C44E7">
          <w:pPr>
            <w:pStyle w:val="TOC1"/>
            <w:rPr>
              <w:rFonts w:asciiTheme="minorHAnsi" w:eastAsiaTheme="minorEastAsia" w:hAnsiTheme="minorHAnsi" w:cstheme="minorBidi"/>
              <w:b w:val="0"/>
              <w:noProof/>
              <w:sz w:val="22"/>
              <w:lang w:eastAsia="en-AU"/>
            </w:rPr>
          </w:pPr>
          <w:hyperlink w:anchor="_Toc118379563" w:history="1">
            <w:r w:rsidR="00E9279E" w:rsidRPr="00155966">
              <w:rPr>
                <w:rStyle w:val="Hyperlink"/>
                <w:noProof/>
              </w:rPr>
              <w:t>Attachment 1. Product Information</w:t>
            </w:r>
            <w:r w:rsidR="00E9279E">
              <w:rPr>
                <w:noProof/>
                <w:webHidden/>
              </w:rPr>
              <w:tab/>
            </w:r>
            <w:r w:rsidR="00E9279E">
              <w:rPr>
                <w:noProof/>
                <w:webHidden/>
              </w:rPr>
              <w:fldChar w:fldCharType="begin"/>
            </w:r>
            <w:r w:rsidR="00E9279E">
              <w:rPr>
                <w:noProof/>
                <w:webHidden/>
              </w:rPr>
              <w:instrText xml:space="preserve"> PAGEREF _Toc118379563 \h </w:instrText>
            </w:r>
            <w:r w:rsidR="00E9279E">
              <w:rPr>
                <w:noProof/>
                <w:webHidden/>
              </w:rPr>
            </w:r>
            <w:r w:rsidR="00E9279E">
              <w:rPr>
                <w:noProof/>
                <w:webHidden/>
              </w:rPr>
              <w:fldChar w:fldCharType="separate"/>
            </w:r>
            <w:r w:rsidR="00E9279E">
              <w:rPr>
                <w:noProof/>
                <w:webHidden/>
              </w:rPr>
              <w:t>49</w:t>
            </w:r>
            <w:r w:rsidR="00E9279E">
              <w:rPr>
                <w:noProof/>
                <w:webHidden/>
              </w:rPr>
              <w:fldChar w:fldCharType="end"/>
            </w:r>
          </w:hyperlink>
        </w:p>
        <w:p w14:paraId="324D7730" w14:textId="48F16100" w:rsidR="003A7F6C" w:rsidRPr="00E9279E" w:rsidRDefault="00C525A2" w:rsidP="00EB36D6">
          <w:r w:rsidRPr="00E9279E">
            <w:fldChar w:fldCharType="end"/>
          </w:r>
        </w:p>
      </w:sdtContent>
    </w:sdt>
    <w:bookmarkStart w:id="3" w:name="_Toc314842482" w:displacedByCustomXml="prev"/>
    <w:p w14:paraId="60E227C7" w14:textId="77777777" w:rsidR="00FD119B" w:rsidRPr="00E9279E" w:rsidRDefault="00FD119B">
      <w:pPr>
        <w:spacing w:before="0" w:after="200" w:line="0" w:lineRule="auto"/>
      </w:pPr>
      <w:r w:rsidRPr="00E9279E">
        <w:br w:type="page"/>
      </w:r>
    </w:p>
    <w:p w14:paraId="5F1CF819" w14:textId="77777777" w:rsidR="00AF2313" w:rsidRPr="00E9279E" w:rsidRDefault="00AF2313" w:rsidP="00AF2313">
      <w:pPr>
        <w:pStyle w:val="Heading2"/>
      </w:pPr>
      <w:bookmarkStart w:id="4" w:name="_Toc98931917"/>
      <w:bookmarkStart w:id="5" w:name="_Toc118379548"/>
      <w:r w:rsidRPr="00E9279E">
        <w:lastRenderedPageBreak/>
        <w:t>List of abbreviations</w:t>
      </w:r>
      <w:bookmarkEnd w:id="4"/>
      <w:bookmarkEnd w:id="5"/>
    </w:p>
    <w:tbl>
      <w:tblPr>
        <w:tblStyle w:val="TableTGAblue"/>
        <w:tblW w:w="5000" w:type="pct"/>
        <w:tblLook w:val="04A0" w:firstRow="1" w:lastRow="0" w:firstColumn="1" w:lastColumn="0" w:noHBand="0" w:noVBand="1"/>
      </w:tblPr>
      <w:tblGrid>
        <w:gridCol w:w="1975"/>
        <w:gridCol w:w="940"/>
        <w:gridCol w:w="5569"/>
      </w:tblGrid>
      <w:tr w:rsidR="00AF2313" w:rsidRPr="00E9279E" w14:paraId="090E11D2" w14:textId="77777777" w:rsidTr="00AF2313">
        <w:trPr>
          <w:cnfStyle w:val="100000000000" w:firstRow="1" w:lastRow="0" w:firstColumn="0" w:lastColumn="0" w:oddVBand="0" w:evenVBand="0" w:oddHBand="0" w:evenHBand="0" w:firstRowFirstColumn="0" w:firstRowLastColumn="0" w:lastRowFirstColumn="0" w:lastRowLastColumn="0"/>
          <w:cantSplit/>
        </w:trPr>
        <w:tc>
          <w:tcPr>
            <w:tcW w:w="1718" w:type="pct"/>
            <w:gridSpan w:val="2"/>
            <w:hideMark/>
          </w:tcPr>
          <w:p w14:paraId="1A463E9A" w14:textId="77777777" w:rsidR="00AF2313" w:rsidRPr="00E9279E" w:rsidRDefault="00AF2313">
            <w:pPr>
              <w:rPr>
                <w:color w:val="FFFFFF"/>
              </w:rPr>
            </w:pPr>
            <w:r w:rsidRPr="00E9279E">
              <w:t>Abbreviation</w:t>
            </w:r>
          </w:p>
        </w:tc>
        <w:tc>
          <w:tcPr>
            <w:tcW w:w="3282" w:type="pct"/>
            <w:hideMark/>
          </w:tcPr>
          <w:p w14:paraId="13DC64A7" w14:textId="77777777" w:rsidR="00AF2313" w:rsidRPr="00E9279E" w:rsidRDefault="00AF2313">
            <w:r w:rsidRPr="00E9279E">
              <w:t>Meaning</w:t>
            </w:r>
          </w:p>
        </w:tc>
      </w:tr>
      <w:tr w:rsidR="00B61344" w:rsidRPr="00E9279E" w14:paraId="43CAE47A"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0B549956" w14:textId="099B3120" w:rsidR="00B61344" w:rsidRPr="00E9279E" w:rsidRDefault="00B61344" w:rsidP="00B61344">
            <w:r w:rsidRPr="00E9279E">
              <w:t>ACM</w:t>
            </w:r>
          </w:p>
        </w:tc>
        <w:tc>
          <w:tcPr>
            <w:tcW w:w="3836" w:type="pct"/>
            <w:gridSpan w:val="2"/>
            <w:tcBorders>
              <w:top w:val="single" w:sz="8" w:space="0" w:color="002C47"/>
              <w:left w:val="single" w:sz="8" w:space="0" w:color="002C47"/>
              <w:bottom w:val="single" w:sz="8" w:space="0" w:color="002C47"/>
              <w:right w:val="single" w:sz="8" w:space="0" w:color="002C47"/>
            </w:tcBorders>
          </w:tcPr>
          <w:p w14:paraId="478B3DB3" w14:textId="21B858D7" w:rsidR="00B61344" w:rsidRPr="00E9279E" w:rsidRDefault="00B61344" w:rsidP="00B61344">
            <w:bookmarkStart w:id="6" w:name="_Hlk114682401"/>
            <w:r w:rsidRPr="00E9279E">
              <w:t>Advisory Committee on Medicines</w:t>
            </w:r>
            <w:bookmarkEnd w:id="6"/>
          </w:p>
        </w:tc>
      </w:tr>
      <w:tr w:rsidR="00B61344" w:rsidRPr="00E9279E" w14:paraId="5153F07A"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59ABFE1A" w14:textId="3834FD22" w:rsidR="00B61344" w:rsidRPr="00E9279E" w:rsidRDefault="00B61344" w:rsidP="00B61344">
            <w:r w:rsidRPr="00E9279E">
              <w:t>AE</w:t>
            </w:r>
          </w:p>
        </w:tc>
        <w:tc>
          <w:tcPr>
            <w:tcW w:w="3836" w:type="pct"/>
            <w:gridSpan w:val="2"/>
            <w:tcBorders>
              <w:top w:val="single" w:sz="8" w:space="0" w:color="002C47"/>
              <w:left w:val="single" w:sz="8" w:space="0" w:color="002C47"/>
              <w:bottom w:val="single" w:sz="8" w:space="0" w:color="002C47"/>
              <w:right w:val="single" w:sz="8" w:space="0" w:color="002C47"/>
            </w:tcBorders>
          </w:tcPr>
          <w:p w14:paraId="364006DC" w14:textId="63DFD0B3" w:rsidR="00B61344" w:rsidRPr="00E9279E" w:rsidRDefault="00B61344" w:rsidP="00B61344">
            <w:r w:rsidRPr="00E9279E">
              <w:t>Adverse event</w:t>
            </w:r>
          </w:p>
        </w:tc>
      </w:tr>
      <w:tr w:rsidR="00B61344" w:rsidRPr="00E9279E" w14:paraId="5D8AA90B"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1C3D47E6" w14:textId="1C564A95" w:rsidR="00B61344" w:rsidRPr="00E9279E" w:rsidRDefault="00B61344" w:rsidP="00B61344">
            <w:r w:rsidRPr="00E9279E">
              <w:t>ALN</w:t>
            </w:r>
          </w:p>
        </w:tc>
        <w:tc>
          <w:tcPr>
            <w:tcW w:w="3836" w:type="pct"/>
            <w:gridSpan w:val="2"/>
            <w:tcBorders>
              <w:top w:val="single" w:sz="8" w:space="0" w:color="002C47"/>
              <w:left w:val="single" w:sz="8" w:space="0" w:color="002C47"/>
              <w:bottom w:val="single" w:sz="8" w:space="0" w:color="002C47"/>
              <w:right w:val="single" w:sz="8" w:space="0" w:color="002C47"/>
            </w:tcBorders>
          </w:tcPr>
          <w:p w14:paraId="75FBF248" w14:textId="3577EAA8" w:rsidR="00B61344" w:rsidRPr="00E9279E" w:rsidRDefault="00B61344" w:rsidP="00B61344">
            <w:r w:rsidRPr="00E9279E">
              <w:t>Axillary lymph node(s)</w:t>
            </w:r>
          </w:p>
        </w:tc>
      </w:tr>
      <w:tr w:rsidR="00B61344" w:rsidRPr="00E9279E" w14:paraId="7F114A16"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2D64204D" w14:textId="5471EF2B" w:rsidR="00B61344" w:rsidRPr="00E9279E" w:rsidRDefault="00B61344" w:rsidP="00B61344">
            <w:r w:rsidRPr="00E9279E">
              <w:t>ALT</w:t>
            </w:r>
          </w:p>
        </w:tc>
        <w:tc>
          <w:tcPr>
            <w:tcW w:w="3836" w:type="pct"/>
            <w:gridSpan w:val="2"/>
            <w:tcBorders>
              <w:top w:val="single" w:sz="8" w:space="0" w:color="002C47"/>
              <w:left w:val="single" w:sz="8" w:space="0" w:color="002C47"/>
              <w:bottom w:val="single" w:sz="8" w:space="0" w:color="002C47"/>
              <w:right w:val="single" w:sz="8" w:space="0" w:color="002C47"/>
            </w:tcBorders>
          </w:tcPr>
          <w:p w14:paraId="7537F725" w14:textId="31F1310B" w:rsidR="00B61344" w:rsidRPr="00E9279E" w:rsidRDefault="00B61344" w:rsidP="00B61344">
            <w:r w:rsidRPr="00E9279E">
              <w:t>Alanine aminotransferase</w:t>
            </w:r>
          </w:p>
        </w:tc>
      </w:tr>
      <w:tr w:rsidR="00B61344" w:rsidRPr="00E9279E" w14:paraId="59F27C30"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15424B56" w14:textId="0CF34678" w:rsidR="00B61344" w:rsidRPr="00E9279E" w:rsidRDefault="00B61344" w:rsidP="00B61344">
            <w:r w:rsidRPr="00E9279E">
              <w:t>ARTG</w:t>
            </w:r>
          </w:p>
        </w:tc>
        <w:tc>
          <w:tcPr>
            <w:tcW w:w="3836" w:type="pct"/>
            <w:gridSpan w:val="2"/>
            <w:tcBorders>
              <w:top w:val="single" w:sz="8" w:space="0" w:color="002C47"/>
              <w:left w:val="single" w:sz="8" w:space="0" w:color="002C47"/>
              <w:bottom w:val="single" w:sz="8" w:space="0" w:color="002C47"/>
              <w:right w:val="single" w:sz="8" w:space="0" w:color="002C47"/>
            </w:tcBorders>
          </w:tcPr>
          <w:p w14:paraId="2B50E874" w14:textId="6BE32A68" w:rsidR="00B61344" w:rsidRPr="00E9279E" w:rsidRDefault="00B61344" w:rsidP="00B61344">
            <w:r w:rsidRPr="00E9279E">
              <w:t>Australian Register of Therapeutic Goods</w:t>
            </w:r>
          </w:p>
        </w:tc>
      </w:tr>
      <w:tr w:rsidR="00B61344" w:rsidRPr="00E9279E" w14:paraId="6EC1417A"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5EE5853E" w14:textId="04DEB632" w:rsidR="00B61344" w:rsidRPr="00E9279E" w:rsidRDefault="00B61344" w:rsidP="00B61344">
            <w:r w:rsidRPr="00E9279E">
              <w:t>AST</w:t>
            </w:r>
          </w:p>
        </w:tc>
        <w:tc>
          <w:tcPr>
            <w:tcW w:w="3836" w:type="pct"/>
            <w:gridSpan w:val="2"/>
            <w:tcBorders>
              <w:top w:val="single" w:sz="8" w:space="0" w:color="002C47"/>
              <w:left w:val="single" w:sz="8" w:space="0" w:color="002C47"/>
              <w:bottom w:val="single" w:sz="8" w:space="0" w:color="002C47"/>
              <w:right w:val="single" w:sz="8" w:space="0" w:color="002C47"/>
            </w:tcBorders>
          </w:tcPr>
          <w:p w14:paraId="26358879" w14:textId="6F004A8B" w:rsidR="00B61344" w:rsidRPr="00E9279E" w:rsidRDefault="00B61344" w:rsidP="00B61344">
            <w:bookmarkStart w:id="7" w:name="_Hlk114682046"/>
            <w:r w:rsidRPr="00E9279E">
              <w:t>Aspartate aminotransferase</w:t>
            </w:r>
            <w:bookmarkEnd w:id="7"/>
          </w:p>
        </w:tc>
      </w:tr>
      <w:tr w:rsidR="005C6FDB" w:rsidRPr="00E9279E" w14:paraId="6352BFB0"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271C3090" w14:textId="797DA88B" w:rsidR="005C6FDB" w:rsidRPr="00E9279E" w:rsidRDefault="005C6FDB" w:rsidP="00B61344">
            <w:proofErr w:type="spellStart"/>
            <w:r w:rsidRPr="00E9279E">
              <w:t>AUC</w:t>
            </w:r>
            <w:proofErr w:type="gramStart"/>
            <w:r w:rsidRPr="00E9279E">
              <w:rPr>
                <w:vertAlign w:val="subscript"/>
              </w:rPr>
              <w:t>τ,ss</w:t>
            </w:r>
            <w:proofErr w:type="spellEnd"/>
            <w:proofErr w:type="gramEnd"/>
          </w:p>
        </w:tc>
        <w:tc>
          <w:tcPr>
            <w:tcW w:w="3836" w:type="pct"/>
            <w:gridSpan w:val="2"/>
            <w:tcBorders>
              <w:top w:val="single" w:sz="8" w:space="0" w:color="002C47"/>
              <w:left w:val="single" w:sz="8" w:space="0" w:color="002C47"/>
              <w:bottom w:val="single" w:sz="8" w:space="0" w:color="002C47"/>
              <w:right w:val="single" w:sz="8" w:space="0" w:color="002C47"/>
            </w:tcBorders>
          </w:tcPr>
          <w:p w14:paraId="7F7FC26D" w14:textId="4079770B" w:rsidR="005C6FDB" w:rsidRPr="00E9279E" w:rsidRDefault="005C6FDB" w:rsidP="00DF5A16">
            <w:r w:rsidRPr="00E9279E">
              <w:t xml:space="preserve">Area under the concentration-time curve </w:t>
            </w:r>
            <w:r w:rsidR="00DF5A16" w:rsidRPr="00E9279E">
              <w:t xml:space="preserve">over a dosing interval </w:t>
            </w:r>
            <w:r w:rsidRPr="00E9279E">
              <w:t>at steady state</w:t>
            </w:r>
          </w:p>
        </w:tc>
      </w:tr>
      <w:tr w:rsidR="00B61344" w:rsidRPr="00E9279E" w14:paraId="1AF3F978"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25AEB507" w14:textId="7938A10A" w:rsidR="00B61344" w:rsidRPr="00E9279E" w:rsidRDefault="00B61344" w:rsidP="00B61344">
            <w:r w:rsidRPr="00E9279E">
              <w:t>CDK</w:t>
            </w:r>
          </w:p>
        </w:tc>
        <w:tc>
          <w:tcPr>
            <w:tcW w:w="3836" w:type="pct"/>
            <w:gridSpan w:val="2"/>
            <w:tcBorders>
              <w:top w:val="single" w:sz="8" w:space="0" w:color="002C47"/>
              <w:left w:val="single" w:sz="8" w:space="0" w:color="002C47"/>
              <w:bottom w:val="single" w:sz="8" w:space="0" w:color="002C47"/>
              <w:right w:val="single" w:sz="8" w:space="0" w:color="002C47"/>
            </w:tcBorders>
          </w:tcPr>
          <w:p w14:paraId="3A639FBD" w14:textId="0C87083A" w:rsidR="00B61344" w:rsidRPr="00E9279E" w:rsidRDefault="00B61344" w:rsidP="00B61344">
            <w:r w:rsidRPr="00E9279E">
              <w:t>Cyclin-D dependent kinase</w:t>
            </w:r>
          </w:p>
        </w:tc>
      </w:tr>
      <w:tr w:rsidR="00B61344" w:rsidRPr="00E9279E" w14:paraId="160029AE"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5B33710F" w14:textId="33535BD5" w:rsidR="00B61344" w:rsidRPr="00E9279E" w:rsidRDefault="00B61344" w:rsidP="00B61344">
            <w:r w:rsidRPr="00E9279E">
              <w:t>CI</w:t>
            </w:r>
          </w:p>
        </w:tc>
        <w:tc>
          <w:tcPr>
            <w:tcW w:w="3836" w:type="pct"/>
            <w:gridSpan w:val="2"/>
            <w:tcBorders>
              <w:top w:val="single" w:sz="8" w:space="0" w:color="002C47"/>
              <w:left w:val="single" w:sz="8" w:space="0" w:color="002C47"/>
              <w:bottom w:val="single" w:sz="8" w:space="0" w:color="002C47"/>
              <w:right w:val="single" w:sz="8" w:space="0" w:color="002C47"/>
            </w:tcBorders>
          </w:tcPr>
          <w:p w14:paraId="5F854049" w14:textId="1FF6CE27" w:rsidR="00B61344" w:rsidRPr="00E9279E" w:rsidRDefault="00B61344" w:rsidP="00B61344">
            <w:r w:rsidRPr="00E9279E">
              <w:t>Confidence interval</w:t>
            </w:r>
          </w:p>
        </w:tc>
      </w:tr>
      <w:tr w:rsidR="005C6FDB" w:rsidRPr="00E9279E" w14:paraId="3FFC2D09"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47B43F18" w14:textId="1DEE4A95" w:rsidR="005C6FDB" w:rsidRPr="00E9279E" w:rsidRDefault="005C6FDB" w:rsidP="00B61344">
            <w:proofErr w:type="spellStart"/>
            <w:proofErr w:type="gramStart"/>
            <w:r w:rsidRPr="00E9279E">
              <w:t>C</w:t>
            </w:r>
            <w:r w:rsidRPr="00E9279E">
              <w:rPr>
                <w:vertAlign w:val="subscript"/>
              </w:rPr>
              <w:t>max,ss</w:t>
            </w:r>
            <w:proofErr w:type="spellEnd"/>
            <w:proofErr w:type="gramEnd"/>
          </w:p>
        </w:tc>
        <w:tc>
          <w:tcPr>
            <w:tcW w:w="3836" w:type="pct"/>
            <w:gridSpan w:val="2"/>
            <w:tcBorders>
              <w:top w:val="single" w:sz="8" w:space="0" w:color="002C47"/>
              <w:left w:val="single" w:sz="8" w:space="0" w:color="002C47"/>
              <w:bottom w:val="single" w:sz="8" w:space="0" w:color="002C47"/>
              <w:right w:val="single" w:sz="8" w:space="0" w:color="002C47"/>
            </w:tcBorders>
          </w:tcPr>
          <w:p w14:paraId="68E54E5D" w14:textId="46445B96" w:rsidR="005C6FDB" w:rsidRPr="00E9279E" w:rsidRDefault="005C6FDB" w:rsidP="00B61344">
            <w:r w:rsidRPr="00E9279E">
              <w:t>Maximum plasma concentration at steady state</w:t>
            </w:r>
          </w:p>
        </w:tc>
      </w:tr>
      <w:tr w:rsidR="00B61344" w:rsidRPr="00E9279E" w14:paraId="24BBC4D0"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60825B11" w14:textId="5A4F647D" w:rsidR="00B61344" w:rsidRPr="00E9279E" w:rsidRDefault="00B61344" w:rsidP="00B61344">
            <w:r w:rsidRPr="00E9279E">
              <w:t>CMI</w:t>
            </w:r>
          </w:p>
        </w:tc>
        <w:tc>
          <w:tcPr>
            <w:tcW w:w="3836" w:type="pct"/>
            <w:gridSpan w:val="2"/>
            <w:tcBorders>
              <w:top w:val="single" w:sz="8" w:space="0" w:color="002C47"/>
              <w:left w:val="single" w:sz="8" w:space="0" w:color="002C47"/>
              <w:bottom w:val="single" w:sz="8" w:space="0" w:color="002C47"/>
              <w:right w:val="single" w:sz="8" w:space="0" w:color="002C47"/>
            </w:tcBorders>
          </w:tcPr>
          <w:p w14:paraId="03EC8BCC" w14:textId="32CF03B3" w:rsidR="00B61344" w:rsidRPr="00E9279E" w:rsidRDefault="00B61344" w:rsidP="00B61344">
            <w:r w:rsidRPr="00E9279E">
              <w:t>Consumer Medicine Information</w:t>
            </w:r>
          </w:p>
        </w:tc>
      </w:tr>
      <w:tr w:rsidR="00B61344" w:rsidRPr="00E9279E" w14:paraId="01309E7C"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50B5E497" w14:textId="4ACDC045" w:rsidR="00B61344" w:rsidRPr="00E9279E" w:rsidRDefault="00B61344" w:rsidP="00B61344">
            <w:r w:rsidRPr="00E9279E">
              <w:t>COVID-19</w:t>
            </w:r>
          </w:p>
        </w:tc>
        <w:tc>
          <w:tcPr>
            <w:tcW w:w="3836" w:type="pct"/>
            <w:gridSpan w:val="2"/>
            <w:tcBorders>
              <w:top w:val="single" w:sz="8" w:space="0" w:color="002C47"/>
              <w:left w:val="single" w:sz="8" w:space="0" w:color="002C47"/>
              <w:bottom w:val="single" w:sz="8" w:space="0" w:color="002C47"/>
              <w:right w:val="single" w:sz="8" w:space="0" w:color="002C47"/>
            </w:tcBorders>
          </w:tcPr>
          <w:p w14:paraId="6D0F5B5B" w14:textId="5255F387" w:rsidR="00B61344" w:rsidRPr="00E9279E" w:rsidRDefault="00B61344" w:rsidP="00B61344">
            <w:r w:rsidRPr="00E9279E">
              <w:t>Coronavirus disease 2019</w:t>
            </w:r>
          </w:p>
        </w:tc>
      </w:tr>
      <w:tr w:rsidR="00B61344" w:rsidRPr="00E9279E" w14:paraId="61A3CD08"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2C255260" w14:textId="466C616D" w:rsidR="00B61344" w:rsidRPr="00E9279E" w:rsidRDefault="00B61344" w:rsidP="00B61344">
            <w:r w:rsidRPr="00E9279E">
              <w:t>CTCAE</w:t>
            </w:r>
          </w:p>
        </w:tc>
        <w:tc>
          <w:tcPr>
            <w:tcW w:w="3836" w:type="pct"/>
            <w:gridSpan w:val="2"/>
            <w:tcBorders>
              <w:top w:val="single" w:sz="8" w:space="0" w:color="002C47"/>
              <w:left w:val="single" w:sz="8" w:space="0" w:color="002C47"/>
              <w:bottom w:val="single" w:sz="8" w:space="0" w:color="002C47"/>
              <w:right w:val="single" w:sz="8" w:space="0" w:color="002C47"/>
            </w:tcBorders>
          </w:tcPr>
          <w:p w14:paraId="2ED5F84F" w14:textId="46E27534" w:rsidR="00B61344" w:rsidRPr="00E9279E" w:rsidRDefault="00B61344" w:rsidP="00B61344">
            <w:r w:rsidRPr="00E9279E">
              <w:t>Common Terminology Criteria for Adverse Event</w:t>
            </w:r>
          </w:p>
        </w:tc>
      </w:tr>
      <w:tr w:rsidR="00B61344" w:rsidRPr="00E9279E" w14:paraId="38797678"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5848A351" w14:textId="78B7273A" w:rsidR="00B61344" w:rsidRPr="00E9279E" w:rsidRDefault="00B61344" w:rsidP="00B61344">
            <w:r w:rsidRPr="00E9279E">
              <w:t>DFS</w:t>
            </w:r>
          </w:p>
        </w:tc>
        <w:tc>
          <w:tcPr>
            <w:tcW w:w="3836" w:type="pct"/>
            <w:gridSpan w:val="2"/>
            <w:tcBorders>
              <w:top w:val="single" w:sz="8" w:space="0" w:color="002C47"/>
              <w:left w:val="single" w:sz="8" w:space="0" w:color="002C47"/>
              <w:bottom w:val="single" w:sz="8" w:space="0" w:color="002C47"/>
              <w:right w:val="single" w:sz="8" w:space="0" w:color="002C47"/>
            </w:tcBorders>
          </w:tcPr>
          <w:p w14:paraId="75AE3D7A" w14:textId="2568C605" w:rsidR="00B61344" w:rsidRPr="00E9279E" w:rsidRDefault="00B61344" w:rsidP="00B61344">
            <w:r w:rsidRPr="00E9279E">
              <w:t>Disease-free survival</w:t>
            </w:r>
          </w:p>
        </w:tc>
      </w:tr>
      <w:tr w:rsidR="00B61344" w:rsidRPr="00E9279E" w14:paraId="609B0042"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353A8D67" w14:textId="3F8181A9" w:rsidR="00B61344" w:rsidRPr="00E9279E" w:rsidRDefault="00B61344" w:rsidP="00B61344">
            <w:r w:rsidRPr="00E9279E">
              <w:t>DRFS</w:t>
            </w:r>
          </w:p>
        </w:tc>
        <w:tc>
          <w:tcPr>
            <w:tcW w:w="3836" w:type="pct"/>
            <w:gridSpan w:val="2"/>
            <w:tcBorders>
              <w:top w:val="single" w:sz="8" w:space="0" w:color="002C47"/>
              <w:left w:val="single" w:sz="8" w:space="0" w:color="002C47"/>
              <w:bottom w:val="single" w:sz="8" w:space="0" w:color="002C47"/>
              <w:right w:val="single" w:sz="8" w:space="0" w:color="002C47"/>
            </w:tcBorders>
          </w:tcPr>
          <w:p w14:paraId="224F8B2D" w14:textId="6658140C" w:rsidR="00B61344" w:rsidRPr="00E9279E" w:rsidRDefault="00B61344" w:rsidP="00B61344">
            <w:bookmarkStart w:id="8" w:name="_Hlk114681614"/>
            <w:r w:rsidRPr="00E9279E">
              <w:t>Distant recurrence-free survival</w:t>
            </w:r>
            <w:bookmarkEnd w:id="8"/>
          </w:p>
        </w:tc>
      </w:tr>
      <w:tr w:rsidR="00B61344" w:rsidRPr="00E9279E" w14:paraId="321431E0"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1A5BB313" w14:textId="5C060087" w:rsidR="00B61344" w:rsidRPr="00E9279E" w:rsidRDefault="00B61344" w:rsidP="00B61344">
            <w:r w:rsidRPr="00E9279E">
              <w:t>ECOG</w:t>
            </w:r>
          </w:p>
        </w:tc>
        <w:tc>
          <w:tcPr>
            <w:tcW w:w="3836" w:type="pct"/>
            <w:gridSpan w:val="2"/>
            <w:tcBorders>
              <w:top w:val="single" w:sz="8" w:space="0" w:color="002C47"/>
              <w:left w:val="single" w:sz="8" w:space="0" w:color="002C47"/>
              <w:bottom w:val="single" w:sz="8" w:space="0" w:color="002C47"/>
              <w:right w:val="single" w:sz="8" w:space="0" w:color="002C47"/>
            </w:tcBorders>
          </w:tcPr>
          <w:p w14:paraId="4AF19CAB" w14:textId="6D4F11A8" w:rsidR="00B61344" w:rsidRPr="00E9279E" w:rsidRDefault="00B61344" w:rsidP="00B61344">
            <w:r w:rsidRPr="00E9279E">
              <w:t>Eastern Cooperative Oncology Group</w:t>
            </w:r>
          </w:p>
        </w:tc>
      </w:tr>
      <w:tr w:rsidR="00FA7653" w:rsidRPr="00E9279E" w14:paraId="260DA3DD"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05FBD766" w14:textId="08F87A7C" w:rsidR="00FA7653" w:rsidRPr="00E9279E" w:rsidRDefault="00FA7653" w:rsidP="00B61344">
            <w:r w:rsidRPr="00E9279E">
              <w:t>ESMO</w:t>
            </w:r>
          </w:p>
        </w:tc>
        <w:tc>
          <w:tcPr>
            <w:tcW w:w="3836" w:type="pct"/>
            <w:gridSpan w:val="2"/>
            <w:tcBorders>
              <w:top w:val="single" w:sz="8" w:space="0" w:color="002C47"/>
              <w:left w:val="single" w:sz="8" w:space="0" w:color="002C47"/>
              <w:bottom w:val="single" w:sz="8" w:space="0" w:color="002C47"/>
              <w:right w:val="single" w:sz="8" w:space="0" w:color="002C47"/>
            </w:tcBorders>
          </w:tcPr>
          <w:p w14:paraId="29831D74" w14:textId="76CAB83C" w:rsidR="00FA7653" w:rsidRPr="00E9279E" w:rsidRDefault="00FA7653" w:rsidP="00B61344">
            <w:r w:rsidRPr="00E9279E">
              <w:t>European Society for Medical Oncology</w:t>
            </w:r>
          </w:p>
        </w:tc>
      </w:tr>
      <w:tr w:rsidR="00B61344" w:rsidRPr="00E9279E" w14:paraId="49D28A07"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2B45B490" w14:textId="0D655956" w:rsidR="00B61344" w:rsidRPr="00E9279E" w:rsidRDefault="00B61344" w:rsidP="00B61344">
            <w:r w:rsidRPr="00E9279E">
              <w:t>FDA</w:t>
            </w:r>
          </w:p>
        </w:tc>
        <w:tc>
          <w:tcPr>
            <w:tcW w:w="3836" w:type="pct"/>
            <w:gridSpan w:val="2"/>
            <w:tcBorders>
              <w:top w:val="single" w:sz="8" w:space="0" w:color="002C47"/>
              <w:left w:val="single" w:sz="8" w:space="0" w:color="002C47"/>
              <w:bottom w:val="single" w:sz="8" w:space="0" w:color="002C47"/>
              <w:right w:val="single" w:sz="8" w:space="0" w:color="002C47"/>
            </w:tcBorders>
          </w:tcPr>
          <w:p w14:paraId="2C2CB2C2" w14:textId="04210319" w:rsidR="00B61344" w:rsidRPr="00E9279E" w:rsidRDefault="00B61344" w:rsidP="00B61344">
            <w:r w:rsidRPr="00E9279E">
              <w:t>Food and Drug Administration (United States of America)</w:t>
            </w:r>
          </w:p>
        </w:tc>
      </w:tr>
      <w:tr w:rsidR="00B61344" w:rsidRPr="00E9279E" w14:paraId="09976F25"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409B5005" w14:textId="01809B2C" w:rsidR="00B61344" w:rsidRPr="00E9279E" w:rsidRDefault="00B61344" w:rsidP="00B61344">
            <w:r w:rsidRPr="00E9279E">
              <w:t>GnRH</w:t>
            </w:r>
          </w:p>
        </w:tc>
        <w:tc>
          <w:tcPr>
            <w:tcW w:w="3836" w:type="pct"/>
            <w:gridSpan w:val="2"/>
            <w:tcBorders>
              <w:top w:val="single" w:sz="8" w:space="0" w:color="002C47"/>
              <w:left w:val="single" w:sz="8" w:space="0" w:color="002C47"/>
              <w:bottom w:val="single" w:sz="8" w:space="0" w:color="002C47"/>
              <w:right w:val="single" w:sz="8" w:space="0" w:color="002C47"/>
            </w:tcBorders>
          </w:tcPr>
          <w:p w14:paraId="2159B592" w14:textId="3DCD863B" w:rsidR="00B61344" w:rsidRPr="00E9279E" w:rsidRDefault="00B61344" w:rsidP="00B61344">
            <w:r w:rsidRPr="00E9279E">
              <w:t>Gonadotropin-releasing hormone</w:t>
            </w:r>
          </w:p>
        </w:tc>
      </w:tr>
      <w:tr w:rsidR="00B61344" w:rsidRPr="00E9279E" w14:paraId="03AEF0F0"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3D987236" w14:textId="10A35576" w:rsidR="00B61344" w:rsidRPr="00E9279E" w:rsidRDefault="00B61344" w:rsidP="00B61344">
            <w:r w:rsidRPr="00E9279E">
              <w:t>HCP</w:t>
            </w:r>
          </w:p>
        </w:tc>
        <w:tc>
          <w:tcPr>
            <w:tcW w:w="3836" w:type="pct"/>
            <w:gridSpan w:val="2"/>
            <w:tcBorders>
              <w:top w:val="single" w:sz="8" w:space="0" w:color="002C47"/>
              <w:left w:val="single" w:sz="8" w:space="0" w:color="002C47"/>
              <w:bottom w:val="single" w:sz="8" w:space="0" w:color="002C47"/>
              <w:right w:val="single" w:sz="8" w:space="0" w:color="002C47"/>
            </w:tcBorders>
          </w:tcPr>
          <w:p w14:paraId="1C6256F7" w14:textId="65124E81" w:rsidR="00B61344" w:rsidRPr="00E9279E" w:rsidRDefault="00B61344" w:rsidP="00B61344">
            <w:r w:rsidRPr="00E9279E">
              <w:t>Healthcare professional</w:t>
            </w:r>
          </w:p>
        </w:tc>
      </w:tr>
      <w:tr w:rsidR="00B61344" w:rsidRPr="00E9279E" w14:paraId="325F4E4D"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00BF70F0" w14:textId="0A5AA560" w:rsidR="00B61344" w:rsidRPr="00E9279E" w:rsidRDefault="00B61344" w:rsidP="00B61344">
            <w:r w:rsidRPr="00E9279E">
              <w:t>HER2</w:t>
            </w:r>
          </w:p>
        </w:tc>
        <w:tc>
          <w:tcPr>
            <w:tcW w:w="3836" w:type="pct"/>
            <w:gridSpan w:val="2"/>
            <w:tcBorders>
              <w:top w:val="single" w:sz="8" w:space="0" w:color="002C47"/>
              <w:left w:val="single" w:sz="8" w:space="0" w:color="002C47"/>
              <w:bottom w:val="single" w:sz="8" w:space="0" w:color="002C47"/>
              <w:right w:val="single" w:sz="8" w:space="0" w:color="002C47"/>
            </w:tcBorders>
          </w:tcPr>
          <w:p w14:paraId="4B5C636E" w14:textId="528706AD" w:rsidR="00B61344" w:rsidRPr="00E9279E" w:rsidRDefault="00B61344" w:rsidP="00B61344">
            <w:r w:rsidRPr="00E9279E">
              <w:t>Human epidermal growth factor receptor 2</w:t>
            </w:r>
          </w:p>
        </w:tc>
      </w:tr>
      <w:tr w:rsidR="00B61344" w:rsidRPr="00E9279E" w14:paraId="0C951752"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5A708C60" w14:textId="2117FA89" w:rsidR="00B61344" w:rsidRPr="00E9279E" w:rsidRDefault="00B61344" w:rsidP="00B61344">
            <w:r w:rsidRPr="00E9279E">
              <w:t>HER2-/HER2 neg</w:t>
            </w:r>
          </w:p>
        </w:tc>
        <w:tc>
          <w:tcPr>
            <w:tcW w:w="3836" w:type="pct"/>
            <w:gridSpan w:val="2"/>
            <w:tcBorders>
              <w:top w:val="single" w:sz="8" w:space="0" w:color="002C47"/>
              <w:left w:val="single" w:sz="8" w:space="0" w:color="002C47"/>
              <w:bottom w:val="single" w:sz="8" w:space="0" w:color="002C47"/>
              <w:right w:val="single" w:sz="8" w:space="0" w:color="002C47"/>
            </w:tcBorders>
          </w:tcPr>
          <w:p w14:paraId="2AC6180B" w14:textId="2FF30B86" w:rsidR="00B61344" w:rsidRPr="00E9279E" w:rsidRDefault="00B61344" w:rsidP="00B61344">
            <w:r w:rsidRPr="00E9279E">
              <w:t>Human epidermal growth factor receptor 2 negative</w:t>
            </w:r>
          </w:p>
        </w:tc>
      </w:tr>
      <w:tr w:rsidR="00B61344" w:rsidRPr="00E9279E" w14:paraId="5ED5A355"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249860BB" w14:textId="1A0DDE89" w:rsidR="00B61344" w:rsidRPr="00E9279E" w:rsidRDefault="00B61344" w:rsidP="00B61344">
            <w:r w:rsidRPr="00E9279E">
              <w:t>HR</w:t>
            </w:r>
          </w:p>
        </w:tc>
        <w:tc>
          <w:tcPr>
            <w:tcW w:w="3836" w:type="pct"/>
            <w:gridSpan w:val="2"/>
            <w:tcBorders>
              <w:top w:val="single" w:sz="8" w:space="0" w:color="002C47"/>
              <w:left w:val="single" w:sz="8" w:space="0" w:color="002C47"/>
              <w:bottom w:val="single" w:sz="8" w:space="0" w:color="002C47"/>
              <w:right w:val="single" w:sz="8" w:space="0" w:color="002C47"/>
            </w:tcBorders>
          </w:tcPr>
          <w:p w14:paraId="04C3991D" w14:textId="211EF2DB" w:rsidR="00B61344" w:rsidRPr="00E9279E" w:rsidRDefault="00B61344" w:rsidP="00B61344">
            <w:r w:rsidRPr="00E9279E">
              <w:t>Hormone receptor</w:t>
            </w:r>
          </w:p>
        </w:tc>
      </w:tr>
      <w:tr w:rsidR="00B61344" w:rsidRPr="00E9279E" w14:paraId="218021BF"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1A6E7720" w14:textId="3B57812B" w:rsidR="00B61344" w:rsidRPr="00E9279E" w:rsidRDefault="00B61344" w:rsidP="00B61344">
            <w:r w:rsidRPr="00E9279E">
              <w:t>HR+/HR pos</w:t>
            </w:r>
          </w:p>
        </w:tc>
        <w:tc>
          <w:tcPr>
            <w:tcW w:w="3836" w:type="pct"/>
            <w:gridSpan w:val="2"/>
            <w:tcBorders>
              <w:top w:val="single" w:sz="8" w:space="0" w:color="002C47"/>
              <w:left w:val="single" w:sz="8" w:space="0" w:color="002C47"/>
              <w:bottom w:val="single" w:sz="8" w:space="0" w:color="002C47"/>
              <w:right w:val="single" w:sz="8" w:space="0" w:color="002C47"/>
            </w:tcBorders>
          </w:tcPr>
          <w:p w14:paraId="1ADCBE60" w14:textId="27031EA5" w:rsidR="00B61344" w:rsidRPr="00E9279E" w:rsidRDefault="00B61344" w:rsidP="00B61344">
            <w:r w:rsidRPr="00E9279E">
              <w:t>Hormone receptor positive</w:t>
            </w:r>
          </w:p>
        </w:tc>
      </w:tr>
      <w:tr w:rsidR="00B61344" w:rsidRPr="00E9279E" w14:paraId="559AE953"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71B71D96" w14:textId="3DBB797B" w:rsidR="00B61344" w:rsidRPr="00E9279E" w:rsidRDefault="00B61344" w:rsidP="00B61344">
            <w:r w:rsidRPr="00E9279E">
              <w:lastRenderedPageBreak/>
              <w:t>IDFS</w:t>
            </w:r>
          </w:p>
        </w:tc>
        <w:tc>
          <w:tcPr>
            <w:tcW w:w="3836" w:type="pct"/>
            <w:gridSpan w:val="2"/>
            <w:tcBorders>
              <w:top w:val="single" w:sz="8" w:space="0" w:color="002C47"/>
              <w:left w:val="single" w:sz="8" w:space="0" w:color="002C47"/>
              <w:bottom w:val="single" w:sz="8" w:space="0" w:color="002C47"/>
              <w:right w:val="single" w:sz="8" w:space="0" w:color="002C47"/>
            </w:tcBorders>
          </w:tcPr>
          <w:p w14:paraId="18F6F829" w14:textId="5C303FD8" w:rsidR="00B61344" w:rsidRPr="00E9279E" w:rsidRDefault="00B61344" w:rsidP="00B61344">
            <w:bookmarkStart w:id="9" w:name="_Hlk113826882"/>
            <w:r w:rsidRPr="00E9279E">
              <w:t>Invasive disease-free survival</w:t>
            </w:r>
            <w:bookmarkEnd w:id="9"/>
          </w:p>
        </w:tc>
      </w:tr>
      <w:tr w:rsidR="00B61344" w:rsidRPr="00E9279E" w14:paraId="0691B76E"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5057AFBF" w14:textId="420E2B58" w:rsidR="00B61344" w:rsidRPr="00E9279E" w:rsidRDefault="00B61344" w:rsidP="00B61344">
            <w:r w:rsidRPr="00E9279E">
              <w:t>IHC</w:t>
            </w:r>
          </w:p>
        </w:tc>
        <w:tc>
          <w:tcPr>
            <w:tcW w:w="3836" w:type="pct"/>
            <w:gridSpan w:val="2"/>
            <w:tcBorders>
              <w:top w:val="single" w:sz="8" w:space="0" w:color="002C47"/>
              <w:left w:val="single" w:sz="8" w:space="0" w:color="002C47"/>
              <w:bottom w:val="single" w:sz="8" w:space="0" w:color="002C47"/>
              <w:right w:val="single" w:sz="8" w:space="0" w:color="002C47"/>
            </w:tcBorders>
          </w:tcPr>
          <w:p w14:paraId="4EFE2301" w14:textId="34A19BB2" w:rsidR="00B61344" w:rsidRPr="00E9279E" w:rsidRDefault="00B61344" w:rsidP="00B61344">
            <w:r w:rsidRPr="00E9279E">
              <w:t>Immunohistochemistry</w:t>
            </w:r>
          </w:p>
        </w:tc>
      </w:tr>
      <w:tr w:rsidR="00B61344" w:rsidRPr="00E9279E" w14:paraId="2A9C4771"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075788DE" w14:textId="36DED581" w:rsidR="00B61344" w:rsidRPr="00E9279E" w:rsidRDefault="00B61344" w:rsidP="00B61344">
            <w:r w:rsidRPr="00E9279E">
              <w:t>ITT</w:t>
            </w:r>
          </w:p>
        </w:tc>
        <w:tc>
          <w:tcPr>
            <w:tcW w:w="3836" w:type="pct"/>
            <w:gridSpan w:val="2"/>
            <w:tcBorders>
              <w:top w:val="single" w:sz="8" w:space="0" w:color="002C47"/>
              <w:left w:val="single" w:sz="8" w:space="0" w:color="002C47"/>
              <w:bottom w:val="single" w:sz="8" w:space="0" w:color="002C47"/>
              <w:right w:val="single" w:sz="8" w:space="0" w:color="002C47"/>
            </w:tcBorders>
          </w:tcPr>
          <w:p w14:paraId="442A6CCA" w14:textId="1DB1878A" w:rsidR="00B61344" w:rsidRPr="00E9279E" w:rsidRDefault="00B61344" w:rsidP="00B61344">
            <w:bookmarkStart w:id="10" w:name="_Hlk113826834"/>
            <w:r w:rsidRPr="00E9279E">
              <w:t>Intent(ion)-to-treat</w:t>
            </w:r>
            <w:bookmarkEnd w:id="10"/>
          </w:p>
        </w:tc>
      </w:tr>
      <w:tr w:rsidR="00E22C33" w:rsidRPr="00E9279E" w14:paraId="40D4BB14"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3DAE3752" w14:textId="0BAFE725" w:rsidR="00E22C33" w:rsidRPr="00E9279E" w:rsidRDefault="00E22C33" w:rsidP="00B61344">
            <w:r w:rsidRPr="00E9279E">
              <w:t>Ki-67</w:t>
            </w:r>
          </w:p>
        </w:tc>
        <w:tc>
          <w:tcPr>
            <w:tcW w:w="3836" w:type="pct"/>
            <w:gridSpan w:val="2"/>
            <w:tcBorders>
              <w:top w:val="single" w:sz="8" w:space="0" w:color="002C47"/>
              <w:left w:val="single" w:sz="8" w:space="0" w:color="002C47"/>
              <w:bottom w:val="single" w:sz="8" w:space="0" w:color="002C47"/>
              <w:right w:val="single" w:sz="8" w:space="0" w:color="002C47"/>
            </w:tcBorders>
          </w:tcPr>
          <w:p w14:paraId="5F8D0A65" w14:textId="589273C6" w:rsidR="00E22C33" w:rsidRPr="00E9279E" w:rsidRDefault="00E22C33" w:rsidP="00B61344">
            <w:r w:rsidRPr="00E9279E">
              <w:t>Antigen K</w:t>
            </w:r>
            <w:r w:rsidR="00E32FD0" w:rsidRPr="00E9279E">
              <w:t>i</w:t>
            </w:r>
            <w:r w:rsidRPr="00E9279E">
              <w:t>-67</w:t>
            </w:r>
          </w:p>
        </w:tc>
      </w:tr>
      <w:tr w:rsidR="00B61344" w:rsidRPr="00E9279E" w14:paraId="6E3FEC74"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73634579" w14:textId="3EA96C29" w:rsidR="00B61344" w:rsidRPr="00E9279E" w:rsidRDefault="00B61344" w:rsidP="00B61344">
            <w:r w:rsidRPr="00E9279E">
              <w:t>LHRH</w:t>
            </w:r>
          </w:p>
        </w:tc>
        <w:tc>
          <w:tcPr>
            <w:tcW w:w="3836" w:type="pct"/>
            <w:gridSpan w:val="2"/>
            <w:tcBorders>
              <w:top w:val="single" w:sz="8" w:space="0" w:color="002C47"/>
              <w:left w:val="single" w:sz="8" w:space="0" w:color="002C47"/>
              <w:bottom w:val="single" w:sz="8" w:space="0" w:color="002C47"/>
              <w:right w:val="single" w:sz="8" w:space="0" w:color="002C47"/>
            </w:tcBorders>
          </w:tcPr>
          <w:p w14:paraId="426D1809" w14:textId="04A72F20" w:rsidR="00B61344" w:rsidRPr="00E9279E" w:rsidRDefault="00B61344" w:rsidP="00B61344">
            <w:r w:rsidRPr="00E9279E">
              <w:t>Luteinising hormone-releasing hormone</w:t>
            </w:r>
          </w:p>
        </w:tc>
      </w:tr>
      <w:tr w:rsidR="00DC4D4B" w:rsidRPr="00E9279E" w14:paraId="4F8A5C8D"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2F90D2E0" w14:textId="38463B02" w:rsidR="00DC4D4B" w:rsidRPr="00E9279E" w:rsidRDefault="00DC4D4B" w:rsidP="00B61344">
            <w:r w:rsidRPr="00E9279E">
              <w:t>M2</w:t>
            </w:r>
          </w:p>
        </w:tc>
        <w:tc>
          <w:tcPr>
            <w:tcW w:w="3836" w:type="pct"/>
            <w:gridSpan w:val="2"/>
            <w:tcBorders>
              <w:top w:val="single" w:sz="8" w:space="0" w:color="002C47"/>
              <w:left w:val="single" w:sz="8" w:space="0" w:color="002C47"/>
              <w:bottom w:val="single" w:sz="8" w:space="0" w:color="002C47"/>
              <w:right w:val="single" w:sz="8" w:space="0" w:color="002C47"/>
            </w:tcBorders>
          </w:tcPr>
          <w:p w14:paraId="61F6AE52" w14:textId="147A3551" w:rsidR="00DC4D4B" w:rsidRPr="00E9279E" w:rsidRDefault="00DC4D4B" w:rsidP="00B61344">
            <w:r w:rsidRPr="00E9279E">
              <w:t>Metabolite M2</w:t>
            </w:r>
          </w:p>
        </w:tc>
      </w:tr>
      <w:tr w:rsidR="00DC4D4B" w:rsidRPr="00E9279E" w14:paraId="6939EAED"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430AAEBC" w14:textId="6A4CD5A6" w:rsidR="00DC4D4B" w:rsidRPr="00E9279E" w:rsidRDefault="00DC4D4B" w:rsidP="00B61344">
            <w:r w:rsidRPr="00E9279E">
              <w:t>M20</w:t>
            </w:r>
          </w:p>
        </w:tc>
        <w:tc>
          <w:tcPr>
            <w:tcW w:w="3836" w:type="pct"/>
            <w:gridSpan w:val="2"/>
            <w:tcBorders>
              <w:top w:val="single" w:sz="8" w:space="0" w:color="002C47"/>
              <w:left w:val="single" w:sz="8" w:space="0" w:color="002C47"/>
              <w:bottom w:val="single" w:sz="8" w:space="0" w:color="002C47"/>
              <w:right w:val="single" w:sz="8" w:space="0" w:color="002C47"/>
            </w:tcBorders>
          </w:tcPr>
          <w:p w14:paraId="0BDE4641" w14:textId="504061D9" w:rsidR="00DC4D4B" w:rsidRPr="00E9279E" w:rsidRDefault="00DC4D4B" w:rsidP="00B61344">
            <w:r w:rsidRPr="00E9279E">
              <w:t>Metabolite M20</w:t>
            </w:r>
          </w:p>
        </w:tc>
      </w:tr>
      <w:tr w:rsidR="00B61344" w:rsidRPr="00E9279E" w14:paraId="6FD64351"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5F69E23E" w14:textId="1CC78404" w:rsidR="00B61344" w:rsidRPr="00E9279E" w:rsidRDefault="00B61344" w:rsidP="00B61344">
            <w:r w:rsidRPr="00E9279E">
              <w:t>OS</w:t>
            </w:r>
          </w:p>
        </w:tc>
        <w:tc>
          <w:tcPr>
            <w:tcW w:w="3836" w:type="pct"/>
            <w:gridSpan w:val="2"/>
            <w:tcBorders>
              <w:top w:val="single" w:sz="8" w:space="0" w:color="002C47"/>
              <w:left w:val="single" w:sz="8" w:space="0" w:color="002C47"/>
              <w:bottom w:val="single" w:sz="8" w:space="0" w:color="002C47"/>
              <w:right w:val="single" w:sz="8" w:space="0" w:color="002C47"/>
            </w:tcBorders>
          </w:tcPr>
          <w:p w14:paraId="7C1940C2" w14:textId="2D20596F" w:rsidR="00B61344" w:rsidRPr="00E9279E" w:rsidRDefault="00B61344" w:rsidP="00B61344">
            <w:bookmarkStart w:id="11" w:name="_Hlk113827274"/>
            <w:r w:rsidRPr="00E9279E">
              <w:t>Overall survival</w:t>
            </w:r>
            <w:bookmarkEnd w:id="11"/>
          </w:p>
        </w:tc>
      </w:tr>
      <w:tr w:rsidR="00B61344" w:rsidRPr="00E9279E" w14:paraId="70515B8C"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426CB349" w14:textId="4D13B1D8" w:rsidR="00B61344" w:rsidRPr="00E9279E" w:rsidRDefault="00B61344" w:rsidP="00B61344">
            <w:proofErr w:type="spellStart"/>
            <w:r w:rsidRPr="00E9279E">
              <w:t>pALN</w:t>
            </w:r>
            <w:proofErr w:type="spellEnd"/>
          </w:p>
        </w:tc>
        <w:tc>
          <w:tcPr>
            <w:tcW w:w="3836" w:type="pct"/>
            <w:gridSpan w:val="2"/>
            <w:tcBorders>
              <w:top w:val="single" w:sz="8" w:space="0" w:color="002C47"/>
              <w:left w:val="single" w:sz="8" w:space="0" w:color="002C47"/>
              <w:bottom w:val="single" w:sz="8" w:space="0" w:color="002C47"/>
              <w:right w:val="single" w:sz="8" w:space="0" w:color="002C47"/>
            </w:tcBorders>
          </w:tcPr>
          <w:p w14:paraId="5F26D8A0" w14:textId="079A7FFE" w:rsidR="00B61344" w:rsidRPr="00E9279E" w:rsidRDefault="00B61344" w:rsidP="00B61344">
            <w:bookmarkStart w:id="12" w:name="_Hlk114680648"/>
            <w:r w:rsidRPr="00E9279E">
              <w:t>Positive axillary lymph node(s)</w:t>
            </w:r>
            <w:bookmarkEnd w:id="12"/>
          </w:p>
        </w:tc>
      </w:tr>
      <w:tr w:rsidR="00B61344" w:rsidRPr="00E9279E" w14:paraId="45B67EDB"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2D401383" w14:textId="4D2CE28D" w:rsidR="00B61344" w:rsidRPr="00E9279E" w:rsidRDefault="00B61344" w:rsidP="00B61344">
            <w:r w:rsidRPr="00E9279E">
              <w:t>PD</w:t>
            </w:r>
          </w:p>
        </w:tc>
        <w:tc>
          <w:tcPr>
            <w:tcW w:w="3836" w:type="pct"/>
            <w:gridSpan w:val="2"/>
            <w:tcBorders>
              <w:top w:val="single" w:sz="8" w:space="0" w:color="002C47"/>
              <w:left w:val="single" w:sz="8" w:space="0" w:color="002C47"/>
              <w:bottom w:val="single" w:sz="8" w:space="0" w:color="002C47"/>
              <w:right w:val="single" w:sz="8" w:space="0" w:color="002C47"/>
            </w:tcBorders>
          </w:tcPr>
          <w:p w14:paraId="0E394270" w14:textId="4DFC2CAA" w:rsidR="00B61344" w:rsidRPr="00E9279E" w:rsidRDefault="00B61344" w:rsidP="00B61344">
            <w:r w:rsidRPr="00E9279E">
              <w:t>Pharmacodynamic(s)</w:t>
            </w:r>
          </w:p>
        </w:tc>
      </w:tr>
      <w:tr w:rsidR="00B61344" w:rsidRPr="00E9279E" w14:paraId="32792FEF"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2EF08309" w14:textId="5E4A4FBF" w:rsidR="00B61344" w:rsidRPr="00E9279E" w:rsidRDefault="00B61344" w:rsidP="00B61344">
            <w:r w:rsidRPr="00E9279E">
              <w:t>PI</w:t>
            </w:r>
          </w:p>
        </w:tc>
        <w:tc>
          <w:tcPr>
            <w:tcW w:w="3836" w:type="pct"/>
            <w:gridSpan w:val="2"/>
            <w:tcBorders>
              <w:top w:val="single" w:sz="8" w:space="0" w:color="002C47"/>
              <w:left w:val="single" w:sz="8" w:space="0" w:color="002C47"/>
              <w:bottom w:val="single" w:sz="8" w:space="0" w:color="002C47"/>
              <w:right w:val="single" w:sz="8" w:space="0" w:color="002C47"/>
            </w:tcBorders>
          </w:tcPr>
          <w:p w14:paraId="5BDFC443" w14:textId="63E231FE" w:rsidR="00B61344" w:rsidRPr="00E9279E" w:rsidRDefault="00B61344" w:rsidP="00B61344">
            <w:r w:rsidRPr="00E9279E">
              <w:t>Product Information</w:t>
            </w:r>
          </w:p>
        </w:tc>
      </w:tr>
      <w:tr w:rsidR="00B61344" w:rsidRPr="00E9279E" w14:paraId="51002A8A"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25AACCB7" w14:textId="77A4D4C8" w:rsidR="00B61344" w:rsidRPr="00E9279E" w:rsidRDefault="00B61344" w:rsidP="00B61344">
            <w:r w:rsidRPr="00E9279E">
              <w:t>PK</w:t>
            </w:r>
          </w:p>
        </w:tc>
        <w:tc>
          <w:tcPr>
            <w:tcW w:w="3836" w:type="pct"/>
            <w:gridSpan w:val="2"/>
            <w:tcBorders>
              <w:top w:val="single" w:sz="8" w:space="0" w:color="002C47"/>
              <w:left w:val="single" w:sz="8" w:space="0" w:color="002C47"/>
              <w:bottom w:val="single" w:sz="8" w:space="0" w:color="002C47"/>
              <w:right w:val="single" w:sz="8" w:space="0" w:color="002C47"/>
            </w:tcBorders>
          </w:tcPr>
          <w:p w14:paraId="247C561C" w14:textId="0983F1FF" w:rsidR="00B61344" w:rsidRPr="00E9279E" w:rsidRDefault="00B61344" w:rsidP="00B61344">
            <w:r w:rsidRPr="00E9279E">
              <w:t>Pharmacokinetic(s)</w:t>
            </w:r>
          </w:p>
        </w:tc>
      </w:tr>
      <w:tr w:rsidR="00B61344" w:rsidRPr="00E9279E" w14:paraId="61C40DB4"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5DC6087A" w14:textId="25E7887F" w:rsidR="00B61344" w:rsidRPr="00E9279E" w:rsidRDefault="00B61344" w:rsidP="00B61344">
            <w:proofErr w:type="spellStart"/>
            <w:r w:rsidRPr="00E9279E">
              <w:t>PopPK</w:t>
            </w:r>
            <w:proofErr w:type="spellEnd"/>
          </w:p>
        </w:tc>
        <w:tc>
          <w:tcPr>
            <w:tcW w:w="3836" w:type="pct"/>
            <w:gridSpan w:val="2"/>
            <w:tcBorders>
              <w:top w:val="single" w:sz="8" w:space="0" w:color="002C47"/>
              <w:left w:val="single" w:sz="8" w:space="0" w:color="002C47"/>
              <w:bottom w:val="single" w:sz="8" w:space="0" w:color="002C47"/>
              <w:right w:val="single" w:sz="8" w:space="0" w:color="002C47"/>
            </w:tcBorders>
          </w:tcPr>
          <w:p w14:paraId="11401075" w14:textId="3E6C4734" w:rsidR="00B61344" w:rsidRPr="00E9279E" w:rsidRDefault="00B61344" w:rsidP="00B61344">
            <w:r w:rsidRPr="00E9279E">
              <w:t>Population pharmacokinetic(s)</w:t>
            </w:r>
          </w:p>
        </w:tc>
      </w:tr>
      <w:tr w:rsidR="00B61344" w:rsidRPr="00E9279E" w14:paraId="4A0079C7"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2D72C99F" w14:textId="5AF47247" w:rsidR="00B61344" w:rsidRPr="00E9279E" w:rsidRDefault="00B61344" w:rsidP="00B61344">
            <w:proofErr w:type="spellStart"/>
            <w:r w:rsidRPr="00E9279E">
              <w:t>QTcF</w:t>
            </w:r>
            <w:proofErr w:type="spellEnd"/>
          </w:p>
        </w:tc>
        <w:tc>
          <w:tcPr>
            <w:tcW w:w="3836" w:type="pct"/>
            <w:gridSpan w:val="2"/>
            <w:tcBorders>
              <w:top w:val="single" w:sz="8" w:space="0" w:color="002C47"/>
              <w:left w:val="single" w:sz="8" w:space="0" w:color="002C47"/>
              <w:bottom w:val="single" w:sz="8" w:space="0" w:color="002C47"/>
              <w:right w:val="single" w:sz="8" w:space="0" w:color="002C47"/>
            </w:tcBorders>
          </w:tcPr>
          <w:p w14:paraId="27AD9A2D" w14:textId="6ED0E635" w:rsidR="00B61344" w:rsidRPr="00E9279E" w:rsidRDefault="00B61344" w:rsidP="00B61344">
            <w:r w:rsidRPr="00E9279E">
              <w:t>QT interval corrected for heart rate according to Fridericia’s formula</w:t>
            </w:r>
          </w:p>
        </w:tc>
      </w:tr>
      <w:tr w:rsidR="00B61344" w:rsidRPr="00E9279E" w14:paraId="283A4522"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727BE6EE" w14:textId="5F1C65FB" w:rsidR="00B61344" w:rsidRPr="00E9279E" w:rsidRDefault="00B61344" w:rsidP="00B61344">
            <w:r w:rsidRPr="00E9279E">
              <w:t>SAE</w:t>
            </w:r>
          </w:p>
        </w:tc>
        <w:tc>
          <w:tcPr>
            <w:tcW w:w="3836" w:type="pct"/>
            <w:gridSpan w:val="2"/>
            <w:tcBorders>
              <w:top w:val="single" w:sz="8" w:space="0" w:color="002C47"/>
              <w:left w:val="single" w:sz="8" w:space="0" w:color="002C47"/>
              <w:bottom w:val="single" w:sz="8" w:space="0" w:color="002C47"/>
              <w:right w:val="single" w:sz="8" w:space="0" w:color="002C47"/>
            </w:tcBorders>
          </w:tcPr>
          <w:p w14:paraId="1657252F" w14:textId="5F812938" w:rsidR="00B61344" w:rsidRPr="00E9279E" w:rsidRDefault="00B61344" w:rsidP="00B61344">
            <w:r w:rsidRPr="00E9279E">
              <w:t>Serious adverse event</w:t>
            </w:r>
          </w:p>
        </w:tc>
      </w:tr>
      <w:tr w:rsidR="00B61344" w:rsidRPr="00E9279E" w14:paraId="2920F063"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1B5F2D2D" w14:textId="79173DC7" w:rsidR="00B61344" w:rsidRPr="00E9279E" w:rsidRDefault="00B61344" w:rsidP="00B61344">
            <w:r w:rsidRPr="00E9279E">
              <w:t>STEEP</w:t>
            </w:r>
          </w:p>
        </w:tc>
        <w:tc>
          <w:tcPr>
            <w:tcW w:w="3836" w:type="pct"/>
            <w:gridSpan w:val="2"/>
            <w:tcBorders>
              <w:top w:val="single" w:sz="8" w:space="0" w:color="002C47"/>
              <w:left w:val="single" w:sz="8" w:space="0" w:color="002C47"/>
              <w:bottom w:val="single" w:sz="8" w:space="0" w:color="002C47"/>
              <w:right w:val="single" w:sz="8" w:space="0" w:color="002C47"/>
            </w:tcBorders>
          </w:tcPr>
          <w:p w14:paraId="2D54CBF3" w14:textId="0BAA05D7" w:rsidR="00B61344" w:rsidRPr="00E9279E" w:rsidRDefault="00B61344" w:rsidP="00B61344">
            <w:r w:rsidRPr="00E9279E">
              <w:t>Standardised definitions for efficacy endpoints</w:t>
            </w:r>
          </w:p>
        </w:tc>
      </w:tr>
      <w:tr w:rsidR="00B61344" w:rsidRPr="00E9279E" w14:paraId="7FEDA975"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2602F30F" w14:textId="14AEB70A" w:rsidR="00B61344" w:rsidRPr="00E9279E" w:rsidRDefault="00B61344" w:rsidP="00B61344">
            <w:r w:rsidRPr="00E9279E">
              <w:t>TEAE</w:t>
            </w:r>
          </w:p>
        </w:tc>
        <w:tc>
          <w:tcPr>
            <w:tcW w:w="3836" w:type="pct"/>
            <w:gridSpan w:val="2"/>
            <w:tcBorders>
              <w:top w:val="single" w:sz="8" w:space="0" w:color="002C47"/>
              <w:left w:val="single" w:sz="8" w:space="0" w:color="002C47"/>
              <w:bottom w:val="single" w:sz="8" w:space="0" w:color="002C47"/>
              <w:right w:val="single" w:sz="8" w:space="0" w:color="002C47"/>
            </w:tcBorders>
          </w:tcPr>
          <w:p w14:paraId="5A335FC3" w14:textId="0DB0BB60" w:rsidR="00B61344" w:rsidRPr="00E9279E" w:rsidRDefault="00B61344" w:rsidP="00B61344">
            <w:r w:rsidRPr="00E9279E">
              <w:t>Treatment-emergent adverse event</w:t>
            </w:r>
          </w:p>
        </w:tc>
      </w:tr>
      <w:tr w:rsidR="00B61344" w:rsidRPr="00E9279E" w14:paraId="5E2DA098"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6092AE89" w14:textId="501102F4" w:rsidR="00B61344" w:rsidRPr="00E9279E" w:rsidRDefault="00B61344" w:rsidP="00B61344">
            <w:r w:rsidRPr="00E9279E">
              <w:t>TGA</w:t>
            </w:r>
          </w:p>
        </w:tc>
        <w:tc>
          <w:tcPr>
            <w:tcW w:w="3836" w:type="pct"/>
            <w:gridSpan w:val="2"/>
            <w:tcBorders>
              <w:top w:val="single" w:sz="8" w:space="0" w:color="002C47"/>
              <w:left w:val="single" w:sz="8" w:space="0" w:color="002C47"/>
              <w:bottom w:val="single" w:sz="8" w:space="0" w:color="002C47"/>
              <w:right w:val="single" w:sz="8" w:space="0" w:color="002C47"/>
            </w:tcBorders>
          </w:tcPr>
          <w:p w14:paraId="763EB188" w14:textId="37AB2382" w:rsidR="00B61344" w:rsidRPr="00E9279E" w:rsidRDefault="00B61344" w:rsidP="00B61344">
            <w:r w:rsidRPr="00E9279E">
              <w:t>Therapeutic Goods Administration</w:t>
            </w:r>
          </w:p>
        </w:tc>
      </w:tr>
      <w:tr w:rsidR="00B61344" w:rsidRPr="00E9279E" w14:paraId="221E5396"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01364BED" w14:textId="3B7DF60A" w:rsidR="00B61344" w:rsidRPr="00E9279E" w:rsidRDefault="00B61344" w:rsidP="00B61344">
            <w:r w:rsidRPr="00E9279E">
              <w:t>TNM</w:t>
            </w:r>
          </w:p>
        </w:tc>
        <w:tc>
          <w:tcPr>
            <w:tcW w:w="3836" w:type="pct"/>
            <w:gridSpan w:val="2"/>
            <w:tcBorders>
              <w:top w:val="single" w:sz="8" w:space="0" w:color="002C47"/>
              <w:left w:val="single" w:sz="8" w:space="0" w:color="002C47"/>
              <w:bottom w:val="single" w:sz="8" w:space="0" w:color="002C47"/>
              <w:right w:val="single" w:sz="8" w:space="0" w:color="002C47"/>
            </w:tcBorders>
          </w:tcPr>
          <w:p w14:paraId="1B0B7899" w14:textId="6A549FDE" w:rsidR="00B61344" w:rsidRPr="00E9279E" w:rsidRDefault="00B61344" w:rsidP="00B61344">
            <w:r w:rsidRPr="00E9279E">
              <w:t>Tumour, Node, Metastasis</w:t>
            </w:r>
          </w:p>
        </w:tc>
      </w:tr>
      <w:tr w:rsidR="00B61344" w:rsidRPr="00E9279E" w14:paraId="3B66EA40"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5502B00F" w14:textId="4B85F75E" w:rsidR="00B61344" w:rsidRPr="00E9279E" w:rsidRDefault="00B61344" w:rsidP="00B61344">
            <w:r w:rsidRPr="00E9279E">
              <w:t>ULN</w:t>
            </w:r>
          </w:p>
        </w:tc>
        <w:tc>
          <w:tcPr>
            <w:tcW w:w="3836" w:type="pct"/>
            <w:gridSpan w:val="2"/>
            <w:tcBorders>
              <w:top w:val="single" w:sz="8" w:space="0" w:color="002C47"/>
              <w:left w:val="single" w:sz="8" w:space="0" w:color="002C47"/>
              <w:bottom w:val="single" w:sz="8" w:space="0" w:color="002C47"/>
              <w:right w:val="single" w:sz="8" w:space="0" w:color="002C47"/>
            </w:tcBorders>
          </w:tcPr>
          <w:p w14:paraId="63291DBE" w14:textId="6D6FA451" w:rsidR="00B61344" w:rsidRPr="00E9279E" w:rsidRDefault="00B61344" w:rsidP="00B61344">
            <w:bookmarkStart w:id="13" w:name="_Hlk114681986"/>
            <w:r w:rsidRPr="00E9279E">
              <w:t>Upper limit of normal</w:t>
            </w:r>
            <w:bookmarkEnd w:id="13"/>
          </w:p>
        </w:tc>
      </w:tr>
      <w:tr w:rsidR="002B7A02" w:rsidRPr="00E9279E" w14:paraId="170FB315" w14:textId="77777777" w:rsidTr="00BD08E7">
        <w:trPr>
          <w:cantSplit/>
        </w:trPr>
        <w:tc>
          <w:tcPr>
            <w:tcW w:w="1164" w:type="pct"/>
            <w:tcBorders>
              <w:top w:val="single" w:sz="8" w:space="0" w:color="002C47"/>
              <w:left w:val="single" w:sz="8" w:space="0" w:color="002C47"/>
              <w:bottom w:val="single" w:sz="8" w:space="0" w:color="002C47"/>
              <w:right w:val="single" w:sz="8" w:space="0" w:color="002C47"/>
            </w:tcBorders>
          </w:tcPr>
          <w:p w14:paraId="149021CD" w14:textId="442BBD46" w:rsidR="002B7A02" w:rsidRPr="00E9279E" w:rsidRDefault="002B7A02" w:rsidP="00B61344">
            <w:r w:rsidRPr="00E9279E">
              <w:t>US(A)</w:t>
            </w:r>
          </w:p>
        </w:tc>
        <w:tc>
          <w:tcPr>
            <w:tcW w:w="3836" w:type="pct"/>
            <w:gridSpan w:val="2"/>
            <w:tcBorders>
              <w:top w:val="single" w:sz="8" w:space="0" w:color="002C47"/>
              <w:left w:val="single" w:sz="8" w:space="0" w:color="002C47"/>
              <w:bottom w:val="single" w:sz="8" w:space="0" w:color="002C47"/>
              <w:right w:val="single" w:sz="8" w:space="0" w:color="002C47"/>
            </w:tcBorders>
          </w:tcPr>
          <w:p w14:paraId="786D602E" w14:textId="5C8E8120" w:rsidR="002B7A02" w:rsidRPr="00E9279E" w:rsidRDefault="002B7A02" w:rsidP="00B61344">
            <w:r w:rsidRPr="00E9279E">
              <w:t>United States (of America)</w:t>
            </w:r>
          </w:p>
        </w:tc>
      </w:tr>
    </w:tbl>
    <w:p w14:paraId="2B83F2A0" w14:textId="77777777" w:rsidR="00FD119B" w:rsidRPr="00E9279E" w:rsidRDefault="00FD119B" w:rsidP="00FD119B">
      <w:pPr>
        <w:spacing w:before="0" w:after="200" w:line="0" w:lineRule="auto"/>
        <w:rPr>
          <w:b/>
          <w:i/>
          <w:sz w:val="24"/>
          <w:szCs w:val="24"/>
        </w:rPr>
      </w:pPr>
      <w:r w:rsidRPr="00E9279E">
        <w:rPr>
          <w:b/>
          <w:i/>
          <w:sz w:val="24"/>
          <w:szCs w:val="24"/>
        </w:rPr>
        <w:br w:type="page"/>
      </w:r>
    </w:p>
    <w:p w14:paraId="3DC3892A" w14:textId="77777777" w:rsidR="008E7846" w:rsidRPr="00E9279E" w:rsidRDefault="009F2673" w:rsidP="008E7846">
      <w:pPr>
        <w:pStyle w:val="Heading2"/>
      </w:pPr>
      <w:bookmarkStart w:id="14" w:name="_Toc118379549"/>
      <w:r w:rsidRPr="00E9279E">
        <w:lastRenderedPageBreak/>
        <w:t>Pr</w:t>
      </w:r>
      <w:r w:rsidR="008E7846" w:rsidRPr="00E9279E">
        <w:t>oduct submission</w:t>
      </w:r>
      <w:bookmarkEnd w:id="1"/>
      <w:bookmarkEnd w:id="3"/>
      <w:bookmarkEnd w:id="14"/>
    </w:p>
    <w:p w14:paraId="59BE77CC" w14:textId="77777777" w:rsidR="008E7846" w:rsidRPr="00E9279E" w:rsidRDefault="008E7846" w:rsidP="009E5A87">
      <w:pPr>
        <w:pStyle w:val="Heading3"/>
        <w:rPr>
          <w:lang w:eastAsia="en-AU"/>
        </w:rPr>
      </w:pPr>
      <w:bookmarkStart w:id="15" w:name="_Toc247691502"/>
      <w:bookmarkStart w:id="16" w:name="_Toc314842483"/>
      <w:bookmarkStart w:id="17" w:name="_Toc118379550"/>
      <w:r w:rsidRPr="00E9279E">
        <w:rPr>
          <w:lang w:eastAsia="en-AU"/>
        </w:rPr>
        <w:t>Submission details</w:t>
      </w:r>
      <w:bookmarkEnd w:id="15"/>
      <w:bookmarkEnd w:id="16"/>
      <w:bookmarkEnd w:id="17"/>
    </w:p>
    <w:tbl>
      <w:tblPr>
        <w:tblW w:w="5000" w:type="pct"/>
        <w:tblLook w:val="01E0" w:firstRow="1" w:lastRow="1" w:firstColumn="1" w:lastColumn="1" w:noHBand="0" w:noVBand="0"/>
      </w:tblPr>
      <w:tblGrid>
        <w:gridCol w:w="2682"/>
        <w:gridCol w:w="5822"/>
      </w:tblGrid>
      <w:tr w:rsidR="009F2673" w:rsidRPr="00E9279E" w14:paraId="58A3ACCA" w14:textId="77777777" w:rsidTr="00080ACE">
        <w:tc>
          <w:tcPr>
            <w:tcW w:w="1577" w:type="pct"/>
          </w:tcPr>
          <w:p w14:paraId="7B06ADC3" w14:textId="77777777" w:rsidR="009F2673" w:rsidRPr="00E9279E" w:rsidRDefault="009F2673" w:rsidP="009E5A87">
            <w:pPr>
              <w:rPr>
                <w:i/>
              </w:rPr>
            </w:pPr>
            <w:r w:rsidRPr="00E9279E">
              <w:rPr>
                <w:i/>
              </w:rPr>
              <w:t>Type of submission:</w:t>
            </w:r>
          </w:p>
        </w:tc>
        <w:tc>
          <w:tcPr>
            <w:tcW w:w="3423" w:type="pct"/>
          </w:tcPr>
          <w:p w14:paraId="4A451E2E" w14:textId="6D8D2336" w:rsidR="009F2673" w:rsidRPr="00E9279E" w:rsidRDefault="00F1337D" w:rsidP="009E5A87">
            <w:r w:rsidRPr="00E9279E">
              <w:t xml:space="preserve">Extension </w:t>
            </w:r>
            <w:r w:rsidR="00A776FD" w:rsidRPr="00E9279E">
              <w:t>of indications</w:t>
            </w:r>
          </w:p>
        </w:tc>
      </w:tr>
      <w:tr w:rsidR="009F2673" w:rsidRPr="00E9279E" w14:paraId="10EF10A9" w14:textId="77777777" w:rsidTr="00080ACE">
        <w:tc>
          <w:tcPr>
            <w:tcW w:w="1577" w:type="pct"/>
          </w:tcPr>
          <w:p w14:paraId="1A28B8AC" w14:textId="51D3FD45" w:rsidR="009F2673" w:rsidRPr="00E9279E" w:rsidRDefault="009F2673" w:rsidP="009E5A87">
            <w:pPr>
              <w:rPr>
                <w:i/>
              </w:rPr>
            </w:pPr>
            <w:r w:rsidRPr="00E9279E">
              <w:rPr>
                <w:i/>
              </w:rPr>
              <w:t>Product name:</w:t>
            </w:r>
          </w:p>
        </w:tc>
        <w:tc>
          <w:tcPr>
            <w:tcW w:w="3423" w:type="pct"/>
          </w:tcPr>
          <w:p w14:paraId="2741588E" w14:textId="71D110B7" w:rsidR="009F2673" w:rsidRPr="00E9279E" w:rsidRDefault="00CB3109" w:rsidP="009E5A87">
            <w:proofErr w:type="spellStart"/>
            <w:r w:rsidRPr="00E9279E">
              <w:t>Verzenio</w:t>
            </w:r>
            <w:proofErr w:type="spellEnd"/>
          </w:p>
        </w:tc>
      </w:tr>
      <w:tr w:rsidR="009F2673" w:rsidRPr="00E9279E" w14:paraId="05AC3B02" w14:textId="77777777" w:rsidTr="00080ACE">
        <w:tc>
          <w:tcPr>
            <w:tcW w:w="1577" w:type="pct"/>
          </w:tcPr>
          <w:p w14:paraId="3E5EEB67" w14:textId="6394E88E" w:rsidR="009F2673" w:rsidRPr="00E9279E" w:rsidRDefault="009F2673" w:rsidP="009E5A87">
            <w:pPr>
              <w:rPr>
                <w:i/>
              </w:rPr>
            </w:pPr>
            <w:r w:rsidRPr="00E9279E">
              <w:rPr>
                <w:i/>
              </w:rPr>
              <w:t>Active ingredient:</w:t>
            </w:r>
          </w:p>
        </w:tc>
        <w:tc>
          <w:tcPr>
            <w:tcW w:w="3423" w:type="pct"/>
          </w:tcPr>
          <w:p w14:paraId="5A79973F" w14:textId="6F403019" w:rsidR="009F2673" w:rsidRPr="00E9279E" w:rsidRDefault="00CB3109" w:rsidP="009E5A87">
            <w:proofErr w:type="spellStart"/>
            <w:r w:rsidRPr="00E9279E">
              <w:t>Abemaciclib</w:t>
            </w:r>
            <w:proofErr w:type="spellEnd"/>
          </w:p>
        </w:tc>
      </w:tr>
      <w:tr w:rsidR="009F2673" w:rsidRPr="00E9279E" w14:paraId="68FA41D1" w14:textId="77777777" w:rsidTr="00080ACE">
        <w:tc>
          <w:tcPr>
            <w:tcW w:w="1577" w:type="pct"/>
          </w:tcPr>
          <w:p w14:paraId="3B607D84" w14:textId="77777777" w:rsidR="009F2673" w:rsidRPr="00E9279E" w:rsidRDefault="009F2673" w:rsidP="009E5A87">
            <w:pPr>
              <w:rPr>
                <w:i/>
              </w:rPr>
            </w:pPr>
            <w:r w:rsidRPr="00E9279E">
              <w:rPr>
                <w:i/>
              </w:rPr>
              <w:t>Decision:</w:t>
            </w:r>
          </w:p>
        </w:tc>
        <w:tc>
          <w:tcPr>
            <w:tcW w:w="3423" w:type="pct"/>
          </w:tcPr>
          <w:p w14:paraId="7FBBF6DC" w14:textId="1EC56B5C" w:rsidR="009F2673" w:rsidRPr="00E9279E" w:rsidRDefault="009F2673" w:rsidP="009E5A87">
            <w:r w:rsidRPr="00E9279E">
              <w:t>Approved</w:t>
            </w:r>
          </w:p>
        </w:tc>
      </w:tr>
      <w:tr w:rsidR="009F2673" w:rsidRPr="00E9279E" w14:paraId="74F10346" w14:textId="77777777" w:rsidTr="00080ACE">
        <w:tc>
          <w:tcPr>
            <w:tcW w:w="1577" w:type="pct"/>
          </w:tcPr>
          <w:p w14:paraId="63BBDE58" w14:textId="77777777" w:rsidR="009F2673" w:rsidRPr="00E9279E" w:rsidRDefault="009F2673" w:rsidP="009E5A87">
            <w:pPr>
              <w:rPr>
                <w:i/>
              </w:rPr>
            </w:pPr>
            <w:r w:rsidRPr="00E9279E">
              <w:rPr>
                <w:i/>
              </w:rPr>
              <w:t>Date of decision:</w:t>
            </w:r>
          </w:p>
        </w:tc>
        <w:tc>
          <w:tcPr>
            <w:tcW w:w="3423" w:type="pct"/>
          </w:tcPr>
          <w:p w14:paraId="394DB3A1" w14:textId="23E5E0B2" w:rsidR="009F2673" w:rsidRPr="00E9279E" w:rsidRDefault="00A776FD" w:rsidP="009E5A87">
            <w:r w:rsidRPr="00E9279E">
              <w:t>25 May 2022</w:t>
            </w:r>
          </w:p>
        </w:tc>
      </w:tr>
      <w:tr w:rsidR="009F2673" w:rsidRPr="00E9279E" w14:paraId="45E80783" w14:textId="77777777" w:rsidTr="00080ACE">
        <w:tc>
          <w:tcPr>
            <w:tcW w:w="1577" w:type="pct"/>
          </w:tcPr>
          <w:p w14:paraId="5D1781D3" w14:textId="77777777" w:rsidR="009F2673" w:rsidRPr="00E9279E" w:rsidRDefault="009F2673" w:rsidP="009E5A87">
            <w:pPr>
              <w:rPr>
                <w:i/>
              </w:rPr>
            </w:pPr>
            <w:r w:rsidRPr="00E9279E">
              <w:rPr>
                <w:i/>
              </w:rPr>
              <w:t>Date of entry onto ARTG:</w:t>
            </w:r>
          </w:p>
        </w:tc>
        <w:tc>
          <w:tcPr>
            <w:tcW w:w="3423" w:type="pct"/>
          </w:tcPr>
          <w:p w14:paraId="69DC5CFB" w14:textId="098FFACE" w:rsidR="009F2673" w:rsidRPr="00E9279E" w:rsidRDefault="00A776FD" w:rsidP="009E5A87">
            <w:r w:rsidRPr="00E9279E">
              <w:t>9 June 2022</w:t>
            </w:r>
          </w:p>
        </w:tc>
      </w:tr>
      <w:tr w:rsidR="009F2673" w:rsidRPr="00E9279E" w14:paraId="092FED78" w14:textId="77777777" w:rsidTr="00080ACE">
        <w:tc>
          <w:tcPr>
            <w:tcW w:w="1577" w:type="pct"/>
          </w:tcPr>
          <w:p w14:paraId="71750FDE" w14:textId="43FC2E53" w:rsidR="009F2673" w:rsidRPr="00E9279E" w:rsidRDefault="009F2673" w:rsidP="009E5A87">
            <w:pPr>
              <w:rPr>
                <w:i/>
              </w:rPr>
            </w:pPr>
            <w:r w:rsidRPr="00E9279E">
              <w:rPr>
                <w:i/>
              </w:rPr>
              <w:t>ARTG numbers:</w:t>
            </w:r>
          </w:p>
        </w:tc>
        <w:tc>
          <w:tcPr>
            <w:tcW w:w="3423" w:type="pct"/>
          </w:tcPr>
          <w:p w14:paraId="32EEAB57" w14:textId="7A0AA4CE" w:rsidR="009F2673" w:rsidRPr="00E9279E" w:rsidRDefault="00F41129" w:rsidP="00A776FD">
            <w:r w:rsidRPr="00E9279E">
              <w:t>304764</w:t>
            </w:r>
            <w:r w:rsidR="00A776FD" w:rsidRPr="00E9279E">
              <w:t>, 304765, 304766 and 304767</w:t>
            </w:r>
          </w:p>
        </w:tc>
      </w:tr>
      <w:tr w:rsidR="009F2673" w:rsidRPr="00E9279E" w14:paraId="1207BA22" w14:textId="77777777" w:rsidTr="00080ACE">
        <w:tc>
          <w:tcPr>
            <w:tcW w:w="1577" w:type="pct"/>
          </w:tcPr>
          <w:p w14:paraId="0EB5C54D" w14:textId="2226DE29" w:rsidR="009F2673" w:rsidRPr="00E9279E" w:rsidRDefault="001B1DA4" w:rsidP="009E5A87">
            <w:pPr>
              <w:rPr>
                <w:i/>
              </w:rPr>
            </w:pPr>
            <w:r w:rsidRPr="00E9279E">
              <w:rPr>
                <w:rFonts w:ascii="Wingdings 3" w:hAnsi="Wingdings 3"/>
                <w:sz w:val="34"/>
                <w:szCs w:val="34"/>
                <w:lang w:eastAsia="en-AU"/>
              </w:rPr>
              <w:t></w:t>
            </w:r>
            <w:hyperlink r:id="rId14" w:history="1">
              <w:r w:rsidR="009F2673" w:rsidRPr="00E9279E">
                <w:rPr>
                  <w:rStyle w:val="Hyperlink"/>
                  <w:i/>
                </w:rPr>
                <w:t>Black Triangle Scheme</w:t>
              </w:r>
            </w:hyperlink>
            <w:r w:rsidR="009F2673" w:rsidRPr="00E9279E">
              <w:rPr>
                <w:i/>
              </w:rPr>
              <w:t>:</w:t>
            </w:r>
          </w:p>
        </w:tc>
        <w:tc>
          <w:tcPr>
            <w:tcW w:w="3423" w:type="pct"/>
          </w:tcPr>
          <w:p w14:paraId="493A1AB9" w14:textId="253BBEB2" w:rsidR="00A776FD" w:rsidRPr="00E9279E" w:rsidRDefault="009F2673" w:rsidP="00A776FD">
            <w:r w:rsidRPr="00E9279E">
              <w:t>Yes</w:t>
            </w:r>
            <w:r w:rsidR="00A776FD" w:rsidRPr="00E9279E">
              <w:t>.</w:t>
            </w:r>
          </w:p>
          <w:p w14:paraId="0C3CC2BE" w14:textId="5520014C" w:rsidR="009F2673" w:rsidRPr="00E9279E" w:rsidRDefault="009F2673" w:rsidP="00A776FD">
            <w:r w:rsidRPr="00E9279E">
              <w:t>This product will remain in the scheme for 5 years, starting on the date the new indication was approved</w:t>
            </w:r>
            <w:r w:rsidR="00A776FD" w:rsidRPr="00E9279E">
              <w:t>.</w:t>
            </w:r>
          </w:p>
        </w:tc>
      </w:tr>
      <w:tr w:rsidR="009F2673" w:rsidRPr="00E9279E" w14:paraId="4601913A" w14:textId="77777777" w:rsidTr="00080ACE">
        <w:tc>
          <w:tcPr>
            <w:tcW w:w="1577" w:type="pct"/>
          </w:tcPr>
          <w:p w14:paraId="4D7C6C4A" w14:textId="77777777" w:rsidR="009F2673" w:rsidRPr="00E9279E" w:rsidRDefault="009F2673" w:rsidP="009E5A87">
            <w:pPr>
              <w:rPr>
                <w:i/>
              </w:rPr>
            </w:pPr>
            <w:r w:rsidRPr="00E9279E">
              <w:rPr>
                <w:i/>
              </w:rPr>
              <w:t>Sponsor’s name and address:</w:t>
            </w:r>
          </w:p>
        </w:tc>
        <w:tc>
          <w:tcPr>
            <w:tcW w:w="3423" w:type="pct"/>
          </w:tcPr>
          <w:p w14:paraId="0995CD23" w14:textId="77777777" w:rsidR="009F2673" w:rsidRPr="00E9279E" w:rsidRDefault="00CB3109" w:rsidP="009E5A87">
            <w:r w:rsidRPr="00E9279E">
              <w:t>Eli Lilly Australia Pty Ltd</w:t>
            </w:r>
          </w:p>
          <w:p w14:paraId="6321585C" w14:textId="77777777" w:rsidR="00CB3109" w:rsidRPr="00E9279E" w:rsidRDefault="00CB3109" w:rsidP="009E5A87">
            <w:r w:rsidRPr="00E9279E">
              <w:t>112 Wharf Road</w:t>
            </w:r>
          </w:p>
          <w:p w14:paraId="395326BA" w14:textId="08438FA8" w:rsidR="00CB3109" w:rsidRPr="00E9279E" w:rsidRDefault="00CB3109" w:rsidP="009E5A87">
            <w:r w:rsidRPr="00E9279E">
              <w:t>West Ryde NSW 2114</w:t>
            </w:r>
          </w:p>
        </w:tc>
      </w:tr>
      <w:tr w:rsidR="009F2673" w:rsidRPr="00E9279E" w14:paraId="1D96F337" w14:textId="77777777" w:rsidTr="00080ACE">
        <w:tc>
          <w:tcPr>
            <w:tcW w:w="1577" w:type="pct"/>
          </w:tcPr>
          <w:p w14:paraId="452D27E0" w14:textId="40F2356F" w:rsidR="009F2673" w:rsidRPr="00E9279E" w:rsidRDefault="009F2673" w:rsidP="009E5A87">
            <w:pPr>
              <w:rPr>
                <w:i/>
              </w:rPr>
            </w:pPr>
            <w:r w:rsidRPr="00E9279E">
              <w:rPr>
                <w:i/>
              </w:rPr>
              <w:t>Dose form:</w:t>
            </w:r>
          </w:p>
        </w:tc>
        <w:tc>
          <w:tcPr>
            <w:tcW w:w="3423" w:type="pct"/>
          </w:tcPr>
          <w:p w14:paraId="705F92FD" w14:textId="0108AB27" w:rsidR="009F2673" w:rsidRPr="00E9279E" w:rsidRDefault="00A776FD" w:rsidP="009E5A87">
            <w:r w:rsidRPr="00E9279E">
              <w:t>Film coated tablet</w:t>
            </w:r>
          </w:p>
        </w:tc>
      </w:tr>
      <w:tr w:rsidR="009F2673" w:rsidRPr="00E9279E" w14:paraId="2F704FA0" w14:textId="77777777" w:rsidTr="00080ACE">
        <w:tc>
          <w:tcPr>
            <w:tcW w:w="1577" w:type="pct"/>
          </w:tcPr>
          <w:p w14:paraId="42FD4FD5" w14:textId="31946DE0" w:rsidR="009F2673" w:rsidRPr="00E9279E" w:rsidRDefault="009F2673" w:rsidP="009E5A87">
            <w:pPr>
              <w:rPr>
                <w:i/>
              </w:rPr>
            </w:pPr>
            <w:r w:rsidRPr="00E9279E">
              <w:rPr>
                <w:i/>
              </w:rPr>
              <w:t>Strengths:</w:t>
            </w:r>
          </w:p>
        </w:tc>
        <w:tc>
          <w:tcPr>
            <w:tcW w:w="3423" w:type="pct"/>
          </w:tcPr>
          <w:p w14:paraId="0AEC89D4" w14:textId="473CDC0D" w:rsidR="009F2673" w:rsidRPr="00E9279E" w:rsidRDefault="00A776FD" w:rsidP="00A776FD">
            <w:r w:rsidRPr="00E9279E">
              <w:t xml:space="preserve">50 mg, 100 mg, 150 </w:t>
            </w:r>
            <w:proofErr w:type="gramStart"/>
            <w:r w:rsidRPr="00E9279E">
              <w:t>mg</w:t>
            </w:r>
            <w:proofErr w:type="gramEnd"/>
            <w:r w:rsidRPr="00E9279E">
              <w:t xml:space="preserve"> and 200 mg</w:t>
            </w:r>
          </w:p>
        </w:tc>
      </w:tr>
      <w:tr w:rsidR="009F2673" w:rsidRPr="00E9279E" w14:paraId="2866B022" w14:textId="77777777" w:rsidTr="00080ACE">
        <w:tc>
          <w:tcPr>
            <w:tcW w:w="1577" w:type="pct"/>
          </w:tcPr>
          <w:p w14:paraId="02AB7D27" w14:textId="009F1EA0" w:rsidR="009F2673" w:rsidRPr="00E9279E" w:rsidRDefault="009F2673" w:rsidP="009E5A87">
            <w:pPr>
              <w:rPr>
                <w:i/>
              </w:rPr>
            </w:pPr>
            <w:r w:rsidRPr="00E9279E">
              <w:rPr>
                <w:i/>
              </w:rPr>
              <w:t>Container:</w:t>
            </w:r>
          </w:p>
        </w:tc>
        <w:tc>
          <w:tcPr>
            <w:tcW w:w="3423" w:type="pct"/>
          </w:tcPr>
          <w:p w14:paraId="07ECF459" w14:textId="4B37A3A0" w:rsidR="009F2673" w:rsidRPr="00E9279E" w:rsidRDefault="00F1337D" w:rsidP="009E5A87">
            <w:r w:rsidRPr="00E9279E">
              <w:t xml:space="preserve">Blister </w:t>
            </w:r>
            <w:r w:rsidR="00A776FD" w:rsidRPr="00E9279E">
              <w:t>pack</w:t>
            </w:r>
          </w:p>
        </w:tc>
      </w:tr>
      <w:tr w:rsidR="009F2673" w:rsidRPr="00E9279E" w14:paraId="647B9A1C" w14:textId="77777777" w:rsidTr="00080ACE">
        <w:tc>
          <w:tcPr>
            <w:tcW w:w="1577" w:type="pct"/>
          </w:tcPr>
          <w:p w14:paraId="067FE2DC" w14:textId="3134B183" w:rsidR="009F2673" w:rsidRPr="00E9279E" w:rsidRDefault="009F2673" w:rsidP="009E5A87">
            <w:pPr>
              <w:rPr>
                <w:i/>
              </w:rPr>
            </w:pPr>
            <w:r w:rsidRPr="00E9279E">
              <w:rPr>
                <w:i/>
              </w:rPr>
              <w:t>Pack sizes:</w:t>
            </w:r>
          </w:p>
        </w:tc>
        <w:tc>
          <w:tcPr>
            <w:tcW w:w="3423" w:type="pct"/>
          </w:tcPr>
          <w:p w14:paraId="732EC655" w14:textId="53C02359" w:rsidR="009F2673" w:rsidRPr="00E9279E" w:rsidRDefault="00A776FD" w:rsidP="00A776FD">
            <w:r w:rsidRPr="00E9279E">
              <w:t>14, 42, 56</w:t>
            </w:r>
            <w:r w:rsidR="00F1337D" w:rsidRPr="00E9279E">
              <w:t xml:space="preserve"> and</w:t>
            </w:r>
            <w:r w:rsidRPr="00E9279E">
              <w:t xml:space="preserve"> 70</w:t>
            </w:r>
            <w:r w:rsidR="008C4E2E" w:rsidRPr="00E9279E">
              <w:t xml:space="preserve"> tablets</w:t>
            </w:r>
          </w:p>
        </w:tc>
      </w:tr>
      <w:tr w:rsidR="009F2673" w:rsidRPr="00E9279E" w14:paraId="62F3A411" w14:textId="77777777" w:rsidTr="00080ACE">
        <w:tc>
          <w:tcPr>
            <w:tcW w:w="1577" w:type="pct"/>
          </w:tcPr>
          <w:p w14:paraId="74D403B4" w14:textId="77777777" w:rsidR="009F2673" w:rsidRPr="00E9279E" w:rsidRDefault="009F2673" w:rsidP="009E5A87">
            <w:pPr>
              <w:rPr>
                <w:i/>
              </w:rPr>
            </w:pPr>
            <w:r w:rsidRPr="00E9279E">
              <w:rPr>
                <w:i/>
              </w:rPr>
              <w:t>Approved therapeutic use:</w:t>
            </w:r>
          </w:p>
        </w:tc>
        <w:tc>
          <w:tcPr>
            <w:tcW w:w="3423" w:type="pct"/>
          </w:tcPr>
          <w:p w14:paraId="2F6737BB" w14:textId="77777777" w:rsidR="00F41129" w:rsidRPr="00E9279E" w:rsidRDefault="00F41129" w:rsidP="00F41129">
            <w:pPr>
              <w:rPr>
                <w:b/>
                <w:bCs/>
                <w:i/>
                <w:iCs/>
              </w:rPr>
            </w:pPr>
            <w:r w:rsidRPr="00E9279E">
              <w:rPr>
                <w:b/>
                <w:bCs/>
                <w:i/>
                <w:iCs/>
              </w:rPr>
              <w:t>Early breast cancer</w:t>
            </w:r>
          </w:p>
          <w:p w14:paraId="25D1D827" w14:textId="77777777" w:rsidR="00F41129" w:rsidRPr="00E9279E" w:rsidRDefault="00F41129" w:rsidP="00F41129">
            <w:pPr>
              <w:rPr>
                <w:i/>
                <w:iCs/>
              </w:rPr>
            </w:pPr>
            <w:proofErr w:type="spellStart"/>
            <w:r w:rsidRPr="00E9279E">
              <w:rPr>
                <w:i/>
                <w:iCs/>
              </w:rPr>
              <w:t>Verzenio</w:t>
            </w:r>
            <w:proofErr w:type="spellEnd"/>
            <w:r w:rsidRPr="00E9279E">
              <w:rPr>
                <w:i/>
                <w:iCs/>
              </w:rPr>
              <w:t xml:space="preserve"> in combination with endocrine therapy is indicated for the adjuvant treatment of patients with hormone receptor (HR) positive, human epidermal growth factor receptor 2 (HER2) negative, node-positive early breast cancer at high risk of recurrence.</w:t>
            </w:r>
          </w:p>
          <w:p w14:paraId="049F00F0" w14:textId="7A370629" w:rsidR="009F2673" w:rsidRPr="00E9279E" w:rsidRDefault="00F41129" w:rsidP="009E5A87">
            <w:pPr>
              <w:rPr>
                <w:i/>
                <w:iCs/>
              </w:rPr>
            </w:pPr>
            <w:r w:rsidRPr="00E9279E">
              <w:rPr>
                <w:i/>
                <w:iCs/>
              </w:rPr>
              <w:t>In pre- or peri-menopausal women, endocrine therapy should be combined with a luteinising hormone-releasing hormone (LHRH) agonist.</w:t>
            </w:r>
          </w:p>
        </w:tc>
      </w:tr>
      <w:tr w:rsidR="009F2673" w:rsidRPr="00E9279E" w14:paraId="2226CF14" w14:textId="77777777" w:rsidTr="00080ACE">
        <w:tc>
          <w:tcPr>
            <w:tcW w:w="1577" w:type="pct"/>
          </w:tcPr>
          <w:p w14:paraId="37EA18D0" w14:textId="1B5A2278" w:rsidR="009F2673" w:rsidRPr="00E9279E" w:rsidRDefault="009F2673" w:rsidP="009E5A87">
            <w:pPr>
              <w:rPr>
                <w:i/>
              </w:rPr>
            </w:pPr>
            <w:r w:rsidRPr="00E9279E">
              <w:rPr>
                <w:i/>
              </w:rPr>
              <w:t>Route of administration:</w:t>
            </w:r>
          </w:p>
        </w:tc>
        <w:tc>
          <w:tcPr>
            <w:tcW w:w="3423" w:type="pct"/>
          </w:tcPr>
          <w:p w14:paraId="2AC6A7F9" w14:textId="42C50D54" w:rsidR="009F2673" w:rsidRPr="00E9279E" w:rsidRDefault="00F41129" w:rsidP="009E5A87">
            <w:r w:rsidRPr="00E9279E">
              <w:t>Oral</w:t>
            </w:r>
          </w:p>
        </w:tc>
      </w:tr>
      <w:tr w:rsidR="009F2673" w:rsidRPr="00E9279E" w14:paraId="6B34321E" w14:textId="77777777" w:rsidTr="00080ACE">
        <w:tc>
          <w:tcPr>
            <w:tcW w:w="1577" w:type="pct"/>
          </w:tcPr>
          <w:p w14:paraId="45E30104" w14:textId="77777777" w:rsidR="009F2673" w:rsidRPr="00E9279E" w:rsidRDefault="009F2673" w:rsidP="009E5A87">
            <w:pPr>
              <w:rPr>
                <w:i/>
              </w:rPr>
            </w:pPr>
            <w:r w:rsidRPr="00E9279E">
              <w:rPr>
                <w:i/>
              </w:rPr>
              <w:t>Dosage:</w:t>
            </w:r>
          </w:p>
        </w:tc>
        <w:tc>
          <w:tcPr>
            <w:tcW w:w="3423" w:type="pct"/>
          </w:tcPr>
          <w:p w14:paraId="2F323A8F" w14:textId="6794B79F" w:rsidR="00F41129" w:rsidRPr="00E9279E" w:rsidRDefault="00F1337D" w:rsidP="00F41129">
            <w:proofErr w:type="spellStart"/>
            <w:r w:rsidRPr="00E9279E">
              <w:t>Verzenio</w:t>
            </w:r>
            <w:proofErr w:type="spellEnd"/>
            <w:r w:rsidRPr="00E9279E">
              <w:t xml:space="preserve"> </w:t>
            </w:r>
            <w:r w:rsidR="00F41129" w:rsidRPr="00E9279E">
              <w:t>therapy should be initiated and supervised by physicians experienced in the use of anti-cancer therapies.</w:t>
            </w:r>
          </w:p>
          <w:p w14:paraId="34FD4D34" w14:textId="47E3DCD6" w:rsidR="00F41129" w:rsidRPr="00E9279E" w:rsidRDefault="00F41129" w:rsidP="00F41129">
            <w:r w:rsidRPr="00E9279E">
              <w:t xml:space="preserve">The recommended dose of </w:t>
            </w:r>
            <w:proofErr w:type="spellStart"/>
            <w:r w:rsidR="00F1337D" w:rsidRPr="00E9279E">
              <w:t>Verzenio</w:t>
            </w:r>
            <w:proofErr w:type="spellEnd"/>
            <w:r w:rsidRPr="00E9279E">
              <w:t xml:space="preserve"> is 150</w:t>
            </w:r>
            <w:r w:rsidR="00F1337D" w:rsidRPr="00E9279E">
              <w:t> </w:t>
            </w:r>
            <w:r w:rsidRPr="00E9279E">
              <w:t xml:space="preserve">mg orally, twice daily in combination with endocrine therapy. Administer </w:t>
            </w:r>
            <w:r w:rsidRPr="00E9279E">
              <w:lastRenderedPageBreak/>
              <w:t xml:space="preserve">the recommended dose of endocrine therapy when given with </w:t>
            </w:r>
            <w:proofErr w:type="spellStart"/>
            <w:r w:rsidR="00F1337D" w:rsidRPr="00E9279E">
              <w:t>Verzenio</w:t>
            </w:r>
            <w:proofErr w:type="spellEnd"/>
            <w:r w:rsidRPr="00E9279E">
              <w:t>.</w:t>
            </w:r>
          </w:p>
          <w:p w14:paraId="748781C7" w14:textId="072EDE2C" w:rsidR="00F41129" w:rsidRPr="00E9279E" w:rsidRDefault="00F41129" w:rsidP="00F41129">
            <w:pPr>
              <w:rPr>
                <w:i/>
                <w:iCs/>
              </w:rPr>
            </w:pPr>
            <w:r w:rsidRPr="00E9279E">
              <w:rPr>
                <w:i/>
                <w:iCs/>
              </w:rPr>
              <w:t xml:space="preserve">Early </w:t>
            </w:r>
            <w:r w:rsidR="00033AC2" w:rsidRPr="00E9279E">
              <w:rPr>
                <w:i/>
                <w:iCs/>
              </w:rPr>
              <w:t>breast cancer</w:t>
            </w:r>
          </w:p>
          <w:p w14:paraId="0D8AB0D9" w14:textId="6913563C" w:rsidR="00F41129" w:rsidRPr="00E9279E" w:rsidRDefault="00F41129" w:rsidP="00F41129">
            <w:r w:rsidRPr="00E9279E">
              <w:t xml:space="preserve">Treatment with </w:t>
            </w:r>
            <w:proofErr w:type="spellStart"/>
            <w:r w:rsidR="00F1337D" w:rsidRPr="00E9279E">
              <w:t>Verzenio</w:t>
            </w:r>
            <w:proofErr w:type="spellEnd"/>
            <w:r w:rsidRPr="00E9279E">
              <w:t xml:space="preserve"> plus endocrine therapy should be combined with </w:t>
            </w:r>
            <w:r w:rsidR="008342A3" w:rsidRPr="00E9279E">
              <w:t xml:space="preserve">luteinising hormone-releasing hormone </w:t>
            </w:r>
            <w:r w:rsidRPr="00E9279E">
              <w:t>agonist for pre-menopausal women.</w:t>
            </w:r>
          </w:p>
          <w:p w14:paraId="1CAF2A8F" w14:textId="44D8BF31" w:rsidR="00F41129" w:rsidRPr="00E9279E" w:rsidRDefault="00F1337D" w:rsidP="00F41129">
            <w:proofErr w:type="spellStart"/>
            <w:r w:rsidRPr="00E9279E">
              <w:t>Verzenio</w:t>
            </w:r>
            <w:proofErr w:type="spellEnd"/>
            <w:r w:rsidR="00F41129" w:rsidRPr="00E9279E">
              <w:t xml:space="preserve"> should be taken continuously for two years, or until disease recurrence or unacceptable toxicity occurs whichever comes first.</w:t>
            </w:r>
          </w:p>
          <w:p w14:paraId="07006C7F" w14:textId="2ED54374" w:rsidR="00F41129" w:rsidRPr="00E9279E" w:rsidRDefault="00F41129" w:rsidP="00F41129">
            <w:pPr>
              <w:rPr>
                <w:i/>
                <w:iCs/>
              </w:rPr>
            </w:pPr>
            <w:r w:rsidRPr="00E9279E">
              <w:rPr>
                <w:i/>
                <w:iCs/>
              </w:rPr>
              <w:t xml:space="preserve">Advanced or </w:t>
            </w:r>
            <w:r w:rsidR="00033AC2" w:rsidRPr="00E9279E">
              <w:rPr>
                <w:i/>
                <w:iCs/>
              </w:rPr>
              <w:t>metastatic breast cancer</w:t>
            </w:r>
          </w:p>
          <w:p w14:paraId="364EEE9F" w14:textId="650404E6" w:rsidR="00F41129" w:rsidRPr="00E9279E" w:rsidRDefault="00F41129" w:rsidP="00F41129">
            <w:r w:rsidRPr="00E9279E">
              <w:t xml:space="preserve">Women treated with the combination of </w:t>
            </w:r>
            <w:proofErr w:type="spellStart"/>
            <w:r w:rsidR="00F1337D" w:rsidRPr="00E9279E">
              <w:t>Verzenio</w:t>
            </w:r>
            <w:proofErr w:type="spellEnd"/>
            <w:r w:rsidRPr="00E9279E">
              <w:t xml:space="preserve"> plus endocrine therapy should be in a post</w:t>
            </w:r>
            <w:r w:rsidR="0096683C" w:rsidRPr="00E9279E">
              <w:t>-</w:t>
            </w:r>
            <w:r w:rsidRPr="00E9279E">
              <w:t>menopausal state prior to therapy.</w:t>
            </w:r>
          </w:p>
          <w:p w14:paraId="30AACC9F" w14:textId="64C53D43" w:rsidR="009F2673" w:rsidRPr="00E9279E" w:rsidRDefault="00F41129" w:rsidP="00F41129">
            <w:r w:rsidRPr="00E9279E">
              <w:t>It is recommended that treatment be continued until disease progression or unacceptable toxicity.</w:t>
            </w:r>
          </w:p>
          <w:p w14:paraId="2378C542" w14:textId="77777777" w:rsidR="009F2673" w:rsidRPr="00E9279E" w:rsidRDefault="009F2673" w:rsidP="00F41129">
            <w:r w:rsidRPr="00E9279E">
              <w:t>For further information regarding dosage, refer to the Product Information.</w:t>
            </w:r>
          </w:p>
        </w:tc>
      </w:tr>
      <w:tr w:rsidR="009F2673" w:rsidRPr="00E9279E" w14:paraId="26FFB0E9" w14:textId="77777777" w:rsidTr="00080ACE">
        <w:tc>
          <w:tcPr>
            <w:tcW w:w="1577" w:type="pct"/>
          </w:tcPr>
          <w:p w14:paraId="4C738B21" w14:textId="77777777" w:rsidR="009F2673" w:rsidRPr="00E9279E" w:rsidRDefault="009F2673" w:rsidP="009E5A87">
            <w:pPr>
              <w:rPr>
                <w:i/>
              </w:rPr>
            </w:pPr>
            <w:r w:rsidRPr="00E9279E">
              <w:rPr>
                <w:i/>
              </w:rPr>
              <w:lastRenderedPageBreak/>
              <w:t>Pregnancy category:</w:t>
            </w:r>
          </w:p>
        </w:tc>
        <w:tc>
          <w:tcPr>
            <w:tcW w:w="3423" w:type="pct"/>
          </w:tcPr>
          <w:p w14:paraId="1B27AC99" w14:textId="3AF818AB" w:rsidR="00F41129" w:rsidRPr="00E9279E" w:rsidRDefault="00F41129" w:rsidP="00F41129">
            <w:r w:rsidRPr="00E9279E">
              <w:t>D</w:t>
            </w:r>
          </w:p>
          <w:p w14:paraId="08EF48FA" w14:textId="77777777" w:rsidR="00F41129" w:rsidRPr="00E9279E" w:rsidRDefault="00F41129" w:rsidP="00F41129">
            <w:r w:rsidRPr="00E9279E">
              <w:t xml:space="preserve">Drugs which have caused, are suspected to have caused or may be expected to cause, an increased incidence of human </w:t>
            </w:r>
            <w:proofErr w:type="spellStart"/>
            <w:r w:rsidRPr="00E9279E">
              <w:t>fetal</w:t>
            </w:r>
            <w:proofErr w:type="spellEnd"/>
            <w:r w:rsidRPr="00E9279E">
              <w:t xml:space="preserve"> malformations or irreversible damage. These drugs may also have adverse pharmacological effects. Accompanying texts should be consulted for further details.</w:t>
            </w:r>
          </w:p>
          <w:p w14:paraId="0522E6DF" w14:textId="36105E66" w:rsidR="009F2673" w:rsidRPr="00E9279E" w:rsidRDefault="009F2673" w:rsidP="009E5A87">
            <w:r w:rsidRPr="00E9279E">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3A32A174" w14:textId="77777777" w:rsidR="008E7846" w:rsidRPr="00E9279E" w:rsidRDefault="008E7846" w:rsidP="008E7846">
      <w:pPr>
        <w:pStyle w:val="Heading3"/>
      </w:pPr>
      <w:bookmarkStart w:id="18" w:name="_Toc247691503"/>
      <w:bookmarkStart w:id="19" w:name="_Toc314842484"/>
      <w:bookmarkStart w:id="20" w:name="_Toc118379551"/>
      <w:r w:rsidRPr="00E9279E">
        <w:t>Product background</w:t>
      </w:r>
      <w:bookmarkEnd w:id="18"/>
      <w:bookmarkEnd w:id="19"/>
      <w:bookmarkEnd w:id="20"/>
    </w:p>
    <w:p w14:paraId="4368AB91" w14:textId="70EA5C57" w:rsidR="009F2673" w:rsidRPr="00E9279E" w:rsidRDefault="009F2673" w:rsidP="009F2673">
      <w:r w:rsidRPr="00E9279E">
        <w:t xml:space="preserve">This </w:t>
      </w:r>
      <w:proofErr w:type="spellStart"/>
      <w:r w:rsidRPr="00E9279E">
        <w:t>AusPAR</w:t>
      </w:r>
      <w:proofErr w:type="spellEnd"/>
      <w:r w:rsidRPr="00E9279E">
        <w:t xml:space="preserve"> describes the </w:t>
      </w:r>
      <w:r w:rsidR="001E359E" w:rsidRPr="00E9279E">
        <w:t>submission</w:t>
      </w:r>
      <w:r w:rsidRPr="00E9279E">
        <w:t xml:space="preserve"> by </w:t>
      </w:r>
      <w:r w:rsidR="00CB3109" w:rsidRPr="00E9279E">
        <w:t>Eli Lilly Australia Pty Ltd</w:t>
      </w:r>
      <w:r w:rsidRPr="00E9279E">
        <w:t xml:space="preserve"> (the sponsor) to register </w:t>
      </w:r>
      <w:proofErr w:type="spellStart"/>
      <w:r w:rsidR="00CB3109" w:rsidRPr="00E9279E">
        <w:t>Verzenio</w:t>
      </w:r>
      <w:proofErr w:type="spellEnd"/>
      <w:r w:rsidR="00CB3109" w:rsidRPr="00E9279E">
        <w:t xml:space="preserve"> </w:t>
      </w:r>
      <w:r w:rsidRPr="00E9279E">
        <w:t>(</w:t>
      </w:r>
      <w:proofErr w:type="spellStart"/>
      <w:r w:rsidR="00CB3109" w:rsidRPr="00E9279E">
        <w:t>abemaciclib</w:t>
      </w:r>
      <w:proofErr w:type="spellEnd"/>
      <w:r w:rsidRPr="00E9279E">
        <w:t xml:space="preserve">) </w:t>
      </w:r>
      <w:r w:rsidR="00A776FD" w:rsidRPr="00E9279E">
        <w:t xml:space="preserve">50 mg, 100 mg, 150 </w:t>
      </w:r>
      <w:proofErr w:type="gramStart"/>
      <w:r w:rsidR="00A776FD" w:rsidRPr="00E9279E">
        <w:t>mg</w:t>
      </w:r>
      <w:proofErr w:type="gramEnd"/>
      <w:r w:rsidR="00A776FD" w:rsidRPr="00E9279E">
        <w:t xml:space="preserve"> and 200 mg</w:t>
      </w:r>
      <w:r w:rsidRPr="00E9279E">
        <w:t xml:space="preserve"> </w:t>
      </w:r>
      <w:r w:rsidR="00A776FD" w:rsidRPr="00E9279E">
        <w:t>film coated tablet</w:t>
      </w:r>
      <w:r w:rsidR="008C4E2E" w:rsidRPr="00E9279E">
        <w:t>s</w:t>
      </w:r>
      <w:r w:rsidRPr="00E9279E">
        <w:t xml:space="preserve"> for the following proposed extension of indications:</w:t>
      </w:r>
    </w:p>
    <w:p w14:paraId="5F4781D1" w14:textId="333C08E6" w:rsidR="00A776FD" w:rsidRPr="00E9279E" w:rsidRDefault="00CB4F92" w:rsidP="00A776FD">
      <w:pPr>
        <w:ind w:left="720"/>
        <w:rPr>
          <w:b/>
          <w:bCs/>
          <w:i/>
          <w:iCs/>
        </w:rPr>
      </w:pPr>
      <w:r w:rsidRPr="00E9279E">
        <w:rPr>
          <w:b/>
          <w:bCs/>
          <w:i/>
          <w:iCs/>
        </w:rPr>
        <w:t xml:space="preserve">Early </w:t>
      </w:r>
      <w:r w:rsidR="00A776FD" w:rsidRPr="00E9279E">
        <w:rPr>
          <w:b/>
          <w:bCs/>
          <w:i/>
          <w:iCs/>
        </w:rPr>
        <w:t>breast cancer</w:t>
      </w:r>
    </w:p>
    <w:p w14:paraId="61CAEF6F" w14:textId="508267B6" w:rsidR="00A776FD" w:rsidRPr="00E9279E" w:rsidRDefault="00F1337D" w:rsidP="00A776FD">
      <w:pPr>
        <w:ind w:left="720"/>
        <w:rPr>
          <w:i/>
          <w:iCs/>
        </w:rPr>
      </w:pPr>
      <w:proofErr w:type="spellStart"/>
      <w:r w:rsidRPr="00E9279E">
        <w:rPr>
          <w:i/>
          <w:iCs/>
        </w:rPr>
        <w:t>Verzenio</w:t>
      </w:r>
      <w:proofErr w:type="spellEnd"/>
      <w:r w:rsidR="00A776FD" w:rsidRPr="00E9279E">
        <w:rPr>
          <w:i/>
          <w:iCs/>
        </w:rPr>
        <w:t xml:space="preserve"> in combination with endocrine therapy is indicated for the adjuvant treatment of patients with hormone receptor (HR)-positive, human epidermal growth factor receptor 2 (HER2)-negative, node-positive early breast cancer at high risk of recurrence.</w:t>
      </w:r>
    </w:p>
    <w:p w14:paraId="6CE254FF" w14:textId="1CA76924" w:rsidR="00A776FD" w:rsidRPr="00E9279E" w:rsidRDefault="00A776FD" w:rsidP="00A776FD">
      <w:pPr>
        <w:ind w:left="720"/>
        <w:rPr>
          <w:i/>
          <w:iCs/>
        </w:rPr>
      </w:pPr>
      <w:r w:rsidRPr="00E9279E">
        <w:rPr>
          <w:i/>
          <w:iCs/>
        </w:rPr>
        <w:t>In pre- or perimenopausal women, aromatase inhibitor endocrine therapy should be combined with a luteinising hormone-releasing hormone (LHRH) agonist.</w:t>
      </w:r>
    </w:p>
    <w:p w14:paraId="10DE2D23" w14:textId="14EB7192" w:rsidR="0096148E" w:rsidRPr="00E9279E" w:rsidRDefault="0096148E" w:rsidP="00E32FD0">
      <w:pPr>
        <w:pStyle w:val="Heading4"/>
      </w:pPr>
      <w:r w:rsidRPr="00E9279E">
        <w:lastRenderedPageBreak/>
        <w:t>Breast cancer</w:t>
      </w:r>
    </w:p>
    <w:p w14:paraId="5DC3E858" w14:textId="6AE290E9" w:rsidR="00C314D3" w:rsidRPr="00E9279E" w:rsidRDefault="00C314D3" w:rsidP="00C314D3">
      <w:r w:rsidRPr="00E9279E">
        <w:t>Breast cancer is the most frequent cancer among women and a major cause of cancer</w:t>
      </w:r>
      <w:r w:rsidR="008C4E2E" w:rsidRPr="00E9279E">
        <w:noBreakHyphen/>
      </w:r>
      <w:r w:rsidRPr="00E9279E">
        <w:t>related deaths worldwide.</w:t>
      </w:r>
      <w:r w:rsidR="00CB4F92" w:rsidRPr="00E9279E">
        <w:t xml:space="preserve"> </w:t>
      </w:r>
      <w:r w:rsidRPr="00E9279E">
        <w:t xml:space="preserve">Cancer Australia estimated there would be </w:t>
      </w:r>
      <w:r w:rsidR="007916D4" w:rsidRPr="00E9279E">
        <w:t xml:space="preserve">20,640 </w:t>
      </w:r>
      <w:r w:rsidRPr="00E9279E">
        <w:t>new cases of breast cancer diagnosed in 202</w:t>
      </w:r>
      <w:r w:rsidR="007916D4" w:rsidRPr="00E9279E">
        <w:t>2</w:t>
      </w:r>
      <w:r w:rsidRPr="00E9279E">
        <w:t xml:space="preserve">, representing </w:t>
      </w:r>
      <w:r w:rsidR="007916D4" w:rsidRPr="00E9279E">
        <w:t>12.7</w:t>
      </w:r>
      <w:r w:rsidRPr="00E9279E">
        <w:t xml:space="preserve">% of all new cancer diagnosis. Of these around </w:t>
      </w:r>
      <w:r w:rsidR="007916D4" w:rsidRPr="00E9279E">
        <w:t>1</w:t>
      </w:r>
      <w:r w:rsidRPr="00E9279E">
        <w:t xml:space="preserve">% were expected to occur in males. It was estimated breast cancer would comprise </w:t>
      </w:r>
      <w:r w:rsidR="007916D4" w:rsidRPr="00E9279E">
        <w:t>6.4</w:t>
      </w:r>
      <w:r w:rsidRPr="00E9279E">
        <w:t>% of all cancer deaths (36 males and 31</w:t>
      </w:r>
      <w:r w:rsidR="007916D4" w:rsidRPr="00E9279E">
        <w:t>78</w:t>
      </w:r>
      <w:r w:rsidRPr="00E9279E">
        <w:t xml:space="preserve"> females).</w:t>
      </w:r>
      <w:r w:rsidR="00196E93" w:rsidRPr="00E9279E">
        <w:rPr>
          <w:rStyle w:val="FootnoteReference"/>
        </w:rPr>
        <w:footnoteReference w:id="1"/>
      </w:r>
    </w:p>
    <w:p w14:paraId="3FB54FB6" w14:textId="5723D60C" w:rsidR="00C314D3" w:rsidRPr="00E9279E" w:rsidRDefault="00C314D3" w:rsidP="00C314D3">
      <w:r w:rsidRPr="00E9279E">
        <w:t xml:space="preserve">Breast cancer is a heterogeneous disease, comprising several </w:t>
      </w:r>
      <w:r w:rsidR="008C4E2E" w:rsidRPr="00E9279E">
        <w:t>subtypes. Based on US SEER data;</w:t>
      </w:r>
      <w:r w:rsidR="008C4E2E" w:rsidRPr="00E9279E">
        <w:rPr>
          <w:rStyle w:val="FootnoteReference"/>
        </w:rPr>
        <w:footnoteReference w:id="2"/>
      </w:r>
      <w:r w:rsidRPr="00E9279E">
        <w:t xml:space="preserve"> hormone receptor</w:t>
      </w:r>
      <w:r w:rsidR="00DB48CF" w:rsidRPr="00E9279E">
        <w:t xml:space="preserve"> </w:t>
      </w:r>
      <w:r w:rsidRPr="00E9279E">
        <w:t>positive (HR+), human epidermal growth factor receptor 2</w:t>
      </w:r>
      <w:r w:rsidR="00DB48CF" w:rsidRPr="00E9279E">
        <w:t xml:space="preserve"> </w:t>
      </w:r>
      <w:r w:rsidRPr="00E9279E">
        <w:t>negative (HER2-) breast cancer is the most prevalent subtype, accounting for 73% of all breast cancers.</w:t>
      </w:r>
      <w:r w:rsidR="00196E93" w:rsidRPr="00E9279E">
        <w:rPr>
          <w:rStyle w:val="FootnoteReference"/>
        </w:rPr>
        <w:footnoteReference w:id="3"/>
      </w:r>
    </w:p>
    <w:p w14:paraId="29BFC77E" w14:textId="4D70E1DB" w:rsidR="00C314D3" w:rsidRPr="00E9279E" w:rsidRDefault="00C314D3" w:rsidP="00C314D3">
      <w:r w:rsidRPr="00E9279E">
        <w:t>Approximately 90% of patients with breast cancer are diagnosed at an early stage of their disease and treated with curative intent.</w:t>
      </w:r>
      <w:r w:rsidR="00196E93" w:rsidRPr="00E9279E">
        <w:rPr>
          <w:rStyle w:val="FootnoteReference"/>
        </w:rPr>
        <w:footnoteReference w:id="4"/>
      </w:r>
      <w:r w:rsidRPr="00E9279E">
        <w:t xml:space="preserve"> Treatment options for early breast cancer include surgery, radiotherapy, chemotherapy (neoadjuvant</w:t>
      </w:r>
      <w:r w:rsidR="0096683C" w:rsidRPr="00E9279E">
        <w:t xml:space="preserve"> or </w:t>
      </w:r>
      <w:r w:rsidRPr="00E9279E">
        <w:t>adjuvant) and endocrine therapy, with decisions regarding treatment informed by various factors including risk of recurrence.</w:t>
      </w:r>
    </w:p>
    <w:p w14:paraId="3D550677" w14:textId="4ABA1074" w:rsidR="00C314D3" w:rsidRPr="00E9279E" w:rsidRDefault="008C4E2E" w:rsidP="00C314D3">
      <w:r w:rsidRPr="00E9279E">
        <w:t xml:space="preserve">The </w:t>
      </w:r>
      <w:r w:rsidR="00916F88" w:rsidRPr="00E9279E">
        <w:t>tumour, node, metastasis (TNM) staging system</w:t>
      </w:r>
      <w:r w:rsidR="00C314D3" w:rsidRPr="00E9279E">
        <w:t>,</w:t>
      </w:r>
      <w:r w:rsidR="003607DF" w:rsidRPr="00E9279E">
        <w:rPr>
          <w:rStyle w:val="FootnoteReference"/>
        </w:rPr>
        <w:footnoteReference w:id="5"/>
      </w:r>
      <w:r w:rsidR="00C314D3" w:rsidRPr="00E9279E">
        <w:t xml:space="preserve"> immunohistochemistry (HR</w:t>
      </w:r>
      <w:r w:rsidR="0096683C" w:rsidRPr="00E9279E">
        <w:t xml:space="preserve"> or </w:t>
      </w:r>
      <w:r w:rsidR="00C314D3" w:rsidRPr="00E9279E">
        <w:t>HER2</w:t>
      </w:r>
      <w:r w:rsidR="00916F88" w:rsidRPr="00E9279E">
        <w:t xml:space="preserve"> positivity</w:t>
      </w:r>
      <w:r w:rsidR="00C314D3" w:rsidRPr="00E9279E">
        <w:t xml:space="preserve">), tumour grade, biomarker data and surgical findings are considered in the assessment of risk of disease recurrence. Clinical and pathological features that indicate a higher risk of distant disease relapse and the need for adjuvant treatment include large primary tumour size, </w:t>
      </w:r>
      <w:proofErr w:type="gramStart"/>
      <w:r w:rsidR="00C314D3" w:rsidRPr="00E9279E">
        <w:t>involvement</w:t>
      </w:r>
      <w:proofErr w:type="gramEnd"/>
      <w:r w:rsidR="00C314D3" w:rsidRPr="00E9279E">
        <w:t xml:space="preserve"> and degree of involvement of axillary lymph nodes, and high histologic grade. Those patients deemed at higher risk of recurrence often receive more extensive and aggressive primary treatment in the form of chemotherapy (either neoadjuvant or adjuvant), surgery, and/or radiotherapy.</w:t>
      </w:r>
    </w:p>
    <w:p w14:paraId="01E5C6F8" w14:textId="4A74268A" w:rsidR="00C314D3" w:rsidRPr="00E9279E" w:rsidRDefault="00C314D3" w:rsidP="00C314D3">
      <w:r w:rsidRPr="00E9279E">
        <w:t xml:space="preserve">The risk of recurrence of HR+, HER2- breast cancer varies over time. Whilst adjuvant </w:t>
      </w:r>
      <w:r w:rsidR="00C518AE" w:rsidRPr="00E9279E">
        <w:t>endocrine therapy</w:t>
      </w:r>
      <w:r w:rsidRPr="00E9279E">
        <w:t xml:space="preserve"> significantly reduces the risk of recurrence and death, approximately 20% of patients with HR+, HER2- breast cancer will relapse within 10 years of diagnosis.</w:t>
      </w:r>
      <w:r w:rsidR="0096148E" w:rsidRPr="00E9279E">
        <w:rPr>
          <w:rStyle w:val="FootnoteReference"/>
        </w:rPr>
        <w:footnoteReference w:id="6"/>
      </w:r>
      <w:r w:rsidRPr="00E9279E">
        <w:t xml:space="preserve"> Relapse within the first 2 years of treatment defines primary endocrine resistance.</w:t>
      </w:r>
      <w:bookmarkStart w:id="21" w:name="_Ref118195326"/>
      <w:r w:rsidR="0096148E" w:rsidRPr="00E9279E">
        <w:rPr>
          <w:rStyle w:val="FootnoteReference"/>
        </w:rPr>
        <w:footnoteReference w:id="7"/>
      </w:r>
      <w:bookmarkEnd w:id="21"/>
      <w:r w:rsidR="0096148E" w:rsidRPr="00E9279E">
        <w:t xml:space="preserve"> </w:t>
      </w:r>
      <w:r w:rsidRPr="00E9279E">
        <w:lastRenderedPageBreak/>
        <w:t>Recurrence of HR+ breast cancer can however occur much later. In a recent meta-analysis of trials including women with HR+ breast cancer disease</w:t>
      </w:r>
      <w:r w:rsidR="00EA612F" w:rsidRPr="00E9279E">
        <w:t>-</w:t>
      </w:r>
      <w:r w:rsidRPr="00E9279E">
        <w:t xml:space="preserve">free after 5 years of adjuvant </w:t>
      </w:r>
      <w:r w:rsidR="00C518AE" w:rsidRPr="00E9279E">
        <w:t>endocrine therapy</w:t>
      </w:r>
      <w:r w:rsidRPr="00E9279E">
        <w:t>, breast cancer recurrences continued to occur steadily throughout the study period from 5 to 20 years, with risk of distant recurrence strongly correlated with the original tumour diameter and nodal status.</w:t>
      </w:r>
      <w:r w:rsidR="0096148E" w:rsidRPr="00E9279E">
        <w:rPr>
          <w:rStyle w:val="FootnoteReference"/>
        </w:rPr>
        <w:footnoteReference w:id="8"/>
      </w:r>
    </w:p>
    <w:p w14:paraId="2FAE3AB2" w14:textId="343AAD00" w:rsidR="0096148E" w:rsidRPr="00E9279E" w:rsidRDefault="0096148E" w:rsidP="00E32FD0">
      <w:pPr>
        <w:pStyle w:val="Heading4"/>
      </w:pPr>
      <w:r w:rsidRPr="00E9279E">
        <w:t>Current management options</w:t>
      </w:r>
    </w:p>
    <w:p w14:paraId="1258B9B5" w14:textId="215D3D91" w:rsidR="00C314D3" w:rsidRPr="00E9279E" w:rsidRDefault="00C314D3" w:rsidP="00C314D3">
      <w:r w:rsidRPr="00E9279E">
        <w:t>There are numerous clinical management guidelines for HR+</w:t>
      </w:r>
      <w:r w:rsidR="00296D2A" w:rsidRPr="00E9279E">
        <w:t xml:space="preserve">, </w:t>
      </w:r>
      <w:r w:rsidRPr="00E9279E">
        <w:t xml:space="preserve">HER2- </w:t>
      </w:r>
      <w:r w:rsidR="00C518AE" w:rsidRPr="00E9279E">
        <w:t>early breast cancer</w:t>
      </w:r>
      <w:r w:rsidRPr="00E9279E">
        <w:t xml:space="preserve"> in Australia that are constantly evolving. In September 2020, Cancer Australia released a guidance document for the management of </w:t>
      </w:r>
      <w:r w:rsidR="00C518AE" w:rsidRPr="00E9279E">
        <w:t>early breast cancer</w:t>
      </w:r>
      <w:r w:rsidRPr="00E9279E">
        <w:t xml:space="preserve">, which includes recommendations and practice points on the management of </w:t>
      </w:r>
      <w:r w:rsidR="00C518AE" w:rsidRPr="00E9279E">
        <w:t>early breast cancer</w:t>
      </w:r>
      <w:r w:rsidRPr="00E9279E">
        <w:t xml:space="preserve"> that are of clinical relevance to specialists and general practitioners in Australia.</w:t>
      </w:r>
      <w:bookmarkStart w:id="22" w:name="_Ref114746439"/>
      <w:r w:rsidR="00296D2A" w:rsidRPr="00E9279E">
        <w:rPr>
          <w:rStyle w:val="FootnoteReference"/>
        </w:rPr>
        <w:footnoteReference w:id="9"/>
      </w:r>
      <w:bookmarkEnd w:id="22"/>
      <w:r w:rsidR="00F1576D" w:rsidRPr="00E9279E">
        <w:t xml:space="preserve"> </w:t>
      </w:r>
      <w:r w:rsidRPr="00E9279E">
        <w:t xml:space="preserve">In addition, international guidelines are available to support Australian clinicians in making treatment decisions. These include those produced by </w:t>
      </w:r>
      <w:r w:rsidR="00187EB3" w:rsidRPr="00E9279E">
        <w:t xml:space="preserve">the </w:t>
      </w:r>
      <w:r w:rsidR="00FA7653" w:rsidRPr="00E9279E">
        <w:t>European School of Oncology</w:t>
      </w:r>
      <w:r w:rsidRPr="00E9279E">
        <w:t>-</w:t>
      </w:r>
      <w:r w:rsidR="00FA7653" w:rsidRPr="00E9279E">
        <w:t>European Society for Medical Oncology (</w:t>
      </w:r>
      <w:r w:rsidRPr="00E9279E">
        <w:t>ESMO</w:t>
      </w:r>
      <w:r w:rsidR="00FA7653" w:rsidRPr="00E9279E">
        <w:t>)</w:t>
      </w:r>
      <w:r w:rsidRPr="00E9279E">
        <w:t>,</w:t>
      </w:r>
      <w:bookmarkStart w:id="23" w:name="_Ref114677781"/>
      <w:r w:rsidR="00CA034D" w:rsidRPr="00E9279E">
        <w:rPr>
          <w:vertAlign w:val="superscript"/>
        </w:rPr>
        <w:fldChar w:fldCharType="begin"/>
      </w:r>
      <w:r w:rsidR="00CA034D" w:rsidRPr="00E9279E">
        <w:rPr>
          <w:vertAlign w:val="superscript"/>
        </w:rPr>
        <w:instrText xml:space="preserve"> NOTEREF _Ref118195326 \h  \* MERGEFORMAT </w:instrText>
      </w:r>
      <w:r w:rsidR="00CA034D" w:rsidRPr="00E9279E">
        <w:rPr>
          <w:vertAlign w:val="superscript"/>
        </w:rPr>
      </w:r>
      <w:r w:rsidR="00CA034D" w:rsidRPr="00E9279E">
        <w:rPr>
          <w:vertAlign w:val="superscript"/>
        </w:rPr>
        <w:fldChar w:fldCharType="separate"/>
      </w:r>
      <w:r w:rsidR="00E9279E">
        <w:rPr>
          <w:vertAlign w:val="superscript"/>
        </w:rPr>
        <w:t>7</w:t>
      </w:r>
      <w:r w:rsidR="00CA034D" w:rsidRPr="00E9279E">
        <w:rPr>
          <w:vertAlign w:val="superscript"/>
        </w:rPr>
        <w:fldChar w:fldCharType="end"/>
      </w:r>
      <w:bookmarkEnd w:id="23"/>
      <w:r w:rsidRPr="00E9279E">
        <w:t xml:space="preserve"> St. Gallen</w:t>
      </w:r>
      <w:r w:rsidR="002B7A02" w:rsidRPr="00E9279E">
        <w:t xml:space="preserve"> International</w:t>
      </w:r>
      <w:r w:rsidRPr="00E9279E">
        <w:t xml:space="preserve"> Consensus Guidelines,</w:t>
      </w:r>
      <w:bookmarkStart w:id="24" w:name="_Ref118112343"/>
      <w:r w:rsidR="00196E93" w:rsidRPr="00E9279E">
        <w:rPr>
          <w:rStyle w:val="FootnoteReference"/>
        </w:rPr>
        <w:footnoteReference w:id="10"/>
      </w:r>
      <w:bookmarkEnd w:id="24"/>
      <w:r w:rsidR="00187EB3" w:rsidRPr="00E9279E">
        <w:rPr>
          <w:vertAlign w:val="superscript"/>
        </w:rPr>
        <w:t>,</w:t>
      </w:r>
      <w:bookmarkStart w:id="25" w:name="_Ref118112346"/>
      <w:r w:rsidR="00187EB3" w:rsidRPr="00E9279E">
        <w:rPr>
          <w:rStyle w:val="FootnoteReference"/>
        </w:rPr>
        <w:footnoteReference w:id="11"/>
      </w:r>
      <w:bookmarkEnd w:id="25"/>
      <w:r w:rsidRPr="00E9279E">
        <w:t xml:space="preserve"> </w:t>
      </w:r>
      <w:r w:rsidR="00187EB3" w:rsidRPr="00E9279E">
        <w:t>American Society of Clinical Oncology,</w:t>
      </w:r>
      <w:r w:rsidR="00187EB3" w:rsidRPr="00E9279E">
        <w:rPr>
          <w:rStyle w:val="FootnoteReference"/>
        </w:rPr>
        <w:footnoteReference w:id="12"/>
      </w:r>
      <w:r w:rsidR="00187EB3" w:rsidRPr="00E9279E">
        <w:rPr>
          <w:vertAlign w:val="superscript"/>
        </w:rPr>
        <w:t>,</w:t>
      </w:r>
      <w:r w:rsidR="00187EB3" w:rsidRPr="00E9279E">
        <w:rPr>
          <w:rStyle w:val="FootnoteReference"/>
        </w:rPr>
        <w:footnoteReference w:id="13"/>
      </w:r>
      <w:r w:rsidRPr="00E9279E">
        <w:t xml:space="preserve"> </w:t>
      </w:r>
      <w:r w:rsidR="00F019D0" w:rsidRPr="00E9279E">
        <w:t>the United States</w:t>
      </w:r>
      <w:r w:rsidR="002B7A02" w:rsidRPr="00E9279E">
        <w:t xml:space="preserve"> (US)</w:t>
      </w:r>
      <w:r w:rsidR="00F019D0" w:rsidRPr="00E9279E">
        <w:t xml:space="preserve"> </w:t>
      </w:r>
      <w:r w:rsidR="00187EB3" w:rsidRPr="00E9279E">
        <w:t>National Comprehensive Cancer Network</w:t>
      </w:r>
      <w:r w:rsidRPr="00E9279E">
        <w:t>,</w:t>
      </w:r>
      <w:r w:rsidR="00FA7653" w:rsidRPr="00E9279E">
        <w:rPr>
          <w:rStyle w:val="FootnoteReference"/>
        </w:rPr>
        <w:footnoteReference w:id="14"/>
      </w:r>
      <w:r w:rsidRPr="00E9279E">
        <w:t xml:space="preserve"> </w:t>
      </w:r>
      <w:r w:rsidR="00F019D0" w:rsidRPr="00E9279E">
        <w:t xml:space="preserve">the US </w:t>
      </w:r>
      <w:r w:rsidR="00187EB3" w:rsidRPr="00E9279E">
        <w:t>National Cancer Institute,</w:t>
      </w:r>
      <w:r w:rsidR="00FA7653" w:rsidRPr="00E9279E">
        <w:rPr>
          <w:rStyle w:val="FootnoteReference"/>
        </w:rPr>
        <w:footnoteReference w:id="15"/>
      </w:r>
      <w:r w:rsidRPr="00E9279E">
        <w:t xml:space="preserve"> and </w:t>
      </w:r>
      <w:r w:rsidR="00F019D0" w:rsidRPr="00E9279E">
        <w:t xml:space="preserve">the </w:t>
      </w:r>
      <w:r w:rsidR="00187EB3" w:rsidRPr="00E9279E">
        <w:t>National Institute for Health and Care Excellence</w:t>
      </w:r>
      <w:r w:rsidR="00916F88" w:rsidRPr="00E9279E">
        <w:t xml:space="preserve"> in the United Kingdom</w:t>
      </w:r>
      <w:r w:rsidRPr="00E9279E">
        <w:t>.</w:t>
      </w:r>
      <w:r w:rsidR="00FA7653" w:rsidRPr="00E9279E">
        <w:rPr>
          <w:rStyle w:val="FootnoteReference"/>
        </w:rPr>
        <w:footnoteReference w:id="16"/>
      </w:r>
    </w:p>
    <w:p w14:paraId="70D8FFAF" w14:textId="362D9460" w:rsidR="00C314D3" w:rsidRPr="00E9279E" w:rsidRDefault="00C314D3" w:rsidP="00C314D3">
      <w:r w:rsidRPr="00E9279E">
        <w:t>All guidelines have a similar sequential treatment approach</w:t>
      </w:r>
      <w:r w:rsidR="00196E93" w:rsidRPr="00E9279E">
        <w:t xml:space="preserve"> as described below</w:t>
      </w:r>
      <w:r w:rsidRPr="00E9279E">
        <w:t>:</w:t>
      </w:r>
    </w:p>
    <w:p w14:paraId="4FD5DFD9" w14:textId="4BAB9836" w:rsidR="00C314D3" w:rsidRPr="00E9279E" w:rsidRDefault="00C314D3" w:rsidP="002F645C">
      <w:pPr>
        <w:pStyle w:val="ListBullet"/>
      </w:pPr>
      <w:r w:rsidRPr="00E9279E">
        <w:t>Surgical excision followed very often by radiotherapy.</w:t>
      </w:r>
    </w:p>
    <w:p w14:paraId="5AF96AA9" w14:textId="40DEF1F2" w:rsidR="00C314D3" w:rsidRPr="00E9279E" w:rsidRDefault="00C314D3" w:rsidP="002F645C">
      <w:pPr>
        <w:pStyle w:val="ListBullet"/>
      </w:pPr>
      <w:r w:rsidRPr="00E9279E">
        <w:t xml:space="preserve">Some patients may receive neoadjuvant treatment prior to surgery (chemotherapy, </w:t>
      </w:r>
      <w:r w:rsidR="00C518AE" w:rsidRPr="00E9279E">
        <w:t>endocrine therapy</w:t>
      </w:r>
      <w:r w:rsidRPr="00E9279E">
        <w:t xml:space="preserve"> or other).</w:t>
      </w:r>
    </w:p>
    <w:p w14:paraId="2D7DC5A3" w14:textId="70AD3199" w:rsidR="00C314D3" w:rsidRPr="00E9279E" w:rsidRDefault="00C314D3" w:rsidP="002F645C">
      <w:pPr>
        <w:pStyle w:val="ListBullet"/>
      </w:pPr>
      <w:r w:rsidRPr="00E9279E">
        <w:t>The use of adjuvant systemic therapy after surgery is based on estimated individual risk of disease recurrence and predicted sensitivity to available systemic therapies. Patients with node</w:t>
      </w:r>
      <w:r w:rsidR="00DB48CF" w:rsidRPr="00E9279E">
        <w:t xml:space="preserve"> </w:t>
      </w:r>
      <w:r w:rsidRPr="00E9279E">
        <w:t xml:space="preserve">positive disease are most often candidates for chemotherapy in either a neoadjuvant and/or adjuvant setting. Adjuvant </w:t>
      </w:r>
      <w:r w:rsidR="00C518AE" w:rsidRPr="00E9279E">
        <w:t>endocrine therapy</w:t>
      </w:r>
      <w:r w:rsidRPr="00E9279E">
        <w:t xml:space="preserve"> is indicated in all patients with HR+ disease and prescribed for 5</w:t>
      </w:r>
      <w:r w:rsidR="00196E93" w:rsidRPr="00E9279E">
        <w:t xml:space="preserve"> to </w:t>
      </w:r>
      <w:r w:rsidRPr="00E9279E">
        <w:t xml:space="preserve">10 years following primary treatment. The choice of agent (tamoxifen and/or </w:t>
      </w:r>
      <w:r w:rsidR="00D008C9" w:rsidRPr="00E9279E">
        <w:t>aromatase inhibitor</w:t>
      </w:r>
      <w:r w:rsidRPr="00E9279E">
        <w:t>) is primarily determined by the patient’s menopausal status, ovarian function suppression, and physician preference.</w:t>
      </w:r>
    </w:p>
    <w:p w14:paraId="67EB895B" w14:textId="77777777" w:rsidR="00F1576D" w:rsidRPr="00E9279E" w:rsidRDefault="00C314D3" w:rsidP="00C314D3">
      <w:r w:rsidRPr="00E9279E">
        <w:lastRenderedPageBreak/>
        <w:t xml:space="preserve">Currently approved </w:t>
      </w:r>
      <w:r w:rsidR="00C518AE" w:rsidRPr="00E9279E">
        <w:t>endocrine therapy</w:t>
      </w:r>
      <w:r w:rsidRPr="00E9279E">
        <w:t xml:space="preserve"> options in Australia for patients with breast cancer or specifically early breast cancer are summarised below</w:t>
      </w:r>
      <w:r w:rsidR="00F1576D" w:rsidRPr="00E9279E">
        <w:t>:</w:t>
      </w:r>
    </w:p>
    <w:p w14:paraId="63E27E11" w14:textId="7469D1EC" w:rsidR="00FD39B7" w:rsidRPr="00E9279E" w:rsidRDefault="00C314D3" w:rsidP="00DF5A16">
      <w:pPr>
        <w:pStyle w:val="ListBullet"/>
      </w:pPr>
      <w:r w:rsidRPr="00E9279E">
        <w:t>Tamoxifen</w:t>
      </w:r>
      <w:r w:rsidR="00FD39B7" w:rsidRPr="00E9279E">
        <w:t>,</w:t>
      </w:r>
      <w:r w:rsidR="006E47AB" w:rsidRPr="00E9279E">
        <w:rPr>
          <w:rStyle w:val="FootnoteReference"/>
        </w:rPr>
        <w:footnoteReference w:id="17"/>
      </w:r>
      <w:r w:rsidR="00F1576D" w:rsidRPr="00E9279E">
        <w:t xml:space="preserve"> </w:t>
      </w:r>
      <w:r w:rsidR="00916F88" w:rsidRPr="00E9279E">
        <w:t>(</w:t>
      </w:r>
      <w:r w:rsidR="00F1576D" w:rsidRPr="00E9279E">
        <w:t>a selective estrogen receptor modulator</w:t>
      </w:r>
      <w:r w:rsidR="00916F88" w:rsidRPr="00E9279E">
        <w:t>)</w:t>
      </w:r>
      <w:r w:rsidR="00FD39B7" w:rsidRPr="00E9279E">
        <w:t>; letrozole,</w:t>
      </w:r>
      <w:r w:rsidR="006E47AB" w:rsidRPr="00E9279E">
        <w:rPr>
          <w:rStyle w:val="FootnoteReference"/>
        </w:rPr>
        <w:footnoteReference w:id="18"/>
      </w:r>
      <w:r w:rsidR="00F1576D" w:rsidRPr="00E9279E">
        <w:t xml:space="preserve"> </w:t>
      </w:r>
      <w:r w:rsidR="00916F88" w:rsidRPr="00E9279E">
        <w:t xml:space="preserve">or </w:t>
      </w:r>
      <w:r w:rsidR="00FD39B7" w:rsidRPr="00E9279E">
        <w:t>anastrozole,</w:t>
      </w:r>
      <w:r w:rsidR="006E47AB" w:rsidRPr="00E9279E">
        <w:rPr>
          <w:rStyle w:val="FootnoteReference"/>
        </w:rPr>
        <w:footnoteReference w:id="19"/>
      </w:r>
      <w:r w:rsidR="00FD39B7" w:rsidRPr="00E9279E">
        <w:t xml:space="preserve"> </w:t>
      </w:r>
      <w:r w:rsidR="00916F88" w:rsidRPr="00E9279E">
        <w:t>(both</w:t>
      </w:r>
      <w:r w:rsidR="00FD39B7" w:rsidRPr="00E9279E">
        <w:t xml:space="preserve"> non-steroidal aromatase inhibitor</w:t>
      </w:r>
      <w:r w:rsidR="00916F88" w:rsidRPr="00E9279E">
        <w:t>s)</w:t>
      </w:r>
      <w:r w:rsidR="00FD39B7" w:rsidRPr="00E9279E">
        <w:t xml:space="preserve"> are approved for their first line indications for the treatment of breast cancer.</w:t>
      </w:r>
    </w:p>
    <w:p w14:paraId="031E3467" w14:textId="60B2F70E" w:rsidR="00C314D3" w:rsidRPr="00E9279E" w:rsidRDefault="00FD39B7" w:rsidP="00DF5A16">
      <w:pPr>
        <w:pStyle w:val="ListBullet"/>
      </w:pPr>
      <w:r w:rsidRPr="00E9279E">
        <w:t>Exemestane,</w:t>
      </w:r>
      <w:r w:rsidR="006E47AB" w:rsidRPr="00E9279E">
        <w:rPr>
          <w:rStyle w:val="FootnoteReference"/>
        </w:rPr>
        <w:footnoteReference w:id="20"/>
      </w:r>
      <w:r w:rsidRPr="00E9279E">
        <w:t xml:space="preserve"> a steroidal aromatase inhibitor</w:t>
      </w:r>
      <w:r w:rsidR="00C314D3" w:rsidRPr="00E9279E">
        <w:t xml:space="preserve"> is </w:t>
      </w:r>
      <w:r w:rsidRPr="00E9279E">
        <w:t xml:space="preserve">approved for its </w:t>
      </w:r>
      <w:r w:rsidR="00C314D3" w:rsidRPr="00E9279E">
        <w:t xml:space="preserve">second line </w:t>
      </w:r>
      <w:r w:rsidRPr="00E9279E">
        <w:t>indications in patients who have received prior adjuvant tamoxifen therapy</w:t>
      </w:r>
      <w:r w:rsidR="00C314D3" w:rsidRPr="00E9279E">
        <w:t>.</w:t>
      </w:r>
    </w:p>
    <w:p w14:paraId="38CD0E03" w14:textId="0AECF1D9" w:rsidR="00C314D3" w:rsidRPr="00E9279E" w:rsidRDefault="00C314D3" w:rsidP="00F1576D">
      <w:pPr>
        <w:pStyle w:val="ListBullet"/>
      </w:pPr>
      <w:proofErr w:type="spellStart"/>
      <w:r w:rsidRPr="00E9279E">
        <w:t>Goserelin</w:t>
      </w:r>
      <w:proofErr w:type="spellEnd"/>
      <w:r w:rsidR="00FD39B7" w:rsidRPr="00E9279E">
        <w:t>,</w:t>
      </w:r>
      <w:r w:rsidR="006E47AB" w:rsidRPr="00E9279E">
        <w:rPr>
          <w:rStyle w:val="FootnoteReference"/>
        </w:rPr>
        <w:footnoteReference w:id="21"/>
      </w:r>
      <w:r w:rsidR="00FD39B7" w:rsidRPr="00E9279E">
        <w:t xml:space="preserve"> a </w:t>
      </w:r>
      <w:r w:rsidR="00DB48CF" w:rsidRPr="00E9279E">
        <w:t>luteinising hormone-releasing hormone (</w:t>
      </w:r>
      <w:r w:rsidR="00FD39B7" w:rsidRPr="00E9279E">
        <w:t>LHRH</w:t>
      </w:r>
      <w:r w:rsidR="00DB48CF" w:rsidRPr="00E9279E">
        <w:t>)</w:t>
      </w:r>
      <w:r w:rsidR="00FD39B7" w:rsidRPr="00E9279E">
        <w:t xml:space="preserve"> agonist</w:t>
      </w:r>
      <w:r w:rsidRPr="00E9279E">
        <w:t xml:space="preserve"> is indicated as adjuvant therapy in early breast cancer, in pre- and peri-menopausal women suitable for hormonal manipulation.</w:t>
      </w:r>
    </w:p>
    <w:p w14:paraId="0F627C45" w14:textId="77777777" w:rsidR="0003346F" w:rsidRPr="00E9279E" w:rsidRDefault="0003346F" w:rsidP="0003346F">
      <w:pPr>
        <w:pStyle w:val="Heading4"/>
      </w:pPr>
      <w:r w:rsidRPr="00E9279E">
        <w:t>Cyclin-D dependent kinase inhibitors</w:t>
      </w:r>
    </w:p>
    <w:p w14:paraId="50461CB0" w14:textId="77777777" w:rsidR="0003346F" w:rsidRPr="00E9279E" w:rsidRDefault="0003346F" w:rsidP="0003346F">
      <w:proofErr w:type="spellStart"/>
      <w:r w:rsidRPr="00E9279E">
        <w:t>Abemaciclib</w:t>
      </w:r>
      <w:proofErr w:type="spellEnd"/>
      <w:r w:rsidRPr="00E9279E">
        <w:t xml:space="preserve">, </w:t>
      </w:r>
      <w:proofErr w:type="spellStart"/>
      <w:r w:rsidRPr="00E9279E">
        <w:t>palbociclib</w:t>
      </w:r>
      <w:proofErr w:type="spellEnd"/>
      <w:r w:rsidRPr="00E9279E">
        <w:t xml:space="preserve"> and </w:t>
      </w:r>
      <w:proofErr w:type="spellStart"/>
      <w:r w:rsidRPr="00E9279E">
        <w:t>ribociclib</w:t>
      </w:r>
      <w:proofErr w:type="spellEnd"/>
      <w:r w:rsidRPr="00E9279E">
        <w:t xml:space="preserve"> are inhibitors of cyclin-D dependent kinases 4 and 6 (CDK4 and CDK6), currently registered in Australia for use in the locally advanced/metastatic breast cancer setting.</w:t>
      </w:r>
    </w:p>
    <w:p w14:paraId="2CC75991" w14:textId="77777777" w:rsidR="0003346F" w:rsidRPr="00E9279E" w:rsidRDefault="0003346F" w:rsidP="0003346F">
      <w:r w:rsidRPr="00E9279E">
        <w:t xml:space="preserve">Via inhibition of inhibition of CDK4 and CDK6, </w:t>
      </w:r>
      <w:proofErr w:type="spellStart"/>
      <w:r w:rsidRPr="00E9279E">
        <w:t>abemaciclib</w:t>
      </w:r>
      <w:proofErr w:type="spellEnd"/>
      <w:r w:rsidRPr="00E9279E">
        <w:t xml:space="preserve"> prevents retinoblastoma protein phosphorylation, thereby blocking progression from the gap 1 phase into synthesis phase of the cell cycle. In estrogen receptor positive breast cancer cell lines, sustained target inhibition by </w:t>
      </w:r>
      <w:proofErr w:type="spellStart"/>
      <w:r w:rsidRPr="00E9279E">
        <w:t>abemaciclib</w:t>
      </w:r>
      <w:proofErr w:type="spellEnd"/>
      <w:r w:rsidRPr="00E9279E">
        <w:t xml:space="preserve"> prevents rebound of retinoblastoma protein phosphorylation.</w:t>
      </w:r>
    </w:p>
    <w:p w14:paraId="76C3CA0B" w14:textId="4B6A26C9" w:rsidR="0003346F" w:rsidRPr="00E9279E" w:rsidRDefault="0003346F" w:rsidP="0003346F">
      <w:r w:rsidRPr="00E9279E">
        <w:t xml:space="preserve">Clinical efficacy has been observed for </w:t>
      </w:r>
      <w:proofErr w:type="spellStart"/>
      <w:r w:rsidRPr="00E9279E">
        <w:t>abemaciclib</w:t>
      </w:r>
      <w:proofErr w:type="spellEnd"/>
      <w:r w:rsidRPr="00E9279E">
        <w:t xml:space="preserve"> in terms of improved progression-free survival and overall survival (OS) in Phase III studies in patients with metastatic breast cancer treated with </w:t>
      </w:r>
      <w:proofErr w:type="spellStart"/>
      <w:r w:rsidRPr="00E9279E">
        <w:t>abemaciclib</w:t>
      </w:r>
      <w:proofErr w:type="spellEnd"/>
      <w:r w:rsidRPr="00E9279E">
        <w:t xml:space="preserve"> plus </w:t>
      </w:r>
      <w:proofErr w:type="spellStart"/>
      <w:r w:rsidRPr="00E9279E">
        <w:t>fulvestrant</w:t>
      </w:r>
      <w:proofErr w:type="spellEnd"/>
      <w:r w:rsidRPr="00E9279E">
        <w:t xml:space="preserve"> (the MONARCH 2 trial) or </w:t>
      </w:r>
      <w:proofErr w:type="spellStart"/>
      <w:r w:rsidRPr="00E9279E">
        <w:t>abemaciclib</w:t>
      </w:r>
      <w:proofErr w:type="spellEnd"/>
      <w:r w:rsidRPr="00E9279E">
        <w:t xml:space="preserve"> plus aromatase inhibitors (MONARCH 3 trial).</w:t>
      </w:r>
    </w:p>
    <w:p w14:paraId="3F06B9B2" w14:textId="02ED7FF3" w:rsidR="0003346F" w:rsidRPr="00E9279E" w:rsidRDefault="0003346F" w:rsidP="001B7EB8">
      <w:r w:rsidRPr="00E9279E">
        <w:t xml:space="preserve">In this submission, the sponsor has submitted results for the Phase III </w:t>
      </w:r>
      <w:r w:rsidR="001B7EB8" w:rsidRPr="00E9279E">
        <w:t>MONARCHE</w:t>
      </w:r>
      <w:r w:rsidRPr="00E9279E">
        <w:t xml:space="preserve"> trial (Study I3Y-MC-JPCF) aiming to evaluate </w:t>
      </w:r>
      <w:proofErr w:type="spellStart"/>
      <w:r w:rsidRPr="00E9279E">
        <w:t>abemaciclib</w:t>
      </w:r>
      <w:proofErr w:type="spellEnd"/>
      <w:r w:rsidRPr="00E9279E">
        <w:t xml:space="preserve"> in combination with standard adjuvant endocrine therapy in patients with node-positive, early stage, HR+, HER2-, invasive breast cancer at high risk of recurrence as determined by clinical and pathological features.</w:t>
      </w:r>
    </w:p>
    <w:p w14:paraId="21F73D43" w14:textId="3A426B9C" w:rsidR="0003346F" w:rsidRPr="00E9279E" w:rsidRDefault="0003346F" w:rsidP="001B7EB8">
      <w:r w:rsidRPr="00E9279E">
        <w:t xml:space="preserve">The sponsor’s rationale for the investigation of </w:t>
      </w:r>
      <w:proofErr w:type="spellStart"/>
      <w:r w:rsidRPr="00E9279E">
        <w:t>abemaciclib</w:t>
      </w:r>
      <w:proofErr w:type="spellEnd"/>
      <w:r w:rsidRPr="00E9279E">
        <w:t xml:space="preserve"> in this setting from the submission was due to high percentage (approximately 30%) of patients with HR+ early breast cancer eventually </w:t>
      </w:r>
      <w:proofErr w:type="gramStart"/>
      <w:r w:rsidRPr="00E9279E">
        <w:t>experience</w:t>
      </w:r>
      <w:proofErr w:type="gramEnd"/>
      <w:r w:rsidRPr="00E9279E">
        <w:t xml:space="preserve"> disease relapse with metastases following treatment with curative intent with current standard of care adjuvant endocrine therapy. Since the introduction of aromatase inhibitors in the early 2000s in HR+ early breast cancer, little improvement in the outcomes for patients with HR+ early breast cancer has occurred. There continues to be unmet need in patients with HR+ early breast cancer at high risk of recurrence, with reports in the literature of 5-year distant recurrence risks of approximately 20% in patients with high (4 to 9) nodal involvement.</w:t>
      </w:r>
    </w:p>
    <w:p w14:paraId="61D51C6E" w14:textId="3DB0AE2B" w:rsidR="00E22C33" w:rsidRPr="00E9279E" w:rsidRDefault="00E22C33" w:rsidP="001B7EB8">
      <w:pPr>
        <w:pStyle w:val="Heading4"/>
      </w:pPr>
      <w:bookmarkStart w:id="26" w:name="_Ref118108900"/>
      <w:r w:rsidRPr="00E9279E">
        <w:t>Ki-67 as prognostic biomarker</w:t>
      </w:r>
      <w:bookmarkEnd w:id="26"/>
    </w:p>
    <w:p w14:paraId="3E167566" w14:textId="4D25B4C6" w:rsidR="0003346F" w:rsidRPr="00E9279E" w:rsidRDefault="0003346F">
      <w:r w:rsidRPr="00E9279E">
        <w:t xml:space="preserve">Study I3Y-MC-JPCF (the </w:t>
      </w:r>
      <w:r w:rsidR="001B7EB8" w:rsidRPr="00E9279E">
        <w:t xml:space="preserve">MONARCHE </w:t>
      </w:r>
      <w:r w:rsidRPr="00E9279E">
        <w:t>trial) utilised centrally assessed Ki-67 as a method to identify highly proliferative tumours with a greater risk of recurrence.</w:t>
      </w:r>
    </w:p>
    <w:p w14:paraId="19DF7FF7" w14:textId="58697C5F" w:rsidR="003607DF" w:rsidRPr="00E9279E" w:rsidRDefault="00DA7964" w:rsidP="00575E85">
      <w:r w:rsidRPr="00E9279E">
        <w:lastRenderedPageBreak/>
        <w:t>The sponsor’s rational for</w:t>
      </w:r>
      <w:r w:rsidR="003607DF" w:rsidRPr="00E9279E">
        <w:t xml:space="preserve"> the use of Ki-67</w:t>
      </w:r>
      <w:r w:rsidR="00365D6B" w:rsidRPr="00E9279E">
        <w:t>;</w:t>
      </w:r>
      <w:bookmarkStart w:id="27" w:name="_Ref118194795"/>
      <w:r w:rsidR="00365D6B" w:rsidRPr="00E9279E">
        <w:rPr>
          <w:rStyle w:val="FootnoteReference"/>
        </w:rPr>
        <w:footnoteReference w:id="22"/>
      </w:r>
      <w:bookmarkEnd w:id="27"/>
      <w:r w:rsidR="003607DF" w:rsidRPr="00E9279E">
        <w:t xml:space="preserve"> </w:t>
      </w:r>
      <w:r w:rsidRPr="00E9279E">
        <w:t>in the management of patients with early breast cancer in Australia are as follows</w:t>
      </w:r>
      <w:r w:rsidR="003607DF" w:rsidRPr="00E9279E">
        <w:t>:</w:t>
      </w:r>
    </w:p>
    <w:p w14:paraId="2E3CE632" w14:textId="22429582" w:rsidR="003607DF" w:rsidRPr="00E9279E" w:rsidRDefault="003607DF" w:rsidP="00575E85">
      <w:pPr>
        <w:ind w:left="720"/>
      </w:pPr>
      <w:r w:rsidRPr="00E9279E">
        <w:t>In Australia, Ki-67 is not used routinely in the clinical setting. The Clinical Oncology Society of Australia is in agreement with the Early Breast Cancer: ESMO Clinical Practice Guidelines,</w:t>
      </w:r>
      <w:r w:rsidR="00D962C5" w:rsidRPr="00E9279E">
        <w:rPr>
          <w:vertAlign w:val="superscript"/>
        </w:rPr>
        <w:fldChar w:fldCharType="begin"/>
      </w:r>
      <w:r w:rsidR="00D962C5" w:rsidRPr="00E9279E">
        <w:rPr>
          <w:vertAlign w:val="superscript"/>
        </w:rPr>
        <w:instrText xml:space="preserve"> NOTEREF _Ref118195326 \h  \* MERGEFORMAT </w:instrText>
      </w:r>
      <w:r w:rsidR="00D962C5" w:rsidRPr="00E9279E">
        <w:rPr>
          <w:vertAlign w:val="superscript"/>
        </w:rPr>
      </w:r>
      <w:r w:rsidR="00D962C5" w:rsidRPr="00E9279E">
        <w:rPr>
          <w:vertAlign w:val="superscript"/>
        </w:rPr>
        <w:fldChar w:fldCharType="separate"/>
      </w:r>
      <w:r w:rsidR="00E9279E">
        <w:rPr>
          <w:vertAlign w:val="superscript"/>
        </w:rPr>
        <w:t>7</w:t>
      </w:r>
      <w:r w:rsidR="00D962C5" w:rsidRPr="00E9279E">
        <w:rPr>
          <w:vertAlign w:val="superscript"/>
        </w:rPr>
        <w:fldChar w:fldCharType="end"/>
      </w:r>
      <w:r w:rsidRPr="00E9279E">
        <w:t xml:space="preserve"> acknowledges the proliferative activity of tumour cells represents an important prognostic marker in the diagnosis of cancer, and recognises that the proliferative biomarker Ki-67 may provide useful information in the diagnoses of cancer, particularly if the assay can be standardised. However, there is currently a lack of a standard method to ascertain the Ki-67 index in a reproducible way in Australia. This lack of standardisation, combined with the heterogeneity in Ki-67 labelling and techniques, leads to inter- and intra-operator variability in the histological assessments, upon which therapeutic options might be determined. The absence of international consensus for Ki</w:t>
      </w:r>
      <w:r w:rsidR="00E22C33" w:rsidRPr="00E9279E">
        <w:t>-</w:t>
      </w:r>
      <w:r w:rsidRPr="00E9279E">
        <w:t>67 scoring and threshold means there are no established guidelines for use of Ki-67 in Australia.</w:t>
      </w:r>
    </w:p>
    <w:p w14:paraId="7157E03B" w14:textId="5259CCD8" w:rsidR="003607DF" w:rsidRPr="00E9279E" w:rsidRDefault="003607DF" w:rsidP="00575E85">
      <w:pPr>
        <w:ind w:left="720"/>
      </w:pPr>
      <w:r w:rsidRPr="00E9279E">
        <w:t xml:space="preserve">Advice sought </w:t>
      </w:r>
      <w:r w:rsidR="00365D6B" w:rsidRPr="00E9279E">
        <w:t xml:space="preserve">from clinical experts </w:t>
      </w:r>
      <w:r w:rsidR="00DA7964" w:rsidRPr="00E9279E">
        <w:t xml:space="preserve">and Australian guidance has </w:t>
      </w:r>
      <w:r w:rsidRPr="00E9279E">
        <w:t>determined that</w:t>
      </w:r>
      <w:r w:rsidR="00DA7964" w:rsidRPr="00E9279E">
        <w:t>:</w:t>
      </w:r>
    </w:p>
    <w:p w14:paraId="53422FFE" w14:textId="79D15192" w:rsidR="003607DF" w:rsidRPr="00E9279E" w:rsidRDefault="003607DF" w:rsidP="00DA7964">
      <w:pPr>
        <w:pStyle w:val="ListBullet2"/>
      </w:pPr>
      <w:r w:rsidRPr="00E9279E">
        <w:t>Ki-67 indexing is not routinely measured by pathology laboratories in Australia</w:t>
      </w:r>
      <w:r w:rsidR="001D5792" w:rsidRPr="00E9279E">
        <w:t>,</w:t>
      </w:r>
      <w:r w:rsidR="00F964B4" w:rsidRPr="00E9279E">
        <w:rPr>
          <w:rStyle w:val="FootnoteReference"/>
        </w:rPr>
        <w:footnoteReference w:id="23"/>
      </w:r>
      <w:r w:rsidR="001D5792" w:rsidRPr="00E9279E">
        <w:rPr>
          <w:vertAlign w:val="superscript"/>
        </w:rPr>
        <w:t>,</w:t>
      </w:r>
      <w:r w:rsidR="001D5792" w:rsidRPr="00E9279E">
        <w:rPr>
          <w:vertAlign w:val="superscript"/>
        </w:rPr>
        <w:fldChar w:fldCharType="begin"/>
      </w:r>
      <w:r w:rsidR="001D5792" w:rsidRPr="00E9279E">
        <w:rPr>
          <w:vertAlign w:val="superscript"/>
        </w:rPr>
        <w:instrText xml:space="preserve"> NOTEREF _Ref114746439 \h  \* MERGEFORMAT </w:instrText>
      </w:r>
      <w:r w:rsidR="001D5792" w:rsidRPr="00E9279E">
        <w:rPr>
          <w:vertAlign w:val="superscript"/>
        </w:rPr>
      </w:r>
      <w:r w:rsidR="001D5792" w:rsidRPr="00E9279E">
        <w:rPr>
          <w:vertAlign w:val="superscript"/>
        </w:rPr>
        <w:fldChar w:fldCharType="separate"/>
      </w:r>
      <w:r w:rsidR="00E9279E">
        <w:rPr>
          <w:vertAlign w:val="superscript"/>
        </w:rPr>
        <w:t>9</w:t>
      </w:r>
      <w:r w:rsidR="001D5792" w:rsidRPr="00E9279E">
        <w:rPr>
          <w:vertAlign w:val="superscript"/>
        </w:rPr>
        <w:fldChar w:fldCharType="end"/>
      </w:r>
      <w:r w:rsidRPr="00E9279E">
        <w:t xml:space="preserve"> and</w:t>
      </w:r>
    </w:p>
    <w:p w14:paraId="2D380728" w14:textId="44BD5B7F" w:rsidR="003607DF" w:rsidRPr="00E9279E" w:rsidRDefault="003607DF" w:rsidP="00DA7964">
      <w:pPr>
        <w:pStyle w:val="ListBullet2"/>
      </w:pPr>
      <w:r w:rsidRPr="00E9279E">
        <w:t>Ki-67 proliferation rate is also not a standard requirement of the Royal College of Pathologists of Australasia for reporting.</w:t>
      </w:r>
      <w:r w:rsidR="00365D6B" w:rsidRPr="00E9279E">
        <w:rPr>
          <w:rStyle w:val="FootnoteReference"/>
        </w:rPr>
        <w:footnoteReference w:id="24"/>
      </w:r>
    </w:p>
    <w:p w14:paraId="597741E0" w14:textId="4186EFAF" w:rsidR="003607DF" w:rsidRPr="00E9279E" w:rsidRDefault="003607DF" w:rsidP="00372E61">
      <w:pPr>
        <w:pStyle w:val="ListBullet2"/>
        <w:numPr>
          <w:ilvl w:val="0"/>
          <w:numId w:val="0"/>
        </w:numPr>
        <w:ind w:left="720"/>
      </w:pPr>
      <w:r w:rsidRPr="00E9279E">
        <w:t>Cancer Australia Early Breast Cancer Guidance, released in 2020,</w:t>
      </w:r>
      <w:r w:rsidR="001D5792" w:rsidRPr="00E9279E">
        <w:rPr>
          <w:vertAlign w:val="superscript"/>
        </w:rPr>
        <w:fldChar w:fldCharType="begin"/>
      </w:r>
      <w:r w:rsidR="001D5792" w:rsidRPr="00E9279E">
        <w:rPr>
          <w:vertAlign w:val="superscript"/>
        </w:rPr>
        <w:instrText xml:space="preserve"> NOTEREF _Ref114746439 \h  \* MERGEFORMAT </w:instrText>
      </w:r>
      <w:r w:rsidR="001D5792" w:rsidRPr="00E9279E">
        <w:rPr>
          <w:vertAlign w:val="superscript"/>
        </w:rPr>
      </w:r>
      <w:r w:rsidR="001D5792" w:rsidRPr="00E9279E">
        <w:rPr>
          <w:vertAlign w:val="superscript"/>
        </w:rPr>
        <w:fldChar w:fldCharType="separate"/>
      </w:r>
      <w:r w:rsidR="00E9279E">
        <w:rPr>
          <w:vertAlign w:val="superscript"/>
        </w:rPr>
        <w:t>9</w:t>
      </w:r>
      <w:r w:rsidR="001D5792" w:rsidRPr="00E9279E">
        <w:rPr>
          <w:vertAlign w:val="superscript"/>
        </w:rPr>
        <w:fldChar w:fldCharType="end"/>
      </w:r>
      <w:r w:rsidRPr="00E9279E">
        <w:t xml:space="preserve"> cautions against the use of Ki-67 as the sole trigger for the use of adjuvant chemotherapy, without stating a specific cut-off level. The </w:t>
      </w:r>
      <w:r w:rsidR="00372E61" w:rsidRPr="00E9279E">
        <w:t xml:space="preserve">sponsor </w:t>
      </w:r>
      <w:r w:rsidRPr="00E9279E">
        <w:t xml:space="preserve">referred to the Australian </w:t>
      </w:r>
      <w:r w:rsidR="00C365A9" w:rsidRPr="00E9279E">
        <w:t>expert statement</w:t>
      </w:r>
      <w:r w:rsidRPr="00E9279E">
        <w:t>.</w:t>
      </w:r>
    </w:p>
    <w:p w14:paraId="4F271EFE" w14:textId="522AA6EC" w:rsidR="003607DF" w:rsidRPr="00E9279E" w:rsidRDefault="003607DF" w:rsidP="00372E61">
      <w:pPr>
        <w:pStyle w:val="ListBullet2"/>
        <w:numPr>
          <w:ilvl w:val="0"/>
          <w:numId w:val="0"/>
        </w:numPr>
        <w:ind w:left="720"/>
      </w:pPr>
      <w:r w:rsidRPr="00E9279E">
        <w:t>As such, Ki-67 indexing is not uniformly available to all oncologists in the public hospitals and has not been incorporated into routine use in Australia.</w:t>
      </w:r>
      <w:bookmarkStart w:id="28" w:name="_Ref118112511"/>
      <w:r w:rsidR="00C365A9" w:rsidRPr="00E9279E">
        <w:rPr>
          <w:rStyle w:val="FootnoteReference"/>
        </w:rPr>
        <w:footnoteReference w:id="25"/>
      </w:r>
      <w:bookmarkEnd w:id="28"/>
    </w:p>
    <w:p w14:paraId="4FA4A91D" w14:textId="77777777" w:rsidR="008E7846" w:rsidRPr="00E9279E" w:rsidRDefault="00386150" w:rsidP="008E7846">
      <w:pPr>
        <w:pStyle w:val="Heading3"/>
      </w:pPr>
      <w:bookmarkStart w:id="29" w:name="_Toc314842485"/>
      <w:bookmarkStart w:id="30" w:name="_Toc247691504"/>
      <w:bookmarkStart w:id="31" w:name="_Toc118379552"/>
      <w:r w:rsidRPr="00E9279E">
        <w:t>Regulatory s</w:t>
      </w:r>
      <w:r w:rsidR="008E7846" w:rsidRPr="00E9279E">
        <w:t>tatus</w:t>
      </w:r>
      <w:bookmarkEnd w:id="29"/>
      <w:bookmarkEnd w:id="30"/>
      <w:bookmarkEnd w:id="31"/>
    </w:p>
    <w:p w14:paraId="77F15756" w14:textId="72C1A64B" w:rsidR="00496959" w:rsidRPr="00E9279E" w:rsidRDefault="00496959" w:rsidP="00496959">
      <w:bookmarkStart w:id="32" w:name="_Toc247691505"/>
      <w:bookmarkStart w:id="33" w:name="_Toc314842486"/>
      <w:r w:rsidRPr="00E9279E">
        <w:t>The product received initial registration on the Australian Register of Therapeutic Goods (ARTG) on 8 April 2019 for the following indication:</w:t>
      </w:r>
    </w:p>
    <w:p w14:paraId="54E9C751" w14:textId="77777777" w:rsidR="00496959" w:rsidRPr="00E9279E" w:rsidRDefault="00496959" w:rsidP="00496959">
      <w:pPr>
        <w:ind w:left="720"/>
        <w:rPr>
          <w:b/>
          <w:i/>
          <w:iCs/>
        </w:rPr>
      </w:pPr>
      <w:r w:rsidRPr="00E9279E">
        <w:rPr>
          <w:b/>
          <w:i/>
          <w:iCs/>
        </w:rPr>
        <w:t>Advanced or metastatic breast cancer</w:t>
      </w:r>
    </w:p>
    <w:p w14:paraId="2790451F" w14:textId="77777777" w:rsidR="00496959" w:rsidRPr="00E9279E" w:rsidRDefault="00496959" w:rsidP="00496959">
      <w:pPr>
        <w:ind w:left="720"/>
        <w:rPr>
          <w:i/>
          <w:iCs/>
        </w:rPr>
      </w:pPr>
      <w:proofErr w:type="spellStart"/>
      <w:r w:rsidRPr="00E9279E">
        <w:rPr>
          <w:i/>
          <w:iCs/>
        </w:rPr>
        <w:t>Verzenio</w:t>
      </w:r>
      <w:proofErr w:type="spellEnd"/>
      <w:r w:rsidRPr="00E9279E">
        <w:rPr>
          <w:i/>
          <w:iCs/>
        </w:rPr>
        <w:t xml:space="preserve"> is indicated for the treatment of hormone receptor (HR) positive, human epidermal growth factor receptor 2 (HER2) negative locally advanced or metastatic breast cancer in combination with an aromatase inhibitor or </w:t>
      </w:r>
      <w:proofErr w:type="spellStart"/>
      <w:r w:rsidRPr="00E9279E">
        <w:rPr>
          <w:i/>
          <w:iCs/>
        </w:rPr>
        <w:t>fulvestrant</w:t>
      </w:r>
      <w:proofErr w:type="spellEnd"/>
      <w:r w:rsidRPr="00E9279E">
        <w:rPr>
          <w:i/>
          <w:iCs/>
        </w:rPr>
        <w:t xml:space="preserve"> as initial endocrine-based </w:t>
      </w:r>
      <w:proofErr w:type="gramStart"/>
      <w:r w:rsidRPr="00E9279E">
        <w:rPr>
          <w:i/>
          <w:iCs/>
        </w:rPr>
        <w:t>therapy, or</w:t>
      </w:r>
      <w:proofErr w:type="gramEnd"/>
      <w:r w:rsidRPr="00E9279E">
        <w:rPr>
          <w:i/>
          <w:iCs/>
        </w:rPr>
        <w:t xml:space="preserve"> following prior endocrine therapy.</w:t>
      </w:r>
    </w:p>
    <w:p w14:paraId="64B86FCE" w14:textId="77777777" w:rsidR="00496959" w:rsidRPr="00E9279E" w:rsidRDefault="00496959" w:rsidP="00496959">
      <w:pPr>
        <w:ind w:left="720"/>
        <w:rPr>
          <w:i/>
          <w:iCs/>
        </w:rPr>
      </w:pPr>
      <w:r w:rsidRPr="00E9279E">
        <w:rPr>
          <w:i/>
          <w:iCs/>
        </w:rPr>
        <w:t>In pre- or peri-menopausal women, the endocrine therapy should be combined with a luteinising hormone-releasing hormone (LHRH) agonist.</w:t>
      </w:r>
    </w:p>
    <w:p w14:paraId="022816F2" w14:textId="3D0574D9" w:rsidR="00332715" w:rsidRPr="00E9279E" w:rsidRDefault="00332715" w:rsidP="00332715">
      <w:r w:rsidRPr="00E9279E">
        <w:t xml:space="preserve">At the time the TGA considered this </w:t>
      </w:r>
      <w:r w:rsidR="00BB0B78" w:rsidRPr="00E9279E">
        <w:t>submission</w:t>
      </w:r>
      <w:r w:rsidRPr="00E9279E">
        <w:t xml:space="preserve">, similar </w:t>
      </w:r>
      <w:r w:rsidR="00BB0B78" w:rsidRPr="00E9279E">
        <w:t>submission</w:t>
      </w:r>
      <w:r w:rsidR="00200519" w:rsidRPr="00E9279E">
        <w:t>s</w:t>
      </w:r>
      <w:r w:rsidRPr="00E9279E">
        <w:t xml:space="preserve"> had been approved </w:t>
      </w:r>
      <w:r w:rsidR="00200519" w:rsidRPr="00E9279E">
        <w:t>in Brazil on 9 August 2021</w:t>
      </w:r>
      <w:r w:rsidR="00033AC2" w:rsidRPr="00E9279E">
        <w:t xml:space="preserve">, </w:t>
      </w:r>
      <w:r w:rsidR="00496959" w:rsidRPr="00E9279E">
        <w:t xml:space="preserve">the </w:t>
      </w:r>
      <w:r w:rsidR="00200519" w:rsidRPr="00E9279E">
        <w:t>U</w:t>
      </w:r>
      <w:r w:rsidR="002B7A02" w:rsidRPr="00E9279E">
        <w:t>SA</w:t>
      </w:r>
      <w:r w:rsidR="00200519" w:rsidRPr="00E9279E">
        <w:t xml:space="preserve"> on 12 October 2021</w:t>
      </w:r>
      <w:r w:rsidR="00033AC2" w:rsidRPr="00E9279E">
        <w:t xml:space="preserve"> and Japan on 24</w:t>
      </w:r>
      <w:r w:rsidR="00496959" w:rsidRPr="00E9279E">
        <w:t> </w:t>
      </w:r>
      <w:r w:rsidR="00033AC2" w:rsidRPr="00E9279E">
        <w:t>December 2021</w:t>
      </w:r>
      <w:r w:rsidR="00200519" w:rsidRPr="00E9279E">
        <w:t>.</w:t>
      </w:r>
      <w:r w:rsidR="008E65BE" w:rsidRPr="00E9279E">
        <w:t xml:space="preserve"> </w:t>
      </w:r>
      <w:r w:rsidR="00200519" w:rsidRPr="00E9279E">
        <w:t xml:space="preserve">A </w:t>
      </w:r>
      <w:r w:rsidR="00200519" w:rsidRPr="00E9279E">
        <w:lastRenderedPageBreak/>
        <w:t xml:space="preserve">similar submission had been rejected </w:t>
      </w:r>
      <w:r w:rsidR="00033AC2" w:rsidRPr="00E9279E">
        <w:t>in Switzerland on 11</w:t>
      </w:r>
      <w:r w:rsidR="00496959" w:rsidRPr="00E9279E">
        <w:t> </w:t>
      </w:r>
      <w:r w:rsidR="00033AC2" w:rsidRPr="00E9279E">
        <w:t>January</w:t>
      </w:r>
      <w:r w:rsidR="00496959" w:rsidRPr="00E9279E">
        <w:t> </w:t>
      </w:r>
      <w:r w:rsidR="00033AC2" w:rsidRPr="00E9279E">
        <w:t>2022.</w:t>
      </w:r>
      <w:r w:rsidR="008E65BE" w:rsidRPr="00E9279E">
        <w:t xml:space="preserve"> </w:t>
      </w:r>
      <w:r w:rsidR="00FD3A04" w:rsidRPr="00E9279E">
        <w:t>A</w:t>
      </w:r>
      <w:r w:rsidRPr="00E9279E">
        <w:t xml:space="preserve"> similar </w:t>
      </w:r>
      <w:r w:rsidR="00BB0B78" w:rsidRPr="00E9279E">
        <w:t>submission</w:t>
      </w:r>
      <w:r w:rsidRPr="00E9279E">
        <w:t xml:space="preserve"> was under consideration in </w:t>
      </w:r>
      <w:r w:rsidR="00496959" w:rsidRPr="00E9279E">
        <w:t xml:space="preserve">the </w:t>
      </w:r>
      <w:r w:rsidR="00033AC2" w:rsidRPr="00E9279E">
        <w:t xml:space="preserve">European Union </w:t>
      </w:r>
      <w:r w:rsidRPr="00E9279E">
        <w:t xml:space="preserve">(submitted on </w:t>
      </w:r>
      <w:r w:rsidR="00033AC2" w:rsidRPr="00E9279E">
        <w:t>10</w:t>
      </w:r>
      <w:r w:rsidR="00FD3A04" w:rsidRPr="00E9279E">
        <w:t> </w:t>
      </w:r>
      <w:r w:rsidR="00033AC2" w:rsidRPr="00E9279E">
        <w:t>November</w:t>
      </w:r>
      <w:r w:rsidR="00932479" w:rsidRPr="00E9279E">
        <w:t> </w:t>
      </w:r>
      <w:r w:rsidR="00033AC2" w:rsidRPr="00E9279E">
        <w:t>2020</w:t>
      </w:r>
      <w:r w:rsidRPr="00E9279E">
        <w:t>).</w:t>
      </w:r>
    </w:p>
    <w:p w14:paraId="7210887A" w14:textId="77777777" w:rsidR="00332715" w:rsidRPr="00E9279E" w:rsidRDefault="0072292E" w:rsidP="00332715">
      <w:r w:rsidRPr="00E9279E">
        <w:t xml:space="preserve">The following table </w:t>
      </w:r>
      <w:r w:rsidR="00332715" w:rsidRPr="00E9279E">
        <w:t xml:space="preserve">summarises these </w:t>
      </w:r>
      <w:r w:rsidR="00BB0B78" w:rsidRPr="00E9279E">
        <w:t>submissions</w:t>
      </w:r>
      <w:r w:rsidR="00332715" w:rsidRPr="00E9279E">
        <w:t xml:space="preserve"> and provides the indications where approved.</w:t>
      </w:r>
    </w:p>
    <w:p w14:paraId="7F50A6EE" w14:textId="2E650DD9" w:rsidR="00324E45" w:rsidRPr="00E9279E" w:rsidRDefault="00324E45" w:rsidP="00BD08E7">
      <w:pPr>
        <w:pStyle w:val="TableTitle"/>
      </w:pPr>
      <w:bookmarkStart w:id="34" w:name="_Ref99705479"/>
      <w:r w:rsidRPr="00E9279E">
        <w:t xml:space="preserve">Table </w:t>
      </w:r>
      <w:r w:rsidR="000C44E7">
        <w:fldChar w:fldCharType="begin"/>
      </w:r>
      <w:r w:rsidR="000C44E7">
        <w:instrText xml:space="preserve"> SEQ Table \* ARABIC </w:instrText>
      </w:r>
      <w:r w:rsidR="000C44E7">
        <w:fldChar w:fldCharType="separate"/>
      </w:r>
      <w:r w:rsidR="00E9279E">
        <w:rPr>
          <w:noProof/>
        </w:rPr>
        <w:t>1</w:t>
      </w:r>
      <w:r w:rsidR="000C44E7">
        <w:rPr>
          <w:noProof/>
        </w:rPr>
        <w:fldChar w:fldCharType="end"/>
      </w:r>
      <w:bookmarkEnd w:id="34"/>
      <w:r w:rsidRPr="00E9279E">
        <w:t>: International regulatory status</w:t>
      </w:r>
    </w:p>
    <w:tbl>
      <w:tblPr>
        <w:tblStyle w:val="TableTGAblue"/>
        <w:tblW w:w="8815" w:type="dxa"/>
        <w:tblLayout w:type="fixed"/>
        <w:tblLook w:val="04A0" w:firstRow="1" w:lastRow="0" w:firstColumn="1" w:lastColumn="0" w:noHBand="0" w:noVBand="1"/>
      </w:tblPr>
      <w:tblGrid>
        <w:gridCol w:w="1615"/>
        <w:gridCol w:w="2250"/>
        <w:gridCol w:w="1980"/>
        <w:gridCol w:w="2970"/>
      </w:tblGrid>
      <w:tr w:rsidR="00FD3A04" w:rsidRPr="00E9279E" w14:paraId="54917CAE" w14:textId="77777777" w:rsidTr="00FD3A04">
        <w:trPr>
          <w:cnfStyle w:val="100000000000" w:firstRow="1" w:lastRow="0" w:firstColumn="0" w:lastColumn="0" w:oddVBand="0" w:evenVBand="0" w:oddHBand="0" w:evenHBand="0" w:firstRowFirstColumn="0" w:firstRowLastColumn="0" w:lastRowFirstColumn="0" w:lastRowLastColumn="0"/>
        </w:trPr>
        <w:tc>
          <w:tcPr>
            <w:tcW w:w="1615" w:type="dxa"/>
            <w:tcBorders>
              <w:top w:val="single" w:sz="4" w:space="0" w:color="auto"/>
              <w:left w:val="single" w:sz="4" w:space="0" w:color="auto"/>
              <w:bottom w:val="single" w:sz="4" w:space="0" w:color="auto"/>
              <w:right w:val="single" w:sz="4" w:space="0" w:color="auto"/>
            </w:tcBorders>
          </w:tcPr>
          <w:p w14:paraId="5420E6FB" w14:textId="77777777" w:rsidR="00006FAB" w:rsidRPr="00E9279E" w:rsidRDefault="00006FAB" w:rsidP="00006FAB">
            <w:pPr>
              <w:ind w:left="0" w:right="0"/>
            </w:pPr>
            <w:r w:rsidRPr="00E9279E">
              <w:t>Region</w:t>
            </w:r>
          </w:p>
        </w:tc>
        <w:tc>
          <w:tcPr>
            <w:tcW w:w="2250" w:type="dxa"/>
            <w:tcBorders>
              <w:top w:val="single" w:sz="4" w:space="0" w:color="auto"/>
              <w:left w:val="single" w:sz="4" w:space="0" w:color="auto"/>
              <w:bottom w:val="single" w:sz="4" w:space="0" w:color="auto"/>
              <w:right w:val="single" w:sz="4" w:space="0" w:color="auto"/>
            </w:tcBorders>
          </w:tcPr>
          <w:p w14:paraId="0D4A0207" w14:textId="77777777" w:rsidR="00006FAB" w:rsidRPr="00E9279E" w:rsidRDefault="00006FAB" w:rsidP="00006FAB">
            <w:pPr>
              <w:ind w:left="0" w:right="0"/>
            </w:pPr>
            <w:r w:rsidRPr="00E9279E">
              <w:t>Submission date</w:t>
            </w:r>
          </w:p>
        </w:tc>
        <w:tc>
          <w:tcPr>
            <w:tcW w:w="1980" w:type="dxa"/>
            <w:tcBorders>
              <w:top w:val="single" w:sz="4" w:space="0" w:color="auto"/>
              <w:left w:val="single" w:sz="4" w:space="0" w:color="auto"/>
              <w:bottom w:val="single" w:sz="4" w:space="0" w:color="auto"/>
              <w:right w:val="single" w:sz="4" w:space="0" w:color="auto"/>
            </w:tcBorders>
          </w:tcPr>
          <w:p w14:paraId="6B3C8E06" w14:textId="77777777" w:rsidR="00006FAB" w:rsidRPr="00E9279E" w:rsidRDefault="00006FAB" w:rsidP="00006FAB">
            <w:pPr>
              <w:ind w:left="0" w:right="0"/>
            </w:pPr>
            <w:r w:rsidRPr="00E9279E">
              <w:t>Status</w:t>
            </w:r>
          </w:p>
        </w:tc>
        <w:tc>
          <w:tcPr>
            <w:tcW w:w="2970" w:type="dxa"/>
            <w:tcBorders>
              <w:top w:val="single" w:sz="4" w:space="0" w:color="auto"/>
              <w:left w:val="single" w:sz="4" w:space="0" w:color="auto"/>
              <w:bottom w:val="single" w:sz="4" w:space="0" w:color="auto"/>
              <w:right w:val="single" w:sz="4" w:space="0" w:color="auto"/>
            </w:tcBorders>
          </w:tcPr>
          <w:p w14:paraId="0D2160F6" w14:textId="77777777" w:rsidR="00006FAB" w:rsidRPr="00E9279E" w:rsidRDefault="00006FAB" w:rsidP="00006FAB">
            <w:pPr>
              <w:ind w:left="0" w:right="0"/>
            </w:pPr>
            <w:r w:rsidRPr="00E9279E">
              <w:t>Approved indications</w:t>
            </w:r>
          </w:p>
        </w:tc>
      </w:tr>
      <w:tr w:rsidR="00E0699B" w:rsidRPr="00E9279E" w14:paraId="1F13C216" w14:textId="77777777" w:rsidTr="008E65BE">
        <w:tc>
          <w:tcPr>
            <w:tcW w:w="1615" w:type="dxa"/>
            <w:tcBorders>
              <w:top w:val="single" w:sz="4" w:space="0" w:color="auto"/>
            </w:tcBorders>
          </w:tcPr>
          <w:p w14:paraId="6C690BB4" w14:textId="336796ED" w:rsidR="00006FAB" w:rsidRPr="00E9279E" w:rsidRDefault="00F1337D" w:rsidP="00006FAB">
            <w:pPr>
              <w:ind w:left="0" w:right="0"/>
            </w:pPr>
            <w:r w:rsidRPr="00E9279E">
              <w:t>Brazil</w:t>
            </w:r>
          </w:p>
        </w:tc>
        <w:tc>
          <w:tcPr>
            <w:tcW w:w="2250" w:type="dxa"/>
            <w:tcBorders>
              <w:top w:val="single" w:sz="4" w:space="0" w:color="auto"/>
            </w:tcBorders>
          </w:tcPr>
          <w:p w14:paraId="14F2F932" w14:textId="5F6A1CFB" w:rsidR="00006FAB" w:rsidRPr="00E9279E" w:rsidRDefault="00F1337D" w:rsidP="00006FAB">
            <w:pPr>
              <w:ind w:left="0" w:right="0"/>
            </w:pPr>
            <w:r w:rsidRPr="00E9279E">
              <w:t>18</w:t>
            </w:r>
            <w:r w:rsidR="00496959" w:rsidRPr="00E9279E">
              <w:t> </w:t>
            </w:r>
            <w:r w:rsidRPr="00E9279E">
              <w:t>Dec</w:t>
            </w:r>
            <w:r w:rsidR="00E0699B" w:rsidRPr="00E9279E">
              <w:t>ember</w:t>
            </w:r>
            <w:r w:rsidR="00496959" w:rsidRPr="00E9279E">
              <w:t> </w:t>
            </w:r>
            <w:r w:rsidRPr="00E9279E">
              <w:t>2020</w:t>
            </w:r>
          </w:p>
        </w:tc>
        <w:tc>
          <w:tcPr>
            <w:tcW w:w="1980" w:type="dxa"/>
            <w:tcBorders>
              <w:top w:val="single" w:sz="4" w:space="0" w:color="auto"/>
            </w:tcBorders>
          </w:tcPr>
          <w:p w14:paraId="484EAFEE" w14:textId="5B134C23" w:rsidR="00006FAB" w:rsidRPr="00E9279E" w:rsidRDefault="00006FAB" w:rsidP="00006FAB">
            <w:pPr>
              <w:ind w:left="0" w:right="0"/>
            </w:pPr>
            <w:r w:rsidRPr="00E9279E">
              <w:t>Approved on</w:t>
            </w:r>
            <w:r w:rsidR="00F1337D" w:rsidRPr="00E9279E">
              <w:t xml:space="preserve"> 9</w:t>
            </w:r>
            <w:r w:rsidR="00496959" w:rsidRPr="00E9279E">
              <w:t> </w:t>
            </w:r>
            <w:r w:rsidR="00F1337D" w:rsidRPr="00E9279E">
              <w:t>Aug</w:t>
            </w:r>
            <w:r w:rsidR="00E0699B" w:rsidRPr="00E9279E">
              <w:t>ust</w:t>
            </w:r>
            <w:r w:rsidR="00496959" w:rsidRPr="00E9279E">
              <w:t> </w:t>
            </w:r>
            <w:r w:rsidR="00F1337D" w:rsidRPr="00E9279E">
              <w:t>2021</w:t>
            </w:r>
          </w:p>
        </w:tc>
        <w:tc>
          <w:tcPr>
            <w:tcW w:w="2970" w:type="dxa"/>
            <w:tcBorders>
              <w:top w:val="single" w:sz="4" w:space="0" w:color="auto"/>
            </w:tcBorders>
          </w:tcPr>
          <w:p w14:paraId="0DC02338" w14:textId="4B178EE4" w:rsidR="00006FAB" w:rsidRPr="00E9279E" w:rsidRDefault="00F1337D" w:rsidP="00F1337D">
            <w:pPr>
              <w:ind w:left="0"/>
              <w:rPr>
                <w:i/>
                <w:iCs/>
              </w:rPr>
            </w:pPr>
            <w:proofErr w:type="spellStart"/>
            <w:r w:rsidRPr="00E9279E">
              <w:rPr>
                <w:i/>
                <w:iCs/>
              </w:rPr>
              <w:t>Verzenio</w:t>
            </w:r>
            <w:proofErr w:type="spellEnd"/>
            <w:r w:rsidRPr="00E9279E">
              <w:rPr>
                <w:i/>
                <w:iCs/>
              </w:rPr>
              <w:t xml:space="preserve"> in combination with endocrine therapy is indicated for the adjuvant treatment of hormone receptor positive (HR+), human epidermal growth factor receptor 2 negative (HER2</w:t>
            </w:r>
            <w:r w:rsidR="00932479" w:rsidRPr="00E9279E">
              <w:rPr>
                <w:i/>
                <w:iCs/>
              </w:rPr>
              <w:t>-</w:t>
            </w:r>
            <w:r w:rsidRPr="00E9279E">
              <w:rPr>
                <w:i/>
                <w:iCs/>
              </w:rPr>
              <w:t>), node-positive early breast cancer at high risk of recurrence.</w:t>
            </w:r>
          </w:p>
        </w:tc>
      </w:tr>
      <w:tr w:rsidR="00E0699B" w:rsidRPr="00E9279E" w14:paraId="7F683752" w14:textId="77777777" w:rsidTr="008E65BE">
        <w:trPr>
          <w:cantSplit/>
        </w:trPr>
        <w:tc>
          <w:tcPr>
            <w:tcW w:w="1615" w:type="dxa"/>
          </w:tcPr>
          <w:p w14:paraId="540975F2" w14:textId="33AB9B89" w:rsidR="00006FAB" w:rsidRPr="00E9279E" w:rsidRDefault="00F1337D" w:rsidP="00006FAB">
            <w:pPr>
              <w:ind w:left="0" w:right="0"/>
            </w:pPr>
            <w:r w:rsidRPr="00E9279E">
              <w:t>United States</w:t>
            </w:r>
            <w:r w:rsidR="00200519" w:rsidRPr="00E9279E">
              <w:t xml:space="preserve"> of America</w:t>
            </w:r>
          </w:p>
        </w:tc>
        <w:tc>
          <w:tcPr>
            <w:tcW w:w="2250" w:type="dxa"/>
          </w:tcPr>
          <w:p w14:paraId="09FEA859" w14:textId="7398215B" w:rsidR="00006FAB" w:rsidRPr="00E9279E" w:rsidRDefault="00F1337D" w:rsidP="00006FAB">
            <w:pPr>
              <w:ind w:left="0" w:right="0"/>
            </w:pPr>
            <w:r w:rsidRPr="00E9279E">
              <w:t>17</w:t>
            </w:r>
            <w:r w:rsidR="00496959" w:rsidRPr="00E9279E">
              <w:t> </w:t>
            </w:r>
            <w:r w:rsidRPr="00E9279E">
              <w:t>Dec</w:t>
            </w:r>
            <w:r w:rsidR="00E0699B" w:rsidRPr="00E9279E">
              <w:t>ember</w:t>
            </w:r>
            <w:r w:rsidR="00496959" w:rsidRPr="00E9279E">
              <w:t> </w:t>
            </w:r>
            <w:r w:rsidRPr="00E9279E">
              <w:t>2020</w:t>
            </w:r>
          </w:p>
        </w:tc>
        <w:tc>
          <w:tcPr>
            <w:tcW w:w="1980" w:type="dxa"/>
          </w:tcPr>
          <w:p w14:paraId="098D133C" w14:textId="50F75C23" w:rsidR="00006FAB" w:rsidRPr="00E9279E" w:rsidRDefault="00F1337D" w:rsidP="00006FAB">
            <w:pPr>
              <w:ind w:left="0" w:right="0"/>
            </w:pPr>
            <w:r w:rsidRPr="00E9279E">
              <w:t>Approved on</w:t>
            </w:r>
            <w:r w:rsidR="00E0699B" w:rsidRPr="00E9279E">
              <w:t xml:space="preserve"> 12</w:t>
            </w:r>
            <w:r w:rsidR="00496959" w:rsidRPr="00E9279E">
              <w:t> </w:t>
            </w:r>
            <w:r w:rsidR="00E0699B" w:rsidRPr="00E9279E">
              <w:t>October</w:t>
            </w:r>
            <w:r w:rsidR="00496959" w:rsidRPr="00E9279E">
              <w:t> </w:t>
            </w:r>
            <w:r w:rsidR="00E0699B" w:rsidRPr="00E9279E">
              <w:t>2021</w:t>
            </w:r>
          </w:p>
        </w:tc>
        <w:tc>
          <w:tcPr>
            <w:tcW w:w="2970" w:type="dxa"/>
          </w:tcPr>
          <w:p w14:paraId="0427A16B" w14:textId="387C96CB" w:rsidR="00006FAB" w:rsidRPr="00E9279E" w:rsidRDefault="00033AC2" w:rsidP="00F1337D">
            <w:pPr>
              <w:ind w:left="0"/>
              <w:rPr>
                <w:i/>
                <w:iCs/>
              </w:rPr>
            </w:pPr>
            <w:proofErr w:type="spellStart"/>
            <w:r w:rsidRPr="00E9279E">
              <w:rPr>
                <w:i/>
                <w:iCs/>
              </w:rPr>
              <w:t>Verzenio</w:t>
            </w:r>
            <w:proofErr w:type="spellEnd"/>
            <w:r w:rsidR="00F1337D" w:rsidRPr="00E9279E">
              <w:rPr>
                <w:i/>
                <w:iCs/>
              </w:rPr>
              <w:t xml:space="preserve"> (</w:t>
            </w:r>
            <w:proofErr w:type="spellStart"/>
            <w:r w:rsidR="00F1337D" w:rsidRPr="00E9279E">
              <w:rPr>
                <w:i/>
                <w:iCs/>
              </w:rPr>
              <w:t>abemaciclib</w:t>
            </w:r>
            <w:proofErr w:type="spellEnd"/>
            <w:r w:rsidR="00F1337D" w:rsidRPr="00E9279E">
              <w:rPr>
                <w:i/>
                <w:iCs/>
              </w:rPr>
              <w:t>) is indicated: in combination with endocrine therapy (tamoxifen or an aromatase inhibitor) for the adjuvant treatment of adult patients with hormone receptor (HR)-positive, human epidermal growth factor receptor 2 (HER2)-negative, node-positive, early breast cancer at high risk of recurrence and a Ki-67 score ≥</w:t>
            </w:r>
            <w:r w:rsidR="00FD3A04" w:rsidRPr="00E9279E">
              <w:rPr>
                <w:i/>
                <w:iCs/>
              </w:rPr>
              <w:t> </w:t>
            </w:r>
            <w:r w:rsidR="00F1337D" w:rsidRPr="00E9279E">
              <w:rPr>
                <w:i/>
                <w:iCs/>
              </w:rPr>
              <w:t>20% as determined by an FDA approved test.</w:t>
            </w:r>
          </w:p>
        </w:tc>
      </w:tr>
      <w:tr w:rsidR="00F1337D" w:rsidRPr="00E9279E" w14:paraId="004EDCC4" w14:textId="77777777" w:rsidTr="008E65BE">
        <w:tc>
          <w:tcPr>
            <w:tcW w:w="1615" w:type="dxa"/>
          </w:tcPr>
          <w:p w14:paraId="20258FCF" w14:textId="20805348" w:rsidR="00F1337D" w:rsidRPr="00E9279E" w:rsidRDefault="00F1337D" w:rsidP="00E0699B">
            <w:pPr>
              <w:ind w:left="0"/>
            </w:pPr>
            <w:r w:rsidRPr="00E9279E">
              <w:t>Japan</w:t>
            </w:r>
          </w:p>
        </w:tc>
        <w:tc>
          <w:tcPr>
            <w:tcW w:w="2250" w:type="dxa"/>
          </w:tcPr>
          <w:p w14:paraId="5C0AAB39" w14:textId="70DC8FCC" w:rsidR="00F1337D" w:rsidRPr="00E9279E" w:rsidRDefault="00E0699B" w:rsidP="00E0699B">
            <w:pPr>
              <w:ind w:left="0"/>
            </w:pPr>
            <w:r w:rsidRPr="00E9279E">
              <w:t>14</w:t>
            </w:r>
            <w:r w:rsidR="00496959" w:rsidRPr="00E9279E">
              <w:t> </w:t>
            </w:r>
            <w:r w:rsidRPr="00E9279E">
              <w:t>January</w:t>
            </w:r>
            <w:r w:rsidR="00496959" w:rsidRPr="00E9279E">
              <w:t> </w:t>
            </w:r>
            <w:r w:rsidRPr="00E9279E">
              <w:t>2021</w:t>
            </w:r>
          </w:p>
        </w:tc>
        <w:tc>
          <w:tcPr>
            <w:tcW w:w="1980" w:type="dxa"/>
          </w:tcPr>
          <w:p w14:paraId="20579E4C" w14:textId="32473CC6" w:rsidR="00F1337D" w:rsidRPr="00E9279E" w:rsidRDefault="00E0699B" w:rsidP="00E0699B">
            <w:pPr>
              <w:ind w:left="0"/>
            </w:pPr>
            <w:r w:rsidRPr="00E9279E">
              <w:t xml:space="preserve">Approved </w:t>
            </w:r>
            <w:r w:rsidR="00033AC2" w:rsidRPr="00E9279E">
              <w:t xml:space="preserve">on </w:t>
            </w:r>
            <w:r w:rsidRPr="00E9279E">
              <w:t>24</w:t>
            </w:r>
            <w:r w:rsidR="00496959" w:rsidRPr="00E9279E">
              <w:t> </w:t>
            </w:r>
            <w:r w:rsidRPr="00E9279E">
              <w:t>December</w:t>
            </w:r>
            <w:r w:rsidR="00496959" w:rsidRPr="00E9279E">
              <w:t> </w:t>
            </w:r>
            <w:r w:rsidRPr="00E9279E">
              <w:t>2021</w:t>
            </w:r>
          </w:p>
        </w:tc>
        <w:tc>
          <w:tcPr>
            <w:tcW w:w="2970" w:type="dxa"/>
          </w:tcPr>
          <w:p w14:paraId="2618F11F" w14:textId="43CDC546" w:rsidR="00E0699B" w:rsidRPr="00E9279E" w:rsidRDefault="00E0699B" w:rsidP="00E0699B">
            <w:pPr>
              <w:ind w:left="0"/>
              <w:rPr>
                <w:i/>
                <w:iCs/>
              </w:rPr>
            </w:pPr>
            <w:proofErr w:type="spellStart"/>
            <w:r w:rsidRPr="00E9279E">
              <w:rPr>
                <w:i/>
                <w:iCs/>
              </w:rPr>
              <w:t>Verzenio</w:t>
            </w:r>
            <w:proofErr w:type="spellEnd"/>
            <w:r w:rsidRPr="00E9279E">
              <w:rPr>
                <w:i/>
                <w:iCs/>
              </w:rPr>
              <w:t xml:space="preserve"> in combination with endocrine therapy is indicated for the adjuvant treatment of hormone receptor positive (HR+), human epidermal growth factor receptor 2 negative (HER2</w:t>
            </w:r>
            <w:r w:rsidR="00932479" w:rsidRPr="00E9279E">
              <w:rPr>
                <w:i/>
                <w:iCs/>
              </w:rPr>
              <w:t>-</w:t>
            </w:r>
            <w:r w:rsidRPr="00E9279E">
              <w:rPr>
                <w:i/>
                <w:iCs/>
              </w:rPr>
              <w:t>), node-positive early breast cancer at high risk* of recurrence.</w:t>
            </w:r>
          </w:p>
          <w:p w14:paraId="5C60955C" w14:textId="120F932B" w:rsidR="00F1337D" w:rsidRPr="00E9279E" w:rsidRDefault="00E0699B" w:rsidP="00E0699B">
            <w:pPr>
              <w:ind w:left="0"/>
            </w:pPr>
            <w:r w:rsidRPr="00E9279E">
              <w:rPr>
                <w:i/>
                <w:iCs/>
              </w:rPr>
              <w:t xml:space="preserve">*The definition of high risk of recurrence is patients with 4 positive axillary lymph nodes (ALN), or 1-3 positive ALN and either Grade 3 disease or </w:t>
            </w:r>
            <w:proofErr w:type="spellStart"/>
            <w:r w:rsidRPr="00E9279E">
              <w:rPr>
                <w:i/>
                <w:iCs/>
              </w:rPr>
              <w:t>tumor</w:t>
            </w:r>
            <w:proofErr w:type="spellEnd"/>
            <w:r w:rsidRPr="00E9279E">
              <w:rPr>
                <w:i/>
                <w:iCs/>
              </w:rPr>
              <w:t xml:space="preserve"> size </w:t>
            </w:r>
            <w:r w:rsidR="002F1A84" w:rsidRPr="00E9279E">
              <w:rPr>
                <w:i/>
                <w:iCs/>
              </w:rPr>
              <w:t xml:space="preserve">≥ </w:t>
            </w:r>
            <w:r w:rsidRPr="00E9279E">
              <w:rPr>
                <w:i/>
                <w:iCs/>
              </w:rPr>
              <w:t xml:space="preserve">5 cm, defined as </w:t>
            </w:r>
            <w:r w:rsidRPr="00E9279E">
              <w:rPr>
                <w:i/>
                <w:iCs/>
              </w:rPr>
              <w:lastRenderedPageBreak/>
              <w:t xml:space="preserve">Cohort 1 in </w:t>
            </w:r>
            <w:r w:rsidR="00932479" w:rsidRPr="00E9279E">
              <w:rPr>
                <w:i/>
                <w:iCs/>
              </w:rPr>
              <w:t xml:space="preserve">MONARCHE </w:t>
            </w:r>
            <w:r w:rsidRPr="00E9279E">
              <w:rPr>
                <w:i/>
                <w:iCs/>
              </w:rPr>
              <w:t>study.</w:t>
            </w:r>
          </w:p>
        </w:tc>
      </w:tr>
      <w:tr w:rsidR="00F1337D" w:rsidRPr="00E9279E" w14:paraId="531D3D72" w14:textId="77777777" w:rsidTr="008E65BE">
        <w:tc>
          <w:tcPr>
            <w:tcW w:w="1615" w:type="dxa"/>
          </w:tcPr>
          <w:p w14:paraId="1661BC99" w14:textId="0F2C5D0C" w:rsidR="00F1337D" w:rsidRPr="00E9279E" w:rsidRDefault="00E0699B" w:rsidP="00E0699B">
            <w:pPr>
              <w:ind w:left="0"/>
            </w:pPr>
            <w:r w:rsidRPr="00E9279E">
              <w:lastRenderedPageBreak/>
              <w:t>European Union</w:t>
            </w:r>
          </w:p>
        </w:tc>
        <w:tc>
          <w:tcPr>
            <w:tcW w:w="2250" w:type="dxa"/>
          </w:tcPr>
          <w:p w14:paraId="3E8CFC0B" w14:textId="42C71472" w:rsidR="00F1337D" w:rsidRPr="00E9279E" w:rsidRDefault="00E0699B" w:rsidP="00E0699B">
            <w:pPr>
              <w:ind w:left="0"/>
            </w:pPr>
            <w:r w:rsidRPr="00E9279E">
              <w:t>10</w:t>
            </w:r>
            <w:r w:rsidR="00496959" w:rsidRPr="00E9279E">
              <w:t> </w:t>
            </w:r>
            <w:r w:rsidRPr="00E9279E">
              <w:t>November</w:t>
            </w:r>
            <w:r w:rsidR="00496959" w:rsidRPr="00E9279E">
              <w:t> </w:t>
            </w:r>
            <w:r w:rsidRPr="00E9279E">
              <w:t>2020</w:t>
            </w:r>
          </w:p>
        </w:tc>
        <w:tc>
          <w:tcPr>
            <w:tcW w:w="1980" w:type="dxa"/>
          </w:tcPr>
          <w:p w14:paraId="41AE1042" w14:textId="68653895" w:rsidR="00F1337D" w:rsidRPr="00E9279E" w:rsidRDefault="00E0699B" w:rsidP="00E0699B">
            <w:pPr>
              <w:ind w:left="0"/>
            </w:pPr>
            <w:r w:rsidRPr="00E9279E">
              <w:t>Under consideration</w:t>
            </w:r>
          </w:p>
        </w:tc>
        <w:tc>
          <w:tcPr>
            <w:tcW w:w="2970" w:type="dxa"/>
          </w:tcPr>
          <w:p w14:paraId="4DB27AC9" w14:textId="2DA87C87" w:rsidR="00F1337D" w:rsidRPr="00E9279E" w:rsidRDefault="00E0699B" w:rsidP="00E0699B">
            <w:pPr>
              <w:ind w:left="0"/>
            </w:pPr>
            <w:r w:rsidRPr="00E9279E">
              <w:t>Under consideration</w:t>
            </w:r>
          </w:p>
        </w:tc>
      </w:tr>
      <w:tr w:rsidR="00F1337D" w:rsidRPr="00E9279E" w14:paraId="4A2F5CC8" w14:textId="77777777" w:rsidTr="008E65BE">
        <w:tc>
          <w:tcPr>
            <w:tcW w:w="1615" w:type="dxa"/>
          </w:tcPr>
          <w:p w14:paraId="707B0A6C" w14:textId="3DFFF402" w:rsidR="00F1337D" w:rsidRPr="00E9279E" w:rsidRDefault="00E0699B" w:rsidP="00E0699B">
            <w:pPr>
              <w:ind w:left="0"/>
            </w:pPr>
            <w:r w:rsidRPr="00E9279E">
              <w:t>Switzerland</w:t>
            </w:r>
          </w:p>
        </w:tc>
        <w:tc>
          <w:tcPr>
            <w:tcW w:w="2250" w:type="dxa"/>
          </w:tcPr>
          <w:p w14:paraId="3B4BBC15" w14:textId="516DCE73" w:rsidR="00F1337D" w:rsidRPr="00E9279E" w:rsidRDefault="00E0699B" w:rsidP="00E0699B">
            <w:pPr>
              <w:ind w:left="0"/>
            </w:pPr>
            <w:r w:rsidRPr="00E9279E">
              <w:t>18</w:t>
            </w:r>
            <w:r w:rsidR="00496959" w:rsidRPr="00E9279E">
              <w:t> </w:t>
            </w:r>
            <w:r w:rsidRPr="00E9279E">
              <w:t>January</w:t>
            </w:r>
            <w:r w:rsidR="00496959" w:rsidRPr="00E9279E">
              <w:t> </w:t>
            </w:r>
            <w:r w:rsidRPr="00E9279E">
              <w:t>2021</w:t>
            </w:r>
          </w:p>
        </w:tc>
        <w:tc>
          <w:tcPr>
            <w:tcW w:w="1980" w:type="dxa"/>
          </w:tcPr>
          <w:p w14:paraId="637B4C5D" w14:textId="58A94A97" w:rsidR="00F1337D" w:rsidRPr="00E9279E" w:rsidRDefault="00E0699B" w:rsidP="00E0699B">
            <w:pPr>
              <w:ind w:left="0"/>
            </w:pPr>
            <w:r w:rsidRPr="00E9279E">
              <w:t>Rejected on 11</w:t>
            </w:r>
            <w:r w:rsidR="00496959" w:rsidRPr="00E9279E">
              <w:t> </w:t>
            </w:r>
            <w:r w:rsidRPr="00E9279E">
              <w:t>January</w:t>
            </w:r>
            <w:r w:rsidR="00496959" w:rsidRPr="00E9279E">
              <w:t> </w:t>
            </w:r>
            <w:r w:rsidRPr="00E9279E">
              <w:t>2022</w:t>
            </w:r>
          </w:p>
        </w:tc>
        <w:tc>
          <w:tcPr>
            <w:tcW w:w="2970" w:type="dxa"/>
          </w:tcPr>
          <w:p w14:paraId="0C2D8AB8" w14:textId="06528C30" w:rsidR="00F1337D" w:rsidRPr="00E9279E" w:rsidRDefault="00E0699B" w:rsidP="00E0699B">
            <w:pPr>
              <w:ind w:left="0"/>
            </w:pPr>
            <w:r w:rsidRPr="00E9279E">
              <w:t>Rejected</w:t>
            </w:r>
          </w:p>
        </w:tc>
      </w:tr>
    </w:tbl>
    <w:p w14:paraId="2074494F" w14:textId="03322478" w:rsidR="001D5792" w:rsidRPr="00E9279E" w:rsidRDefault="001D5792" w:rsidP="001D5792">
      <w:pPr>
        <w:pStyle w:val="TableDescription"/>
      </w:pPr>
      <w:r w:rsidRPr="00E9279E">
        <w:t>Abbreviation: Food and Drug Administration (United States of America).</w:t>
      </w:r>
    </w:p>
    <w:p w14:paraId="5C1F407F" w14:textId="05120C73" w:rsidR="008E7846" w:rsidRPr="00E9279E" w:rsidRDefault="008E7846" w:rsidP="00940A89">
      <w:pPr>
        <w:pStyle w:val="Heading3"/>
      </w:pPr>
      <w:bookmarkStart w:id="35" w:name="_Toc118379553"/>
      <w:r w:rsidRPr="00E9279E">
        <w:t>Product Information</w:t>
      </w:r>
      <w:bookmarkEnd w:id="32"/>
      <w:bookmarkEnd w:id="33"/>
      <w:bookmarkEnd w:id="35"/>
    </w:p>
    <w:p w14:paraId="35FA1DC8" w14:textId="38B85FA3" w:rsidR="00332715" w:rsidRPr="00E9279E" w:rsidRDefault="00332715" w:rsidP="00332715">
      <w:bookmarkStart w:id="36" w:name="_Toc504480011"/>
      <w:bookmarkStart w:id="37" w:name="_Toc247691506"/>
      <w:bookmarkStart w:id="38" w:name="_Toc314842487"/>
      <w:r w:rsidRPr="00E9279E">
        <w:t xml:space="preserve">The Product Information (PI) approved with the submission which is described in this </w:t>
      </w:r>
      <w:proofErr w:type="spellStart"/>
      <w:r w:rsidRPr="00E9279E">
        <w:t>AusPAR</w:t>
      </w:r>
      <w:proofErr w:type="spellEnd"/>
      <w:r w:rsidRPr="00E9279E">
        <w:t xml:space="preserve"> can be found as Attachment 1. For the most recent PI, please refer to the TGA </w:t>
      </w:r>
      <w:hyperlink r:id="rId15" w:history="1">
        <w:r w:rsidRPr="00E9279E">
          <w:rPr>
            <w:rStyle w:val="Hyperlink"/>
          </w:rPr>
          <w:t>PI/CMI search facility</w:t>
        </w:r>
        <w:r w:rsidRPr="00E9279E">
          <w:rPr>
            <w:rStyle w:val="Hyperlink"/>
            <w:color w:val="auto"/>
            <w:u w:val="none"/>
          </w:rPr>
          <w:t>.</w:t>
        </w:r>
      </w:hyperlink>
    </w:p>
    <w:p w14:paraId="7E6DA248" w14:textId="77777777" w:rsidR="00500337" w:rsidRPr="00E9279E" w:rsidRDefault="00500337" w:rsidP="00500337">
      <w:pPr>
        <w:pStyle w:val="Heading2"/>
      </w:pPr>
      <w:bookmarkStart w:id="39" w:name="_Toc118379554"/>
      <w:r w:rsidRPr="00E9279E">
        <w:t>Registration timeline</w:t>
      </w:r>
      <w:bookmarkEnd w:id="36"/>
      <w:bookmarkEnd w:id="39"/>
    </w:p>
    <w:p w14:paraId="4EF7AA21" w14:textId="77777777" w:rsidR="0074163C" w:rsidRPr="00E9279E" w:rsidRDefault="0074163C" w:rsidP="0074163C">
      <w:r w:rsidRPr="00E9279E">
        <w:t xml:space="preserve">The following table captures the key steps and dates for this </w:t>
      </w:r>
      <w:r w:rsidR="00804D99" w:rsidRPr="00E9279E">
        <w:t>submission</w:t>
      </w:r>
      <w:r w:rsidRPr="00E9279E">
        <w:t>.</w:t>
      </w:r>
    </w:p>
    <w:p w14:paraId="2E9CCDF9" w14:textId="0E2F6B12" w:rsidR="0074163C" w:rsidRPr="00E9279E" w:rsidRDefault="0074163C" w:rsidP="00F86A77">
      <w:pPr>
        <w:pStyle w:val="TableTitle"/>
      </w:pPr>
      <w:r w:rsidRPr="00E9279E">
        <w:t xml:space="preserve">Table </w:t>
      </w:r>
      <w:r w:rsidR="000C44E7">
        <w:fldChar w:fldCharType="begin"/>
      </w:r>
      <w:r w:rsidR="000C44E7">
        <w:instrText xml:space="preserve"> SEQ Table \* ARABIC </w:instrText>
      </w:r>
      <w:r w:rsidR="000C44E7">
        <w:fldChar w:fldCharType="separate"/>
      </w:r>
      <w:r w:rsidR="00E9279E">
        <w:rPr>
          <w:noProof/>
        </w:rPr>
        <w:t>2</w:t>
      </w:r>
      <w:r w:rsidR="000C44E7">
        <w:rPr>
          <w:noProof/>
        </w:rPr>
        <w:fldChar w:fldCharType="end"/>
      </w:r>
      <w:r w:rsidRPr="00E9279E">
        <w:t xml:space="preserve">: Timeline for Submission </w:t>
      </w:r>
      <w:r w:rsidR="00CB3109" w:rsidRPr="00E9279E">
        <w:t>PM-2020-06568-1-4</w:t>
      </w:r>
    </w:p>
    <w:tbl>
      <w:tblPr>
        <w:tblStyle w:val="TableTGAblue"/>
        <w:tblW w:w="0" w:type="auto"/>
        <w:tblLook w:val="04A0" w:firstRow="1" w:lastRow="0" w:firstColumn="1" w:lastColumn="0" w:noHBand="0" w:noVBand="1"/>
      </w:tblPr>
      <w:tblGrid>
        <w:gridCol w:w="4255"/>
        <w:gridCol w:w="4239"/>
      </w:tblGrid>
      <w:tr w:rsidR="0074163C" w:rsidRPr="00E9279E" w14:paraId="2663E0B8" w14:textId="77777777" w:rsidTr="009E5A87">
        <w:trPr>
          <w:cnfStyle w:val="100000000000" w:firstRow="1" w:lastRow="0" w:firstColumn="0" w:lastColumn="0" w:oddVBand="0" w:evenVBand="0" w:oddHBand="0" w:evenHBand="0" w:firstRowFirstColumn="0" w:firstRowLastColumn="0" w:lastRowFirstColumn="0" w:lastRowLastColumn="0"/>
        </w:trPr>
        <w:tc>
          <w:tcPr>
            <w:tcW w:w="4360" w:type="dxa"/>
            <w:tcBorders>
              <w:top w:val="single" w:sz="4" w:space="0" w:color="auto"/>
              <w:left w:val="single" w:sz="4" w:space="0" w:color="auto"/>
              <w:bottom w:val="single" w:sz="4" w:space="0" w:color="auto"/>
              <w:right w:val="single" w:sz="4" w:space="0" w:color="auto"/>
            </w:tcBorders>
          </w:tcPr>
          <w:p w14:paraId="5096A11F" w14:textId="77777777" w:rsidR="0074163C" w:rsidRPr="00E9279E" w:rsidRDefault="0074163C" w:rsidP="009E5A87">
            <w:r w:rsidRPr="00E9279E">
              <w:t>Description</w:t>
            </w:r>
          </w:p>
        </w:tc>
        <w:tc>
          <w:tcPr>
            <w:tcW w:w="4360" w:type="dxa"/>
            <w:tcBorders>
              <w:top w:val="single" w:sz="4" w:space="0" w:color="auto"/>
              <w:left w:val="single" w:sz="4" w:space="0" w:color="auto"/>
              <w:bottom w:val="single" w:sz="4" w:space="0" w:color="auto"/>
              <w:right w:val="single" w:sz="4" w:space="0" w:color="auto"/>
            </w:tcBorders>
          </w:tcPr>
          <w:p w14:paraId="3DB01008" w14:textId="77777777" w:rsidR="0074163C" w:rsidRPr="00E9279E" w:rsidRDefault="0074163C" w:rsidP="009E5A87">
            <w:r w:rsidRPr="00E9279E">
              <w:t>Date</w:t>
            </w:r>
          </w:p>
        </w:tc>
      </w:tr>
      <w:tr w:rsidR="0074163C" w:rsidRPr="00E9279E" w14:paraId="2ECF5E14" w14:textId="77777777" w:rsidTr="009E5A87">
        <w:tc>
          <w:tcPr>
            <w:tcW w:w="4360" w:type="dxa"/>
            <w:tcBorders>
              <w:top w:val="single" w:sz="4" w:space="0" w:color="auto"/>
            </w:tcBorders>
          </w:tcPr>
          <w:p w14:paraId="60B0B634" w14:textId="77777777" w:rsidR="0074163C" w:rsidRPr="00E9279E" w:rsidRDefault="0074163C" w:rsidP="009E5A87">
            <w:r w:rsidRPr="00E9279E">
              <w:t>Submission dossier accepted and first round evaluation commenced</w:t>
            </w:r>
          </w:p>
        </w:tc>
        <w:tc>
          <w:tcPr>
            <w:tcW w:w="4360" w:type="dxa"/>
            <w:tcBorders>
              <w:top w:val="single" w:sz="4" w:space="0" w:color="auto"/>
            </w:tcBorders>
          </w:tcPr>
          <w:p w14:paraId="764ACE0A" w14:textId="0AE8F0F3" w:rsidR="0074163C" w:rsidRPr="00E9279E" w:rsidRDefault="00283AFA" w:rsidP="009E5A87">
            <w:r w:rsidRPr="00E9279E">
              <w:t>1 February 2021</w:t>
            </w:r>
          </w:p>
        </w:tc>
      </w:tr>
      <w:tr w:rsidR="0074163C" w:rsidRPr="00E9279E" w14:paraId="5BBBF8F9" w14:textId="77777777" w:rsidTr="009E5A87">
        <w:tc>
          <w:tcPr>
            <w:tcW w:w="4360" w:type="dxa"/>
          </w:tcPr>
          <w:p w14:paraId="6458F643" w14:textId="77777777" w:rsidR="0074163C" w:rsidRPr="00E9279E" w:rsidRDefault="0074163C" w:rsidP="009E5A87">
            <w:r w:rsidRPr="00E9279E">
              <w:t>First round evaluation completed</w:t>
            </w:r>
          </w:p>
        </w:tc>
        <w:tc>
          <w:tcPr>
            <w:tcW w:w="4360" w:type="dxa"/>
          </w:tcPr>
          <w:p w14:paraId="43EC4FBE" w14:textId="5A6C61DC" w:rsidR="0074163C" w:rsidRPr="00E9279E" w:rsidRDefault="00283AFA" w:rsidP="009E5A87">
            <w:r w:rsidRPr="00E9279E">
              <w:t>24 September 2021</w:t>
            </w:r>
          </w:p>
        </w:tc>
      </w:tr>
      <w:tr w:rsidR="0074163C" w:rsidRPr="00E9279E" w14:paraId="7F4F1E0A" w14:textId="77777777" w:rsidTr="009E5A87">
        <w:tc>
          <w:tcPr>
            <w:tcW w:w="4360" w:type="dxa"/>
          </w:tcPr>
          <w:p w14:paraId="554B5733" w14:textId="77777777" w:rsidR="0074163C" w:rsidRPr="00E9279E" w:rsidRDefault="0074163C" w:rsidP="009E5A87">
            <w:r w:rsidRPr="00E9279E">
              <w:t>Sponsor provides responses on questions raised in first round evaluation</w:t>
            </w:r>
          </w:p>
        </w:tc>
        <w:tc>
          <w:tcPr>
            <w:tcW w:w="4360" w:type="dxa"/>
          </w:tcPr>
          <w:p w14:paraId="465D2B33" w14:textId="4E50F25A" w:rsidR="0074163C" w:rsidRPr="00E9279E" w:rsidRDefault="00283AFA" w:rsidP="009E5A87">
            <w:r w:rsidRPr="00E9279E">
              <w:t>24 November 2021</w:t>
            </w:r>
          </w:p>
        </w:tc>
      </w:tr>
      <w:tr w:rsidR="0074163C" w:rsidRPr="00E9279E" w14:paraId="5BD5F021" w14:textId="77777777" w:rsidTr="009E5A87">
        <w:tc>
          <w:tcPr>
            <w:tcW w:w="4360" w:type="dxa"/>
          </w:tcPr>
          <w:p w14:paraId="19404FA9" w14:textId="77777777" w:rsidR="0074163C" w:rsidRPr="00E9279E" w:rsidRDefault="0074163C" w:rsidP="009E5A87">
            <w:r w:rsidRPr="00E9279E">
              <w:t>Second round evaluation completed</w:t>
            </w:r>
          </w:p>
        </w:tc>
        <w:tc>
          <w:tcPr>
            <w:tcW w:w="4360" w:type="dxa"/>
          </w:tcPr>
          <w:p w14:paraId="533CBAC5" w14:textId="2584246F" w:rsidR="0074163C" w:rsidRPr="00E9279E" w:rsidRDefault="00283AFA" w:rsidP="009E5A87">
            <w:r w:rsidRPr="00E9279E">
              <w:t>22 December 2021</w:t>
            </w:r>
          </w:p>
        </w:tc>
      </w:tr>
      <w:tr w:rsidR="0074163C" w:rsidRPr="00E9279E" w14:paraId="669ADF2F" w14:textId="77777777" w:rsidTr="009E5A87">
        <w:tc>
          <w:tcPr>
            <w:tcW w:w="4360" w:type="dxa"/>
          </w:tcPr>
          <w:p w14:paraId="396A16A7" w14:textId="14D484A7" w:rsidR="0074163C" w:rsidRPr="00E9279E" w:rsidRDefault="0074163C" w:rsidP="009E5A87">
            <w:r w:rsidRPr="00E9279E">
              <w:rPr>
                <w:color w:val="auto"/>
              </w:rPr>
              <w:t>Delegate’s Overall benefit-risk assessment and request for Advisory Committee advice</w:t>
            </w:r>
          </w:p>
        </w:tc>
        <w:tc>
          <w:tcPr>
            <w:tcW w:w="4360" w:type="dxa"/>
          </w:tcPr>
          <w:p w14:paraId="35F3D764" w14:textId="55D2EF43" w:rsidR="0074163C" w:rsidRPr="00E9279E" w:rsidRDefault="002F1A84" w:rsidP="009E5A87">
            <w:r w:rsidRPr="00E9279E">
              <w:t>4 January 2022</w:t>
            </w:r>
          </w:p>
        </w:tc>
      </w:tr>
      <w:tr w:rsidR="0074163C" w:rsidRPr="00E9279E" w14:paraId="168358C7" w14:textId="77777777" w:rsidTr="009E5A87">
        <w:tc>
          <w:tcPr>
            <w:tcW w:w="4360" w:type="dxa"/>
          </w:tcPr>
          <w:p w14:paraId="5E70EF54" w14:textId="77777777" w:rsidR="0074163C" w:rsidRPr="00E9279E" w:rsidRDefault="0074163C" w:rsidP="009E5A87">
            <w:r w:rsidRPr="00E9279E">
              <w:t>Sponsor’s pre-Advisory Committee response</w:t>
            </w:r>
          </w:p>
        </w:tc>
        <w:tc>
          <w:tcPr>
            <w:tcW w:w="4360" w:type="dxa"/>
          </w:tcPr>
          <w:p w14:paraId="2D9A60E1" w14:textId="1B508ACD" w:rsidR="0074163C" w:rsidRPr="00E9279E" w:rsidRDefault="002F1A84" w:rsidP="009E5A87">
            <w:r w:rsidRPr="00E9279E">
              <w:t>17 January 2022</w:t>
            </w:r>
          </w:p>
        </w:tc>
      </w:tr>
      <w:tr w:rsidR="0074163C" w:rsidRPr="00E9279E" w14:paraId="40CA6060" w14:textId="77777777" w:rsidTr="009E5A87">
        <w:tc>
          <w:tcPr>
            <w:tcW w:w="4360" w:type="dxa"/>
          </w:tcPr>
          <w:p w14:paraId="47F1973F" w14:textId="77777777" w:rsidR="0074163C" w:rsidRPr="00E9279E" w:rsidRDefault="0074163C" w:rsidP="009E5A87">
            <w:r w:rsidRPr="00E9279E">
              <w:t>Advisory Committee meeting</w:t>
            </w:r>
          </w:p>
        </w:tc>
        <w:tc>
          <w:tcPr>
            <w:tcW w:w="4360" w:type="dxa"/>
          </w:tcPr>
          <w:p w14:paraId="1A441445" w14:textId="15ED8E1D" w:rsidR="0074163C" w:rsidRPr="00E9279E" w:rsidRDefault="002F1A84" w:rsidP="009E5A87">
            <w:r w:rsidRPr="00E9279E">
              <w:t>3 and 4 February 2022</w:t>
            </w:r>
          </w:p>
        </w:tc>
      </w:tr>
      <w:tr w:rsidR="0074163C" w:rsidRPr="00E9279E" w14:paraId="7900EC92" w14:textId="77777777" w:rsidTr="009E5A87">
        <w:tc>
          <w:tcPr>
            <w:tcW w:w="4360" w:type="dxa"/>
          </w:tcPr>
          <w:p w14:paraId="2EE01D64" w14:textId="77777777" w:rsidR="0074163C" w:rsidRPr="00E9279E" w:rsidRDefault="0074163C" w:rsidP="009E5A87">
            <w:r w:rsidRPr="00E9279E">
              <w:t>Registration decision (Outcome)</w:t>
            </w:r>
          </w:p>
        </w:tc>
        <w:tc>
          <w:tcPr>
            <w:tcW w:w="4360" w:type="dxa"/>
          </w:tcPr>
          <w:p w14:paraId="66D448FD" w14:textId="3C2250E3" w:rsidR="0074163C" w:rsidRPr="00E9279E" w:rsidRDefault="0035790D" w:rsidP="009E5A87">
            <w:r w:rsidRPr="00E9279E">
              <w:t>25 May 2022</w:t>
            </w:r>
          </w:p>
        </w:tc>
      </w:tr>
      <w:tr w:rsidR="0074163C" w:rsidRPr="00E9279E" w14:paraId="5EEA2873" w14:textId="77777777" w:rsidTr="009E5A87">
        <w:tc>
          <w:tcPr>
            <w:tcW w:w="4360" w:type="dxa"/>
          </w:tcPr>
          <w:p w14:paraId="33809500" w14:textId="77777777" w:rsidR="0074163C" w:rsidRPr="00E9279E" w:rsidRDefault="0074163C" w:rsidP="009E5A87">
            <w:r w:rsidRPr="00E9279E">
              <w:t>Completion of administrative activities and registration on the ARTG</w:t>
            </w:r>
          </w:p>
        </w:tc>
        <w:tc>
          <w:tcPr>
            <w:tcW w:w="4360" w:type="dxa"/>
          </w:tcPr>
          <w:p w14:paraId="66E0F37E" w14:textId="54FC85E3" w:rsidR="0074163C" w:rsidRPr="00E9279E" w:rsidRDefault="0035790D" w:rsidP="009E5A87">
            <w:r w:rsidRPr="00E9279E">
              <w:t>9 June 2022</w:t>
            </w:r>
          </w:p>
        </w:tc>
      </w:tr>
      <w:tr w:rsidR="0074163C" w:rsidRPr="00E9279E" w14:paraId="07BB2711" w14:textId="77777777" w:rsidTr="009E5A87">
        <w:tc>
          <w:tcPr>
            <w:tcW w:w="4360" w:type="dxa"/>
          </w:tcPr>
          <w:p w14:paraId="581EB165" w14:textId="77777777" w:rsidR="0074163C" w:rsidRPr="00E9279E" w:rsidRDefault="0074163C" w:rsidP="009E5A87">
            <w:r w:rsidRPr="00E9279E">
              <w:lastRenderedPageBreak/>
              <w:t>Number of working days from submission dossier acceptance to registration decision*</w:t>
            </w:r>
          </w:p>
        </w:tc>
        <w:tc>
          <w:tcPr>
            <w:tcW w:w="4360" w:type="dxa"/>
          </w:tcPr>
          <w:p w14:paraId="2C8865EE" w14:textId="57EC8A3F" w:rsidR="0074163C" w:rsidRPr="00E9279E" w:rsidRDefault="00283AFA" w:rsidP="009E5A87">
            <w:r w:rsidRPr="00E9279E">
              <w:t>252</w:t>
            </w:r>
          </w:p>
        </w:tc>
      </w:tr>
    </w:tbl>
    <w:p w14:paraId="31D67538" w14:textId="70E497E6" w:rsidR="0074163C" w:rsidRPr="00E9279E" w:rsidRDefault="0074163C" w:rsidP="0074163C">
      <w:pPr>
        <w:pStyle w:val="TableDescription"/>
      </w:pPr>
      <w:r w:rsidRPr="00E9279E">
        <w:t xml:space="preserve">*Statutory timeframe for standard </w:t>
      </w:r>
      <w:r w:rsidR="00BB0B78" w:rsidRPr="00E9279E">
        <w:t>submission</w:t>
      </w:r>
      <w:r w:rsidRPr="00E9279E">
        <w:t>s is 255 working days</w:t>
      </w:r>
    </w:p>
    <w:p w14:paraId="4EE6F9E8" w14:textId="77777777" w:rsidR="008E7846" w:rsidRPr="00E9279E" w:rsidRDefault="00006FAB" w:rsidP="008E7846">
      <w:pPr>
        <w:pStyle w:val="Heading2"/>
      </w:pPr>
      <w:bookmarkStart w:id="40" w:name="_Toc196046504"/>
      <w:bookmarkStart w:id="41" w:name="_Toc247691527"/>
      <w:bookmarkStart w:id="42" w:name="_Toc314842510"/>
      <w:bookmarkStart w:id="43" w:name="_Toc118379555"/>
      <w:bookmarkStart w:id="44" w:name="_Toc163441390"/>
      <w:bookmarkEnd w:id="2"/>
      <w:bookmarkEnd w:id="37"/>
      <w:bookmarkEnd w:id="38"/>
      <w:r w:rsidRPr="00E9279E">
        <w:t xml:space="preserve">Submission overview </w:t>
      </w:r>
      <w:r w:rsidR="008E7846" w:rsidRPr="00E9279E">
        <w:t>and risk/benefit assessment</w:t>
      </w:r>
      <w:bookmarkEnd w:id="40"/>
      <w:bookmarkEnd w:id="41"/>
      <w:bookmarkEnd w:id="42"/>
      <w:bookmarkEnd w:id="43"/>
    </w:p>
    <w:p w14:paraId="0E0E0E54" w14:textId="3C0B80C7" w:rsidR="005A79F5" w:rsidRPr="00E9279E" w:rsidRDefault="005A79F5" w:rsidP="00FB0A50">
      <w:bookmarkStart w:id="45" w:name="_Toc247691528"/>
      <w:bookmarkStart w:id="46" w:name="_Toc314842511"/>
      <w:r w:rsidRPr="00E9279E">
        <w:t>A summary of the TGA’s assessment for this submission is provided below.</w:t>
      </w:r>
    </w:p>
    <w:p w14:paraId="6E466CB0" w14:textId="77777777" w:rsidR="00FB0A50" w:rsidRPr="00E9279E" w:rsidRDefault="00FB0A50" w:rsidP="00FB0A50">
      <w:r w:rsidRPr="00E9279E">
        <w:t>Relevant guidelines or guidance documents referred to by the Delegate are listed below:</w:t>
      </w:r>
    </w:p>
    <w:p w14:paraId="4A683F95" w14:textId="3ECABF02" w:rsidR="00E0699B" w:rsidRPr="00E9279E" w:rsidRDefault="00FB0A50" w:rsidP="00FB0A50">
      <w:pPr>
        <w:pStyle w:val="ListBullet"/>
      </w:pPr>
      <w:r w:rsidRPr="00E9279E">
        <w:t>European Medicines Agency (</w:t>
      </w:r>
      <w:r w:rsidR="00E0699B" w:rsidRPr="00E9279E">
        <w:t>EMA</w:t>
      </w:r>
      <w:r w:rsidRPr="00E9279E">
        <w:t>)</w:t>
      </w:r>
      <w:r w:rsidR="00E0699B" w:rsidRPr="00E9279E">
        <w:t xml:space="preserve">, </w:t>
      </w:r>
      <w:r w:rsidRPr="00E9279E">
        <w:t>Committee for Medicinal Products for Human Use (</w:t>
      </w:r>
      <w:r w:rsidR="00E0699B" w:rsidRPr="00E9279E">
        <w:t>CHMP</w:t>
      </w:r>
      <w:r w:rsidRPr="00E9279E">
        <w:t>)</w:t>
      </w:r>
      <w:r w:rsidR="00E0699B" w:rsidRPr="00E9279E">
        <w:t xml:space="preserve">, Guideline on the </w:t>
      </w:r>
      <w:r w:rsidRPr="00E9279E">
        <w:t xml:space="preserve">Evaluation </w:t>
      </w:r>
      <w:r w:rsidR="00E0699B" w:rsidRPr="00E9279E">
        <w:t xml:space="preserve">of </w:t>
      </w:r>
      <w:r w:rsidRPr="00E9279E">
        <w:t xml:space="preserve">Anticancer Medicinal Products </w:t>
      </w:r>
      <w:r w:rsidR="00E0699B" w:rsidRPr="00E9279E">
        <w:t xml:space="preserve">in </w:t>
      </w:r>
      <w:r w:rsidRPr="00E9279E">
        <w:t>Man</w:t>
      </w:r>
      <w:r w:rsidR="00E0699B" w:rsidRPr="00E9279E">
        <w:t>, EMA/CHMP/205/95/Rev.4, 13 December 2012.</w:t>
      </w:r>
    </w:p>
    <w:p w14:paraId="111F3A56" w14:textId="2C88FB1C" w:rsidR="00E0699B" w:rsidRPr="00E9279E" w:rsidRDefault="00FB0A50" w:rsidP="00FB0A50">
      <w:pPr>
        <w:pStyle w:val="ListBullet"/>
      </w:pPr>
      <w:r w:rsidRPr="00E9279E">
        <w:t xml:space="preserve">European Medicines Agency (EMA), Committee for Medicinal Products for Human Use (CHMP), </w:t>
      </w:r>
      <w:r w:rsidR="00E0699B" w:rsidRPr="00E9279E">
        <w:t xml:space="preserve">Appendix 1 to the </w:t>
      </w:r>
      <w:r w:rsidRPr="00E9279E">
        <w:t xml:space="preserve">Guideline </w:t>
      </w:r>
      <w:r w:rsidR="00E0699B" w:rsidRPr="00E9279E">
        <w:t xml:space="preserve">on the </w:t>
      </w:r>
      <w:r w:rsidRPr="00E9279E">
        <w:t xml:space="preserve">Evaluation </w:t>
      </w:r>
      <w:r w:rsidR="00E0699B" w:rsidRPr="00E9279E">
        <w:t xml:space="preserve">of </w:t>
      </w:r>
      <w:r w:rsidRPr="00E9279E">
        <w:t>Anticancer Medicinal Products</w:t>
      </w:r>
      <w:r w:rsidR="00E0699B" w:rsidRPr="00E9279E">
        <w:t xml:space="preserve"> in man, Methodological </w:t>
      </w:r>
      <w:r w:rsidRPr="00E9279E">
        <w:t xml:space="preserve">Consideration </w:t>
      </w:r>
      <w:r w:rsidR="00E0699B" w:rsidRPr="00E9279E">
        <w:t xml:space="preserve">for </w:t>
      </w:r>
      <w:r w:rsidRPr="00E9279E">
        <w:t xml:space="preserve">Using Progression-Free Survival </w:t>
      </w:r>
      <w:r w:rsidR="00E0699B" w:rsidRPr="00E9279E">
        <w:t xml:space="preserve">(PFS) or </w:t>
      </w:r>
      <w:r w:rsidRPr="00E9279E">
        <w:t xml:space="preserve">Disease-Free Survival </w:t>
      </w:r>
      <w:r w:rsidR="00E0699B" w:rsidRPr="00E9279E">
        <w:t xml:space="preserve">(DFS) in </w:t>
      </w:r>
      <w:r w:rsidRPr="00E9279E">
        <w:t>Confirmatory Trials, EMA/CHMP/27994/2008/Rev.1, 13 December 2012.</w:t>
      </w:r>
    </w:p>
    <w:p w14:paraId="3A92EFC5" w14:textId="5AB00985" w:rsidR="00FB0A50" w:rsidRPr="00E9279E" w:rsidRDefault="00FB0A50" w:rsidP="00FB0A50">
      <w:pPr>
        <w:pStyle w:val="ListBullet"/>
      </w:pPr>
      <w:r w:rsidRPr="00E9279E">
        <w:t>European Medicines Agency (EMA), Committee for Medicinal Products for Human Use (CHMP), Appendix 4 to the Guideline on the Evaluation of Anticancer Medicinal Products in Man, EMA/CHMP/703715/2012 Rev. 2, 17 December 2015.</w:t>
      </w:r>
    </w:p>
    <w:p w14:paraId="2AF16B78" w14:textId="44DC858D" w:rsidR="00FB0A50" w:rsidRPr="00E9279E" w:rsidRDefault="00FB0A50" w:rsidP="00FB0A50">
      <w:pPr>
        <w:pStyle w:val="ListBullet"/>
      </w:pPr>
      <w:r w:rsidRPr="00E9279E">
        <w:t>European Medicines Emulations Agency (EMEA), Committee for Proprietary Medicinal Products (CPMP), ICH Topic E 9 Statistical Principles for Clinical Trials, Note for Guidance on Statistical Principles for Clinical Trials, CPMP/ICH/363/96. September</w:t>
      </w:r>
      <w:r w:rsidR="00DC4D4B" w:rsidRPr="00E9279E">
        <w:t> </w:t>
      </w:r>
      <w:r w:rsidRPr="00E9279E">
        <w:t>1998.</w:t>
      </w:r>
    </w:p>
    <w:p w14:paraId="1D3C1AFD" w14:textId="1CF8E83C" w:rsidR="00FB0A50" w:rsidRPr="00E9279E" w:rsidRDefault="00FB0A50" w:rsidP="00FB0A50">
      <w:pPr>
        <w:pStyle w:val="ListBullet"/>
      </w:pPr>
      <w:r w:rsidRPr="00E9279E">
        <w:t>European Medicines Emulations Agency (EMEA), Committee for Proprietary Medicinal Products (CPMP), Points to Consider on Application with 1. Meta-Analyses; 2.</w:t>
      </w:r>
      <w:r w:rsidR="00DC4D4B" w:rsidRPr="00E9279E">
        <w:t> </w:t>
      </w:r>
      <w:r w:rsidRPr="00E9279E">
        <w:t>One</w:t>
      </w:r>
      <w:r w:rsidR="00DC4D4B" w:rsidRPr="00E9279E">
        <w:t> </w:t>
      </w:r>
      <w:r w:rsidRPr="00E9279E">
        <w:t>Pivotal Study, CPMP/EWP/2330/99, 31 May 2001.</w:t>
      </w:r>
    </w:p>
    <w:p w14:paraId="09DC5EB6" w14:textId="77777777" w:rsidR="008E7846" w:rsidRPr="00E9279E" w:rsidRDefault="008E7846" w:rsidP="008E7846">
      <w:pPr>
        <w:pStyle w:val="Heading3"/>
      </w:pPr>
      <w:bookmarkStart w:id="47" w:name="_Toc118379556"/>
      <w:r w:rsidRPr="00E9279E">
        <w:t>Quality</w:t>
      </w:r>
      <w:bookmarkEnd w:id="45"/>
      <w:bookmarkEnd w:id="46"/>
      <w:bookmarkEnd w:id="47"/>
    </w:p>
    <w:p w14:paraId="0574B9A4" w14:textId="77777777" w:rsidR="0074163C" w:rsidRPr="00E9279E" w:rsidRDefault="0074163C" w:rsidP="0074163C">
      <w:r w:rsidRPr="00E9279E">
        <w:t>A full quality evaluation was conducted at the time this product received initial registration.</w:t>
      </w:r>
    </w:p>
    <w:p w14:paraId="6A0279F4" w14:textId="77777777" w:rsidR="008E7846" w:rsidRPr="00E9279E" w:rsidRDefault="008E7846" w:rsidP="008E7846">
      <w:pPr>
        <w:pStyle w:val="Heading3"/>
      </w:pPr>
      <w:bookmarkStart w:id="48" w:name="_Toc314842512"/>
      <w:bookmarkStart w:id="49" w:name="_Toc118379557"/>
      <w:r w:rsidRPr="00E9279E">
        <w:t>Nonclinical</w:t>
      </w:r>
      <w:bookmarkEnd w:id="48"/>
      <w:bookmarkEnd w:id="49"/>
    </w:p>
    <w:p w14:paraId="395ADDE4" w14:textId="3D742A41" w:rsidR="00C314D3" w:rsidRPr="00E9279E" w:rsidRDefault="00C314D3" w:rsidP="00C314D3">
      <w:r w:rsidRPr="00E9279E">
        <w:t xml:space="preserve">The new </w:t>
      </w:r>
      <w:r w:rsidR="00BD5016" w:rsidRPr="00E9279E">
        <w:t>nonclinical</w:t>
      </w:r>
      <w:r w:rsidRPr="00E9279E">
        <w:t xml:space="preserve"> data were provided in this submission included studies in repeat</w:t>
      </w:r>
      <w:r w:rsidR="00932479" w:rsidRPr="00E9279E">
        <w:noBreakHyphen/>
      </w:r>
      <w:r w:rsidRPr="00E9279E">
        <w:t>dose toxicity, genotoxicity, carcinogenicity, and reproductive and development toxicity studies.</w:t>
      </w:r>
    </w:p>
    <w:p w14:paraId="6DFF3503" w14:textId="77777777" w:rsidR="00C314D3" w:rsidRPr="00E9279E" w:rsidRDefault="00C314D3" w:rsidP="00C314D3">
      <w:r w:rsidRPr="00E9279E">
        <w:t xml:space="preserve">The repeat dose toxicity studies in rats had similar findings to those evaluated in the first application for </w:t>
      </w:r>
      <w:proofErr w:type="spellStart"/>
      <w:r w:rsidRPr="00E9279E">
        <w:t>abemaciclib</w:t>
      </w:r>
      <w:proofErr w:type="spellEnd"/>
      <w:r w:rsidRPr="00E9279E">
        <w:t>. New findings in this submission included:</w:t>
      </w:r>
    </w:p>
    <w:p w14:paraId="72A1B557" w14:textId="1107DC3E" w:rsidR="00C314D3" w:rsidRPr="00E9279E" w:rsidRDefault="00E3483E" w:rsidP="00C314D3">
      <w:pPr>
        <w:pStyle w:val="ListBullet"/>
      </w:pPr>
      <w:r w:rsidRPr="00E9279E">
        <w:t xml:space="preserve">eye </w:t>
      </w:r>
      <w:r w:rsidR="00C314D3" w:rsidRPr="00E9279E">
        <w:t>effects (cataract in rats potentially related to hyperglycaemia, and retinopathy in mice and rats)</w:t>
      </w:r>
      <w:r w:rsidRPr="00E9279E">
        <w:t>,</w:t>
      </w:r>
    </w:p>
    <w:p w14:paraId="40B6B12F" w14:textId="7598F948" w:rsidR="00C314D3" w:rsidRPr="00E9279E" w:rsidRDefault="00E3483E" w:rsidP="00C314D3">
      <w:pPr>
        <w:pStyle w:val="ListBullet"/>
      </w:pPr>
      <w:r w:rsidRPr="00E9279E">
        <w:t xml:space="preserve">cardiac </w:t>
      </w:r>
      <w:r w:rsidR="00C314D3" w:rsidRPr="00E9279E">
        <w:t>effects (valve macrophage vacuolation and inflammation in rats and cardiomyocyte vacuolation in mice)</w:t>
      </w:r>
      <w:r w:rsidRPr="00E9279E">
        <w:t>,</w:t>
      </w:r>
    </w:p>
    <w:p w14:paraId="3BB8252D" w14:textId="08A0394B" w:rsidR="00C314D3" w:rsidRPr="00E9279E" w:rsidRDefault="00E3483E" w:rsidP="00C314D3">
      <w:pPr>
        <w:pStyle w:val="ListBullet"/>
      </w:pPr>
      <w:r w:rsidRPr="00E9279E">
        <w:lastRenderedPageBreak/>
        <w:t xml:space="preserve">pancreatic </w:t>
      </w:r>
      <w:r w:rsidR="00C314D3" w:rsidRPr="00E9279E">
        <w:t>effects (atrophy of pancreatic islet cells in the 2-year carcinogenicity study in rats)</w:t>
      </w:r>
      <w:r w:rsidRPr="00E9279E">
        <w:t>,</w:t>
      </w:r>
    </w:p>
    <w:p w14:paraId="227705AB" w14:textId="10FBB189" w:rsidR="00C314D3" w:rsidRPr="00E9279E" w:rsidRDefault="00E3483E" w:rsidP="00C314D3">
      <w:pPr>
        <w:pStyle w:val="ListBullet"/>
      </w:pPr>
      <w:r w:rsidRPr="00E9279E">
        <w:t xml:space="preserve">liver </w:t>
      </w:r>
      <w:r w:rsidR="00C314D3" w:rsidRPr="00E9279E">
        <w:t>effects (Kupffer cell hypertrophy</w:t>
      </w:r>
      <w:r w:rsidRPr="00E9279E">
        <w:t xml:space="preserve"> or </w:t>
      </w:r>
      <w:r w:rsidR="00C314D3" w:rsidRPr="00E9279E">
        <w:t>hyperplasia and basophilic granules and hepatocellular single cell necrosis in mice)</w:t>
      </w:r>
      <w:r w:rsidRPr="00E9279E">
        <w:t>.</w:t>
      </w:r>
    </w:p>
    <w:p w14:paraId="4B212E30" w14:textId="274CF94C" w:rsidR="00C314D3" w:rsidRPr="00E9279E" w:rsidRDefault="00C314D3" w:rsidP="00C314D3">
      <w:r w:rsidRPr="00E9279E">
        <w:t xml:space="preserve">The major human metabolites of </w:t>
      </w:r>
      <w:proofErr w:type="spellStart"/>
      <w:r w:rsidRPr="00E9279E">
        <w:t>abemaciclib</w:t>
      </w:r>
      <w:proofErr w:type="spellEnd"/>
      <w:r w:rsidRPr="00E9279E">
        <w:t xml:space="preserve">, </w:t>
      </w:r>
      <w:r w:rsidR="00DC4D4B" w:rsidRPr="00E9279E">
        <w:t xml:space="preserve">metabolites </w:t>
      </w:r>
      <w:r w:rsidRPr="00E9279E">
        <w:t xml:space="preserve">M2 and M20, were not clastogenic </w:t>
      </w:r>
      <w:r w:rsidRPr="00E9279E">
        <w:rPr>
          <w:i/>
          <w:iCs/>
        </w:rPr>
        <w:t>in vivo</w:t>
      </w:r>
      <w:r w:rsidRPr="00E9279E">
        <w:t xml:space="preserve"> in the rat bone marrow micronucleus test. In the carcinogenicity study, incidence of Leydig cell adenomas (and hyperplasia) outside the historical control data range was observed with </w:t>
      </w:r>
      <w:proofErr w:type="spellStart"/>
      <w:r w:rsidRPr="00E9279E">
        <w:t>abemaciclib</w:t>
      </w:r>
      <w:proofErr w:type="spellEnd"/>
      <w:r w:rsidRPr="00E9279E">
        <w:t xml:space="preserve">. A 2-year carcinogenicity study in mice is currently underway. </w:t>
      </w:r>
      <w:r w:rsidR="00E3483E" w:rsidRPr="00E9279E">
        <w:t xml:space="preserve">The sponsor </w:t>
      </w:r>
      <w:r w:rsidR="00932479" w:rsidRPr="00E9279E">
        <w:t>is</w:t>
      </w:r>
      <w:r w:rsidR="00E3483E" w:rsidRPr="00E9279E">
        <w:t xml:space="preserve"> required to provide t</w:t>
      </w:r>
      <w:r w:rsidRPr="00E9279E">
        <w:t>he study report to the TGA for evaluation once available.</w:t>
      </w:r>
    </w:p>
    <w:p w14:paraId="393B3002" w14:textId="7DA274AC" w:rsidR="00C314D3" w:rsidRPr="00E9279E" w:rsidRDefault="00C314D3" w:rsidP="00C314D3">
      <w:r w:rsidRPr="00E9279E">
        <w:t xml:space="preserve">Fertility was unaffected in male and female rats treated with </w:t>
      </w:r>
      <w:proofErr w:type="spellStart"/>
      <w:r w:rsidRPr="00E9279E">
        <w:t>abemaciclib</w:t>
      </w:r>
      <w:proofErr w:type="spellEnd"/>
      <w:r w:rsidRPr="00E9279E">
        <w:t xml:space="preserve">. The number of corpora lutea was decreased in the repeat dose toxicity study in mice. Given the low exposure margins in the fertility study and published reports that inactivation of both </w:t>
      </w:r>
      <w:r w:rsidR="00C365A9" w:rsidRPr="00E9279E">
        <w:t>cyclin</w:t>
      </w:r>
      <w:r w:rsidR="00C365A9" w:rsidRPr="00E9279E">
        <w:noBreakHyphen/>
        <w:t>D dependent kinases 4 and 6 (</w:t>
      </w:r>
      <w:r w:rsidRPr="00E9279E">
        <w:t>CDK4 and CDK6</w:t>
      </w:r>
      <w:r w:rsidR="00C365A9" w:rsidRPr="00E9279E">
        <w:t>)</w:t>
      </w:r>
      <w:r w:rsidRPr="00E9279E">
        <w:t xml:space="preserve"> leads to late embryonic death, adverse effects on female fertility and embryonic development in patients cannot be excluded.</w:t>
      </w:r>
    </w:p>
    <w:p w14:paraId="2EAD948B" w14:textId="77777777" w:rsidR="00C314D3" w:rsidRPr="00E9279E" w:rsidRDefault="00C314D3" w:rsidP="00C314D3">
      <w:r w:rsidRPr="00E9279E">
        <w:t xml:space="preserve">From a nonclinical perspective there were no objections to the proposed extension of the indications of </w:t>
      </w:r>
      <w:proofErr w:type="spellStart"/>
      <w:r w:rsidRPr="00E9279E">
        <w:t>Verzenio</w:t>
      </w:r>
      <w:proofErr w:type="spellEnd"/>
      <w:r w:rsidRPr="00E9279E">
        <w:t>.</w:t>
      </w:r>
    </w:p>
    <w:p w14:paraId="4B7089AA" w14:textId="77777777" w:rsidR="008E7846" w:rsidRPr="00E9279E" w:rsidRDefault="008E7846" w:rsidP="008E7846">
      <w:pPr>
        <w:pStyle w:val="Heading3"/>
      </w:pPr>
      <w:bookmarkStart w:id="50" w:name="_Toc247691530"/>
      <w:bookmarkStart w:id="51" w:name="_Toc314842513"/>
      <w:bookmarkStart w:id="52" w:name="_Toc118379558"/>
      <w:r w:rsidRPr="00E9279E">
        <w:t>Clinical</w:t>
      </w:r>
      <w:bookmarkEnd w:id="50"/>
      <w:bookmarkEnd w:id="51"/>
      <w:bookmarkEnd w:id="52"/>
    </w:p>
    <w:p w14:paraId="3329D17E" w14:textId="77777777" w:rsidR="0074163C" w:rsidRPr="00E9279E" w:rsidRDefault="0074163C" w:rsidP="0074163C">
      <w:pPr>
        <w:pStyle w:val="Heading4"/>
      </w:pPr>
      <w:bookmarkStart w:id="53" w:name="_Toc98931928"/>
      <w:r w:rsidRPr="00E9279E">
        <w:t>Summary of clinical studies</w:t>
      </w:r>
      <w:bookmarkEnd w:id="53"/>
    </w:p>
    <w:p w14:paraId="07A90D0E" w14:textId="13F211ED" w:rsidR="00C314D3" w:rsidRPr="00E9279E" w:rsidRDefault="0074163C" w:rsidP="00C314D3">
      <w:r w:rsidRPr="00E9279E">
        <w:t>The clinical dossier consisted of</w:t>
      </w:r>
      <w:r w:rsidR="00FB0A50" w:rsidRPr="00E9279E">
        <w:t xml:space="preserve"> </w:t>
      </w:r>
      <w:r w:rsidR="002F1A84" w:rsidRPr="00E9279E">
        <w:t>o</w:t>
      </w:r>
      <w:r w:rsidR="00FB0A50" w:rsidRPr="00E9279E">
        <w:t xml:space="preserve">ne </w:t>
      </w:r>
      <w:r w:rsidR="002F1A84" w:rsidRPr="00E9279E">
        <w:t xml:space="preserve">pivotal </w:t>
      </w:r>
      <w:r w:rsidR="00FB0A50" w:rsidRPr="00E9279E">
        <w:t>Phase III study (Study</w:t>
      </w:r>
      <w:r w:rsidR="00E3483E" w:rsidRPr="00E9279E">
        <w:t> </w:t>
      </w:r>
      <w:r w:rsidR="00FB0A50" w:rsidRPr="00E9279E">
        <w:t xml:space="preserve">I3Y-MC-JPCF, also known as </w:t>
      </w:r>
      <w:r w:rsidR="0086249E" w:rsidRPr="00E9279E">
        <w:t>the MONARCHE trial</w:t>
      </w:r>
      <w:r w:rsidR="00FB0A50" w:rsidRPr="00E9279E">
        <w:t>).</w:t>
      </w:r>
      <w:r w:rsidR="002F1A84" w:rsidRPr="00E9279E">
        <w:t xml:space="preserve"> </w:t>
      </w:r>
      <w:r w:rsidR="00476DB2" w:rsidRPr="00E9279E">
        <w:t>It</w:t>
      </w:r>
      <w:r w:rsidR="00C314D3" w:rsidRPr="00E9279E">
        <w:t xml:space="preserve"> a Phase III, randomised, open</w:t>
      </w:r>
      <w:r w:rsidR="00E3483E" w:rsidRPr="00E9279E">
        <w:t xml:space="preserve"> </w:t>
      </w:r>
      <w:r w:rsidR="00C314D3" w:rsidRPr="00E9279E">
        <w:t xml:space="preserve">label, multi-centre, multinational study to evaluate the efficacy and safety of </w:t>
      </w:r>
      <w:proofErr w:type="spellStart"/>
      <w:r w:rsidR="00C314D3" w:rsidRPr="00E9279E">
        <w:t>abemaciclib</w:t>
      </w:r>
      <w:proofErr w:type="spellEnd"/>
      <w:r w:rsidR="00C314D3" w:rsidRPr="00E9279E">
        <w:t xml:space="preserve"> combined with standard adjuvant </w:t>
      </w:r>
      <w:r w:rsidR="00C518AE" w:rsidRPr="00E9279E">
        <w:t>endocrine therapy</w:t>
      </w:r>
      <w:r w:rsidR="00C314D3" w:rsidRPr="00E9279E">
        <w:t xml:space="preserve"> </w:t>
      </w:r>
      <w:r w:rsidR="00033AC2" w:rsidRPr="00E9279E">
        <w:t>versus</w:t>
      </w:r>
      <w:r w:rsidR="00C314D3" w:rsidRPr="00E9279E">
        <w:t xml:space="preserve"> standard adjuvant </w:t>
      </w:r>
      <w:r w:rsidR="00C518AE" w:rsidRPr="00E9279E">
        <w:t>endocrine therapy</w:t>
      </w:r>
      <w:r w:rsidR="00C314D3" w:rsidRPr="00E9279E">
        <w:t xml:space="preserve"> alone in 5637</w:t>
      </w:r>
      <w:r w:rsidR="00E3483E" w:rsidRPr="00E9279E">
        <w:t> </w:t>
      </w:r>
      <w:r w:rsidR="00C314D3" w:rsidRPr="00E9279E">
        <w:t>patients with node</w:t>
      </w:r>
      <w:r w:rsidR="00DB48CF" w:rsidRPr="00E9279E">
        <w:t xml:space="preserve"> </w:t>
      </w:r>
      <w:r w:rsidR="00C314D3" w:rsidRPr="00E9279E">
        <w:t xml:space="preserve">positive, invasive, resected, </w:t>
      </w:r>
      <w:r w:rsidR="00DB48CF" w:rsidRPr="00E9279E">
        <w:t>hormone receptor positive (</w:t>
      </w:r>
      <w:r w:rsidR="00C314D3" w:rsidRPr="00E9279E">
        <w:t>HR+</w:t>
      </w:r>
      <w:r w:rsidR="00DB48CF" w:rsidRPr="00E9279E">
        <w:t>)</w:t>
      </w:r>
      <w:r w:rsidR="00C314D3" w:rsidRPr="00E9279E">
        <w:t xml:space="preserve">, </w:t>
      </w:r>
      <w:r w:rsidR="006E47AB" w:rsidRPr="00E9279E">
        <w:t>human epidermal growth factor receptor 2 negative (</w:t>
      </w:r>
      <w:r w:rsidR="00C314D3" w:rsidRPr="00E9279E">
        <w:t>HER2-</w:t>
      </w:r>
      <w:r w:rsidR="006E47AB" w:rsidRPr="00E9279E">
        <w:t>)</w:t>
      </w:r>
      <w:r w:rsidR="00C314D3" w:rsidRPr="00E9279E">
        <w:t xml:space="preserve"> early breast cancer who completed definitive locoregional therapy, with or without neoadjuvant or adjuvant chemotherapy, at high risk of disease recurrence.</w:t>
      </w:r>
    </w:p>
    <w:p w14:paraId="7B667885" w14:textId="0990FD4E" w:rsidR="00C314D3" w:rsidRPr="00E9279E" w:rsidRDefault="00C314D3" w:rsidP="00C314D3">
      <w:pPr>
        <w:pStyle w:val="Heading4"/>
      </w:pPr>
      <w:r w:rsidRPr="00E9279E">
        <w:t>Pharmacology</w:t>
      </w:r>
    </w:p>
    <w:p w14:paraId="252A8D7D" w14:textId="3E6ADCAE" w:rsidR="00C314D3" w:rsidRPr="00E9279E" w:rsidRDefault="00C314D3" w:rsidP="00C314D3">
      <w:r w:rsidRPr="00E9279E">
        <w:t xml:space="preserve">The submission included an updated </w:t>
      </w:r>
      <w:proofErr w:type="spellStart"/>
      <w:r w:rsidRPr="00E9279E">
        <w:t>abemaciclib</w:t>
      </w:r>
      <w:proofErr w:type="spellEnd"/>
      <w:r w:rsidRPr="00E9279E">
        <w:t xml:space="preserve"> mechanistic population pharmacokinetic</w:t>
      </w:r>
      <w:r w:rsidR="00C365A9" w:rsidRPr="00E9279E">
        <w:t xml:space="preserve"> (</w:t>
      </w:r>
      <w:proofErr w:type="spellStart"/>
      <w:r w:rsidR="009A5ACC" w:rsidRPr="00E9279E">
        <w:t>Pop</w:t>
      </w:r>
      <w:r w:rsidR="00C365A9" w:rsidRPr="00E9279E">
        <w:t>PK</w:t>
      </w:r>
      <w:proofErr w:type="spellEnd"/>
      <w:r w:rsidR="00C365A9" w:rsidRPr="00E9279E">
        <w:t>)</w:t>
      </w:r>
      <w:r w:rsidRPr="00E9279E">
        <w:t xml:space="preserve"> model and an updated exposure response analysis, that aimed to characterise the therapeutic window of </w:t>
      </w:r>
      <w:proofErr w:type="spellStart"/>
      <w:r w:rsidRPr="00E9279E">
        <w:t>abemaciclib</w:t>
      </w:r>
      <w:proofErr w:type="spellEnd"/>
      <w:r w:rsidRPr="00E9279E">
        <w:t xml:space="preserve"> concentrations to support the recommended starting dose for pivotal study for the submission, </w:t>
      </w:r>
      <w:r w:rsidR="00476DB2" w:rsidRPr="00E9279E">
        <w:t xml:space="preserve">the </w:t>
      </w:r>
      <w:r w:rsidR="002F1A84" w:rsidRPr="00E9279E">
        <w:t>MONARCHE</w:t>
      </w:r>
      <w:r w:rsidR="00476DB2" w:rsidRPr="00E9279E">
        <w:t xml:space="preserve"> trial</w:t>
      </w:r>
      <w:r w:rsidRPr="00E9279E">
        <w:t>, and dose adjustments for adverse events</w:t>
      </w:r>
      <w:r w:rsidR="009A5ACC" w:rsidRPr="00E9279E">
        <w:t xml:space="preserve"> (AEs)</w:t>
      </w:r>
      <w:r w:rsidRPr="00E9279E">
        <w:t xml:space="preserve"> </w:t>
      </w:r>
      <w:bookmarkStart w:id="54" w:name="_Hlk113986704"/>
      <w:proofErr w:type="spellStart"/>
      <w:r w:rsidRPr="00E9279E">
        <w:t>neutrop</w:t>
      </w:r>
      <w:r w:rsidR="000C71AD" w:rsidRPr="00E9279E">
        <w:t>a</w:t>
      </w:r>
      <w:r w:rsidRPr="00E9279E">
        <w:t>enia</w:t>
      </w:r>
      <w:proofErr w:type="spellEnd"/>
      <w:r w:rsidRPr="00E9279E">
        <w:t xml:space="preserve"> </w:t>
      </w:r>
      <w:bookmarkEnd w:id="54"/>
      <w:r w:rsidRPr="00E9279E">
        <w:t xml:space="preserve">and diarrhoea. The </w:t>
      </w:r>
      <w:r w:rsidR="002F1A84" w:rsidRPr="00E9279E">
        <w:t>MONARCHE</w:t>
      </w:r>
      <w:r w:rsidRPr="00E9279E">
        <w:t xml:space="preserve"> </w:t>
      </w:r>
      <w:r w:rsidR="00476DB2" w:rsidRPr="00E9279E">
        <w:t xml:space="preserve">trial </w:t>
      </w:r>
      <w:proofErr w:type="spellStart"/>
      <w:r w:rsidRPr="00E9279E">
        <w:t>PopPK</w:t>
      </w:r>
      <w:proofErr w:type="spellEnd"/>
      <w:r w:rsidRPr="00E9279E">
        <w:t>/</w:t>
      </w:r>
      <w:r w:rsidR="009A5ACC" w:rsidRPr="00E9279E">
        <w:t>pharmacodynamic (</w:t>
      </w:r>
      <w:r w:rsidRPr="00E9279E">
        <w:t>PD</w:t>
      </w:r>
      <w:r w:rsidR="009A5ACC" w:rsidRPr="00E9279E">
        <w:t>)</w:t>
      </w:r>
      <w:r w:rsidRPr="00E9279E">
        <w:t xml:space="preserve"> analysis supported the </w:t>
      </w:r>
      <w:proofErr w:type="spellStart"/>
      <w:r w:rsidRPr="00E9279E">
        <w:t>abemaciclib</w:t>
      </w:r>
      <w:proofErr w:type="spellEnd"/>
      <w:r w:rsidRPr="00E9279E">
        <w:t xml:space="preserve"> starting dose of 150</w:t>
      </w:r>
      <w:r w:rsidR="00DC4D4B" w:rsidRPr="00E9279E">
        <w:t> </w:t>
      </w:r>
      <w:r w:rsidRPr="00E9279E">
        <w:t xml:space="preserve">mg twice daily in combination with </w:t>
      </w:r>
      <w:r w:rsidR="00C518AE" w:rsidRPr="00E9279E">
        <w:t>endocrine therapy</w:t>
      </w:r>
      <w:r w:rsidRPr="00E9279E">
        <w:t>, with dose adjustments for safety and tolerability.</w:t>
      </w:r>
    </w:p>
    <w:p w14:paraId="6C82C1F5" w14:textId="24A0C33F" w:rsidR="00C314D3" w:rsidRPr="00E9279E" w:rsidRDefault="00C314D3" w:rsidP="00C314D3">
      <w:r w:rsidRPr="00E9279E">
        <w:t xml:space="preserve">Pre-defined sparse </w:t>
      </w:r>
      <w:r w:rsidR="009A5ACC" w:rsidRPr="00E9279E">
        <w:t>pharmacokinetic (</w:t>
      </w:r>
      <w:r w:rsidRPr="00E9279E">
        <w:t>PK</w:t>
      </w:r>
      <w:r w:rsidR="009A5ACC" w:rsidRPr="00E9279E">
        <w:t>)</w:t>
      </w:r>
      <w:r w:rsidRPr="00E9279E">
        <w:t xml:space="preserve"> sampling from 487 patients in the </w:t>
      </w:r>
      <w:r w:rsidR="002F1A84" w:rsidRPr="00E9279E">
        <w:t>MONARCHE</w:t>
      </w:r>
      <w:r w:rsidRPr="00E9279E">
        <w:t xml:space="preserve"> </w:t>
      </w:r>
      <w:r w:rsidR="00476DB2" w:rsidRPr="00E9279E">
        <w:t>trial</w:t>
      </w:r>
      <w:r w:rsidRPr="00E9279E">
        <w:t xml:space="preserve"> contributed 4710</w:t>
      </w:r>
      <w:r w:rsidR="004F1366" w:rsidRPr="00E9279E">
        <w:t> </w:t>
      </w:r>
      <w:r w:rsidRPr="00E9279E">
        <w:t xml:space="preserve">PK concentrations (n = 1567 </w:t>
      </w:r>
      <w:r w:rsidR="00DC4D4B" w:rsidRPr="00E9279E">
        <w:t xml:space="preserve">for </w:t>
      </w:r>
      <w:proofErr w:type="spellStart"/>
      <w:r w:rsidRPr="00E9279E">
        <w:t>abemaciclib</w:t>
      </w:r>
      <w:proofErr w:type="spellEnd"/>
      <w:r w:rsidRPr="00E9279E">
        <w:t xml:space="preserve">, n = 1577 </w:t>
      </w:r>
      <w:r w:rsidR="00DC4D4B" w:rsidRPr="00E9279E">
        <w:t xml:space="preserve">for metabolite </w:t>
      </w:r>
      <w:r w:rsidR="004F1366" w:rsidRPr="00E9279E">
        <w:t>M2</w:t>
      </w:r>
      <w:r w:rsidRPr="00E9279E">
        <w:t>, n =</w:t>
      </w:r>
      <w:r w:rsidRPr="00E9279E">
        <w:rPr>
          <w:rFonts w:hint="eastAsia"/>
        </w:rPr>
        <w:t xml:space="preserve"> </w:t>
      </w:r>
      <w:r w:rsidRPr="00E9279E">
        <w:t xml:space="preserve">1566 </w:t>
      </w:r>
      <w:r w:rsidR="00DC4D4B" w:rsidRPr="00E9279E">
        <w:t xml:space="preserve">for metabolite </w:t>
      </w:r>
      <w:r w:rsidR="004F1366" w:rsidRPr="00E9279E">
        <w:t>M20</w:t>
      </w:r>
      <w:r w:rsidRPr="00E9279E">
        <w:t>) that were added to the model, without further covariate model development.</w:t>
      </w:r>
    </w:p>
    <w:p w14:paraId="6F57D421" w14:textId="466F1F07" w:rsidR="00C314D3" w:rsidRPr="00E9279E" w:rsidRDefault="00C314D3" w:rsidP="00C314D3">
      <w:r w:rsidRPr="00E9279E">
        <w:t>Steady</w:t>
      </w:r>
      <w:r w:rsidR="000C71AD" w:rsidRPr="00E9279E">
        <w:t xml:space="preserve"> </w:t>
      </w:r>
      <w:r w:rsidRPr="00E9279E">
        <w:t xml:space="preserve">state exposures of </w:t>
      </w:r>
      <w:proofErr w:type="spellStart"/>
      <w:r w:rsidRPr="00E9279E">
        <w:t>abemaciclib</w:t>
      </w:r>
      <w:proofErr w:type="spellEnd"/>
      <w:r w:rsidRPr="00E9279E">
        <w:t xml:space="preserve">, </w:t>
      </w:r>
      <w:r w:rsidR="00DC4D4B" w:rsidRPr="00E9279E">
        <w:t xml:space="preserve">the major metabolites </w:t>
      </w:r>
      <w:r w:rsidR="004F1366" w:rsidRPr="00E9279E">
        <w:t>M2</w:t>
      </w:r>
      <w:r w:rsidR="00DC4D4B" w:rsidRPr="00E9279E">
        <w:t xml:space="preserve"> and</w:t>
      </w:r>
      <w:r w:rsidRPr="00E9279E">
        <w:t xml:space="preserve"> </w:t>
      </w:r>
      <w:r w:rsidR="004F1366" w:rsidRPr="00E9279E">
        <w:t>M20</w:t>
      </w:r>
      <w:r w:rsidRPr="00E9279E">
        <w:t xml:space="preserve">, and total active species were simulated for each patient in the PK population using their individual PK model parameter estimates, their individual demographics (body weight and height), and their average </w:t>
      </w:r>
      <w:proofErr w:type="spellStart"/>
      <w:r w:rsidRPr="00E9279E">
        <w:t>abemaciclib</w:t>
      </w:r>
      <w:proofErr w:type="spellEnd"/>
      <w:r w:rsidRPr="00E9279E">
        <w:t xml:space="preserve"> dose amounts taken during the study at the time of </w:t>
      </w:r>
      <w:r w:rsidR="00C518AE" w:rsidRPr="00E9279E">
        <w:t>Interim Analysis 2</w:t>
      </w:r>
      <w:r w:rsidRPr="00E9279E">
        <w:t xml:space="preserve"> data cut-off (mean dose average 130</w:t>
      </w:r>
      <w:r w:rsidR="000C71AD" w:rsidRPr="00E9279E">
        <w:t> </w:t>
      </w:r>
      <w:r w:rsidRPr="00E9279E">
        <w:t>mg).</w:t>
      </w:r>
    </w:p>
    <w:p w14:paraId="1771E735" w14:textId="0547C62D" w:rsidR="00C314D3" w:rsidRPr="00E9279E" w:rsidRDefault="00C314D3" w:rsidP="001D5792">
      <w:r w:rsidRPr="00E9279E">
        <w:lastRenderedPageBreak/>
        <w:t xml:space="preserve">Overall, there were no discernible differences identified in the PK model parameter estimates or individual simulated PK exposures for the covariates of interest age, body weight, sex, selected Asian ethnicities (Chinese, Japanese, or </w:t>
      </w:r>
      <w:r w:rsidR="00FE0470" w:rsidRPr="00E9279E">
        <w:t xml:space="preserve">other </w:t>
      </w:r>
      <w:r w:rsidRPr="00E9279E">
        <w:t xml:space="preserve">East Asian) and enrolment cohort. Compared to the </w:t>
      </w:r>
      <w:r w:rsidR="00C518AE" w:rsidRPr="00E9279E">
        <w:t>metastatic breast cancer</w:t>
      </w:r>
      <w:r w:rsidRPr="00E9279E">
        <w:t xml:space="preserve"> Phase III MONARCH 3 study, a decrease of 18% and 13% for </w:t>
      </w:r>
      <w:proofErr w:type="spellStart"/>
      <w:r w:rsidRPr="00E9279E">
        <w:t>abemaciclib</w:t>
      </w:r>
      <w:proofErr w:type="spellEnd"/>
      <w:r w:rsidRPr="00E9279E">
        <w:t xml:space="preserve"> </w:t>
      </w:r>
      <w:proofErr w:type="spellStart"/>
      <w:r w:rsidR="005C6FDB" w:rsidRPr="00E9279E">
        <w:t>AUC</w:t>
      </w:r>
      <w:proofErr w:type="gramStart"/>
      <w:r w:rsidR="005C6FDB" w:rsidRPr="00E9279E">
        <w:rPr>
          <w:vertAlign w:val="subscript"/>
        </w:rPr>
        <w:t>τ,ss</w:t>
      </w:r>
      <w:proofErr w:type="spellEnd"/>
      <w:proofErr w:type="gramEnd"/>
      <w:r w:rsidR="005C6FDB" w:rsidRPr="00E9279E">
        <w:t xml:space="preserve"> (area under the concentration-time curve within a dosing interval at steady state)</w:t>
      </w:r>
      <w:r w:rsidRPr="00E9279E">
        <w:t xml:space="preserve"> </w:t>
      </w:r>
      <w:r w:rsidR="005C6FDB" w:rsidRPr="00E9279E">
        <w:t xml:space="preserve">and total active species </w:t>
      </w:r>
      <w:r w:rsidRPr="00E9279E">
        <w:t>(</w:t>
      </w:r>
      <w:proofErr w:type="spellStart"/>
      <w:r w:rsidRPr="00E9279E">
        <w:t>abemaciclib</w:t>
      </w:r>
      <w:proofErr w:type="spellEnd"/>
      <w:r w:rsidRPr="00E9279E">
        <w:t xml:space="preserve">, </w:t>
      </w:r>
      <w:r w:rsidR="00DC4D4B" w:rsidRPr="00E9279E">
        <w:t>metabolite M2 and M20</w:t>
      </w:r>
      <w:r w:rsidRPr="00E9279E">
        <w:t xml:space="preserve">) </w:t>
      </w:r>
      <w:proofErr w:type="spellStart"/>
      <w:r w:rsidR="000C71AD" w:rsidRPr="00E9279E">
        <w:t>AUC</w:t>
      </w:r>
      <w:r w:rsidR="000C71AD" w:rsidRPr="00E9279E">
        <w:rPr>
          <w:vertAlign w:val="subscript"/>
        </w:rPr>
        <w:t>τ,ss</w:t>
      </w:r>
      <w:proofErr w:type="spellEnd"/>
      <w:r w:rsidRPr="00E9279E">
        <w:t xml:space="preserve"> in the </w:t>
      </w:r>
      <w:r w:rsidR="002F1A84" w:rsidRPr="00E9279E">
        <w:t>MONARCHE</w:t>
      </w:r>
      <w:r w:rsidRPr="00E9279E">
        <w:t xml:space="preserve"> </w:t>
      </w:r>
      <w:r w:rsidR="00476DB2" w:rsidRPr="00E9279E">
        <w:t xml:space="preserve">trial </w:t>
      </w:r>
      <w:r w:rsidRPr="00E9279E">
        <w:t>population was noted but not considered clinically relevant.</w:t>
      </w:r>
    </w:p>
    <w:p w14:paraId="07BFA16B" w14:textId="2D8A6D76" w:rsidR="00C314D3" w:rsidRPr="00E9279E" w:rsidRDefault="00C314D3" w:rsidP="00C314D3">
      <w:r w:rsidRPr="00E9279E">
        <w:t>Exposure</w:t>
      </w:r>
      <w:r w:rsidR="000C71AD" w:rsidRPr="00E9279E">
        <w:t xml:space="preserve"> </w:t>
      </w:r>
      <w:r w:rsidRPr="00E9279E">
        <w:t xml:space="preserve">response analyses were conducted to assess the relationships between </w:t>
      </w:r>
      <w:proofErr w:type="spellStart"/>
      <w:r w:rsidRPr="00E9279E">
        <w:t>abemaciclib</w:t>
      </w:r>
      <w:proofErr w:type="spellEnd"/>
      <w:r w:rsidRPr="00E9279E">
        <w:t xml:space="preserve"> exposures and the two most frequent </w:t>
      </w:r>
      <w:r w:rsidR="009A5ACC" w:rsidRPr="00E9279E">
        <w:t>treatment-emergent adverse events (TEAE</w:t>
      </w:r>
      <w:r w:rsidRPr="00E9279E">
        <w:t>s</w:t>
      </w:r>
      <w:r w:rsidR="009A5ACC" w:rsidRPr="00E9279E">
        <w:t>)</w:t>
      </w:r>
      <w:r w:rsidRPr="00E9279E">
        <w:t xml:space="preserve">, diarrhoea and </w:t>
      </w:r>
      <w:proofErr w:type="spellStart"/>
      <w:r w:rsidR="000C71AD" w:rsidRPr="00E9279E">
        <w:t>neutropaenia</w:t>
      </w:r>
      <w:proofErr w:type="spellEnd"/>
      <w:r w:rsidRPr="00E9279E">
        <w:t xml:space="preserve"> using models previously used to support </w:t>
      </w:r>
      <w:proofErr w:type="spellStart"/>
      <w:r w:rsidRPr="00E9279E">
        <w:t>abemaciclib</w:t>
      </w:r>
      <w:proofErr w:type="spellEnd"/>
      <w:r w:rsidRPr="00E9279E">
        <w:t xml:space="preserve"> in </w:t>
      </w:r>
      <w:r w:rsidR="00C518AE" w:rsidRPr="00E9279E">
        <w:t>metastatic breast cancer</w:t>
      </w:r>
      <w:r w:rsidRPr="00E9279E">
        <w:t xml:space="preserve">, updated with </w:t>
      </w:r>
      <w:r w:rsidR="000C71AD" w:rsidRPr="00E9279E">
        <w:t xml:space="preserve">the </w:t>
      </w:r>
      <w:r w:rsidR="002F1A84" w:rsidRPr="00E9279E">
        <w:t>MONARCHE</w:t>
      </w:r>
      <w:r w:rsidRPr="00E9279E">
        <w:t xml:space="preserve"> </w:t>
      </w:r>
      <w:r w:rsidR="00476DB2" w:rsidRPr="00E9279E">
        <w:t xml:space="preserve">trial </w:t>
      </w:r>
      <w:r w:rsidRPr="00E9279E">
        <w:t xml:space="preserve">data. Three PK/PD analysis datasets were created by combining the </w:t>
      </w:r>
      <w:proofErr w:type="spellStart"/>
      <w:r w:rsidR="009A5ACC" w:rsidRPr="00E9279E">
        <w:t>P</w:t>
      </w:r>
      <w:r w:rsidRPr="00E9279E">
        <w:t>opPK</w:t>
      </w:r>
      <w:proofErr w:type="spellEnd"/>
      <w:r w:rsidRPr="00E9279E">
        <w:t xml:space="preserve"> model</w:t>
      </w:r>
      <w:r w:rsidR="000C71AD" w:rsidRPr="00E9279E">
        <w:t xml:space="preserve"> </w:t>
      </w:r>
      <w:r w:rsidRPr="00E9279E">
        <w:t xml:space="preserve">predicted individual exposure metrics for </w:t>
      </w:r>
      <w:proofErr w:type="spellStart"/>
      <w:r w:rsidRPr="00E9279E">
        <w:t>abemaciclib</w:t>
      </w:r>
      <w:proofErr w:type="spellEnd"/>
      <w:r w:rsidRPr="00E9279E">
        <w:t xml:space="preserve">, </w:t>
      </w:r>
      <w:r w:rsidR="004F1366" w:rsidRPr="00E9279E">
        <w:t>M</w:t>
      </w:r>
      <w:r w:rsidR="004F1366" w:rsidRPr="00E9279E">
        <w:rPr>
          <w:vertAlign w:val="subscript"/>
        </w:rPr>
        <w:t>2</w:t>
      </w:r>
      <w:r w:rsidRPr="00E9279E">
        <w:t xml:space="preserve">, </w:t>
      </w:r>
      <w:r w:rsidR="004F1366" w:rsidRPr="00E9279E">
        <w:t>M</w:t>
      </w:r>
      <w:r w:rsidR="004F1366" w:rsidRPr="00E9279E">
        <w:rPr>
          <w:vertAlign w:val="subscript"/>
        </w:rPr>
        <w:t>20</w:t>
      </w:r>
      <w:r w:rsidRPr="00E9279E">
        <w:t xml:space="preserve">, and total active species with neutrophil counts, time of first occurrence of diarrhoea, and maximum </w:t>
      </w:r>
      <w:r w:rsidR="009A5ACC" w:rsidRPr="00E9279E">
        <w:t xml:space="preserve">Common Terminology </w:t>
      </w:r>
      <w:proofErr w:type="gramStart"/>
      <w:r w:rsidR="009A5ACC" w:rsidRPr="00E9279E">
        <w:t>Criteria</w:t>
      </w:r>
      <w:r w:rsidR="00682AA1" w:rsidRPr="00E9279E">
        <w:t>;</w:t>
      </w:r>
      <w:proofErr w:type="gramEnd"/>
      <w:r w:rsidR="00682AA1" w:rsidRPr="00E9279E">
        <w:rPr>
          <w:rStyle w:val="FootnoteReference"/>
        </w:rPr>
        <w:footnoteReference w:id="26"/>
      </w:r>
      <w:r w:rsidR="009A5ACC" w:rsidRPr="00E9279E">
        <w:t xml:space="preserve"> for Adverse Event (</w:t>
      </w:r>
      <w:r w:rsidRPr="00E9279E">
        <w:t>CTCAE</w:t>
      </w:r>
      <w:r w:rsidR="009A5ACC" w:rsidRPr="00E9279E">
        <w:t>)</w:t>
      </w:r>
      <w:r w:rsidRPr="00E9279E">
        <w:t xml:space="preserve"> grade of diarrhoea.</w:t>
      </w:r>
    </w:p>
    <w:p w14:paraId="5DA02C15" w14:textId="47D2C73E" w:rsidR="00C314D3" w:rsidRPr="00E9279E" w:rsidRDefault="00C314D3" w:rsidP="00C314D3">
      <w:pPr>
        <w:pStyle w:val="Heading5"/>
      </w:pPr>
      <w:r w:rsidRPr="00E9279E">
        <w:t>Diarrhoea</w:t>
      </w:r>
    </w:p>
    <w:p w14:paraId="64C813E5" w14:textId="60113A33" w:rsidR="00C314D3" w:rsidRPr="00E9279E" w:rsidRDefault="00C314D3" w:rsidP="00C314D3">
      <w:r w:rsidRPr="00E9279E">
        <w:t xml:space="preserve">The diarrhoea analysis comprised 2 modelling approaches: a time-to-event analysis for the first occurrence of diarrhoea, and a logistic (ordered categorical) analysis of maximum diarrhoea grade at any time. The final </w:t>
      </w:r>
      <w:r w:rsidR="00E93113" w:rsidRPr="00E9279E">
        <w:t>time-to-event</w:t>
      </w:r>
      <w:r w:rsidRPr="00E9279E">
        <w:t xml:space="preserve"> diarrhoea analysis dataset included data from 3233 patients (483 patients with exposure metrics) and the final maximum diarrhoea CTCAE grade PK/PD analysis dataset comprised data from 3247 patients (483</w:t>
      </w:r>
      <w:r w:rsidR="000C71AD" w:rsidRPr="00E9279E">
        <w:t> </w:t>
      </w:r>
      <w:r w:rsidRPr="00E9279E">
        <w:t xml:space="preserve">patients with exposure metrics). In the data set for analysis opioid use was recorded and included loperamide (μ-opioid receptor agonist) in the calculation. Opioid use was recorded in 66% of the </w:t>
      </w:r>
      <w:proofErr w:type="spellStart"/>
      <w:r w:rsidRPr="00E9279E">
        <w:t>abemaciclib</w:t>
      </w:r>
      <w:proofErr w:type="spellEnd"/>
      <w:r w:rsidRPr="00E9279E">
        <w:t xml:space="preserve"> </w:t>
      </w:r>
      <w:r w:rsidR="000C71AD" w:rsidRPr="00E9279E">
        <w:t>plus</w:t>
      </w:r>
      <w:r w:rsidRPr="00E9279E">
        <w:t xml:space="preserve"> </w:t>
      </w:r>
      <w:r w:rsidR="00C518AE" w:rsidRPr="00E9279E">
        <w:t>endocrine therapy</w:t>
      </w:r>
      <w:r w:rsidRPr="00E9279E">
        <w:t xml:space="preserve"> arm and 11% of the </w:t>
      </w:r>
      <w:r w:rsidR="00C518AE" w:rsidRPr="00E9279E">
        <w:t>endocrine therapy</w:t>
      </w:r>
      <w:r w:rsidRPr="00E9279E">
        <w:t xml:space="preserve"> alone arm (loperamide use</w:t>
      </w:r>
      <w:r w:rsidR="00DC4D4B" w:rsidRPr="00E9279E">
        <w:t xml:space="preserve"> was</w:t>
      </w:r>
      <w:r w:rsidRPr="00E9279E">
        <w:t xml:space="preserve"> reported in 94% and 14%, respectively).</w:t>
      </w:r>
    </w:p>
    <w:p w14:paraId="6AB0121A" w14:textId="744A03D1" w:rsidR="00C314D3" w:rsidRPr="00E9279E" w:rsidRDefault="00C314D3" w:rsidP="00C314D3">
      <w:r w:rsidRPr="00E9279E">
        <w:t>The model</w:t>
      </w:r>
      <w:r w:rsidR="000C71AD" w:rsidRPr="00E9279E">
        <w:t xml:space="preserve"> </w:t>
      </w:r>
      <w:r w:rsidRPr="00E9279E">
        <w:t xml:space="preserve">predicted probability of developing diarrhoea after </w:t>
      </w:r>
      <w:r w:rsidR="000C71AD" w:rsidRPr="00E9279E">
        <w:t>one</w:t>
      </w:r>
      <w:r w:rsidRPr="00E9279E">
        <w:t xml:space="preserve"> week of study treatment was 19%, 50% and </w:t>
      </w:r>
      <w:r w:rsidR="0088412E" w:rsidRPr="00E9279E">
        <w:t>less than</w:t>
      </w:r>
      <w:r w:rsidRPr="00E9279E">
        <w:t xml:space="preserve"> 3% for patients receiving </w:t>
      </w:r>
      <w:proofErr w:type="spellStart"/>
      <w:r w:rsidRPr="00E9279E">
        <w:t>abemaciclib</w:t>
      </w:r>
      <w:proofErr w:type="spellEnd"/>
      <w:r w:rsidRPr="00E9279E">
        <w:t xml:space="preserve"> </w:t>
      </w:r>
      <w:r w:rsidR="000C71AD" w:rsidRPr="00E9279E">
        <w:t xml:space="preserve">plus </w:t>
      </w:r>
      <w:r w:rsidR="00C518AE" w:rsidRPr="00E9279E">
        <w:t>endocrine therapy</w:t>
      </w:r>
      <w:r w:rsidRPr="00E9279E">
        <w:t xml:space="preserve">, opioids </w:t>
      </w:r>
      <w:r w:rsidR="000C71AD" w:rsidRPr="00E9279E">
        <w:t>plus</w:t>
      </w:r>
      <w:r w:rsidRPr="00E9279E">
        <w:t xml:space="preserve"> </w:t>
      </w:r>
      <w:proofErr w:type="spellStart"/>
      <w:r w:rsidRPr="00E9279E">
        <w:t>abemaciclib</w:t>
      </w:r>
      <w:proofErr w:type="spellEnd"/>
      <w:r w:rsidRPr="00E9279E">
        <w:t xml:space="preserve"> </w:t>
      </w:r>
      <w:r w:rsidR="000C71AD" w:rsidRPr="00E9279E">
        <w:t>plus</w:t>
      </w:r>
      <w:r w:rsidRPr="00E9279E">
        <w:t xml:space="preserve"> </w:t>
      </w:r>
      <w:r w:rsidR="00C518AE" w:rsidRPr="00E9279E">
        <w:t>endocrine therapy</w:t>
      </w:r>
      <w:r w:rsidRPr="00E9279E">
        <w:t xml:space="preserve">, and </w:t>
      </w:r>
      <w:r w:rsidR="00C518AE" w:rsidRPr="00E9279E">
        <w:t>endocrine therapy</w:t>
      </w:r>
      <w:r w:rsidRPr="00E9279E">
        <w:t xml:space="preserve"> alone respectively.</w:t>
      </w:r>
    </w:p>
    <w:p w14:paraId="7FB36E72" w14:textId="034EB971" w:rsidR="00C314D3" w:rsidRPr="00E9279E" w:rsidRDefault="00C314D3" w:rsidP="00C314D3">
      <w:r w:rsidRPr="00E9279E">
        <w:t>The model</w:t>
      </w:r>
      <w:r w:rsidR="000C71AD" w:rsidRPr="00E9279E">
        <w:t xml:space="preserve"> </w:t>
      </w:r>
      <w:r w:rsidRPr="00E9279E">
        <w:t xml:space="preserve">predicted probability of diarrhoea of any grade (at any time) on study treatment was 75%, 93%, 6% and 21% for patients receiving </w:t>
      </w:r>
      <w:proofErr w:type="spellStart"/>
      <w:r w:rsidRPr="00E9279E">
        <w:t>abemaciclib</w:t>
      </w:r>
      <w:proofErr w:type="spellEnd"/>
      <w:r w:rsidRPr="00E9279E">
        <w:t xml:space="preserve"> </w:t>
      </w:r>
      <w:r w:rsidR="000C71AD" w:rsidRPr="00E9279E">
        <w:t>plus</w:t>
      </w:r>
      <w:r w:rsidRPr="00E9279E">
        <w:t xml:space="preserve"> </w:t>
      </w:r>
      <w:r w:rsidR="00C518AE" w:rsidRPr="00E9279E">
        <w:t>endocrine therapy</w:t>
      </w:r>
      <w:r w:rsidRPr="00E9279E">
        <w:t xml:space="preserve">, opioids </w:t>
      </w:r>
      <w:r w:rsidR="000C71AD" w:rsidRPr="00E9279E">
        <w:t>plus</w:t>
      </w:r>
      <w:r w:rsidRPr="00E9279E">
        <w:t xml:space="preserve"> </w:t>
      </w:r>
      <w:proofErr w:type="spellStart"/>
      <w:r w:rsidRPr="00E9279E">
        <w:t>abemaciclib</w:t>
      </w:r>
      <w:proofErr w:type="spellEnd"/>
      <w:r w:rsidRPr="00E9279E">
        <w:t xml:space="preserve"> </w:t>
      </w:r>
      <w:r w:rsidR="000C71AD" w:rsidRPr="00E9279E">
        <w:t>plus</w:t>
      </w:r>
      <w:r w:rsidRPr="00E9279E">
        <w:t xml:space="preserve"> </w:t>
      </w:r>
      <w:r w:rsidR="00C518AE" w:rsidRPr="00E9279E">
        <w:t>endocrine therapy</w:t>
      </w:r>
      <w:r w:rsidRPr="00E9279E">
        <w:t xml:space="preserve">, </w:t>
      </w:r>
      <w:r w:rsidR="00C518AE" w:rsidRPr="00E9279E">
        <w:t>endocrine therapy</w:t>
      </w:r>
      <w:r w:rsidRPr="00E9279E">
        <w:t xml:space="preserve"> alone and opioids </w:t>
      </w:r>
      <w:r w:rsidR="000C71AD" w:rsidRPr="00E9279E">
        <w:t>plus</w:t>
      </w:r>
      <w:r w:rsidRPr="00E9279E">
        <w:t xml:space="preserve"> </w:t>
      </w:r>
      <w:r w:rsidR="00C518AE" w:rsidRPr="00E9279E">
        <w:t>endocrine therapy</w:t>
      </w:r>
      <w:r w:rsidRPr="00E9279E">
        <w:t xml:space="preserve"> alone, respectively.</w:t>
      </w:r>
    </w:p>
    <w:p w14:paraId="21A1070C" w14:textId="01DB5D75" w:rsidR="00C314D3" w:rsidRPr="00E9279E" w:rsidRDefault="000C71AD" w:rsidP="00C314D3">
      <w:pPr>
        <w:pStyle w:val="Heading5"/>
      </w:pPr>
      <w:proofErr w:type="spellStart"/>
      <w:r w:rsidRPr="00E9279E">
        <w:t>Neutropaenia</w:t>
      </w:r>
      <w:proofErr w:type="spellEnd"/>
    </w:p>
    <w:p w14:paraId="3998261C" w14:textId="32961BCA" w:rsidR="00C314D3" w:rsidRPr="00E9279E" w:rsidRDefault="00C314D3" w:rsidP="00C314D3">
      <w:r w:rsidRPr="00E9279E">
        <w:t xml:space="preserve">For </w:t>
      </w:r>
      <w:proofErr w:type="spellStart"/>
      <w:r w:rsidR="000C71AD" w:rsidRPr="00E9279E">
        <w:t>neutropaenia</w:t>
      </w:r>
      <w:proofErr w:type="spellEnd"/>
      <w:r w:rsidRPr="00E9279E">
        <w:t>, the time course of neutrophil counts in the PK population in</w:t>
      </w:r>
      <w:r w:rsidR="00476DB2" w:rsidRPr="00E9279E">
        <w:t xml:space="preserve"> the</w:t>
      </w:r>
      <w:r w:rsidRPr="00E9279E">
        <w:t xml:space="preserve"> </w:t>
      </w:r>
      <w:r w:rsidR="002F1A84" w:rsidRPr="00E9279E">
        <w:t>MONARCHE</w:t>
      </w:r>
      <w:r w:rsidRPr="00E9279E">
        <w:t xml:space="preserve"> </w:t>
      </w:r>
      <w:r w:rsidR="00476DB2" w:rsidRPr="00E9279E">
        <w:t xml:space="preserve">trial </w:t>
      </w:r>
      <w:r w:rsidRPr="00E9279E">
        <w:t>was described using a semi-mechanistic model of drug</w:t>
      </w:r>
      <w:r w:rsidR="006B5FFA" w:rsidRPr="00E9279E">
        <w:t xml:space="preserve"> </w:t>
      </w:r>
      <w:r w:rsidRPr="00E9279E">
        <w:t>induced myelosuppression.</w:t>
      </w:r>
    </w:p>
    <w:p w14:paraId="1CFAD658" w14:textId="1920A59A" w:rsidR="00C314D3" w:rsidRPr="00E9279E" w:rsidRDefault="00C314D3" w:rsidP="00C314D3">
      <w:r w:rsidRPr="00E9279E">
        <w:t xml:space="preserve">In the final </w:t>
      </w:r>
      <w:proofErr w:type="spellStart"/>
      <w:r w:rsidR="000C71AD" w:rsidRPr="00E9279E">
        <w:t>neutropaenia</w:t>
      </w:r>
      <w:proofErr w:type="spellEnd"/>
      <w:r w:rsidRPr="00E9279E">
        <w:t xml:space="preserve"> PK/PD analysis dataset, 483 patients contributed a total of 2397</w:t>
      </w:r>
      <w:r w:rsidR="006B5FFA" w:rsidRPr="00E9279E">
        <w:t> </w:t>
      </w:r>
      <w:r w:rsidRPr="00E9279E">
        <w:t xml:space="preserve">neutrophil counts. Model evaluation was performed using neutrophil data from all patients in the primary </w:t>
      </w:r>
      <w:proofErr w:type="spellStart"/>
      <w:r w:rsidR="000C71AD" w:rsidRPr="00E9279E">
        <w:t>neutropaenia</w:t>
      </w:r>
      <w:proofErr w:type="spellEnd"/>
      <w:r w:rsidRPr="00E9279E">
        <w:t xml:space="preserve"> PK/PD dataset (omitting samples taken prior to the day of the first recorded dose and </w:t>
      </w:r>
      <w:r w:rsidR="0088412E" w:rsidRPr="00E9279E">
        <w:t>greater than</w:t>
      </w:r>
      <w:r w:rsidRPr="00E9279E">
        <w:t xml:space="preserve"> 80 days after start of study treatment); n</w:t>
      </w:r>
      <w:r w:rsidR="006B5FFA" w:rsidRPr="00E9279E">
        <w:t> </w:t>
      </w:r>
      <w:r w:rsidRPr="00E9279E">
        <w:t>=</w:t>
      </w:r>
      <w:r w:rsidR="006B5FFA" w:rsidRPr="00E9279E">
        <w:t> </w:t>
      </w:r>
      <w:r w:rsidRPr="00E9279E">
        <w:t>2787</w:t>
      </w:r>
      <w:r w:rsidR="006B5FFA" w:rsidRPr="00E9279E">
        <w:t> </w:t>
      </w:r>
      <w:r w:rsidRPr="00E9279E">
        <w:t>patients and 13842 neutrophil counts.</w:t>
      </w:r>
    </w:p>
    <w:p w14:paraId="5DFD9D19" w14:textId="43B4D8A5" w:rsidR="00C314D3" w:rsidRPr="00E9279E" w:rsidRDefault="00C314D3" w:rsidP="00C314D3">
      <w:r w:rsidRPr="00E9279E">
        <w:t>The final model predicted Grade 3</w:t>
      </w:r>
      <w:r w:rsidR="0083018A" w:rsidRPr="00E9279E">
        <w:t xml:space="preserve"> or higher</w:t>
      </w:r>
      <w:r w:rsidRPr="00E9279E">
        <w:t xml:space="preserve"> </w:t>
      </w:r>
      <w:proofErr w:type="spellStart"/>
      <w:r w:rsidR="000C71AD" w:rsidRPr="00E9279E">
        <w:t>neutropaenia</w:t>
      </w:r>
      <w:proofErr w:type="spellEnd"/>
      <w:r w:rsidRPr="00E9279E">
        <w:t xml:space="preserve"> in 9% (95%</w:t>
      </w:r>
      <w:r w:rsidR="00682AA1" w:rsidRPr="00E9279E">
        <w:t xml:space="preserve"> confidence interval</w:t>
      </w:r>
      <w:r w:rsidRPr="00E9279E">
        <w:t xml:space="preserve"> </w:t>
      </w:r>
      <w:r w:rsidR="00682AA1" w:rsidRPr="00E9279E">
        <w:t>(</w:t>
      </w:r>
      <w:r w:rsidRPr="00E9279E">
        <w:t>CI</w:t>
      </w:r>
      <w:r w:rsidR="00682AA1" w:rsidRPr="00E9279E">
        <w:t>)</w:t>
      </w:r>
      <w:r w:rsidRPr="00E9279E">
        <w:t xml:space="preserve">: 6.4, 11.0) of </w:t>
      </w:r>
      <w:r w:rsidR="00476DB2" w:rsidRPr="00E9279E">
        <w:t xml:space="preserve">the </w:t>
      </w:r>
      <w:r w:rsidR="002F1A84" w:rsidRPr="00E9279E">
        <w:t>MONARCHE</w:t>
      </w:r>
      <w:r w:rsidRPr="00E9279E">
        <w:t xml:space="preserve"> </w:t>
      </w:r>
      <w:r w:rsidR="00476DB2" w:rsidRPr="00E9279E">
        <w:t xml:space="preserve">trial </w:t>
      </w:r>
      <w:r w:rsidRPr="00E9279E">
        <w:t xml:space="preserve">patients at nadir (28 </w:t>
      </w:r>
      <w:r w:rsidR="006B5FFA" w:rsidRPr="00E9279E">
        <w:t>to</w:t>
      </w:r>
      <w:r w:rsidRPr="00E9279E">
        <w:t xml:space="preserve"> 43 days after start of </w:t>
      </w:r>
      <w:proofErr w:type="spellStart"/>
      <w:r w:rsidRPr="00E9279E">
        <w:lastRenderedPageBreak/>
        <w:t>abemaciclib</w:t>
      </w:r>
      <w:proofErr w:type="spellEnd"/>
      <w:r w:rsidRPr="00E9279E">
        <w:t xml:space="preserve"> treatment), with no differences in </w:t>
      </w:r>
      <w:proofErr w:type="spellStart"/>
      <w:r w:rsidR="000C71AD" w:rsidRPr="00E9279E">
        <w:t>neutropaenia</w:t>
      </w:r>
      <w:proofErr w:type="spellEnd"/>
      <w:r w:rsidRPr="00E9279E">
        <w:t xml:space="preserve"> for selected Asian ethnicities, age group, </w:t>
      </w:r>
      <w:proofErr w:type="gramStart"/>
      <w:r w:rsidRPr="00E9279E">
        <w:t>sex</w:t>
      </w:r>
      <w:proofErr w:type="gramEnd"/>
      <w:r w:rsidRPr="00E9279E">
        <w:t xml:space="preserve"> or enrolment cohort. An increase in </w:t>
      </w:r>
      <w:proofErr w:type="spellStart"/>
      <w:r w:rsidRPr="00E9279E">
        <w:t>abemaciclib</w:t>
      </w:r>
      <w:proofErr w:type="spellEnd"/>
      <w:r w:rsidRPr="00E9279E">
        <w:t xml:space="preserve"> exposure of 30% is predicted to increase inhibition of the neutrophil progenitor pool by 16% </w:t>
      </w:r>
      <w:r w:rsidR="006B5FFA" w:rsidRPr="00E9279E">
        <w:t xml:space="preserve">to </w:t>
      </w:r>
      <w:r w:rsidRPr="00E9279E">
        <w:t>28% depending on the individual patient’s baseline exposure.</w:t>
      </w:r>
    </w:p>
    <w:p w14:paraId="6580AB96" w14:textId="5D138C1E" w:rsidR="00C314D3" w:rsidRPr="00E9279E" w:rsidRDefault="00C314D3" w:rsidP="00C314D3">
      <w:r w:rsidRPr="00E9279E">
        <w:t xml:space="preserve">Because the relationship between total active species </w:t>
      </w:r>
      <w:proofErr w:type="spellStart"/>
      <w:r w:rsidRPr="00E9279E">
        <w:t>C</w:t>
      </w:r>
      <w:r w:rsidRPr="00E9279E">
        <w:rPr>
          <w:vertAlign w:val="subscript"/>
        </w:rPr>
        <w:t>max,ss</w:t>
      </w:r>
      <w:proofErr w:type="spellEnd"/>
      <w:r w:rsidR="005C6FDB" w:rsidRPr="00E9279E">
        <w:t xml:space="preserve"> (maximum plasma concentration at steady state)</w:t>
      </w:r>
      <w:r w:rsidRPr="00E9279E">
        <w:t>,</w:t>
      </w:r>
      <w:r w:rsidR="006B5FFA" w:rsidRPr="00E9279E">
        <w:t xml:space="preserve"> </w:t>
      </w:r>
      <w:r w:rsidRPr="00E9279E">
        <w:t xml:space="preserve">total and neutrophil production rate in </w:t>
      </w:r>
      <w:r w:rsidR="00476DB2" w:rsidRPr="00E9279E">
        <w:t xml:space="preserve">the </w:t>
      </w:r>
      <w:r w:rsidR="002F1A84" w:rsidRPr="00E9279E">
        <w:t>MONARCHE</w:t>
      </w:r>
      <w:r w:rsidRPr="00E9279E">
        <w:t xml:space="preserve"> </w:t>
      </w:r>
      <w:r w:rsidR="00476DB2" w:rsidRPr="00E9279E">
        <w:t xml:space="preserve">trial </w:t>
      </w:r>
      <w:r w:rsidRPr="00E9279E">
        <w:t xml:space="preserve">was similar to the </w:t>
      </w:r>
      <w:proofErr w:type="spellStart"/>
      <w:r w:rsidRPr="00E9279E">
        <w:t>abemaciclib</w:t>
      </w:r>
      <w:proofErr w:type="spellEnd"/>
      <w:r w:rsidRPr="00E9279E">
        <w:t xml:space="preserve"> </w:t>
      </w:r>
      <w:r w:rsidR="00C518AE" w:rsidRPr="00E9279E">
        <w:t>metastatic breast cancer</w:t>
      </w:r>
      <w:r w:rsidRPr="00E9279E">
        <w:t xml:space="preserve"> studies, and changes in </w:t>
      </w:r>
      <w:proofErr w:type="spellStart"/>
      <w:r w:rsidRPr="00E9279E">
        <w:t>abemaciclib</w:t>
      </w:r>
      <w:proofErr w:type="spellEnd"/>
      <w:r w:rsidRPr="00E9279E">
        <w:t xml:space="preserve"> PK are predicted to result in similar changes to neutrophil counts in both patient populations, the dose adjustment recommendations for </w:t>
      </w:r>
      <w:proofErr w:type="spellStart"/>
      <w:r w:rsidR="000C71AD" w:rsidRPr="00E9279E">
        <w:t>neutropaenia</w:t>
      </w:r>
      <w:proofErr w:type="spellEnd"/>
      <w:r w:rsidRPr="00E9279E">
        <w:t xml:space="preserve"> management in the </w:t>
      </w:r>
      <w:r w:rsidR="00C518AE" w:rsidRPr="00E9279E">
        <w:t>metastatic breast cancer</w:t>
      </w:r>
      <w:r w:rsidRPr="00E9279E">
        <w:t xml:space="preserve"> population were adopted for the </w:t>
      </w:r>
      <w:r w:rsidR="00476DB2" w:rsidRPr="00E9279E">
        <w:t>MONARCHE trial</w:t>
      </w:r>
      <w:r w:rsidRPr="00E9279E">
        <w:t xml:space="preserve"> population.</w:t>
      </w:r>
    </w:p>
    <w:p w14:paraId="14437BBA" w14:textId="77777777" w:rsidR="00C314D3" w:rsidRPr="00E9279E" w:rsidRDefault="00C314D3" w:rsidP="00C314D3">
      <w:pPr>
        <w:pStyle w:val="Heading4"/>
      </w:pPr>
      <w:r w:rsidRPr="00E9279E">
        <w:t>Efficacy</w:t>
      </w:r>
    </w:p>
    <w:p w14:paraId="7BEE4710" w14:textId="51F33051" w:rsidR="00C314D3" w:rsidRPr="00E9279E" w:rsidRDefault="00476DB2" w:rsidP="00C314D3">
      <w:r w:rsidRPr="00E9279E">
        <w:t>The MONARCHE trial</w:t>
      </w:r>
      <w:r w:rsidR="00E22C33" w:rsidRPr="00E9279E">
        <w:t xml:space="preserve"> (Study I3Y-MC-JPCF)</w:t>
      </w:r>
      <w:r w:rsidR="00C314D3" w:rsidRPr="00E9279E">
        <w:t xml:space="preserve"> is a Phase III, randomised, open-label, multi-centre, multinational study to evaluate the efficacy and safety of </w:t>
      </w:r>
      <w:proofErr w:type="spellStart"/>
      <w:r w:rsidR="00C314D3" w:rsidRPr="00E9279E">
        <w:t>abemaciclib</w:t>
      </w:r>
      <w:proofErr w:type="spellEnd"/>
      <w:r w:rsidR="00C314D3" w:rsidRPr="00E9279E">
        <w:t xml:space="preserve"> combined with standard adjuvant </w:t>
      </w:r>
      <w:r w:rsidR="00C518AE" w:rsidRPr="00E9279E">
        <w:t>endocrine therapy</w:t>
      </w:r>
      <w:r w:rsidR="00C314D3" w:rsidRPr="00E9279E">
        <w:t xml:space="preserve"> </w:t>
      </w:r>
      <w:r w:rsidR="00033AC2" w:rsidRPr="00E9279E">
        <w:t>versus</w:t>
      </w:r>
      <w:r w:rsidR="00C314D3" w:rsidRPr="00E9279E">
        <w:t xml:space="preserve"> standard adjuvant </w:t>
      </w:r>
      <w:r w:rsidR="00C518AE" w:rsidRPr="00E9279E">
        <w:t>endocrine therapy</w:t>
      </w:r>
      <w:r w:rsidR="00C314D3" w:rsidRPr="00E9279E">
        <w:t xml:space="preserve"> alone in patients with node</w:t>
      </w:r>
      <w:r w:rsidR="00DB48CF" w:rsidRPr="00E9279E">
        <w:t xml:space="preserve"> </w:t>
      </w:r>
      <w:r w:rsidR="00C314D3" w:rsidRPr="00E9279E">
        <w:t xml:space="preserve">positive, invasive, resected, </w:t>
      </w:r>
      <w:r w:rsidR="00DB48CF" w:rsidRPr="00E9279E">
        <w:t>hormone receptor positive (</w:t>
      </w:r>
      <w:r w:rsidR="00C314D3" w:rsidRPr="00E9279E">
        <w:t>HR+</w:t>
      </w:r>
      <w:r w:rsidR="00DB48CF" w:rsidRPr="00E9279E">
        <w:t>)</w:t>
      </w:r>
      <w:r w:rsidR="00C314D3" w:rsidRPr="00E9279E">
        <w:t xml:space="preserve">, </w:t>
      </w:r>
      <w:r w:rsidR="006E47AB" w:rsidRPr="00E9279E">
        <w:t>human epidermal growth factor receptor 2 negative (</w:t>
      </w:r>
      <w:r w:rsidR="00C314D3" w:rsidRPr="00E9279E">
        <w:t>HER2-</w:t>
      </w:r>
      <w:r w:rsidR="006E47AB" w:rsidRPr="00E9279E">
        <w:t>)</w:t>
      </w:r>
      <w:r w:rsidR="00C314D3" w:rsidRPr="00E9279E">
        <w:t xml:space="preserve"> early breast cancer who completed definitive locoregional therapy, with or without neoadjuvant or adjuvant chemotherapy, at high risk of disease recurrence.</w:t>
      </w:r>
    </w:p>
    <w:p w14:paraId="7F292F5D" w14:textId="32B2FFBF" w:rsidR="00C314D3" w:rsidRPr="00E9279E" w:rsidRDefault="00C314D3" w:rsidP="00C314D3">
      <w:r w:rsidRPr="00E9279E">
        <w:t xml:space="preserve">The </w:t>
      </w:r>
      <w:r w:rsidR="006B5FFA" w:rsidRPr="00E9279E">
        <w:t xml:space="preserve">clinical evaluation </w:t>
      </w:r>
      <w:r w:rsidRPr="00E9279E">
        <w:t xml:space="preserve">did not recommend approval for the requested indication based on the lack of benefit for overall survival (OS) in the </w:t>
      </w:r>
      <w:r w:rsidR="004052B5" w:rsidRPr="00E9279E">
        <w:t>intent-to-treat (</w:t>
      </w:r>
      <w:r w:rsidRPr="00E9279E">
        <w:t>ITT</w:t>
      </w:r>
      <w:r w:rsidR="004052B5" w:rsidRPr="00E9279E">
        <w:t>)</w:t>
      </w:r>
      <w:r w:rsidR="004052B5" w:rsidRPr="00E9279E">
        <w:rPr>
          <w:rStyle w:val="FootnoteReference"/>
        </w:rPr>
        <w:footnoteReference w:id="27"/>
      </w:r>
      <w:r w:rsidRPr="00E9279E">
        <w:t xml:space="preserve"> population, the toxicities of </w:t>
      </w:r>
      <w:proofErr w:type="spellStart"/>
      <w:r w:rsidRPr="00E9279E">
        <w:t>abemaciclib</w:t>
      </w:r>
      <w:proofErr w:type="spellEnd"/>
      <w:r w:rsidRPr="00E9279E">
        <w:t>, and the practical aspects of introducing Ki</w:t>
      </w:r>
      <w:r w:rsidR="00E22C33" w:rsidRPr="00E9279E">
        <w:noBreakHyphen/>
      </w:r>
      <w:r w:rsidRPr="00E9279E">
        <w:t>67</w:t>
      </w:r>
      <w:r w:rsidR="00E22C33" w:rsidRPr="00E9279E">
        <w:t>;</w:t>
      </w:r>
      <w:r w:rsidR="00E32FD0" w:rsidRPr="00E9279E">
        <w:rPr>
          <w:vertAlign w:val="superscript"/>
        </w:rPr>
        <w:fldChar w:fldCharType="begin"/>
      </w:r>
      <w:r w:rsidR="00E32FD0" w:rsidRPr="00E9279E">
        <w:rPr>
          <w:vertAlign w:val="superscript"/>
        </w:rPr>
        <w:instrText xml:space="preserve"> NOTEREF _Ref118194795 \h  \* MERGEFORMAT </w:instrText>
      </w:r>
      <w:r w:rsidR="00E32FD0" w:rsidRPr="00E9279E">
        <w:rPr>
          <w:vertAlign w:val="superscript"/>
        </w:rPr>
      </w:r>
      <w:r w:rsidR="00E32FD0" w:rsidRPr="00E9279E">
        <w:rPr>
          <w:vertAlign w:val="superscript"/>
        </w:rPr>
        <w:fldChar w:fldCharType="separate"/>
      </w:r>
      <w:r w:rsidR="00E9279E">
        <w:rPr>
          <w:vertAlign w:val="superscript"/>
        </w:rPr>
        <w:t>22</w:t>
      </w:r>
      <w:r w:rsidR="00E32FD0" w:rsidRPr="00E9279E">
        <w:rPr>
          <w:vertAlign w:val="superscript"/>
        </w:rPr>
        <w:fldChar w:fldCharType="end"/>
      </w:r>
      <w:r w:rsidR="00E32FD0" w:rsidRPr="00E9279E">
        <w:rPr>
          <w:vertAlign w:val="superscript"/>
        </w:rPr>
        <w:t>,</w:t>
      </w:r>
      <w:r w:rsidR="00E22C33" w:rsidRPr="00E9279E">
        <w:rPr>
          <w:rStyle w:val="FootnoteReference"/>
        </w:rPr>
        <w:footnoteReference w:id="28"/>
      </w:r>
      <w:r w:rsidRPr="00E9279E">
        <w:t xml:space="preserve"> as a measure of patient risk to characterise a subpopulation of patients that might benefit from </w:t>
      </w:r>
      <w:proofErr w:type="spellStart"/>
      <w:r w:rsidRPr="00E9279E">
        <w:t>abemaciclib</w:t>
      </w:r>
      <w:proofErr w:type="spellEnd"/>
      <w:r w:rsidRPr="00E9279E">
        <w:t xml:space="preserve"> </w:t>
      </w:r>
      <w:r w:rsidR="000C71AD" w:rsidRPr="00E9279E">
        <w:t>plus</w:t>
      </w:r>
      <w:r w:rsidRPr="00E9279E">
        <w:t xml:space="preserve"> </w:t>
      </w:r>
      <w:r w:rsidR="00C518AE" w:rsidRPr="00E9279E">
        <w:t>endocrine therapy</w:t>
      </w:r>
      <w:r w:rsidRPr="00E9279E">
        <w:t xml:space="preserve"> in this setting.</w:t>
      </w:r>
    </w:p>
    <w:p w14:paraId="6A0AFB0B" w14:textId="29A27854" w:rsidR="00C314D3" w:rsidRPr="00E9279E" w:rsidRDefault="00BD08E7" w:rsidP="00F86A77">
      <w:pPr>
        <w:pStyle w:val="FigureTitle"/>
      </w:pPr>
      <w:r w:rsidRPr="00E9279E">
        <w:t xml:space="preserve">Figure </w:t>
      </w:r>
      <w:r w:rsidR="000C44E7">
        <w:fldChar w:fldCharType="begin"/>
      </w:r>
      <w:r w:rsidR="000C44E7">
        <w:instrText xml:space="preserve"> SEQ Figure \* ARABIC </w:instrText>
      </w:r>
      <w:r w:rsidR="000C44E7">
        <w:fldChar w:fldCharType="separate"/>
      </w:r>
      <w:r w:rsidR="00E9279E">
        <w:rPr>
          <w:noProof/>
        </w:rPr>
        <w:t>1</w:t>
      </w:r>
      <w:r w:rsidR="000C44E7">
        <w:rPr>
          <w:noProof/>
        </w:rPr>
        <w:fldChar w:fldCharType="end"/>
      </w:r>
      <w:r w:rsidRPr="00E9279E">
        <w:t>:</w:t>
      </w:r>
      <w:r w:rsidR="0086249E" w:rsidRPr="00E9279E">
        <w:t xml:space="preserve"> Study I3Y-MC-JPCF </w:t>
      </w:r>
      <w:r w:rsidR="00E22C33" w:rsidRPr="00E9279E">
        <w:t>(</w:t>
      </w:r>
      <w:r w:rsidR="008E65BE" w:rsidRPr="00E9279E">
        <w:t xml:space="preserve">MONARCHE </w:t>
      </w:r>
      <w:r w:rsidR="00E22C33" w:rsidRPr="00E9279E">
        <w:t xml:space="preserve">trial) </w:t>
      </w:r>
      <w:r w:rsidR="000B652C" w:rsidRPr="00E9279E">
        <w:t>S</w:t>
      </w:r>
      <w:r w:rsidR="00C314D3" w:rsidRPr="00E9279E">
        <w:t>tudy design</w:t>
      </w:r>
    </w:p>
    <w:p w14:paraId="547ADF7D" w14:textId="0C693742" w:rsidR="000B652C" w:rsidRPr="00E9279E" w:rsidRDefault="00C72912" w:rsidP="00F86A77">
      <w:r w:rsidRPr="00E9279E">
        <w:rPr>
          <w:noProof/>
          <w:lang w:val="en-GB" w:eastAsia="en-GB"/>
        </w:rPr>
        <w:drawing>
          <wp:inline distT="0" distB="0" distL="0" distR="0" wp14:anchorId="63B7BE44" wp14:editId="591C5F41">
            <wp:extent cx="5400040" cy="1749425"/>
            <wp:effectExtent l="0" t="0" r="0" b="3175"/>
            <wp:docPr id="8" name="Picture 8" descr="Figure 1: Study I3Y-MC-JPCF (MONARCHE trial) Study design&#10;&#10;Study I3Y-MC-JPCF is a Phase III adjuvant study in patients (women and men) with hormone receptor positive, human epidermal growth factor receptor 2 negative, node positive, early breast cancer who completed definitive locoregional therapy (with or without neoadjuvant or adjuvant chemotherapy) and are at high risk for disease recurrence.&#10;&#10;Cohort 1: eligible based on clinical and/or pathological features, such as the degree of axillary lymph node involvement, tumour size, grade, or a combination of any of those.&#10;&#10;Cohort 2: eligible based on one to three positive axillary lymph node, and high Ki-67 (≥ 20%) expression in untreated breast tumour tissue by central lab. These patients would not have been eligible based on eligibility requirements for Cohort 1.&#10;&#10;The intention to treat population included patients from both Cohort 1 and Cohort 2&#10;&#10;A total of 5637 patients were enrolled and randomised 1:1 to one of the two treatment arms included in the intention to treat population. Patients randomised to Arm A were treated with abemaciclib 150 mg plus endocrine therapy, and patients randomised to Arm B were treated with endocrine therapy alone.&#10;&#10;Eligible patients will then continue with 2 year on study treatment period and then long term follow up period. Arm A patients will receive abemaciclib for up to 2 years or until meeting a discontinuation criteria. All patients will receive standard of care endocrine therapy for at least 5 years or up to 10 years as medically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1: Study I3Y-MC-JPCF (MONARCHE trial) Study design&#10;&#10;Study I3Y-MC-JPCF is a Phase III adjuvant study in patients (women and men) with hormone receptor positive, human epidermal growth factor receptor 2 negative, node positive, early breast cancer who completed definitive locoregional therapy (with or without neoadjuvant or adjuvant chemotherapy) and are at high risk for disease recurrence.&#10;&#10;Cohort 1: eligible based on clinical and/or pathological features, such as the degree of axillary lymph node involvement, tumour size, grade, or a combination of any of those.&#10;&#10;Cohort 2: eligible based on one to three positive axillary lymph node, and high Ki-67 (≥ 20%) expression in untreated breast tumour tissue by central lab. These patients would not have been eligible based on eligibility requirements for Cohort 1.&#10;&#10;The intention to treat population included patients from both Cohort 1 and Cohort 2&#10;&#10;A total of 5637 patients were enrolled and randomised 1:1 to one of the two treatment arms included in the intention to treat population. Patients randomised to Arm A were treated with abemaciclib 150 mg plus endocrine therapy, and patients randomised to Arm B were treated with endocrine therapy alone.&#10;&#10;Eligible patients will then continue with 2 year on study treatment period and then long term follow up period. Arm A patients will receive abemaciclib for up to 2 years or until meeting a discontinuation criteria. All patients will receive standard of care endocrine therapy for at least 5 years or up to 10 years as medically indicated."/>
                    <pic:cNvPicPr/>
                  </pic:nvPicPr>
                  <pic:blipFill>
                    <a:blip r:embed="rId16"/>
                    <a:stretch>
                      <a:fillRect/>
                    </a:stretch>
                  </pic:blipFill>
                  <pic:spPr>
                    <a:xfrm>
                      <a:off x="0" y="0"/>
                      <a:ext cx="5400040" cy="1749425"/>
                    </a:xfrm>
                    <a:prstGeom prst="rect">
                      <a:avLst/>
                    </a:prstGeom>
                  </pic:spPr>
                </pic:pic>
              </a:graphicData>
            </a:graphic>
          </wp:inline>
        </w:drawing>
      </w:r>
    </w:p>
    <w:p w14:paraId="4566B61C" w14:textId="5B8116B8" w:rsidR="00C72912" w:rsidRPr="00E9279E" w:rsidRDefault="00C72912" w:rsidP="00F86A77">
      <w:pPr>
        <w:pStyle w:val="FigureDescription"/>
      </w:pPr>
      <w:r w:rsidRPr="00E9279E">
        <w:t xml:space="preserve">Abbreviations: ALN = axillary lymph nodes; BD = twice daily; C = </w:t>
      </w:r>
      <w:r w:rsidR="00BC618B" w:rsidRPr="00E9279E">
        <w:t>Cohort</w:t>
      </w:r>
      <w:r w:rsidRPr="00E9279E">
        <w:t>; CPF = clinical pathological features; HER2</w:t>
      </w:r>
      <w:r w:rsidR="00BC618B" w:rsidRPr="00E9279E">
        <w:t>-</w:t>
      </w:r>
      <w:r w:rsidRPr="00E9279E">
        <w:t xml:space="preserve"> = human epidermal growth factor receptor 2 negative; HR</w:t>
      </w:r>
      <w:r w:rsidR="00BC618B" w:rsidRPr="00E9279E">
        <w:t>+</w:t>
      </w:r>
      <w:r w:rsidRPr="00E9279E">
        <w:t xml:space="preserve"> = hormone receptor</w:t>
      </w:r>
      <w:r w:rsidR="00BC618B" w:rsidRPr="00E9279E">
        <w:t xml:space="preserve"> </w:t>
      </w:r>
      <w:r w:rsidRPr="00E9279E">
        <w:t>positive; ITT = intent</w:t>
      </w:r>
      <w:r w:rsidR="00BC618B" w:rsidRPr="00E9279E">
        <w:t>-</w:t>
      </w:r>
      <w:r w:rsidRPr="00E9279E">
        <w:t>to</w:t>
      </w:r>
      <w:r w:rsidR="00BC618B" w:rsidRPr="00E9279E">
        <w:t>-</w:t>
      </w:r>
      <w:r w:rsidRPr="00E9279E">
        <w:t>treat; Ki-67 = prognostic parameter; pts = patients; R = randomi</w:t>
      </w:r>
      <w:r w:rsidR="00BC618B" w:rsidRPr="00E9279E">
        <w:t>s</w:t>
      </w:r>
      <w:r w:rsidRPr="00E9279E">
        <w:t>ation; SOC</w:t>
      </w:r>
      <w:r w:rsidR="00E22C33" w:rsidRPr="00E9279E">
        <w:t> </w:t>
      </w:r>
      <w:r w:rsidRPr="00E9279E">
        <w:t>=</w:t>
      </w:r>
      <w:r w:rsidR="00E22C33" w:rsidRPr="00E9279E">
        <w:t> </w:t>
      </w:r>
      <w:r w:rsidRPr="00E9279E">
        <w:t>standard of care.</w:t>
      </w:r>
    </w:p>
    <w:p w14:paraId="0492F3E7" w14:textId="12D89ACA" w:rsidR="000B652C" w:rsidRPr="00E9279E" w:rsidRDefault="00BC618B" w:rsidP="00F86A77">
      <w:pPr>
        <w:pStyle w:val="FigureDescription"/>
      </w:pPr>
      <w:r w:rsidRPr="00E9279E">
        <w:t xml:space="preserve">Study I3Y-MC-JPCF is a </w:t>
      </w:r>
      <w:r w:rsidR="000B652C" w:rsidRPr="00E9279E">
        <w:t>Phase III, randomised, open</w:t>
      </w:r>
      <w:r w:rsidRPr="00E9279E">
        <w:t xml:space="preserve"> </w:t>
      </w:r>
      <w:r w:rsidR="000B652C" w:rsidRPr="00E9279E">
        <w:t>label, multi-centre, multinational study (611 sites, 38</w:t>
      </w:r>
      <w:r w:rsidRPr="00E9279E">
        <w:t> </w:t>
      </w:r>
      <w:r w:rsidR="000B652C" w:rsidRPr="00E9279E">
        <w:t>countries)</w:t>
      </w:r>
      <w:r w:rsidRPr="00E9279E">
        <w:t>.</w:t>
      </w:r>
    </w:p>
    <w:p w14:paraId="14A3A12A" w14:textId="47E301A7" w:rsidR="000B652C" w:rsidRPr="00E9279E" w:rsidRDefault="000B652C" w:rsidP="00F86A77">
      <w:pPr>
        <w:pStyle w:val="FigureDescription"/>
      </w:pPr>
      <w:r w:rsidRPr="00E9279E">
        <w:t>First patient first visit: 12 July 2017.</w:t>
      </w:r>
    </w:p>
    <w:p w14:paraId="646A7D3B" w14:textId="32C3066B" w:rsidR="000B652C" w:rsidRPr="00E9279E" w:rsidRDefault="000B652C" w:rsidP="00F86A77">
      <w:pPr>
        <w:pStyle w:val="FigureDescription"/>
      </w:pPr>
      <w:r w:rsidRPr="00E9279E">
        <w:t>Second interim analysis (</w:t>
      </w:r>
      <w:r w:rsidR="00D008C9" w:rsidRPr="00E9279E">
        <w:t>Interim Analysis 2</w:t>
      </w:r>
      <w:r w:rsidRPr="00E9279E">
        <w:t>) of invasive disease-free survival (IDFS): 16 March 2020</w:t>
      </w:r>
      <w:r w:rsidR="00BC618B" w:rsidRPr="00E9279E">
        <w:t>.</w:t>
      </w:r>
    </w:p>
    <w:p w14:paraId="64532A61" w14:textId="59C341E0" w:rsidR="000B652C" w:rsidRPr="00E9279E" w:rsidRDefault="000B652C" w:rsidP="00F86A77">
      <w:pPr>
        <w:pStyle w:val="FigureDescription"/>
      </w:pPr>
      <w:r w:rsidRPr="00E9279E">
        <w:lastRenderedPageBreak/>
        <w:t>Final analysis of IDFS: data cut</w:t>
      </w:r>
      <w:r w:rsidR="007D39D7" w:rsidRPr="00E9279E">
        <w:t xml:space="preserve">-off date </w:t>
      </w:r>
      <w:r w:rsidRPr="00E9279E">
        <w:t>8 July 2020</w:t>
      </w:r>
      <w:r w:rsidR="00BC618B" w:rsidRPr="00E9279E">
        <w:t>.</w:t>
      </w:r>
    </w:p>
    <w:p w14:paraId="658DC54B" w14:textId="043754F7" w:rsidR="000B652C" w:rsidRPr="00E9279E" w:rsidRDefault="000B652C" w:rsidP="00F86A77">
      <w:pPr>
        <w:pStyle w:val="FigureDescription"/>
      </w:pPr>
      <w:r w:rsidRPr="00E9279E">
        <w:t xml:space="preserve">Clinical </w:t>
      </w:r>
      <w:r w:rsidR="007D39D7" w:rsidRPr="00E9279E">
        <w:t xml:space="preserve">study report </w:t>
      </w:r>
      <w:r w:rsidRPr="00E9279E">
        <w:t xml:space="preserve">date: 20 May 2020 </w:t>
      </w:r>
      <w:r w:rsidR="00D008C9" w:rsidRPr="00E9279E">
        <w:t>Interim Analysis 2</w:t>
      </w:r>
      <w:r w:rsidRPr="00E9279E">
        <w:t xml:space="preserve"> report, </w:t>
      </w:r>
      <w:r w:rsidR="00C518AE" w:rsidRPr="00E9279E">
        <w:t xml:space="preserve">Clinical </w:t>
      </w:r>
      <w:r w:rsidR="007D39D7" w:rsidRPr="00E9279E">
        <w:t xml:space="preserve">study report </w:t>
      </w:r>
      <w:r w:rsidRPr="00E9279E">
        <w:t>addendum (final analysis) 25 September 2020</w:t>
      </w:r>
      <w:r w:rsidR="00BC618B" w:rsidRPr="00E9279E">
        <w:t>.</w:t>
      </w:r>
    </w:p>
    <w:p w14:paraId="433CC283" w14:textId="16D62C9A" w:rsidR="000B652C" w:rsidRPr="00E9279E" w:rsidRDefault="000B652C" w:rsidP="000B652C">
      <w:pPr>
        <w:pStyle w:val="Heading5"/>
        <w:rPr>
          <w:noProof/>
        </w:rPr>
      </w:pPr>
      <w:r w:rsidRPr="00E9279E">
        <w:t xml:space="preserve">Summary </w:t>
      </w:r>
      <w:r w:rsidR="00BC618B" w:rsidRPr="00E9279E">
        <w:t xml:space="preserve">of </w:t>
      </w:r>
      <w:r w:rsidRPr="00E9279E">
        <w:t>study schema</w:t>
      </w:r>
    </w:p>
    <w:p w14:paraId="24061C96" w14:textId="58AFFC48" w:rsidR="000B652C" w:rsidRPr="00E9279E" w:rsidRDefault="00BC618B" w:rsidP="000B652C">
      <w:pPr>
        <w:pStyle w:val="ListBullet"/>
      </w:pPr>
      <w:r w:rsidRPr="00E9279E">
        <w:t xml:space="preserve">A total of </w:t>
      </w:r>
      <w:r w:rsidR="000B652C" w:rsidRPr="00E9279E">
        <w:t xml:space="preserve">5637 </w:t>
      </w:r>
      <w:r w:rsidR="00B120DE" w:rsidRPr="00E9279E">
        <w:t xml:space="preserve">patients are </w:t>
      </w:r>
      <w:r w:rsidR="000B652C" w:rsidRPr="00E9279E">
        <w:t xml:space="preserve">randomised, </w:t>
      </w:r>
      <w:r w:rsidR="000B652C" w:rsidRPr="00E9279E">
        <w:rPr>
          <w:lang w:eastAsia="en-AU"/>
        </w:rPr>
        <w:t xml:space="preserve">stratified by prior chemotherapy (neoadjuvant </w:t>
      </w:r>
      <w:r w:rsidR="00033AC2" w:rsidRPr="00E9279E">
        <w:rPr>
          <w:lang w:eastAsia="en-AU"/>
        </w:rPr>
        <w:t>versus</w:t>
      </w:r>
      <w:r w:rsidR="000B652C" w:rsidRPr="00E9279E">
        <w:rPr>
          <w:lang w:eastAsia="en-AU"/>
        </w:rPr>
        <w:t xml:space="preserve"> adjuvant </w:t>
      </w:r>
      <w:r w:rsidR="00033AC2" w:rsidRPr="00E9279E">
        <w:rPr>
          <w:lang w:eastAsia="en-AU"/>
        </w:rPr>
        <w:t>versus</w:t>
      </w:r>
      <w:r w:rsidR="000B652C" w:rsidRPr="00E9279E">
        <w:rPr>
          <w:lang w:eastAsia="en-AU"/>
        </w:rPr>
        <w:t xml:space="preserve"> n</w:t>
      </w:r>
      <w:r w:rsidR="00967304" w:rsidRPr="00E9279E">
        <w:rPr>
          <w:lang w:eastAsia="en-AU"/>
        </w:rPr>
        <w:t>o prior chemotherapy</w:t>
      </w:r>
      <w:r w:rsidR="000B652C" w:rsidRPr="00E9279E">
        <w:rPr>
          <w:lang w:eastAsia="en-AU"/>
        </w:rPr>
        <w:t>), menopausal status (pre</w:t>
      </w:r>
      <w:r w:rsidR="00B120DE" w:rsidRPr="00E9279E">
        <w:rPr>
          <w:lang w:eastAsia="en-AU"/>
        </w:rPr>
        <w:noBreakHyphen/>
        <w:t>menopausal</w:t>
      </w:r>
      <w:r w:rsidR="000B652C" w:rsidRPr="00E9279E">
        <w:rPr>
          <w:lang w:eastAsia="en-AU"/>
        </w:rPr>
        <w:t xml:space="preserve"> </w:t>
      </w:r>
      <w:r w:rsidR="00033AC2" w:rsidRPr="00E9279E">
        <w:rPr>
          <w:lang w:eastAsia="en-AU"/>
        </w:rPr>
        <w:t>versus</w:t>
      </w:r>
      <w:r w:rsidR="000B652C" w:rsidRPr="00E9279E">
        <w:rPr>
          <w:lang w:eastAsia="en-AU"/>
        </w:rPr>
        <w:t xml:space="preserve"> post</w:t>
      </w:r>
      <w:r w:rsidR="00B120DE" w:rsidRPr="00E9279E">
        <w:rPr>
          <w:lang w:eastAsia="en-AU"/>
        </w:rPr>
        <w:noBreakHyphen/>
      </w:r>
      <w:r w:rsidR="000B652C" w:rsidRPr="00E9279E">
        <w:rPr>
          <w:lang w:eastAsia="en-AU"/>
        </w:rPr>
        <w:t>menopausal at time of diagnosed per investigator</w:t>
      </w:r>
      <w:r w:rsidR="00967304" w:rsidRPr="00E9279E">
        <w:rPr>
          <w:lang w:eastAsia="en-AU"/>
        </w:rPr>
        <w:t>;</w:t>
      </w:r>
      <w:r w:rsidR="000B652C" w:rsidRPr="00E9279E">
        <w:rPr>
          <w:lang w:eastAsia="en-AU"/>
        </w:rPr>
        <w:t xml:space="preserve"> male patients classified post</w:t>
      </w:r>
      <w:r w:rsidR="00B120DE" w:rsidRPr="00E9279E">
        <w:rPr>
          <w:lang w:eastAsia="en-AU"/>
        </w:rPr>
        <w:noBreakHyphen/>
      </w:r>
      <w:r w:rsidR="000B652C" w:rsidRPr="00E9279E">
        <w:rPr>
          <w:lang w:eastAsia="en-AU"/>
        </w:rPr>
        <w:t>menopausal), and region (North America</w:t>
      </w:r>
      <w:r w:rsidR="00967304" w:rsidRPr="00E9279E">
        <w:rPr>
          <w:lang w:eastAsia="en-AU"/>
        </w:rPr>
        <w:t xml:space="preserve"> and </w:t>
      </w:r>
      <w:r w:rsidR="000B652C" w:rsidRPr="00E9279E">
        <w:rPr>
          <w:lang w:eastAsia="en-AU"/>
        </w:rPr>
        <w:t xml:space="preserve">Europe </w:t>
      </w:r>
      <w:r w:rsidR="00033AC2" w:rsidRPr="00E9279E">
        <w:rPr>
          <w:lang w:eastAsia="en-AU"/>
        </w:rPr>
        <w:t>versus</w:t>
      </w:r>
      <w:r w:rsidR="000B652C" w:rsidRPr="00E9279E">
        <w:rPr>
          <w:lang w:eastAsia="en-AU"/>
        </w:rPr>
        <w:t xml:space="preserve"> Asia </w:t>
      </w:r>
      <w:r w:rsidR="00033AC2" w:rsidRPr="00E9279E">
        <w:rPr>
          <w:lang w:eastAsia="en-AU"/>
        </w:rPr>
        <w:t>versus</w:t>
      </w:r>
      <w:r w:rsidR="000B652C" w:rsidRPr="00E9279E">
        <w:rPr>
          <w:lang w:eastAsia="en-AU"/>
        </w:rPr>
        <w:t xml:space="preserve"> </w:t>
      </w:r>
      <w:r w:rsidR="00967304" w:rsidRPr="00E9279E">
        <w:rPr>
          <w:lang w:eastAsia="en-AU"/>
        </w:rPr>
        <w:t xml:space="preserve">rest of world (all </w:t>
      </w:r>
      <w:r w:rsidR="00B120DE" w:rsidRPr="00E9279E">
        <w:rPr>
          <w:lang w:eastAsia="en-AU"/>
        </w:rPr>
        <w:t>other</w:t>
      </w:r>
      <w:r w:rsidR="00967304" w:rsidRPr="00E9279E">
        <w:rPr>
          <w:lang w:eastAsia="en-AU"/>
        </w:rPr>
        <w:t xml:space="preserve"> regions)</w:t>
      </w:r>
      <w:r w:rsidR="000B652C" w:rsidRPr="00E9279E">
        <w:rPr>
          <w:lang w:eastAsia="en-AU"/>
        </w:rPr>
        <w:t>)</w:t>
      </w:r>
      <w:r w:rsidR="00B120DE" w:rsidRPr="00E9279E">
        <w:rPr>
          <w:lang w:eastAsia="en-AU"/>
        </w:rPr>
        <w:t>.</w:t>
      </w:r>
    </w:p>
    <w:p w14:paraId="19837492" w14:textId="2970A5B7" w:rsidR="000B652C" w:rsidRPr="00E9279E" w:rsidRDefault="000B652C" w:rsidP="000B652C">
      <w:pPr>
        <w:pStyle w:val="ListBullet"/>
      </w:pPr>
      <w:r w:rsidRPr="00E9279E">
        <w:t xml:space="preserve">Cohort 1: high risk based on clinical or pathological features (see </w:t>
      </w:r>
      <w:r w:rsidR="00B120DE" w:rsidRPr="00E9279E">
        <w:t xml:space="preserve">Section: </w:t>
      </w:r>
      <w:r w:rsidR="00967304" w:rsidRPr="00E9279E">
        <w:rPr>
          <w:i/>
        </w:rPr>
        <w:fldChar w:fldCharType="begin"/>
      </w:r>
      <w:r w:rsidR="00967304" w:rsidRPr="00E9279E">
        <w:rPr>
          <w:i/>
        </w:rPr>
        <w:instrText xml:space="preserve"> REF _Ref118109245 \h  \* MERGEFORMAT </w:instrText>
      </w:r>
      <w:r w:rsidR="00967304" w:rsidRPr="00E9279E">
        <w:rPr>
          <w:i/>
        </w:rPr>
      </w:r>
      <w:r w:rsidR="00967304" w:rsidRPr="00E9279E">
        <w:rPr>
          <w:i/>
        </w:rPr>
        <w:fldChar w:fldCharType="separate"/>
      </w:r>
      <w:r w:rsidR="00E9279E" w:rsidRPr="00E9279E">
        <w:rPr>
          <w:i/>
        </w:rPr>
        <w:t>Key definitions</w:t>
      </w:r>
      <w:r w:rsidR="00967304" w:rsidRPr="00E9279E">
        <w:rPr>
          <w:i/>
        </w:rPr>
        <w:fldChar w:fldCharType="end"/>
      </w:r>
      <w:r w:rsidR="00967304" w:rsidRPr="00E9279E">
        <w:t>, below</w:t>
      </w:r>
      <w:r w:rsidRPr="00E9279E">
        <w:t>), could be eligible by Ki-67 but this was not a requirement</w:t>
      </w:r>
      <w:r w:rsidR="00B120DE" w:rsidRPr="00E9279E">
        <w:t>.</w:t>
      </w:r>
    </w:p>
    <w:p w14:paraId="631BC2DA" w14:textId="04CF655D" w:rsidR="000B652C" w:rsidRPr="00E9279E" w:rsidRDefault="000B652C" w:rsidP="000B652C">
      <w:pPr>
        <w:pStyle w:val="ListBullet"/>
        <w:rPr>
          <w:szCs w:val="20"/>
          <w:lang w:eastAsia="ja-JP"/>
        </w:rPr>
      </w:pPr>
      <w:r w:rsidRPr="00E9279E">
        <w:t xml:space="preserve">Cohort 2: high risk based on </w:t>
      </w:r>
      <w:r w:rsidR="00B120DE" w:rsidRPr="00E9279E">
        <w:t>one</w:t>
      </w:r>
      <w:r w:rsidRPr="00E9279E">
        <w:t xml:space="preserve"> to </w:t>
      </w:r>
      <w:r w:rsidR="00B120DE" w:rsidRPr="00E9279E">
        <w:t>three</w:t>
      </w:r>
      <w:r w:rsidRPr="00E9279E">
        <w:t xml:space="preserve"> </w:t>
      </w:r>
      <w:r w:rsidR="004052B5" w:rsidRPr="00E9279E">
        <w:t>positive axillary lymph nodes (</w:t>
      </w:r>
      <w:proofErr w:type="spellStart"/>
      <w:r w:rsidRPr="00E9279E">
        <w:t>pALN</w:t>
      </w:r>
      <w:proofErr w:type="spellEnd"/>
      <w:r w:rsidR="004052B5" w:rsidRPr="00E9279E">
        <w:t>)</w:t>
      </w:r>
      <w:r w:rsidRPr="00E9279E">
        <w:t xml:space="preserve"> and high (</w:t>
      </w:r>
      <w:r w:rsidR="0083018A" w:rsidRPr="00E9279E">
        <w:t xml:space="preserve">no less than </w:t>
      </w:r>
      <w:r w:rsidRPr="00E9279E">
        <w:t xml:space="preserve">20%) Ki-67 status by central lab </w:t>
      </w:r>
      <w:r w:rsidR="00033AC2" w:rsidRPr="00E9279E">
        <w:t>(</w:t>
      </w:r>
      <w:r w:rsidRPr="00E9279E">
        <w:t xml:space="preserve">Ki-67 </w:t>
      </w:r>
      <w:r w:rsidR="004052B5" w:rsidRPr="00E9279E">
        <w:t>IHC [i</w:t>
      </w:r>
      <w:r w:rsidRPr="00E9279E">
        <w:t>mmunohistochemistry</w:t>
      </w:r>
      <w:r w:rsidR="004052B5" w:rsidRPr="00E9279E">
        <w:t>]</w:t>
      </w:r>
      <w:r w:rsidRPr="00E9279E">
        <w:t xml:space="preserve"> </w:t>
      </w:r>
      <w:r w:rsidR="00967304" w:rsidRPr="00E9279E">
        <w:t xml:space="preserve">via </w:t>
      </w:r>
      <w:r w:rsidRPr="00E9279E">
        <w:t>MIB</w:t>
      </w:r>
      <w:r w:rsidR="004052B5" w:rsidRPr="00E9279E">
        <w:noBreakHyphen/>
      </w:r>
      <w:r w:rsidRPr="00E9279E">
        <w:t xml:space="preserve">1 </w:t>
      </w:r>
      <w:proofErr w:type="spellStart"/>
      <w:r w:rsidRPr="00E9279E">
        <w:t>pharmDx</w:t>
      </w:r>
      <w:proofErr w:type="spellEnd"/>
      <w:r w:rsidRPr="00E9279E">
        <w:t xml:space="preserve"> (</w:t>
      </w:r>
      <w:proofErr w:type="spellStart"/>
      <w:r w:rsidRPr="00E9279E">
        <w:t>Dako</w:t>
      </w:r>
      <w:proofErr w:type="spellEnd"/>
      <w:r w:rsidRPr="00E9279E">
        <w:t xml:space="preserve"> Omnis) assay</w:t>
      </w:r>
      <w:r w:rsidR="00033AC2" w:rsidRPr="00E9279E">
        <w:t>)</w:t>
      </w:r>
      <w:r w:rsidR="00B120DE" w:rsidRPr="00E9279E">
        <w:t>.</w:t>
      </w:r>
    </w:p>
    <w:p w14:paraId="3B0F1FC7" w14:textId="77777777" w:rsidR="000B652C" w:rsidRPr="00E9279E" w:rsidRDefault="000B652C" w:rsidP="000B652C">
      <w:pPr>
        <w:pStyle w:val="ListBullet2"/>
      </w:pPr>
      <w:r w:rsidRPr="00E9279E">
        <w:t>Treatment:</w:t>
      </w:r>
    </w:p>
    <w:p w14:paraId="79CE3228" w14:textId="3A53D568" w:rsidR="000B652C" w:rsidRPr="00E9279E" w:rsidRDefault="000B652C" w:rsidP="0036706A">
      <w:pPr>
        <w:pStyle w:val="ListBullet3"/>
      </w:pPr>
      <w:r w:rsidRPr="00E9279E">
        <w:t xml:space="preserve">Arm A: </w:t>
      </w:r>
      <w:proofErr w:type="spellStart"/>
      <w:r w:rsidR="00B120DE" w:rsidRPr="00E9279E">
        <w:t>abemaciclib</w:t>
      </w:r>
      <w:proofErr w:type="spellEnd"/>
      <w:r w:rsidR="00B120DE" w:rsidRPr="00E9279E">
        <w:t xml:space="preserve"> </w:t>
      </w:r>
      <w:r w:rsidRPr="00E9279E">
        <w:t xml:space="preserve">150 mg </w:t>
      </w:r>
      <w:r w:rsidR="00BC618B" w:rsidRPr="00E9279E">
        <w:t>twice daily</w:t>
      </w:r>
      <w:r w:rsidRPr="00E9279E">
        <w:t xml:space="preserve"> (3</w:t>
      </w:r>
      <w:r w:rsidR="00B120DE" w:rsidRPr="00E9279E">
        <w:t xml:space="preserve"> </w:t>
      </w:r>
      <w:r w:rsidRPr="00E9279E">
        <w:t xml:space="preserve">x 50 mg capsules or tablets) </w:t>
      </w:r>
      <w:r w:rsidR="000C71AD" w:rsidRPr="00E9279E">
        <w:t>plus</w:t>
      </w:r>
      <w:r w:rsidRPr="00E9279E">
        <w:t xml:space="preserve"> </w:t>
      </w:r>
      <w:r w:rsidR="00C518AE" w:rsidRPr="00E9279E">
        <w:t>endocrine therapy</w:t>
      </w:r>
      <w:r w:rsidRPr="00E9279E">
        <w:t xml:space="preserve"> (standard adjuvant </w:t>
      </w:r>
      <w:r w:rsidR="00B120DE" w:rsidRPr="00E9279E">
        <w:t>physicians’</w:t>
      </w:r>
      <w:r w:rsidRPr="00E9279E">
        <w:t xml:space="preserve"> choice)</w:t>
      </w:r>
      <w:r w:rsidR="00B120DE" w:rsidRPr="00E9279E">
        <w:t>,</w:t>
      </w:r>
      <w:r w:rsidRPr="00E9279E">
        <w:t xml:space="preserve"> or</w:t>
      </w:r>
    </w:p>
    <w:p w14:paraId="76672762" w14:textId="4859C433" w:rsidR="000B652C" w:rsidRPr="00E9279E" w:rsidRDefault="000B652C" w:rsidP="0036706A">
      <w:pPr>
        <w:pStyle w:val="ListBullet3"/>
      </w:pPr>
      <w:r w:rsidRPr="00E9279E">
        <w:t xml:space="preserve">Arm B: </w:t>
      </w:r>
      <w:r w:rsidR="00C518AE" w:rsidRPr="00E9279E">
        <w:t>endocrine therapy</w:t>
      </w:r>
      <w:r w:rsidRPr="00E9279E">
        <w:t xml:space="preserve"> alone (standard adjuvant </w:t>
      </w:r>
      <w:r w:rsidR="00B120DE" w:rsidRPr="00E9279E">
        <w:t>physicians’</w:t>
      </w:r>
      <w:r w:rsidRPr="00E9279E">
        <w:t xml:space="preserve"> choice)</w:t>
      </w:r>
      <w:r w:rsidR="00B120DE" w:rsidRPr="00E9279E">
        <w:t>.</w:t>
      </w:r>
    </w:p>
    <w:p w14:paraId="6E5EC85E" w14:textId="1C931284" w:rsidR="000B652C" w:rsidRPr="00E9279E" w:rsidRDefault="00C518AE" w:rsidP="000B652C">
      <w:pPr>
        <w:pStyle w:val="ListBullet2"/>
        <w:numPr>
          <w:ilvl w:val="0"/>
          <w:numId w:val="0"/>
        </w:numPr>
        <w:ind w:left="720"/>
      </w:pPr>
      <w:r w:rsidRPr="00E9279E">
        <w:t>Endocrine therapy</w:t>
      </w:r>
      <w:r w:rsidR="000B652C" w:rsidRPr="00E9279E">
        <w:t xml:space="preserve"> dose adjustment permitted per investigator, switching permitted if no </w:t>
      </w:r>
      <w:r w:rsidR="00AD7BAF" w:rsidRPr="00E9279E">
        <w:t>invasive disease-free survival (</w:t>
      </w:r>
      <w:r w:rsidR="000B652C" w:rsidRPr="00E9279E">
        <w:t>IDFS</w:t>
      </w:r>
      <w:r w:rsidR="00AD7BAF" w:rsidRPr="00E9279E">
        <w:t>)</w:t>
      </w:r>
      <w:r w:rsidR="000B652C" w:rsidRPr="00E9279E">
        <w:t xml:space="preserve"> event</w:t>
      </w:r>
      <w:r w:rsidR="00B120DE" w:rsidRPr="00E9279E">
        <w:t>.</w:t>
      </w:r>
    </w:p>
    <w:p w14:paraId="4539C266" w14:textId="327E9EFC" w:rsidR="000B652C" w:rsidRPr="00E9279E" w:rsidRDefault="000B652C" w:rsidP="000B652C">
      <w:pPr>
        <w:pStyle w:val="ListBullet2"/>
        <w:numPr>
          <w:ilvl w:val="0"/>
          <w:numId w:val="0"/>
        </w:numPr>
        <w:ind w:left="720"/>
      </w:pPr>
      <w:r w:rsidRPr="00E9279E">
        <w:t xml:space="preserve">Cross-over </w:t>
      </w:r>
      <w:r w:rsidR="00B120DE" w:rsidRPr="00E9279E">
        <w:t xml:space="preserve">is </w:t>
      </w:r>
      <w:r w:rsidRPr="00E9279E">
        <w:t>not permitted</w:t>
      </w:r>
      <w:r w:rsidR="00B120DE" w:rsidRPr="00E9279E">
        <w:t>.</w:t>
      </w:r>
    </w:p>
    <w:p w14:paraId="53E38D75" w14:textId="7F1C7E51" w:rsidR="000B652C" w:rsidRPr="00E9279E" w:rsidRDefault="000B652C" w:rsidP="000B652C">
      <w:pPr>
        <w:pStyle w:val="ListBullet2"/>
        <w:numPr>
          <w:ilvl w:val="0"/>
          <w:numId w:val="0"/>
        </w:numPr>
        <w:ind w:left="720"/>
      </w:pPr>
      <w:r w:rsidRPr="00E9279E">
        <w:t xml:space="preserve">Randomised treatment continued for 2 years; </w:t>
      </w:r>
      <w:r w:rsidR="00C518AE" w:rsidRPr="00E9279E">
        <w:t>endocrine therapy</w:t>
      </w:r>
      <w:r w:rsidRPr="00E9279E">
        <w:t xml:space="preserve"> alone continued from year 3 for 5 and up to</w:t>
      </w:r>
      <w:r w:rsidR="00B120DE" w:rsidRPr="00E9279E">
        <w:t xml:space="preserve"> </w:t>
      </w:r>
      <w:r w:rsidRPr="00E9279E">
        <w:t>10 years if appropriate</w:t>
      </w:r>
      <w:r w:rsidR="00B120DE" w:rsidRPr="00E9279E">
        <w:t>.</w:t>
      </w:r>
    </w:p>
    <w:p w14:paraId="5BB6A981" w14:textId="55624C89" w:rsidR="000B652C" w:rsidRPr="00E9279E" w:rsidRDefault="000B652C" w:rsidP="000B652C">
      <w:pPr>
        <w:pStyle w:val="ListBullet"/>
      </w:pPr>
      <w:r w:rsidRPr="00E9279E">
        <w:t xml:space="preserve">Dose adjustments: dose adjustments and guidance for recommencement </w:t>
      </w:r>
      <w:r w:rsidR="00B83187" w:rsidRPr="00E9279E">
        <w:t xml:space="preserve">are </w:t>
      </w:r>
      <w:r w:rsidRPr="00E9279E">
        <w:t xml:space="preserve">summarised in </w:t>
      </w:r>
      <w:r w:rsidR="00775BB9" w:rsidRPr="00E9279E">
        <w:fldChar w:fldCharType="begin"/>
      </w:r>
      <w:r w:rsidR="00775BB9" w:rsidRPr="00E9279E">
        <w:instrText xml:space="preserve"> REF _Ref79403431 \h </w:instrText>
      </w:r>
      <w:r w:rsidR="00B61344" w:rsidRPr="00E9279E">
        <w:instrText xml:space="preserve"> \* MERGEFORMAT </w:instrText>
      </w:r>
      <w:r w:rsidR="00775BB9" w:rsidRPr="00E9279E">
        <w:fldChar w:fldCharType="separate"/>
      </w:r>
      <w:r w:rsidR="00E9279E" w:rsidRPr="00E9279E">
        <w:t xml:space="preserve">Table </w:t>
      </w:r>
      <w:r w:rsidR="00E9279E">
        <w:rPr>
          <w:noProof/>
        </w:rPr>
        <w:t>3</w:t>
      </w:r>
      <w:r w:rsidR="00775BB9" w:rsidRPr="00E9279E">
        <w:fldChar w:fldCharType="end"/>
      </w:r>
      <w:r w:rsidRPr="00E9279E">
        <w:t xml:space="preserve"> </w:t>
      </w:r>
      <w:r w:rsidR="00B120DE" w:rsidRPr="00E9279E">
        <w:t>below. E</w:t>
      </w:r>
      <w:r w:rsidRPr="00E9279E">
        <w:t xml:space="preserve">ach dose level adjustment was a decrement of 50 mg </w:t>
      </w:r>
      <w:r w:rsidR="00BC618B" w:rsidRPr="00E9279E">
        <w:t>twice daily</w:t>
      </w:r>
      <w:r w:rsidR="00033AC2" w:rsidRPr="00E9279E">
        <w:t>,</w:t>
      </w:r>
      <w:r w:rsidRPr="00E9279E">
        <w:t xml:space="preserve"> </w:t>
      </w:r>
      <w:r w:rsidR="00033AC2" w:rsidRPr="00E9279E">
        <w:t>for example,</w:t>
      </w:r>
      <w:r w:rsidRPr="00E9279E">
        <w:t xml:space="preserve"> one dose adjustment decreased dose to 100 mg </w:t>
      </w:r>
      <w:r w:rsidR="00BC618B" w:rsidRPr="00E9279E">
        <w:t>twice daily</w:t>
      </w:r>
      <w:r w:rsidR="00B120DE" w:rsidRPr="00E9279E">
        <w:t>.</w:t>
      </w:r>
    </w:p>
    <w:p w14:paraId="3841A0CA" w14:textId="77777777" w:rsidR="00B120DE" w:rsidRPr="00E9279E" w:rsidRDefault="00B120DE" w:rsidP="00B120DE">
      <w:pPr>
        <w:pStyle w:val="ListBullet"/>
      </w:pPr>
      <w:r w:rsidRPr="00E9279E">
        <w:t>Patient flow:</w:t>
      </w:r>
    </w:p>
    <w:p w14:paraId="47E947F0" w14:textId="77777777" w:rsidR="00967304" w:rsidRPr="00E9279E" w:rsidRDefault="00543134" w:rsidP="00543134">
      <w:pPr>
        <w:pStyle w:val="ListBullet2"/>
      </w:pPr>
      <w:r w:rsidRPr="00E9279E">
        <w:t>randomised</w:t>
      </w:r>
      <w:r w:rsidR="00967304" w:rsidRPr="00E9279E">
        <w:t>:</w:t>
      </w:r>
    </w:p>
    <w:p w14:paraId="419A728F" w14:textId="3729458F" w:rsidR="00967304" w:rsidRPr="00E9279E" w:rsidRDefault="00967304" w:rsidP="00CA034D">
      <w:pPr>
        <w:pStyle w:val="ListBullet3"/>
      </w:pPr>
      <w:r w:rsidRPr="00E9279E">
        <w:t xml:space="preserve">Arm A: </w:t>
      </w:r>
      <w:r w:rsidR="00B120DE" w:rsidRPr="00E9279E">
        <w:t xml:space="preserve">2808 </w:t>
      </w:r>
      <w:r w:rsidRPr="00E9279E">
        <w:t>patients</w:t>
      </w:r>
    </w:p>
    <w:p w14:paraId="48C23E79" w14:textId="5EE09E92" w:rsidR="00B120DE" w:rsidRPr="00E9279E" w:rsidRDefault="00B120DE" w:rsidP="00CA034D">
      <w:pPr>
        <w:pStyle w:val="ListBullet3"/>
      </w:pPr>
      <w:r w:rsidRPr="00E9279E">
        <w:t xml:space="preserve">Arm </w:t>
      </w:r>
      <w:r w:rsidR="00967304" w:rsidRPr="00E9279E">
        <w:t>B</w:t>
      </w:r>
      <w:r w:rsidRPr="00E9279E">
        <w:t xml:space="preserve">: 2829 </w:t>
      </w:r>
      <w:r w:rsidR="00967304" w:rsidRPr="00E9279E">
        <w:t>patients</w:t>
      </w:r>
    </w:p>
    <w:p w14:paraId="57CE5946" w14:textId="507BB98D" w:rsidR="00967304" w:rsidRPr="00E9279E" w:rsidRDefault="00543134" w:rsidP="00543134">
      <w:pPr>
        <w:pStyle w:val="ListBullet2"/>
      </w:pPr>
      <w:r w:rsidRPr="00E9279E">
        <w:t xml:space="preserve">randomised </w:t>
      </w:r>
      <w:r w:rsidR="00B120DE" w:rsidRPr="00E9279E">
        <w:t>but not treated</w:t>
      </w:r>
      <w:r w:rsidR="00967304" w:rsidRPr="00E9279E">
        <w:t>:</w:t>
      </w:r>
    </w:p>
    <w:p w14:paraId="0451ABFB" w14:textId="6A303675" w:rsidR="00967304" w:rsidRPr="00E9279E" w:rsidRDefault="00967304" w:rsidP="00CA034D">
      <w:pPr>
        <w:pStyle w:val="ListBullet3"/>
      </w:pPr>
      <w:r w:rsidRPr="00E9279E">
        <w:t xml:space="preserve">Arm A: </w:t>
      </w:r>
      <w:r w:rsidR="00B120DE" w:rsidRPr="00E9279E">
        <w:t xml:space="preserve">14 </w:t>
      </w:r>
      <w:r w:rsidRPr="00E9279E">
        <w:t>patients</w:t>
      </w:r>
    </w:p>
    <w:p w14:paraId="5EE380AC" w14:textId="5E1AE264" w:rsidR="00B120DE" w:rsidRPr="00E9279E" w:rsidRDefault="00B120DE" w:rsidP="00CA034D">
      <w:pPr>
        <w:pStyle w:val="ListBullet3"/>
      </w:pPr>
      <w:r w:rsidRPr="00E9279E">
        <w:t xml:space="preserve">Arm </w:t>
      </w:r>
      <w:r w:rsidR="00967304" w:rsidRPr="00E9279E">
        <w:t>B</w:t>
      </w:r>
      <w:r w:rsidRPr="00E9279E">
        <w:t xml:space="preserve">; 32 </w:t>
      </w:r>
      <w:r w:rsidR="00967304" w:rsidRPr="00E9279E">
        <w:t>patients</w:t>
      </w:r>
    </w:p>
    <w:p w14:paraId="0F39D54B" w14:textId="77777777" w:rsidR="00967304" w:rsidRPr="00E9279E" w:rsidRDefault="00543134" w:rsidP="00543134">
      <w:pPr>
        <w:pStyle w:val="ListBullet2"/>
      </w:pPr>
      <w:r w:rsidRPr="00E9279E">
        <w:t xml:space="preserve">randomised </w:t>
      </w:r>
      <w:r w:rsidR="00B120DE" w:rsidRPr="00E9279E">
        <w:t>and remain on treatment:</w:t>
      </w:r>
    </w:p>
    <w:p w14:paraId="36280EC7" w14:textId="486BF7A9" w:rsidR="00967304" w:rsidRPr="00E9279E" w:rsidRDefault="00967304" w:rsidP="00CA034D">
      <w:pPr>
        <w:pStyle w:val="ListBullet3"/>
      </w:pPr>
      <w:r w:rsidRPr="00E9279E">
        <w:t>Arm A:</w:t>
      </w:r>
      <w:r w:rsidR="00B120DE" w:rsidRPr="00E9279E">
        <w:t>1628 (58%)</w:t>
      </w:r>
      <w:r w:rsidRPr="00E9279E">
        <w:t xml:space="preserve"> patients</w:t>
      </w:r>
    </w:p>
    <w:p w14:paraId="58CC22B8" w14:textId="67CBAFA5" w:rsidR="00B120DE" w:rsidRPr="00E9279E" w:rsidRDefault="00B120DE" w:rsidP="00CA034D">
      <w:pPr>
        <w:pStyle w:val="ListBullet3"/>
      </w:pPr>
      <w:r w:rsidRPr="00E9279E">
        <w:t xml:space="preserve">Arm </w:t>
      </w:r>
      <w:r w:rsidR="00967304" w:rsidRPr="00E9279E">
        <w:t xml:space="preserve">B: </w:t>
      </w:r>
      <w:r w:rsidRPr="00E9279E">
        <w:t>1653 (58%)</w:t>
      </w:r>
      <w:r w:rsidR="00967304" w:rsidRPr="00E9279E">
        <w:t xml:space="preserve"> patients</w:t>
      </w:r>
    </w:p>
    <w:p w14:paraId="5B357A88" w14:textId="77777777" w:rsidR="00967304" w:rsidRPr="00E9279E" w:rsidRDefault="00543134" w:rsidP="00543134">
      <w:pPr>
        <w:pStyle w:val="ListBullet2"/>
      </w:pPr>
      <w:r w:rsidRPr="00E9279E">
        <w:t>randomised</w:t>
      </w:r>
      <w:r w:rsidR="00B120DE" w:rsidRPr="00E9279E">
        <w:t>, completed treatment:</w:t>
      </w:r>
    </w:p>
    <w:p w14:paraId="1332E916" w14:textId="0C1E4D39" w:rsidR="00967304" w:rsidRPr="00E9279E" w:rsidRDefault="00967304" w:rsidP="00CA034D">
      <w:pPr>
        <w:pStyle w:val="ListBullet3"/>
      </w:pPr>
      <w:r w:rsidRPr="00E9279E">
        <w:t xml:space="preserve">Arm A: </w:t>
      </w:r>
      <w:r w:rsidR="00B120DE" w:rsidRPr="00E9279E">
        <w:t xml:space="preserve">701 (25%) </w:t>
      </w:r>
      <w:r w:rsidRPr="00E9279E">
        <w:t>patients</w:t>
      </w:r>
    </w:p>
    <w:p w14:paraId="2A5CDDB0" w14:textId="6BDC0FE3" w:rsidR="00B120DE" w:rsidRPr="00E9279E" w:rsidRDefault="00B120DE" w:rsidP="00CA034D">
      <w:pPr>
        <w:pStyle w:val="ListBullet3"/>
      </w:pPr>
      <w:r w:rsidRPr="00E9279E">
        <w:t xml:space="preserve">Arm </w:t>
      </w:r>
      <w:r w:rsidR="00967304" w:rsidRPr="00E9279E">
        <w:t>B:</w:t>
      </w:r>
      <w:r w:rsidRPr="00E9279E">
        <w:t xml:space="preserve"> 736 (26%) </w:t>
      </w:r>
      <w:r w:rsidR="00967304" w:rsidRPr="00E9279E">
        <w:t>patients</w:t>
      </w:r>
    </w:p>
    <w:p w14:paraId="0EE146E9" w14:textId="77777777" w:rsidR="00967304" w:rsidRPr="00E9279E" w:rsidRDefault="00543134" w:rsidP="00543134">
      <w:pPr>
        <w:pStyle w:val="ListBullet2"/>
      </w:pPr>
      <w:r w:rsidRPr="00E9279E">
        <w:t xml:space="preserve">discontinued </w:t>
      </w:r>
      <w:r w:rsidR="00B120DE" w:rsidRPr="00E9279E">
        <w:t>because died:</w:t>
      </w:r>
    </w:p>
    <w:p w14:paraId="578FE53C" w14:textId="745A5B1E" w:rsidR="00967304" w:rsidRPr="00E9279E" w:rsidRDefault="00967304" w:rsidP="00CA034D">
      <w:pPr>
        <w:pStyle w:val="ListBullet3"/>
      </w:pPr>
      <w:r w:rsidRPr="00E9279E">
        <w:t xml:space="preserve">Arm A: </w:t>
      </w:r>
      <w:r w:rsidR="00B120DE" w:rsidRPr="00E9279E">
        <w:t xml:space="preserve">12 </w:t>
      </w:r>
      <w:r w:rsidRPr="00E9279E">
        <w:t>patients</w:t>
      </w:r>
    </w:p>
    <w:p w14:paraId="47B1718B" w14:textId="635C8056" w:rsidR="00B120DE" w:rsidRPr="00E9279E" w:rsidRDefault="00B120DE" w:rsidP="00CA034D">
      <w:pPr>
        <w:pStyle w:val="ListBullet3"/>
      </w:pPr>
      <w:r w:rsidRPr="00E9279E">
        <w:lastRenderedPageBreak/>
        <w:t xml:space="preserve">Arm </w:t>
      </w:r>
      <w:r w:rsidR="00967304" w:rsidRPr="00E9279E">
        <w:t>B:</w:t>
      </w:r>
      <w:r w:rsidRPr="00E9279E">
        <w:t xml:space="preserve"> 9</w:t>
      </w:r>
      <w:r w:rsidR="00967304" w:rsidRPr="00E9279E">
        <w:t xml:space="preserve"> patients</w:t>
      </w:r>
    </w:p>
    <w:p w14:paraId="5F4C0E7E" w14:textId="77777777" w:rsidR="00967304" w:rsidRPr="00E9279E" w:rsidRDefault="00543134" w:rsidP="00543134">
      <w:pPr>
        <w:pStyle w:val="ListBullet2"/>
      </w:pPr>
      <w:r w:rsidRPr="00E9279E">
        <w:t xml:space="preserve">discontinued </w:t>
      </w:r>
      <w:r w:rsidR="00B120DE" w:rsidRPr="00E9279E">
        <w:t>due to disease relapse:</w:t>
      </w:r>
    </w:p>
    <w:p w14:paraId="3906968F" w14:textId="169A7DA5" w:rsidR="00967304" w:rsidRPr="00E9279E" w:rsidRDefault="00967304" w:rsidP="00CA034D">
      <w:pPr>
        <w:pStyle w:val="ListBullet3"/>
      </w:pPr>
      <w:r w:rsidRPr="00E9279E">
        <w:t xml:space="preserve">Arm A: </w:t>
      </w:r>
      <w:r w:rsidR="00B120DE" w:rsidRPr="00E9279E">
        <w:t xml:space="preserve">136 </w:t>
      </w:r>
      <w:r w:rsidRPr="00E9279E">
        <w:t>patients</w:t>
      </w:r>
    </w:p>
    <w:p w14:paraId="7D5DBBB5" w14:textId="781BEA83" w:rsidR="00B120DE" w:rsidRPr="00E9279E" w:rsidRDefault="00967304" w:rsidP="00CA034D">
      <w:pPr>
        <w:pStyle w:val="ListBullet3"/>
      </w:pPr>
      <w:r w:rsidRPr="00E9279E">
        <w:t xml:space="preserve">Arm B: </w:t>
      </w:r>
      <w:r w:rsidR="00B120DE" w:rsidRPr="00E9279E">
        <w:t>204</w:t>
      </w:r>
      <w:r w:rsidRPr="00E9279E">
        <w:t xml:space="preserve"> patients</w:t>
      </w:r>
    </w:p>
    <w:p w14:paraId="66CDC9B1" w14:textId="620098C7" w:rsidR="00967304" w:rsidRPr="00E9279E" w:rsidRDefault="00543134" w:rsidP="00543134">
      <w:pPr>
        <w:pStyle w:val="ListBullet2"/>
      </w:pPr>
      <w:r w:rsidRPr="00E9279E">
        <w:t xml:space="preserve">discontinued </w:t>
      </w:r>
      <w:r w:rsidR="00B120DE" w:rsidRPr="00E9279E">
        <w:t xml:space="preserve">because of </w:t>
      </w:r>
      <w:r w:rsidR="00967304" w:rsidRPr="00E9279E">
        <w:t>adverse event</w:t>
      </w:r>
      <w:r w:rsidR="00B120DE" w:rsidRPr="00E9279E">
        <w:t>:</w:t>
      </w:r>
    </w:p>
    <w:p w14:paraId="0D112386" w14:textId="1A483856" w:rsidR="00967304" w:rsidRPr="00E9279E" w:rsidRDefault="00967304" w:rsidP="00CA034D">
      <w:pPr>
        <w:pStyle w:val="ListBullet3"/>
      </w:pPr>
      <w:r w:rsidRPr="00E9279E">
        <w:t xml:space="preserve">Arm A: </w:t>
      </w:r>
      <w:r w:rsidR="00B120DE" w:rsidRPr="00E9279E">
        <w:t xml:space="preserve">162 </w:t>
      </w:r>
      <w:r w:rsidRPr="00E9279E">
        <w:t>patients</w:t>
      </w:r>
    </w:p>
    <w:p w14:paraId="410D59FA" w14:textId="7D45092F" w:rsidR="00B120DE" w:rsidRPr="00E9279E" w:rsidRDefault="00967304" w:rsidP="00CA034D">
      <w:pPr>
        <w:pStyle w:val="ListBullet3"/>
      </w:pPr>
      <w:r w:rsidRPr="00E9279E">
        <w:t xml:space="preserve">Arm B: </w:t>
      </w:r>
      <w:r w:rsidR="00B120DE" w:rsidRPr="00E9279E">
        <w:t xml:space="preserve">16 </w:t>
      </w:r>
      <w:r w:rsidRPr="00E9279E">
        <w:t>patients</w:t>
      </w:r>
      <w:r w:rsidR="00543134" w:rsidRPr="00E9279E">
        <w:t>.</w:t>
      </w:r>
    </w:p>
    <w:p w14:paraId="7340FF21" w14:textId="219DED12" w:rsidR="00775BB9" w:rsidRPr="00E9279E" w:rsidRDefault="00775BB9" w:rsidP="00F86A77">
      <w:pPr>
        <w:pStyle w:val="TableTitle"/>
      </w:pPr>
      <w:bookmarkStart w:id="55" w:name="_Ref79403431"/>
      <w:bookmarkStart w:id="56" w:name="_Toc90886896"/>
      <w:r w:rsidRPr="00E9279E">
        <w:t xml:space="preserve">Table </w:t>
      </w:r>
      <w:r w:rsidR="000C44E7">
        <w:fldChar w:fldCharType="begin"/>
      </w:r>
      <w:r w:rsidR="000C44E7">
        <w:instrText xml:space="preserve"> SEQ Table \* ARABIC </w:instrText>
      </w:r>
      <w:r w:rsidR="000C44E7">
        <w:fldChar w:fldCharType="separate"/>
      </w:r>
      <w:r w:rsidR="00E9279E">
        <w:rPr>
          <w:noProof/>
        </w:rPr>
        <w:t>3</w:t>
      </w:r>
      <w:r w:rsidR="000C44E7">
        <w:rPr>
          <w:noProof/>
        </w:rPr>
        <w:fldChar w:fldCharType="end"/>
      </w:r>
      <w:bookmarkEnd w:id="55"/>
      <w:r w:rsidRPr="00E9279E">
        <w:t xml:space="preserve">: </w:t>
      </w:r>
      <w:r w:rsidR="0086249E" w:rsidRPr="00E9279E">
        <w:t xml:space="preserve">Study I3Y-MC-JPCF </w:t>
      </w:r>
      <w:r w:rsidR="004D5FD3" w:rsidRPr="00E9279E">
        <w:t xml:space="preserve">(MONACHE trial) </w:t>
      </w:r>
      <w:proofErr w:type="spellStart"/>
      <w:r w:rsidRPr="00E9279E">
        <w:t>Abemaciclib</w:t>
      </w:r>
      <w:proofErr w:type="spellEnd"/>
      <w:r w:rsidRPr="00E9279E">
        <w:t xml:space="preserve"> dose adjustments for treatment-emergent, related, and clinically significant adverse events</w:t>
      </w:r>
      <w:bookmarkEnd w:id="56"/>
    </w:p>
    <w:p w14:paraId="513084C7" w14:textId="5962D505" w:rsidR="004F1366" w:rsidRPr="00E9279E" w:rsidRDefault="004F1366" w:rsidP="00F86A77">
      <w:r w:rsidRPr="00E9279E">
        <w:rPr>
          <w:noProof/>
          <w:lang w:val="en-GB" w:eastAsia="en-GB"/>
        </w:rPr>
        <w:drawing>
          <wp:inline distT="0" distB="0" distL="0" distR="0" wp14:anchorId="3F930B37" wp14:editId="2DD520C8">
            <wp:extent cx="5223163" cy="6430844"/>
            <wp:effectExtent l="0" t="0" r="0" b="8255"/>
            <wp:docPr id="12" name="Picture 12" descr="Table 3: Study I3Y-MC-JPCF (MONACHE trial) Abemaciclib dose adjustments for treatment emergent, related, and clinically significant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 3: Study I3Y-MC-JPCF (MONACHE trial) Abemaciclib dose adjustments for treatment emergent, related, and clinically significant adverse events"/>
                    <pic:cNvPicPr/>
                  </pic:nvPicPr>
                  <pic:blipFill>
                    <a:blip r:embed="rId17"/>
                    <a:stretch>
                      <a:fillRect/>
                    </a:stretch>
                  </pic:blipFill>
                  <pic:spPr>
                    <a:xfrm>
                      <a:off x="0" y="0"/>
                      <a:ext cx="5226530" cy="6434990"/>
                    </a:xfrm>
                    <a:prstGeom prst="rect">
                      <a:avLst/>
                    </a:prstGeom>
                  </pic:spPr>
                </pic:pic>
              </a:graphicData>
            </a:graphic>
          </wp:inline>
        </w:drawing>
      </w:r>
    </w:p>
    <w:p w14:paraId="4F00905F" w14:textId="76887F4B" w:rsidR="00775BB9" w:rsidRPr="00E9279E" w:rsidRDefault="00775BB9" w:rsidP="00F86A77">
      <w:pPr>
        <w:pStyle w:val="TableDescription"/>
      </w:pPr>
      <w:r w:rsidRPr="00E9279E">
        <w:lastRenderedPageBreak/>
        <w:t xml:space="preserve">Abbreviations: ALT = alanine transaminase; ASCO = American Society of Clinical Oncology; </w:t>
      </w:r>
      <w:r w:rsidR="00B120DE" w:rsidRPr="00E9279E">
        <w:t xml:space="preserve">AST = aspartate transaminase; </w:t>
      </w:r>
      <w:r w:rsidRPr="00E9279E">
        <w:t>ILD = interstitial lung disease</w:t>
      </w:r>
      <w:r w:rsidR="00B120DE" w:rsidRPr="00E9279E">
        <w:t xml:space="preserve">; </w:t>
      </w:r>
      <w:r w:rsidR="006835FD" w:rsidRPr="00E9279E">
        <w:t xml:space="preserve">ULN = upper limit of normal; </w:t>
      </w:r>
      <w:r w:rsidR="00B120DE" w:rsidRPr="00E9279E">
        <w:t>VTE = venous thromboembolic event.</w:t>
      </w:r>
    </w:p>
    <w:p w14:paraId="248D39D8" w14:textId="5DEF41ED" w:rsidR="004F1366" w:rsidRPr="00E9279E" w:rsidRDefault="004F1366" w:rsidP="00F86A77">
      <w:pPr>
        <w:pStyle w:val="TableDescription"/>
      </w:pPr>
      <w:r w:rsidRPr="00E9279E">
        <w:t xml:space="preserve">Related means there is a reasonable causal relationship with </w:t>
      </w:r>
      <w:proofErr w:type="spellStart"/>
      <w:r w:rsidRPr="00E9279E">
        <w:t>abemaciclib</w:t>
      </w:r>
      <w:proofErr w:type="spellEnd"/>
      <w:r w:rsidR="00B120DE" w:rsidRPr="00E9279E">
        <w:t>.</w:t>
      </w:r>
    </w:p>
    <w:p w14:paraId="63AF6C31" w14:textId="4E0C912B" w:rsidR="00775BB9" w:rsidRPr="00E9279E" w:rsidRDefault="00775BB9" w:rsidP="00F86A77">
      <w:pPr>
        <w:pStyle w:val="TableDescription"/>
      </w:pPr>
      <w:r w:rsidRPr="00E9279E">
        <w:t>a Determination of persistent events will be at the discretion of the investigator. Recurrent toxicity refers to the same event occurring within the next 8 weeks (as measured from the stop date of the preceding event). As a general guidance, based on the risk</w:t>
      </w:r>
      <w:r w:rsidR="00B120DE" w:rsidRPr="00E9279E">
        <w:t>-</w:t>
      </w:r>
      <w:r w:rsidRPr="00E9279E">
        <w:t>benefit balance assessment per the investigator, for a patient who experiences a new episode of Grade 3 haematological toxicity after more than 8</w:t>
      </w:r>
      <w:r w:rsidR="00B120DE" w:rsidRPr="00E9279E">
        <w:t> </w:t>
      </w:r>
      <w:r w:rsidRPr="00E9279E">
        <w:t>weeks following the last episode of same Grade 3 haematological toxicity, the investigator may consider resuming the patient on the same drug dose should the patient satisfy the following conditions: the patient showed stable haematological counts (Grade 2</w:t>
      </w:r>
      <w:r w:rsidR="0083018A" w:rsidRPr="00E9279E">
        <w:t xml:space="preserve"> or lower</w:t>
      </w:r>
      <w:r w:rsidRPr="00E9279E">
        <w:t>) during that timeframe, in the absence of any infectious sign or risk factor, the patient is benefiting from study treatment</w:t>
      </w:r>
      <w:r w:rsidR="00971A2C" w:rsidRPr="00E9279E">
        <w:t>.</w:t>
      </w:r>
    </w:p>
    <w:p w14:paraId="5BD69247" w14:textId="507A7136" w:rsidR="00775BB9" w:rsidRPr="00E9279E" w:rsidRDefault="00775BB9" w:rsidP="00F86A77">
      <w:pPr>
        <w:pStyle w:val="TableDescription"/>
      </w:pPr>
      <w:r w:rsidRPr="00E9279E">
        <w:t xml:space="preserve">b Additional guidance for renal and hepatic monitoring is </w:t>
      </w:r>
      <w:r w:rsidR="00B120DE" w:rsidRPr="00E9279E">
        <w:t xml:space="preserve">beyond the scope of this </w:t>
      </w:r>
      <w:proofErr w:type="spellStart"/>
      <w:r w:rsidR="00B120DE" w:rsidRPr="00E9279E">
        <w:t>AusPAR</w:t>
      </w:r>
      <w:proofErr w:type="spellEnd"/>
      <w:r w:rsidRPr="00E9279E">
        <w:t>.</w:t>
      </w:r>
    </w:p>
    <w:p w14:paraId="51B69F02" w14:textId="7388D9A8" w:rsidR="00775BB9" w:rsidRPr="00E9279E" w:rsidRDefault="00775BB9" w:rsidP="00F86A77">
      <w:pPr>
        <w:pStyle w:val="TableDescription"/>
      </w:pPr>
      <w:r w:rsidRPr="00E9279E">
        <w:t xml:space="preserve">c Grade 3 ALT/AST increased is a trigger for additional assessments and possibly hepatic monitoring. </w:t>
      </w:r>
      <w:r w:rsidR="00B120DE" w:rsidRPr="00E9279E">
        <w:t>A</w:t>
      </w:r>
      <w:r w:rsidRPr="00E9279E">
        <w:t>dditional guidance for hepatic monitoring</w:t>
      </w:r>
      <w:r w:rsidR="00B120DE" w:rsidRPr="00E9279E">
        <w:t xml:space="preserve"> is beyond the scope of this </w:t>
      </w:r>
      <w:proofErr w:type="spellStart"/>
      <w:r w:rsidR="00B120DE" w:rsidRPr="00E9279E">
        <w:t>AusPAR</w:t>
      </w:r>
      <w:proofErr w:type="spellEnd"/>
      <w:r w:rsidRPr="00E9279E">
        <w:t>.</w:t>
      </w:r>
    </w:p>
    <w:p w14:paraId="65FEFB2C" w14:textId="7754D3DD" w:rsidR="00775BB9" w:rsidRPr="00E9279E" w:rsidRDefault="00775BB9" w:rsidP="00F86A77">
      <w:pPr>
        <w:pStyle w:val="TableDescription"/>
      </w:pPr>
      <w:r w:rsidRPr="00E9279E">
        <w:t xml:space="preserve">d </w:t>
      </w:r>
      <w:proofErr w:type="gramStart"/>
      <w:r w:rsidRPr="00E9279E">
        <w:t>For</w:t>
      </w:r>
      <w:proofErr w:type="gramEnd"/>
      <w:r w:rsidRPr="00E9279E">
        <w:t xml:space="preserve"> </w:t>
      </w:r>
      <w:r w:rsidR="00B120DE" w:rsidRPr="00E9279E">
        <w:t>VTE</w:t>
      </w:r>
      <w:r w:rsidRPr="00E9279E">
        <w:t xml:space="preserve">, dose reduction of </w:t>
      </w:r>
      <w:proofErr w:type="spellStart"/>
      <w:r w:rsidRPr="00E9279E">
        <w:t>abemaciclib</w:t>
      </w:r>
      <w:proofErr w:type="spellEnd"/>
      <w:r w:rsidRPr="00E9279E">
        <w:t xml:space="preserve"> will be at the discretion of the investigator.</w:t>
      </w:r>
    </w:p>
    <w:p w14:paraId="144BD3B2" w14:textId="474E16F5" w:rsidR="000B652C" w:rsidRPr="00E9279E" w:rsidRDefault="000B652C" w:rsidP="000B652C">
      <w:pPr>
        <w:pStyle w:val="Heading5"/>
      </w:pPr>
      <w:r w:rsidRPr="00E9279E">
        <w:t>Key inclusion criteria</w:t>
      </w:r>
    </w:p>
    <w:p w14:paraId="19D3991C" w14:textId="71029FF3" w:rsidR="004D5FD3" w:rsidRPr="00E9279E" w:rsidRDefault="004D5FD3" w:rsidP="008E65BE">
      <w:r w:rsidRPr="00E9279E">
        <w:t>Key inclusion criteria were:</w:t>
      </w:r>
    </w:p>
    <w:p w14:paraId="3C05112E" w14:textId="7DAB6CC3" w:rsidR="000B652C" w:rsidRPr="00E9279E" w:rsidRDefault="0031603E" w:rsidP="000B652C">
      <w:pPr>
        <w:pStyle w:val="ListBullet"/>
      </w:pPr>
      <w:r w:rsidRPr="00E9279E">
        <w:t xml:space="preserve">eighteen </w:t>
      </w:r>
      <w:r w:rsidR="00543134" w:rsidRPr="00E9279E">
        <w:t xml:space="preserve">(18) </w:t>
      </w:r>
      <w:r w:rsidR="000B652C" w:rsidRPr="00E9279E">
        <w:t>years</w:t>
      </w:r>
      <w:r w:rsidR="00543134" w:rsidRPr="00E9279E">
        <w:t xml:space="preserve"> and over</w:t>
      </w:r>
      <w:r w:rsidR="000B652C" w:rsidRPr="00E9279E">
        <w:t xml:space="preserve">, male and </w:t>
      </w:r>
      <w:proofErr w:type="gramStart"/>
      <w:r w:rsidR="000B652C" w:rsidRPr="00E9279E">
        <w:t>female</w:t>
      </w:r>
      <w:r w:rsidRPr="00E9279E">
        <w:t>;</w:t>
      </w:r>
      <w:proofErr w:type="gramEnd"/>
    </w:p>
    <w:p w14:paraId="2970F06C" w14:textId="00E77468" w:rsidR="000B652C" w:rsidRPr="00E9279E" w:rsidRDefault="0031603E" w:rsidP="000B652C">
      <w:pPr>
        <w:pStyle w:val="ListBullet"/>
      </w:pPr>
      <w:r w:rsidRPr="00E9279E">
        <w:t xml:space="preserve">confirmed </w:t>
      </w:r>
      <w:r w:rsidR="000B652C" w:rsidRPr="00E9279E">
        <w:t xml:space="preserve">HR+, HER2-, resected invasive </w:t>
      </w:r>
      <w:r w:rsidR="00C518AE" w:rsidRPr="00E9279E">
        <w:t>early breast cancer</w:t>
      </w:r>
      <w:r w:rsidR="000B652C" w:rsidRPr="00E9279E">
        <w:t xml:space="preserve"> without </w:t>
      </w:r>
      <w:proofErr w:type="gramStart"/>
      <w:r w:rsidR="000B652C" w:rsidRPr="00E9279E">
        <w:t>metastases</w:t>
      </w:r>
      <w:r w:rsidRPr="00E9279E">
        <w:t>;</w:t>
      </w:r>
      <w:proofErr w:type="gramEnd"/>
    </w:p>
    <w:p w14:paraId="6CC4297C" w14:textId="4B79F8AA" w:rsidR="000B652C" w:rsidRPr="00E9279E" w:rsidRDefault="0031603E" w:rsidP="000B652C">
      <w:pPr>
        <w:pStyle w:val="ListBullet"/>
      </w:pPr>
      <w:r w:rsidRPr="00E9279E">
        <w:t xml:space="preserve">randomised </w:t>
      </w:r>
      <w:r w:rsidR="000B652C" w:rsidRPr="00E9279E">
        <w:t>16 months</w:t>
      </w:r>
      <w:r w:rsidR="0083018A" w:rsidRPr="00E9279E">
        <w:t xml:space="preserve"> or less</w:t>
      </w:r>
      <w:r w:rsidR="000B652C" w:rsidRPr="00E9279E">
        <w:t xml:space="preserve"> of definitive surgery of primary breast tumour, and either</w:t>
      </w:r>
    </w:p>
    <w:p w14:paraId="3C787A79" w14:textId="21456C93" w:rsidR="000B652C" w:rsidRPr="00E9279E" w:rsidRDefault="000B652C" w:rsidP="000B652C">
      <w:pPr>
        <w:pStyle w:val="ListBullet2"/>
      </w:pPr>
      <w:r w:rsidRPr="00E9279E">
        <w:t>pathological tumour involvement in 4</w:t>
      </w:r>
      <w:r w:rsidR="0083018A" w:rsidRPr="00E9279E">
        <w:t xml:space="preserve"> or more</w:t>
      </w:r>
      <w:r w:rsidRPr="00E9279E">
        <w:t xml:space="preserve"> ipsilateral axillary lymph nodes (ALN)</w:t>
      </w:r>
      <w:r w:rsidR="0031603E" w:rsidRPr="00E9279E">
        <w:t>,</w:t>
      </w:r>
      <w:r w:rsidRPr="00E9279E">
        <w:t xml:space="preserve"> or</w:t>
      </w:r>
    </w:p>
    <w:p w14:paraId="74FF5AAE" w14:textId="13805D96" w:rsidR="000B652C" w:rsidRPr="00E9279E" w:rsidRDefault="000B652C" w:rsidP="000B652C">
      <w:pPr>
        <w:pStyle w:val="ListBullet2"/>
      </w:pPr>
      <w:r w:rsidRPr="00E9279E">
        <w:t xml:space="preserve">pathological tumour involvement in </w:t>
      </w:r>
      <w:r w:rsidR="00543134" w:rsidRPr="00E9279E">
        <w:t>one</w:t>
      </w:r>
      <w:r w:rsidRPr="00E9279E">
        <w:t xml:space="preserve"> to </w:t>
      </w:r>
      <w:r w:rsidR="00543134" w:rsidRPr="00E9279E">
        <w:t>three</w:t>
      </w:r>
      <w:r w:rsidRPr="00E9279E">
        <w:t xml:space="preserve"> ipsilateral ALN and Grade</w:t>
      </w:r>
      <w:r w:rsidR="00543134" w:rsidRPr="00E9279E">
        <w:t> </w:t>
      </w:r>
      <w:r w:rsidRPr="00E9279E">
        <w:t xml:space="preserve">3 disease or primary tumour size </w:t>
      </w:r>
      <w:r w:rsidR="0083018A" w:rsidRPr="00E9279E">
        <w:t xml:space="preserve">no less than </w:t>
      </w:r>
      <w:r w:rsidRPr="00E9279E">
        <w:t>5 cm or Ki-67 index of 20%</w:t>
      </w:r>
      <w:r w:rsidR="0083018A" w:rsidRPr="00E9279E">
        <w:t xml:space="preserve"> or </w:t>
      </w:r>
      <w:proofErr w:type="gramStart"/>
      <w:r w:rsidR="0083018A" w:rsidRPr="00E9279E">
        <w:t>higher</w:t>
      </w:r>
      <w:r w:rsidR="0031603E" w:rsidRPr="00E9279E">
        <w:t>;</w:t>
      </w:r>
      <w:proofErr w:type="gramEnd"/>
    </w:p>
    <w:p w14:paraId="0346C68B" w14:textId="2A612737" w:rsidR="000B652C" w:rsidRPr="00E9279E" w:rsidRDefault="0031603E" w:rsidP="000B652C">
      <w:pPr>
        <w:pStyle w:val="ListBullet"/>
        <w:rPr>
          <w:lang w:eastAsia="en-AU"/>
        </w:rPr>
      </w:pPr>
      <w:r w:rsidRPr="00E9279E">
        <w:rPr>
          <w:lang w:eastAsia="en-AU"/>
        </w:rPr>
        <w:t xml:space="preserve">neoadjuvant </w:t>
      </w:r>
      <w:r w:rsidR="000B652C" w:rsidRPr="00E9279E">
        <w:rPr>
          <w:lang w:eastAsia="en-AU"/>
        </w:rPr>
        <w:t xml:space="preserve">chemotherapy </w:t>
      </w:r>
      <w:proofErr w:type="gramStart"/>
      <w:r w:rsidR="000B652C" w:rsidRPr="00E9279E">
        <w:rPr>
          <w:lang w:eastAsia="en-AU"/>
        </w:rPr>
        <w:t>permitted</w:t>
      </w:r>
      <w:r w:rsidRPr="00E9279E">
        <w:rPr>
          <w:lang w:eastAsia="en-AU"/>
        </w:rPr>
        <w:t>;</w:t>
      </w:r>
      <w:proofErr w:type="gramEnd"/>
    </w:p>
    <w:p w14:paraId="4D3B6364" w14:textId="2A31B8E8" w:rsidR="000B652C" w:rsidRPr="00E9279E" w:rsidRDefault="0031603E" w:rsidP="000B652C">
      <w:pPr>
        <w:pStyle w:val="ListBullet"/>
        <w:rPr>
          <w:lang w:eastAsia="en-AU"/>
        </w:rPr>
      </w:pPr>
      <w:r w:rsidRPr="00E9279E">
        <w:rPr>
          <w:lang w:eastAsia="en-AU"/>
        </w:rPr>
        <w:t xml:space="preserve">adjuvant </w:t>
      </w:r>
      <w:r w:rsidR="000B652C" w:rsidRPr="00E9279E">
        <w:rPr>
          <w:lang w:eastAsia="en-AU"/>
        </w:rPr>
        <w:t>chemotherapy and radiotherapy permitted with washout periods of 21</w:t>
      </w:r>
      <w:r w:rsidR="00543134" w:rsidRPr="00E9279E">
        <w:rPr>
          <w:lang w:eastAsia="en-AU"/>
        </w:rPr>
        <w:t> </w:t>
      </w:r>
      <w:r w:rsidR="000B652C" w:rsidRPr="00E9279E">
        <w:rPr>
          <w:lang w:eastAsia="en-AU"/>
        </w:rPr>
        <w:t>days for chemotherapy or 14</w:t>
      </w:r>
      <w:r w:rsidR="00543134" w:rsidRPr="00E9279E">
        <w:rPr>
          <w:lang w:eastAsia="en-AU"/>
        </w:rPr>
        <w:t> </w:t>
      </w:r>
      <w:r w:rsidR="000B652C" w:rsidRPr="00E9279E">
        <w:rPr>
          <w:lang w:eastAsia="en-AU"/>
        </w:rPr>
        <w:t xml:space="preserve">days for radiotherapy before </w:t>
      </w:r>
      <w:proofErr w:type="gramStart"/>
      <w:r w:rsidR="000B652C" w:rsidRPr="00E9279E">
        <w:rPr>
          <w:lang w:eastAsia="en-AU"/>
        </w:rPr>
        <w:t>randomisation</w:t>
      </w:r>
      <w:r w:rsidRPr="00E9279E">
        <w:rPr>
          <w:lang w:eastAsia="en-AU"/>
        </w:rPr>
        <w:t>;</w:t>
      </w:r>
      <w:proofErr w:type="gramEnd"/>
    </w:p>
    <w:p w14:paraId="7A60C333" w14:textId="0A782B96" w:rsidR="000B652C" w:rsidRPr="00E9279E" w:rsidRDefault="0031603E" w:rsidP="000B652C">
      <w:pPr>
        <w:pStyle w:val="ListBullet"/>
        <w:rPr>
          <w:lang w:eastAsia="en-AU"/>
        </w:rPr>
      </w:pPr>
      <w:r w:rsidRPr="00E9279E">
        <w:rPr>
          <w:lang w:eastAsia="en-AU"/>
        </w:rPr>
        <w:t xml:space="preserve">twelve </w:t>
      </w:r>
      <w:r w:rsidR="000B652C" w:rsidRPr="00E9279E">
        <w:rPr>
          <w:lang w:eastAsia="en-AU"/>
        </w:rPr>
        <w:t>weeks</w:t>
      </w:r>
      <w:r w:rsidR="00543134" w:rsidRPr="00E9279E">
        <w:rPr>
          <w:lang w:eastAsia="en-AU"/>
        </w:rPr>
        <w:t xml:space="preserve"> or less</w:t>
      </w:r>
      <w:r w:rsidR="000B652C" w:rsidRPr="00E9279E">
        <w:rPr>
          <w:lang w:eastAsia="en-AU"/>
        </w:rPr>
        <w:t xml:space="preserve"> </w:t>
      </w:r>
      <w:r w:rsidR="00C518AE" w:rsidRPr="00E9279E">
        <w:rPr>
          <w:lang w:eastAsia="en-AU"/>
        </w:rPr>
        <w:t>endocrine therapy</w:t>
      </w:r>
      <w:r w:rsidR="000B652C" w:rsidRPr="00E9279E">
        <w:rPr>
          <w:lang w:eastAsia="en-AU"/>
        </w:rPr>
        <w:t xml:space="preserve"> before randomisation after last non</w:t>
      </w:r>
      <w:r w:rsidR="00543134" w:rsidRPr="00E9279E">
        <w:rPr>
          <w:lang w:eastAsia="en-AU"/>
        </w:rPr>
        <w:noBreakHyphen/>
      </w:r>
      <w:r w:rsidR="00C518AE" w:rsidRPr="00E9279E">
        <w:rPr>
          <w:lang w:eastAsia="en-AU"/>
        </w:rPr>
        <w:t xml:space="preserve">endocrine </w:t>
      </w:r>
      <w:proofErr w:type="gramStart"/>
      <w:r w:rsidR="00C518AE" w:rsidRPr="00E9279E">
        <w:rPr>
          <w:lang w:eastAsia="en-AU"/>
        </w:rPr>
        <w:t>therapy</w:t>
      </w:r>
      <w:r w:rsidRPr="00E9279E">
        <w:rPr>
          <w:lang w:eastAsia="en-AU"/>
        </w:rPr>
        <w:t>;</w:t>
      </w:r>
      <w:proofErr w:type="gramEnd"/>
    </w:p>
    <w:p w14:paraId="6D2D847E" w14:textId="7C9F3D4B" w:rsidR="000B652C" w:rsidRPr="00E9279E" w:rsidRDefault="0031603E" w:rsidP="000B652C">
      <w:pPr>
        <w:pStyle w:val="ListBullet"/>
        <w:rPr>
          <w:lang w:eastAsia="en-AU"/>
        </w:rPr>
      </w:pPr>
      <w:r w:rsidRPr="00E9279E">
        <w:rPr>
          <w:lang w:eastAsia="en-AU"/>
        </w:rPr>
        <w:t xml:space="preserve">adequate </w:t>
      </w:r>
      <w:r w:rsidR="000B652C" w:rsidRPr="00E9279E">
        <w:rPr>
          <w:lang w:eastAsia="en-AU"/>
        </w:rPr>
        <w:t>organ function</w:t>
      </w:r>
      <w:r w:rsidRPr="00E9279E">
        <w:rPr>
          <w:lang w:eastAsia="en-AU"/>
        </w:rPr>
        <w:t>:</w:t>
      </w:r>
    </w:p>
    <w:p w14:paraId="0640D77A" w14:textId="03FF6D45" w:rsidR="000B652C" w:rsidRPr="00E9279E" w:rsidRDefault="0031603E" w:rsidP="000B652C">
      <w:pPr>
        <w:pStyle w:val="ListBullet2"/>
        <w:rPr>
          <w:lang w:eastAsia="en-AU"/>
        </w:rPr>
      </w:pPr>
      <w:r w:rsidRPr="00E9279E">
        <w:rPr>
          <w:lang w:eastAsia="en-AU"/>
        </w:rPr>
        <w:t xml:space="preserve">absolute </w:t>
      </w:r>
      <w:r w:rsidR="00543134" w:rsidRPr="00E9279E">
        <w:rPr>
          <w:lang w:eastAsia="en-AU"/>
        </w:rPr>
        <w:t>neutrophil count</w:t>
      </w:r>
      <w:r w:rsidR="000B652C" w:rsidRPr="00E9279E">
        <w:rPr>
          <w:lang w:eastAsia="en-AU"/>
        </w:rPr>
        <w:t xml:space="preserve"> 1.5 x 10</w:t>
      </w:r>
      <w:r w:rsidR="000B652C" w:rsidRPr="00E9279E">
        <w:rPr>
          <w:vertAlign w:val="superscript"/>
          <w:lang w:eastAsia="en-AU"/>
        </w:rPr>
        <w:t>9</w:t>
      </w:r>
      <w:r w:rsidR="000B652C" w:rsidRPr="00E9279E">
        <w:rPr>
          <w:lang w:eastAsia="en-AU"/>
        </w:rPr>
        <w:t>/L</w:t>
      </w:r>
      <w:r w:rsidR="0083018A" w:rsidRPr="00E9279E">
        <w:rPr>
          <w:lang w:eastAsia="en-AU"/>
        </w:rPr>
        <w:t xml:space="preserve"> or higher</w:t>
      </w:r>
      <w:r w:rsidR="000B652C" w:rsidRPr="00E9279E">
        <w:rPr>
          <w:lang w:eastAsia="en-AU"/>
        </w:rPr>
        <w:t xml:space="preserve"> (without use of </w:t>
      </w:r>
      <w:r w:rsidR="00543134" w:rsidRPr="00E9279E">
        <w:rPr>
          <w:lang w:eastAsia="en-AU"/>
        </w:rPr>
        <w:t>granulocyte colony stimulating factor</w:t>
      </w:r>
      <w:r w:rsidR="000B652C" w:rsidRPr="00E9279E">
        <w:rPr>
          <w:lang w:eastAsia="en-AU"/>
        </w:rPr>
        <w:t>)</w:t>
      </w:r>
      <w:r w:rsidRPr="00E9279E">
        <w:rPr>
          <w:lang w:eastAsia="en-AU"/>
        </w:rPr>
        <w:t>,</w:t>
      </w:r>
    </w:p>
    <w:p w14:paraId="009726FC" w14:textId="4FAA6A3B" w:rsidR="000B652C" w:rsidRPr="00E9279E" w:rsidRDefault="0031603E" w:rsidP="000B652C">
      <w:pPr>
        <w:pStyle w:val="ListBullet2"/>
        <w:rPr>
          <w:lang w:eastAsia="en-AU"/>
        </w:rPr>
      </w:pPr>
      <w:r w:rsidRPr="00E9279E">
        <w:rPr>
          <w:lang w:eastAsia="en-AU"/>
        </w:rPr>
        <w:t xml:space="preserve">platelets </w:t>
      </w:r>
      <w:r w:rsidR="000B652C" w:rsidRPr="00E9279E">
        <w:rPr>
          <w:lang w:eastAsia="en-AU"/>
        </w:rPr>
        <w:t>100 x 10</w:t>
      </w:r>
      <w:r w:rsidR="000B652C" w:rsidRPr="00E9279E">
        <w:rPr>
          <w:vertAlign w:val="superscript"/>
          <w:lang w:eastAsia="en-AU"/>
        </w:rPr>
        <w:t>9</w:t>
      </w:r>
      <w:r w:rsidR="000B652C" w:rsidRPr="00E9279E">
        <w:rPr>
          <w:lang w:eastAsia="en-AU"/>
        </w:rPr>
        <w:t>/L</w:t>
      </w:r>
      <w:r w:rsidR="0083018A" w:rsidRPr="00E9279E">
        <w:rPr>
          <w:lang w:eastAsia="en-AU"/>
        </w:rPr>
        <w:t xml:space="preserve"> or higher</w:t>
      </w:r>
      <w:r w:rsidRPr="00E9279E">
        <w:rPr>
          <w:lang w:eastAsia="en-AU"/>
        </w:rPr>
        <w:t>,</w:t>
      </w:r>
    </w:p>
    <w:p w14:paraId="41BF45D9" w14:textId="4885EDC0" w:rsidR="000B652C" w:rsidRPr="00E9279E" w:rsidRDefault="0031603E" w:rsidP="000B652C">
      <w:pPr>
        <w:pStyle w:val="ListBullet2"/>
        <w:rPr>
          <w:lang w:eastAsia="en-AU"/>
        </w:rPr>
      </w:pPr>
      <w:r w:rsidRPr="00E9279E">
        <w:rPr>
          <w:lang w:eastAsia="en-AU"/>
        </w:rPr>
        <w:t xml:space="preserve">haemoglobin </w:t>
      </w:r>
      <w:r w:rsidR="000B652C" w:rsidRPr="00E9279E">
        <w:rPr>
          <w:lang w:eastAsia="en-AU"/>
        </w:rPr>
        <w:t>8 g/dL</w:t>
      </w:r>
      <w:r w:rsidR="0083018A" w:rsidRPr="00E9279E">
        <w:rPr>
          <w:lang w:eastAsia="en-AU"/>
        </w:rPr>
        <w:t xml:space="preserve"> or higher</w:t>
      </w:r>
      <w:r w:rsidRPr="00E9279E">
        <w:rPr>
          <w:lang w:eastAsia="en-AU"/>
        </w:rPr>
        <w:t>,</w:t>
      </w:r>
    </w:p>
    <w:p w14:paraId="61E7676E" w14:textId="04DD9E00" w:rsidR="000B652C" w:rsidRPr="00E9279E" w:rsidRDefault="0031603E" w:rsidP="000B652C">
      <w:pPr>
        <w:pStyle w:val="ListBullet2"/>
        <w:rPr>
          <w:lang w:eastAsia="en-AU"/>
        </w:rPr>
      </w:pPr>
      <w:r w:rsidRPr="00E9279E">
        <w:rPr>
          <w:lang w:eastAsia="en-AU"/>
        </w:rPr>
        <w:t xml:space="preserve">total </w:t>
      </w:r>
      <w:r w:rsidR="00543134" w:rsidRPr="00E9279E">
        <w:rPr>
          <w:lang w:eastAsia="en-AU"/>
        </w:rPr>
        <w:t xml:space="preserve">bilirubin </w:t>
      </w:r>
      <w:r w:rsidR="0083018A" w:rsidRPr="00E9279E">
        <w:t>less or equal to</w:t>
      </w:r>
      <w:r w:rsidR="0083018A" w:rsidRPr="00E9279E">
        <w:rPr>
          <w:lang w:eastAsia="en-AU"/>
        </w:rPr>
        <w:t xml:space="preserve"> </w:t>
      </w:r>
      <w:r w:rsidR="000B652C" w:rsidRPr="00E9279E">
        <w:rPr>
          <w:lang w:eastAsia="en-AU"/>
        </w:rPr>
        <w:t xml:space="preserve">1.5 x </w:t>
      </w:r>
      <w:r w:rsidR="00206B4F" w:rsidRPr="00E9279E">
        <w:rPr>
          <w:lang w:eastAsia="en-AU"/>
        </w:rPr>
        <w:t>upper limit of normal (</w:t>
      </w:r>
      <w:r w:rsidR="000B652C" w:rsidRPr="00E9279E">
        <w:rPr>
          <w:lang w:eastAsia="en-AU"/>
        </w:rPr>
        <w:t>ULN</w:t>
      </w:r>
      <w:r w:rsidR="00206B4F" w:rsidRPr="00E9279E">
        <w:rPr>
          <w:lang w:eastAsia="en-AU"/>
        </w:rPr>
        <w:t>)</w:t>
      </w:r>
      <w:r w:rsidR="000B652C" w:rsidRPr="00E9279E">
        <w:rPr>
          <w:lang w:eastAsia="en-AU"/>
        </w:rPr>
        <w:t xml:space="preserve"> (unless known Gilbert’s syndrome)</w:t>
      </w:r>
      <w:r w:rsidRPr="00E9279E">
        <w:rPr>
          <w:lang w:eastAsia="en-AU"/>
        </w:rPr>
        <w:t>,</w:t>
      </w:r>
    </w:p>
    <w:p w14:paraId="0577C4DA" w14:textId="0BF6C86D" w:rsidR="000B652C" w:rsidRPr="00E9279E" w:rsidRDefault="0031603E" w:rsidP="000B652C">
      <w:pPr>
        <w:pStyle w:val="ListBullet2"/>
        <w:rPr>
          <w:lang w:eastAsia="en-AU"/>
        </w:rPr>
      </w:pPr>
      <w:r w:rsidRPr="00E9279E">
        <w:rPr>
          <w:lang w:eastAsia="en-AU"/>
        </w:rPr>
        <w:t xml:space="preserve">alanine </w:t>
      </w:r>
      <w:r w:rsidR="00206B4F" w:rsidRPr="00E9279E">
        <w:rPr>
          <w:lang w:eastAsia="en-AU"/>
        </w:rPr>
        <w:t>aminotransferase (</w:t>
      </w:r>
      <w:r w:rsidR="000B652C" w:rsidRPr="00E9279E">
        <w:rPr>
          <w:lang w:eastAsia="en-AU"/>
        </w:rPr>
        <w:t>ALT</w:t>
      </w:r>
      <w:r w:rsidR="00206B4F" w:rsidRPr="00E9279E">
        <w:rPr>
          <w:lang w:eastAsia="en-AU"/>
        </w:rPr>
        <w:t>)</w:t>
      </w:r>
      <w:r w:rsidR="000B652C" w:rsidRPr="00E9279E">
        <w:rPr>
          <w:lang w:eastAsia="en-AU"/>
        </w:rPr>
        <w:t xml:space="preserve"> and </w:t>
      </w:r>
      <w:r w:rsidR="00206B4F" w:rsidRPr="00E9279E">
        <w:rPr>
          <w:lang w:eastAsia="en-AU"/>
        </w:rPr>
        <w:t>aspartate aminotransferase (</w:t>
      </w:r>
      <w:r w:rsidR="000B652C" w:rsidRPr="00E9279E">
        <w:rPr>
          <w:lang w:eastAsia="en-AU"/>
        </w:rPr>
        <w:t>AST</w:t>
      </w:r>
      <w:r w:rsidR="00206B4F" w:rsidRPr="00E9279E">
        <w:rPr>
          <w:lang w:eastAsia="en-AU"/>
        </w:rPr>
        <w:t>)</w:t>
      </w:r>
      <w:r w:rsidR="000B652C" w:rsidRPr="00E9279E">
        <w:rPr>
          <w:lang w:eastAsia="en-AU"/>
        </w:rPr>
        <w:t xml:space="preserve"> </w:t>
      </w:r>
      <w:r w:rsidR="0083018A" w:rsidRPr="00E9279E">
        <w:t>less or equal to</w:t>
      </w:r>
      <w:r w:rsidR="0083018A" w:rsidRPr="00E9279E">
        <w:rPr>
          <w:lang w:eastAsia="en-AU"/>
        </w:rPr>
        <w:t xml:space="preserve"> </w:t>
      </w:r>
      <w:r w:rsidR="000B652C" w:rsidRPr="00E9279E">
        <w:rPr>
          <w:lang w:eastAsia="en-AU"/>
        </w:rPr>
        <w:t xml:space="preserve">3 x </w:t>
      </w:r>
      <w:proofErr w:type="gramStart"/>
      <w:r w:rsidR="000B652C" w:rsidRPr="00E9279E">
        <w:rPr>
          <w:lang w:eastAsia="en-AU"/>
        </w:rPr>
        <w:t>ULN</w:t>
      </w:r>
      <w:r w:rsidRPr="00E9279E">
        <w:rPr>
          <w:lang w:eastAsia="en-AU"/>
        </w:rPr>
        <w:t>;</w:t>
      </w:r>
      <w:proofErr w:type="gramEnd"/>
    </w:p>
    <w:p w14:paraId="5BFC14D7" w14:textId="24EEDA95" w:rsidR="000B652C" w:rsidRPr="00E9279E" w:rsidRDefault="00596DFB" w:rsidP="000B652C">
      <w:pPr>
        <w:pStyle w:val="ListBullet"/>
      </w:pPr>
      <w:r w:rsidRPr="00E9279E">
        <w:t>Eastern Cooperative Oncology Group (</w:t>
      </w:r>
      <w:r w:rsidR="000B652C" w:rsidRPr="00E9279E">
        <w:t>ECOG</w:t>
      </w:r>
      <w:r w:rsidRPr="00E9279E">
        <w:t>)</w:t>
      </w:r>
      <w:r w:rsidR="000B652C" w:rsidRPr="00E9279E">
        <w:t xml:space="preserve"> </w:t>
      </w:r>
      <w:r w:rsidR="00543134" w:rsidRPr="00E9279E">
        <w:t>Performance Status</w:t>
      </w:r>
      <w:r w:rsidRPr="00E9279E">
        <w:t>;</w:t>
      </w:r>
      <w:bookmarkStart w:id="57" w:name="_Ref114682331"/>
      <w:r w:rsidRPr="00E9279E">
        <w:rPr>
          <w:rStyle w:val="FootnoteReference"/>
        </w:rPr>
        <w:footnoteReference w:id="29"/>
      </w:r>
      <w:bookmarkEnd w:id="57"/>
      <w:r w:rsidR="00543134" w:rsidRPr="00E9279E">
        <w:t xml:space="preserve"> </w:t>
      </w:r>
      <w:r w:rsidR="000B652C" w:rsidRPr="00E9279E">
        <w:t>0</w:t>
      </w:r>
      <w:r w:rsidR="00543134" w:rsidRPr="00E9279E">
        <w:t xml:space="preserve"> to </w:t>
      </w:r>
      <w:r w:rsidR="000B652C" w:rsidRPr="00E9279E">
        <w:t>1</w:t>
      </w:r>
      <w:r w:rsidR="0031603E" w:rsidRPr="00E9279E">
        <w:t>.</w:t>
      </w:r>
    </w:p>
    <w:p w14:paraId="01DCB4D9" w14:textId="0275CDB2" w:rsidR="000B652C" w:rsidRPr="00E9279E" w:rsidRDefault="000B652C" w:rsidP="000B652C">
      <w:pPr>
        <w:pStyle w:val="Heading5"/>
      </w:pPr>
      <w:r w:rsidRPr="00E9279E">
        <w:lastRenderedPageBreak/>
        <w:t>Key exclusion criteria</w:t>
      </w:r>
    </w:p>
    <w:p w14:paraId="7C60CF78" w14:textId="492FFF20" w:rsidR="004D5FD3" w:rsidRPr="00E9279E" w:rsidRDefault="004D5FD3" w:rsidP="008E65BE">
      <w:r w:rsidRPr="00E9279E">
        <w:t>Key exclusion criteria were:</w:t>
      </w:r>
    </w:p>
    <w:p w14:paraId="2AC7AF36" w14:textId="4800F8E8" w:rsidR="000B652C" w:rsidRPr="00E9279E" w:rsidRDefault="0031603E" w:rsidP="000B652C">
      <w:pPr>
        <w:pStyle w:val="ListBullet"/>
        <w:rPr>
          <w:lang w:eastAsia="en-AU"/>
        </w:rPr>
      </w:pPr>
      <w:r w:rsidRPr="00E9279E">
        <w:rPr>
          <w:lang w:eastAsia="en-AU"/>
        </w:rPr>
        <w:t xml:space="preserve">metastatic </w:t>
      </w:r>
      <w:proofErr w:type="gramStart"/>
      <w:r w:rsidR="000B652C" w:rsidRPr="00E9279E">
        <w:rPr>
          <w:lang w:eastAsia="en-AU"/>
        </w:rPr>
        <w:t>disease</w:t>
      </w:r>
      <w:r w:rsidRPr="00E9279E">
        <w:rPr>
          <w:lang w:eastAsia="en-AU"/>
        </w:rPr>
        <w:t>;</w:t>
      </w:r>
      <w:proofErr w:type="gramEnd"/>
    </w:p>
    <w:p w14:paraId="499965BC" w14:textId="6859C6E7" w:rsidR="000B652C" w:rsidRPr="00E9279E" w:rsidRDefault="0031603E" w:rsidP="000B652C">
      <w:pPr>
        <w:pStyle w:val="ListBullet"/>
      </w:pPr>
      <w:r w:rsidRPr="00E9279E">
        <w:t xml:space="preserve">node </w:t>
      </w:r>
      <w:r w:rsidR="000B652C" w:rsidRPr="00E9279E">
        <w:t xml:space="preserve">negative breast </w:t>
      </w:r>
      <w:proofErr w:type="gramStart"/>
      <w:r w:rsidR="000B652C" w:rsidRPr="00E9279E">
        <w:t>cancer</w:t>
      </w:r>
      <w:r w:rsidRPr="00E9279E">
        <w:t>;</w:t>
      </w:r>
      <w:proofErr w:type="gramEnd"/>
    </w:p>
    <w:p w14:paraId="1CE0C334" w14:textId="573077F7" w:rsidR="000B652C" w:rsidRPr="00E9279E" w:rsidRDefault="0031603E" w:rsidP="000B652C">
      <w:pPr>
        <w:pStyle w:val="ListBullet"/>
      </w:pPr>
      <w:r w:rsidRPr="00E9279E">
        <w:rPr>
          <w:lang w:eastAsia="en-AU"/>
        </w:rPr>
        <w:t xml:space="preserve">inflammatory </w:t>
      </w:r>
      <w:r w:rsidR="000B652C" w:rsidRPr="00E9279E">
        <w:rPr>
          <w:lang w:eastAsia="en-AU"/>
        </w:rPr>
        <w:t xml:space="preserve">breast </w:t>
      </w:r>
      <w:proofErr w:type="gramStart"/>
      <w:r w:rsidR="000B652C" w:rsidRPr="00E9279E">
        <w:rPr>
          <w:lang w:eastAsia="en-AU"/>
        </w:rPr>
        <w:t>cancer</w:t>
      </w:r>
      <w:r w:rsidRPr="00E9279E">
        <w:rPr>
          <w:lang w:eastAsia="en-AU"/>
        </w:rPr>
        <w:t>;</w:t>
      </w:r>
      <w:proofErr w:type="gramEnd"/>
    </w:p>
    <w:p w14:paraId="75AD5690" w14:textId="797715B8" w:rsidR="000B652C" w:rsidRPr="00E9279E" w:rsidRDefault="0031603E" w:rsidP="000B652C">
      <w:pPr>
        <w:pStyle w:val="ListBullet"/>
      </w:pPr>
      <w:r w:rsidRPr="00E9279E">
        <w:t xml:space="preserve">previous </w:t>
      </w:r>
      <w:r w:rsidR="000B652C" w:rsidRPr="00E9279E">
        <w:t>history of breast cancer (except ipsilateral ductal carcinoma</w:t>
      </w:r>
      <w:r w:rsidR="00543134" w:rsidRPr="00E9279E">
        <w:t xml:space="preserve"> </w:t>
      </w:r>
      <w:r w:rsidR="000B652C" w:rsidRPr="00E9279E">
        <w:rPr>
          <w:i/>
          <w:iCs/>
        </w:rPr>
        <w:t>in</w:t>
      </w:r>
      <w:r w:rsidR="00543134" w:rsidRPr="00E9279E">
        <w:rPr>
          <w:i/>
          <w:iCs/>
        </w:rPr>
        <w:t xml:space="preserve"> </w:t>
      </w:r>
      <w:r w:rsidR="000B652C" w:rsidRPr="00E9279E">
        <w:rPr>
          <w:i/>
          <w:iCs/>
        </w:rPr>
        <w:t>situ</w:t>
      </w:r>
      <w:r w:rsidR="000B652C" w:rsidRPr="00E9279E">
        <w:t xml:space="preserve"> treated with locoregional therapy alone </w:t>
      </w:r>
      <w:r w:rsidR="0083018A" w:rsidRPr="00E9279E">
        <w:t>no less than</w:t>
      </w:r>
      <w:r w:rsidR="000B652C" w:rsidRPr="00E9279E">
        <w:t xml:space="preserve"> 5 years ago</w:t>
      </w:r>
      <w:proofErr w:type="gramStart"/>
      <w:r w:rsidR="000B652C" w:rsidRPr="00E9279E">
        <w:t>)</w:t>
      </w:r>
      <w:r w:rsidRPr="00E9279E">
        <w:t>;</w:t>
      </w:r>
      <w:proofErr w:type="gramEnd"/>
    </w:p>
    <w:p w14:paraId="1E7B9815" w14:textId="68892FA0" w:rsidR="000B652C" w:rsidRPr="00E9279E" w:rsidRDefault="0031603E" w:rsidP="00DF5A16">
      <w:pPr>
        <w:pStyle w:val="ListBullet"/>
      </w:pPr>
      <w:r w:rsidRPr="00E9279E">
        <w:t xml:space="preserve">previous </w:t>
      </w:r>
      <w:r w:rsidR="000B652C" w:rsidRPr="00E9279E">
        <w:t xml:space="preserve">treatment with </w:t>
      </w:r>
      <w:r w:rsidR="00C518AE" w:rsidRPr="00E9279E">
        <w:t>endocrine therapy</w:t>
      </w:r>
      <w:r w:rsidR="000B652C" w:rsidRPr="00E9279E">
        <w:t xml:space="preserve"> for breast cancer prevention</w:t>
      </w:r>
      <w:r w:rsidR="008F576D" w:rsidRPr="00E9279E">
        <w:t xml:space="preserve"> or </w:t>
      </w:r>
      <w:proofErr w:type="gramStart"/>
      <w:r w:rsidR="008F576D" w:rsidRPr="00E9279E">
        <w:t>r</w:t>
      </w:r>
      <w:r w:rsidR="000B652C" w:rsidRPr="00E9279E">
        <w:t>aloxifene</w:t>
      </w:r>
      <w:r w:rsidRPr="00E9279E">
        <w:t>;</w:t>
      </w:r>
      <w:proofErr w:type="gramEnd"/>
    </w:p>
    <w:p w14:paraId="0686196D" w14:textId="71F4E9A9" w:rsidR="000B652C" w:rsidRPr="00E9279E" w:rsidRDefault="0031603E" w:rsidP="000B652C">
      <w:pPr>
        <w:pStyle w:val="ListBullet"/>
      </w:pPr>
      <w:r w:rsidRPr="00E9279E">
        <w:t xml:space="preserve">previous </w:t>
      </w:r>
      <w:r w:rsidR="000B652C" w:rsidRPr="00E9279E">
        <w:t xml:space="preserve">exposure to </w:t>
      </w:r>
      <w:r w:rsidR="00C365A9" w:rsidRPr="00E9279E">
        <w:t>cyclin-D dependent kinases 4 or 6 (</w:t>
      </w:r>
      <w:r w:rsidR="000B652C" w:rsidRPr="00E9279E">
        <w:t>CDK4</w:t>
      </w:r>
      <w:r w:rsidR="00C365A9" w:rsidRPr="00E9279E">
        <w:t xml:space="preserve"> or </w:t>
      </w:r>
      <w:r w:rsidR="000B652C" w:rsidRPr="00E9279E">
        <w:t>CDK6</w:t>
      </w:r>
      <w:r w:rsidR="00C365A9" w:rsidRPr="00E9279E">
        <w:t>)</w:t>
      </w:r>
      <w:r w:rsidR="000B652C" w:rsidRPr="00E9279E">
        <w:t xml:space="preserve"> </w:t>
      </w:r>
      <w:proofErr w:type="gramStart"/>
      <w:r w:rsidR="000B652C" w:rsidRPr="00E9279E">
        <w:t>inhibitors</w:t>
      </w:r>
      <w:r w:rsidRPr="00E9279E">
        <w:t>;</w:t>
      </w:r>
      <w:proofErr w:type="gramEnd"/>
    </w:p>
    <w:p w14:paraId="618A1C20" w14:textId="5BB4DEBF" w:rsidR="000B652C" w:rsidRPr="00E9279E" w:rsidRDefault="0031603E" w:rsidP="000B652C">
      <w:pPr>
        <w:pStyle w:val="ListBullet"/>
      </w:pPr>
      <w:r w:rsidRPr="00E9279E">
        <w:t xml:space="preserve">past </w:t>
      </w:r>
      <w:r w:rsidR="000B652C" w:rsidRPr="00E9279E">
        <w:t xml:space="preserve">history of any other cancer (except non-melanoma skin cancer, carcinoma in-situ of the cervix or in complete remission with no therapy for </w:t>
      </w:r>
      <w:r w:rsidR="0083018A" w:rsidRPr="00E9279E">
        <w:t>no less than</w:t>
      </w:r>
      <w:r w:rsidR="000B652C" w:rsidRPr="00E9279E">
        <w:t xml:space="preserve"> 5 years</w:t>
      </w:r>
      <w:proofErr w:type="gramStart"/>
      <w:r w:rsidR="000B652C" w:rsidRPr="00E9279E">
        <w:t>)</w:t>
      </w:r>
      <w:r w:rsidRPr="00E9279E">
        <w:t>;</w:t>
      </w:r>
      <w:proofErr w:type="gramEnd"/>
    </w:p>
    <w:p w14:paraId="0A65D3F1" w14:textId="44D22405" w:rsidR="000B652C" w:rsidRPr="00E9279E" w:rsidRDefault="0031603E" w:rsidP="000B652C">
      <w:pPr>
        <w:pStyle w:val="ListBullet"/>
      </w:pPr>
      <w:r w:rsidRPr="00E9279E">
        <w:t xml:space="preserve">concurrent </w:t>
      </w:r>
      <w:r w:rsidR="000B652C" w:rsidRPr="00E9279E">
        <w:t xml:space="preserve">exogenous reproductive hormone </w:t>
      </w:r>
      <w:proofErr w:type="gramStart"/>
      <w:r w:rsidR="000B652C" w:rsidRPr="00E9279E">
        <w:t>therapy</w:t>
      </w:r>
      <w:r w:rsidRPr="00E9279E">
        <w:t>;</w:t>
      </w:r>
      <w:proofErr w:type="gramEnd"/>
    </w:p>
    <w:p w14:paraId="552FEDEE" w14:textId="4CBCBD77" w:rsidR="000B652C" w:rsidRPr="00E9279E" w:rsidRDefault="0031603E" w:rsidP="000B652C">
      <w:pPr>
        <w:pStyle w:val="ListBullet"/>
      </w:pPr>
      <w:proofErr w:type="gramStart"/>
      <w:r w:rsidRPr="00E9279E">
        <w:t xml:space="preserve">past </w:t>
      </w:r>
      <w:r w:rsidR="000B652C" w:rsidRPr="00E9279E">
        <w:t>history</w:t>
      </w:r>
      <w:proofErr w:type="gramEnd"/>
      <w:r w:rsidR="000B652C" w:rsidRPr="00E9279E">
        <w:t xml:space="preserve"> of </w:t>
      </w:r>
      <w:r w:rsidR="00D008C9" w:rsidRPr="00E9279E">
        <w:t>venous thromboembolic event</w:t>
      </w:r>
      <w:r w:rsidR="000B652C" w:rsidRPr="00E9279E">
        <w:t>, syncope of cardiovascular aetiology, ventricular arrhythmia of pathological origin, sudden cardiac arrest, active systemic infection or viral load, serious pre-existing medical condition (</w:t>
      </w:r>
      <w:r w:rsidR="00033AC2" w:rsidRPr="00E9279E">
        <w:t>for example,</w:t>
      </w:r>
      <w:r w:rsidR="000B652C" w:rsidRPr="00E9279E">
        <w:t xml:space="preserve"> severe </w:t>
      </w:r>
      <w:r w:rsidR="008F576D" w:rsidRPr="00E9279E">
        <w:t>chronic kidney disease</w:t>
      </w:r>
      <w:r w:rsidR="000B652C" w:rsidRPr="00E9279E">
        <w:t xml:space="preserve">, </w:t>
      </w:r>
      <w:r w:rsidR="00C518AE" w:rsidRPr="00E9279E">
        <w:t>interstitial lung disease</w:t>
      </w:r>
      <w:r w:rsidR="000B652C" w:rsidRPr="00E9279E">
        <w:t xml:space="preserve">, </w:t>
      </w:r>
      <w:r w:rsidR="00BC618B" w:rsidRPr="00E9279E">
        <w:t>Inflammatory bowel disease</w:t>
      </w:r>
      <w:r w:rsidR="000B652C" w:rsidRPr="00E9279E">
        <w:t>, surgical resection of stomach or small intestine) and pregnancy or breastfeeding</w:t>
      </w:r>
      <w:r w:rsidRPr="00E9279E">
        <w:t>.</w:t>
      </w:r>
    </w:p>
    <w:p w14:paraId="558F3FD2" w14:textId="287381D7" w:rsidR="000B652C" w:rsidRPr="00E9279E" w:rsidRDefault="000B652C" w:rsidP="0036706A">
      <w:pPr>
        <w:pStyle w:val="Heading5"/>
      </w:pPr>
      <w:bookmarkStart w:id="58" w:name="_Ref118109245"/>
      <w:r w:rsidRPr="00E9279E">
        <w:t>Key definitions</w:t>
      </w:r>
      <w:bookmarkEnd w:id="58"/>
    </w:p>
    <w:p w14:paraId="3399A32F" w14:textId="3E8E63AD" w:rsidR="000B652C" w:rsidRPr="00E9279E" w:rsidRDefault="0036706A" w:rsidP="0036706A">
      <w:pPr>
        <w:pStyle w:val="Heading6"/>
      </w:pPr>
      <w:r w:rsidRPr="00E9279E">
        <w:t>High risk patients</w:t>
      </w:r>
    </w:p>
    <w:p w14:paraId="354985BD" w14:textId="57731DF6" w:rsidR="0036706A" w:rsidRPr="00E9279E" w:rsidRDefault="008F576D" w:rsidP="008F576D">
      <w:pPr>
        <w:pStyle w:val="ListBullet"/>
      </w:pPr>
      <w:r w:rsidRPr="00E9279E">
        <w:t>Four or more</w:t>
      </w:r>
      <w:r w:rsidR="0036706A" w:rsidRPr="00E9279E">
        <w:t xml:space="preserve"> positive axillary lymph nodes (</w:t>
      </w:r>
      <w:proofErr w:type="spellStart"/>
      <w:r w:rsidR="0036706A" w:rsidRPr="00E9279E">
        <w:t>pALN</w:t>
      </w:r>
      <w:proofErr w:type="spellEnd"/>
      <w:r w:rsidR="0036706A" w:rsidRPr="00E9279E">
        <w:t xml:space="preserve">) or </w:t>
      </w:r>
      <w:r w:rsidRPr="00E9279E">
        <w:t>one to three</w:t>
      </w:r>
      <w:r w:rsidR="0036706A" w:rsidRPr="00E9279E">
        <w:t xml:space="preserve"> </w:t>
      </w:r>
      <w:proofErr w:type="spellStart"/>
      <w:r w:rsidR="0036706A" w:rsidRPr="00E9279E">
        <w:t>pALN</w:t>
      </w:r>
      <w:proofErr w:type="spellEnd"/>
      <w:r w:rsidR="0036706A" w:rsidRPr="00E9279E">
        <w:t xml:space="preserve"> and </w:t>
      </w:r>
      <w:r w:rsidRPr="00E9279E">
        <w:t>one or more</w:t>
      </w:r>
      <w:r w:rsidR="0036706A" w:rsidRPr="00E9279E">
        <w:t xml:space="preserve"> of: Grade 3 disease, tumour size 5 cm</w:t>
      </w:r>
      <w:r w:rsidR="0083018A" w:rsidRPr="00E9279E">
        <w:t xml:space="preserve"> or larger</w:t>
      </w:r>
      <w:r w:rsidR="0036706A" w:rsidRPr="00E9279E">
        <w:t>, (Cohort 1)</w:t>
      </w:r>
      <w:r w:rsidR="00AB763E" w:rsidRPr="00E9279E">
        <w:t>.</w:t>
      </w:r>
    </w:p>
    <w:p w14:paraId="7447E585" w14:textId="1E8F34B6" w:rsidR="000B652C" w:rsidRPr="00E9279E" w:rsidRDefault="008F576D" w:rsidP="008F576D">
      <w:pPr>
        <w:pStyle w:val="ListBullet"/>
      </w:pPr>
      <w:r w:rsidRPr="00E9279E">
        <w:t>One to three</w:t>
      </w:r>
      <w:r w:rsidR="0036706A" w:rsidRPr="00E9279E">
        <w:t xml:space="preserve"> </w:t>
      </w:r>
      <w:proofErr w:type="spellStart"/>
      <w:r w:rsidR="0036706A" w:rsidRPr="00E9279E">
        <w:t>pALN</w:t>
      </w:r>
      <w:proofErr w:type="spellEnd"/>
      <w:r w:rsidR="0036706A" w:rsidRPr="00E9279E">
        <w:t xml:space="preserve"> and standardised Ki-67 </w:t>
      </w:r>
      <w:r w:rsidR="00A945C5" w:rsidRPr="00E9279E">
        <w:t xml:space="preserve">index of </w:t>
      </w:r>
      <w:r w:rsidR="0036706A" w:rsidRPr="00E9279E">
        <w:t>20% (Cohort 2)</w:t>
      </w:r>
      <w:r w:rsidR="0031603E" w:rsidRPr="00E9279E">
        <w:t>.</w:t>
      </w:r>
    </w:p>
    <w:p w14:paraId="0463ADC9" w14:textId="7441D090" w:rsidR="0036706A" w:rsidRPr="00E9279E" w:rsidRDefault="0036706A" w:rsidP="0036706A">
      <w:pPr>
        <w:pStyle w:val="Heading6"/>
        <w:rPr>
          <w:sz w:val="20"/>
          <w:szCs w:val="20"/>
        </w:rPr>
      </w:pPr>
      <w:r w:rsidRPr="00E9279E">
        <w:t xml:space="preserve">Invasive </w:t>
      </w:r>
      <w:r w:rsidR="005A2617" w:rsidRPr="00E9279E">
        <w:t>disease-free</w:t>
      </w:r>
      <w:r w:rsidR="008F576D" w:rsidRPr="00E9279E">
        <w:t xml:space="preserve"> survival events</w:t>
      </w:r>
    </w:p>
    <w:p w14:paraId="676EA8BA" w14:textId="25A8E7F9" w:rsidR="0036706A" w:rsidRPr="00E9279E" w:rsidRDefault="00F964B4" w:rsidP="0036706A">
      <w:r w:rsidRPr="00E9279E">
        <w:t>Standardised definitions for efficacy endpoints (</w:t>
      </w:r>
      <w:r w:rsidR="0036706A" w:rsidRPr="00E9279E">
        <w:t>STEEP</w:t>
      </w:r>
      <w:r w:rsidRPr="00E9279E">
        <w:t>)</w:t>
      </w:r>
      <w:r w:rsidR="0036706A" w:rsidRPr="00E9279E">
        <w:t xml:space="preserve"> criteria</w:t>
      </w:r>
      <w:r w:rsidR="00AB763E" w:rsidRPr="00E9279E">
        <w:t>:</w:t>
      </w:r>
      <w:r w:rsidRPr="00E9279E">
        <w:rPr>
          <w:rStyle w:val="FootnoteReference"/>
        </w:rPr>
        <w:footnoteReference w:id="30"/>
      </w:r>
    </w:p>
    <w:p w14:paraId="1B4BC36F" w14:textId="76E5FAA9" w:rsidR="0036706A" w:rsidRPr="00E9279E" w:rsidRDefault="0036706A" w:rsidP="0036706A">
      <w:pPr>
        <w:pStyle w:val="ListBullet"/>
      </w:pPr>
      <w:r w:rsidRPr="00E9279E">
        <w:t>Ipsilateral invasive breast tumour recurrence</w:t>
      </w:r>
      <w:r w:rsidR="0031603E" w:rsidRPr="00E9279E">
        <w:t>.</w:t>
      </w:r>
    </w:p>
    <w:p w14:paraId="44954753" w14:textId="6FCE2FB6" w:rsidR="0036706A" w:rsidRPr="00E9279E" w:rsidRDefault="0036706A" w:rsidP="0036706A">
      <w:pPr>
        <w:pStyle w:val="ListBullet"/>
      </w:pPr>
      <w:r w:rsidRPr="00E9279E">
        <w:t>Regional invasive breast cancer recurrence (ipsilateral axilla, regional lymph nodes, chest wall)</w:t>
      </w:r>
      <w:r w:rsidR="0031603E" w:rsidRPr="00E9279E">
        <w:t>.</w:t>
      </w:r>
    </w:p>
    <w:p w14:paraId="2DDE185D" w14:textId="54093EF2" w:rsidR="0036706A" w:rsidRPr="00E9279E" w:rsidRDefault="0036706A" w:rsidP="0036706A">
      <w:pPr>
        <w:pStyle w:val="ListBullet"/>
      </w:pPr>
      <w:r w:rsidRPr="00E9279E">
        <w:t>Distant recurrence: metastatic disease biopsy confirmed or clinically diagnosed as recurrent invasive breast cancer</w:t>
      </w:r>
      <w:r w:rsidR="0031603E" w:rsidRPr="00E9279E">
        <w:t>.</w:t>
      </w:r>
    </w:p>
    <w:p w14:paraId="3C598020" w14:textId="01C09E10" w:rsidR="0036706A" w:rsidRPr="00E9279E" w:rsidRDefault="0036706A" w:rsidP="0036706A">
      <w:pPr>
        <w:pStyle w:val="ListBullet"/>
      </w:pPr>
      <w:r w:rsidRPr="00E9279E">
        <w:t>Death from any cause</w:t>
      </w:r>
      <w:r w:rsidR="0031603E" w:rsidRPr="00E9279E">
        <w:t>.</w:t>
      </w:r>
    </w:p>
    <w:p w14:paraId="50952B62" w14:textId="557C7E9D" w:rsidR="0036706A" w:rsidRPr="00E9279E" w:rsidRDefault="0036706A" w:rsidP="0036706A">
      <w:pPr>
        <w:pStyle w:val="ListBullet"/>
      </w:pPr>
      <w:r w:rsidRPr="00E9279E">
        <w:t>Contralateral invasive breast cancer</w:t>
      </w:r>
      <w:r w:rsidR="0031603E" w:rsidRPr="00E9279E">
        <w:t>.</w:t>
      </w:r>
    </w:p>
    <w:p w14:paraId="16FA3F1C" w14:textId="24122CB9" w:rsidR="0036706A" w:rsidRPr="00E9279E" w:rsidRDefault="0036706A" w:rsidP="0036706A">
      <w:pPr>
        <w:pStyle w:val="ListBullet"/>
      </w:pPr>
      <w:r w:rsidRPr="00E9279E">
        <w:rPr>
          <w:lang w:eastAsia="en-AU"/>
        </w:rPr>
        <w:t>Second primary non-breast invasive cancer</w:t>
      </w:r>
      <w:r w:rsidR="0031603E" w:rsidRPr="00E9279E">
        <w:rPr>
          <w:lang w:eastAsia="en-AU"/>
        </w:rPr>
        <w:t>.</w:t>
      </w:r>
    </w:p>
    <w:p w14:paraId="144E0A4F" w14:textId="7271C85D" w:rsidR="000B652C" w:rsidRPr="00E9279E" w:rsidRDefault="000B652C" w:rsidP="000B652C">
      <w:pPr>
        <w:pStyle w:val="Heading5"/>
      </w:pPr>
      <w:r w:rsidRPr="00E9279E">
        <w:lastRenderedPageBreak/>
        <w:t xml:space="preserve">Efficacy </w:t>
      </w:r>
      <w:r w:rsidR="008F576D" w:rsidRPr="00E9279E">
        <w:t>e</w:t>
      </w:r>
      <w:r w:rsidRPr="00E9279E">
        <w:t>ndpoints</w:t>
      </w:r>
    </w:p>
    <w:p w14:paraId="7282205A" w14:textId="77777777" w:rsidR="000B652C" w:rsidRPr="00E9279E" w:rsidRDefault="000B652C" w:rsidP="000B652C">
      <w:pPr>
        <w:pStyle w:val="Heading6"/>
        <w:rPr>
          <w:szCs w:val="22"/>
        </w:rPr>
      </w:pPr>
      <w:r w:rsidRPr="00E9279E">
        <w:t>Primary endpoint</w:t>
      </w:r>
    </w:p>
    <w:p w14:paraId="1FA9EE03" w14:textId="242A2D0E" w:rsidR="000B652C" w:rsidRPr="00E9279E" w:rsidRDefault="000B652C" w:rsidP="000B652C">
      <w:r w:rsidRPr="00E9279E">
        <w:t xml:space="preserve">Invasive </w:t>
      </w:r>
      <w:r w:rsidR="005A2617" w:rsidRPr="00E9279E">
        <w:t>disease-free</w:t>
      </w:r>
      <w:r w:rsidR="008F576D" w:rsidRPr="00E9279E">
        <w:t xml:space="preserve"> survival </w:t>
      </w:r>
      <w:r w:rsidRPr="00E9279E">
        <w:t xml:space="preserve">(IDFS) </w:t>
      </w:r>
      <w:proofErr w:type="spellStart"/>
      <w:r w:rsidRPr="00E9279E">
        <w:t>abemaciclib</w:t>
      </w:r>
      <w:proofErr w:type="spellEnd"/>
      <w:r w:rsidRPr="00E9279E">
        <w:t xml:space="preserve"> </w:t>
      </w:r>
      <w:r w:rsidR="000C71AD" w:rsidRPr="00E9279E">
        <w:t xml:space="preserve">plus </w:t>
      </w:r>
      <w:r w:rsidR="00C518AE" w:rsidRPr="00E9279E">
        <w:t>endocrine therapy</w:t>
      </w:r>
      <w:r w:rsidRPr="00E9279E">
        <w:t xml:space="preserve"> </w:t>
      </w:r>
      <w:r w:rsidR="00033AC2" w:rsidRPr="00E9279E">
        <w:t>versus</w:t>
      </w:r>
      <w:r w:rsidRPr="00E9279E">
        <w:t xml:space="preserve"> </w:t>
      </w:r>
      <w:r w:rsidR="00C518AE" w:rsidRPr="00E9279E">
        <w:t>endocrine therapy</w:t>
      </w:r>
      <w:r w:rsidRPr="00E9279E">
        <w:t xml:space="preserve"> alone with HR+, HER2- </w:t>
      </w:r>
      <w:r w:rsidR="00C518AE" w:rsidRPr="00E9279E">
        <w:t>early breast cancer</w:t>
      </w:r>
      <w:r w:rsidRPr="00E9279E">
        <w:t xml:space="preserve"> (STEEP criteria) at </w:t>
      </w:r>
      <w:r w:rsidR="00D008C9" w:rsidRPr="00E9279E">
        <w:t>Interim Analysis</w:t>
      </w:r>
      <w:r w:rsidR="008F576D" w:rsidRPr="00E9279E">
        <w:t> </w:t>
      </w:r>
      <w:r w:rsidR="00D008C9" w:rsidRPr="00E9279E">
        <w:t>2</w:t>
      </w:r>
      <w:r w:rsidR="008F576D" w:rsidRPr="00E9279E">
        <w:t>.</w:t>
      </w:r>
    </w:p>
    <w:p w14:paraId="36C8E81A" w14:textId="77777777" w:rsidR="004D5FD3" w:rsidRPr="00E9279E" w:rsidRDefault="000B652C" w:rsidP="000B652C">
      <w:pPr>
        <w:pStyle w:val="Heading6"/>
      </w:pPr>
      <w:r w:rsidRPr="00E9279E">
        <w:t>Secondary endpoints</w:t>
      </w:r>
    </w:p>
    <w:p w14:paraId="551CBAC3" w14:textId="4A538AE8" w:rsidR="000B652C" w:rsidRPr="00E9279E" w:rsidRDefault="004D5FD3" w:rsidP="008E65BE">
      <w:r w:rsidRPr="00E9279E">
        <w:t>Secondary endpoints were:</w:t>
      </w:r>
    </w:p>
    <w:p w14:paraId="4A35A43B" w14:textId="6D8E090A" w:rsidR="000B652C" w:rsidRPr="00E9279E" w:rsidRDefault="008F576D" w:rsidP="000B652C">
      <w:pPr>
        <w:pStyle w:val="ListBullet"/>
        <w:rPr>
          <w:lang w:val="en-US" w:eastAsia="en-AU"/>
        </w:rPr>
      </w:pPr>
      <w:r w:rsidRPr="00E9279E">
        <w:t xml:space="preserve">Invasive </w:t>
      </w:r>
      <w:r w:rsidR="005A2617" w:rsidRPr="00E9279E">
        <w:t>disease-free</w:t>
      </w:r>
      <w:r w:rsidRPr="00E9279E">
        <w:t xml:space="preserve"> survival (</w:t>
      </w:r>
      <w:r w:rsidR="000B652C" w:rsidRPr="00E9279E">
        <w:rPr>
          <w:lang w:val="en-US" w:eastAsia="en-AU"/>
        </w:rPr>
        <w:t>IDFS</w:t>
      </w:r>
      <w:r w:rsidRPr="00E9279E">
        <w:rPr>
          <w:lang w:val="en-US" w:eastAsia="en-AU"/>
        </w:rPr>
        <w:t>)</w:t>
      </w:r>
      <w:r w:rsidR="000B652C" w:rsidRPr="00E9279E">
        <w:rPr>
          <w:lang w:val="en-US" w:eastAsia="en-AU"/>
        </w:rPr>
        <w:t xml:space="preserve"> </w:t>
      </w:r>
      <w:proofErr w:type="spellStart"/>
      <w:r w:rsidR="000B652C" w:rsidRPr="00E9279E">
        <w:rPr>
          <w:lang w:val="en-US" w:eastAsia="en-AU"/>
        </w:rPr>
        <w:t>abemaciclib</w:t>
      </w:r>
      <w:proofErr w:type="spellEnd"/>
      <w:r w:rsidR="000B652C" w:rsidRPr="00E9279E">
        <w:rPr>
          <w:lang w:val="en-US" w:eastAsia="en-AU"/>
        </w:rPr>
        <w:t xml:space="preserve"> </w:t>
      </w:r>
      <w:r w:rsidR="000C71AD" w:rsidRPr="00E9279E">
        <w:t>plus</w:t>
      </w:r>
      <w:r w:rsidR="000C71AD" w:rsidRPr="00E9279E">
        <w:rPr>
          <w:lang w:val="en-US" w:eastAsia="en-AU"/>
        </w:rPr>
        <w:t xml:space="preserve"> </w:t>
      </w:r>
      <w:r w:rsidR="00C518AE" w:rsidRPr="00E9279E">
        <w:rPr>
          <w:lang w:val="en-US" w:eastAsia="en-AU"/>
        </w:rPr>
        <w:t>endocrine therapy</w:t>
      </w:r>
      <w:r w:rsidR="000B652C" w:rsidRPr="00E9279E">
        <w:rPr>
          <w:lang w:val="en-US" w:eastAsia="en-AU"/>
        </w:rPr>
        <w:t xml:space="preserve"> </w:t>
      </w:r>
      <w:r w:rsidR="00033AC2" w:rsidRPr="00E9279E">
        <w:rPr>
          <w:lang w:val="en-US" w:eastAsia="en-AU"/>
        </w:rPr>
        <w:t>versus</w:t>
      </w:r>
      <w:r w:rsidR="000B652C" w:rsidRPr="00E9279E">
        <w:rPr>
          <w:lang w:val="en-US" w:eastAsia="en-AU"/>
        </w:rPr>
        <w:t xml:space="preserve"> </w:t>
      </w:r>
      <w:r w:rsidR="00C518AE" w:rsidRPr="00E9279E">
        <w:rPr>
          <w:lang w:val="en-US" w:eastAsia="en-AU"/>
        </w:rPr>
        <w:t>endocrine therapy</w:t>
      </w:r>
      <w:r w:rsidR="000B652C" w:rsidRPr="00E9279E">
        <w:rPr>
          <w:lang w:val="en-US" w:eastAsia="en-AU"/>
        </w:rPr>
        <w:t xml:space="preserve"> alone with HR+, HER2- </w:t>
      </w:r>
      <w:r w:rsidR="00C518AE" w:rsidRPr="00E9279E">
        <w:t>early breast cancer</w:t>
      </w:r>
      <w:r w:rsidR="000B652C" w:rsidRPr="00E9279E">
        <w:rPr>
          <w:lang w:val="en-US" w:eastAsia="en-AU"/>
        </w:rPr>
        <w:t xml:space="preserve"> with pre-treatment Ki</w:t>
      </w:r>
      <w:r w:rsidRPr="00E9279E">
        <w:rPr>
          <w:lang w:val="en-US" w:eastAsia="en-AU"/>
        </w:rPr>
        <w:noBreakHyphen/>
      </w:r>
      <w:r w:rsidR="000B652C" w:rsidRPr="00E9279E">
        <w:rPr>
          <w:lang w:val="en-US" w:eastAsia="en-AU"/>
        </w:rPr>
        <w:t xml:space="preserve">67 </w:t>
      </w:r>
      <w:r w:rsidR="00314F25" w:rsidRPr="00E9279E">
        <w:rPr>
          <w:lang w:val="en-US" w:eastAsia="en-AU"/>
        </w:rPr>
        <w:t>index of 20% or higher</w:t>
      </w:r>
      <w:r w:rsidR="000B652C" w:rsidRPr="00E9279E">
        <w:rPr>
          <w:lang w:val="en-US" w:eastAsia="en-AU"/>
        </w:rPr>
        <w:t xml:space="preserve"> by central lab</w:t>
      </w:r>
      <w:r w:rsidRPr="00E9279E">
        <w:rPr>
          <w:lang w:val="en-US" w:eastAsia="en-AU"/>
        </w:rPr>
        <w:t>.</w:t>
      </w:r>
    </w:p>
    <w:p w14:paraId="06EA39AA" w14:textId="0323A33C" w:rsidR="000B652C" w:rsidRPr="00E9279E" w:rsidRDefault="000B652C" w:rsidP="000B652C">
      <w:pPr>
        <w:pStyle w:val="ListBullet"/>
        <w:rPr>
          <w:lang w:eastAsia="en-AU"/>
        </w:rPr>
      </w:pPr>
      <w:r w:rsidRPr="00E9279E">
        <w:rPr>
          <w:lang w:eastAsia="en-AU"/>
        </w:rPr>
        <w:t xml:space="preserve">Distant </w:t>
      </w:r>
      <w:r w:rsidR="00EA612F" w:rsidRPr="00E9279E">
        <w:rPr>
          <w:lang w:eastAsia="en-AU"/>
        </w:rPr>
        <w:t xml:space="preserve">recurrence-free survival </w:t>
      </w:r>
      <w:r w:rsidRPr="00E9279E">
        <w:rPr>
          <w:lang w:eastAsia="en-AU"/>
        </w:rPr>
        <w:t>(DRFS):</w:t>
      </w:r>
      <w:r w:rsidRPr="00E9279E">
        <w:rPr>
          <w:lang w:val="en-US" w:eastAsia="en-AU"/>
        </w:rPr>
        <w:t xml:space="preserve"> </w:t>
      </w:r>
      <w:proofErr w:type="spellStart"/>
      <w:r w:rsidRPr="00E9279E">
        <w:rPr>
          <w:lang w:val="en-US" w:eastAsia="en-AU"/>
        </w:rPr>
        <w:t>abemaciclib</w:t>
      </w:r>
      <w:proofErr w:type="spellEnd"/>
      <w:r w:rsidRPr="00E9279E">
        <w:rPr>
          <w:lang w:val="en-US" w:eastAsia="en-AU"/>
        </w:rPr>
        <w:t xml:space="preserve"> </w:t>
      </w:r>
      <w:r w:rsidR="000C71AD" w:rsidRPr="00E9279E">
        <w:t>plus</w:t>
      </w:r>
      <w:r w:rsidR="000C71AD" w:rsidRPr="00E9279E">
        <w:rPr>
          <w:lang w:val="en-US" w:eastAsia="en-AU"/>
        </w:rPr>
        <w:t xml:space="preserve"> </w:t>
      </w:r>
      <w:r w:rsidR="00C518AE" w:rsidRPr="00E9279E">
        <w:rPr>
          <w:lang w:val="en-US" w:eastAsia="en-AU"/>
        </w:rPr>
        <w:t>endocrine therapy</w:t>
      </w:r>
      <w:r w:rsidRPr="00E9279E">
        <w:rPr>
          <w:lang w:val="en-US" w:eastAsia="en-AU"/>
        </w:rPr>
        <w:t xml:space="preserve"> </w:t>
      </w:r>
      <w:r w:rsidR="00033AC2" w:rsidRPr="00E9279E">
        <w:rPr>
          <w:lang w:val="en-US" w:eastAsia="en-AU"/>
        </w:rPr>
        <w:t>versus</w:t>
      </w:r>
      <w:r w:rsidRPr="00E9279E">
        <w:rPr>
          <w:lang w:val="en-US" w:eastAsia="en-AU"/>
        </w:rPr>
        <w:t xml:space="preserve"> </w:t>
      </w:r>
      <w:r w:rsidR="00C518AE" w:rsidRPr="00E9279E">
        <w:rPr>
          <w:lang w:val="en-US" w:eastAsia="en-AU"/>
        </w:rPr>
        <w:t>endocrine therapy</w:t>
      </w:r>
      <w:r w:rsidRPr="00E9279E">
        <w:rPr>
          <w:lang w:val="en-US" w:eastAsia="en-AU"/>
        </w:rPr>
        <w:t xml:space="preserve"> alone with HR+, HER2- </w:t>
      </w:r>
      <w:r w:rsidR="00C518AE" w:rsidRPr="00E9279E">
        <w:t>early breast cancer</w:t>
      </w:r>
      <w:r w:rsidR="008F576D" w:rsidRPr="00E9279E">
        <w:t>.</w:t>
      </w:r>
    </w:p>
    <w:p w14:paraId="62B2D425" w14:textId="5AE790DA" w:rsidR="000B652C" w:rsidRPr="00E9279E" w:rsidRDefault="009B5BCF" w:rsidP="009B5BCF">
      <w:pPr>
        <w:pStyle w:val="ListBullet"/>
      </w:pPr>
      <w:r w:rsidRPr="00E9279E">
        <w:t>Overall survival (</w:t>
      </w:r>
      <w:r w:rsidR="000B652C" w:rsidRPr="00E9279E">
        <w:t>OS</w:t>
      </w:r>
      <w:r w:rsidRPr="00E9279E">
        <w:t>)</w:t>
      </w:r>
      <w:r w:rsidR="000B652C" w:rsidRPr="00E9279E">
        <w:t xml:space="preserve"> </w:t>
      </w:r>
      <w:proofErr w:type="spellStart"/>
      <w:r w:rsidR="000B652C" w:rsidRPr="00E9279E">
        <w:t>abemaciclib</w:t>
      </w:r>
      <w:proofErr w:type="spellEnd"/>
      <w:r w:rsidR="000B652C" w:rsidRPr="00E9279E">
        <w:t xml:space="preserve"> </w:t>
      </w:r>
      <w:r w:rsidR="000C71AD" w:rsidRPr="00E9279E">
        <w:t xml:space="preserve">plus </w:t>
      </w:r>
      <w:r w:rsidR="00C518AE" w:rsidRPr="00E9279E">
        <w:t>endocrine therapy</w:t>
      </w:r>
      <w:r w:rsidR="000B652C" w:rsidRPr="00E9279E">
        <w:t xml:space="preserve"> </w:t>
      </w:r>
      <w:r w:rsidR="00033AC2" w:rsidRPr="00E9279E">
        <w:t>versus</w:t>
      </w:r>
      <w:r w:rsidR="000B652C" w:rsidRPr="00E9279E">
        <w:t xml:space="preserve"> </w:t>
      </w:r>
      <w:r w:rsidR="00C518AE" w:rsidRPr="00E9279E">
        <w:t>endocrine therapy</w:t>
      </w:r>
      <w:r w:rsidR="000B652C" w:rsidRPr="00E9279E">
        <w:t xml:space="preserve"> alone with HR+, HER2- </w:t>
      </w:r>
      <w:r w:rsidR="00C518AE" w:rsidRPr="00E9279E">
        <w:t>early breast cancer</w:t>
      </w:r>
      <w:r w:rsidR="008F576D" w:rsidRPr="00E9279E">
        <w:t>.</w:t>
      </w:r>
    </w:p>
    <w:p w14:paraId="239F1310" w14:textId="43A0748B" w:rsidR="000B652C" w:rsidRPr="00E9279E" w:rsidRDefault="000B652C" w:rsidP="000B652C">
      <w:pPr>
        <w:pStyle w:val="Heading6"/>
        <w:rPr>
          <w:lang w:val="en-US"/>
        </w:rPr>
      </w:pPr>
      <w:r w:rsidRPr="00E9279E">
        <w:rPr>
          <w:lang w:val="en-US"/>
        </w:rPr>
        <w:t>Exploratory</w:t>
      </w:r>
      <w:r w:rsidR="004D5FD3" w:rsidRPr="00E9279E">
        <w:rPr>
          <w:lang w:val="en-US"/>
        </w:rPr>
        <w:t xml:space="preserve"> endpoints</w:t>
      </w:r>
    </w:p>
    <w:p w14:paraId="1D329FBC" w14:textId="0204BB1B" w:rsidR="000B652C" w:rsidRPr="00E9279E" w:rsidRDefault="00314F25" w:rsidP="000B652C">
      <w:r w:rsidRPr="00E9279E">
        <w:t>Analyses of patient</w:t>
      </w:r>
      <w:r w:rsidR="002F37A9" w:rsidRPr="00E9279E">
        <w:t>-</w:t>
      </w:r>
      <w:r w:rsidRPr="00E9279E">
        <w:t>related outcomes w</w:t>
      </w:r>
      <w:r w:rsidR="004D5FD3" w:rsidRPr="00E9279E">
        <w:t>ere</w:t>
      </w:r>
      <w:r w:rsidRPr="00E9279E">
        <w:t xml:space="preserve"> exploratory.</w:t>
      </w:r>
    </w:p>
    <w:p w14:paraId="7045F9EB" w14:textId="4232C9AC" w:rsidR="000B652C" w:rsidRPr="00E9279E" w:rsidRDefault="000B652C" w:rsidP="0036706A">
      <w:pPr>
        <w:pStyle w:val="Heading5"/>
        <w:rPr>
          <w:lang w:val="en-US"/>
        </w:rPr>
      </w:pPr>
      <w:r w:rsidRPr="00E9279E">
        <w:rPr>
          <w:lang w:val="en-US"/>
        </w:rPr>
        <w:t>Statistics</w:t>
      </w:r>
    </w:p>
    <w:p w14:paraId="7C762ACF" w14:textId="53C5980E" w:rsidR="0036706A" w:rsidRPr="00E9279E" w:rsidRDefault="00B83187" w:rsidP="0036706A">
      <w:r w:rsidRPr="00E9279E">
        <w:t>Patients were randomised within the 2 cohorts in 1:1 ratio.</w:t>
      </w:r>
    </w:p>
    <w:p w14:paraId="5576B835" w14:textId="773422CA" w:rsidR="0036706A" w:rsidRPr="00E9279E" w:rsidRDefault="0036706A" w:rsidP="0036706A">
      <w:pPr>
        <w:pStyle w:val="Heading6"/>
        <w:rPr>
          <w:szCs w:val="22"/>
        </w:rPr>
      </w:pPr>
      <w:r w:rsidRPr="00E9279E">
        <w:t xml:space="preserve">Statistical </w:t>
      </w:r>
      <w:r w:rsidR="008F576D" w:rsidRPr="00E9279E">
        <w:t>analysis plan</w:t>
      </w:r>
    </w:p>
    <w:p w14:paraId="5C553485" w14:textId="7C86E526" w:rsidR="0036706A" w:rsidRPr="00E9279E" w:rsidRDefault="00314F25" w:rsidP="0036706A">
      <w:r w:rsidRPr="00E9279E">
        <w:t>The statistical analysis plan was amended 4 time</w:t>
      </w:r>
      <w:r w:rsidR="0036706A" w:rsidRPr="00E9279E">
        <w:t xml:space="preserve">. Futility analysis </w:t>
      </w:r>
      <w:r w:rsidRPr="00E9279E">
        <w:t xml:space="preserve">was </w:t>
      </w:r>
      <w:r w:rsidR="0036706A" w:rsidRPr="00E9279E">
        <w:t xml:space="preserve">added to </w:t>
      </w:r>
      <w:r w:rsidR="00D008C9" w:rsidRPr="00E9279E">
        <w:t>Interim Analysis 2</w:t>
      </w:r>
      <w:r w:rsidR="0036706A" w:rsidRPr="00E9279E">
        <w:t xml:space="preserve"> (29 May 2020)</w:t>
      </w:r>
      <w:r w:rsidRPr="00E9279E">
        <w:t>,</w:t>
      </w:r>
      <w:r w:rsidR="0036706A" w:rsidRPr="00E9279E">
        <w:t xml:space="preserve"> declared for </w:t>
      </w:r>
      <w:r w:rsidR="00D008C9" w:rsidRPr="00E9279E">
        <w:t>Interim Analysis 2</w:t>
      </w:r>
      <w:r w:rsidR="0036706A" w:rsidRPr="00E9279E">
        <w:t xml:space="preserve"> if IDFS </w:t>
      </w:r>
      <w:r w:rsidR="005C6FDB" w:rsidRPr="00E9279E">
        <w:t>hazard ratio</w:t>
      </w:r>
      <w:r w:rsidR="0036706A" w:rsidRPr="00E9279E">
        <w:t xml:space="preserve"> </w:t>
      </w:r>
      <w:r w:rsidR="0088412E" w:rsidRPr="00E9279E">
        <w:t>greater than</w:t>
      </w:r>
      <w:r w:rsidR="008F576D" w:rsidRPr="00E9279E">
        <w:t xml:space="preserve"> </w:t>
      </w:r>
      <w:r w:rsidR="0036706A" w:rsidRPr="00E9279E">
        <w:t>0.95</w:t>
      </w:r>
      <w:r w:rsidR="008F576D" w:rsidRPr="00E9279E">
        <w:t>.</w:t>
      </w:r>
    </w:p>
    <w:p w14:paraId="3942A308" w14:textId="77777777" w:rsidR="0036706A" w:rsidRPr="00E9279E" w:rsidRDefault="0036706A" w:rsidP="0036706A">
      <w:pPr>
        <w:pStyle w:val="Heading6"/>
        <w:rPr>
          <w:szCs w:val="22"/>
        </w:rPr>
      </w:pPr>
      <w:r w:rsidRPr="00E9279E">
        <w:t>Analyses</w:t>
      </w:r>
    </w:p>
    <w:p w14:paraId="4BCCACC1" w14:textId="4D5DE998" w:rsidR="0036706A" w:rsidRPr="00E9279E" w:rsidRDefault="00542D6F" w:rsidP="0036706A">
      <w:r w:rsidRPr="00E9279E">
        <w:t>There were t</w:t>
      </w:r>
      <w:r w:rsidR="008F576D" w:rsidRPr="00E9279E">
        <w:t xml:space="preserve">wo </w:t>
      </w:r>
      <w:r w:rsidR="0036706A" w:rsidRPr="00E9279E">
        <w:t xml:space="preserve">planned interim analyses and </w:t>
      </w:r>
      <w:r w:rsidR="008F576D" w:rsidRPr="00E9279E">
        <w:t>one</w:t>
      </w:r>
      <w:r w:rsidR="0036706A" w:rsidRPr="00E9279E">
        <w:t xml:space="preserve"> </w:t>
      </w:r>
      <w:r w:rsidRPr="00E9279E">
        <w:t xml:space="preserve">planned </w:t>
      </w:r>
      <w:r w:rsidR="0036706A" w:rsidRPr="00E9279E">
        <w:t>final analysis, after 195, 293</w:t>
      </w:r>
      <w:r w:rsidRPr="00E9279E">
        <w:t xml:space="preserve"> and </w:t>
      </w:r>
      <w:r w:rsidR="0036706A" w:rsidRPr="00E9279E">
        <w:t>390 events respectively</w:t>
      </w:r>
      <w:r w:rsidRPr="00E9279E">
        <w:t xml:space="preserve"> </w:t>
      </w:r>
      <w:r w:rsidR="00AB763E" w:rsidRPr="00E9279E">
        <w:t>have</w:t>
      </w:r>
      <w:r w:rsidRPr="00E9279E">
        <w:t xml:space="preserve"> been observed in the </w:t>
      </w:r>
      <w:r w:rsidR="0036706A" w:rsidRPr="00E9279E">
        <w:t xml:space="preserve">ITT population. Pre-specified criteria for a positive study </w:t>
      </w:r>
      <w:r w:rsidR="00AB763E" w:rsidRPr="00E9279E">
        <w:t>were</w:t>
      </w:r>
      <w:r w:rsidRPr="00E9279E">
        <w:t xml:space="preserve"> </w:t>
      </w:r>
      <w:r w:rsidR="0036706A" w:rsidRPr="00E9279E">
        <w:t xml:space="preserve">met at </w:t>
      </w:r>
      <w:r w:rsidR="00D008C9" w:rsidRPr="00E9279E">
        <w:t>Interim</w:t>
      </w:r>
      <w:r w:rsidR="008F576D" w:rsidRPr="00E9279E">
        <w:t> </w:t>
      </w:r>
      <w:r w:rsidR="00D008C9" w:rsidRPr="00E9279E">
        <w:t>Analysis 2</w:t>
      </w:r>
      <w:r w:rsidR="0036706A" w:rsidRPr="00E9279E">
        <w:t xml:space="preserve">. Results for final IDFS </w:t>
      </w:r>
      <w:r w:rsidRPr="00E9279E">
        <w:t xml:space="preserve">were </w:t>
      </w:r>
      <w:r w:rsidR="0036706A" w:rsidRPr="00E9279E">
        <w:t>included in submission. Missing data were not imputed (except dates).</w:t>
      </w:r>
    </w:p>
    <w:p w14:paraId="31216527" w14:textId="77777777" w:rsidR="0036706A" w:rsidRPr="00E9279E" w:rsidRDefault="0036706A" w:rsidP="0036706A">
      <w:pPr>
        <w:pStyle w:val="Heading6"/>
        <w:rPr>
          <w:szCs w:val="22"/>
        </w:rPr>
      </w:pPr>
      <w:r w:rsidRPr="00E9279E">
        <w:t>Power</w:t>
      </w:r>
    </w:p>
    <w:p w14:paraId="060C4B2C" w14:textId="2C1A79F3" w:rsidR="0036706A" w:rsidRPr="00E9279E" w:rsidRDefault="00542D6F" w:rsidP="0036706A">
      <w:r w:rsidRPr="00E9279E">
        <w:t>The study was powered to a</w:t>
      </w:r>
      <w:r w:rsidR="008F576D" w:rsidRPr="00E9279E">
        <w:t xml:space="preserve">pproximately </w:t>
      </w:r>
      <w:r w:rsidR="0036706A" w:rsidRPr="00E9279E">
        <w:t xml:space="preserve">85% assuming an IDFS hazard ratio of 0.73, cumulative </w:t>
      </w:r>
      <w:r w:rsidR="008F576D" w:rsidRPr="00E9279E">
        <w:t>one</w:t>
      </w:r>
      <w:r w:rsidR="0036706A" w:rsidRPr="00E9279E">
        <w:t>-sided alpha of 0.025 and approximately 390 events from across Cohort</w:t>
      </w:r>
      <w:r w:rsidR="00AB763E" w:rsidRPr="00E9279E">
        <w:t> </w:t>
      </w:r>
      <w:r w:rsidR="0036706A" w:rsidRPr="00E9279E">
        <w:t>1 and Cohort 2 by the time of the primary analysis after accounting for the interim efficacy and futility analyses.</w:t>
      </w:r>
    </w:p>
    <w:p w14:paraId="57455962" w14:textId="77777777" w:rsidR="0036706A" w:rsidRPr="00E9279E" w:rsidRDefault="0036706A" w:rsidP="0036706A">
      <w:pPr>
        <w:pStyle w:val="Heading6"/>
        <w:rPr>
          <w:szCs w:val="22"/>
        </w:rPr>
      </w:pPr>
      <w:r w:rsidRPr="00E9279E">
        <w:t>Sample size</w:t>
      </w:r>
    </w:p>
    <w:p w14:paraId="20AC8F68" w14:textId="247B3A53" w:rsidR="0036706A" w:rsidRPr="00E9279E" w:rsidRDefault="00542D6F" w:rsidP="0036706A">
      <w:r w:rsidRPr="00E9279E">
        <w:t xml:space="preserve">A sample size of </w:t>
      </w:r>
      <w:r w:rsidR="0036706A" w:rsidRPr="00E9279E">
        <w:t xml:space="preserve">4,580 patients </w:t>
      </w:r>
      <w:r w:rsidRPr="00E9279E">
        <w:t xml:space="preserve">was determined to be </w:t>
      </w:r>
      <w:r w:rsidR="0036706A" w:rsidRPr="00E9279E">
        <w:t>required based on enrolment rates, time from randomisation to observation of approximately 390 events of approximately 4</w:t>
      </w:r>
      <w:r w:rsidR="008F576D" w:rsidRPr="00E9279E">
        <w:t> </w:t>
      </w:r>
      <w:r w:rsidR="0036706A" w:rsidRPr="00E9279E">
        <w:t>years under the alternative hypothesis (</w:t>
      </w:r>
      <w:r w:rsidR="00D0041E" w:rsidRPr="00E9279E">
        <w:t xml:space="preserve">hazard ratio </w:t>
      </w:r>
      <w:r w:rsidR="00AE2B37" w:rsidRPr="00E9279E">
        <w:t>of</w:t>
      </w:r>
      <w:r w:rsidR="0036706A" w:rsidRPr="00E9279E">
        <w:t xml:space="preserve"> 0.73), 5-year IDFS rate of 82.5% in the control and 10% drop-out rate over the first 5 years.</w:t>
      </w:r>
    </w:p>
    <w:p w14:paraId="4495232E" w14:textId="76E74710" w:rsidR="0036706A" w:rsidRPr="00E9279E" w:rsidRDefault="00AE2B37" w:rsidP="0036706A">
      <w:pPr>
        <w:pStyle w:val="Heading6"/>
        <w:rPr>
          <w:szCs w:val="22"/>
        </w:rPr>
      </w:pPr>
      <w:r w:rsidRPr="00E9279E">
        <w:t>Statistical methods</w:t>
      </w:r>
    </w:p>
    <w:p w14:paraId="17065A02" w14:textId="44C59C12" w:rsidR="0036706A" w:rsidRPr="00E9279E" w:rsidRDefault="008F576D" w:rsidP="0036706A">
      <w:r w:rsidRPr="00E9279E">
        <w:t>Log</w:t>
      </w:r>
      <w:r w:rsidR="005A2617" w:rsidRPr="00E9279E">
        <w:t>-</w:t>
      </w:r>
      <w:r w:rsidR="0036706A" w:rsidRPr="00E9279E">
        <w:t xml:space="preserve">rank test </w:t>
      </w:r>
      <w:r w:rsidR="00AE2B37" w:rsidRPr="00E9279E">
        <w:t xml:space="preserve">was </w:t>
      </w:r>
      <w:r w:rsidR="0036706A" w:rsidRPr="00E9279E">
        <w:t xml:space="preserve">stratified by randomisation factors to test superiority of </w:t>
      </w:r>
      <w:proofErr w:type="spellStart"/>
      <w:r w:rsidR="0036706A" w:rsidRPr="00E9279E">
        <w:t>abemaciclib</w:t>
      </w:r>
      <w:proofErr w:type="spellEnd"/>
      <w:r w:rsidR="0036706A" w:rsidRPr="00E9279E">
        <w:t xml:space="preserve"> </w:t>
      </w:r>
      <w:r w:rsidR="000C71AD" w:rsidRPr="00E9279E">
        <w:t>plus</w:t>
      </w:r>
      <w:r w:rsidR="0036706A" w:rsidRPr="00E9279E">
        <w:t xml:space="preserve"> </w:t>
      </w:r>
      <w:r w:rsidR="00C518AE" w:rsidRPr="00E9279E">
        <w:t>endocrine therapy</w:t>
      </w:r>
      <w:r w:rsidR="0036706A" w:rsidRPr="00E9279E">
        <w:t xml:space="preserve"> </w:t>
      </w:r>
      <w:r w:rsidR="00033AC2" w:rsidRPr="00E9279E">
        <w:t>versus</w:t>
      </w:r>
      <w:r w:rsidR="0036706A" w:rsidRPr="00E9279E">
        <w:t xml:space="preserve"> </w:t>
      </w:r>
      <w:r w:rsidR="00C518AE" w:rsidRPr="00E9279E">
        <w:t>endocrine therapy</w:t>
      </w:r>
      <w:r w:rsidR="0036706A" w:rsidRPr="00E9279E">
        <w:t xml:space="preserve"> on IDFS </w:t>
      </w:r>
      <w:r w:rsidR="00AE2B37" w:rsidRPr="00E9279E">
        <w:t xml:space="preserve">in the </w:t>
      </w:r>
      <w:r w:rsidR="0036706A" w:rsidRPr="00E9279E">
        <w:t>ITT population</w:t>
      </w:r>
      <w:r w:rsidR="00AE2B37" w:rsidRPr="00E9279E">
        <w:t>. A</w:t>
      </w:r>
      <w:r w:rsidR="0036706A" w:rsidRPr="00E9279E">
        <w:t xml:space="preserve"> stratified Cox</w:t>
      </w:r>
      <w:r w:rsidR="005A2617" w:rsidRPr="00E9279E">
        <w:noBreakHyphen/>
      </w:r>
      <w:r w:rsidR="0036706A" w:rsidRPr="00E9279E">
        <w:t xml:space="preserve">proportional hazard model with treatment as a factor </w:t>
      </w:r>
      <w:r w:rsidR="00AE2B37" w:rsidRPr="00E9279E">
        <w:t xml:space="preserve">was used </w:t>
      </w:r>
      <w:r w:rsidR="0036706A" w:rsidRPr="00E9279E">
        <w:t xml:space="preserve">to estimate the </w:t>
      </w:r>
      <w:r w:rsidR="00D0041E" w:rsidRPr="00E9279E">
        <w:t>hazard ratio</w:t>
      </w:r>
      <w:r w:rsidR="0036706A" w:rsidRPr="00E9279E">
        <w:t xml:space="preserve"> between the 2 treatment arms (95% </w:t>
      </w:r>
      <w:r w:rsidR="005550FE" w:rsidRPr="00E9279E">
        <w:t>CI</w:t>
      </w:r>
      <w:r w:rsidR="0036706A" w:rsidRPr="00E9279E">
        <w:t>) and Wald p-value</w:t>
      </w:r>
      <w:r w:rsidR="00AE2B37" w:rsidRPr="00E9279E">
        <w:t>.</w:t>
      </w:r>
      <w:r w:rsidR="0036706A" w:rsidRPr="00E9279E">
        <w:t xml:space="preserve"> Kaplan-Meier method </w:t>
      </w:r>
      <w:r w:rsidR="00AE2B37" w:rsidRPr="00E9279E">
        <w:t xml:space="preserve">was used to </w:t>
      </w:r>
      <w:r w:rsidR="0036706A" w:rsidRPr="00E9279E">
        <w:t>estimate the IDFS curve for each treatment arm.</w:t>
      </w:r>
    </w:p>
    <w:p w14:paraId="1B94A9D9" w14:textId="77777777" w:rsidR="0036706A" w:rsidRPr="00E9279E" w:rsidRDefault="0036706A" w:rsidP="00AE2B37">
      <w:pPr>
        <w:pStyle w:val="Heading7"/>
        <w:rPr>
          <w:sz w:val="22"/>
          <w:szCs w:val="28"/>
        </w:rPr>
      </w:pPr>
      <w:r w:rsidRPr="00E9279E">
        <w:rPr>
          <w:sz w:val="22"/>
          <w:szCs w:val="28"/>
        </w:rPr>
        <w:lastRenderedPageBreak/>
        <w:t>Fixed alpha spending approach</w:t>
      </w:r>
    </w:p>
    <w:p w14:paraId="3144AC72" w14:textId="271FDF8D" w:rsidR="0036706A" w:rsidRPr="00E9279E" w:rsidRDefault="005550FE" w:rsidP="0036706A">
      <w:pPr>
        <w:pStyle w:val="ListBullet"/>
        <w:rPr>
          <w:color w:val="000000" w:themeColor="text1"/>
          <w:szCs w:val="20"/>
          <w:lang w:eastAsia="en-AU"/>
        </w:rPr>
      </w:pPr>
      <w:r w:rsidRPr="00E9279E">
        <w:rPr>
          <w:lang w:eastAsia="en-AU"/>
        </w:rPr>
        <w:t>Cumulative one</w:t>
      </w:r>
      <w:r w:rsidR="0036706A" w:rsidRPr="00E9279E">
        <w:rPr>
          <w:lang w:eastAsia="en-AU"/>
        </w:rPr>
        <w:t>-sided alpha was controlled at 0.025, with alpha split of 0.00000001 for futility analysis and 0.02499999 for planned efficacy analyses (</w:t>
      </w:r>
      <w:r w:rsidR="00D008C9" w:rsidRPr="00E9279E">
        <w:t>Interim Analysis</w:t>
      </w:r>
      <w:r w:rsidRPr="00E9279E">
        <w:t> </w:t>
      </w:r>
      <w:r w:rsidR="00D008C9" w:rsidRPr="00E9279E">
        <w:t>1</w:t>
      </w:r>
      <w:r w:rsidR="0036706A" w:rsidRPr="00E9279E">
        <w:rPr>
          <w:lang w:eastAsia="en-AU"/>
        </w:rPr>
        <w:t xml:space="preserve">, </w:t>
      </w:r>
      <w:r w:rsidR="00D008C9" w:rsidRPr="00E9279E">
        <w:t>Interim Analysis 2</w:t>
      </w:r>
      <w:r w:rsidR="0036706A" w:rsidRPr="00E9279E">
        <w:rPr>
          <w:lang w:eastAsia="en-AU"/>
        </w:rPr>
        <w:t xml:space="preserve"> and final), maintained using the Lan-</w:t>
      </w:r>
      <w:proofErr w:type="spellStart"/>
      <w:r w:rsidR="0036706A" w:rsidRPr="00E9279E">
        <w:rPr>
          <w:lang w:eastAsia="en-AU"/>
        </w:rPr>
        <w:t>DeMets</w:t>
      </w:r>
      <w:proofErr w:type="spellEnd"/>
      <w:r w:rsidR="0036706A" w:rsidRPr="00E9279E">
        <w:rPr>
          <w:lang w:eastAsia="en-AU"/>
        </w:rPr>
        <w:t xml:space="preserve"> method with an O’Brien-Fleming type stopping boundary.</w:t>
      </w:r>
    </w:p>
    <w:p w14:paraId="32985740" w14:textId="2B41542C" w:rsidR="0036706A" w:rsidRPr="00E9279E" w:rsidRDefault="005550FE" w:rsidP="0036706A">
      <w:pPr>
        <w:pStyle w:val="ListBullet"/>
        <w:rPr>
          <w:lang w:eastAsia="en-AU"/>
        </w:rPr>
      </w:pPr>
      <w:r w:rsidRPr="00E9279E">
        <w:rPr>
          <w:lang w:eastAsia="en-AU"/>
        </w:rPr>
        <w:t xml:space="preserve">Sequential </w:t>
      </w:r>
      <w:r w:rsidR="0036706A" w:rsidRPr="00E9279E">
        <w:rPr>
          <w:lang w:eastAsia="en-AU"/>
        </w:rPr>
        <w:t>gate</w:t>
      </w:r>
      <w:r w:rsidRPr="00E9279E">
        <w:rPr>
          <w:lang w:eastAsia="en-AU"/>
        </w:rPr>
        <w:t xml:space="preserve"> </w:t>
      </w:r>
      <w:r w:rsidR="0036706A" w:rsidRPr="00E9279E">
        <w:rPr>
          <w:lang w:eastAsia="en-AU"/>
        </w:rPr>
        <w:t>keeping strategy was utilised to control the family</w:t>
      </w:r>
      <w:r w:rsidRPr="00E9279E">
        <w:rPr>
          <w:lang w:eastAsia="en-AU"/>
        </w:rPr>
        <w:t xml:space="preserve"> </w:t>
      </w:r>
      <w:r w:rsidR="0036706A" w:rsidRPr="00E9279E">
        <w:rPr>
          <w:lang w:eastAsia="en-AU"/>
        </w:rPr>
        <w:t>wise type I error at 0.025 (</w:t>
      </w:r>
      <w:r w:rsidRPr="00E9279E">
        <w:rPr>
          <w:lang w:eastAsia="en-AU"/>
        </w:rPr>
        <w:t>one</w:t>
      </w:r>
      <w:r w:rsidR="0036706A" w:rsidRPr="00E9279E">
        <w:rPr>
          <w:lang w:eastAsia="en-AU"/>
        </w:rPr>
        <w:t>-sided) for IDFS in ITT, Ki</w:t>
      </w:r>
      <w:r w:rsidR="004D5FD3" w:rsidRPr="00E9279E">
        <w:rPr>
          <w:lang w:eastAsia="en-AU"/>
        </w:rPr>
        <w:t>-</w:t>
      </w:r>
      <w:r w:rsidR="0036706A" w:rsidRPr="00E9279E">
        <w:rPr>
          <w:lang w:eastAsia="en-AU"/>
        </w:rPr>
        <w:t>67</w:t>
      </w:r>
      <w:r w:rsidR="002F37A9" w:rsidRPr="00E9279E">
        <w:rPr>
          <w:lang w:eastAsia="en-AU"/>
        </w:rPr>
        <w:t xml:space="preserve"> high</w:t>
      </w:r>
      <w:r w:rsidR="0036706A" w:rsidRPr="00E9279E">
        <w:rPr>
          <w:lang w:eastAsia="en-AU"/>
        </w:rPr>
        <w:t xml:space="preserve"> and C</w:t>
      </w:r>
      <w:r w:rsidR="00EA612F" w:rsidRPr="00E9279E">
        <w:rPr>
          <w:lang w:eastAsia="en-AU"/>
        </w:rPr>
        <w:t xml:space="preserve">ohort </w:t>
      </w:r>
      <w:r w:rsidR="0036706A" w:rsidRPr="00E9279E">
        <w:rPr>
          <w:lang w:eastAsia="en-AU"/>
        </w:rPr>
        <w:t>1</w:t>
      </w:r>
      <w:r w:rsidR="00EA612F" w:rsidRPr="00E9279E">
        <w:rPr>
          <w:lang w:eastAsia="en-AU"/>
        </w:rPr>
        <w:t xml:space="preserve"> </w:t>
      </w:r>
      <w:r w:rsidR="002F37A9" w:rsidRPr="00E9279E">
        <w:rPr>
          <w:lang w:eastAsia="en-AU"/>
        </w:rPr>
        <w:t>Ki</w:t>
      </w:r>
      <w:r w:rsidR="004D5FD3" w:rsidRPr="00E9279E">
        <w:rPr>
          <w:lang w:eastAsia="en-AU"/>
        </w:rPr>
        <w:t>-</w:t>
      </w:r>
      <w:r w:rsidR="002F37A9" w:rsidRPr="00E9279E">
        <w:rPr>
          <w:lang w:eastAsia="en-AU"/>
        </w:rPr>
        <w:t>67 high</w:t>
      </w:r>
      <w:r w:rsidR="0036706A" w:rsidRPr="00E9279E">
        <w:rPr>
          <w:lang w:eastAsia="en-AU"/>
        </w:rPr>
        <w:t xml:space="preserve"> populations. IDFS was tested hierarchically as follows:</w:t>
      </w:r>
    </w:p>
    <w:p w14:paraId="1957F0D1" w14:textId="684A7DF6" w:rsidR="0036706A" w:rsidRPr="00E9279E" w:rsidRDefault="002F37A9" w:rsidP="0036706A">
      <w:pPr>
        <w:pStyle w:val="ListBullet2"/>
        <w:rPr>
          <w:lang w:eastAsia="en-AU"/>
        </w:rPr>
      </w:pPr>
      <w:r w:rsidRPr="00E9279E">
        <w:rPr>
          <w:lang w:eastAsia="en-AU"/>
        </w:rPr>
        <w:t xml:space="preserve">Invasive disease-free survival </w:t>
      </w:r>
      <w:r w:rsidR="0036706A" w:rsidRPr="00E9279E">
        <w:rPr>
          <w:lang w:eastAsia="en-AU"/>
        </w:rPr>
        <w:t xml:space="preserve">in </w:t>
      </w:r>
      <w:r w:rsidRPr="00E9279E">
        <w:rPr>
          <w:lang w:eastAsia="en-AU"/>
        </w:rPr>
        <w:t>Ki</w:t>
      </w:r>
      <w:r w:rsidR="004D5FD3" w:rsidRPr="00E9279E">
        <w:rPr>
          <w:lang w:eastAsia="en-AU"/>
        </w:rPr>
        <w:t>-</w:t>
      </w:r>
      <w:r w:rsidRPr="00E9279E">
        <w:rPr>
          <w:lang w:eastAsia="en-AU"/>
        </w:rPr>
        <w:t>67 high</w:t>
      </w:r>
      <w:r w:rsidR="0036706A" w:rsidRPr="00E9279E">
        <w:rPr>
          <w:lang w:eastAsia="en-AU"/>
        </w:rPr>
        <w:t xml:space="preserve"> population - tested if IDFS in ITT population significant</w:t>
      </w:r>
      <w:r w:rsidR="0031603E" w:rsidRPr="00E9279E">
        <w:rPr>
          <w:lang w:eastAsia="en-AU"/>
        </w:rPr>
        <w:t>.</w:t>
      </w:r>
    </w:p>
    <w:p w14:paraId="5DBE4F1A" w14:textId="0CCF2E85" w:rsidR="0036706A" w:rsidRPr="00E9279E" w:rsidRDefault="002F37A9" w:rsidP="0036706A">
      <w:pPr>
        <w:pStyle w:val="ListBullet2"/>
        <w:rPr>
          <w:color w:val="000000" w:themeColor="text1"/>
          <w:szCs w:val="20"/>
          <w:lang w:eastAsia="en-AU"/>
        </w:rPr>
      </w:pPr>
      <w:r w:rsidRPr="00E9279E">
        <w:rPr>
          <w:lang w:eastAsia="en-AU"/>
        </w:rPr>
        <w:t xml:space="preserve">Invasive disease-free survival </w:t>
      </w:r>
      <w:r w:rsidR="0036706A" w:rsidRPr="00E9279E">
        <w:rPr>
          <w:lang w:eastAsia="en-AU"/>
        </w:rPr>
        <w:t xml:space="preserve">in </w:t>
      </w:r>
      <w:r w:rsidR="00EA612F" w:rsidRPr="00E9279E">
        <w:rPr>
          <w:lang w:eastAsia="en-AU"/>
        </w:rPr>
        <w:t xml:space="preserve">Cohort 1 </w:t>
      </w:r>
      <w:r w:rsidRPr="00E9279E">
        <w:rPr>
          <w:lang w:eastAsia="en-AU"/>
        </w:rPr>
        <w:t>Ki</w:t>
      </w:r>
      <w:r w:rsidR="004D5FD3" w:rsidRPr="00E9279E">
        <w:rPr>
          <w:lang w:eastAsia="en-AU"/>
        </w:rPr>
        <w:t>-</w:t>
      </w:r>
      <w:r w:rsidRPr="00E9279E">
        <w:rPr>
          <w:lang w:eastAsia="en-AU"/>
        </w:rPr>
        <w:t>67 high</w:t>
      </w:r>
      <w:r w:rsidR="0036706A" w:rsidRPr="00E9279E">
        <w:rPr>
          <w:lang w:eastAsia="en-AU"/>
        </w:rPr>
        <w:t xml:space="preserve"> population - tested if IDFS in </w:t>
      </w:r>
      <w:r w:rsidRPr="00E9279E">
        <w:rPr>
          <w:lang w:eastAsia="en-AU"/>
        </w:rPr>
        <w:t>Ki</w:t>
      </w:r>
      <w:r w:rsidR="004D5FD3" w:rsidRPr="00E9279E">
        <w:rPr>
          <w:lang w:eastAsia="en-AU"/>
        </w:rPr>
        <w:t>-</w:t>
      </w:r>
      <w:r w:rsidRPr="00E9279E">
        <w:rPr>
          <w:lang w:eastAsia="en-AU"/>
        </w:rPr>
        <w:t>67 high</w:t>
      </w:r>
      <w:r w:rsidR="0036706A" w:rsidRPr="00E9279E">
        <w:rPr>
          <w:lang w:eastAsia="en-AU"/>
        </w:rPr>
        <w:t xml:space="preserve"> population significant</w:t>
      </w:r>
      <w:r w:rsidR="0031603E" w:rsidRPr="00E9279E">
        <w:rPr>
          <w:lang w:eastAsia="en-AU"/>
        </w:rPr>
        <w:t>.</w:t>
      </w:r>
    </w:p>
    <w:p w14:paraId="68ED75BB" w14:textId="4BAC4897" w:rsidR="0036706A" w:rsidRPr="00E9279E" w:rsidRDefault="009B5BCF" w:rsidP="0036706A">
      <w:pPr>
        <w:pStyle w:val="ListBullet"/>
        <w:rPr>
          <w:lang w:eastAsia="en-AU"/>
        </w:rPr>
      </w:pPr>
      <w:r w:rsidRPr="00E9279E">
        <w:rPr>
          <w:lang w:eastAsia="en-AU"/>
        </w:rPr>
        <w:t xml:space="preserve">Overall survival </w:t>
      </w:r>
      <w:r w:rsidR="0036706A" w:rsidRPr="00E9279E">
        <w:rPr>
          <w:lang w:eastAsia="en-AU"/>
        </w:rPr>
        <w:t xml:space="preserve">was a gated secondary endpoint tested after IDFS in ITT, </w:t>
      </w:r>
      <w:r w:rsidR="002F37A9" w:rsidRPr="00E9279E">
        <w:rPr>
          <w:lang w:eastAsia="en-AU"/>
        </w:rPr>
        <w:t>Ki67 high</w:t>
      </w:r>
      <w:r w:rsidR="0036706A" w:rsidRPr="00E9279E">
        <w:rPr>
          <w:lang w:eastAsia="en-AU"/>
        </w:rPr>
        <w:t xml:space="preserve">, and </w:t>
      </w:r>
      <w:r w:rsidR="00CB6359" w:rsidRPr="00E9279E">
        <w:rPr>
          <w:lang w:eastAsia="en-AU"/>
        </w:rPr>
        <w:t>Cohort 1</w:t>
      </w:r>
      <w:r w:rsidR="00EA612F" w:rsidRPr="00E9279E">
        <w:rPr>
          <w:lang w:eastAsia="en-AU"/>
        </w:rPr>
        <w:t xml:space="preserve"> </w:t>
      </w:r>
      <w:r w:rsidR="002F37A9" w:rsidRPr="00E9279E">
        <w:rPr>
          <w:lang w:eastAsia="en-AU"/>
        </w:rPr>
        <w:t>Ki67 high</w:t>
      </w:r>
      <w:r w:rsidR="0036706A" w:rsidRPr="00E9279E">
        <w:rPr>
          <w:lang w:eastAsia="en-AU"/>
        </w:rPr>
        <w:t xml:space="preserve"> populations were all statistically significant.</w:t>
      </w:r>
    </w:p>
    <w:p w14:paraId="78CA663D" w14:textId="3A0FB90A" w:rsidR="0036706A" w:rsidRPr="00E9279E" w:rsidRDefault="0036706A" w:rsidP="0036706A">
      <w:r w:rsidRPr="00E9279E">
        <w:t xml:space="preserve">Subgroup analyses of IDFS were performed for potential prognostic subgroup variables (baseline stratification factors, primary tumour size by pathology following definitive surgery, number of involved axillary lymph nodes, tumour stage, tumour grade, progesterone receptor status, </w:t>
      </w:r>
      <w:proofErr w:type="gramStart"/>
      <w:r w:rsidRPr="00E9279E">
        <w:t>age</w:t>
      </w:r>
      <w:proofErr w:type="gramEnd"/>
      <w:r w:rsidR="005550FE" w:rsidRPr="00E9279E">
        <w:t xml:space="preserve"> and</w:t>
      </w:r>
      <w:r w:rsidRPr="00E9279E">
        <w:t xml:space="preserve"> race).</w:t>
      </w:r>
    </w:p>
    <w:p w14:paraId="07C1342A" w14:textId="3CF5AB95" w:rsidR="0036706A" w:rsidRPr="00E9279E" w:rsidRDefault="0036706A" w:rsidP="0036706A">
      <w:r w:rsidRPr="00E9279E">
        <w:t xml:space="preserve">Analyses of </w:t>
      </w:r>
      <w:r w:rsidR="002F37A9" w:rsidRPr="00E9279E">
        <w:t>patient-reported outcome</w:t>
      </w:r>
      <w:r w:rsidRPr="00E9279E">
        <w:t>s are no alpha controlled exploratory.</w:t>
      </w:r>
    </w:p>
    <w:p w14:paraId="316FB090" w14:textId="4A58BF8B" w:rsidR="0036706A" w:rsidRPr="00E9279E" w:rsidRDefault="0036706A" w:rsidP="0036706A">
      <w:r w:rsidRPr="00E9279E">
        <w:t>Cohort 2 was not included in the gate</w:t>
      </w:r>
      <w:r w:rsidR="005550FE" w:rsidRPr="00E9279E">
        <w:t xml:space="preserve"> </w:t>
      </w:r>
      <w:r w:rsidRPr="00E9279E">
        <w:t>keeping strategy for IDFS analyses.</w:t>
      </w:r>
    </w:p>
    <w:p w14:paraId="3360F858" w14:textId="2A377139" w:rsidR="0036706A" w:rsidRPr="00E9279E" w:rsidRDefault="0036706A" w:rsidP="0036706A">
      <w:pPr>
        <w:pStyle w:val="Heading5"/>
      </w:pPr>
      <w:r w:rsidRPr="00E9279E">
        <w:t>Analysis populations</w:t>
      </w:r>
    </w:p>
    <w:p w14:paraId="2BFF6688" w14:textId="0A57EDF3" w:rsidR="004D5FD3" w:rsidRPr="00E9279E" w:rsidRDefault="008E65BE" w:rsidP="008E65BE">
      <w:r w:rsidRPr="00E9279E">
        <w:fldChar w:fldCharType="begin"/>
      </w:r>
      <w:r w:rsidRPr="00E9279E">
        <w:instrText xml:space="preserve"> REF _Ref118192173 \h </w:instrText>
      </w:r>
      <w:r w:rsidR="00E9279E" w:rsidRPr="00E9279E">
        <w:instrText xml:space="preserve"> \* MERGEFORMAT </w:instrText>
      </w:r>
      <w:r w:rsidRPr="00E9279E">
        <w:fldChar w:fldCharType="separate"/>
      </w:r>
      <w:r w:rsidR="00E9279E" w:rsidRPr="00E9279E">
        <w:t xml:space="preserve">Table </w:t>
      </w:r>
      <w:r w:rsidR="00E9279E">
        <w:rPr>
          <w:noProof/>
        </w:rPr>
        <w:t>4</w:t>
      </w:r>
      <w:r w:rsidRPr="00E9279E">
        <w:fldChar w:fldCharType="end"/>
      </w:r>
      <w:r w:rsidR="004D5FD3" w:rsidRPr="00E9279E">
        <w:t>, shown below, provides a definition of the different analysis populations in this study.</w:t>
      </w:r>
    </w:p>
    <w:p w14:paraId="783CBD02" w14:textId="2167790D" w:rsidR="0086249E" w:rsidRPr="00E9279E" w:rsidRDefault="0086249E" w:rsidP="00F86A77">
      <w:pPr>
        <w:pStyle w:val="TableTitle"/>
      </w:pPr>
      <w:bookmarkStart w:id="59" w:name="_Ref118192173"/>
      <w:r w:rsidRPr="00E9279E">
        <w:t xml:space="preserve">Table </w:t>
      </w:r>
      <w:r w:rsidR="000C44E7">
        <w:fldChar w:fldCharType="begin"/>
      </w:r>
      <w:r w:rsidR="000C44E7">
        <w:instrText xml:space="preserve"> SEQ Table \* ARABIC </w:instrText>
      </w:r>
      <w:r w:rsidR="000C44E7">
        <w:fldChar w:fldCharType="separate"/>
      </w:r>
      <w:r w:rsidR="00E9279E">
        <w:rPr>
          <w:noProof/>
        </w:rPr>
        <w:t>4</w:t>
      </w:r>
      <w:r w:rsidR="000C44E7">
        <w:rPr>
          <w:noProof/>
        </w:rPr>
        <w:fldChar w:fldCharType="end"/>
      </w:r>
      <w:bookmarkEnd w:id="59"/>
      <w:r w:rsidRPr="00E9279E">
        <w:t xml:space="preserve">: Study I3Y-MC-JPCF </w:t>
      </w:r>
      <w:r w:rsidR="004D5FD3" w:rsidRPr="00E9279E">
        <w:t>(</w:t>
      </w:r>
      <w:r w:rsidR="008E65BE" w:rsidRPr="00E9279E">
        <w:t xml:space="preserve">MONARCHE </w:t>
      </w:r>
      <w:r w:rsidR="004D5FD3" w:rsidRPr="00E9279E">
        <w:t xml:space="preserve">trial) </w:t>
      </w:r>
      <w:r w:rsidRPr="00E9279E">
        <w:t>Analysis population</w:t>
      </w:r>
    </w:p>
    <w:p w14:paraId="15391329" w14:textId="29B0C987" w:rsidR="0036706A" w:rsidRPr="00E9279E" w:rsidRDefault="0036706A" w:rsidP="00F86A77">
      <w:pPr>
        <w:rPr>
          <w:b/>
          <w:bCs/>
          <w:i/>
          <w:sz w:val="19"/>
        </w:rPr>
      </w:pPr>
      <w:r w:rsidRPr="00E9279E">
        <w:rPr>
          <w:noProof/>
          <w:lang w:val="en-GB" w:eastAsia="en-GB"/>
        </w:rPr>
        <w:drawing>
          <wp:inline distT="0" distB="0" distL="0" distR="0" wp14:anchorId="3564C1FF" wp14:editId="357FE80F">
            <wp:extent cx="5334000" cy="1712595"/>
            <wp:effectExtent l="0" t="0" r="0" b="1905"/>
            <wp:docPr id="13" name="Picture 13" descr="Table 4: Study I3Y-MC-JPCF (MONARCHE trial)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 4: Study I3Y-MC-JPCF (MONARCHE trial) Analysis population"/>
                    <pic:cNvPicPr/>
                  </pic:nvPicPr>
                  <pic:blipFill>
                    <a:blip r:embed="rId18"/>
                    <a:stretch>
                      <a:fillRect/>
                    </a:stretch>
                  </pic:blipFill>
                  <pic:spPr>
                    <a:xfrm>
                      <a:off x="0" y="0"/>
                      <a:ext cx="5336218" cy="1713307"/>
                    </a:xfrm>
                    <a:prstGeom prst="rect">
                      <a:avLst/>
                    </a:prstGeom>
                  </pic:spPr>
                </pic:pic>
              </a:graphicData>
            </a:graphic>
          </wp:inline>
        </w:drawing>
      </w:r>
    </w:p>
    <w:p w14:paraId="4D50F96E" w14:textId="77777777" w:rsidR="006835FD" w:rsidRPr="00E9279E" w:rsidRDefault="00FE0470" w:rsidP="00F86A77">
      <w:pPr>
        <w:pStyle w:val="TableDescription"/>
      </w:pPr>
      <w:r w:rsidRPr="00E9279E">
        <w:t xml:space="preserve">Abbreviations: C1-Ki67H = Cohort 1 patients with Ki-67 index </w:t>
      </w:r>
      <w:r w:rsidR="00A945C5" w:rsidRPr="00E9279E">
        <w:t xml:space="preserve">of </w:t>
      </w:r>
      <w:r w:rsidRPr="00E9279E">
        <w:t>20%</w:t>
      </w:r>
      <w:r w:rsidR="00A945C5" w:rsidRPr="00E9279E">
        <w:t xml:space="preserve"> or higher</w:t>
      </w:r>
      <w:r w:rsidRPr="00E9279E">
        <w:t xml:space="preserve">; C1-Ki67L = Cohort 1 with Ki-67 index </w:t>
      </w:r>
      <w:r w:rsidR="00A945C5" w:rsidRPr="00E9279E">
        <w:t xml:space="preserve">of </w:t>
      </w:r>
      <w:r w:rsidR="0088412E" w:rsidRPr="00E9279E">
        <w:t>less than</w:t>
      </w:r>
      <w:r w:rsidRPr="00E9279E">
        <w:t xml:space="preserve"> 20%; C2 = Cohort 2; Ki67H = Cohort 1 and Cohort 2 patients with Ki-67 index </w:t>
      </w:r>
      <w:r w:rsidR="00A945C5" w:rsidRPr="00E9279E">
        <w:t xml:space="preserve">of </w:t>
      </w:r>
      <w:r w:rsidRPr="00E9279E">
        <w:t>20%</w:t>
      </w:r>
      <w:r w:rsidR="00A945C5" w:rsidRPr="00E9279E">
        <w:t xml:space="preserve"> or higher</w:t>
      </w:r>
      <w:r w:rsidRPr="00E9279E">
        <w:t>; ITT = intent-to-treat; PK = pharmacokinetic.</w:t>
      </w:r>
    </w:p>
    <w:p w14:paraId="40744C7D" w14:textId="36E36972" w:rsidR="009B72B8" w:rsidRPr="00E9279E" w:rsidRDefault="00FE0470" w:rsidP="00F86A77">
      <w:pPr>
        <w:pStyle w:val="TableDescription"/>
      </w:pPr>
      <w:proofErr w:type="spellStart"/>
      <w:r w:rsidRPr="00E9279E">
        <w:t>a</w:t>
      </w:r>
      <w:proofErr w:type="spellEnd"/>
      <w:r w:rsidRPr="00E9279E">
        <w:t xml:space="preserve"> </w:t>
      </w:r>
      <w:proofErr w:type="gramStart"/>
      <w:r w:rsidRPr="00E9279E">
        <w:t>For</w:t>
      </w:r>
      <w:proofErr w:type="gramEnd"/>
      <w:r w:rsidRPr="00E9279E">
        <w:t xml:space="preserve"> patients in Cohort 1, if they had tumour tissue available, this tissue was retrospectively analysed at a central laboratory for Ki-67 index.</w:t>
      </w:r>
    </w:p>
    <w:p w14:paraId="598666E8" w14:textId="48F8D5AE" w:rsidR="0036706A" w:rsidRPr="00E9279E" w:rsidRDefault="0036706A" w:rsidP="0036706A">
      <w:pPr>
        <w:pStyle w:val="Heading5"/>
      </w:pPr>
      <w:r w:rsidRPr="00E9279E">
        <w:t xml:space="preserve">Protocol </w:t>
      </w:r>
      <w:r w:rsidR="005550FE" w:rsidRPr="00E9279E">
        <w:t>amendments and deviations</w:t>
      </w:r>
    </w:p>
    <w:p w14:paraId="30A2A80A" w14:textId="41EB2CA6" w:rsidR="0036706A" w:rsidRPr="00E9279E" w:rsidRDefault="0036706A" w:rsidP="005550FE">
      <w:pPr>
        <w:pStyle w:val="Heading6"/>
      </w:pPr>
      <w:r w:rsidRPr="00E9279E">
        <w:t>Major amendments</w:t>
      </w:r>
    </w:p>
    <w:p w14:paraId="5EF5A400" w14:textId="7294FD4C" w:rsidR="004D5FD3" w:rsidRPr="00E9279E" w:rsidRDefault="004D5FD3" w:rsidP="008E65BE">
      <w:r w:rsidRPr="00E9279E">
        <w:t>There were 5 major protocol amendments:</w:t>
      </w:r>
    </w:p>
    <w:p w14:paraId="6B1558ED" w14:textId="54A9BAEF" w:rsidR="0036706A" w:rsidRPr="00E9279E" w:rsidRDefault="0036706A" w:rsidP="005550FE">
      <w:pPr>
        <w:pStyle w:val="ListBullet"/>
      </w:pPr>
      <w:r w:rsidRPr="00E9279E">
        <w:t xml:space="preserve">Amendment </w:t>
      </w:r>
      <w:r w:rsidR="005550FE" w:rsidRPr="00E9279E">
        <w:t>A</w:t>
      </w:r>
      <w:r w:rsidRPr="00E9279E">
        <w:t xml:space="preserve"> (11 October 2017): exclusion of patients with a history of </w:t>
      </w:r>
      <w:r w:rsidR="00D008C9" w:rsidRPr="00E9279E">
        <w:t>venous thromboembolic event</w:t>
      </w:r>
      <w:r w:rsidRPr="00E9279E">
        <w:t>.</w:t>
      </w:r>
    </w:p>
    <w:p w14:paraId="2D017F60" w14:textId="6450FFCF" w:rsidR="0036706A" w:rsidRPr="00E9279E" w:rsidRDefault="0036706A" w:rsidP="005550FE">
      <w:pPr>
        <w:pStyle w:val="ListBullet"/>
      </w:pPr>
      <w:r w:rsidRPr="00E9279E">
        <w:t xml:space="preserve">Amendment </w:t>
      </w:r>
      <w:r w:rsidR="005550FE" w:rsidRPr="00E9279E">
        <w:t>B</w:t>
      </w:r>
      <w:r w:rsidRPr="00E9279E">
        <w:t xml:space="preserve"> (29 June 2018): increased patient numbers for screening and Cohort</w:t>
      </w:r>
      <w:r w:rsidR="005550FE" w:rsidRPr="00E9279E">
        <w:t> </w:t>
      </w:r>
      <w:r w:rsidRPr="00E9279E">
        <w:t>1.</w:t>
      </w:r>
    </w:p>
    <w:p w14:paraId="2D804258" w14:textId="3D66DA01" w:rsidR="0036706A" w:rsidRPr="00E9279E" w:rsidRDefault="0036706A" w:rsidP="005550FE">
      <w:pPr>
        <w:pStyle w:val="ListBullet"/>
      </w:pPr>
      <w:r w:rsidRPr="00E9279E">
        <w:lastRenderedPageBreak/>
        <w:t xml:space="preserve">Amendment </w:t>
      </w:r>
      <w:r w:rsidR="005550FE" w:rsidRPr="00E9279E">
        <w:t>C</w:t>
      </w:r>
      <w:r w:rsidRPr="00E9279E">
        <w:t xml:space="preserve"> (19 December 2018): extended Cohort 2 screening period; included Cohort 2 in the ITT population, removed enrolment cap for Cohort 2 (previously 500</w:t>
      </w:r>
      <w:r w:rsidR="005550FE" w:rsidRPr="00E9279E">
        <w:t> </w:t>
      </w:r>
      <w:r w:rsidRPr="00E9279E">
        <w:t xml:space="preserve">patients) per regulatory recommendation; modified sample size determination text with respect to power, events and enrolment rates </w:t>
      </w:r>
      <w:r w:rsidR="00033AC2" w:rsidRPr="00E9279E">
        <w:t>(</w:t>
      </w:r>
      <w:r w:rsidRPr="00E9279E">
        <w:t xml:space="preserve">final IDFS events required updated to approximately 390 (Cohort 1 </w:t>
      </w:r>
      <w:r w:rsidR="000C71AD" w:rsidRPr="00E9279E">
        <w:t xml:space="preserve">plus </w:t>
      </w:r>
      <w:r w:rsidRPr="00E9279E">
        <w:t>Cohort 2), to yield approximately 85%</w:t>
      </w:r>
      <w:r w:rsidR="005550FE" w:rsidRPr="00E9279E">
        <w:t> </w:t>
      </w:r>
      <w:r w:rsidRPr="00E9279E">
        <w:t>statistical power</w:t>
      </w:r>
      <w:r w:rsidR="00A945C5" w:rsidRPr="00E9279E">
        <w:t xml:space="preserve"> or higher</w:t>
      </w:r>
      <w:r w:rsidRPr="00E9279E">
        <w:t xml:space="preserve">; updated event numbers to trigger </w:t>
      </w:r>
      <w:r w:rsidR="00D008C9" w:rsidRPr="00E9279E">
        <w:t>Interim Analysis</w:t>
      </w:r>
      <w:r w:rsidR="00AB763E" w:rsidRPr="00E9279E">
        <w:t> </w:t>
      </w:r>
      <w:r w:rsidR="00D008C9" w:rsidRPr="00E9279E">
        <w:t>1</w:t>
      </w:r>
      <w:r w:rsidRPr="00E9279E">
        <w:t xml:space="preserve">, </w:t>
      </w:r>
      <w:r w:rsidR="00D008C9" w:rsidRPr="00E9279E">
        <w:t>Interim</w:t>
      </w:r>
      <w:r w:rsidR="005550FE" w:rsidRPr="00E9279E">
        <w:t> </w:t>
      </w:r>
      <w:r w:rsidR="00D008C9" w:rsidRPr="00E9279E">
        <w:t>Analysis 2</w:t>
      </w:r>
      <w:r w:rsidRPr="00E9279E">
        <w:t xml:space="preserve"> and final IDFS analyses; added dose adjustment for ‘AST increased’; added </w:t>
      </w:r>
      <w:r w:rsidR="00D008C9" w:rsidRPr="00E9279E">
        <w:t>venous thromboembolic event</w:t>
      </w:r>
      <w:r w:rsidRPr="00E9279E">
        <w:t xml:space="preserve"> management for Arm A patients.</w:t>
      </w:r>
    </w:p>
    <w:p w14:paraId="2C7DF3D9" w14:textId="0726411E" w:rsidR="0036706A" w:rsidRPr="00E9279E" w:rsidRDefault="0036706A" w:rsidP="005550FE">
      <w:pPr>
        <w:pStyle w:val="ListBullet"/>
      </w:pPr>
      <w:r w:rsidRPr="00E9279E">
        <w:t xml:space="preserve">Amendment </w:t>
      </w:r>
      <w:r w:rsidR="005550FE" w:rsidRPr="00E9279E">
        <w:t>D</w:t>
      </w:r>
      <w:r w:rsidRPr="00E9279E">
        <w:t xml:space="preserve"> (25 June 2019): updated dose adjustments and safety monitoring guidance for ‘</w:t>
      </w:r>
      <w:r w:rsidR="00C518AE" w:rsidRPr="00E9279E">
        <w:t>interstitial lung disease</w:t>
      </w:r>
      <w:r w:rsidRPr="00E9279E">
        <w:t>/pneumonitis’; increases to the numbers of events for interim efficacy analyses</w:t>
      </w:r>
      <w:r w:rsidR="005550FE" w:rsidRPr="00E9279E">
        <w:t>.</w:t>
      </w:r>
    </w:p>
    <w:p w14:paraId="7700A96A" w14:textId="758C8F37" w:rsidR="0036706A" w:rsidRPr="00E9279E" w:rsidRDefault="0036706A" w:rsidP="005550FE">
      <w:pPr>
        <w:pStyle w:val="ListBullet"/>
      </w:pPr>
      <w:r w:rsidRPr="00E9279E">
        <w:t xml:space="preserve">Amendment </w:t>
      </w:r>
      <w:r w:rsidR="005550FE" w:rsidRPr="00E9279E">
        <w:t>E (</w:t>
      </w:r>
      <w:r w:rsidRPr="00E9279E">
        <w:t xml:space="preserve">18 September 2019) ‘capsules’ changed to ‘capsules or </w:t>
      </w:r>
      <w:proofErr w:type="gramStart"/>
      <w:r w:rsidRPr="00E9279E">
        <w:t>tablets’</w:t>
      </w:r>
      <w:proofErr w:type="gramEnd"/>
      <w:r w:rsidR="005550FE" w:rsidRPr="00E9279E">
        <w:t>.</w:t>
      </w:r>
    </w:p>
    <w:p w14:paraId="488B0D0F" w14:textId="5AFFE90B" w:rsidR="0036706A" w:rsidRPr="00E9279E" w:rsidRDefault="0036706A" w:rsidP="0036706A">
      <w:pPr>
        <w:pStyle w:val="Heading6"/>
      </w:pPr>
      <w:r w:rsidRPr="00E9279E">
        <w:t xml:space="preserve">Major </w:t>
      </w:r>
      <w:r w:rsidR="005550FE" w:rsidRPr="00E9279E">
        <w:t>protocol deviations</w:t>
      </w:r>
    </w:p>
    <w:p w14:paraId="0F61A925" w14:textId="761CBF6F" w:rsidR="0036706A" w:rsidRPr="00E9279E" w:rsidRDefault="004D5FD3" w:rsidP="0036706A">
      <w:r w:rsidRPr="00E9279E">
        <w:t>Major protocol deviations were r</w:t>
      </w:r>
      <w:r w:rsidR="005550FE" w:rsidRPr="00E9279E">
        <w:t xml:space="preserve">eported </w:t>
      </w:r>
      <w:r w:rsidR="0036706A" w:rsidRPr="00E9279E">
        <w:t>in 2.6% of Arm A and 2.4% of Arm B</w:t>
      </w:r>
      <w:r w:rsidRPr="00E9279E">
        <w:t xml:space="preserve"> patients</w:t>
      </w:r>
      <w:r w:rsidR="0036706A" w:rsidRPr="00E9279E">
        <w:t>.</w:t>
      </w:r>
    </w:p>
    <w:p w14:paraId="1F96A3E7" w14:textId="33F97CDB" w:rsidR="004D5FD3" w:rsidRPr="00E9279E" w:rsidRDefault="004D5FD3" w:rsidP="008E65BE">
      <w:pPr>
        <w:pStyle w:val="Heading5"/>
      </w:pPr>
      <w:r w:rsidRPr="00E9279E">
        <w:t>Baseline demographics and disease characteristics</w:t>
      </w:r>
    </w:p>
    <w:p w14:paraId="0537A6C4" w14:textId="3F6D476D" w:rsidR="004D5FD3" w:rsidRPr="00E9279E" w:rsidRDefault="004D5FD3">
      <w:r w:rsidRPr="00E9279E">
        <w:t>Table 5, shown below, provides a summary of the baseline demographics and disease characteristics for this study.</w:t>
      </w:r>
    </w:p>
    <w:p w14:paraId="5747902B" w14:textId="5A8EEE83" w:rsidR="00C314D3" w:rsidRPr="00E9279E" w:rsidRDefault="00C314D3" w:rsidP="00F86A77">
      <w:pPr>
        <w:pStyle w:val="TableTitle"/>
      </w:pPr>
      <w:r w:rsidRPr="00E9279E">
        <w:t xml:space="preserve">Table </w:t>
      </w:r>
      <w:r w:rsidR="000C44E7">
        <w:fldChar w:fldCharType="begin"/>
      </w:r>
      <w:r w:rsidR="000C44E7">
        <w:instrText xml:space="preserve"> SEQ Table \* ARABIC </w:instrText>
      </w:r>
      <w:r w:rsidR="000C44E7">
        <w:fldChar w:fldCharType="separate"/>
      </w:r>
      <w:r w:rsidR="00E9279E">
        <w:rPr>
          <w:noProof/>
        </w:rPr>
        <w:t>5</w:t>
      </w:r>
      <w:r w:rsidR="000C44E7">
        <w:rPr>
          <w:noProof/>
        </w:rPr>
        <w:fldChar w:fldCharType="end"/>
      </w:r>
      <w:r w:rsidR="0086249E" w:rsidRPr="00E9279E">
        <w:t xml:space="preserve">: Study I3Y-MC-JPCF </w:t>
      </w:r>
      <w:r w:rsidR="007427C3" w:rsidRPr="00E9279E">
        <w:t>(</w:t>
      </w:r>
      <w:r w:rsidR="008E65BE" w:rsidRPr="00E9279E">
        <w:t xml:space="preserve">MONARCHE </w:t>
      </w:r>
      <w:r w:rsidR="007427C3" w:rsidRPr="00E9279E">
        <w:t xml:space="preserve">trial) </w:t>
      </w:r>
      <w:r w:rsidRPr="00E9279E">
        <w:t xml:space="preserve">Baseline </w:t>
      </w:r>
      <w:r w:rsidR="0086249E" w:rsidRPr="00E9279E">
        <w:t>demographics and disease characteristics</w:t>
      </w:r>
    </w:p>
    <w:tbl>
      <w:tblPr>
        <w:tblStyle w:val="TableTGAblue"/>
        <w:tblW w:w="8212" w:type="dxa"/>
        <w:tblLook w:val="0420" w:firstRow="1" w:lastRow="0" w:firstColumn="0" w:lastColumn="0" w:noHBand="0" w:noVBand="1"/>
      </w:tblPr>
      <w:tblGrid>
        <w:gridCol w:w="1747"/>
        <w:gridCol w:w="3063"/>
        <w:gridCol w:w="1701"/>
        <w:gridCol w:w="1701"/>
      </w:tblGrid>
      <w:tr w:rsidR="00C314D3" w:rsidRPr="00E9279E" w14:paraId="6DF52CFA" w14:textId="77777777" w:rsidTr="006835FD">
        <w:trPr>
          <w:cnfStyle w:val="100000000000" w:firstRow="1" w:lastRow="0" w:firstColumn="0" w:lastColumn="0" w:oddVBand="0" w:evenVBand="0" w:oddHBand="0" w:evenHBand="0" w:firstRowFirstColumn="0" w:firstRowLastColumn="0" w:lastRowFirstColumn="0" w:lastRowLastColumn="0"/>
          <w:trHeight w:val="20"/>
        </w:trPr>
        <w:tc>
          <w:tcPr>
            <w:tcW w:w="4810" w:type="dxa"/>
            <w:gridSpan w:val="2"/>
            <w:hideMark/>
          </w:tcPr>
          <w:p w14:paraId="6F72B30F" w14:textId="0562C9BF" w:rsidR="00C314D3" w:rsidRPr="00E9279E" w:rsidRDefault="00C314D3" w:rsidP="0036706A">
            <w:pPr>
              <w:pStyle w:val="Tabletext"/>
              <w:ind w:left="0" w:right="0"/>
              <w:rPr>
                <w:color w:val="7030A0"/>
              </w:rPr>
            </w:pPr>
            <w:r w:rsidRPr="00E9279E">
              <w:t xml:space="preserve">Baseline </w:t>
            </w:r>
            <w:r w:rsidR="005550FE" w:rsidRPr="00E9279E">
              <w:t>demographics and disease characteristics</w:t>
            </w:r>
          </w:p>
        </w:tc>
        <w:tc>
          <w:tcPr>
            <w:tcW w:w="1701" w:type="dxa"/>
            <w:hideMark/>
          </w:tcPr>
          <w:p w14:paraId="2C2FC584" w14:textId="77777777" w:rsidR="00E93113" w:rsidRPr="00E9279E" w:rsidRDefault="00C314D3" w:rsidP="0036706A">
            <w:pPr>
              <w:pStyle w:val="Tabletext"/>
              <w:ind w:left="0" w:right="0"/>
              <w:rPr>
                <w:b w:val="0"/>
                <w:bCs/>
                <w:lang w:val="en-US"/>
              </w:rPr>
            </w:pPr>
            <w:r w:rsidRPr="00E9279E">
              <w:rPr>
                <w:bCs/>
                <w:lang w:val="en-US"/>
              </w:rPr>
              <w:t>Arm A</w:t>
            </w:r>
          </w:p>
          <w:p w14:paraId="6F450627" w14:textId="3FB916C5" w:rsidR="00C314D3" w:rsidRPr="00E9279E" w:rsidRDefault="00C314D3" w:rsidP="0036706A">
            <w:pPr>
              <w:pStyle w:val="Tabletext"/>
              <w:ind w:left="0" w:right="0"/>
              <w:rPr>
                <w:bCs/>
                <w:lang w:val="en-US"/>
              </w:rPr>
            </w:pPr>
            <w:r w:rsidRPr="00E9279E">
              <w:rPr>
                <w:bCs/>
                <w:lang w:val="en-US"/>
              </w:rPr>
              <w:t>(n</w:t>
            </w:r>
            <w:r w:rsidR="00E93113" w:rsidRPr="00E9279E">
              <w:rPr>
                <w:bCs/>
                <w:lang w:val="en-US"/>
              </w:rPr>
              <w:t xml:space="preserve"> </w:t>
            </w:r>
            <w:r w:rsidRPr="00E9279E">
              <w:rPr>
                <w:bCs/>
                <w:lang w:val="en-US"/>
              </w:rPr>
              <w:t>=</w:t>
            </w:r>
            <w:r w:rsidR="00E93113" w:rsidRPr="00E9279E">
              <w:rPr>
                <w:bCs/>
                <w:lang w:val="en-US"/>
              </w:rPr>
              <w:t xml:space="preserve"> </w:t>
            </w:r>
            <w:r w:rsidRPr="00E9279E">
              <w:rPr>
                <w:bCs/>
                <w:lang w:val="en-US"/>
              </w:rPr>
              <w:t>2808)</w:t>
            </w:r>
          </w:p>
        </w:tc>
        <w:tc>
          <w:tcPr>
            <w:tcW w:w="1701" w:type="dxa"/>
            <w:hideMark/>
          </w:tcPr>
          <w:p w14:paraId="544DA5BB" w14:textId="77777777" w:rsidR="00E93113" w:rsidRPr="00E9279E" w:rsidRDefault="00C314D3" w:rsidP="0036706A">
            <w:pPr>
              <w:pStyle w:val="Tabletext"/>
              <w:ind w:left="0" w:right="0"/>
              <w:rPr>
                <w:b w:val="0"/>
                <w:bCs/>
                <w:lang w:val="en-US"/>
              </w:rPr>
            </w:pPr>
            <w:r w:rsidRPr="00E9279E">
              <w:rPr>
                <w:bCs/>
                <w:lang w:val="en-US"/>
              </w:rPr>
              <w:t>Arm B</w:t>
            </w:r>
          </w:p>
          <w:p w14:paraId="09611F29" w14:textId="3554344E" w:rsidR="00C314D3" w:rsidRPr="00E9279E" w:rsidRDefault="00C314D3" w:rsidP="0036706A">
            <w:pPr>
              <w:pStyle w:val="Tabletext"/>
              <w:ind w:left="0" w:right="0"/>
              <w:rPr>
                <w:bCs/>
                <w:lang w:val="en-US"/>
              </w:rPr>
            </w:pPr>
            <w:r w:rsidRPr="00E9279E">
              <w:rPr>
                <w:bCs/>
                <w:lang w:val="en-US"/>
              </w:rPr>
              <w:t>(n</w:t>
            </w:r>
            <w:r w:rsidR="00E93113" w:rsidRPr="00E9279E">
              <w:rPr>
                <w:bCs/>
                <w:lang w:val="en-US"/>
              </w:rPr>
              <w:t xml:space="preserve"> </w:t>
            </w:r>
            <w:r w:rsidRPr="00E9279E">
              <w:rPr>
                <w:bCs/>
                <w:lang w:val="en-US"/>
              </w:rPr>
              <w:t>=</w:t>
            </w:r>
            <w:r w:rsidR="00E93113" w:rsidRPr="00E9279E">
              <w:rPr>
                <w:bCs/>
                <w:lang w:val="en-US"/>
              </w:rPr>
              <w:t xml:space="preserve"> </w:t>
            </w:r>
            <w:r w:rsidRPr="00E9279E">
              <w:rPr>
                <w:bCs/>
                <w:lang w:val="en-US"/>
              </w:rPr>
              <w:t>2829)</w:t>
            </w:r>
          </w:p>
        </w:tc>
      </w:tr>
      <w:tr w:rsidR="00C314D3" w:rsidRPr="00E9279E" w14:paraId="4A64350F" w14:textId="77777777" w:rsidTr="006835FD">
        <w:trPr>
          <w:trHeight w:val="20"/>
        </w:trPr>
        <w:tc>
          <w:tcPr>
            <w:tcW w:w="1747" w:type="dxa"/>
            <w:hideMark/>
          </w:tcPr>
          <w:p w14:paraId="71CB5ECA" w14:textId="77777777" w:rsidR="00C314D3" w:rsidRPr="00E9279E" w:rsidRDefault="00C314D3" w:rsidP="0036706A">
            <w:pPr>
              <w:pStyle w:val="Tabletext"/>
              <w:ind w:left="0" w:right="0"/>
              <w:rPr>
                <w:b/>
                <w:color w:val="auto"/>
                <w:lang w:val="en-US"/>
              </w:rPr>
            </w:pPr>
            <w:r w:rsidRPr="00E9279E">
              <w:rPr>
                <w:b/>
                <w:color w:val="auto"/>
                <w:lang w:val="en-US"/>
              </w:rPr>
              <w:t>Age</w:t>
            </w:r>
          </w:p>
        </w:tc>
        <w:tc>
          <w:tcPr>
            <w:tcW w:w="3063" w:type="dxa"/>
          </w:tcPr>
          <w:p w14:paraId="220061D9" w14:textId="77777777" w:rsidR="00C314D3" w:rsidRPr="00E9279E" w:rsidRDefault="00C314D3" w:rsidP="0036706A">
            <w:pPr>
              <w:pStyle w:val="Tabletext"/>
              <w:ind w:left="0" w:right="0"/>
              <w:rPr>
                <w:color w:val="auto"/>
                <w:lang w:val="en-US"/>
              </w:rPr>
            </w:pPr>
            <w:r w:rsidRPr="00E9279E">
              <w:rPr>
                <w:color w:val="auto"/>
                <w:lang w:val="en-US"/>
              </w:rPr>
              <w:t>Median (years, range)</w:t>
            </w:r>
          </w:p>
        </w:tc>
        <w:tc>
          <w:tcPr>
            <w:tcW w:w="1701" w:type="dxa"/>
            <w:hideMark/>
          </w:tcPr>
          <w:p w14:paraId="03B67C0E" w14:textId="77777777" w:rsidR="00C314D3" w:rsidRPr="00E9279E" w:rsidRDefault="00C314D3" w:rsidP="0036706A">
            <w:pPr>
              <w:pStyle w:val="Tabletext"/>
              <w:ind w:left="0" w:right="0"/>
              <w:rPr>
                <w:color w:val="auto"/>
              </w:rPr>
            </w:pPr>
            <w:r w:rsidRPr="00E9279E">
              <w:rPr>
                <w:color w:val="auto"/>
              </w:rPr>
              <w:t>51 (23, 89)</w:t>
            </w:r>
          </w:p>
        </w:tc>
        <w:tc>
          <w:tcPr>
            <w:tcW w:w="1701" w:type="dxa"/>
            <w:hideMark/>
          </w:tcPr>
          <w:p w14:paraId="0AC1DDBC" w14:textId="77777777" w:rsidR="00C314D3" w:rsidRPr="00E9279E" w:rsidRDefault="00C314D3" w:rsidP="0036706A">
            <w:pPr>
              <w:pStyle w:val="Tabletext"/>
              <w:ind w:left="0" w:right="0"/>
              <w:rPr>
                <w:color w:val="auto"/>
              </w:rPr>
            </w:pPr>
            <w:r w:rsidRPr="00E9279E">
              <w:rPr>
                <w:color w:val="auto"/>
              </w:rPr>
              <w:t>51 (22, 86)</w:t>
            </w:r>
          </w:p>
        </w:tc>
      </w:tr>
      <w:tr w:rsidR="00C314D3" w:rsidRPr="00E9279E" w14:paraId="4DBF5CAF" w14:textId="77777777" w:rsidTr="006835FD">
        <w:trPr>
          <w:trHeight w:val="20"/>
        </w:trPr>
        <w:tc>
          <w:tcPr>
            <w:tcW w:w="1747" w:type="dxa"/>
            <w:hideMark/>
          </w:tcPr>
          <w:p w14:paraId="1F689468" w14:textId="27474927" w:rsidR="00C314D3" w:rsidRPr="00E9279E" w:rsidRDefault="00C314D3" w:rsidP="0036706A">
            <w:pPr>
              <w:pStyle w:val="Tabletext"/>
              <w:ind w:left="0" w:right="0"/>
              <w:rPr>
                <w:b/>
                <w:color w:val="auto"/>
                <w:lang w:val="en-US"/>
              </w:rPr>
            </w:pPr>
            <w:r w:rsidRPr="00E9279E">
              <w:rPr>
                <w:b/>
                <w:color w:val="auto"/>
                <w:lang w:val="en-US"/>
              </w:rPr>
              <w:t>Age group</w:t>
            </w:r>
          </w:p>
        </w:tc>
        <w:tc>
          <w:tcPr>
            <w:tcW w:w="3063" w:type="dxa"/>
          </w:tcPr>
          <w:p w14:paraId="0A1218BA" w14:textId="3EB8CC97" w:rsidR="00C314D3" w:rsidRPr="00E9279E" w:rsidRDefault="00C314D3" w:rsidP="0036706A">
            <w:pPr>
              <w:pStyle w:val="Tabletext"/>
              <w:ind w:left="0" w:right="0"/>
              <w:rPr>
                <w:color w:val="auto"/>
                <w:lang w:val="en-US"/>
              </w:rPr>
            </w:pPr>
            <w:r w:rsidRPr="00E9279E">
              <w:rPr>
                <w:color w:val="auto"/>
                <w:lang w:val="en-US"/>
              </w:rPr>
              <w:t>&lt;</w:t>
            </w:r>
            <w:r w:rsidR="002F1A84" w:rsidRPr="00E9279E">
              <w:rPr>
                <w:color w:val="auto"/>
                <w:lang w:val="en-US"/>
              </w:rPr>
              <w:t xml:space="preserve"> </w:t>
            </w:r>
            <w:r w:rsidRPr="00E9279E">
              <w:rPr>
                <w:color w:val="auto"/>
                <w:lang w:val="en-US"/>
              </w:rPr>
              <w:t>40 years</w:t>
            </w:r>
          </w:p>
          <w:p w14:paraId="734B465C" w14:textId="528D939F" w:rsidR="00C314D3" w:rsidRPr="00E9279E" w:rsidRDefault="00C314D3" w:rsidP="0036706A">
            <w:pPr>
              <w:pStyle w:val="Tabletext"/>
              <w:ind w:left="0" w:right="0"/>
              <w:rPr>
                <w:color w:val="auto"/>
                <w:lang w:val="en-US"/>
              </w:rPr>
            </w:pPr>
            <w:r w:rsidRPr="00E9279E">
              <w:rPr>
                <w:color w:val="auto"/>
                <w:lang w:val="en-US"/>
              </w:rPr>
              <w:t>&lt;</w:t>
            </w:r>
            <w:r w:rsidR="002F1A84" w:rsidRPr="00E9279E">
              <w:rPr>
                <w:color w:val="auto"/>
                <w:lang w:val="en-US"/>
              </w:rPr>
              <w:t xml:space="preserve"> </w:t>
            </w:r>
            <w:r w:rsidRPr="00E9279E">
              <w:rPr>
                <w:color w:val="auto"/>
                <w:lang w:val="en-US"/>
              </w:rPr>
              <w:t>65 years</w:t>
            </w:r>
          </w:p>
          <w:p w14:paraId="29D7351E" w14:textId="1C6521A4" w:rsidR="00C314D3" w:rsidRPr="00E9279E" w:rsidRDefault="00C314D3" w:rsidP="0036706A">
            <w:pPr>
              <w:pStyle w:val="Tabletext"/>
              <w:ind w:left="0" w:right="0"/>
              <w:rPr>
                <w:color w:val="7030A0"/>
                <w:lang w:val="en-US"/>
              </w:rPr>
            </w:pPr>
            <w:r w:rsidRPr="00E9279E">
              <w:rPr>
                <w:color w:val="auto"/>
                <w:lang w:val="en-US"/>
              </w:rPr>
              <w:t>≥</w:t>
            </w:r>
            <w:r w:rsidR="002F1A84" w:rsidRPr="00E9279E">
              <w:rPr>
                <w:color w:val="auto"/>
                <w:lang w:val="en-US"/>
              </w:rPr>
              <w:t xml:space="preserve"> </w:t>
            </w:r>
            <w:r w:rsidRPr="00E9279E">
              <w:rPr>
                <w:color w:val="auto"/>
                <w:lang w:val="en-US"/>
              </w:rPr>
              <w:t>65 years</w:t>
            </w:r>
          </w:p>
        </w:tc>
        <w:tc>
          <w:tcPr>
            <w:tcW w:w="1701" w:type="dxa"/>
            <w:hideMark/>
          </w:tcPr>
          <w:p w14:paraId="401D7B2B" w14:textId="77777777" w:rsidR="00C314D3" w:rsidRPr="00E9279E" w:rsidRDefault="00C314D3" w:rsidP="0036706A">
            <w:pPr>
              <w:pStyle w:val="Tabletext"/>
              <w:ind w:left="0" w:right="0"/>
              <w:rPr>
                <w:color w:val="auto"/>
              </w:rPr>
            </w:pPr>
            <w:r w:rsidRPr="00E9279E">
              <w:rPr>
                <w:color w:val="auto"/>
              </w:rPr>
              <w:t>12.2%</w:t>
            </w:r>
          </w:p>
          <w:p w14:paraId="460AEE19" w14:textId="77777777" w:rsidR="00C314D3" w:rsidRPr="00E9279E" w:rsidRDefault="00C314D3" w:rsidP="0036706A">
            <w:pPr>
              <w:pStyle w:val="Tabletext"/>
              <w:ind w:left="0" w:right="0"/>
              <w:rPr>
                <w:color w:val="auto"/>
              </w:rPr>
            </w:pPr>
            <w:r w:rsidRPr="00E9279E">
              <w:rPr>
                <w:color w:val="auto"/>
              </w:rPr>
              <w:t>84.4%</w:t>
            </w:r>
          </w:p>
          <w:p w14:paraId="2C5D07E1" w14:textId="77777777" w:rsidR="00C314D3" w:rsidRPr="00E9279E" w:rsidRDefault="00C314D3" w:rsidP="0036706A">
            <w:pPr>
              <w:pStyle w:val="Tabletext"/>
              <w:ind w:left="0" w:right="0"/>
              <w:rPr>
                <w:color w:val="7030A0"/>
              </w:rPr>
            </w:pPr>
            <w:r w:rsidRPr="00E9279E">
              <w:rPr>
                <w:color w:val="auto"/>
              </w:rPr>
              <w:t>15.6%</w:t>
            </w:r>
          </w:p>
        </w:tc>
        <w:tc>
          <w:tcPr>
            <w:tcW w:w="1701" w:type="dxa"/>
            <w:hideMark/>
          </w:tcPr>
          <w:p w14:paraId="08041191" w14:textId="77777777" w:rsidR="00C314D3" w:rsidRPr="00E9279E" w:rsidRDefault="00C314D3" w:rsidP="0036706A">
            <w:pPr>
              <w:pStyle w:val="Tabletext"/>
              <w:ind w:left="0" w:right="0"/>
              <w:rPr>
                <w:color w:val="auto"/>
              </w:rPr>
            </w:pPr>
            <w:r w:rsidRPr="00E9279E">
              <w:rPr>
                <w:color w:val="auto"/>
              </w:rPr>
              <w:t>13.0%</w:t>
            </w:r>
          </w:p>
          <w:p w14:paraId="1F229E73" w14:textId="77777777" w:rsidR="00C314D3" w:rsidRPr="00E9279E" w:rsidRDefault="00C314D3" w:rsidP="0036706A">
            <w:pPr>
              <w:pStyle w:val="Tabletext"/>
              <w:ind w:left="0" w:right="0"/>
              <w:rPr>
                <w:color w:val="auto"/>
              </w:rPr>
            </w:pPr>
            <w:r w:rsidRPr="00E9279E">
              <w:rPr>
                <w:color w:val="auto"/>
              </w:rPr>
              <w:t>85.4%</w:t>
            </w:r>
          </w:p>
          <w:p w14:paraId="0E257327" w14:textId="77777777" w:rsidR="00C314D3" w:rsidRPr="00E9279E" w:rsidRDefault="00C314D3" w:rsidP="0036706A">
            <w:pPr>
              <w:pStyle w:val="Tabletext"/>
              <w:ind w:left="0" w:right="0"/>
              <w:rPr>
                <w:color w:val="7030A0"/>
              </w:rPr>
            </w:pPr>
            <w:r w:rsidRPr="00E9279E">
              <w:rPr>
                <w:color w:val="auto"/>
              </w:rPr>
              <w:t>14.6%</w:t>
            </w:r>
          </w:p>
        </w:tc>
      </w:tr>
      <w:tr w:rsidR="00C314D3" w:rsidRPr="00E9279E" w14:paraId="4ED9A939" w14:textId="77777777" w:rsidTr="006835FD">
        <w:trPr>
          <w:trHeight w:val="20"/>
        </w:trPr>
        <w:tc>
          <w:tcPr>
            <w:tcW w:w="1747" w:type="dxa"/>
            <w:vMerge w:val="restart"/>
            <w:hideMark/>
          </w:tcPr>
          <w:p w14:paraId="41538449" w14:textId="77777777" w:rsidR="00C314D3" w:rsidRPr="00E9279E" w:rsidRDefault="00C314D3" w:rsidP="0036706A">
            <w:pPr>
              <w:pStyle w:val="Tabletext"/>
              <w:ind w:left="0" w:right="0"/>
              <w:rPr>
                <w:b/>
                <w:color w:val="7030A0"/>
                <w:lang w:val="en-US"/>
              </w:rPr>
            </w:pPr>
            <w:r w:rsidRPr="00E9279E">
              <w:rPr>
                <w:b/>
                <w:color w:val="auto"/>
                <w:lang w:val="en-US"/>
              </w:rPr>
              <w:t>Sex</w:t>
            </w:r>
          </w:p>
        </w:tc>
        <w:tc>
          <w:tcPr>
            <w:tcW w:w="3063" w:type="dxa"/>
          </w:tcPr>
          <w:p w14:paraId="3C06AEC6" w14:textId="77777777" w:rsidR="00C314D3" w:rsidRPr="00E9279E" w:rsidRDefault="00C314D3" w:rsidP="0036706A">
            <w:pPr>
              <w:pStyle w:val="Tabletext"/>
              <w:ind w:left="0" w:right="0"/>
              <w:rPr>
                <w:color w:val="7030A0"/>
                <w:lang w:val="en-US"/>
              </w:rPr>
            </w:pPr>
            <w:r w:rsidRPr="00E9279E">
              <w:rPr>
                <w:color w:val="auto"/>
                <w:lang w:val="en-US"/>
              </w:rPr>
              <w:t>Male</w:t>
            </w:r>
          </w:p>
        </w:tc>
        <w:tc>
          <w:tcPr>
            <w:tcW w:w="1701" w:type="dxa"/>
            <w:hideMark/>
          </w:tcPr>
          <w:p w14:paraId="676BBBFE" w14:textId="03DD09EF" w:rsidR="00C314D3" w:rsidRPr="00E9279E" w:rsidRDefault="00C314D3" w:rsidP="0036706A">
            <w:pPr>
              <w:pStyle w:val="Tabletext"/>
              <w:ind w:left="0" w:right="0"/>
              <w:rPr>
                <w:color w:val="7030A0"/>
              </w:rPr>
            </w:pPr>
            <w:r w:rsidRPr="00E9279E">
              <w:rPr>
                <w:color w:val="auto"/>
              </w:rPr>
              <w:t>0.7%</w:t>
            </w:r>
          </w:p>
        </w:tc>
        <w:tc>
          <w:tcPr>
            <w:tcW w:w="1701" w:type="dxa"/>
            <w:hideMark/>
          </w:tcPr>
          <w:p w14:paraId="2B17E5DA" w14:textId="77777777" w:rsidR="00C314D3" w:rsidRPr="00E9279E" w:rsidRDefault="00C314D3" w:rsidP="0036706A">
            <w:pPr>
              <w:pStyle w:val="Tabletext"/>
              <w:ind w:left="0" w:right="0"/>
              <w:rPr>
                <w:color w:val="7030A0"/>
              </w:rPr>
            </w:pPr>
            <w:r w:rsidRPr="00E9279E">
              <w:rPr>
                <w:color w:val="auto"/>
              </w:rPr>
              <w:t>0.5%</w:t>
            </w:r>
          </w:p>
        </w:tc>
      </w:tr>
      <w:tr w:rsidR="00C314D3" w:rsidRPr="00E9279E" w14:paraId="65676655" w14:textId="77777777" w:rsidTr="006835FD">
        <w:trPr>
          <w:trHeight w:val="20"/>
        </w:trPr>
        <w:tc>
          <w:tcPr>
            <w:tcW w:w="1747" w:type="dxa"/>
            <w:vMerge/>
          </w:tcPr>
          <w:p w14:paraId="0F3DBF0F" w14:textId="77777777" w:rsidR="00C314D3" w:rsidRPr="00E9279E" w:rsidRDefault="00C314D3" w:rsidP="0036706A">
            <w:pPr>
              <w:pStyle w:val="Tabletext"/>
              <w:ind w:left="0" w:right="0"/>
              <w:rPr>
                <w:b/>
                <w:color w:val="7030A0"/>
                <w:lang w:val="en-US"/>
              </w:rPr>
            </w:pPr>
          </w:p>
        </w:tc>
        <w:tc>
          <w:tcPr>
            <w:tcW w:w="3063" w:type="dxa"/>
          </w:tcPr>
          <w:p w14:paraId="4ED763A3" w14:textId="77777777" w:rsidR="00C314D3" w:rsidRPr="00E9279E" w:rsidRDefault="00C314D3" w:rsidP="0036706A">
            <w:pPr>
              <w:pStyle w:val="Tabletext"/>
              <w:ind w:left="0" w:right="0"/>
              <w:rPr>
                <w:color w:val="7030A0"/>
                <w:lang w:val="en-US"/>
              </w:rPr>
            </w:pPr>
            <w:r w:rsidRPr="00E9279E">
              <w:rPr>
                <w:color w:val="auto"/>
                <w:lang w:val="en-US"/>
              </w:rPr>
              <w:t>Female</w:t>
            </w:r>
          </w:p>
        </w:tc>
        <w:tc>
          <w:tcPr>
            <w:tcW w:w="1701" w:type="dxa"/>
          </w:tcPr>
          <w:p w14:paraId="38163F1B" w14:textId="77777777" w:rsidR="00C314D3" w:rsidRPr="00E9279E" w:rsidRDefault="00C314D3" w:rsidP="0036706A">
            <w:pPr>
              <w:pStyle w:val="Tabletext"/>
              <w:ind w:left="0" w:right="0"/>
              <w:rPr>
                <w:color w:val="7030A0"/>
              </w:rPr>
            </w:pPr>
            <w:r w:rsidRPr="00E9279E">
              <w:rPr>
                <w:color w:val="auto"/>
              </w:rPr>
              <w:t>99.3%</w:t>
            </w:r>
          </w:p>
        </w:tc>
        <w:tc>
          <w:tcPr>
            <w:tcW w:w="1701" w:type="dxa"/>
          </w:tcPr>
          <w:p w14:paraId="487FAEF2" w14:textId="77777777" w:rsidR="00C314D3" w:rsidRPr="00E9279E" w:rsidRDefault="00C314D3" w:rsidP="0036706A">
            <w:pPr>
              <w:pStyle w:val="Tabletext"/>
              <w:ind w:left="0" w:right="0"/>
              <w:rPr>
                <w:color w:val="7030A0"/>
              </w:rPr>
            </w:pPr>
            <w:r w:rsidRPr="00E9279E">
              <w:rPr>
                <w:color w:val="auto"/>
              </w:rPr>
              <w:t>99.5%</w:t>
            </w:r>
          </w:p>
        </w:tc>
      </w:tr>
      <w:tr w:rsidR="00C314D3" w:rsidRPr="00E9279E" w14:paraId="52300033" w14:textId="77777777" w:rsidTr="006835FD">
        <w:trPr>
          <w:trHeight w:val="20"/>
        </w:trPr>
        <w:tc>
          <w:tcPr>
            <w:tcW w:w="1747" w:type="dxa"/>
            <w:hideMark/>
          </w:tcPr>
          <w:p w14:paraId="5300614B" w14:textId="2DC630B5" w:rsidR="00C314D3" w:rsidRPr="00E9279E" w:rsidRDefault="00C314D3" w:rsidP="0036706A">
            <w:pPr>
              <w:pStyle w:val="Tabletext"/>
              <w:ind w:left="0" w:right="0"/>
              <w:rPr>
                <w:b/>
                <w:color w:val="auto"/>
                <w:lang w:val="en-US"/>
              </w:rPr>
            </w:pPr>
            <w:r w:rsidRPr="00E9279E">
              <w:rPr>
                <w:b/>
                <w:color w:val="auto"/>
                <w:lang w:val="en-US"/>
              </w:rPr>
              <w:t>Race</w:t>
            </w:r>
          </w:p>
        </w:tc>
        <w:tc>
          <w:tcPr>
            <w:tcW w:w="3063" w:type="dxa"/>
          </w:tcPr>
          <w:p w14:paraId="50A158A8" w14:textId="77777777" w:rsidR="00C314D3" w:rsidRPr="00E9279E" w:rsidRDefault="00C314D3" w:rsidP="0036706A">
            <w:pPr>
              <w:pStyle w:val="Tabletext"/>
              <w:ind w:left="0" w:right="0"/>
              <w:rPr>
                <w:color w:val="auto"/>
                <w:lang w:val="en-US"/>
              </w:rPr>
            </w:pPr>
            <w:r w:rsidRPr="00E9279E">
              <w:rPr>
                <w:color w:val="auto"/>
                <w:lang w:val="en-US"/>
              </w:rPr>
              <w:t>White</w:t>
            </w:r>
          </w:p>
          <w:p w14:paraId="58D2F9C6" w14:textId="77777777" w:rsidR="00C314D3" w:rsidRPr="00E9279E" w:rsidRDefault="00C314D3" w:rsidP="0036706A">
            <w:pPr>
              <w:pStyle w:val="Tabletext"/>
              <w:ind w:left="0" w:right="0"/>
              <w:rPr>
                <w:color w:val="auto"/>
                <w:lang w:val="en-US"/>
              </w:rPr>
            </w:pPr>
            <w:r w:rsidRPr="00E9279E">
              <w:rPr>
                <w:color w:val="auto"/>
                <w:lang w:val="en-US"/>
              </w:rPr>
              <w:t>Asian</w:t>
            </w:r>
          </w:p>
          <w:p w14:paraId="30C50B7B" w14:textId="77777777" w:rsidR="00C314D3" w:rsidRPr="00E9279E" w:rsidRDefault="00C314D3" w:rsidP="0036706A">
            <w:pPr>
              <w:pStyle w:val="Tabletext"/>
              <w:ind w:left="0" w:right="0"/>
              <w:rPr>
                <w:color w:val="7030A0"/>
                <w:lang w:val="en-US"/>
              </w:rPr>
            </w:pPr>
            <w:r w:rsidRPr="00E9279E">
              <w:rPr>
                <w:color w:val="auto"/>
                <w:lang w:val="en-US"/>
              </w:rPr>
              <w:t>Multiple</w:t>
            </w:r>
          </w:p>
        </w:tc>
        <w:tc>
          <w:tcPr>
            <w:tcW w:w="1701" w:type="dxa"/>
            <w:hideMark/>
          </w:tcPr>
          <w:p w14:paraId="12562C67" w14:textId="77777777" w:rsidR="00C314D3" w:rsidRPr="00E9279E" w:rsidRDefault="00C314D3" w:rsidP="0036706A">
            <w:pPr>
              <w:pStyle w:val="Tabletext"/>
              <w:ind w:left="0" w:right="0"/>
              <w:rPr>
                <w:color w:val="auto"/>
              </w:rPr>
            </w:pPr>
            <w:r w:rsidRPr="00E9279E">
              <w:rPr>
                <w:color w:val="auto"/>
              </w:rPr>
              <w:t>70.3%</w:t>
            </w:r>
          </w:p>
          <w:p w14:paraId="0EF2202C" w14:textId="77777777" w:rsidR="00C314D3" w:rsidRPr="00E9279E" w:rsidRDefault="00C314D3" w:rsidP="0036706A">
            <w:pPr>
              <w:pStyle w:val="Tabletext"/>
              <w:ind w:left="0" w:right="0"/>
              <w:rPr>
                <w:color w:val="auto"/>
              </w:rPr>
            </w:pPr>
            <w:r w:rsidRPr="00E9279E">
              <w:rPr>
                <w:color w:val="auto"/>
              </w:rPr>
              <w:t>24.4%</w:t>
            </w:r>
          </w:p>
          <w:p w14:paraId="79C8E6A9" w14:textId="77777777" w:rsidR="00C314D3" w:rsidRPr="00E9279E" w:rsidRDefault="00C314D3" w:rsidP="0036706A">
            <w:pPr>
              <w:pStyle w:val="Tabletext"/>
              <w:ind w:left="0" w:right="0"/>
              <w:rPr>
                <w:color w:val="7030A0"/>
              </w:rPr>
            </w:pPr>
            <w:r w:rsidRPr="00E9279E">
              <w:rPr>
                <w:color w:val="auto"/>
              </w:rPr>
              <w:t>0.8%</w:t>
            </w:r>
          </w:p>
        </w:tc>
        <w:tc>
          <w:tcPr>
            <w:tcW w:w="1701" w:type="dxa"/>
            <w:hideMark/>
          </w:tcPr>
          <w:p w14:paraId="2B45E7D1" w14:textId="77777777" w:rsidR="00C314D3" w:rsidRPr="00E9279E" w:rsidRDefault="00C314D3" w:rsidP="0036706A">
            <w:pPr>
              <w:pStyle w:val="Tabletext"/>
              <w:ind w:left="0" w:right="0"/>
              <w:rPr>
                <w:color w:val="auto"/>
              </w:rPr>
            </w:pPr>
            <w:r w:rsidRPr="00E9279E">
              <w:rPr>
                <w:color w:val="auto"/>
              </w:rPr>
              <w:t>71.0%</w:t>
            </w:r>
          </w:p>
          <w:p w14:paraId="33DB11AC" w14:textId="77777777" w:rsidR="00C314D3" w:rsidRPr="00E9279E" w:rsidRDefault="00C314D3" w:rsidP="0036706A">
            <w:pPr>
              <w:pStyle w:val="Tabletext"/>
              <w:ind w:left="0" w:right="0"/>
              <w:rPr>
                <w:color w:val="auto"/>
              </w:rPr>
            </w:pPr>
            <w:r w:rsidRPr="00E9279E">
              <w:rPr>
                <w:color w:val="auto"/>
              </w:rPr>
              <w:t>24.0%</w:t>
            </w:r>
          </w:p>
          <w:p w14:paraId="7641B7AB" w14:textId="77777777" w:rsidR="00C314D3" w:rsidRPr="00E9279E" w:rsidRDefault="00C314D3" w:rsidP="0036706A">
            <w:pPr>
              <w:pStyle w:val="Tabletext"/>
              <w:ind w:left="0" w:right="0"/>
              <w:rPr>
                <w:color w:val="7030A0"/>
              </w:rPr>
            </w:pPr>
            <w:r w:rsidRPr="00E9279E">
              <w:rPr>
                <w:color w:val="auto"/>
              </w:rPr>
              <w:t>0.9%</w:t>
            </w:r>
          </w:p>
        </w:tc>
      </w:tr>
      <w:tr w:rsidR="00C314D3" w:rsidRPr="00E9279E" w14:paraId="20A640EF" w14:textId="77777777" w:rsidTr="006835FD">
        <w:trPr>
          <w:trHeight w:val="20"/>
        </w:trPr>
        <w:tc>
          <w:tcPr>
            <w:tcW w:w="1747" w:type="dxa"/>
          </w:tcPr>
          <w:p w14:paraId="16847FB8" w14:textId="77777777" w:rsidR="00C314D3" w:rsidRPr="00E9279E" w:rsidRDefault="00C314D3" w:rsidP="0036706A">
            <w:pPr>
              <w:pStyle w:val="Tabletext"/>
              <w:ind w:left="0" w:right="0"/>
              <w:rPr>
                <w:b/>
                <w:lang w:val="en-US"/>
              </w:rPr>
            </w:pPr>
            <w:r w:rsidRPr="00E9279E">
              <w:rPr>
                <w:b/>
                <w:lang w:val="en-US"/>
              </w:rPr>
              <w:t>Region</w:t>
            </w:r>
          </w:p>
        </w:tc>
        <w:tc>
          <w:tcPr>
            <w:tcW w:w="3063" w:type="dxa"/>
          </w:tcPr>
          <w:p w14:paraId="74246B7D" w14:textId="77777777" w:rsidR="00C314D3" w:rsidRPr="00E9279E" w:rsidRDefault="00C314D3" w:rsidP="0036706A">
            <w:pPr>
              <w:pStyle w:val="Tabletext"/>
              <w:ind w:left="0" w:right="0"/>
              <w:rPr>
                <w:lang w:val="en-US"/>
              </w:rPr>
            </w:pPr>
            <w:r w:rsidRPr="00E9279E">
              <w:rPr>
                <w:lang w:val="en-US"/>
              </w:rPr>
              <w:t>North America/Europe</w:t>
            </w:r>
          </w:p>
          <w:p w14:paraId="343C9CB6" w14:textId="77777777" w:rsidR="00C314D3" w:rsidRPr="00E9279E" w:rsidRDefault="00C314D3" w:rsidP="0036706A">
            <w:pPr>
              <w:pStyle w:val="Tabletext"/>
              <w:ind w:left="0" w:right="0"/>
              <w:rPr>
                <w:lang w:val="en-US"/>
              </w:rPr>
            </w:pPr>
            <w:r w:rsidRPr="00E9279E">
              <w:rPr>
                <w:lang w:val="en-US"/>
              </w:rPr>
              <w:t>Asia</w:t>
            </w:r>
          </w:p>
          <w:p w14:paraId="1454C72A" w14:textId="486D97FB" w:rsidR="00C314D3" w:rsidRPr="00E9279E" w:rsidRDefault="00C314D3" w:rsidP="0036706A">
            <w:pPr>
              <w:pStyle w:val="Tabletext"/>
              <w:ind w:left="0" w:right="0"/>
              <w:rPr>
                <w:lang w:val="en-US"/>
              </w:rPr>
            </w:pPr>
            <w:r w:rsidRPr="00E9279E">
              <w:rPr>
                <w:lang w:val="en-US"/>
              </w:rPr>
              <w:t>Other</w:t>
            </w:r>
          </w:p>
          <w:p w14:paraId="13694FF5" w14:textId="77777777" w:rsidR="00C314D3" w:rsidRPr="00E9279E" w:rsidRDefault="00C314D3" w:rsidP="0036706A">
            <w:pPr>
              <w:pStyle w:val="Tabletext"/>
              <w:ind w:left="0" w:right="0"/>
              <w:rPr>
                <w:lang w:val="en-US"/>
              </w:rPr>
            </w:pPr>
            <w:r w:rsidRPr="00E9279E">
              <w:rPr>
                <w:lang w:val="en-US"/>
              </w:rPr>
              <w:t>(Australia)</w:t>
            </w:r>
          </w:p>
        </w:tc>
        <w:tc>
          <w:tcPr>
            <w:tcW w:w="1701" w:type="dxa"/>
          </w:tcPr>
          <w:p w14:paraId="4A2D183C" w14:textId="77777777" w:rsidR="00C314D3" w:rsidRPr="00E9279E" w:rsidRDefault="00C314D3" w:rsidP="0036706A">
            <w:pPr>
              <w:pStyle w:val="Tabletext"/>
              <w:ind w:left="0" w:right="0"/>
            </w:pPr>
            <w:r w:rsidRPr="00E9279E">
              <w:t>52.4%</w:t>
            </w:r>
          </w:p>
          <w:p w14:paraId="3F079269" w14:textId="77777777" w:rsidR="00C314D3" w:rsidRPr="00E9279E" w:rsidRDefault="00C314D3" w:rsidP="0036706A">
            <w:pPr>
              <w:pStyle w:val="Tabletext"/>
              <w:ind w:left="0" w:right="0"/>
            </w:pPr>
            <w:r w:rsidRPr="00E9279E">
              <w:t>20.4%</w:t>
            </w:r>
          </w:p>
          <w:p w14:paraId="20888D1B" w14:textId="77777777" w:rsidR="00C314D3" w:rsidRPr="00E9279E" w:rsidRDefault="00C314D3" w:rsidP="0036706A">
            <w:pPr>
              <w:pStyle w:val="Tabletext"/>
              <w:ind w:left="0" w:right="0"/>
            </w:pPr>
            <w:r w:rsidRPr="00E9279E">
              <w:t>27.2%</w:t>
            </w:r>
          </w:p>
          <w:p w14:paraId="3199F8CF" w14:textId="77777777" w:rsidR="00C314D3" w:rsidRPr="00E9279E" w:rsidRDefault="00C314D3" w:rsidP="0036706A">
            <w:pPr>
              <w:pStyle w:val="Tabletext"/>
              <w:ind w:left="0" w:right="0"/>
            </w:pPr>
            <w:r w:rsidRPr="00E9279E">
              <w:t>3.8%</w:t>
            </w:r>
          </w:p>
        </w:tc>
        <w:tc>
          <w:tcPr>
            <w:tcW w:w="1701" w:type="dxa"/>
          </w:tcPr>
          <w:p w14:paraId="7AEAF948" w14:textId="77777777" w:rsidR="00C314D3" w:rsidRPr="00E9279E" w:rsidRDefault="00C314D3" w:rsidP="0036706A">
            <w:pPr>
              <w:pStyle w:val="Tabletext"/>
              <w:ind w:left="0" w:right="0"/>
            </w:pPr>
            <w:r w:rsidRPr="00E9279E">
              <w:t>52.3%</w:t>
            </w:r>
          </w:p>
          <w:p w14:paraId="236A486D" w14:textId="77777777" w:rsidR="00C314D3" w:rsidRPr="00E9279E" w:rsidRDefault="00C314D3" w:rsidP="0036706A">
            <w:pPr>
              <w:pStyle w:val="Tabletext"/>
              <w:ind w:left="0" w:right="0"/>
            </w:pPr>
            <w:r w:rsidRPr="00E9279E">
              <w:t>20.6%</w:t>
            </w:r>
          </w:p>
          <w:p w14:paraId="3F694E72" w14:textId="77777777" w:rsidR="00C314D3" w:rsidRPr="00E9279E" w:rsidRDefault="00C314D3" w:rsidP="0036706A">
            <w:pPr>
              <w:pStyle w:val="Tabletext"/>
              <w:ind w:left="0" w:right="0"/>
            </w:pPr>
            <w:r w:rsidRPr="00E9279E">
              <w:t>27.1%</w:t>
            </w:r>
          </w:p>
          <w:p w14:paraId="45F344E1" w14:textId="77777777" w:rsidR="00C314D3" w:rsidRPr="00E9279E" w:rsidRDefault="00C314D3" w:rsidP="0036706A">
            <w:pPr>
              <w:pStyle w:val="Tabletext"/>
              <w:ind w:left="0" w:right="0"/>
            </w:pPr>
            <w:r w:rsidRPr="00E9279E">
              <w:t>3.9%</w:t>
            </w:r>
          </w:p>
        </w:tc>
      </w:tr>
      <w:tr w:rsidR="00C314D3" w:rsidRPr="00E9279E" w14:paraId="0836DAD3" w14:textId="77777777" w:rsidTr="006835FD">
        <w:trPr>
          <w:trHeight w:val="20"/>
        </w:trPr>
        <w:tc>
          <w:tcPr>
            <w:tcW w:w="1747" w:type="dxa"/>
          </w:tcPr>
          <w:p w14:paraId="2515D875" w14:textId="77777777" w:rsidR="00C314D3" w:rsidRPr="00E9279E" w:rsidRDefault="00C314D3" w:rsidP="0036706A">
            <w:pPr>
              <w:pStyle w:val="Tabletext"/>
              <w:ind w:left="0" w:right="0"/>
              <w:rPr>
                <w:b/>
                <w:color w:val="7030A0"/>
                <w:lang w:val="en-US"/>
              </w:rPr>
            </w:pPr>
            <w:r w:rsidRPr="00E9279E">
              <w:rPr>
                <w:b/>
                <w:color w:val="auto"/>
                <w:lang w:val="en-US"/>
              </w:rPr>
              <w:t>Weight</w:t>
            </w:r>
          </w:p>
        </w:tc>
        <w:tc>
          <w:tcPr>
            <w:tcW w:w="3063" w:type="dxa"/>
          </w:tcPr>
          <w:p w14:paraId="521DCCDB" w14:textId="77777777" w:rsidR="00C314D3" w:rsidRPr="00E9279E" w:rsidRDefault="00C314D3" w:rsidP="0036706A">
            <w:pPr>
              <w:pStyle w:val="Tabletext"/>
              <w:ind w:left="0" w:right="0"/>
              <w:rPr>
                <w:color w:val="7030A0"/>
                <w:lang w:val="en-US"/>
              </w:rPr>
            </w:pPr>
            <w:r w:rsidRPr="00E9279E">
              <w:rPr>
                <w:color w:val="auto"/>
                <w:lang w:val="en-US"/>
              </w:rPr>
              <w:t>Median (range)</w:t>
            </w:r>
          </w:p>
        </w:tc>
        <w:tc>
          <w:tcPr>
            <w:tcW w:w="1701" w:type="dxa"/>
          </w:tcPr>
          <w:p w14:paraId="5C48CAEB" w14:textId="77777777" w:rsidR="00C314D3" w:rsidRPr="00E9279E" w:rsidRDefault="00C314D3" w:rsidP="0036706A">
            <w:pPr>
              <w:pStyle w:val="Tabletext"/>
              <w:ind w:left="0" w:right="0"/>
              <w:rPr>
                <w:color w:val="7030A0"/>
              </w:rPr>
            </w:pPr>
            <w:r w:rsidRPr="00E9279E">
              <w:rPr>
                <w:color w:val="auto"/>
              </w:rPr>
              <w:t>68.5 (34.0, 178.7)</w:t>
            </w:r>
          </w:p>
        </w:tc>
        <w:tc>
          <w:tcPr>
            <w:tcW w:w="1701" w:type="dxa"/>
          </w:tcPr>
          <w:p w14:paraId="6F9D7FA5" w14:textId="77777777" w:rsidR="00C314D3" w:rsidRPr="00E9279E" w:rsidRDefault="00C314D3" w:rsidP="0036706A">
            <w:pPr>
              <w:pStyle w:val="Tabletext"/>
              <w:ind w:left="0" w:right="0"/>
              <w:rPr>
                <w:color w:val="7030A0"/>
              </w:rPr>
            </w:pPr>
            <w:r w:rsidRPr="00E9279E">
              <w:rPr>
                <w:color w:val="auto"/>
              </w:rPr>
              <w:t>69.0 (35.3, 155.0)</w:t>
            </w:r>
          </w:p>
        </w:tc>
      </w:tr>
      <w:tr w:rsidR="00C314D3" w:rsidRPr="00E9279E" w14:paraId="4B4D0335" w14:textId="77777777" w:rsidTr="006835FD">
        <w:trPr>
          <w:trHeight w:val="20"/>
        </w:trPr>
        <w:tc>
          <w:tcPr>
            <w:tcW w:w="1747" w:type="dxa"/>
            <w:hideMark/>
          </w:tcPr>
          <w:p w14:paraId="2740AD51" w14:textId="1EC1DA5F" w:rsidR="00C314D3" w:rsidRPr="00E9279E" w:rsidRDefault="006835FD" w:rsidP="006835FD">
            <w:pPr>
              <w:pStyle w:val="Tabletext"/>
              <w:ind w:left="0" w:right="0"/>
              <w:rPr>
                <w:b/>
                <w:color w:val="7030A0"/>
                <w:lang w:val="en-US"/>
              </w:rPr>
            </w:pPr>
            <w:r w:rsidRPr="00E9279E">
              <w:rPr>
                <w:b/>
                <w:color w:val="auto"/>
                <w:lang w:val="en-US"/>
              </w:rPr>
              <w:t xml:space="preserve">Eastern Cooperative Oncology Group </w:t>
            </w:r>
            <w:r w:rsidRPr="00E9279E">
              <w:rPr>
                <w:b/>
                <w:color w:val="auto"/>
                <w:lang w:val="en-US"/>
              </w:rPr>
              <w:lastRenderedPageBreak/>
              <w:t>Performance Status</w:t>
            </w:r>
          </w:p>
        </w:tc>
        <w:tc>
          <w:tcPr>
            <w:tcW w:w="3063" w:type="dxa"/>
          </w:tcPr>
          <w:p w14:paraId="7745BF09" w14:textId="77777777" w:rsidR="00C314D3" w:rsidRPr="00E9279E" w:rsidRDefault="00C314D3" w:rsidP="0036706A">
            <w:pPr>
              <w:pStyle w:val="Tabletext"/>
              <w:ind w:left="0" w:right="0"/>
              <w:rPr>
                <w:color w:val="auto"/>
                <w:lang w:val="en-US"/>
              </w:rPr>
            </w:pPr>
            <w:r w:rsidRPr="00E9279E">
              <w:rPr>
                <w:color w:val="auto"/>
                <w:lang w:val="en-US"/>
              </w:rPr>
              <w:lastRenderedPageBreak/>
              <w:t>0</w:t>
            </w:r>
          </w:p>
          <w:p w14:paraId="49BEA877" w14:textId="77777777" w:rsidR="00C314D3" w:rsidRPr="00E9279E" w:rsidRDefault="00C314D3" w:rsidP="0036706A">
            <w:pPr>
              <w:pStyle w:val="Tabletext"/>
              <w:ind w:left="0" w:right="0"/>
              <w:rPr>
                <w:color w:val="auto"/>
                <w:lang w:val="en-US"/>
              </w:rPr>
            </w:pPr>
            <w:r w:rsidRPr="00E9279E">
              <w:rPr>
                <w:color w:val="auto"/>
                <w:lang w:val="en-US"/>
              </w:rPr>
              <w:t>1</w:t>
            </w:r>
          </w:p>
          <w:p w14:paraId="3251C229" w14:textId="77777777" w:rsidR="00C314D3" w:rsidRPr="00E9279E" w:rsidRDefault="00C314D3" w:rsidP="0036706A">
            <w:pPr>
              <w:pStyle w:val="Tabletext"/>
              <w:ind w:left="0" w:right="0"/>
              <w:rPr>
                <w:color w:val="auto"/>
                <w:lang w:val="en-US"/>
              </w:rPr>
            </w:pPr>
            <w:r w:rsidRPr="00E9279E">
              <w:rPr>
                <w:color w:val="auto"/>
                <w:lang w:val="en-US"/>
              </w:rPr>
              <w:t>2</w:t>
            </w:r>
          </w:p>
          <w:p w14:paraId="05926C13" w14:textId="77777777" w:rsidR="00C314D3" w:rsidRPr="00E9279E" w:rsidRDefault="00C314D3" w:rsidP="0036706A">
            <w:pPr>
              <w:pStyle w:val="Tabletext"/>
              <w:ind w:left="0" w:right="0"/>
              <w:rPr>
                <w:color w:val="7030A0"/>
                <w:lang w:val="en-US"/>
              </w:rPr>
            </w:pPr>
            <w:r w:rsidRPr="00E9279E">
              <w:rPr>
                <w:color w:val="auto"/>
                <w:lang w:val="en-US"/>
              </w:rPr>
              <w:lastRenderedPageBreak/>
              <w:t>3</w:t>
            </w:r>
          </w:p>
        </w:tc>
        <w:tc>
          <w:tcPr>
            <w:tcW w:w="1701" w:type="dxa"/>
            <w:hideMark/>
          </w:tcPr>
          <w:p w14:paraId="5D48CBD3" w14:textId="77777777" w:rsidR="00C314D3" w:rsidRPr="00E9279E" w:rsidRDefault="00C314D3" w:rsidP="0036706A">
            <w:pPr>
              <w:pStyle w:val="Tabletext"/>
              <w:ind w:left="0" w:right="0"/>
              <w:rPr>
                <w:color w:val="auto"/>
              </w:rPr>
            </w:pPr>
            <w:r w:rsidRPr="00E9279E">
              <w:rPr>
                <w:color w:val="auto"/>
              </w:rPr>
              <w:lastRenderedPageBreak/>
              <w:t>85.7%</w:t>
            </w:r>
          </w:p>
          <w:p w14:paraId="4CC03CF6" w14:textId="77777777" w:rsidR="00C314D3" w:rsidRPr="00E9279E" w:rsidRDefault="00C314D3" w:rsidP="0036706A">
            <w:pPr>
              <w:pStyle w:val="Tabletext"/>
              <w:ind w:left="0" w:right="0"/>
              <w:rPr>
                <w:color w:val="auto"/>
              </w:rPr>
            </w:pPr>
            <w:r w:rsidRPr="00E9279E">
              <w:rPr>
                <w:color w:val="auto"/>
              </w:rPr>
              <w:t>14.3%</w:t>
            </w:r>
          </w:p>
          <w:p w14:paraId="05EF8502" w14:textId="77777777" w:rsidR="00C314D3" w:rsidRPr="00E9279E" w:rsidRDefault="00C314D3" w:rsidP="0036706A">
            <w:pPr>
              <w:pStyle w:val="Tabletext"/>
              <w:ind w:left="0" w:right="0"/>
              <w:rPr>
                <w:color w:val="auto"/>
              </w:rPr>
            </w:pPr>
            <w:r w:rsidRPr="00E9279E">
              <w:rPr>
                <w:color w:val="auto"/>
              </w:rPr>
              <w:t>0</w:t>
            </w:r>
          </w:p>
          <w:p w14:paraId="50CE56D2" w14:textId="3E67573B" w:rsidR="00C314D3" w:rsidRPr="00E9279E" w:rsidRDefault="00C314D3" w:rsidP="0036706A">
            <w:pPr>
              <w:pStyle w:val="Tabletext"/>
              <w:ind w:left="0" w:right="0"/>
              <w:rPr>
                <w:color w:val="auto"/>
              </w:rPr>
            </w:pPr>
            <w:r w:rsidRPr="00E9279E">
              <w:rPr>
                <w:color w:val="auto"/>
              </w:rPr>
              <w:lastRenderedPageBreak/>
              <w:t>1</w:t>
            </w:r>
            <w:r w:rsidR="00124678" w:rsidRPr="00E9279E">
              <w:rPr>
                <w:color w:val="auto"/>
              </w:rPr>
              <w:t xml:space="preserve"> patient</w:t>
            </w:r>
          </w:p>
        </w:tc>
        <w:tc>
          <w:tcPr>
            <w:tcW w:w="1701" w:type="dxa"/>
            <w:hideMark/>
          </w:tcPr>
          <w:p w14:paraId="16E59FDE" w14:textId="77777777" w:rsidR="00C314D3" w:rsidRPr="00E9279E" w:rsidRDefault="00C314D3" w:rsidP="0036706A">
            <w:pPr>
              <w:pStyle w:val="Tabletext"/>
              <w:ind w:left="0" w:right="0"/>
              <w:rPr>
                <w:color w:val="auto"/>
              </w:rPr>
            </w:pPr>
            <w:r w:rsidRPr="00E9279E">
              <w:rPr>
                <w:color w:val="auto"/>
              </w:rPr>
              <w:lastRenderedPageBreak/>
              <w:t>83.8%</w:t>
            </w:r>
          </w:p>
          <w:p w14:paraId="0232B881" w14:textId="77777777" w:rsidR="00C314D3" w:rsidRPr="00E9279E" w:rsidRDefault="00C314D3" w:rsidP="0036706A">
            <w:pPr>
              <w:pStyle w:val="Tabletext"/>
              <w:ind w:left="0" w:right="0"/>
              <w:rPr>
                <w:color w:val="auto"/>
              </w:rPr>
            </w:pPr>
            <w:r w:rsidRPr="00E9279E">
              <w:rPr>
                <w:color w:val="auto"/>
              </w:rPr>
              <w:t>16.1%</w:t>
            </w:r>
          </w:p>
          <w:p w14:paraId="6EDCF0D2" w14:textId="77777777" w:rsidR="00C314D3" w:rsidRPr="00E9279E" w:rsidRDefault="00C314D3" w:rsidP="0036706A">
            <w:pPr>
              <w:pStyle w:val="Tabletext"/>
              <w:ind w:left="0" w:right="0"/>
              <w:rPr>
                <w:color w:val="auto"/>
              </w:rPr>
            </w:pPr>
            <w:r w:rsidRPr="00E9279E">
              <w:rPr>
                <w:color w:val="auto"/>
              </w:rPr>
              <w:t>0.1%</w:t>
            </w:r>
          </w:p>
          <w:p w14:paraId="2D0F9ED4" w14:textId="77777777" w:rsidR="00C314D3" w:rsidRPr="00E9279E" w:rsidRDefault="00C314D3" w:rsidP="0036706A">
            <w:pPr>
              <w:pStyle w:val="Tabletext"/>
              <w:ind w:left="0" w:right="0"/>
              <w:rPr>
                <w:color w:val="auto"/>
              </w:rPr>
            </w:pPr>
            <w:r w:rsidRPr="00E9279E">
              <w:rPr>
                <w:color w:val="auto"/>
              </w:rPr>
              <w:lastRenderedPageBreak/>
              <w:t>0</w:t>
            </w:r>
          </w:p>
        </w:tc>
      </w:tr>
      <w:tr w:rsidR="00C314D3" w:rsidRPr="00E9279E" w14:paraId="766B876A" w14:textId="77777777" w:rsidTr="005550FE">
        <w:trPr>
          <w:trHeight w:val="20"/>
        </w:trPr>
        <w:tc>
          <w:tcPr>
            <w:tcW w:w="1747" w:type="dxa"/>
            <w:vMerge w:val="restart"/>
          </w:tcPr>
          <w:p w14:paraId="6480DA13" w14:textId="77777777" w:rsidR="00C314D3" w:rsidRPr="00E9279E" w:rsidRDefault="00C314D3" w:rsidP="0036706A">
            <w:pPr>
              <w:pStyle w:val="Tabletext"/>
              <w:ind w:left="0" w:right="0"/>
              <w:rPr>
                <w:b/>
                <w:color w:val="7030A0"/>
                <w:lang w:val="en-US"/>
              </w:rPr>
            </w:pPr>
            <w:proofErr w:type="spellStart"/>
            <w:r w:rsidRPr="00E9279E">
              <w:rPr>
                <w:b/>
                <w:color w:val="auto"/>
                <w:lang w:val="en-US"/>
              </w:rPr>
              <w:lastRenderedPageBreak/>
              <w:t>Tumour</w:t>
            </w:r>
            <w:proofErr w:type="spellEnd"/>
            <w:r w:rsidRPr="00E9279E">
              <w:rPr>
                <w:b/>
                <w:color w:val="auto"/>
                <w:lang w:val="en-US"/>
              </w:rPr>
              <w:t xml:space="preserve"> characteristics</w:t>
            </w:r>
          </w:p>
        </w:tc>
        <w:tc>
          <w:tcPr>
            <w:tcW w:w="6465" w:type="dxa"/>
            <w:gridSpan w:val="3"/>
          </w:tcPr>
          <w:p w14:paraId="3E3AF23B" w14:textId="77777777" w:rsidR="00C314D3" w:rsidRPr="00E9279E" w:rsidRDefault="00C314D3" w:rsidP="0036706A">
            <w:pPr>
              <w:pStyle w:val="Tabletext"/>
              <w:ind w:left="0" w:right="0"/>
              <w:rPr>
                <w:b/>
                <w:color w:val="7030A0"/>
              </w:rPr>
            </w:pPr>
            <w:r w:rsidRPr="00E9279E">
              <w:rPr>
                <w:b/>
                <w:color w:val="auto"/>
              </w:rPr>
              <w:t>Initial pathological diagnosis (&gt; 10% patients)</w:t>
            </w:r>
          </w:p>
        </w:tc>
      </w:tr>
      <w:tr w:rsidR="00C314D3" w:rsidRPr="00E9279E" w14:paraId="3D0C359C" w14:textId="77777777" w:rsidTr="006835FD">
        <w:trPr>
          <w:trHeight w:val="20"/>
        </w:trPr>
        <w:tc>
          <w:tcPr>
            <w:tcW w:w="1747" w:type="dxa"/>
            <w:vMerge/>
          </w:tcPr>
          <w:p w14:paraId="1636E060" w14:textId="77777777" w:rsidR="00C314D3" w:rsidRPr="00E9279E" w:rsidRDefault="00C314D3" w:rsidP="0036706A">
            <w:pPr>
              <w:pStyle w:val="Tabletext"/>
              <w:ind w:left="0" w:right="0"/>
              <w:rPr>
                <w:bCs/>
                <w:color w:val="7030A0"/>
                <w:lang w:val="en-US"/>
              </w:rPr>
            </w:pPr>
          </w:p>
        </w:tc>
        <w:tc>
          <w:tcPr>
            <w:tcW w:w="3063" w:type="dxa"/>
          </w:tcPr>
          <w:p w14:paraId="524A87E2" w14:textId="77777777" w:rsidR="00C314D3" w:rsidRPr="00E9279E" w:rsidRDefault="00C314D3" w:rsidP="0036706A">
            <w:pPr>
              <w:pStyle w:val="Tabletext"/>
              <w:ind w:left="0" w:right="0"/>
              <w:rPr>
                <w:color w:val="auto"/>
                <w:lang w:val="en-US"/>
              </w:rPr>
            </w:pPr>
            <w:r w:rsidRPr="00E9279E">
              <w:rPr>
                <w:color w:val="auto"/>
                <w:lang w:val="en-US"/>
              </w:rPr>
              <w:t>Invasive ductal breast carcinoma</w:t>
            </w:r>
          </w:p>
          <w:p w14:paraId="104BCE1C" w14:textId="3F9A94F1" w:rsidR="00C314D3" w:rsidRPr="00E9279E" w:rsidRDefault="00C314D3" w:rsidP="0036706A">
            <w:pPr>
              <w:pStyle w:val="Tabletext"/>
              <w:ind w:left="0" w:right="0"/>
              <w:rPr>
                <w:color w:val="auto"/>
                <w:lang w:val="en-US"/>
              </w:rPr>
            </w:pPr>
            <w:r w:rsidRPr="00E9279E">
              <w:rPr>
                <w:color w:val="auto"/>
                <w:lang w:val="en-US"/>
              </w:rPr>
              <w:t>Breast cancer (</w:t>
            </w:r>
            <w:r w:rsidR="006835FD" w:rsidRPr="00E9279E">
              <w:rPr>
                <w:color w:val="auto"/>
                <w:lang w:val="en-US"/>
              </w:rPr>
              <w:t>not otherwise specified</w:t>
            </w:r>
            <w:r w:rsidRPr="00E9279E">
              <w:rPr>
                <w:color w:val="auto"/>
                <w:lang w:val="en-US"/>
              </w:rPr>
              <w:t>)</w:t>
            </w:r>
          </w:p>
          <w:p w14:paraId="472EB5F4" w14:textId="71BEF7A6" w:rsidR="007427C3" w:rsidRPr="00E9279E" w:rsidRDefault="00C314D3" w:rsidP="0036706A">
            <w:pPr>
              <w:pStyle w:val="Tabletext"/>
              <w:ind w:left="0" w:right="0"/>
              <w:rPr>
                <w:color w:val="auto"/>
                <w:lang w:val="en-US"/>
              </w:rPr>
            </w:pPr>
            <w:r w:rsidRPr="00E9279E">
              <w:rPr>
                <w:color w:val="auto"/>
                <w:lang w:val="en-US"/>
              </w:rPr>
              <w:t>Invasive lobular breast carcinoma</w:t>
            </w:r>
          </w:p>
        </w:tc>
        <w:tc>
          <w:tcPr>
            <w:tcW w:w="1701" w:type="dxa"/>
          </w:tcPr>
          <w:p w14:paraId="66072ACE" w14:textId="77777777" w:rsidR="00C314D3" w:rsidRPr="00E9279E" w:rsidRDefault="00C314D3" w:rsidP="0036706A">
            <w:pPr>
              <w:pStyle w:val="Tabletext"/>
              <w:ind w:left="0" w:right="0"/>
              <w:rPr>
                <w:color w:val="auto"/>
              </w:rPr>
            </w:pPr>
            <w:r w:rsidRPr="00E9279E">
              <w:rPr>
                <w:color w:val="auto"/>
              </w:rPr>
              <w:t>67.6%</w:t>
            </w:r>
          </w:p>
          <w:p w14:paraId="3C020085" w14:textId="77777777" w:rsidR="00C314D3" w:rsidRPr="00E9279E" w:rsidRDefault="00C314D3" w:rsidP="0036706A">
            <w:pPr>
              <w:pStyle w:val="Tabletext"/>
              <w:ind w:left="0" w:right="0"/>
              <w:rPr>
                <w:color w:val="auto"/>
              </w:rPr>
            </w:pPr>
            <w:r w:rsidRPr="00E9279E">
              <w:rPr>
                <w:color w:val="auto"/>
              </w:rPr>
              <w:t>16.8%</w:t>
            </w:r>
          </w:p>
          <w:p w14:paraId="33DAC66F" w14:textId="0971262B" w:rsidR="00C314D3" w:rsidRPr="00E9279E" w:rsidRDefault="007427C3" w:rsidP="0036706A">
            <w:pPr>
              <w:pStyle w:val="Tabletext"/>
              <w:ind w:left="0" w:right="0"/>
              <w:rPr>
                <w:color w:val="auto"/>
              </w:rPr>
            </w:pPr>
            <w:r w:rsidRPr="00E9279E">
              <w:rPr>
                <w:color w:val="auto"/>
              </w:rPr>
              <w:br/>
            </w:r>
            <w:r w:rsidR="00C314D3" w:rsidRPr="00E9279E">
              <w:rPr>
                <w:color w:val="auto"/>
              </w:rPr>
              <w:t>13.2%</w:t>
            </w:r>
          </w:p>
        </w:tc>
        <w:tc>
          <w:tcPr>
            <w:tcW w:w="1701" w:type="dxa"/>
          </w:tcPr>
          <w:p w14:paraId="6AFB5B2D" w14:textId="77777777" w:rsidR="00C314D3" w:rsidRPr="00E9279E" w:rsidRDefault="00C314D3" w:rsidP="0036706A">
            <w:pPr>
              <w:pStyle w:val="Tabletext"/>
              <w:ind w:left="0" w:right="0"/>
              <w:rPr>
                <w:color w:val="auto"/>
              </w:rPr>
            </w:pPr>
            <w:r w:rsidRPr="00E9279E">
              <w:rPr>
                <w:color w:val="auto"/>
              </w:rPr>
              <w:t>69.2%</w:t>
            </w:r>
          </w:p>
          <w:p w14:paraId="47E5B8CB" w14:textId="77777777" w:rsidR="00C314D3" w:rsidRPr="00E9279E" w:rsidRDefault="00C314D3" w:rsidP="0036706A">
            <w:pPr>
              <w:pStyle w:val="Tabletext"/>
              <w:ind w:left="0" w:right="0"/>
              <w:rPr>
                <w:color w:val="auto"/>
              </w:rPr>
            </w:pPr>
            <w:r w:rsidRPr="00E9279E">
              <w:rPr>
                <w:color w:val="auto"/>
              </w:rPr>
              <w:t>16.6%</w:t>
            </w:r>
          </w:p>
          <w:p w14:paraId="52EF2FDE" w14:textId="7208C2BE" w:rsidR="00C314D3" w:rsidRPr="00E9279E" w:rsidRDefault="007427C3" w:rsidP="0036706A">
            <w:pPr>
              <w:pStyle w:val="Tabletext"/>
              <w:ind w:left="0" w:right="0"/>
              <w:rPr>
                <w:color w:val="7030A0"/>
              </w:rPr>
            </w:pPr>
            <w:r w:rsidRPr="00E9279E">
              <w:rPr>
                <w:color w:val="auto"/>
              </w:rPr>
              <w:br/>
            </w:r>
            <w:r w:rsidR="00C314D3" w:rsidRPr="00E9279E">
              <w:rPr>
                <w:color w:val="auto"/>
              </w:rPr>
              <w:t>12.3%</w:t>
            </w:r>
          </w:p>
        </w:tc>
      </w:tr>
      <w:tr w:rsidR="00C314D3" w:rsidRPr="00E9279E" w14:paraId="69801631" w14:textId="77777777" w:rsidTr="005550FE">
        <w:trPr>
          <w:trHeight w:val="20"/>
        </w:trPr>
        <w:tc>
          <w:tcPr>
            <w:tcW w:w="1747" w:type="dxa"/>
            <w:vMerge/>
          </w:tcPr>
          <w:p w14:paraId="187172F9" w14:textId="77777777" w:rsidR="00C314D3" w:rsidRPr="00E9279E" w:rsidRDefault="00C314D3" w:rsidP="0036706A">
            <w:pPr>
              <w:pStyle w:val="Tabletext"/>
              <w:ind w:left="0" w:right="0"/>
              <w:rPr>
                <w:bCs/>
                <w:color w:val="7030A0"/>
                <w:lang w:val="en-US"/>
              </w:rPr>
            </w:pPr>
          </w:p>
        </w:tc>
        <w:tc>
          <w:tcPr>
            <w:tcW w:w="6465" w:type="dxa"/>
            <w:gridSpan w:val="3"/>
          </w:tcPr>
          <w:p w14:paraId="53547101" w14:textId="77777777" w:rsidR="00C314D3" w:rsidRPr="00E9279E" w:rsidRDefault="00C314D3" w:rsidP="0036706A">
            <w:pPr>
              <w:pStyle w:val="Tabletext"/>
              <w:ind w:left="0" w:right="0"/>
              <w:rPr>
                <w:b/>
                <w:color w:val="7030A0"/>
              </w:rPr>
            </w:pPr>
            <w:r w:rsidRPr="00E9279E">
              <w:rPr>
                <w:b/>
                <w:color w:val="auto"/>
              </w:rPr>
              <w:t>Primary tumour size (pathology at surgery)</w:t>
            </w:r>
          </w:p>
        </w:tc>
      </w:tr>
      <w:tr w:rsidR="00C314D3" w:rsidRPr="00E9279E" w14:paraId="386D61C3" w14:textId="77777777" w:rsidTr="006835FD">
        <w:trPr>
          <w:trHeight w:val="20"/>
        </w:trPr>
        <w:tc>
          <w:tcPr>
            <w:tcW w:w="1747" w:type="dxa"/>
            <w:vMerge/>
          </w:tcPr>
          <w:p w14:paraId="71E0460A" w14:textId="77777777" w:rsidR="00C314D3" w:rsidRPr="00E9279E" w:rsidRDefault="00C314D3" w:rsidP="0036706A">
            <w:pPr>
              <w:pStyle w:val="Tabletext"/>
              <w:ind w:left="0" w:right="0"/>
              <w:rPr>
                <w:bCs/>
                <w:color w:val="7030A0"/>
                <w:lang w:val="en-US"/>
              </w:rPr>
            </w:pPr>
          </w:p>
        </w:tc>
        <w:tc>
          <w:tcPr>
            <w:tcW w:w="3063" w:type="dxa"/>
          </w:tcPr>
          <w:p w14:paraId="43EBF195" w14:textId="6EC8531D" w:rsidR="00C314D3" w:rsidRPr="00E9279E" w:rsidRDefault="00C314D3" w:rsidP="0036706A">
            <w:pPr>
              <w:pStyle w:val="Tabletext"/>
              <w:ind w:left="0" w:right="0"/>
              <w:rPr>
                <w:color w:val="auto"/>
                <w:lang w:val="en-US"/>
              </w:rPr>
            </w:pPr>
            <w:r w:rsidRPr="00E9279E">
              <w:rPr>
                <w:color w:val="auto"/>
                <w:lang w:val="en-US"/>
              </w:rPr>
              <w:t>&lt;</w:t>
            </w:r>
            <w:r w:rsidR="002F1A84" w:rsidRPr="00E9279E">
              <w:rPr>
                <w:color w:val="auto"/>
                <w:lang w:val="en-US"/>
              </w:rPr>
              <w:t xml:space="preserve"> </w:t>
            </w:r>
            <w:r w:rsidRPr="00E9279E">
              <w:rPr>
                <w:color w:val="auto"/>
                <w:lang w:val="en-US"/>
              </w:rPr>
              <w:t>20 mm</w:t>
            </w:r>
          </w:p>
          <w:p w14:paraId="4D9FB606" w14:textId="157577F9" w:rsidR="00C314D3" w:rsidRPr="00E9279E" w:rsidRDefault="00C314D3" w:rsidP="0036706A">
            <w:pPr>
              <w:pStyle w:val="Tabletext"/>
              <w:ind w:left="0" w:right="0"/>
              <w:rPr>
                <w:color w:val="auto"/>
                <w:lang w:val="en-US"/>
              </w:rPr>
            </w:pPr>
            <w:r w:rsidRPr="00E9279E">
              <w:rPr>
                <w:color w:val="auto"/>
                <w:lang w:val="en-US"/>
              </w:rPr>
              <w:t>&gt;</w:t>
            </w:r>
            <w:r w:rsidR="002F1A84" w:rsidRPr="00E9279E">
              <w:rPr>
                <w:color w:val="auto"/>
                <w:lang w:val="en-US"/>
              </w:rPr>
              <w:t xml:space="preserve"> </w:t>
            </w:r>
            <w:r w:rsidRPr="00E9279E">
              <w:rPr>
                <w:color w:val="auto"/>
                <w:lang w:val="en-US"/>
              </w:rPr>
              <w:t>20 mm, ≤ 50 mm</w:t>
            </w:r>
          </w:p>
          <w:p w14:paraId="0316D64E" w14:textId="162964C4" w:rsidR="00C314D3" w:rsidRPr="00E9279E" w:rsidRDefault="00C314D3" w:rsidP="0036706A">
            <w:pPr>
              <w:pStyle w:val="Tabletext"/>
              <w:ind w:left="0" w:right="0"/>
              <w:rPr>
                <w:color w:val="auto"/>
                <w:lang w:val="en-US"/>
              </w:rPr>
            </w:pPr>
            <w:r w:rsidRPr="00E9279E">
              <w:rPr>
                <w:color w:val="auto"/>
                <w:lang w:val="en-US"/>
              </w:rPr>
              <w:t>≥</w:t>
            </w:r>
            <w:r w:rsidR="002F1A84" w:rsidRPr="00E9279E">
              <w:rPr>
                <w:color w:val="auto"/>
                <w:lang w:val="en-US"/>
              </w:rPr>
              <w:t xml:space="preserve"> </w:t>
            </w:r>
            <w:r w:rsidRPr="00E9279E">
              <w:rPr>
                <w:color w:val="auto"/>
                <w:lang w:val="en-US"/>
              </w:rPr>
              <w:t>50 mm</w:t>
            </w:r>
          </w:p>
        </w:tc>
        <w:tc>
          <w:tcPr>
            <w:tcW w:w="1701" w:type="dxa"/>
          </w:tcPr>
          <w:p w14:paraId="1E2824D0" w14:textId="77777777" w:rsidR="00C314D3" w:rsidRPr="00E9279E" w:rsidRDefault="00C314D3" w:rsidP="0036706A">
            <w:pPr>
              <w:pStyle w:val="Tabletext"/>
              <w:ind w:left="0" w:right="0"/>
              <w:rPr>
                <w:color w:val="auto"/>
              </w:rPr>
            </w:pPr>
            <w:r w:rsidRPr="00E9279E">
              <w:rPr>
                <w:color w:val="auto"/>
              </w:rPr>
              <w:t>27.8%</w:t>
            </w:r>
          </w:p>
          <w:p w14:paraId="0518F511" w14:textId="77777777" w:rsidR="00C314D3" w:rsidRPr="00E9279E" w:rsidRDefault="00C314D3" w:rsidP="0036706A">
            <w:pPr>
              <w:pStyle w:val="Tabletext"/>
              <w:ind w:left="0" w:right="0"/>
              <w:rPr>
                <w:color w:val="auto"/>
              </w:rPr>
            </w:pPr>
            <w:r w:rsidRPr="00E9279E">
              <w:rPr>
                <w:color w:val="auto"/>
              </w:rPr>
              <w:t>48.9%</w:t>
            </w:r>
          </w:p>
          <w:p w14:paraId="297E4BD1" w14:textId="77777777" w:rsidR="00C314D3" w:rsidRPr="00E9279E" w:rsidRDefault="00C314D3" w:rsidP="0036706A">
            <w:pPr>
              <w:pStyle w:val="Tabletext"/>
              <w:ind w:left="0" w:right="0"/>
              <w:rPr>
                <w:color w:val="auto"/>
              </w:rPr>
            </w:pPr>
            <w:r w:rsidRPr="00E9279E">
              <w:rPr>
                <w:color w:val="auto"/>
              </w:rPr>
              <w:t>21.6%</w:t>
            </w:r>
          </w:p>
        </w:tc>
        <w:tc>
          <w:tcPr>
            <w:tcW w:w="1701" w:type="dxa"/>
          </w:tcPr>
          <w:p w14:paraId="6D2F6511" w14:textId="77777777" w:rsidR="00C314D3" w:rsidRPr="00E9279E" w:rsidRDefault="00C314D3" w:rsidP="0036706A">
            <w:pPr>
              <w:pStyle w:val="Tabletext"/>
              <w:ind w:left="0" w:right="0"/>
              <w:rPr>
                <w:color w:val="auto"/>
              </w:rPr>
            </w:pPr>
            <w:r w:rsidRPr="00E9279E">
              <w:rPr>
                <w:color w:val="auto"/>
              </w:rPr>
              <w:t>27.1%</w:t>
            </w:r>
          </w:p>
          <w:p w14:paraId="4E453CB4" w14:textId="77777777" w:rsidR="00C314D3" w:rsidRPr="00E9279E" w:rsidRDefault="00C314D3" w:rsidP="0036706A">
            <w:pPr>
              <w:pStyle w:val="Tabletext"/>
              <w:ind w:left="0" w:right="0"/>
              <w:rPr>
                <w:color w:val="auto"/>
              </w:rPr>
            </w:pPr>
            <w:r w:rsidRPr="00E9279E">
              <w:rPr>
                <w:color w:val="auto"/>
              </w:rPr>
              <w:t>50.2%</w:t>
            </w:r>
          </w:p>
          <w:p w14:paraId="5136A539" w14:textId="77777777" w:rsidR="00C314D3" w:rsidRPr="00E9279E" w:rsidRDefault="00C314D3" w:rsidP="0036706A">
            <w:pPr>
              <w:pStyle w:val="Tabletext"/>
              <w:ind w:left="0" w:right="0"/>
              <w:rPr>
                <w:color w:val="auto"/>
              </w:rPr>
            </w:pPr>
            <w:r w:rsidRPr="00E9279E">
              <w:rPr>
                <w:color w:val="auto"/>
              </w:rPr>
              <w:t>21.6%</w:t>
            </w:r>
          </w:p>
        </w:tc>
      </w:tr>
      <w:tr w:rsidR="00C314D3" w:rsidRPr="00E9279E" w14:paraId="07205864" w14:textId="77777777" w:rsidTr="005550FE">
        <w:trPr>
          <w:trHeight w:val="20"/>
        </w:trPr>
        <w:tc>
          <w:tcPr>
            <w:tcW w:w="1747" w:type="dxa"/>
            <w:vMerge/>
          </w:tcPr>
          <w:p w14:paraId="574C3873" w14:textId="77777777" w:rsidR="00C314D3" w:rsidRPr="00E9279E" w:rsidRDefault="00C314D3" w:rsidP="0036706A">
            <w:pPr>
              <w:pStyle w:val="Tabletext"/>
              <w:ind w:left="0" w:right="0"/>
              <w:rPr>
                <w:bCs/>
                <w:color w:val="7030A0"/>
                <w:lang w:val="en-US"/>
              </w:rPr>
            </w:pPr>
          </w:p>
        </w:tc>
        <w:tc>
          <w:tcPr>
            <w:tcW w:w="6465" w:type="dxa"/>
            <w:gridSpan w:val="3"/>
          </w:tcPr>
          <w:p w14:paraId="221E7FFA" w14:textId="77777777" w:rsidR="00C314D3" w:rsidRPr="00E9279E" w:rsidRDefault="00C314D3" w:rsidP="0036706A">
            <w:pPr>
              <w:pStyle w:val="Tabletext"/>
              <w:ind w:left="0" w:right="0"/>
              <w:rPr>
                <w:b/>
                <w:color w:val="auto"/>
              </w:rPr>
            </w:pPr>
            <w:r w:rsidRPr="00E9279E">
              <w:rPr>
                <w:b/>
                <w:color w:val="auto"/>
              </w:rPr>
              <w:t>Number of positive lymph nodes</w:t>
            </w:r>
          </w:p>
        </w:tc>
      </w:tr>
      <w:tr w:rsidR="00C314D3" w:rsidRPr="00E9279E" w14:paraId="4E0DF36F" w14:textId="77777777" w:rsidTr="006835FD">
        <w:trPr>
          <w:trHeight w:val="20"/>
        </w:trPr>
        <w:tc>
          <w:tcPr>
            <w:tcW w:w="1747" w:type="dxa"/>
            <w:vMerge/>
          </w:tcPr>
          <w:p w14:paraId="7EEB9B23" w14:textId="77777777" w:rsidR="00C314D3" w:rsidRPr="00E9279E" w:rsidRDefault="00C314D3" w:rsidP="0036706A">
            <w:pPr>
              <w:pStyle w:val="Tabletext"/>
              <w:ind w:left="0" w:right="0"/>
              <w:rPr>
                <w:bCs/>
                <w:color w:val="7030A0"/>
                <w:lang w:val="en-US"/>
              </w:rPr>
            </w:pPr>
          </w:p>
        </w:tc>
        <w:tc>
          <w:tcPr>
            <w:tcW w:w="3063" w:type="dxa"/>
          </w:tcPr>
          <w:p w14:paraId="2FAB915D" w14:textId="77777777" w:rsidR="00C314D3" w:rsidRPr="00E9279E" w:rsidRDefault="00C314D3" w:rsidP="0036706A">
            <w:pPr>
              <w:pStyle w:val="Tabletext"/>
              <w:ind w:left="0" w:right="0"/>
              <w:rPr>
                <w:color w:val="auto"/>
                <w:lang w:val="en-US"/>
              </w:rPr>
            </w:pPr>
            <w:r w:rsidRPr="00E9279E">
              <w:rPr>
                <w:color w:val="auto"/>
                <w:lang w:val="en-US"/>
              </w:rPr>
              <w:t>0</w:t>
            </w:r>
          </w:p>
          <w:p w14:paraId="63F47C2B" w14:textId="77777777" w:rsidR="00C314D3" w:rsidRPr="00E9279E" w:rsidRDefault="00C314D3" w:rsidP="0036706A">
            <w:pPr>
              <w:pStyle w:val="Tabletext"/>
              <w:ind w:left="0" w:right="0"/>
              <w:rPr>
                <w:color w:val="auto"/>
                <w:lang w:val="en-US"/>
              </w:rPr>
            </w:pPr>
            <w:r w:rsidRPr="00E9279E">
              <w:rPr>
                <w:color w:val="auto"/>
                <w:lang w:val="en-US"/>
              </w:rPr>
              <w:t>1-3</w:t>
            </w:r>
          </w:p>
          <w:p w14:paraId="354C603A" w14:textId="77777777" w:rsidR="00C314D3" w:rsidRPr="00E9279E" w:rsidRDefault="00C314D3" w:rsidP="0036706A">
            <w:pPr>
              <w:pStyle w:val="Tabletext"/>
              <w:ind w:left="0" w:right="0"/>
              <w:rPr>
                <w:color w:val="auto"/>
                <w:lang w:val="en-US"/>
              </w:rPr>
            </w:pPr>
            <w:r w:rsidRPr="00E9279E">
              <w:rPr>
                <w:color w:val="auto"/>
                <w:lang w:val="en-US"/>
              </w:rPr>
              <w:t>4-9</w:t>
            </w:r>
          </w:p>
          <w:p w14:paraId="4E146C68" w14:textId="4EC7B89F" w:rsidR="00C314D3" w:rsidRPr="00E9279E" w:rsidRDefault="00C314D3" w:rsidP="0036706A">
            <w:pPr>
              <w:pStyle w:val="Tabletext"/>
              <w:ind w:left="0" w:right="0"/>
              <w:rPr>
                <w:color w:val="auto"/>
                <w:lang w:val="en-US"/>
              </w:rPr>
            </w:pPr>
            <w:r w:rsidRPr="00E9279E">
              <w:rPr>
                <w:color w:val="auto"/>
                <w:lang w:val="en-US"/>
              </w:rPr>
              <w:t>≥</w:t>
            </w:r>
            <w:r w:rsidR="002F1A84" w:rsidRPr="00E9279E">
              <w:rPr>
                <w:color w:val="auto"/>
                <w:lang w:val="en-US"/>
              </w:rPr>
              <w:t xml:space="preserve"> </w:t>
            </w:r>
            <w:r w:rsidRPr="00E9279E">
              <w:rPr>
                <w:color w:val="auto"/>
                <w:lang w:val="en-US"/>
              </w:rPr>
              <w:t>10</w:t>
            </w:r>
          </w:p>
          <w:p w14:paraId="008FBBBC" w14:textId="585A13FD" w:rsidR="00C314D3" w:rsidRPr="00E9279E" w:rsidRDefault="007427C3" w:rsidP="0036706A">
            <w:pPr>
              <w:pStyle w:val="Tabletext"/>
              <w:ind w:left="0" w:right="0"/>
              <w:rPr>
                <w:color w:val="auto"/>
                <w:lang w:val="en-US"/>
              </w:rPr>
            </w:pPr>
            <w:r w:rsidRPr="00E9279E">
              <w:rPr>
                <w:color w:val="auto"/>
                <w:lang w:val="en-US"/>
              </w:rPr>
              <w:t>M</w:t>
            </w:r>
            <w:r w:rsidR="00C314D3" w:rsidRPr="00E9279E">
              <w:rPr>
                <w:color w:val="auto"/>
                <w:lang w:val="en-US"/>
              </w:rPr>
              <w:t>issing</w:t>
            </w:r>
          </w:p>
        </w:tc>
        <w:tc>
          <w:tcPr>
            <w:tcW w:w="1701" w:type="dxa"/>
          </w:tcPr>
          <w:p w14:paraId="2521C8A1" w14:textId="77777777" w:rsidR="00C314D3" w:rsidRPr="00E9279E" w:rsidRDefault="00C314D3" w:rsidP="0036706A">
            <w:pPr>
              <w:pStyle w:val="Tabletext"/>
              <w:ind w:left="0" w:right="0"/>
              <w:rPr>
                <w:color w:val="auto"/>
              </w:rPr>
            </w:pPr>
            <w:r w:rsidRPr="00E9279E">
              <w:rPr>
                <w:color w:val="auto"/>
              </w:rPr>
              <w:t>0.2%</w:t>
            </w:r>
          </w:p>
          <w:p w14:paraId="1C1A9E36" w14:textId="77777777" w:rsidR="00C314D3" w:rsidRPr="00E9279E" w:rsidRDefault="00C314D3" w:rsidP="0036706A">
            <w:pPr>
              <w:pStyle w:val="Tabletext"/>
              <w:ind w:left="0" w:right="0"/>
              <w:rPr>
                <w:color w:val="auto"/>
              </w:rPr>
            </w:pPr>
            <w:r w:rsidRPr="00E9279E">
              <w:rPr>
                <w:color w:val="auto"/>
              </w:rPr>
              <w:t>39.8%</w:t>
            </w:r>
          </w:p>
          <w:p w14:paraId="443434CD" w14:textId="77777777" w:rsidR="00C314D3" w:rsidRPr="00E9279E" w:rsidRDefault="00C314D3" w:rsidP="0036706A">
            <w:pPr>
              <w:pStyle w:val="Tabletext"/>
              <w:ind w:left="0" w:right="0"/>
              <w:rPr>
                <w:color w:val="auto"/>
              </w:rPr>
            </w:pPr>
            <w:r w:rsidRPr="00E9279E">
              <w:rPr>
                <w:color w:val="auto"/>
              </w:rPr>
              <w:t>39.4%</w:t>
            </w:r>
          </w:p>
          <w:p w14:paraId="21DA80FE" w14:textId="77777777" w:rsidR="00C314D3" w:rsidRPr="00E9279E" w:rsidRDefault="00C314D3" w:rsidP="0036706A">
            <w:pPr>
              <w:pStyle w:val="Tabletext"/>
              <w:ind w:left="0" w:right="0"/>
              <w:rPr>
                <w:color w:val="auto"/>
              </w:rPr>
            </w:pPr>
            <w:r w:rsidRPr="00E9279E">
              <w:rPr>
                <w:color w:val="auto"/>
              </w:rPr>
              <w:t>20.5%</w:t>
            </w:r>
          </w:p>
          <w:p w14:paraId="56934A44" w14:textId="79181534" w:rsidR="00C314D3" w:rsidRPr="00E9279E" w:rsidRDefault="00C314D3" w:rsidP="0036706A">
            <w:pPr>
              <w:pStyle w:val="Tabletext"/>
              <w:ind w:left="0" w:right="0"/>
              <w:rPr>
                <w:color w:val="auto"/>
              </w:rPr>
            </w:pPr>
            <w:r w:rsidRPr="00E9279E">
              <w:rPr>
                <w:color w:val="auto"/>
              </w:rPr>
              <w:t>1</w:t>
            </w:r>
            <w:r w:rsidR="00124678" w:rsidRPr="00E9279E">
              <w:rPr>
                <w:color w:val="auto"/>
              </w:rPr>
              <w:t xml:space="preserve"> patient</w:t>
            </w:r>
          </w:p>
        </w:tc>
        <w:tc>
          <w:tcPr>
            <w:tcW w:w="1701" w:type="dxa"/>
          </w:tcPr>
          <w:p w14:paraId="6B95032B" w14:textId="77777777" w:rsidR="00C314D3" w:rsidRPr="00E9279E" w:rsidRDefault="00C314D3" w:rsidP="0036706A">
            <w:pPr>
              <w:pStyle w:val="Tabletext"/>
              <w:ind w:left="0" w:right="0"/>
              <w:rPr>
                <w:color w:val="auto"/>
              </w:rPr>
            </w:pPr>
            <w:r w:rsidRPr="00E9279E">
              <w:rPr>
                <w:color w:val="auto"/>
              </w:rPr>
              <w:t>0.2%</w:t>
            </w:r>
          </w:p>
          <w:p w14:paraId="4EA77B1C" w14:textId="77777777" w:rsidR="00C314D3" w:rsidRPr="00E9279E" w:rsidRDefault="00C314D3" w:rsidP="0036706A">
            <w:pPr>
              <w:pStyle w:val="Tabletext"/>
              <w:ind w:left="0" w:right="0"/>
              <w:rPr>
                <w:color w:val="auto"/>
              </w:rPr>
            </w:pPr>
            <w:r w:rsidRPr="00E9279E">
              <w:rPr>
                <w:color w:val="auto"/>
              </w:rPr>
              <w:t>40.4%</w:t>
            </w:r>
          </w:p>
          <w:p w14:paraId="0A2ACFFF" w14:textId="77777777" w:rsidR="00C314D3" w:rsidRPr="00E9279E" w:rsidRDefault="00C314D3" w:rsidP="0036706A">
            <w:pPr>
              <w:pStyle w:val="Tabletext"/>
              <w:ind w:left="0" w:right="0"/>
              <w:rPr>
                <w:color w:val="auto"/>
              </w:rPr>
            </w:pPr>
            <w:r w:rsidRPr="00E9279E">
              <w:rPr>
                <w:color w:val="auto"/>
              </w:rPr>
              <w:t>39.8%</w:t>
            </w:r>
          </w:p>
          <w:p w14:paraId="277A0F8D" w14:textId="77777777" w:rsidR="00C314D3" w:rsidRPr="00E9279E" w:rsidRDefault="00C314D3" w:rsidP="0036706A">
            <w:pPr>
              <w:pStyle w:val="Tabletext"/>
              <w:ind w:left="0" w:right="0"/>
              <w:rPr>
                <w:color w:val="auto"/>
              </w:rPr>
            </w:pPr>
            <w:r w:rsidRPr="00E9279E">
              <w:rPr>
                <w:color w:val="auto"/>
              </w:rPr>
              <w:t>19.6%</w:t>
            </w:r>
          </w:p>
          <w:p w14:paraId="10B36A9E" w14:textId="462F9BA8" w:rsidR="00C314D3" w:rsidRPr="00E9279E" w:rsidRDefault="00C314D3" w:rsidP="0036706A">
            <w:pPr>
              <w:pStyle w:val="Tabletext"/>
              <w:ind w:left="0" w:right="0"/>
              <w:rPr>
                <w:color w:val="auto"/>
              </w:rPr>
            </w:pPr>
            <w:r w:rsidRPr="00E9279E">
              <w:rPr>
                <w:color w:val="auto"/>
              </w:rPr>
              <w:t>0</w:t>
            </w:r>
          </w:p>
        </w:tc>
      </w:tr>
      <w:tr w:rsidR="00C314D3" w:rsidRPr="00E9279E" w14:paraId="0D32E6CA" w14:textId="77777777" w:rsidTr="005550FE">
        <w:trPr>
          <w:trHeight w:val="20"/>
        </w:trPr>
        <w:tc>
          <w:tcPr>
            <w:tcW w:w="1747" w:type="dxa"/>
            <w:vMerge/>
          </w:tcPr>
          <w:p w14:paraId="0840C078" w14:textId="77777777" w:rsidR="00C314D3" w:rsidRPr="00E9279E" w:rsidRDefault="00C314D3" w:rsidP="0036706A">
            <w:pPr>
              <w:pStyle w:val="Tabletext"/>
              <w:ind w:left="0" w:right="0"/>
              <w:rPr>
                <w:bCs/>
                <w:color w:val="7030A0"/>
                <w:lang w:val="en-US"/>
              </w:rPr>
            </w:pPr>
          </w:p>
        </w:tc>
        <w:tc>
          <w:tcPr>
            <w:tcW w:w="6465" w:type="dxa"/>
            <w:gridSpan w:val="3"/>
          </w:tcPr>
          <w:p w14:paraId="37247896" w14:textId="77777777" w:rsidR="00C314D3" w:rsidRPr="00E9279E" w:rsidRDefault="00C314D3" w:rsidP="0036706A">
            <w:pPr>
              <w:pStyle w:val="Tabletext"/>
              <w:ind w:left="0" w:right="0"/>
              <w:rPr>
                <w:b/>
                <w:color w:val="7030A0"/>
              </w:rPr>
            </w:pPr>
            <w:r w:rsidRPr="00E9279E">
              <w:rPr>
                <w:b/>
                <w:color w:val="auto"/>
              </w:rPr>
              <w:t>Histopathological diagnosis grade</w:t>
            </w:r>
          </w:p>
        </w:tc>
      </w:tr>
      <w:tr w:rsidR="00C314D3" w:rsidRPr="00E9279E" w14:paraId="4D6AF5C6" w14:textId="77777777" w:rsidTr="006835FD">
        <w:trPr>
          <w:trHeight w:val="20"/>
        </w:trPr>
        <w:tc>
          <w:tcPr>
            <w:tcW w:w="1747" w:type="dxa"/>
            <w:vMerge/>
          </w:tcPr>
          <w:p w14:paraId="74CC941E" w14:textId="77777777" w:rsidR="00C314D3" w:rsidRPr="00E9279E" w:rsidRDefault="00C314D3" w:rsidP="0036706A">
            <w:pPr>
              <w:pStyle w:val="Tabletext"/>
              <w:ind w:left="0" w:right="0"/>
              <w:rPr>
                <w:bCs/>
                <w:color w:val="7030A0"/>
                <w:lang w:val="en-US"/>
              </w:rPr>
            </w:pPr>
          </w:p>
        </w:tc>
        <w:tc>
          <w:tcPr>
            <w:tcW w:w="3063" w:type="dxa"/>
          </w:tcPr>
          <w:p w14:paraId="675B40B3" w14:textId="1DE4BC0A" w:rsidR="00C314D3" w:rsidRPr="00E9279E" w:rsidRDefault="00C314D3" w:rsidP="0036706A">
            <w:pPr>
              <w:pStyle w:val="Tabletext"/>
              <w:ind w:left="0" w:right="0"/>
              <w:rPr>
                <w:color w:val="auto"/>
                <w:lang w:val="en-US"/>
              </w:rPr>
            </w:pPr>
            <w:r w:rsidRPr="00E9279E">
              <w:rPr>
                <w:color w:val="auto"/>
                <w:lang w:val="en-US"/>
              </w:rPr>
              <w:t>G</w:t>
            </w:r>
            <w:r w:rsidR="006835FD" w:rsidRPr="00E9279E">
              <w:rPr>
                <w:color w:val="auto"/>
                <w:lang w:val="en-US"/>
              </w:rPr>
              <w:t xml:space="preserve">rade </w:t>
            </w:r>
            <w:r w:rsidRPr="00E9279E">
              <w:rPr>
                <w:color w:val="auto"/>
                <w:lang w:val="en-US"/>
              </w:rPr>
              <w:t>1</w:t>
            </w:r>
          </w:p>
          <w:p w14:paraId="32CE1255" w14:textId="69EB31C1" w:rsidR="00C314D3" w:rsidRPr="00E9279E" w:rsidRDefault="00C314D3" w:rsidP="0036706A">
            <w:pPr>
              <w:pStyle w:val="Tabletext"/>
              <w:ind w:left="0" w:right="0"/>
              <w:rPr>
                <w:color w:val="auto"/>
                <w:lang w:val="en-US"/>
              </w:rPr>
            </w:pPr>
            <w:r w:rsidRPr="00E9279E">
              <w:rPr>
                <w:color w:val="auto"/>
                <w:lang w:val="en-US"/>
              </w:rPr>
              <w:t>G</w:t>
            </w:r>
            <w:r w:rsidR="006835FD" w:rsidRPr="00E9279E">
              <w:rPr>
                <w:color w:val="auto"/>
                <w:lang w:val="en-US"/>
              </w:rPr>
              <w:t xml:space="preserve">rade </w:t>
            </w:r>
            <w:r w:rsidRPr="00E9279E">
              <w:rPr>
                <w:color w:val="auto"/>
                <w:lang w:val="en-US"/>
              </w:rPr>
              <w:t>2</w:t>
            </w:r>
          </w:p>
          <w:p w14:paraId="26A211A9" w14:textId="10D35D67" w:rsidR="00C314D3" w:rsidRPr="00E9279E" w:rsidRDefault="00C314D3" w:rsidP="0036706A">
            <w:pPr>
              <w:pStyle w:val="Tabletext"/>
              <w:ind w:left="0" w:right="0"/>
              <w:rPr>
                <w:color w:val="auto"/>
                <w:lang w:val="en-US"/>
              </w:rPr>
            </w:pPr>
            <w:r w:rsidRPr="00E9279E">
              <w:rPr>
                <w:color w:val="auto"/>
                <w:lang w:val="en-US"/>
              </w:rPr>
              <w:t>G</w:t>
            </w:r>
            <w:r w:rsidR="006835FD" w:rsidRPr="00E9279E">
              <w:rPr>
                <w:color w:val="auto"/>
                <w:lang w:val="en-US"/>
              </w:rPr>
              <w:t xml:space="preserve">rade </w:t>
            </w:r>
            <w:r w:rsidRPr="00E9279E">
              <w:rPr>
                <w:color w:val="auto"/>
                <w:lang w:val="en-US"/>
              </w:rPr>
              <w:t>3</w:t>
            </w:r>
          </w:p>
          <w:p w14:paraId="328C3E83" w14:textId="77777777" w:rsidR="00C314D3" w:rsidRPr="00E9279E" w:rsidRDefault="00C314D3" w:rsidP="0036706A">
            <w:pPr>
              <w:pStyle w:val="Tabletext"/>
              <w:ind w:left="0" w:right="0"/>
              <w:rPr>
                <w:color w:val="auto"/>
                <w:lang w:val="en-US"/>
              </w:rPr>
            </w:pPr>
            <w:r w:rsidRPr="00E9279E">
              <w:rPr>
                <w:color w:val="auto"/>
                <w:lang w:val="en-US"/>
              </w:rPr>
              <w:t>Not accessed</w:t>
            </w:r>
          </w:p>
          <w:p w14:paraId="4946F152" w14:textId="77777777" w:rsidR="00C314D3" w:rsidRPr="00E9279E" w:rsidRDefault="00C314D3" w:rsidP="0036706A">
            <w:pPr>
              <w:pStyle w:val="Tabletext"/>
              <w:ind w:left="0" w:right="0"/>
              <w:rPr>
                <w:color w:val="auto"/>
                <w:lang w:val="en-US"/>
              </w:rPr>
            </w:pPr>
            <w:r w:rsidRPr="00E9279E">
              <w:rPr>
                <w:color w:val="auto"/>
                <w:lang w:val="en-US"/>
              </w:rPr>
              <w:t>Missing</w:t>
            </w:r>
          </w:p>
        </w:tc>
        <w:tc>
          <w:tcPr>
            <w:tcW w:w="1701" w:type="dxa"/>
          </w:tcPr>
          <w:p w14:paraId="41A4A670" w14:textId="77777777" w:rsidR="00C314D3" w:rsidRPr="00E9279E" w:rsidRDefault="00C314D3" w:rsidP="0036706A">
            <w:pPr>
              <w:pStyle w:val="Tabletext"/>
              <w:ind w:left="0" w:right="0"/>
              <w:rPr>
                <w:color w:val="auto"/>
              </w:rPr>
            </w:pPr>
            <w:r w:rsidRPr="00E9279E">
              <w:rPr>
                <w:color w:val="auto"/>
              </w:rPr>
              <w:t>7.4%</w:t>
            </w:r>
          </w:p>
          <w:p w14:paraId="6491F3BF" w14:textId="77777777" w:rsidR="00C314D3" w:rsidRPr="00E9279E" w:rsidRDefault="00C314D3" w:rsidP="0036706A">
            <w:pPr>
              <w:pStyle w:val="Tabletext"/>
              <w:ind w:left="0" w:right="0"/>
              <w:rPr>
                <w:color w:val="auto"/>
              </w:rPr>
            </w:pPr>
            <w:r w:rsidRPr="00E9279E">
              <w:rPr>
                <w:color w:val="auto"/>
              </w:rPr>
              <w:t>49.0%</w:t>
            </w:r>
          </w:p>
          <w:p w14:paraId="4E40D727" w14:textId="77777777" w:rsidR="00C314D3" w:rsidRPr="00E9279E" w:rsidRDefault="00C314D3" w:rsidP="0036706A">
            <w:pPr>
              <w:pStyle w:val="Tabletext"/>
              <w:ind w:left="0" w:right="0"/>
              <w:rPr>
                <w:color w:val="auto"/>
              </w:rPr>
            </w:pPr>
            <w:r w:rsidRPr="00E9279E">
              <w:rPr>
                <w:color w:val="auto"/>
              </w:rPr>
              <w:t>38.7%</w:t>
            </w:r>
          </w:p>
          <w:p w14:paraId="288ADB2C" w14:textId="77777777" w:rsidR="00C314D3" w:rsidRPr="00E9279E" w:rsidRDefault="00C314D3" w:rsidP="0036706A">
            <w:pPr>
              <w:pStyle w:val="Tabletext"/>
              <w:ind w:left="0" w:right="0"/>
              <w:rPr>
                <w:color w:val="auto"/>
              </w:rPr>
            </w:pPr>
            <w:r w:rsidRPr="00E9279E">
              <w:rPr>
                <w:color w:val="auto"/>
              </w:rPr>
              <w:t>4.5%</w:t>
            </w:r>
          </w:p>
          <w:p w14:paraId="7206DEF4" w14:textId="77777777" w:rsidR="00C314D3" w:rsidRPr="00E9279E" w:rsidRDefault="00C314D3" w:rsidP="0036706A">
            <w:pPr>
              <w:pStyle w:val="Tabletext"/>
              <w:ind w:left="0" w:right="0"/>
              <w:rPr>
                <w:color w:val="auto"/>
              </w:rPr>
            </w:pPr>
            <w:r w:rsidRPr="00E9279E">
              <w:rPr>
                <w:color w:val="auto"/>
              </w:rPr>
              <w:t>0.4%</w:t>
            </w:r>
          </w:p>
        </w:tc>
        <w:tc>
          <w:tcPr>
            <w:tcW w:w="1701" w:type="dxa"/>
          </w:tcPr>
          <w:p w14:paraId="0CA42AC8" w14:textId="77777777" w:rsidR="00C314D3" w:rsidRPr="00E9279E" w:rsidRDefault="00C314D3" w:rsidP="0036706A">
            <w:pPr>
              <w:pStyle w:val="Tabletext"/>
              <w:ind w:left="0" w:right="0"/>
              <w:rPr>
                <w:color w:val="auto"/>
              </w:rPr>
            </w:pPr>
            <w:r w:rsidRPr="00E9279E">
              <w:rPr>
                <w:color w:val="auto"/>
              </w:rPr>
              <w:t>7.6%</w:t>
            </w:r>
          </w:p>
          <w:p w14:paraId="110A031D" w14:textId="77777777" w:rsidR="00C314D3" w:rsidRPr="00E9279E" w:rsidRDefault="00C314D3" w:rsidP="0036706A">
            <w:pPr>
              <w:pStyle w:val="Tabletext"/>
              <w:ind w:left="0" w:right="0"/>
              <w:rPr>
                <w:color w:val="auto"/>
              </w:rPr>
            </w:pPr>
            <w:r w:rsidRPr="00E9279E">
              <w:rPr>
                <w:color w:val="auto"/>
              </w:rPr>
              <w:t>49.3%</w:t>
            </w:r>
          </w:p>
          <w:p w14:paraId="48263BD0" w14:textId="77777777" w:rsidR="00C314D3" w:rsidRPr="00E9279E" w:rsidRDefault="00C314D3" w:rsidP="0036706A">
            <w:pPr>
              <w:pStyle w:val="Tabletext"/>
              <w:ind w:left="0" w:right="0"/>
              <w:rPr>
                <w:color w:val="auto"/>
              </w:rPr>
            </w:pPr>
            <w:r w:rsidRPr="00E9279E">
              <w:rPr>
                <w:color w:val="auto"/>
              </w:rPr>
              <w:t>37.6%</w:t>
            </w:r>
          </w:p>
          <w:p w14:paraId="7DD170F4" w14:textId="77777777" w:rsidR="00C314D3" w:rsidRPr="00E9279E" w:rsidRDefault="00C314D3" w:rsidP="0036706A">
            <w:pPr>
              <w:pStyle w:val="Tabletext"/>
              <w:ind w:left="0" w:right="0"/>
              <w:rPr>
                <w:color w:val="auto"/>
              </w:rPr>
            </w:pPr>
            <w:r w:rsidRPr="00E9279E">
              <w:rPr>
                <w:color w:val="auto"/>
              </w:rPr>
              <w:t>5%</w:t>
            </w:r>
          </w:p>
          <w:p w14:paraId="66E72B09" w14:textId="77777777" w:rsidR="00C314D3" w:rsidRPr="00E9279E" w:rsidRDefault="00C314D3" w:rsidP="0036706A">
            <w:pPr>
              <w:pStyle w:val="Tabletext"/>
              <w:ind w:left="0" w:right="0"/>
              <w:rPr>
                <w:color w:val="auto"/>
              </w:rPr>
            </w:pPr>
            <w:r w:rsidRPr="00E9279E">
              <w:rPr>
                <w:color w:val="auto"/>
              </w:rPr>
              <w:t>0.5%</w:t>
            </w:r>
          </w:p>
        </w:tc>
      </w:tr>
      <w:tr w:rsidR="00C314D3" w:rsidRPr="00E9279E" w14:paraId="6C6256A9" w14:textId="77777777" w:rsidTr="005550FE">
        <w:trPr>
          <w:trHeight w:val="20"/>
        </w:trPr>
        <w:tc>
          <w:tcPr>
            <w:tcW w:w="1747" w:type="dxa"/>
            <w:vMerge/>
          </w:tcPr>
          <w:p w14:paraId="1B63904A" w14:textId="77777777" w:rsidR="00C314D3" w:rsidRPr="00E9279E" w:rsidRDefault="00C314D3" w:rsidP="0036706A">
            <w:pPr>
              <w:pStyle w:val="Tabletext"/>
              <w:ind w:left="0" w:right="0"/>
              <w:rPr>
                <w:bCs/>
                <w:color w:val="7030A0"/>
                <w:lang w:val="en-US"/>
              </w:rPr>
            </w:pPr>
          </w:p>
        </w:tc>
        <w:tc>
          <w:tcPr>
            <w:tcW w:w="6465" w:type="dxa"/>
            <w:gridSpan w:val="3"/>
          </w:tcPr>
          <w:p w14:paraId="55A314D0" w14:textId="2EEE42A4" w:rsidR="00C314D3" w:rsidRPr="00E9279E" w:rsidRDefault="00C314D3" w:rsidP="0036706A">
            <w:pPr>
              <w:pStyle w:val="Tabletext"/>
              <w:ind w:left="0" w:right="0"/>
              <w:rPr>
                <w:b/>
                <w:color w:val="auto"/>
              </w:rPr>
            </w:pPr>
            <w:r w:rsidRPr="00E9279E">
              <w:rPr>
                <w:b/>
                <w:color w:val="auto"/>
              </w:rPr>
              <w:t xml:space="preserve">Disease stage at </w:t>
            </w:r>
            <w:r w:rsidR="006835FD" w:rsidRPr="00E9279E">
              <w:rPr>
                <w:b/>
                <w:color w:val="auto"/>
              </w:rPr>
              <w:t>d</w:t>
            </w:r>
            <w:r w:rsidRPr="00E9279E">
              <w:rPr>
                <w:b/>
                <w:color w:val="auto"/>
              </w:rPr>
              <w:t>iagnosis</w:t>
            </w:r>
          </w:p>
        </w:tc>
      </w:tr>
      <w:tr w:rsidR="00C314D3" w:rsidRPr="00E9279E" w14:paraId="14485932" w14:textId="77777777" w:rsidTr="006835FD">
        <w:trPr>
          <w:trHeight w:val="20"/>
        </w:trPr>
        <w:tc>
          <w:tcPr>
            <w:tcW w:w="1747" w:type="dxa"/>
            <w:vMerge/>
          </w:tcPr>
          <w:p w14:paraId="13A38F34" w14:textId="77777777" w:rsidR="00C314D3" w:rsidRPr="00E9279E" w:rsidRDefault="00C314D3" w:rsidP="0036706A">
            <w:pPr>
              <w:pStyle w:val="Tabletext"/>
              <w:ind w:left="0" w:right="0"/>
              <w:rPr>
                <w:bCs/>
                <w:color w:val="7030A0"/>
                <w:lang w:val="en-US"/>
              </w:rPr>
            </w:pPr>
          </w:p>
        </w:tc>
        <w:tc>
          <w:tcPr>
            <w:tcW w:w="3063" w:type="dxa"/>
          </w:tcPr>
          <w:p w14:paraId="04B97079" w14:textId="77777777" w:rsidR="00C314D3" w:rsidRPr="00E9279E" w:rsidRDefault="00C314D3" w:rsidP="0036706A">
            <w:pPr>
              <w:pStyle w:val="Tabletext"/>
              <w:ind w:left="0" w:right="0"/>
              <w:rPr>
                <w:color w:val="auto"/>
                <w:lang w:val="en-US"/>
              </w:rPr>
            </w:pPr>
            <w:r w:rsidRPr="00E9279E">
              <w:rPr>
                <w:color w:val="auto"/>
                <w:lang w:val="en-US"/>
              </w:rPr>
              <w:t>IA</w:t>
            </w:r>
          </w:p>
          <w:p w14:paraId="591C765F" w14:textId="77777777" w:rsidR="00C314D3" w:rsidRPr="00E9279E" w:rsidRDefault="00C314D3" w:rsidP="0036706A">
            <w:pPr>
              <w:pStyle w:val="Tabletext"/>
              <w:ind w:left="0" w:right="0"/>
              <w:rPr>
                <w:color w:val="auto"/>
                <w:lang w:val="en-US"/>
              </w:rPr>
            </w:pPr>
            <w:r w:rsidRPr="00E9279E">
              <w:rPr>
                <w:color w:val="auto"/>
                <w:lang w:val="en-US"/>
              </w:rPr>
              <w:t>IIA</w:t>
            </w:r>
          </w:p>
          <w:p w14:paraId="33F5FEFE" w14:textId="77777777" w:rsidR="00C314D3" w:rsidRPr="00E9279E" w:rsidRDefault="00C314D3" w:rsidP="0036706A">
            <w:pPr>
              <w:pStyle w:val="Tabletext"/>
              <w:ind w:left="0" w:right="0"/>
              <w:rPr>
                <w:color w:val="auto"/>
                <w:lang w:val="en-US"/>
              </w:rPr>
            </w:pPr>
            <w:r w:rsidRPr="00E9279E">
              <w:rPr>
                <w:color w:val="auto"/>
                <w:lang w:val="en-US"/>
              </w:rPr>
              <w:t>IIB</w:t>
            </w:r>
          </w:p>
          <w:p w14:paraId="7F442000" w14:textId="77777777" w:rsidR="00C314D3" w:rsidRPr="00E9279E" w:rsidRDefault="00C314D3" w:rsidP="0036706A">
            <w:pPr>
              <w:pStyle w:val="Tabletext"/>
              <w:ind w:left="0" w:right="0"/>
              <w:rPr>
                <w:color w:val="auto"/>
                <w:lang w:val="en-US"/>
              </w:rPr>
            </w:pPr>
            <w:r w:rsidRPr="00E9279E">
              <w:rPr>
                <w:color w:val="auto"/>
                <w:lang w:val="en-US"/>
              </w:rPr>
              <w:t>IIIA</w:t>
            </w:r>
          </w:p>
          <w:p w14:paraId="738C9602" w14:textId="77777777" w:rsidR="00C314D3" w:rsidRPr="00E9279E" w:rsidRDefault="00C314D3" w:rsidP="0036706A">
            <w:pPr>
              <w:pStyle w:val="Tabletext"/>
              <w:ind w:left="0" w:right="0"/>
              <w:rPr>
                <w:color w:val="auto"/>
                <w:lang w:val="en-US"/>
              </w:rPr>
            </w:pPr>
            <w:r w:rsidRPr="00E9279E">
              <w:rPr>
                <w:color w:val="auto"/>
                <w:lang w:val="en-US"/>
              </w:rPr>
              <w:t>IIIB</w:t>
            </w:r>
          </w:p>
          <w:p w14:paraId="7363CE39" w14:textId="77777777" w:rsidR="00C314D3" w:rsidRPr="00E9279E" w:rsidRDefault="00C314D3" w:rsidP="0036706A">
            <w:pPr>
              <w:pStyle w:val="Tabletext"/>
              <w:ind w:left="0" w:right="0"/>
              <w:rPr>
                <w:color w:val="auto"/>
                <w:lang w:val="en-US"/>
              </w:rPr>
            </w:pPr>
            <w:r w:rsidRPr="00E9279E">
              <w:rPr>
                <w:color w:val="auto"/>
                <w:lang w:val="en-US"/>
              </w:rPr>
              <w:t>IIIC</w:t>
            </w:r>
          </w:p>
          <w:p w14:paraId="56EB5884" w14:textId="77777777" w:rsidR="00C314D3" w:rsidRPr="00E9279E" w:rsidRDefault="00C314D3" w:rsidP="0036706A">
            <w:pPr>
              <w:pStyle w:val="Tabletext"/>
              <w:ind w:left="0" w:right="0"/>
              <w:rPr>
                <w:color w:val="auto"/>
                <w:lang w:val="en-US"/>
              </w:rPr>
            </w:pPr>
            <w:r w:rsidRPr="00E9279E">
              <w:rPr>
                <w:color w:val="auto"/>
                <w:lang w:val="en-US"/>
              </w:rPr>
              <w:t>Missing</w:t>
            </w:r>
          </w:p>
        </w:tc>
        <w:tc>
          <w:tcPr>
            <w:tcW w:w="1701" w:type="dxa"/>
          </w:tcPr>
          <w:p w14:paraId="1DAFAAE1" w14:textId="77777777" w:rsidR="00C314D3" w:rsidRPr="00E9279E" w:rsidRDefault="00C314D3" w:rsidP="0036706A">
            <w:pPr>
              <w:pStyle w:val="Tabletext"/>
              <w:ind w:left="0" w:right="0"/>
              <w:rPr>
                <w:color w:val="auto"/>
              </w:rPr>
            </w:pPr>
            <w:r w:rsidRPr="00E9279E">
              <w:rPr>
                <w:color w:val="auto"/>
              </w:rPr>
              <w:t>0.1%</w:t>
            </w:r>
          </w:p>
          <w:p w14:paraId="773B34EE" w14:textId="77777777" w:rsidR="00C314D3" w:rsidRPr="00E9279E" w:rsidRDefault="00C314D3" w:rsidP="0036706A">
            <w:pPr>
              <w:pStyle w:val="Tabletext"/>
              <w:ind w:left="0" w:right="0"/>
              <w:rPr>
                <w:color w:val="auto"/>
              </w:rPr>
            </w:pPr>
            <w:r w:rsidRPr="00E9279E">
              <w:rPr>
                <w:color w:val="auto"/>
              </w:rPr>
              <w:t>11.5%</w:t>
            </w:r>
          </w:p>
          <w:p w14:paraId="356A7B55" w14:textId="77777777" w:rsidR="00C314D3" w:rsidRPr="00E9279E" w:rsidRDefault="00C314D3" w:rsidP="0036706A">
            <w:pPr>
              <w:pStyle w:val="Tabletext"/>
              <w:ind w:left="0" w:right="0"/>
              <w:rPr>
                <w:color w:val="auto"/>
              </w:rPr>
            </w:pPr>
            <w:r w:rsidRPr="00E9279E">
              <w:rPr>
                <w:color w:val="auto"/>
              </w:rPr>
              <w:t>14.0%</w:t>
            </w:r>
          </w:p>
          <w:p w14:paraId="510A42DF" w14:textId="77777777" w:rsidR="00C314D3" w:rsidRPr="00E9279E" w:rsidRDefault="00C314D3" w:rsidP="0036706A">
            <w:pPr>
              <w:pStyle w:val="Tabletext"/>
              <w:ind w:left="0" w:right="0"/>
              <w:rPr>
                <w:color w:val="auto"/>
              </w:rPr>
            </w:pPr>
            <w:r w:rsidRPr="00E9279E">
              <w:rPr>
                <w:color w:val="auto"/>
              </w:rPr>
              <w:t>36.6%</w:t>
            </w:r>
          </w:p>
          <w:p w14:paraId="11B43A6F" w14:textId="77777777" w:rsidR="00C314D3" w:rsidRPr="00E9279E" w:rsidRDefault="00C314D3" w:rsidP="0036706A">
            <w:pPr>
              <w:pStyle w:val="Tabletext"/>
              <w:ind w:left="0" w:right="0"/>
              <w:rPr>
                <w:color w:val="auto"/>
              </w:rPr>
            </w:pPr>
            <w:r w:rsidRPr="00E9279E">
              <w:rPr>
                <w:color w:val="auto"/>
              </w:rPr>
              <w:t>3.5%</w:t>
            </w:r>
          </w:p>
          <w:p w14:paraId="4A326A7F" w14:textId="77777777" w:rsidR="00C314D3" w:rsidRPr="00E9279E" w:rsidRDefault="00C314D3" w:rsidP="0036706A">
            <w:pPr>
              <w:pStyle w:val="Tabletext"/>
              <w:ind w:left="0" w:right="0"/>
              <w:rPr>
                <w:color w:val="auto"/>
              </w:rPr>
            </w:pPr>
            <w:r w:rsidRPr="00E9279E">
              <w:rPr>
                <w:color w:val="auto"/>
              </w:rPr>
              <w:t>33.8%</w:t>
            </w:r>
          </w:p>
          <w:p w14:paraId="0B2C707E" w14:textId="77777777" w:rsidR="00C314D3" w:rsidRPr="00E9279E" w:rsidRDefault="00C314D3" w:rsidP="0036706A">
            <w:pPr>
              <w:pStyle w:val="Tabletext"/>
              <w:ind w:left="0" w:right="0"/>
              <w:rPr>
                <w:color w:val="auto"/>
              </w:rPr>
            </w:pPr>
            <w:r w:rsidRPr="00E9279E">
              <w:rPr>
                <w:color w:val="auto"/>
              </w:rPr>
              <w:t>0.4%</w:t>
            </w:r>
          </w:p>
        </w:tc>
        <w:tc>
          <w:tcPr>
            <w:tcW w:w="1701" w:type="dxa"/>
          </w:tcPr>
          <w:p w14:paraId="42E449E5" w14:textId="77777777" w:rsidR="00C314D3" w:rsidRPr="00E9279E" w:rsidRDefault="00C314D3" w:rsidP="0036706A">
            <w:pPr>
              <w:pStyle w:val="Tabletext"/>
              <w:ind w:left="0" w:right="0"/>
              <w:rPr>
                <w:color w:val="auto"/>
              </w:rPr>
            </w:pPr>
            <w:r w:rsidRPr="00E9279E">
              <w:rPr>
                <w:color w:val="auto"/>
              </w:rPr>
              <w:t>0%</w:t>
            </w:r>
          </w:p>
          <w:p w14:paraId="4AF3B1E7" w14:textId="77777777" w:rsidR="00C314D3" w:rsidRPr="00E9279E" w:rsidRDefault="00C314D3" w:rsidP="0036706A">
            <w:pPr>
              <w:pStyle w:val="Tabletext"/>
              <w:ind w:left="0" w:right="0"/>
              <w:rPr>
                <w:color w:val="auto"/>
              </w:rPr>
            </w:pPr>
            <w:r w:rsidRPr="00E9279E">
              <w:rPr>
                <w:color w:val="auto"/>
              </w:rPr>
              <w:t>12.5%</w:t>
            </w:r>
          </w:p>
          <w:p w14:paraId="01FCD159" w14:textId="77777777" w:rsidR="00C314D3" w:rsidRPr="00E9279E" w:rsidRDefault="00C314D3" w:rsidP="0036706A">
            <w:pPr>
              <w:pStyle w:val="Tabletext"/>
              <w:ind w:left="0" w:right="0"/>
              <w:rPr>
                <w:color w:val="auto"/>
              </w:rPr>
            </w:pPr>
            <w:r w:rsidRPr="00E9279E">
              <w:rPr>
                <w:color w:val="auto"/>
              </w:rPr>
              <w:t>13.7%</w:t>
            </w:r>
          </w:p>
          <w:p w14:paraId="5AF8026C" w14:textId="77777777" w:rsidR="00C314D3" w:rsidRPr="00E9279E" w:rsidRDefault="00C314D3" w:rsidP="0036706A">
            <w:pPr>
              <w:pStyle w:val="Tabletext"/>
              <w:ind w:left="0" w:right="0"/>
              <w:rPr>
                <w:color w:val="auto"/>
              </w:rPr>
            </w:pPr>
            <w:r w:rsidRPr="00E9279E">
              <w:rPr>
                <w:color w:val="auto"/>
              </w:rPr>
              <w:t>36.3%</w:t>
            </w:r>
          </w:p>
          <w:p w14:paraId="7781C0D3" w14:textId="77777777" w:rsidR="00C314D3" w:rsidRPr="00E9279E" w:rsidRDefault="00C314D3" w:rsidP="0036706A">
            <w:pPr>
              <w:pStyle w:val="Tabletext"/>
              <w:ind w:left="0" w:right="0"/>
              <w:rPr>
                <w:color w:val="auto"/>
              </w:rPr>
            </w:pPr>
            <w:r w:rsidRPr="00E9279E">
              <w:rPr>
                <w:color w:val="auto"/>
              </w:rPr>
              <w:t>3.1%</w:t>
            </w:r>
          </w:p>
          <w:p w14:paraId="47CF5C75" w14:textId="77777777" w:rsidR="00C314D3" w:rsidRPr="00E9279E" w:rsidRDefault="00C314D3" w:rsidP="0036706A">
            <w:pPr>
              <w:pStyle w:val="Tabletext"/>
              <w:ind w:left="0" w:right="0"/>
              <w:rPr>
                <w:color w:val="auto"/>
              </w:rPr>
            </w:pPr>
            <w:r w:rsidRPr="00E9279E">
              <w:rPr>
                <w:color w:val="auto"/>
              </w:rPr>
              <w:t>34.0%</w:t>
            </w:r>
          </w:p>
          <w:p w14:paraId="791ACD71" w14:textId="77777777" w:rsidR="00C314D3" w:rsidRPr="00E9279E" w:rsidRDefault="00C314D3" w:rsidP="0036706A">
            <w:pPr>
              <w:pStyle w:val="Tabletext"/>
              <w:ind w:left="0" w:right="0"/>
              <w:rPr>
                <w:color w:val="auto"/>
              </w:rPr>
            </w:pPr>
            <w:r w:rsidRPr="00E9279E">
              <w:rPr>
                <w:color w:val="auto"/>
              </w:rPr>
              <w:t>0.4%</w:t>
            </w:r>
          </w:p>
        </w:tc>
      </w:tr>
      <w:tr w:rsidR="00C314D3" w:rsidRPr="00E9279E" w14:paraId="0C3EE7E6" w14:textId="77777777" w:rsidTr="005550FE">
        <w:trPr>
          <w:trHeight w:val="20"/>
        </w:trPr>
        <w:tc>
          <w:tcPr>
            <w:tcW w:w="1747" w:type="dxa"/>
            <w:vMerge/>
          </w:tcPr>
          <w:p w14:paraId="3692916E" w14:textId="77777777" w:rsidR="00C314D3" w:rsidRPr="00E9279E" w:rsidRDefault="00C314D3" w:rsidP="0036706A">
            <w:pPr>
              <w:pStyle w:val="Tabletext"/>
              <w:ind w:left="0" w:right="0"/>
              <w:rPr>
                <w:bCs/>
                <w:color w:val="7030A0"/>
                <w:lang w:val="en-US"/>
              </w:rPr>
            </w:pPr>
          </w:p>
        </w:tc>
        <w:tc>
          <w:tcPr>
            <w:tcW w:w="6465" w:type="dxa"/>
            <w:gridSpan w:val="3"/>
          </w:tcPr>
          <w:p w14:paraId="2FE200A1" w14:textId="77777777" w:rsidR="00C314D3" w:rsidRPr="00E9279E" w:rsidRDefault="00C314D3" w:rsidP="0036706A">
            <w:pPr>
              <w:pStyle w:val="Tabletext"/>
              <w:ind w:left="0" w:right="0"/>
              <w:rPr>
                <w:b/>
                <w:color w:val="7030A0"/>
              </w:rPr>
            </w:pPr>
            <w:r w:rsidRPr="00E9279E">
              <w:rPr>
                <w:b/>
                <w:color w:val="auto"/>
              </w:rPr>
              <w:t>Estrogen receptor status</w:t>
            </w:r>
          </w:p>
        </w:tc>
      </w:tr>
      <w:tr w:rsidR="00C314D3" w:rsidRPr="00E9279E" w14:paraId="12E119FF" w14:textId="77777777" w:rsidTr="006835FD">
        <w:trPr>
          <w:trHeight w:val="20"/>
        </w:trPr>
        <w:tc>
          <w:tcPr>
            <w:tcW w:w="1747" w:type="dxa"/>
            <w:vMerge/>
          </w:tcPr>
          <w:p w14:paraId="64531A00" w14:textId="77777777" w:rsidR="00C314D3" w:rsidRPr="00E9279E" w:rsidRDefault="00C314D3" w:rsidP="0036706A">
            <w:pPr>
              <w:pStyle w:val="Tabletext"/>
              <w:ind w:left="0" w:right="0"/>
              <w:rPr>
                <w:bCs/>
                <w:color w:val="7030A0"/>
                <w:lang w:val="en-US"/>
              </w:rPr>
            </w:pPr>
          </w:p>
        </w:tc>
        <w:tc>
          <w:tcPr>
            <w:tcW w:w="3063" w:type="dxa"/>
          </w:tcPr>
          <w:p w14:paraId="63195BB9" w14:textId="77777777" w:rsidR="00C314D3" w:rsidRPr="00E9279E" w:rsidRDefault="00C314D3" w:rsidP="0036706A">
            <w:pPr>
              <w:pStyle w:val="Tabletext"/>
              <w:ind w:left="0" w:right="0"/>
              <w:rPr>
                <w:color w:val="auto"/>
                <w:lang w:val="en-US"/>
              </w:rPr>
            </w:pPr>
            <w:r w:rsidRPr="00E9279E">
              <w:rPr>
                <w:color w:val="auto"/>
                <w:lang w:val="en-US"/>
              </w:rPr>
              <w:t>Positive</w:t>
            </w:r>
          </w:p>
          <w:p w14:paraId="5EE0AD5C" w14:textId="77777777" w:rsidR="00C314D3" w:rsidRPr="00E9279E" w:rsidRDefault="00C314D3" w:rsidP="0036706A">
            <w:pPr>
              <w:pStyle w:val="Tabletext"/>
              <w:ind w:left="0" w:right="0"/>
              <w:rPr>
                <w:color w:val="auto"/>
                <w:lang w:val="en-US"/>
              </w:rPr>
            </w:pPr>
            <w:r w:rsidRPr="00E9279E">
              <w:rPr>
                <w:color w:val="auto"/>
                <w:lang w:val="en-US"/>
              </w:rPr>
              <w:t>Negative</w:t>
            </w:r>
          </w:p>
          <w:p w14:paraId="6C678480" w14:textId="77777777" w:rsidR="00C314D3" w:rsidRPr="00E9279E" w:rsidRDefault="00C314D3" w:rsidP="0036706A">
            <w:pPr>
              <w:pStyle w:val="Tabletext"/>
              <w:ind w:left="0" w:right="0"/>
              <w:rPr>
                <w:color w:val="auto"/>
                <w:lang w:val="en-US"/>
              </w:rPr>
            </w:pPr>
            <w:r w:rsidRPr="00E9279E">
              <w:rPr>
                <w:color w:val="auto"/>
                <w:lang w:val="en-US"/>
              </w:rPr>
              <w:t>Unknown</w:t>
            </w:r>
          </w:p>
          <w:p w14:paraId="5A5319C9" w14:textId="77777777" w:rsidR="00C314D3" w:rsidRPr="00E9279E" w:rsidRDefault="00C314D3" w:rsidP="0036706A">
            <w:pPr>
              <w:pStyle w:val="Tabletext"/>
              <w:ind w:left="0" w:right="0"/>
              <w:rPr>
                <w:color w:val="7030A0"/>
                <w:lang w:val="en-US"/>
              </w:rPr>
            </w:pPr>
            <w:r w:rsidRPr="00E9279E">
              <w:rPr>
                <w:color w:val="auto"/>
                <w:lang w:val="en-US"/>
              </w:rPr>
              <w:t>Missing</w:t>
            </w:r>
          </w:p>
        </w:tc>
        <w:tc>
          <w:tcPr>
            <w:tcW w:w="1701" w:type="dxa"/>
          </w:tcPr>
          <w:p w14:paraId="41111474" w14:textId="77777777" w:rsidR="00C314D3" w:rsidRPr="00E9279E" w:rsidRDefault="00C314D3" w:rsidP="0036706A">
            <w:pPr>
              <w:pStyle w:val="Tabletext"/>
              <w:ind w:left="0" w:right="0"/>
              <w:rPr>
                <w:color w:val="auto"/>
              </w:rPr>
            </w:pPr>
            <w:r w:rsidRPr="00E9279E">
              <w:rPr>
                <w:color w:val="auto"/>
              </w:rPr>
              <w:t>99.2%</w:t>
            </w:r>
          </w:p>
          <w:p w14:paraId="474A7737" w14:textId="77777777" w:rsidR="00C314D3" w:rsidRPr="00E9279E" w:rsidRDefault="00C314D3" w:rsidP="0036706A">
            <w:pPr>
              <w:pStyle w:val="Tabletext"/>
              <w:ind w:left="0" w:right="0"/>
              <w:rPr>
                <w:color w:val="auto"/>
              </w:rPr>
            </w:pPr>
            <w:r w:rsidRPr="00E9279E">
              <w:rPr>
                <w:color w:val="auto"/>
              </w:rPr>
              <w:t>0.6%</w:t>
            </w:r>
          </w:p>
          <w:p w14:paraId="0ECC40FD" w14:textId="77777777" w:rsidR="00C314D3" w:rsidRPr="00E9279E" w:rsidRDefault="00C314D3" w:rsidP="0036706A">
            <w:pPr>
              <w:pStyle w:val="Tabletext"/>
              <w:ind w:left="0" w:right="0"/>
              <w:rPr>
                <w:color w:val="auto"/>
              </w:rPr>
            </w:pPr>
            <w:r w:rsidRPr="00E9279E">
              <w:rPr>
                <w:color w:val="auto"/>
              </w:rPr>
              <w:t>0.1%</w:t>
            </w:r>
          </w:p>
          <w:p w14:paraId="4CE5F2BD" w14:textId="77777777" w:rsidR="00C314D3" w:rsidRPr="00E9279E" w:rsidRDefault="00C314D3" w:rsidP="0036706A">
            <w:pPr>
              <w:pStyle w:val="Tabletext"/>
              <w:ind w:left="0" w:right="0"/>
              <w:rPr>
                <w:color w:val="7030A0"/>
              </w:rPr>
            </w:pPr>
            <w:r w:rsidRPr="00E9279E">
              <w:rPr>
                <w:color w:val="auto"/>
              </w:rPr>
              <w:t>0.1%</w:t>
            </w:r>
          </w:p>
        </w:tc>
        <w:tc>
          <w:tcPr>
            <w:tcW w:w="1701" w:type="dxa"/>
          </w:tcPr>
          <w:p w14:paraId="2C9E2BC8" w14:textId="77777777" w:rsidR="00C314D3" w:rsidRPr="00E9279E" w:rsidRDefault="00C314D3" w:rsidP="0036706A">
            <w:pPr>
              <w:pStyle w:val="Tabletext"/>
              <w:ind w:left="0" w:right="0"/>
              <w:rPr>
                <w:color w:val="auto"/>
              </w:rPr>
            </w:pPr>
            <w:r w:rsidRPr="00E9279E">
              <w:rPr>
                <w:color w:val="auto"/>
              </w:rPr>
              <w:t>99.3%</w:t>
            </w:r>
          </w:p>
          <w:p w14:paraId="4B025971" w14:textId="77777777" w:rsidR="00C314D3" w:rsidRPr="00E9279E" w:rsidRDefault="00C314D3" w:rsidP="0036706A">
            <w:pPr>
              <w:pStyle w:val="Tabletext"/>
              <w:ind w:left="0" w:right="0"/>
              <w:rPr>
                <w:color w:val="auto"/>
              </w:rPr>
            </w:pPr>
            <w:r w:rsidRPr="00E9279E">
              <w:rPr>
                <w:color w:val="auto"/>
              </w:rPr>
              <w:t>0.6%</w:t>
            </w:r>
          </w:p>
          <w:p w14:paraId="342E3053" w14:textId="77777777" w:rsidR="00C314D3" w:rsidRPr="00E9279E" w:rsidRDefault="00C314D3" w:rsidP="0036706A">
            <w:pPr>
              <w:pStyle w:val="Tabletext"/>
              <w:ind w:left="0" w:right="0"/>
              <w:rPr>
                <w:color w:val="auto"/>
              </w:rPr>
            </w:pPr>
            <w:r w:rsidRPr="00E9279E">
              <w:rPr>
                <w:color w:val="auto"/>
              </w:rPr>
              <w:t>0.1%</w:t>
            </w:r>
          </w:p>
          <w:p w14:paraId="6B00A5AF" w14:textId="77777777" w:rsidR="00C314D3" w:rsidRPr="00E9279E" w:rsidRDefault="00C314D3" w:rsidP="0036706A">
            <w:pPr>
              <w:pStyle w:val="Tabletext"/>
              <w:ind w:left="0" w:right="0"/>
              <w:rPr>
                <w:color w:val="7030A0"/>
              </w:rPr>
            </w:pPr>
            <w:r w:rsidRPr="00E9279E">
              <w:rPr>
                <w:color w:val="auto"/>
              </w:rPr>
              <w:t>0</w:t>
            </w:r>
          </w:p>
        </w:tc>
      </w:tr>
      <w:tr w:rsidR="00C314D3" w:rsidRPr="00E9279E" w14:paraId="3F83C5F5" w14:textId="77777777" w:rsidTr="005550FE">
        <w:trPr>
          <w:trHeight w:val="20"/>
        </w:trPr>
        <w:tc>
          <w:tcPr>
            <w:tcW w:w="1747" w:type="dxa"/>
            <w:vMerge/>
          </w:tcPr>
          <w:p w14:paraId="60AF0302" w14:textId="77777777" w:rsidR="00C314D3" w:rsidRPr="00E9279E" w:rsidRDefault="00C314D3" w:rsidP="0036706A">
            <w:pPr>
              <w:pStyle w:val="Tabletext"/>
              <w:ind w:left="0" w:right="0"/>
              <w:rPr>
                <w:bCs/>
                <w:color w:val="7030A0"/>
                <w:lang w:val="en-US"/>
              </w:rPr>
            </w:pPr>
          </w:p>
        </w:tc>
        <w:tc>
          <w:tcPr>
            <w:tcW w:w="6465" w:type="dxa"/>
            <w:gridSpan w:val="3"/>
          </w:tcPr>
          <w:p w14:paraId="3513467C" w14:textId="77777777" w:rsidR="00C314D3" w:rsidRPr="00E9279E" w:rsidRDefault="00C314D3" w:rsidP="0036706A">
            <w:pPr>
              <w:pStyle w:val="Tabletext"/>
              <w:ind w:left="0" w:right="0"/>
              <w:rPr>
                <w:b/>
                <w:color w:val="auto"/>
              </w:rPr>
            </w:pPr>
            <w:r w:rsidRPr="00E9279E">
              <w:rPr>
                <w:b/>
                <w:color w:val="auto"/>
              </w:rPr>
              <w:t>Progesterone receptor status</w:t>
            </w:r>
          </w:p>
        </w:tc>
      </w:tr>
      <w:tr w:rsidR="00C314D3" w:rsidRPr="00E9279E" w14:paraId="0B58AC53" w14:textId="77777777" w:rsidTr="006835FD">
        <w:trPr>
          <w:trHeight w:val="20"/>
        </w:trPr>
        <w:tc>
          <w:tcPr>
            <w:tcW w:w="1747" w:type="dxa"/>
            <w:vMerge/>
          </w:tcPr>
          <w:p w14:paraId="3D4E29B6" w14:textId="77777777" w:rsidR="00C314D3" w:rsidRPr="00E9279E" w:rsidRDefault="00C314D3" w:rsidP="0036706A">
            <w:pPr>
              <w:pStyle w:val="Tabletext"/>
              <w:ind w:left="0" w:right="0"/>
              <w:rPr>
                <w:bCs/>
                <w:color w:val="7030A0"/>
                <w:lang w:val="en-US"/>
              </w:rPr>
            </w:pPr>
          </w:p>
        </w:tc>
        <w:tc>
          <w:tcPr>
            <w:tcW w:w="3063" w:type="dxa"/>
          </w:tcPr>
          <w:p w14:paraId="7AA2FF8F" w14:textId="77777777" w:rsidR="00C314D3" w:rsidRPr="00E9279E" w:rsidRDefault="00C314D3" w:rsidP="0036706A">
            <w:pPr>
              <w:pStyle w:val="Tabletext"/>
              <w:ind w:left="0" w:right="0"/>
              <w:rPr>
                <w:color w:val="auto"/>
                <w:lang w:val="en-US"/>
              </w:rPr>
            </w:pPr>
            <w:r w:rsidRPr="00E9279E">
              <w:rPr>
                <w:color w:val="auto"/>
                <w:lang w:val="en-US"/>
              </w:rPr>
              <w:t>Positive</w:t>
            </w:r>
          </w:p>
          <w:p w14:paraId="5A3305FC" w14:textId="77777777" w:rsidR="00C314D3" w:rsidRPr="00E9279E" w:rsidRDefault="00C314D3" w:rsidP="0036706A">
            <w:pPr>
              <w:pStyle w:val="Tabletext"/>
              <w:ind w:left="0" w:right="0"/>
              <w:rPr>
                <w:color w:val="auto"/>
                <w:lang w:val="en-US"/>
              </w:rPr>
            </w:pPr>
            <w:r w:rsidRPr="00E9279E">
              <w:rPr>
                <w:color w:val="auto"/>
                <w:lang w:val="en-US"/>
              </w:rPr>
              <w:t>Negative</w:t>
            </w:r>
          </w:p>
          <w:p w14:paraId="72798A42" w14:textId="77777777" w:rsidR="00C314D3" w:rsidRPr="00E9279E" w:rsidRDefault="00C314D3" w:rsidP="0036706A">
            <w:pPr>
              <w:pStyle w:val="Tabletext"/>
              <w:ind w:left="0" w:right="0"/>
              <w:rPr>
                <w:color w:val="auto"/>
                <w:lang w:val="en-US"/>
              </w:rPr>
            </w:pPr>
            <w:r w:rsidRPr="00E9279E">
              <w:rPr>
                <w:color w:val="auto"/>
                <w:lang w:val="en-US"/>
              </w:rPr>
              <w:t>unknown</w:t>
            </w:r>
          </w:p>
          <w:p w14:paraId="3BB9ED87" w14:textId="77777777" w:rsidR="00C314D3" w:rsidRPr="00E9279E" w:rsidRDefault="00C314D3" w:rsidP="0036706A">
            <w:pPr>
              <w:pStyle w:val="Tabletext"/>
              <w:ind w:left="0" w:right="0"/>
              <w:rPr>
                <w:color w:val="auto"/>
                <w:lang w:val="en-US"/>
              </w:rPr>
            </w:pPr>
            <w:r w:rsidRPr="00E9279E">
              <w:rPr>
                <w:color w:val="auto"/>
                <w:lang w:val="en-US"/>
              </w:rPr>
              <w:t>Missing</w:t>
            </w:r>
          </w:p>
        </w:tc>
        <w:tc>
          <w:tcPr>
            <w:tcW w:w="1701" w:type="dxa"/>
          </w:tcPr>
          <w:p w14:paraId="66DA2F14" w14:textId="77777777" w:rsidR="00C314D3" w:rsidRPr="00E9279E" w:rsidRDefault="00C314D3" w:rsidP="0036706A">
            <w:pPr>
              <w:pStyle w:val="Tabletext"/>
              <w:ind w:left="0" w:right="0"/>
              <w:rPr>
                <w:color w:val="auto"/>
              </w:rPr>
            </w:pPr>
            <w:r w:rsidRPr="00E9279E">
              <w:rPr>
                <w:color w:val="auto"/>
              </w:rPr>
              <w:t>86.4%</w:t>
            </w:r>
          </w:p>
          <w:p w14:paraId="5B4D06B4" w14:textId="77777777" w:rsidR="00C314D3" w:rsidRPr="00E9279E" w:rsidRDefault="00C314D3" w:rsidP="0036706A">
            <w:pPr>
              <w:pStyle w:val="Tabletext"/>
              <w:ind w:left="0" w:right="0"/>
              <w:rPr>
                <w:color w:val="auto"/>
              </w:rPr>
            </w:pPr>
            <w:r w:rsidRPr="00E9279E">
              <w:rPr>
                <w:color w:val="auto"/>
              </w:rPr>
              <w:t>10.6%</w:t>
            </w:r>
          </w:p>
          <w:p w14:paraId="35070B92" w14:textId="77777777" w:rsidR="00C314D3" w:rsidRPr="00E9279E" w:rsidRDefault="00C314D3" w:rsidP="0036706A">
            <w:pPr>
              <w:pStyle w:val="Tabletext"/>
              <w:ind w:left="0" w:right="0"/>
              <w:rPr>
                <w:color w:val="auto"/>
              </w:rPr>
            </w:pPr>
            <w:r w:rsidRPr="00E9279E">
              <w:rPr>
                <w:color w:val="auto"/>
              </w:rPr>
              <w:t>0.8%</w:t>
            </w:r>
          </w:p>
          <w:p w14:paraId="6A53B442" w14:textId="77777777" w:rsidR="00C314D3" w:rsidRPr="00E9279E" w:rsidRDefault="00C314D3" w:rsidP="0036706A">
            <w:pPr>
              <w:pStyle w:val="Tabletext"/>
              <w:ind w:left="0" w:right="0"/>
              <w:rPr>
                <w:color w:val="auto"/>
              </w:rPr>
            </w:pPr>
            <w:r w:rsidRPr="00E9279E">
              <w:rPr>
                <w:color w:val="auto"/>
              </w:rPr>
              <w:t>2.2%</w:t>
            </w:r>
          </w:p>
        </w:tc>
        <w:tc>
          <w:tcPr>
            <w:tcW w:w="1701" w:type="dxa"/>
          </w:tcPr>
          <w:p w14:paraId="2837281D" w14:textId="77777777" w:rsidR="00C314D3" w:rsidRPr="00E9279E" w:rsidRDefault="00C314D3" w:rsidP="0036706A">
            <w:pPr>
              <w:pStyle w:val="Tabletext"/>
              <w:ind w:left="0" w:right="0"/>
              <w:rPr>
                <w:color w:val="auto"/>
              </w:rPr>
            </w:pPr>
            <w:r w:rsidRPr="00E9279E">
              <w:rPr>
                <w:color w:val="auto"/>
              </w:rPr>
              <w:t>86.8%</w:t>
            </w:r>
          </w:p>
          <w:p w14:paraId="670A95BB" w14:textId="77777777" w:rsidR="00C314D3" w:rsidRPr="00E9279E" w:rsidRDefault="00C314D3" w:rsidP="0036706A">
            <w:pPr>
              <w:pStyle w:val="Tabletext"/>
              <w:ind w:left="0" w:right="0"/>
              <w:rPr>
                <w:color w:val="auto"/>
              </w:rPr>
            </w:pPr>
            <w:r w:rsidRPr="00E9279E">
              <w:rPr>
                <w:color w:val="auto"/>
              </w:rPr>
              <w:t>10.4%</w:t>
            </w:r>
          </w:p>
          <w:p w14:paraId="1C1F25CA" w14:textId="77777777" w:rsidR="00C314D3" w:rsidRPr="00E9279E" w:rsidRDefault="00C314D3" w:rsidP="0036706A">
            <w:pPr>
              <w:pStyle w:val="Tabletext"/>
              <w:ind w:left="0" w:right="0"/>
              <w:rPr>
                <w:color w:val="auto"/>
              </w:rPr>
            </w:pPr>
            <w:r w:rsidRPr="00E9279E">
              <w:rPr>
                <w:color w:val="auto"/>
              </w:rPr>
              <w:t>0.7%</w:t>
            </w:r>
          </w:p>
          <w:p w14:paraId="71F97DB6" w14:textId="77777777" w:rsidR="00C314D3" w:rsidRPr="00E9279E" w:rsidRDefault="00C314D3" w:rsidP="0036706A">
            <w:pPr>
              <w:pStyle w:val="Tabletext"/>
              <w:ind w:left="0" w:right="0"/>
              <w:rPr>
                <w:color w:val="7030A0"/>
              </w:rPr>
            </w:pPr>
            <w:r w:rsidRPr="00E9279E">
              <w:rPr>
                <w:color w:val="auto"/>
              </w:rPr>
              <w:t>0.2%</w:t>
            </w:r>
          </w:p>
        </w:tc>
      </w:tr>
      <w:tr w:rsidR="00C314D3" w:rsidRPr="00E9279E" w14:paraId="1AD099FC" w14:textId="77777777" w:rsidTr="005550FE">
        <w:trPr>
          <w:trHeight w:val="20"/>
        </w:trPr>
        <w:tc>
          <w:tcPr>
            <w:tcW w:w="1747" w:type="dxa"/>
            <w:vMerge/>
          </w:tcPr>
          <w:p w14:paraId="63D7B3B5" w14:textId="77777777" w:rsidR="00C314D3" w:rsidRPr="00E9279E" w:rsidRDefault="00C314D3" w:rsidP="0036706A">
            <w:pPr>
              <w:pStyle w:val="Tabletext"/>
              <w:ind w:left="0" w:right="0"/>
              <w:rPr>
                <w:bCs/>
                <w:color w:val="7030A0"/>
                <w:lang w:val="en-US"/>
              </w:rPr>
            </w:pPr>
          </w:p>
        </w:tc>
        <w:tc>
          <w:tcPr>
            <w:tcW w:w="6465" w:type="dxa"/>
            <w:gridSpan w:val="3"/>
          </w:tcPr>
          <w:p w14:paraId="65161280" w14:textId="6E408F02" w:rsidR="00C314D3" w:rsidRPr="00E9279E" w:rsidRDefault="006835FD" w:rsidP="0036706A">
            <w:pPr>
              <w:pStyle w:val="Tabletext"/>
              <w:ind w:left="0" w:right="0"/>
              <w:rPr>
                <w:b/>
                <w:color w:val="7030A0"/>
              </w:rPr>
            </w:pPr>
            <w:r w:rsidRPr="00E9279E">
              <w:rPr>
                <w:b/>
                <w:color w:val="auto"/>
              </w:rPr>
              <w:t xml:space="preserve">Human epidermal growth factor receptor 2 </w:t>
            </w:r>
            <w:r w:rsidR="00C314D3" w:rsidRPr="00E9279E">
              <w:rPr>
                <w:b/>
                <w:color w:val="auto"/>
              </w:rPr>
              <w:t>status (initial diagnosis)</w:t>
            </w:r>
          </w:p>
        </w:tc>
      </w:tr>
      <w:tr w:rsidR="00C314D3" w:rsidRPr="00E9279E" w14:paraId="2A634F2E" w14:textId="77777777" w:rsidTr="006835FD">
        <w:trPr>
          <w:trHeight w:val="20"/>
        </w:trPr>
        <w:tc>
          <w:tcPr>
            <w:tcW w:w="1747" w:type="dxa"/>
            <w:vMerge/>
          </w:tcPr>
          <w:p w14:paraId="4FB01816" w14:textId="77777777" w:rsidR="00C314D3" w:rsidRPr="00E9279E" w:rsidRDefault="00C314D3" w:rsidP="0036706A">
            <w:pPr>
              <w:pStyle w:val="Tabletext"/>
              <w:ind w:left="0" w:right="0"/>
              <w:rPr>
                <w:bCs/>
                <w:color w:val="7030A0"/>
                <w:lang w:val="en-US"/>
              </w:rPr>
            </w:pPr>
          </w:p>
        </w:tc>
        <w:tc>
          <w:tcPr>
            <w:tcW w:w="3063" w:type="dxa"/>
          </w:tcPr>
          <w:p w14:paraId="3198DF08" w14:textId="77777777" w:rsidR="00C314D3" w:rsidRPr="00E9279E" w:rsidRDefault="00C314D3" w:rsidP="0036706A">
            <w:pPr>
              <w:pStyle w:val="Tabletext"/>
              <w:ind w:left="0" w:right="0"/>
              <w:rPr>
                <w:color w:val="auto"/>
                <w:lang w:val="en-US"/>
              </w:rPr>
            </w:pPr>
            <w:r w:rsidRPr="00E9279E">
              <w:rPr>
                <w:color w:val="auto"/>
                <w:lang w:val="en-US"/>
              </w:rPr>
              <w:t>Positive</w:t>
            </w:r>
          </w:p>
          <w:p w14:paraId="50B103FB" w14:textId="77777777" w:rsidR="00C314D3" w:rsidRPr="00E9279E" w:rsidRDefault="00C314D3" w:rsidP="0036706A">
            <w:pPr>
              <w:pStyle w:val="Tabletext"/>
              <w:ind w:left="0" w:right="0"/>
              <w:rPr>
                <w:color w:val="auto"/>
                <w:lang w:val="en-US"/>
              </w:rPr>
            </w:pPr>
            <w:r w:rsidRPr="00E9279E">
              <w:rPr>
                <w:color w:val="auto"/>
                <w:lang w:val="en-US"/>
              </w:rPr>
              <w:t>Negative</w:t>
            </w:r>
          </w:p>
          <w:p w14:paraId="31F2985D" w14:textId="77777777" w:rsidR="00C314D3" w:rsidRPr="00E9279E" w:rsidRDefault="00C314D3" w:rsidP="0036706A">
            <w:pPr>
              <w:pStyle w:val="Tabletext"/>
              <w:ind w:left="0" w:right="0"/>
              <w:rPr>
                <w:color w:val="7030A0"/>
                <w:lang w:val="en-US"/>
              </w:rPr>
            </w:pPr>
            <w:r w:rsidRPr="00E9279E">
              <w:rPr>
                <w:color w:val="auto"/>
                <w:lang w:val="en-US"/>
              </w:rPr>
              <w:t>Missing</w:t>
            </w:r>
          </w:p>
        </w:tc>
        <w:tc>
          <w:tcPr>
            <w:tcW w:w="1701" w:type="dxa"/>
          </w:tcPr>
          <w:p w14:paraId="42CBFC01" w14:textId="77777777" w:rsidR="00C314D3" w:rsidRPr="00E9279E" w:rsidRDefault="00C314D3" w:rsidP="0036706A">
            <w:pPr>
              <w:pStyle w:val="Tabletext"/>
              <w:ind w:left="0" w:right="0"/>
              <w:rPr>
                <w:color w:val="auto"/>
              </w:rPr>
            </w:pPr>
            <w:r w:rsidRPr="00E9279E">
              <w:rPr>
                <w:color w:val="auto"/>
              </w:rPr>
              <w:t>0</w:t>
            </w:r>
          </w:p>
          <w:p w14:paraId="268F9280" w14:textId="77777777" w:rsidR="00C314D3" w:rsidRPr="00E9279E" w:rsidRDefault="00C314D3" w:rsidP="0036706A">
            <w:pPr>
              <w:pStyle w:val="Tabletext"/>
              <w:ind w:left="0" w:right="0"/>
              <w:rPr>
                <w:color w:val="auto"/>
              </w:rPr>
            </w:pPr>
            <w:r w:rsidRPr="00E9279E">
              <w:rPr>
                <w:color w:val="auto"/>
              </w:rPr>
              <w:t>99.95%</w:t>
            </w:r>
          </w:p>
          <w:p w14:paraId="6CF3EDB2" w14:textId="2B735BB7" w:rsidR="00C314D3" w:rsidRPr="00E9279E" w:rsidRDefault="00C314D3" w:rsidP="0036706A">
            <w:pPr>
              <w:pStyle w:val="Tabletext"/>
              <w:ind w:left="0" w:right="0"/>
              <w:rPr>
                <w:color w:val="7030A0"/>
              </w:rPr>
            </w:pPr>
            <w:r w:rsidRPr="00E9279E">
              <w:rPr>
                <w:color w:val="auto"/>
              </w:rPr>
              <w:t>1</w:t>
            </w:r>
            <w:r w:rsidR="00124678" w:rsidRPr="00E9279E">
              <w:rPr>
                <w:color w:val="auto"/>
              </w:rPr>
              <w:t xml:space="preserve"> </w:t>
            </w:r>
            <w:r w:rsidRPr="00E9279E">
              <w:rPr>
                <w:color w:val="auto"/>
              </w:rPr>
              <w:t>patient</w:t>
            </w:r>
          </w:p>
        </w:tc>
        <w:tc>
          <w:tcPr>
            <w:tcW w:w="1701" w:type="dxa"/>
          </w:tcPr>
          <w:p w14:paraId="64F2C484" w14:textId="77777777" w:rsidR="00C314D3" w:rsidRPr="00E9279E" w:rsidRDefault="00C314D3" w:rsidP="0036706A">
            <w:pPr>
              <w:pStyle w:val="Tabletext"/>
              <w:ind w:left="0" w:right="0"/>
              <w:rPr>
                <w:color w:val="auto"/>
              </w:rPr>
            </w:pPr>
            <w:r w:rsidRPr="00E9279E">
              <w:rPr>
                <w:color w:val="auto"/>
              </w:rPr>
              <w:t>0.1%</w:t>
            </w:r>
          </w:p>
          <w:p w14:paraId="5069E9B9" w14:textId="77777777" w:rsidR="00C314D3" w:rsidRPr="00E9279E" w:rsidRDefault="00C314D3" w:rsidP="0036706A">
            <w:pPr>
              <w:pStyle w:val="Tabletext"/>
              <w:ind w:left="0" w:right="0"/>
              <w:rPr>
                <w:color w:val="auto"/>
              </w:rPr>
            </w:pPr>
            <w:r w:rsidRPr="00E9279E">
              <w:rPr>
                <w:color w:val="auto"/>
              </w:rPr>
              <w:t>99.9%</w:t>
            </w:r>
          </w:p>
          <w:p w14:paraId="0A383C05" w14:textId="77777777" w:rsidR="00C314D3" w:rsidRPr="00E9279E" w:rsidRDefault="00C314D3" w:rsidP="0036706A">
            <w:pPr>
              <w:pStyle w:val="Tabletext"/>
              <w:ind w:left="0" w:right="0"/>
              <w:rPr>
                <w:color w:val="7030A0"/>
              </w:rPr>
            </w:pPr>
            <w:r w:rsidRPr="00E9279E">
              <w:rPr>
                <w:color w:val="auto"/>
              </w:rPr>
              <w:t>0</w:t>
            </w:r>
          </w:p>
        </w:tc>
      </w:tr>
      <w:tr w:rsidR="00C314D3" w:rsidRPr="00E9279E" w14:paraId="1D937B0E" w14:textId="77777777" w:rsidTr="005550FE">
        <w:trPr>
          <w:trHeight w:val="20"/>
        </w:trPr>
        <w:tc>
          <w:tcPr>
            <w:tcW w:w="1747" w:type="dxa"/>
            <w:vMerge/>
          </w:tcPr>
          <w:p w14:paraId="3EE15680" w14:textId="77777777" w:rsidR="00C314D3" w:rsidRPr="00E9279E" w:rsidRDefault="00C314D3" w:rsidP="0036706A">
            <w:pPr>
              <w:pStyle w:val="Tabletext"/>
              <w:ind w:left="0" w:right="0"/>
              <w:rPr>
                <w:bCs/>
                <w:color w:val="7030A0"/>
                <w:lang w:val="en-US"/>
              </w:rPr>
            </w:pPr>
          </w:p>
        </w:tc>
        <w:tc>
          <w:tcPr>
            <w:tcW w:w="6465" w:type="dxa"/>
            <w:gridSpan w:val="3"/>
          </w:tcPr>
          <w:p w14:paraId="65C04E94" w14:textId="77777777" w:rsidR="00C314D3" w:rsidRPr="00E9279E" w:rsidRDefault="00C314D3" w:rsidP="0036706A">
            <w:pPr>
              <w:pStyle w:val="Tabletext"/>
              <w:ind w:left="0" w:right="0"/>
              <w:rPr>
                <w:b/>
                <w:color w:val="auto"/>
              </w:rPr>
            </w:pPr>
            <w:r w:rsidRPr="00E9279E">
              <w:rPr>
                <w:b/>
                <w:color w:val="auto"/>
                <w:lang w:val="en-US"/>
              </w:rPr>
              <w:t>Ki-67 results</w:t>
            </w:r>
          </w:p>
        </w:tc>
      </w:tr>
      <w:tr w:rsidR="00C314D3" w:rsidRPr="00E9279E" w14:paraId="097FC86C" w14:textId="77777777" w:rsidTr="006835FD">
        <w:trPr>
          <w:trHeight w:val="20"/>
        </w:trPr>
        <w:tc>
          <w:tcPr>
            <w:tcW w:w="1747" w:type="dxa"/>
            <w:vMerge/>
          </w:tcPr>
          <w:p w14:paraId="3DE48228" w14:textId="77777777" w:rsidR="00C314D3" w:rsidRPr="00E9279E" w:rsidRDefault="00C314D3" w:rsidP="0036706A">
            <w:pPr>
              <w:pStyle w:val="Tabletext"/>
              <w:ind w:left="0" w:right="0"/>
              <w:rPr>
                <w:bCs/>
                <w:color w:val="7030A0"/>
                <w:lang w:val="en-US"/>
              </w:rPr>
            </w:pPr>
          </w:p>
        </w:tc>
        <w:tc>
          <w:tcPr>
            <w:tcW w:w="3063" w:type="dxa"/>
          </w:tcPr>
          <w:p w14:paraId="0262099C" w14:textId="4D0B75F7" w:rsidR="00C314D3" w:rsidRPr="00E9279E" w:rsidRDefault="00C314D3" w:rsidP="0036706A">
            <w:pPr>
              <w:pStyle w:val="Tabletext"/>
              <w:ind w:left="0" w:right="0"/>
              <w:rPr>
                <w:color w:val="auto"/>
                <w:lang w:val="en-US"/>
              </w:rPr>
            </w:pPr>
            <w:r w:rsidRPr="00E9279E">
              <w:rPr>
                <w:color w:val="auto"/>
                <w:lang w:val="en-US"/>
              </w:rPr>
              <w:t>&lt;</w:t>
            </w:r>
            <w:r w:rsidR="002F1A84" w:rsidRPr="00E9279E">
              <w:rPr>
                <w:color w:val="auto"/>
                <w:lang w:val="en-US"/>
              </w:rPr>
              <w:t xml:space="preserve"> </w:t>
            </w:r>
            <w:r w:rsidRPr="00E9279E">
              <w:rPr>
                <w:color w:val="auto"/>
                <w:lang w:val="en-US"/>
              </w:rPr>
              <w:t>20%</w:t>
            </w:r>
          </w:p>
          <w:p w14:paraId="06174752" w14:textId="77777777" w:rsidR="00C314D3" w:rsidRPr="00E9279E" w:rsidRDefault="00C314D3" w:rsidP="0036706A">
            <w:pPr>
              <w:pStyle w:val="Tabletext"/>
              <w:ind w:left="0" w:right="0"/>
              <w:rPr>
                <w:color w:val="auto"/>
                <w:lang w:val="en-US"/>
              </w:rPr>
            </w:pPr>
            <w:r w:rsidRPr="00E9279E">
              <w:rPr>
                <w:color w:val="auto"/>
                <w:lang w:val="en-US"/>
              </w:rPr>
              <w:t>≥ 20%</w:t>
            </w:r>
          </w:p>
          <w:p w14:paraId="4617B742" w14:textId="77777777" w:rsidR="00C314D3" w:rsidRPr="00E9279E" w:rsidRDefault="00C314D3" w:rsidP="0036706A">
            <w:pPr>
              <w:pStyle w:val="Tabletext"/>
              <w:ind w:left="0" w:right="0"/>
              <w:rPr>
                <w:color w:val="auto"/>
                <w:lang w:val="en-US"/>
              </w:rPr>
            </w:pPr>
            <w:r w:rsidRPr="00E9279E">
              <w:rPr>
                <w:color w:val="auto"/>
                <w:lang w:val="en-US"/>
              </w:rPr>
              <w:t>Missing</w:t>
            </w:r>
          </w:p>
          <w:p w14:paraId="16DE3EBA" w14:textId="0392539A" w:rsidR="00C314D3" w:rsidRPr="00E9279E" w:rsidRDefault="00C314D3" w:rsidP="0036706A">
            <w:pPr>
              <w:pStyle w:val="Tabletext"/>
              <w:ind w:left="0" w:right="0"/>
              <w:rPr>
                <w:color w:val="auto"/>
                <w:lang w:val="en-US"/>
              </w:rPr>
            </w:pPr>
            <w:r w:rsidRPr="00E9279E">
              <w:rPr>
                <w:color w:val="auto"/>
                <w:lang w:val="en-US"/>
              </w:rPr>
              <w:t xml:space="preserve">&lt; 200 </w:t>
            </w:r>
            <w:proofErr w:type="spellStart"/>
            <w:r w:rsidRPr="00E9279E">
              <w:rPr>
                <w:color w:val="auto"/>
                <w:lang w:val="en-US"/>
              </w:rPr>
              <w:t>tumour</w:t>
            </w:r>
            <w:proofErr w:type="spellEnd"/>
            <w:r w:rsidRPr="00E9279E">
              <w:rPr>
                <w:color w:val="auto"/>
                <w:lang w:val="en-US"/>
              </w:rPr>
              <w:t xml:space="preserve"> cells in sample </w:t>
            </w:r>
            <w:r w:rsidR="004D5FD3" w:rsidRPr="00E9279E">
              <w:rPr>
                <w:iCs/>
                <w:lang w:val="en-US"/>
              </w:rPr>
              <w:t>and</w:t>
            </w:r>
            <w:r w:rsidR="004D5FD3" w:rsidRPr="00E9279E">
              <w:rPr>
                <w:color w:val="auto"/>
                <w:lang w:val="en-US"/>
              </w:rPr>
              <w:t xml:space="preserve"> </w:t>
            </w:r>
            <w:r w:rsidRPr="00E9279E">
              <w:rPr>
                <w:color w:val="auto"/>
                <w:lang w:val="en-US"/>
              </w:rPr>
              <w:t>no test</w:t>
            </w:r>
            <w:r w:rsidR="004D5FD3" w:rsidRPr="00E9279E">
              <w:rPr>
                <w:color w:val="auto"/>
                <w:lang w:val="en-US"/>
              </w:rPr>
              <w:t xml:space="preserve"> </w:t>
            </w:r>
            <w:r w:rsidR="00124678" w:rsidRPr="00E9279E">
              <w:rPr>
                <w:color w:val="auto"/>
                <w:lang w:val="en-US"/>
              </w:rPr>
              <w:t>performed</w:t>
            </w:r>
          </w:p>
          <w:p w14:paraId="6719355E" w14:textId="069190C6" w:rsidR="00C314D3" w:rsidRPr="00E9279E" w:rsidRDefault="00C314D3" w:rsidP="0036706A">
            <w:pPr>
              <w:pStyle w:val="Tabletext"/>
              <w:ind w:left="0" w:right="0"/>
              <w:rPr>
                <w:color w:val="auto"/>
                <w:lang w:val="en-US"/>
              </w:rPr>
            </w:pPr>
            <w:r w:rsidRPr="00E9279E">
              <w:rPr>
                <w:color w:val="auto"/>
                <w:lang w:val="en-US"/>
              </w:rPr>
              <w:t>&gt;</w:t>
            </w:r>
            <w:r w:rsidR="002F1A84" w:rsidRPr="00E9279E">
              <w:rPr>
                <w:color w:val="auto"/>
                <w:lang w:val="en-US"/>
              </w:rPr>
              <w:t xml:space="preserve"> </w:t>
            </w:r>
            <w:r w:rsidRPr="00E9279E">
              <w:rPr>
                <w:color w:val="auto"/>
                <w:lang w:val="en-US"/>
              </w:rPr>
              <w:t xml:space="preserve">200 </w:t>
            </w:r>
            <w:proofErr w:type="spellStart"/>
            <w:r w:rsidRPr="00E9279E">
              <w:rPr>
                <w:color w:val="auto"/>
                <w:lang w:val="en-US"/>
              </w:rPr>
              <w:t>tumour</w:t>
            </w:r>
            <w:proofErr w:type="spellEnd"/>
            <w:r w:rsidRPr="00E9279E">
              <w:rPr>
                <w:color w:val="auto"/>
                <w:lang w:val="en-US"/>
              </w:rPr>
              <w:t xml:space="preserve"> cells in sample </w:t>
            </w:r>
            <w:r w:rsidR="00124678" w:rsidRPr="00E9279E">
              <w:rPr>
                <w:iCs/>
                <w:lang w:val="en-US"/>
              </w:rPr>
              <w:t>but</w:t>
            </w:r>
            <w:r w:rsidRPr="00E9279E">
              <w:rPr>
                <w:color w:val="auto"/>
                <w:lang w:val="en-US"/>
              </w:rPr>
              <w:t xml:space="preserve"> result not evaluable</w:t>
            </w:r>
          </w:p>
        </w:tc>
        <w:tc>
          <w:tcPr>
            <w:tcW w:w="1701" w:type="dxa"/>
          </w:tcPr>
          <w:p w14:paraId="4D214225" w14:textId="77777777" w:rsidR="00C314D3" w:rsidRPr="00E9279E" w:rsidRDefault="00C314D3" w:rsidP="0036706A">
            <w:pPr>
              <w:pStyle w:val="Tabletext"/>
              <w:ind w:left="0" w:right="0"/>
              <w:rPr>
                <w:color w:val="auto"/>
              </w:rPr>
            </w:pPr>
            <w:r w:rsidRPr="00E9279E">
              <w:rPr>
                <w:color w:val="auto"/>
              </w:rPr>
              <w:t>33.9%</w:t>
            </w:r>
          </w:p>
          <w:p w14:paraId="0FF36DF8" w14:textId="77777777" w:rsidR="00C314D3" w:rsidRPr="00E9279E" w:rsidRDefault="00C314D3" w:rsidP="0036706A">
            <w:pPr>
              <w:pStyle w:val="Tabletext"/>
              <w:ind w:left="0" w:right="0"/>
              <w:rPr>
                <w:color w:val="auto"/>
              </w:rPr>
            </w:pPr>
            <w:r w:rsidRPr="00E9279E">
              <w:rPr>
                <w:color w:val="auto"/>
              </w:rPr>
              <w:t>44.9%</w:t>
            </w:r>
          </w:p>
          <w:p w14:paraId="08CE857C" w14:textId="77777777" w:rsidR="00C314D3" w:rsidRPr="00E9279E" w:rsidRDefault="00C314D3" w:rsidP="0036706A">
            <w:pPr>
              <w:pStyle w:val="Tabletext"/>
              <w:ind w:left="0" w:right="0"/>
              <w:rPr>
                <w:color w:val="auto"/>
              </w:rPr>
            </w:pPr>
            <w:r w:rsidRPr="00E9279E">
              <w:rPr>
                <w:color w:val="auto"/>
              </w:rPr>
              <w:t>16.5%</w:t>
            </w:r>
          </w:p>
          <w:p w14:paraId="75E396F9" w14:textId="77777777" w:rsidR="00C314D3" w:rsidRPr="00E9279E" w:rsidRDefault="00C314D3" w:rsidP="0036706A">
            <w:pPr>
              <w:pStyle w:val="Tabletext"/>
              <w:ind w:left="0" w:right="0"/>
              <w:rPr>
                <w:color w:val="auto"/>
              </w:rPr>
            </w:pPr>
            <w:r w:rsidRPr="00E9279E">
              <w:rPr>
                <w:color w:val="auto"/>
              </w:rPr>
              <w:t>2.6%</w:t>
            </w:r>
          </w:p>
          <w:p w14:paraId="3723BFC0" w14:textId="3A7573AE" w:rsidR="00C314D3" w:rsidRPr="00E9279E" w:rsidRDefault="00124678" w:rsidP="0036706A">
            <w:pPr>
              <w:pStyle w:val="Tabletext"/>
              <w:ind w:left="0" w:right="0"/>
              <w:rPr>
                <w:color w:val="auto"/>
              </w:rPr>
            </w:pPr>
            <w:r w:rsidRPr="00E9279E">
              <w:rPr>
                <w:color w:val="auto"/>
              </w:rPr>
              <w:br/>
            </w:r>
            <w:r w:rsidR="00C314D3" w:rsidRPr="00E9279E">
              <w:rPr>
                <w:color w:val="auto"/>
              </w:rPr>
              <w:t>2.</w:t>
            </w:r>
            <w:r w:rsidRPr="00E9279E">
              <w:rPr>
                <w:color w:val="auto"/>
              </w:rPr>
              <w:t xml:space="preserve"> </w:t>
            </w:r>
            <w:r w:rsidR="00C314D3" w:rsidRPr="00E9279E">
              <w:rPr>
                <w:color w:val="auto"/>
              </w:rPr>
              <w:t>0%</w:t>
            </w:r>
          </w:p>
        </w:tc>
        <w:tc>
          <w:tcPr>
            <w:tcW w:w="1701" w:type="dxa"/>
          </w:tcPr>
          <w:p w14:paraId="717FF4CD" w14:textId="77777777" w:rsidR="00C314D3" w:rsidRPr="00E9279E" w:rsidRDefault="00C314D3" w:rsidP="0036706A">
            <w:pPr>
              <w:pStyle w:val="Tabletext"/>
              <w:ind w:left="0" w:right="0"/>
              <w:rPr>
                <w:color w:val="auto"/>
              </w:rPr>
            </w:pPr>
            <w:r w:rsidRPr="00E9279E">
              <w:rPr>
                <w:color w:val="auto"/>
              </w:rPr>
              <w:t>34.4%</w:t>
            </w:r>
          </w:p>
          <w:p w14:paraId="54DF4453" w14:textId="77777777" w:rsidR="00C314D3" w:rsidRPr="00E9279E" w:rsidRDefault="00C314D3" w:rsidP="0036706A">
            <w:pPr>
              <w:pStyle w:val="Tabletext"/>
              <w:ind w:left="0" w:right="0"/>
              <w:rPr>
                <w:color w:val="auto"/>
              </w:rPr>
            </w:pPr>
            <w:r w:rsidRPr="00E9279E">
              <w:rPr>
                <w:color w:val="auto"/>
              </w:rPr>
              <w:t>43.7%</w:t>
            </w:r>
          </w:p>
          <w:p w14:paraId="144CF4B4" w14:textId="77777777" w:rsidR="00C314D3" w:rsidRPr="00E9279E" w:rsidRDefault="00C314D3" w:rsidP="0036706A">
            <w:pPr>
              <w:pStyle w:val="Tabletext"/>
              <w:ind w:left="0" w:right="0"/>
              <w:rPr>
                <w:color w:val="auto"/>
              </w:rPr>
            </w:pPr>
            <w:r w:rsidRPr="00E9279E">
              <w:rPr>
                <w:color w:val="auto"/>
              </w:rPr>
              <w:t>16.9%</w:t>
            </w:r>
          </w:p>
          <w:p w14:paraId="67545AFB" w14:textId="77777777" w:rsidR="00C314D3" w:rsidRPr="00E9279E" w:rsidRDefault="00C314D3" w:rsidP="0036706A">
            <w:pPr>
              <w:pStyle w:val="Tabletext"/>
              <w:ind w:left="0" w:right="0"/>
              <w:rPr>
                <w:color w:val="auto"/>
              </w:rPr>
            </w:pPr>
            <w:r w:rsidRPr="00E9279E">
              <w:rPr>
                <w:color w:val="auto"/>
              </w:rPr>
              <w:t>2.5%</w:t>
            </w:r>
          </w:p>
          <w:p w14:paraId="2A3334DD" w14:textId="200EED76" w:rsidR="00C314D3" w:rsidRPr="00E9279E" w:rsidRDefault="00124678" w:rsidP="0036706A">
            <w:pPr>
              <w:pStyle w:val="Tabletext"/>
              <w:ind w:left="0" w:right="0"/>
              <w:rPr>
                <w:color w:val="auto"/>
              </w:rPr>
            </w:pPr>
            <w:r w:rsidRPr="00E9279E">
              <w:rPr>
                <w:color w:val="auto"/>
              </w:rPr>
              <w:br/>
            </w:r>
            <w:r w:rsidR="00C314D3" w:rsidRPr="00E9279E">
              <w:rPr>
                <w:color w:val="auto"/>
              </w:rPr>
              <w:t>2.4%</w:t>
            </w:r>
          </w:p>
        </w:tc>
      </w:tr>
      <w:tr w:rsidR="00C314D3" w:rsidRPr="00E9279E" w14:paraId="6B13823C" w14:textId="77777777" w:rsidTr="006835FD">
        <w:trPr>
          <w:trHeight w:val="20"/>
        </w:trPr>
        <w:tc>
          <w:tcPr>
            <w:tcW w:w="1747" w:type="dxa"/>
            <w:vMerge w:val="restart"/>
            <w:hideMark/>
          </w:tcPr>
          <w:p w14:paraId="06388B50" w14:textId="77777777" w:rsidR="00C314D3" w:rsidRPr="00E9279E" w:rsidRDefault="00C314D3" w:rsidP="0036706A">
            <w:pPr>
              <w:pStyle w:val="Tabletext"/>
              <w:ind w:left="0" w:right="0"/>
              <w:rPr>
                <w:b/>
                <w:color w:val="7030A0"/>
                <w:lang w:val="en-US"/>
              </w:rPr>
            </w:pPr>
            <w:r w:rsidRPr="00E9279E">
              <w:rPr>
                <w:b/>
                <w:color w:val="auto"/>
                <w:lang w:val="en-US"/>
              </w:rPr>
              <w:t>Prior treatment</w:t>
            </w:r>
          </w:p>
        </w:tc>
        <w:tc>
          <w:tcPr>
            <w:tcW w:w="3063" w:type="dxa"/>
          </w:tcPr>
          <w:p w14:paraId="424538C1" w14:textId="77777777" w:rsidR="00C314D3" w:rsidRPr="00E9279E" w:rsidRDefault="00C314D3" w:rsidP="0036706A">
            <w:pPr>
              <w:pStyle w:val="Tabletext"/>
              <w:ind w:left="0" w:right="0"/>
              <w:rPr>
                <w:color w:val="auto"/>
                <w:lang w:val="en-US"/>
              </w:rPr>
            </w:pPr>
            <w:r w:rsidRPr="00E9279E">
              <w:rPr>
                <w:color w:val="auto"/>
                <w:lang w:val="en-US"/>
              </w:rPr>
              <w:t>Surgical procedure (with curative intent)</w:t>
            </w:r>
          </w:p>
        </w:tc>
        <w:tc>
          <w:tcPr>
            <w:tcW w:w="1701" w:type="dxa"/>
            <w:hideMark/>
          </w:tcPr>
          <w:p w14:paraId="749F22E5" w14:textId="77777777" w:rsidR="00C314D3" w:rsidRPr="00E9279E" w:rsidRDefault="00C314D3" w:rsidP="0036706A">
            <w:pPr>
              <w:pStyle w:val="Tabletext"/>
              <w:ind w:left="0" w:right="0"/>
              <w:rPr>
                <w:color w:val="auto"/>
              </w:rPr>
            </w:pPr>
            <w:r w:rsidRPr="00E9279E">
              <w:rPr>
                <w:color w:val="auto"/>
              </w:rPr>
              <w:t>99.9%</w:t>
            </w:r>
          </w:p>
        </w:tc>
        <w:tc>
          <w:tcPr>
            <w:tcW w:w="1701" w:type="dxa"/>
            <w:hideMark/>
          </w:tcPr>
          <w:p w14:paraId="180AA2C8" w14:textId="77777777" w:rsidR="00C314D3" w:rsidRPr="00E9279E" w:rsidRDefault="00C314D3" w:rsidP="0036706A">
            <w:pPr>
              <w:pStyle w:val="Tabletext"/>
              <w:ind w:left="0" w:right="0"/>
              <w:rPr>
                <w:color w:val="auto"/>
              </w:rPr>
            </w:pPr>
            <w:r w:rsidRPr="00E9279E">
              <w:rPr>
                <w:color w:val="auto"/>
              </w:rPr>
              <w:t>100%</w:t>
            </w:r>
          </w:p>
        </w:tc>
      </w:tr>
      <w:tr w:rsidR="00C314D3" w:rsidRPr="00E9279E" w14:paraId="019E8281" w14:textId="77777777" w:rsidTr="006835FD">
        <w:trPr>
          <w:trHeight w:val="20"/>
        </w:trPr>
        <w:tc>
          <w:tcPr>
            <w:tcW w:w="1747" w:type="dxa"/>
            <w:vMerge/>
          </w:tcPr>
          <w:p w14:paraId="66781EBF" w14:textId="77777777" w:rsidR="00C314D3" w:rsidRPr="00E9279E" w:rsidRDefault="00C314D3" w:rsidP="0036706A">
            <w:pPr>
              <w:pStyle w:val="Tabletext"/>
              <w:ind w:left="0" w:right="0"/>
              <w:rPr>
                <w:bCs/>
                <w:color w:val="7030A0"/>
                <w:lang w:val="en-US"/>
              </w:rPr>
            </w:pPr>
          </w:p>
        </w:tc>
        <w:tc>
          <w:tcPr>
            <w:tcW w:w="3063" w:type="dxa"/>
          </w:tcPr>
          <w:p w14:paraId="29407568" w14:textId="77777777" w:rsidR="00C314D3" w:rsidRPr="00E9279E" w:rsidRDefault="00C314D3" w:rsidP="0036706A">
            <w:pPr>
              <w:pStyle w:val="Tabletext"/>
              <w:ind w:left="0" w:right="0"/>
              <w:rPr>
                <w:color w:val="auto"/>
                <w:lang w:val="en-US"/>
              </w:rPr>
            </w:pPr>
            <w:r w:rsidRPr="00E9279E">
              <w:rPr>
                <w:color w:val="auto"/>
                <w:lang w:val="en-US"/>
              </w:rPr>
              <w:t>Neoadjuvant radiotherapy</w:t>
            </w:r>
          </w:p>
          <w:p w14:paraId="28E4DF77" w14:textId="77777777" w:rsidR="00C314D3" w:rsidRPr="00E9279E" w:rsidRDefault="00C314D3" w:rsidP="0036706A">
            <w:pPr>
              <w:pStyle w:val="Tabletext"/>
              <w:ind w:left="0" w:right="0"/>
              <w:rPr>
                <w:color w:val="auto"/>
                <w:lang w:val="en-US"/>
              </w:rPr>
            </w:pPr>
            <w:r w:rsidRPr="00E9279E">
              <w:rPr>
                <w:color w:val="auto"/>
                <w:lang w:val="en-US"/>
              </w:rPr>
              <w:t>Adjuvant radiotherapy</w:t>
            </w:r>
          </w:p>
        </w:tc>
        <w:tc>
          <w:tcPr>
            <w:tcW w:w="1701" w:type="dxa"/>
          </w:tcPr>
          <w:p w14:paraId="6F5D930C" w14:textId="77777777" w:rsidR="00C314D3" w:rsidRPr="00E9279E" w:rsidRDefault="00C314D3" w:rsidP="0036706A">
            <w:pPr>
              <w:pStyle w:val="Tabletext"/>
              <w:ind w:left="0" w:right="0"/>
              <w:rPr>
                <w:color w:val="auto"/>
              </w:rPr>
            </w:pPr>
            <w:r w:rsidRPr="00E9279E">
              <w:rPr>
                <w:color w:val="auto"/>
              </w:rPr>
              <w:t>2.5%</w:t>
            </w:r>
          </w:p>
          <w:p w14:paraId="73DF23C0" w14:textId="77777777" w:rsidR="00C314D3" w:rsidRPr="00E9279E" w:rsidRDefault="00C314D3" w:rsidP="0036706A">
            <w:pPr>
              <w:pStyle w:val="Tabletext"/>
              <w:ind w:left="0" w:right="0"/>
              <w:rPr>
                <w:color w:val="auto"/>
              </w:rPr>
            </w:pPr>
            <w:r w:rsidRPr="00E9279E">
              <w:rPr>
                <w:color w:val="auto"/>
              </w:rPr>
              <w:t>93.3%</w:t>
            </w:r>
          </w:p>
        </w:tc>
        <w:tc>
          <w:tcPr>
            <w:tcW w:w="1701" w:type="dxa"/>
          </w:tcPr>
          <w:p w14:paraId="526B6845" w14:textId="77777777" w:rsidR="00C314D3" w:rsidRPr="00E9279E" w:rsidRDefault="00C314D3" w:rsidP="0036706A">
            <w:pPr>
              <w:pStyle w:val="Tabletext"/>
              <w:ind w:left="0" w:right="0"/>
              <w:rPr>
                <w:color w:val="auto"/>
              </w:rPr>
            </w:pPr>
            <w:r w:rsidRPr="00E9279E">
              <w:rPr>
                <w:color w:val="auto"/>
              </w:rPr>
              <w:t>2.9%</w:t>
            </w:r>
          </w:p>
          <w:p w14:paraId="7D8C1214" w14:textId="77777777" w:rsidR="00C314D3" w:rsidRPr="00E9279E" w:rsidRDefault="00C314D3" w:rsidP="0036706A">
            <w:pPr>
              <w:pStyle w:val="Tabletext"/>
              <w:ind w:left="0" w:right="0"/>
              <w:rPr>
                <w:color w:val="auto"/>
              </w:rPr>
            </w:pPr>
            <w:r w:rsidRPr="00E9279E">
              <w:rPr>
                <w:color w:val="auto"/>
              </w:rPr>
              <w:t>92.9%</w:t>
            </w:r>
          </w:p>
        </w:tc>
      </w:tr>
      <w:tr w:rsidR="00C314D3" w:rsidRPr="00E9279E" w14:paraId="27FEDF42" w14:textId="77777777" w:rsidTr="006835FD">
        <w:trPr>
          <w:trHeight w:val="20"/>
        </w:trPr>
        <w:tc>
          <w:tcPr>
            <w:tcW w:w="1747" w:type="dxa"/>
            <w:vMerge/>
          </w:tcPr>
          <w:p w14:paraId="39013E72" w14:textId="77777777" w:rsidR="00C314D3" w:rsidRPr="00E9279E" w:rsidRDefault="00C314D3" w:rsidP="0036706A">
            <w:pPr>
              <w:pStyle w:val="Tabletext"/>
              <w:ind w:left="0" w:right="0"/>
              <w:rPr>
                <w:bCs/>
                <w:color w:val="7030A0"/>
                <w:lang w:val="en-US"/>
              </w:rPr>
            </w:pPr>
          </w:p>
        </w:tc>
        <w:tc>
          <w:tcPr>
            <w:tcW w:w="3063" w:type="dxa"/>
          </w:tcPr>
          <w:p w14:paraId="7FC55C00" w14:textId="77777777" w:rsidR="00C314D3" w:rsidRPr="00E9279E" w:rsidRDefault="00C314D3" w:rsidP="0036706A">
            <w:pPr>
              <w:pStyle w:val="Tabletext"/>
              <w:ind w:left="0" w:right="0"/>
              <w:rPr>
                <w:color w:val="auto"/>
                <w:lang w:val="en-US"/>
              </w:rPr>
            </w:pPr>
            <w:r w:rsidRPr="00E9279E">
              <w:rPr>
                <w:color w:val="auto"/>
                <w:lang w:val="en-US"/>
              </w:rPr>
              <w:t>Neoadjuvant systemic therapy</w:t>
            </w:r>
          </w:p>
          <w:p w14:paraId="51676755" w14:textId="77777777" w:rsidR="00C314D3" w:rsidRPr="00E9279E" w:rsidRDefault="00C314D3" w:rsidP="0036706A">
            <w:pPr>
              <w:pStyle w:val="Tabletext"/>
              <w:ind w:left="0" w:right="0"/>
              <w:rPr>
                <w:color w:val="auto"/>
                <w:lang w:val="en-US"/>
              </w:rPr>
            </w:pPr>
            <w:r w:rsidRPr="00E9279E">
              <w:rPr>
                <w:color w:val="auto"/>
                <w:lang w:val="en-US"/>
              </w:rPr>
              <w:t>Chemotherapy</w:t>
            </w:r>
          </w:p>
          <w:p w14:paraId="06F4011F" w14:textId="0E173A3D" w:rsidR="00C314D3" w:rsidRPr="00E9279E" w:rsidRDefault="00C518AE" w:rsidP="0036706A">
            <w:pPr>
              <w:pStyle w:val="Tabletext"/>
              <w:ind w:left="0" w:right="0"/>
              <w:rPr>
                <w:color w:val="auto"/>
                <w:lang w:val="en-US"/>
              </w:rPr>
            </w:pPr>
            <w:r w:rsidRPr="00E9279E">
              <w:rPr>
                <w:color w:val="auto"/>
                <w:lang w:val="en-US"/>
              </w:rPr>
              <w:t>Endocrine therapy</w:t>
            </w:r>
          </w:p>
          <w:p w14:paraId="59DBC28D" w14:textId="77777777" w:rsidR="00C314D3" w:rsidRPr="00E9279E" w:rsidRDefault="00C314D3" w:rsidP="0036706A">
            <w:pPr>
              <w:pStyle w:val="Tabletext"/>
              <w:ind w:left="0" w:right="0"/>
              <w:rPr>
                <w:color w:val="auto"/>
                <w:lang w:val="en-US"/>
              </w:rPr>
            </w:pPr>
            <w:r w:rsidRPr="00E9279E">
              <w:rPr>
                <w:color w:val="auto"/>
                <w:lang w:val="en-US"/>
              </w:rPr>
              <w:t>Target</w:t>
            </w:r>
          </w:p>
        </w:tc>
        <w:tc>
          <w:tcPr>
            <w:tcW w:w="1701" w:type="dxa"/>
          </w:tcPr>
          <w:p w14:paraId="5EC36F37" w14:textId="77777777" w:rsidR="00C314D3" w:rsidRPr="00E9279E" w:rsidRDefault="00C314D3" w:rsidP="0036706A">
            <w:pPr>
              <w:pStyle w:val="Tabletext"/>
              <w:ind w:left="0" w:right="0"/>
              <w:rPr>
                <w:color w:val="auto"/>
              </w:rPr>
            </w:pPr>
            <w:r w:rsidRPr="00E9279E">
              <w:rPr>
                <w:color w:val="auto"/>
              </w:rPr>
              <w:t>37.6%</w:t>
            </w:r>
          </w:p>
          <w:p w14:paraId="0A8E8293" w14:textId="77777777" w:rsidR="00C314D3" w:rsidRPr="00E9279E" w:rsidRDefault="00C314D3" w:rsidP="0036706A">
            <w:pPr>
              <w:pStyle w:val="Tabletext"/>
              <w:ind w:left="0" w:right="0"/>
              <w:rPr>
                <w:color w:val="auto"/>
              </w:rPr>
            </w:pPr>
            <w:r w:rsidRPr="00E9279E">
              <w:rPr>
                <w:color w:val="auto"/>
              </w:rPr>
              <w:t>36.5%</w:t>
            </w:r>
          </w:p>
          <w:p w14:paraId="183402F8" w14:textId="77777777" w:rsidR="00C314D3" w:rsidRPr="00E9279E" w:rsidRDefault="00C314D3" w:rsidP="0036706A">
            <w:pPr>
              <w:pStyle w:val="Tabletext"/>
              <w:ind w:left="0" w:right="0"/>
              <w:rPr>
                <w:color w:val="auto"/>
              </w:rPr>
            </w:pPr>
            <w:r w:rsidRPr="00E9279E">
              <w:rPr>
                <w:color w:val="auto"/>
              </w:rPr>
              <w:t>3.1%</w:t>
            </w:r>
          </w:p>
          <w:p w14:paraId="1E629519" w14:textId="77777777" w:rsidR="00C314D3" w:rsidRPr="00E9279E" w:rsidRDefault="00C314D3" w:rsidP="0036706A">
            <w:pPr>
              <w:pStyle w:val="Tabletext"/>
              <w:ind w:left="0" w:right="0"/>
              <w:rPr>
                <w:color w:val="auto"/>
              </w:rPr>
            </w:pPr>
            <w:r w:rsidRPr="00E9279E">
              <w:rPr>
                <w:color w:val="auto"/>
              </w:rPr>
              <w:t>0.2%</w:t>
            </w:r>
          </w:p>
        </w:tc>
        <w:tc>
          <w:tcPr>
            <w:tcW w:w="1701" w:type="dxa"/>
          </w:tcPr>
          <w:p w14:paraId="46FEB1FB" w14:textId="77777777" w:rsidR="00C314D3" w:rsidRPr="00E9279E" w:rsidRDefault="00C314D3" w:rsidP="0036706A">
            <w:pPr>
              <w:pStyle w:val="Tabletext"/>
              <w:ind w:left="0" w:right="0"/>
              <w:rPr>
                <w:color w:val="auto"/>
              </w:rPr>
            </w:pPr>
            <w:r w:rsidRPr="00E9279E">
              <w:rPr>
                <w:color w:val="auto"/>
              </w:rPr>
              <w:t>37.8%</w:t>
            </w:r>
          </w:p>
          <w:p w14:paraId="33FEB21E" w14:textId="2F6C61D5" w:rsidR="00C314D3" w:rsidRPr="00E9279E" w:rsidRDefault="00C314D3" w:rsidP="0036706A">
            <w:pPr>
              <w:pStyle w:val="Tabletext"/>
              <w:ind w:left="0" w:right="0"/>
              <w:rPr>
                <w:color w:val="auto"/>
              </w:rPr>
            </w:pPr>
            <w:r w:rsidRPr="00E9279E">
              <w:rPr>
                <w:color w:val="auto"/>
              </w:rPr>
              <w:t>36.4%</w:t>
            </w:r>
          </w:p>
          <w:p w14:paraId="4D03EAC3" w14:textId="77777777" w:rsidR="00C314D3" w:rsidRPr="00E9279E" w:rsidRDefault="00C314D3" w:rsidP="0036706A">
            <w:pPr>
              <w:pStyle w:val="Tabletext"/>
              <w:ind w:left="0" w:right="0"/>
              <w:rPr>
                <w:color w:val="auto"/>
              </w:rPr>
            </w:pPr>
            <w:r w:rsidRPr="00E9279E">
              <w:rPr>
                <w:color w:val="auto"/>
              </w:rPr>
              <w:t>36.4%</w:t>
            </w:r>
          </w:p>
          <w:p w14:paraId="2A5207B8" w14:textId="77777777" w:rsidR="00C314D3" w:rsidRPr="00E9279E" w:rsidRDefault="00C314D3" w:rsidP="0036706A">
            <w:pPr>
              <w:pStyle w:val="Tabletext"/>
              <w:ind w:left="0" w:right="0"/>
              <w:rPr>
                <w:color w:val="auto"/>
              </w:rPr>
            </w:pPr>
            <w:r w:rsidRPr="00E9279E">
              <w:rPr>
                <w:color w:val="auto"/>
              </w:rPr>
              <w:t>0.2%</w:t>
            </w:r>
          </w:p>
        </w:tc>
      </w:tr>
      <w:tr w:rsidR="00C314D3" w:rsidRPr="00E9279E" w14:paraId="47816CDE" w14:textId="77777777" w:rsidTr="006835FD">
        <w:trPr>
          <w:trHeight w:val="20"/>
        </w:trPr>
        <w:tc>
          <w:tcPr>
            <w:tcW w:w="1747" w:type="dxa"/>
            <w:vMerge/>
          </w:tcPr>
          <w:p w14:paraId="77C7B067" w14:textId="77777777" w:rsidR="00C314D3" w:rsidRPr="00E9279E" w:rsidRDefault="00C314D3" w:rsidP="0036706A">
            <w:pPr>
              <w:pStyle w:val="Tabletext"/>
              <w:ind w:left="0" w:right="0"/>
              <w:rPr>
                <w:bCs/>
                <w:color w:val="7030A0"/>
                <w:lang w:val="en-US"/>
              </w:rPr>
            </w:pPr>
          </w:p>
        </w:tc>
        <w:tc>
          <w:tcPr>
            <w:tcW w:w="3063" w:type="dxa"/>
          </w:tcPr>
          <w:p w14:paraId="42C75FEC" w14:textId="77777777" w:rsidR="00C314D3" w:rsidRPr="00E9279E" w:rsidRDefault="00C314D3" w:rsidP="0036706A">
            <w:pPr>
              <w:pStyle w:val="Tabletext"/>
              <w:ind w:left="0" w:right="0"/>
              <w:rPr>
                <w:color w:val="auto"/>
                <w:lang w:val="en-US"/>
              </w:rPr>
            </w:pPr>
            <w:r w:rsidRPr="00E9279E">
              <w:rPr>
                <w:color w:val="auto"/>
                <w:lang w:val="en-US"/>
              </w:rPr>
              <w:t>Adjuvant systemic therapy</w:t>
            </w:r>
          </w:p>
          <w:p w14:paraId="75B7A7FD" w14:textId="77777777" w:rsidR="00C314D3" w:rsidRPr="00E9279E" w:rsidRDefault="00C314D3" w:rsidP="0036706A">
            <w:pPr>
              <w:pStyle w:val="Tabletext"/>
              <w:ind w:left="0" w:right="0"/>
              <w:rPr>
                <w:color w:val="auto"/>
                <w:lang w:val="en-US"/>
              </w:rPr>
            </w:pPr>
            <w:r w:rsidRPr="00E9279E">
              <w:rPr>
                <w:color w:val="auto"/>
                <w:lang w:val="en-US"/>
              </w:rPr>
              <w:t>Chemotherapy</w:t>
            </w:r>
          </w:p>
          <w:p w14:paraId="21B48B26" w14:textId="1EC8773C" w:rsidR="00C314D3" w:rsidRPr="00E9279E" w:rsidRDefault="00C518AE" w:rsidP="0036706A">
            <w:pPr>
              <w:pStyle w:val="Tabletext"/>
              <w:ind w:left="0" w:right="0"/>
              <w:rPr>
                <w:color w:val="auto"/>
                <w:lang w:val="en-US"/>
              </w:rPr>
            </w:pPr>
            <w:r w:rsidRPr="00E9279E">
              <w:rPr>
                <w:color w:val="auto"/>
                <w:lang w:val="en-US"/>
              </w:rPr>
              <w:t>Endocrine therapy</w:t>
            </w:r>
          </w:p>
          <w:p w14:paraId="264AFC8F" w14:textId="77777777" w:rsidR="00C314D3" w:rsidRPr="00E9279E" w:rsidRDefault="00C314D3" w:rsidP="0036706A">
            <w:pPr>
              <w:pStyle w:val="Tabletext"/>
              <w:ind w:left="0" w:right="0"/>
              <w:rPr>
                <w:color w:val="7030A0"/>
                <w:lang w:val="en-US"/>
              </w:rPr>
            </w:pPr>
            <w:r w:rsidRPr="00E9279E">
              <w:rPr>
                <w:color w:val="auto"/>
                <w:lang w:val="en-US"/>
              </w:rPr>
              <w:t>Target</w:t>
            </w:r>
          </w:p>
        </w:tc>
        <w:tc>
          <w:tcPr>
            <w:tcW w:w="1701" w:type="dxa"/>
          </w:tcPr>
          <w:p w14:paraId="25C7C5EE" w14:textId="77777777" w:rsidR="00C314D3" w:rsidRPr="00E9279E" w:rsidRDefault="00C314D3" w:rsidP="0036706A">
            <w:pPr>
              <w:pStyle w:val="Tabletext"/>
              <w:ind w:left="0" w:right="0"/>
              <w:rPr>
                <w:color w:val="auto"/>
              </w:rPr>
            </w:pPr>
            <w:r w:rsidRPr="00E9279E">
              <w:rPr>
                <w:color w:val="auto"/>
              </w:rPr>
              <w:t>87.1%</w:t>
            </w:r>
          </w:p>
          <w:p w14:paraId="7C00F5FA" w14:textId="77777777" w:rsidR="00C314D3" w:rsidRPr="00E9279E" w:rsidRDefault="00C314D3" w:rsidP="0036706A">
            <w:pPr>
              <w:pStyle w:val="Tabletext"/>
              <w:ind w:left="0" w:right="0"/>
              <w:rPr>
                <w:color w:val="auto"/>
              </w:rPr>
            </w:pPr>
            <w:r w:rsidRPr="00E9279E">
              <w:rPr>
                <w:color w:val="auto"/>
              </w:rPr>
              <w:t>61.8%</w:t>
            </w:r>
          </w:p>
          <w:p w14:paraId="4BE972B4" w14:textId="77777777" w:rsidR="00C314D3" w:rsidRPr="00E9279E" w:rsidRDefault="00C314D3" w:rsidP="0036706A">
            <w:pPr>
              <w:pStyle w:val="Tabletext"/>
              <w:ind w:left="0" w:right="0"/>
              <w:rPr>
                <w:color w:val="auto"/>
              </w:rPr>
            </w:pPr>
            <w:r w:rsidRPr="00E9279E">
              <w:rPr>
                <w:color w:val="auto"/>
              </w:rPr>
              <w:t>62.8%</w:t>
            </w:r>
          </w:p>
          <w:p w14:paraId="55E23908" w14:textId="77777777" w:rsidR="00C314D3" w:rsidRPr="00E9279E" w:rsidRDefault="00C314D3" w:rsidP="0036706A">
            <w:pPr>
              <w:pStyle w:val="Tabletext"/>
              <w:ind w:left="0" w:right="0"/>
              <w:rPr>
                <w:color w:val="7030A0"/>
              </w:rPr>
            </w:pPr>
            <w:r w:rsidRPr="00E9279E">
              <w:rPr>
                <w:color w:val="auto"/>
              </w:rPr>
              <w:t>0.1%</w:t>
            </w:r>
          </w:p>
        </w:tc>
        <w:tc>
          <w:tcPr>
            <w:tcW w:w="1701" w:type="dxa"/>
          </w:tcPr>
          <w:p w14:paraId="62B2D959" w14:textId="77777777" w:rsidR="00C314D3" w:rsidRPr="00E9279E" w:rsidRDefault="00C314D3" w:rsidP="0036706A">
            <w:pPr>
              <w:pStyle w:val="Tabletext"/>
              <w:ind w:left="0" w:right="0"/>
              <w:rPr>
                <w:color w:val="auto"/>
              </w:rPr>
            </w:pPr>
            <w:r w:rsidRPr="00E9279E">
              <w:rPr>
                <w:color w:val="auto"/>
              </w:rPr>
              <w:t>87.3%</w:t>
            </w:r>
          </w:p>
          <w:p w14:paraId="02490553" w14:textId="77777777" w:rsidR="00C314D3" w:rsidRPr="00E9279E" w:rsidRDefault="00C314D3" w:rsidP="0036706A">
            <w:pPr>
              <w:pStyle w:val="Tabletext"/>
              <w:ind w:left="0" w:right="0"/>
              <w:rPr>
                <w:color w:val="auto"/>
              </w:rPr>
            </w:pPr>
            <w:r w:rsidRPr="00E9279E">
              <w:rPr>
                <w:color w:val="auto"/>
              </w:rPr>
              <w:t>61.2%</w:t>
            </w:r>
          </w:p>
          <w:p w14:paraId="465DFA66" w14:textId="77777777" w:rsidR="00C314D3" w:rsidRPr="00E9279E" w:rsidRDefault="00C314D3" w:rsidP="0036706A">
            <w:pPr>
              <w:pStyle w:val="Tabletext"/>
              <w:ind w:left="0" w:right="0"/>
              <w:rPr>
                <w:color w:val="auto"/>
              </w:rPr>
            </w:pPr>
            <w:r w:rsidRPr="00E9279E">
              <w:rPr>
                <w:color w:val="auto"/>
              </w:rPr>
              <w:t>63.4%</w:t>
            </w:r>
          </w:p>
          <w:p w14:paraId="1E5BEC35" w14:textId="3F5E3ACA" w:rsidR="00C314D3" w:rsidRPr="00E9279E" w:rsidRDefault="00C314D3" w:rsidP="0036706A">
            <w:pPr>
              <w:pStyle w:val="Tabletext"/>
              <w:ind w:left="0" w:right="0"/>
              <w:rPr>
                <w:color w:val="7030A0"/>
              </w:rPr>
            </w:pPr>
            <w:r w:rsidRPr="00E9279E">
              <w:rPr>
                <w:color w:val="auto"/>
              </w:rPr>
              <w:t>1</w:t>
            </w:r>
            <w:r w:rsidR="007427C3" w:rsidRPr="00E9279E">
              <w:rPr>
                <w:color w:val="auto"/>
              </w:rPr>
              <w:t xml:space="preserve"> patient</w:t>
            </w:r>
          </w:p>
        </w:tc>
      </w:tr>
      <w:tr w:rsidR="00C314D3" w:rsidRPr="00E9279E" w14:paraId="1DFC2CF9" w14:textId="77777777" w:rsidTr="006835FD">
        <w:trPr>
          <w:trHeight w:val="253"/>
        </w:trPr>
        <w:tc>
          <w:tcPr>
            <w:tcW w:w="1747" w:type="dxa"/>
            <w:vMerge w:val="restart"/>
          </w:tcPr>
          <w:p w14:paraId="4B3A62A7" w14:textId="74CE15E3" w:rsidR="00C314D3" w:rsidRPr="00E9279E" w:rsidRDefault="00C314D3" w:rsidP="0036706A">
            <w:pPr>
              <w:pStyle w:val="Tabletext"/>
              <w:ind w:left="0" w:right="0"/>
              <w:rPr>
                <w:b/>
                <w:color w:val="auto"/>
                <w:lang w:val="en-US"/>
              </w:rPr>
            </w:pPr>
            <w:r w:rsidRPr="00E9279E">
              <w:rPr>
                <w:b/>
                <w:color w:val="auto"/>
                <w:lang w:val="en-US"/>
              </w:rPr>
              <w:lastRenderedPageBreak/>
              <w:t>Use of bone modifying agents</w:t>
            </w:r>
          </w:p>
        </w:tc>
        <w:tc>
          <w:tcPr>
            <w:tcW w:w="3063" w:type="dxa"/>
          </w:tcPr>
          <w:p w14:paraId="19E790FD" w14:textId="77777777" w:rsidR="00C314D3" w:rsidRPr="00E9279E" w:rsidRDefault="00C314D3" w:rsidP="0036706A">
            <w:pPr>
              <w:pStyle w:val="Tabletext"/>
              <w:ind w:left="0" w:right="0"/>
              <w:rPr>
                <w:color w:val="auto"/>
                <w:lang w:val="en-US"/>
              </w:rPr>
            </w:pPr>
            <w:r w:rsidRPr="00E9279E">
              <w:rPr>
                <w:color w:val="auto"/>
                <w:lang w:val="en-US"/>
              </w:rPr>
              <w:t>Any agent</w:t>
            </w:r>
          </w:p>
        </w:tc>
        <w:tc>
          <w:tcPr>
            <w:tcW w:w="1701" w:type="dxa"/>
          </w:tcPr>
          <w:p w14:paraId="63B1F819" w14:textId="77777777" w:rsidR="00C314D3" w:rsidRPr="00E9279E" w:rsidRDefault="00C314D3" w:rsidP="0036706A">
            <w:pPr>
              <w:pStyle w:val="Tabletext"/>
              <w:ind w:left="0" w:right="0"/>
              <w:rPr>
                <w:color w:val="auto"/>
              </w:rPr>
            </w:pPr>
            <w:r w:rsidRPr="00E9279E">
              <w:rPr>
                <w:color w:val="auto"/>
                <w:lang w:val="en-US"/>
              </w:rPr>
              <w:t>22.3%</w:t>
            </w:r>
          </w:p>
        </w:tc>
        <w:tc>
          <w:tcPr>
            <w:tcW w:w="1701" w:type="dxa"/>
          </w:tcPr>
          <w:p w14:paraId="3D87CE25" w14:textId="77777777" w:rsidR="00C314D3" w:rsidRPr="00E9279E" w:rsidRDefault="00C314D3" w:rsidP="0036706A">
            <w:pPr>
              <w:pStyle w:val="Tabletext"/>
              <w:ind w:left="0" w:right="0"/>
              <w:rPr>
                <w:color w:val="auto"/>
              </w:rPr>
            </w:pPr>
            <w:r w:rsidRPr="00E9279E">
              <w:rPr>
                <w:color w:val="auto"/>
              </w:rPr>
              <w:t>24.1%</w:t>
            </w:r>
          </w:p>
        </w:tc>
      </w:tr>
      <w:tr w:rsidR="00C314D3" w:rsidRPr="00E9279E" w14:paraId="469B7F2F" w14:textId="77777777" w:rsidTr="006835FD">
        <w:trPr>
          <w:trHeight w:val="270"/>
        </w:trPr>
        <w:tc>
          <w:tcPr>
            <w:tcW w:w="1747" w:type="dxa"/>
            <w:vMerge/>
          </w:tcPr>
          <w:p w14:paraId="6E560387" w14:textId="77777777" w:rsidR="00C314D3" w:rsidRPr="00E9279E" w:rsidRDefault="00C314D3" w:rsidP="0036706A">
            <w:pPr>
              <w:pStyle w:val="Tabletext"/>
              <w:ind w:left="0" w:right="0"/>
              <w:rPr>
                <w:bCs/>
                <w:color w:val="auto"/>
                <w:lang w:val="en-US"/>
              </w:rPr>
            </w:pPr>
          </w:p>
        </w:tc>
        <w:tc>
          <w:tcPr>
            <w:tcW w:w="3063" w:type="dxa"/>
          </w:tcPr>
          <w:p w14:paraId="74D23F49" w14:textId="77777777" w:rsidR="00C314D3" w:rsidRPr="00E9279E" w:rsidRDefault="00C314D3" w:rsidP="0036706A">
            <w:pPr>
              <w:pStyle w:val="Tabletext"/>
              <w:ind w:left="0" w:right="0"/>
              <w:rPr>
                <w:color w:val="auto"/>
                <w:lang w:val="en-US"/>
              </w:rPr>
            </w:pPr>
            <w:r w:rsidRPr="00E9279E">
              <w:rPr>
                <w:color w:val="auto"/>
                <w:lang w:val="en-US"/>
              </w:rPr>
              <w:t>Zoledronic acid</w:t>
            </w:r>
          </w:p>
        </w:tc>
        <w:tc>
          <w:tcPr>
            <w:tcW w:w="1701" w:type="dxa"/>
          </w:tcPr>
          <w:p w14:paraId="40D2CD6E" w14:textId="77777777" w:rsidR="00C314D3" w:rsidRPr="00E9279E" w:rsidRDefault="00C314D3" w:rsidP="0036706A">
            <w:pPr>
              <w:pStyle w:val="Tabletext"/>
              <w:ind w:left="0" w:right="0"/>
              <w:rPr>
                <w:color w:val="auto"/>
                <w:lang w:val="en-US"/>
              </w:rPr>
            </w:pPr>
            <w:r w:rsidRPr="00E9279E">
              <w:rPr>
                <w:color w:val="auto"/>
                <w:lang w:val="en-US"/>
              </w:rPr>
              <w:t>9.9%</w:t>
            </w:r>
          </w:p>
        </w:tc>
        <w:tc>
          <w:tcPr>
            <w:tcW w:w="1701" w:type="dxa"/>
          </w:tcPr>
          <w:p w14:paraId="721FBCD0" w14:textId="77777777" w:rsidR="00C314D3" w:rsidRPr="00E9279E" w:rsidRDefault="00C314D3" w:rsidP="0036706A">
            <w:pPr>
              <w:pStyle w:val="Tabletext"/>
              <w:ind w:left="0" w:right="0"/>
              <w:rPr>
                <w:color w:val="auto"/>
              </w:rPr>
            </w:pPr>
            <w:r w:rsidRPr="00E9279E">
              <w:rPr>
                <w:color w:val="auto"/>
              </w:rPr>
              <w:t>10.9%</w:t>
            </w:r>
          </w:p>
        </w:tc>
      </w:tr>
      <w:tr w:rsidR="00C314D3" w:rsidRPr="00E9279E" w14:paraId="1F4353F0" w14:textId="77777777" w:rsidTr="006835FD">
        <w:trPr>
          <w:trHeight w:val="20"/>
        </w:trPr>
        <w:tc>
          <w:tcPr>
            <w:tcW w:w="1747" w:type="dxa"/>
            <w:vMerge w:val="restart"/>
          </w:tcPr>
          <w:p w14:paraId="566AFF38" w14:textId="6813FF31" w:rsidR="007427C3" w:rsidRPr="00E9279E" w:rsidRDefault="00C314D3" w:rsidP="0036706A">
            <w:pPr>
              <w:pStyle w:val="Tabletext"/>
              <w:ind w:left="0" w:right="0"/>
              <w:rPr>
                <w:color w:val="auto"/>
                <w:lang w:val="en-US"/>
              </w:rPr>
            </w:pPr>
            <w:r w:rsidRPr="00E9279E">
              <w:rPr>
                <w:b/>
                <w:color w:val="auto"/>
                <w:lang w:val="en-US"/>
              </w:rPr>
              <w:t>Analysis population</w:t>
            </w:r>
            <w:r w:rsidR="007427C3" w:rsidRPr="00E9279E">
              <w:rPr>
                <w:b/>
                <w:color w:val="auto"/>
                <w:lang w:val="en-US"/>
              </w:rPr>
              <w:t xml:space="preserve">s </w:t>
            </w:r>
            <w:r w:rsidR="007427C3" w:rsidRPr="00E9279E">
              <w:rPr>
                <w:color w:val="auto"/>
                <w:lang w:val="en-US"/>
              </w:rPr>
              <w:t>(number of patients)</w:t>
            </w:r>
          </w:p>
        </w:tc>
        <w:tc>
          <w:tcPr>
            <w:tcW w:w="3063" w:type="dxa"/>
          </w:tcPr>
          <w:p w14:paraId="61CDFCAE" w14:textId="58E4C3D6" w:rsidR="00C314D3" w:rsidRPr="00E9279E" w:rsidRDefault="00E93113" w:rsidP="0036706A">
            <w:pPr>
              <w:pStyle w:val="Tabletext"/>
              <w:ind w:left="0" w:right="0"/>
              <w:rPr>
                <w:color w:val="auto"/>
                <w:lang w:val="en-US"/>
              </w:rPr>
            </w:pPr>
            <w:r w:rsidRPr="00E9279E">
              <w:rPr>
                <w:color w:val="auto"/>
                <w:lang w:val="en-US"/>
              </w:rPr>
              <w:t>Intent-to-treat</w:t>
            </w:r>
          </w:p>
        </w:tc>
        <w:tc>
          <w:tcPr>
            <w:tcW w:w="1701" w:type="dxa"/>
          </w:tcPr>
          <w:p w14:paraId="36638A49" w14:textId="77777777" w:rsidR="00C314D3" w:rsidRPr="00E9279E" w:rsidRDefault="00C314D3" w:rsidP="0036706A">
            <w:pPr>
              <w:pStyle w:val="Tabletext"/>
              <w:ind w:left="0" w:right="0"/>
              <w:rPr>
                <w:color w:val="auto"/>
              </w:rPr>
            </w:pPr>
            <w:r w:rsidRPr="00E9279E">
              <w:rPr>
                <w:color w:val="auto"/>
              </w:rPr>
              <w:t>2808</w:t>
            </w:r>
          </w:p>
        </w:tc>
        <w:tc>
          <w:tcPr>
            <w:tcW w:w="1701" w:type="dxa"/>
          </w:tcPr>
          <w:p w14:paraId="23BCDBA7" w14:textId="77777777" w:rsidR="00C314D3" w:rsidRPr="00E9279E" w:rsidRDefault="00C314D3" w:rsidP="0036706A">
            <w:pPr>
              <w:pStyle w:val="Tabletext"/>
              <w:ind w:left="0" w:right="0"/>
              <w:rPr>
                <w:color w:val="auto"/>
              </w:rPr>
            </w:pPr>
            <w:r w:rsidRPr="00E9279E">
              <w:rPr>
                <w:color w:val="auto"/>
              </w:rPr>
              <w:t>2829</w:t>
            </w:r>
          </w:p>
        </w:tc>
      </w:tr>
      <w:tr w:rsidR="00C314D3" w:rsidRPr="00E9279E" w14:paraId="7C4FE4AC" w14:textId="77777777" w:rsidTr="006835FD">
        <w:trPr>
          <w:trHeight w:val="20"/>
        </w:trPr>
        <w:tc>
          <w:tcPr>
            <w:tcW w:w="1747" w:type="dxa"/>
            <w:vMerge/>
          </w:tcPr>
          <w:p w14:paraId="74F7CF7D" w14:textId="77777777" w:rsidR="00C314D3" w:rsidRPr="00E9279E" w:rsidRDefault="00C314D3" w:rsidP="0036706A">
            <w:pPr>
              <w:pStyle w:val="Tabletext"/>
              <w:ind w:left="0" w:right="0"/>
              <w:rPr>
                <w:bCs/>
                <w:color w:val="7030A0"/>
                <w:lang w:val="en-US"/>
              </w:rPr>
            </w:pPr>
          </w:p>
        </w:tc>
        <w:tc>
          <w:tcPr>
            <w:tcW w:w="3063" w:type="dxa"/>
          </w:tcPr>
          <w:p w14:paraId="61DFDC2E" w14:textId="77777777" w:rsidR="00C314D3" w:rsidRPr="00E9279E" w:rsidRDefault="00C314D3" w:rsidP="0036706A">
            <w:pPr>
              <w:pStyle w:val="Tabletext"/>
              <w:ind w:left="0" w:right="0"/>
              <w:rPr>
                <w:lang w:val="en-US"/>
              </w:rPr>
            </w:pPr>
            <w:r w:rsidRPr="00E9279E">
              <w:rPr>
                <w:lang w:val="en-US"/>
              </w:rPr>
              <w:t>Safety</w:t>
            </w:r>
          </w:p>
        </w:tc>
        <w:tc>
          <w:tcPr>
            <w:tcW w:w="1701" w:type="dxa"/>
          </w:tcPr>
          <w:p w14:paraId="640EAE98" w14:textId="77777777" w:rsidR="00C314D3" w:rsidRPr="00E9279E" w:rsidRDefault="00C314D3" w:rsidP="0036706A">
            <w:pPr>
              <w:pStyle w:val="Tabletext"/>
              <w:ind w:left="0" w:right="0"/>
            </w:pPr>
            <w:r w:rsidRPr="00E9279E">
              <w:t>2791</w:t>
            </w:r>
          </w:p>
        </w:tc>
        <w:tc>
          <w:tcPr>
            <w:tcW w:w="1701" w:type="dxa"/>
          </w:tcPr>
          <w:p w14:paraId="224CEDEA" w14:textId="77777777" w:rsidR="00C314D3" w:rsidRPr="00E9279E" w:rsidRDefault="00C314D3" w:rsidP="0036706A">
            <w:pPr>
              <w:pStyle w:val="Tabletext"/>
              <w:ind w:left="0" w:right="0"/>
            </w:pPr>
            <w:r w:rsidRPr="00E9279E">
              <w:t>2800</w:t>
            </w:r>
          </w:p>
        </w:tc>
      </w:tr>
      <w:tr w:rsidR="00C314D3" w:rsidRPr="00E9279E" w14:paraId="4D3287F7" w14:textId="77777777" w:rsidTr="006835FD">
        <w:trPr>
          <w:trHeight w:val="20"/>
        </w:trPr>
        <w:tc>
          <w:tcPr>
            <w:tcW w:w="1747" w:type="dxa"/>
            <w:vMerge/>
          </w:tcPr>
          <w:p w14:paraId="2004A34E" w14:textId="77777777" w:rsidR="00C314D3" w:rsidRPr="00E9279E" w:rsidRDefault="00C314D3" w:rsidP="0036706A">
            <w:pPr>
              <w:pStyle w:val="Tabletext"/>
              <w:ind w:left="0" w:right="0"/>
              <w:rPr>
                <w:bCs/>
                <w:color w:val="7030A0"/>
                <w:lang w:val="en-US"/>
              </w:rPr>
            </w:pPr>
          </w:p>
        </w:tc>
        <w:tc>
          <w:tcPr>
            <w:tcW w:w="3063" w:type="dxa"/>
          </w:tcPr>
          <w:p w14:paraId="6CF9B4E2" w14:textId="77777777" w:rsidR="00C314D3" w:rsidRPr="00E9279E" w:rsidRDefault="00C314D3" w:rsidP="0036706A">
            <w:pPr>
              <w:pStyle w:val="Tabletext"/>
              <w:ind w:left="0" w:right="0"/>
              <w:rPr>
                <w:color w:val="auto"/>
                <w:lang w:val="en-US"/>
              </w:rPr>
            </w:pPr>
            <w:r w:rsidRPr="00E9279E">
              <w:rPr>
                <w:color w:val="auto"/>
                <w:lang w:val="en-US"/>
              </w:rPr>
              <w:t>Cohort 1</w:t>
            </w:r>
          </w:p>
        </w:tc>
        <w:tc>
          <w:tcPr>
            <w:tcW w:w="1701" w:type="dxa"/>
          </w:tcPr>
          <w:p w14:paraId="429D423B" w14:textId="77777777" w:rsidR="00C314D3" w:rsidRPr="00E9279E" w:rsidRDefault="00C314D3" w:rsidP="0036706A">
            <w:pPr>
              <w:pStyle w:val="Tabletext"/>
              <w:ind w:left="0" w:right="0"/>
              <w:rPr>
                <w:color w:val="auto"/>
              </w:rPr>
            </w:pPr>
            <w:r w:rsidRPr="00E9279E">
              <w:rPr>
                <w:color w:val="auto"/>
              </w:rPr>
              <w:t>2555</w:t>
            </w:r>
          </w:p>
        </w:tc>
        <w:tc>
          <w:tcPr>
            <w:tcW w:w="1701" w:type="dxa"/>
          </w:tcPr>
          <w:p w14:paraId="26029C4A" w14:textId="77777777" w:rsidR="00C314D3" w:rsidRPr="00E9279E" w:rsidRDefault="00C314D3" w:rsidP="0036706A">
            <w:pPr>
              <w:pStyle w:val="Tabletext"/>
              <w:ind w:left="0" w:right="0"/>
              <w:rPr>
                <w:color w:val="auto"/>
              </w:rPr>
            </w:pPr>
            <w:r w:rsidRPr="00E9279E">
              <w:rPr>
                <w:color w:val="auto"/>
              </w:rPr>
              <w:t>2565</w:t>
            </w:r>
          </w:p>
        </w:tc>
      </w:tr>
      <w:tr w:rsidR="00C314D3" w:rsidRPr="00E9279E" w14:paraId="28668331" w14:textId="77777777" w:rsidTr="006835FD">
        <w:trPr>
          <w:trHeight w:val="20"/>
        </w:trPr>
        <w:tc>
          <w:tcPr>
            <w:tcW w:w="1747" w:type="dxa"/>
            <w:vMerge/>
          </w:tcPr>
          <w:p w14:paraId="2696FAB4" w14:textId="77777777" w:rsidR="00C314D3" w:rsidRPr="00E9279E" w:rsidRDefault="00C314D3" w:rsidP="0036706A">
            <w:pPr>
              <w:pStyle w:val="Tabletext"/>
              <w:ind w:left="0" w:right="0"/>
              <w:rPr>
                <w:bCs/>
                <w:color w:val="7030A0"/>
                <w:lang w:val="en-US"/>
              </w:rPr>
            </w:pPr>
          </w:p>
        </w:tc>
        <w:tc>
          <w:tcPr>
            <w:tcW w:w="3063" w:type="dxa"/>
          </w:tcPr>
          <w:p w14:paraId="091C9B6B" w14:textId="77777777" w:rsidR="00C314D3" w:rsidRPr="00E9279E" w:rsidRDefault="00C314D3" w:rsidP="0036706A">
            <w:pPr>
              <w:pStyle w:val="Tabletext"/>
              <w:ind w:left="0" w:right="0"/>
              <w:rPr>
                <w:color w:val="auto"/>
                <w:lang w:val="en-US"/>
              </w:rPr>
            </w:pPr>
            <w:r w:rsidRPr="00E9279E">
              <w:rPr>
                <w:color w:val="auto"/>
                <w:lang w:val="en-US"/>
              </w:rPr>
              <w:t>Cohort 2</w:t>
            </w:r>
          </w:p>
        </w:tc>
        <w:tc>
          <w:tcPr>
            <w:tcW w:w="1701" w:type="dxa"/>
          </w:tcPr>
          <w:p w14:paraId="29830B0C" w14:textId="77777777" w:rsidR="00C314D3" w:rsidRPr="00E9279E" w:rsidRDefault="00C314D3" w:rsidP="0036706A">
            <w:pPr>
              <w:pStyle w:val="Tabletext"/>
              <w:ind w:left="0" w:right="0"/>
              <w:rPr>
                <w:color w:val="auto"/>
              </w:rPr>
            </w:pPr>
            <w:r w:rsidRPr="00E9279E">
              <w:rPr>
                <w:color w:val="auto"/>
              </w:rPr>
              <w:t>253</w:t>
            </w:r>
          </w:p>
        </w:tc>
        <w:tc>
          <w:tcPr>
            <w:tcW w:w="1701" w:type="dxa"/>
          </w:tcPr>
          <w:p w14:paraId="234BA786" w14:textId="77777777" w:rsidR="00C314D3" w:rsidRPr="00E9279E" w:rsidRDefault="00C314D3" w:rsidP="0036706A">
            <w:pPr>
              <w:pStyle w:val="Tabletext"/>
              <w:ind w:left="0" w:right="0"/>
              <w:rPr>
                <w:color w:val="auto"/>
              </w:rPr>
            </w:pPr>
            <w:r w:rsidRPr="00E9279E">
              <w:rPr>
                <w:color w:val="auto"/>
              </w:rPr>
              <w:t>264</w:t>
            </w:r>
          </w:p>
        </w:tc>
      </w:tr>
      <w:tr w:rsidR="00C314D3" w:rsidRPr="00E9279E" w14:paraId="61B848E7" w14:textId="77777777" w:rsidTr="006835FD">
        <w:trPr>
          <w:trHeight w:val="20"/>
        </w:trPr>
        <w:tc>
          <w:tcPr>
            <w:tcW w:w="1747" w:type="dxa"/>
            <w:vMerge/>
          </w:tcPr>
          <w:p w14:paraId="7FC3BB86" w14:textId="77777777" w:rsidR="00C314D3" w:rsidRPr="00E9279E" w:rsidRDefault="00C314D3" w:rsidP="0036706A">
            <w:pPr>
              <w:pStyle w:val="Tabletext"/>
              <w:ind w:left="0" w:right="0"/>
              <w:rPr>
                <w:bCs/>
                <w:color w:val="7030A0"/>
                <w:lang w:val="en-US"/>
              </w:rPr>
            </w:pPr>
          </w:p>
        </w:tc>
        <w:tc>
          <w:tcPr>
            <w:tcW w:w="3063" w:type="dxa"/>
          </w:tcPr>
          <w:p w14:paraId="12FE03E3" w14:textId="4994CD08" w:rsidR="00C314D3" w:rsidRPr="00E9279E" w:rsidRDefault="00C314D3" w:rsidP="0036706A">
            <w:pPr>
              <w:pStyle w:val="Tabletext"/>
              <w:ind w:left="0" w:right="0"/>
              <w:rPr>
                <w:color w:val="auto"/>
                <w:lang w:val="en-US"/>
              </w:rPr>
            </w:pPr>
            <w:r w:rsidRPr="00E9279E">
              <w:rPr>
                <w:color w:val="auto"/>
                <w:lang w:val="en-US"/>
              </w:rPr>
              <w:t>Ki-67 high (Cohorts 1</w:t>
            </w:r>
            <w:r w:rsidR="000C71AD" w:rsidRPr="00E9279E">
              <w:t xml:space="preserve"> plus</w:t>
            </w:r>
            <w:r w:rsidR="000C71AD" w:rsidRPr="00E9279E">
              <w:rPr>
                <w:color w:val="auto"/>
                <w:lang w:val="en-US"/>
              </w:rPr>
              <w:t xml:space="preserve"> </w:t>
            </w:r>
            <w:r w:rsidRPr="00E9279E">
              <w:rPr>
                <w:color w:val="auto"/>
                <w:lang w:val="en-US"/>
              </w:rPr>
              <w:t>2)</w:t>
            </w:r>
          </w:p>
        </w:tc>
        <w:tc>
          <w:tcPr>
            <w:tcW w:w="1701" w:type="dxa"/>
          </w:tcPr>
          <w:p w14:paraId="35E7C6D9" w14:textId="77777777" w:rsidR="00C314D3" w:rsidRPr="00E9279E" w:rsidRDefault="00C314D3" w:rsidP="0036706A">
            <w:pPr>
              <w:pStyle w:val="Tabletext"/>
              <w:ind w:left="0" w:right="0"/>
              <w:rPr>
                <w:color w:val="auto"/>
              </w:rPr>
            </w:pPr>
            <w:r w:rsidRPr="00E9279E">
              <w:rPr>
                <w:color w:val="auto"/>
              </w:rPr>
              <w:t>1262</w:t>
            </w:r>
          </w:p>
        </w:tc>
        <w:tc>
          <w:tcPr>
            <w:tcW w:w="1701" w:type="dxa"/>
          </w:tcPr>
          <w:p w14:paraId="17C45331" w14:textId="77777777" w:rsidR="00C314D3" w:rsidRPr="00E9279E" w:rsidRDefault="00C314D3" w:rsidP="0036706A">
            <w:pPr>
              <w:pStyle w:val="Tabletext"/>
              <w:ind w:left="0" w:right="0"/>
              <w:rPr>
                <w:color w:val="auto"/>
              </w:rPr>
            </w:pPr>
            <w:r w:rsidRPr="00E9279E">
              <w:rPr>
                <w:color w:val="auto"/>
              </w:rPr>
              <w:t>1236</w:t>
            </w:r>
          </w:p>
        </w:tc>
      </w:tr>
      <w:tr w:rsidR="00C314D3" w:rsidRPr="00E9279E" w14:paraId="23F9FC5F" w14:textId="77777777" w:rsidTr="006835FD">
        <w:trPr>
          <w:trHeight w:val="20"/>
        </w:trPr>
        <w:tc>
          <w:tcPr>
            <w:tcW w:w="1747" w:type="dxa"/>
            <w:vMerge/>
          </w:tcPr>
          <w:p w14:paraId="75D1B868" w14:textId="77777777" w:rsidR="00C314D3" w:rsidRPr="00E9279E" w:rsidRDefault="00C314D3" w:rsidP="0036706A">
            <w:pPr>
              <w:pStyle w:val="Tabletext"/>
              <w:ind w:left="0" w:right="0"/>
              <w:rPr>
                <w:bCs/>
                <w:color w:val="7030A0"/>
                <w:lang w:val="en-US"/>
              </w:rPr>
            </w:pPr>
          </w:p>
        </w:tc>
        <w:tc>
          <w:tcPr>
            <w:tcW w:w="3063" w:type="dxa"/>
          </w:tcPr>
          <w:p w14:paraId="099C5C9B" w14:textId="2B15CD58" w:rsidR="00C314D3" w:rsidRPr="00E9279E" w:rsidRDefault="00C314D3" w:rsidP="0036706A">
            <w:pPr>
              <w:pStyle w:val="Tabletext"/>
              <w:ind w:left="0" w:right="0"/>
              <w:rPr>
                <w:color w:val="auto"/>
                <w:lang w:val="en-US"/>
              </w:rPr>
            </w:pPr>
            <w:r w:rsidRPr="00E9279E">
              <w:rPr>
                <w:color w:val="auto"/>
                <w:lang w:val="en-US"/>
              </w:rPr>
              <w:t>Ki-67 low (Cohorts 1</w:t>
            </w:r>
            <w:r w:rsidR="000C71AD" w:rsidRPr="00E9279E">
              <w:t xml:space="preserve"> plus</w:t>
            </w:r>
            <w:r w:rsidR="000C71AD" w:rsidRPr="00E9279E">
              <w:rPr>
                <w:color w:val="auto"/>
                <w:lang w:val="en-US"/>
              </w:rPr>
              <w:t xml:space="preserve"> </w:t>
            </w:r>
            <w:r w:rsidRPr="00E9279E">
              <w:rPr>
                <w:color w:val="auto"/>
                <w:lang w:val="en-US"/>
              </w:rPr>
              <w:t>2)</w:t>
            </w:r>
          </w:p>
        </w:tc>
        <w:tc>
          <w:tcPr>
            <w:tcW w:w="1701" w:type="dxa"/>
          </w:tcPr>
          <w:p w14:paraId="4E994C4C" w14:textId="77777777" w:rsidR="00C314D3" w:rsidRPr="00E9279E" w:rsidRDefault="00C314D3" w:rsidP="0036706A">
            <w:pPr>
              <w:pStyle w:val="Tabletext"/>
              <w:ind w:left="0" w:right="0"/>
              <w:rPr>
                <w:color w:val="auto"/>
              </w:rPr>
            </w:pPr>
            <w:r w:rsidRPr="00E9279E">
              <w:rPr>
                <w:color w:val="auto"/>
              </w:rPr>
              <w:t>953</w:t>
            </w:r>
          </w:p>
        </w:tc>
        <w:tc>
          <w:tcPr>
            <w:tcW w:w="1701" w:type="dxa"/>
          </w:tcPr>
          <w:p w14:paraId="6A10DCF8" w14:textId="77777777" w:rsidR="00C314D3" w:rsidRPr="00E9279E" w:rsidRDefault="00C314D3" w:rsidP="0036706A">
            <w:pPr>
              <w:pStyle w:val="Tabletext"/>
              <w:ind w:left="0" w:right="0"/>
              <w:rPr>
                <w:color w:val="auto"/>
              </w:rPr>
            </w:pPr>
            <w:r w:rsidRPr="00E9279E">
              <w:rPr>
                <w:color w:val="auto"/>
              </w:rPr>
              <w:t>974</w:t>
            </w:r>
          </w:p>
        </w:tc>
      </w:tr>
      <w:tr w:rsidR="00C314D3" w:rsidRPr="00E9279E" w14:paraId="6DB3FBBC" w14:textId="77777777" w:rsidTr="006835FD">
        <w:trPr>
          <w:trHeight w:val="20"/>
        </w:trPr>
        <w:tc>
          <w:tcPr>
            <w:tcW w:w="1747" w:type="dxa"/>
            <w:vMerge/>
          </w:tcPr>
          <w:p w14:paraId="4853A007" w14:textId="77777777" w:rsidR="00C314D3" w:rsidRPr="00E9279E" w:rsidRDefault="00C314D3" w:rsidP="0036706A">
            <w:pPr>
              <w:pStyle w:val="Tabletext"/>
              <w:ind w:left="0" w:right="0"/>
              <w:rPr>
                <w:bCs/>
                <w:color w:val="7030A0"/>
                <w:lang w:val="en-US"/>
              </w:rPr>
            </w:pPr>
          </w:p>
        </w:tc>
        <w:tc>
          <w:tcPr>
            <w:tcW w:w="3063" w:type="dxa"/>
          </w:tcPr>
          <w:p w14:paraId="4B2F0C60" w14:textId="6F0D20A0" w:rsidR="00C314D3" w:rsidRPr="00E9279E" w:rsidRDefault="00C314D3" w:rsidP="0036706A">
            <w:pPr>
              <w:pStyle w:val="Tabletext"/>
              <w:ind w:left="0" w:right="0"/>
              <w:rPr>
                <w:color w:val="auto"/>
                <w:lang w:val="en-US"/>
              </w:rPr>
            </w:pPr>
            <w:r w:rsidRPr="00E9279E">
              <w:rPr>
                <w:color w:val="auto"/>
                <w:lang w:val="en-US"/>
              </w:rPr>
              <w:t>Ki-67 measured and high (Cohort</w:t>
            </w:r>
            <w:r w:rsidR="007427C3" w:rsidRPr="00E9279E">
              <w:rPr>
                <w:color w:val="auto"/>
                <w:lang w:val="en-US"/>
              </w:rPr>
              <w:t> </w:t>
            </w:r>
            <w:r w:rsidRPr="00E9279E">
              <w:rPr>
                <w:color w:val="auto"/>
                <w:lang w:val="en-US"/>
              </w:rPr>
              <w:t>1)</w:t>
            </w:r>
          </w:p>
        </w:tc>
        <w:tc>
          <w:tcPr>
            <w:tcW w:w="1701" w:type="dxa"/>
          </w:tcPr>
          <w:p w14:paraId="66FAA4ED" w14:textId="77777777" w:rsidR="00C314D3" w:rsidRPr="00E9279E" w:rsidRDefault="00C314D3" w:rsidP="0036706A">
            <w:pPr>
              <w:pStyle w:val="Tabletext"/>
              <w:ind w:left="0" w:right="0"/>
              <w:rPr>
                <w:color w:val="auto"/>
              </w:rPr>
            </w:pPr>
            <w:r w:rsidRPr="00E9279E">
              <w:rPr>
                <w:color w:val="auto"/>
              </w:rPr>
              <w:t>1017</w:t>
            </w:r>
          </w:p>
        </w:tc>
        <w:tc>
          <w:tcPr>
            <w:tcW w:w="1701" w:type="dxa"/>
          </w:tcPr>
          <w:p w14:paraId="38960113" w14:textId="77777777" w:rsidR="00C314D3" w:rsidRPr="00E9279E" w:rsidRDefault="00C314D3" w:rsidP="0036706A">
            <w:pPr>
              <w:pStyle w:val="Tabletext"/>
              <w:ind w:left="0" w:right="0"/>
              <w:rPr>
                <w:color w:val="auto"/>
              </w:rPr>
            </w:pPr>
            <w:r w:rsidRPr="00E9279E">
              <w:rPr>
                <w:color w:val="auto"/>
              </w:rPr>
              <w:t>986</w:t>
            </w:r>
          </w:p>
        </w:tc>
      </w:tr>
      <w:tr w:rsidR="00C314D3" w:rsidRPr="00E9279E" w14:paraId="1A669817" w14:textId="77777777" w:rsidTr="006835FD">
        <w:trPr>
          <w:trHeight w:val="20"/>
        </w:trPr>
        <w:tc>
          <w:tcPr>
            <w:tcW w:w="1747" w:type="dxa"/>
            <w:vMerge/>
          </w:tcPr>
          <w:p w14:paraId="2CCD403A" w14:textId="77777777" w:rsidR="00C314D3" w:rsidRPr="00E9279E" w:rsidRDefault="00C314D3" w:rsidP="0036706A">
            <w:pPr>
              <w:pStyle w:val="Tabletext"/>
              <w:ind w:left="0" w:right="0"/>
              <w:rPr>
                <w:bCs/>
                <w:color w:val="7030A0"/>
                <w:lang w:val="en-US"/>
              </w:rPr>
            </w:pPr>
          </w:p>
        </w:tc>
        <w:tc>
          <w:tcPr>
            <w:tcW w:w="3063" w:type="dxa"/>
          </w:tcPr>
          <w:p w14:paraId="5925BE52" w14:textId="65A9862B" w:rsidR="00C314D3" w:rsidRPr="00E9279E" w:rsidRDefault="00C314D3" w:rsidP="0036706A">
            <w:pPr>
              <w:pStyle w:val="Tabletext"/>
              <w:ind w:left="0" w:right="0"/>
              <w:rPr>
                <w:color w:val="auto"/>
                <w:lang w:val="en-US"/>
              </w:rPr>
            </w:pPr>
            <w:r w:rsidRPr="00E9279E">
              <w:rPr>
                <w:color w:val="auto"/>
                <w:lang w:val="en-US"/>
              </w:rPr>
              <w:t>Ki-67 measured and low (Cohort</w:t>
            </w:r>
            <w:r w:rsidR="007427C3" w:rsidRPr="00E9279E">
              <w:rPr>
                <w:color w:val="auto"/>
                <w:lang w:val="en-US"/>
              </w:rPr>
              <w:t> </w:t>
            </w:r>
            <w:r w:rsidRPr="00E9279E">
              <w:rPr>
                <w:color w:val="auto"/>
                <w:lang w:val="en-US"/>
              </w:rPr>
              <w:t>1)</w:t>
            </w:r>
          </w:p>
        </w:tc>
        <w:tc>
          <w:tcPr>
            <w:tcW w:w="1701" w:type="dxa"/>
          </w:tcPr>
          <w:p w14:paraId="1803340C" w14:textId="77777777" w:rsidR="00C314D3" w:rsidRPr="00E9279E" w:rsidRDefault="00C314D3" w:rsidP="0036706A">
            <w:pPr>
              <w:pStyle w:val="Tabletext"/>
              <w:ind w:left="0" w:right="0"/>
              <w:rPr>
                <w:color w:val="auto"/>
              </w:rPr>
            </w:pPr>
            <w:r w:rsidRPr="00E9279E">
              <w:rPr>
                <w:color w:val="auto"/>
              </w:rPr>
              <w:t>946</w:t>
            </w:r>
          </w:p>
        </w:tc>
        <w:tc>
          <w:tcPr>
            <w:tcW w:w="1701" w:type="dxa"/>
          </w:tcPr>
          <w:p w14:paraId="4DF0652F" w14:textId="77777777" w:rsidR="00C314D3" w:rsidRPr="00E9279E" w:rsidRDefault="00C314D3" w:rsidP="0036706A">
            <w:pPr>
              <w:pStyle w:val="Tabletext"/>
              <w:ind w:left="0" w:right="0"/>
              <w:rPr>
                <w:color w:val="auto"/>
              </w:rPr>
            </w:pPr>
            <w:r w:rsidRPr="00E9279E">
              <w:rPr>
                <w:color w:val="auto"/>
              </w:rPr>
              <w:t>986</w:t>
            </w:r>
          </w:p>
        </w:tc>
      </w:tr>
    </w:tbl>
    <w:p w14:paraId="6CE55FED" w14:textId="3082E13D" w:rsidR="00C314D3" w:rsidRPr="00E9279E" w:rsidRDefault="00C314D3" w:rsidP="0036706A">
      <w:r w:rsidRPr="00E9279E">
        <w:t xml:space="preserve">The proportion of subjects receiving </w:t>
      </w:r>
      <w:r w:rsidR="00D008C9" w:rsidRPr="00E9279E">
        <w:t>aromatase inhibitor</w:t>
      </w:r>
      <w:r w:rsidRPr="00E9279E">
        <w:t xml:space="preserve">s and anti-estrogens at the start of the study and any time during the study was comparable between treatment arms. At the start of the study there were 69.1% Arm A patients and 67.6% Arm B patients treated with </w:t>
      </w:r>
      <w:r w:rsidR="00D008C9" w:rsidRPr="00E9279E">
        <w:t>aromatase inhibitor</w:t>
      </w:r>
      <w:r w:rsidRPr="00E9279E">
        <w:t xml:space="preserve">s, and 30.9% and 32.5% patients in these arms respectively treated with anti-estrogens. </w:t>
      </w:r>
      <w:r w:rsidR="002F37A9" w:rsidRPr="00E9279E">
        <w:t>Gonadotropin-releasing hormone (</w:t>
      </w:r>
      <w:r w:rsidRPr="00E9279E">
        <w:t>GnRH</w:t>
      </w:r>
      <w:r w:rsidR="002F37A9" w:rsidRPr="00E9279E">
        <w:t>)</w:t>
      </w:r>
      <w:r w:rsidRPr="00E9279E">
        <w:t xml:space="preserve"> analogues were used by 22.0% and 22.8% patients in Arm A and Arm B respectively any time during the study.</w:t>
      </w:r>
    </w:p>
    <w:p w14:paraId="369E026E" w14:textId="19A0AAA1" w:rsidR="00C314D3" w:rsidRPr="00E9279E" w:rsidRDefault="00C314D3" w:rsidP="0036706A">
      <w:pPr>
        <w:pStyle w:val="Heading5"/>
      </w:pPr>
      <w:r w:rsidRPr="00E9279E">
        <w:t xml:space="preserve">Primary efficacy analysis at </w:t>
      </w:r>
      <w:r w:rsidR="00D008C9" w:rsidRPr="00E9279E">
        <w:t>Interim Analysis 2</w:t>
      </w:r>
    </w:p>
    <w:p w14:paraId="66D00F33" w14:textId="6FF06F6E" w:rsidR="00C314D3" w:rsidRPr="00E9279E" w:rsidRDefault="00C314D3" w:rsidP="00C314D3">
      <w:r w:rsidRPr="00E9279E">
        <w:t xml:space="preserve">The primary analysis for IDFS occurred at </w:t>
      </w:r>
      <w:r w:rsidR="00D008C9" w:rsidRPr="00E9279E">
        <w:t>Interim Analysis 2</w:t>
      </w:r>
      <w:r w:rsidRPr="00E9279E">
        <w:t>. At this analysis</w:t>
      </w:r>
      <w:r w:rsidR="005550FE" w:rsidRPr="00E9279E">
        <w:t>,</w:t>
      </w:r>
      <w:r w:rsidRPr="00E9279E">
        <w:t xml:space="preserve"> 12.5% had completed the 2-year study period. The findings were:</w:t>
      </w:r>
    </w:p>
    <w:p w14:paraId="56E3FE2E" w14:textId="38B3F6F1" w:rsidR="00C314D3" w:rsidRPr="00E9279E" w:rsidRDefault="00C314D3" w:rsidP="00C314D3">
      <w:pPr>
        <w:pStyle w:val="ListBullet"/>
      </w:pPr>
      <w:r w:rsidRPr="00E9279E">
        <w:t xml:space="preserve">323 IDFS events observed in the ITT population (n = 136 </w:t>
      </w:r>
      <w:r w:rsidR="00033AC2" w:rsidRPr="00E9279E">
        <w:t>(</w:t>
      </w:r>
      <w:r w:rsidRPr="00E9279E">
        <w:t>4.8%</w:t>
      </w:r>
      <w:r w:rsidR="00033AC2" w:rsidRPr="00E9279E">
        <w:t>)</w:t>
      </w:r>
      <w:r w:rsidRPr="00E9279E">
        <w:t xml:space="preserve"> events in Arm A and 187 </w:t>
      </w:r>
      <w:r w:rsidR="00033AC2" w:rsidRPr="00E9279E">
        <w:t>(</w:t>
      </w:r>
      <w:r w:rsidRPr="00E9279E">
        <w:t>6.6%</w:t>
      </w:r>
      <w:r w:rsidR="00033AC2" w:rsidRPr="00E9279E">
        <w:t>)</w:t>
      </w:r>
      <w:r w:rsidRPr="00E9279E">
        <w:t xml:space="preserve"> events in Arm B) with a median follow-up time of 15.4 months in Arm A and 15.5 months in Arm </w:t>
      </w:r>
      <w:proofErr w:type="gramStart"/>
      <w:r w:rsidRPr="00E9279E">
        <w:t>B</w:t>
      </w:r>
      <w:r w:rsidR="005A2617" w:rsidRPr="00E9279E">
        <w:t>;</w:t>
      </w:r>
      <w:proofErr w:type="gramEnd"/>
    </w:p>
    <w:p w14:paraId="039AFEB6" w14:textId="2C1AD345" w:rsidR="00C314D3" w:rsidRPr="00E9279E" w:rsidRDefault="006D2BFB" w:rsidP="00C314D3">
      <w:pPr>
        <w:pStyle w:val="ListBullet"/>
      </w:pPr>
      <w:r w:rsidRPr="00E9279E">
        <w:t>h</w:t>
      </w:r>
      <w:r w:rsidR="00F56BF9" w:rsidRPr="00E9279E">
        <w:t xml:space="preserve">azard ratio </w:t>
      </w:r>
      <w:r w:rsidR="00C314D3" w:rsidRPr="00E9279E">
        <w:t xml:space="preserve">for Arm A </w:t>
      </w:r>
      <w:r w:rsidR="00033AC2" w:rsidRPr="00E9279E">
        <w:t>versus</w:t>
      </w:r>
      <w:r w:rsidR="00C314D3" w:rsidRPr="00E9279E">
        <w:t xml:space="preserve"> Arm B = 0.747, 95% CI: 0.598, 0.932</w:t>
      </w:r>
      <w:proofErr w:type="gramStart"/>
      <w:r w:rsidR="00C314D3" w:rsidRPr="00E9279E">
        <w:t>)</w:t>
      </w:r>
      <w:r w:rsidR="005A2617" w:rsidRPr="00E9279E">
        <w:t>;</w:t>
      </w:r>
      <w:proofErr w:type="gramEnd"/>
    </w:p>
    <w:p w14:paraId="6C2A30FB" w14:textId="3754D984" w:rsidR="00C314D3" w:rsidRPr="00E9279E" w:rsidRDefault="005A2617" w:rsidP="00C314D3">
      <w:pPr>
        <w:pStyle w:val="ListBullet"/>
      </w:pPr>
      <w:r w:rsidRPr="00E9279E">
        <w:t>two</w:t>
      </w:r>
      <w:r w:rsidR="00C314D3" w:rsidRPr="00E9279E">
        <w:t xml:space="preserve">-year IDFS rate 92.2% (90.4%, 93.7%) </w:t>
      </w:r>
      <w:r w:rsidR="00033AC2" w:rsidRPr="00E9279E">
        <w:t>versus</w:t>
      </w:r>
      <w:r w:rsidR="00C314D3" w:rsidRPr="00E9279E">
        <w:t xml:space="preserve"> 88.7% (86.5%, 90.5%); difference 3.5% (95% CI: 0.9%, 1.6.1%), p</w:t>
      </w:r>
      <w:r w:rsidR="00E93113" w:rsidRPr="00E9279E">
        <w:t xml:space="preserve"> </w:t>
      </w:r>
      <w:r w:rsidR="00C314D3" w:rsidRPr="00E9279E">
        <w:t>=</w:t>
      </w:r>
      <w:r w:rsidR="00E93113" w:rsidRPr="00E9279E">
        <w:t xml:space="preserve"> </w:t>
      </w:r>
      <w:proofErr w:type="gramStart"/>
      <w:r w:rsidR="00C314D3" w:rsidRPr="00E9279E">
        <w:t>0.0073</w:t>
      </w:r>
      <w:r w:rsidRPr="00E9279E">
        <w:t>;</w:t>
      </w:r>
      <w:proofErr w:type="gramEnd"/>
    </w:p>
    <w:p w14:paraId="29A5F51C" w14:textId="4D2964CF" w:rsidR="00C314D3" w:rsidRPr="00E9279E" w:rsidRDefault="005A2617" w:rsidP="00C314D3">
      <w:pPr>
        <w:pStyle w:val="ListBullet"/>
      </w:pPr>
      <w:r w:rsidRPr="00E9279E">
        <w:t>one</w:t>
      </w:r>
      <w:r w:rsidR="00C314D3" w:rsidRPr="00E9279E">
        <w:t xml:space="preserve">-year IDFS </w:t>
      </w:r>
      <w:r w:rsidRPr="00E9279E">
        <w:t xml:space="preserve">rate </w:t>
      </w:r>
      <w:r w:rsidR="00C314D3" w:rsidRPr="00E9279E">
        <w:t xml:space="preserve">96.5% (95.7%, 97.1%) </w:t>
      </w:r>
      <w:r w:rsidR="00033AC2" w:rsidRPr="00E9279E">
        <w:t>versus</w:t>
      </w:r>
      <w:r w:rsidR="00C314D3" w:rsidRPr="00E9279E">
        <w:t xml:space="preserve"> 95.7% (94.9%, 96.4%); difference 0.7 % (95% CI: -0.3%, 1.8%), p</w:t>
      </w:r>
      <w:r w:rsidR="00E93113" w:rsidRPr="00E9279E">
        <w:t xml:space="preserve"> </w:t>
      </w:r>
      <w:r w:rsidR="00C314D3" w:rsidRPr="00E9279E">
        <w:t>=</w:t>
      </w:r>
      <w:r w:rsidR="00E93113" w:rsidRPr="00E9279E">
        <w:t xml:space="preserve"> </w:t>
      </w:r>
      <w:r w:rsidR="00C314D3" w:rsidRPr="00E9279E">
        <w:t>0.163</w:t>
      </w:r>
      <w:r w:rsidRPr="00E9279E">
        <w:t>.</w:t>
      </w:r>
    </w:p>
    <w:p w14:paraId="5EB90A9D" w14:textId="04C15039" w:rsidR="00C314D3" w:rsidRPr="00E9279E" w:rsidRDefault="00C314D3" w:rsidP="00C314D3">
      <w:r w:rsidRPr="00E9279E">
        <w:t>Pre-specified sensitivity analyses (unstratified log-rank test and unstratified Cox</w:t>
      </w:r>
      <w:r w:rsidR="005A2617" w:rsidRPr="00E9279E">
        <w:noBreakHyphen/>
      </w:r>
      <w:r w:rsidRPr="00E9279E">
        <w:t>proportional hazards model) were consistent with the primary analysis, mostly favouring Arm A.</w:t>
      </w:r>
      <w:bookmarkStart w:id="60" w:name="_Ref80107216"/>
      <w:bookmarkStart w:id="61" w:name="_Toc81654572"/>
    </w:p>
    <w:p w14:paraId="7BD901E6" w14:textId="7881FCC6" w:rsidR="00C314D3" w:rsidRPr="00E9279E" w:rsidRDefault="00C314D3" w:rsidP="00F86A77">
      <w:pPr>
        <w:pStyle w:val="FigureTitle"/>
      </w:pPr>
      <w:r w:rsidRPr="00E9279E">
        <w:lastRenderedPageBreak/>
        <w:t xml:space="preserve">Figure </w:t>
      </w:r>
      <w:r w:rsidR="000C44E7">
        <w:fldChar w:fldCharType="begin"/>
      </w:r>
      <w:r w:rsidR="000C44E7">
        <w:instrText xml:space="preserve"> SEQ Figure \* ARABIC </w:instrText>
      </w:r>
      <w:r w:rsidR="000C44E7">
        <w:fldChar w:fldCharType="separate"/>
      </w:r>
      <w:r w:rsidR="00E9279E">
        <w:rPr>
          <w:noProof/>
        </w:rPr>
        <w:t>2</w:t>
      </w:r>
      <w:r w:rsidR="000C44E7">
        <w:rPr>
          <w:noProof/>
        </w:rPr>
        <w:fldChar w:fldCharType="end"/>
      </w:r>
      <w:bookmarkEnd w:id="60"/>
      <w:r w:rsidRPr="00E9279E">
        <w:t xml:space="preserve">: </w:t>
      </w:r>
      <w:r w:rsidR="0086249E" w:rsidRPr="00E9279E">
        <w:t xml:space="preserve">Study I3Y-MC-JPCF </w:t>
      </w:r>
      <w:r w:rsidR="007427C3" w:rsidRPr="00E9279E">
        <w:t>(</w:t>
      </w:r>
      <w:r w:rsidR="001B7C07" w:rsidRPr="00E9279E">
        <w:t xml:space="preserve">MONARCHE </w:t>
      </w:r>
      <w:r w:rsidR="007427C3" w:rsidRPr="00E9279E">
        <w:t xml:space="preserve">trial) </w:t>
      </w:r>
      <w:r w:rsidRPr="00E9279E">
        <w:t xml:space="preserve">Kaplan-Meier plot of </w:t>
      </w:r>
      <w:r w:rsidR="005A2617" w:rsidRPr="00E9279E">
        <w:t>invasive disease-free survival by investigator assessment (intent-to-treat population)</w:t>
      </w:r>
      <w:bookmarkEnd w:id="61"/>
    </w:p>
    <w:p w14:paraId="6FA34A06" w14:textId="0061D1BF" w:rsidR="007D39D7" w:rsidRPr="00E9279E" w:rsidRDefault="007D39D7" w:rsidP="00F86A77">
      <w:r w:rsidRPr="00E9279E">
        <w:rPr>
          <w:noProof/>
          <w:lang w:val="en-GB" w:eastAsia="en-GB"/>
        </w:rPr>
        <w:drawing>
          <wp:inline distT="0" distB="0" distL="0" distR="0" wp14:anchorId="43B8463B" wp14:editId="17E87738">
            <wp:extent cx="5181600" cy="2899732"/>
            <wp:effectExtent l="0" t="0" r="0" b="0"/>
            <wp:docPr id="10" name="Picture 10" descr="Figure 2: Study I3Y-MC-JPCF (MONARCHE trial) Kaplan Meier plot of invasive disease free survival by investigator assessment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2: Study I3Y-MC-JPCF (MONARCHE trial) Kaplan Meier plot of invasive disease free survival by investigator assessment (intent to treat population)"/>
                    <pic:cNvPicPr/>
                  </pic:nvPicPr>
                  <pic:blipFill>
                    <a:blip r:embed="rId19"/>
                    <a:stretch>
                      <a:fillRect/>
                    </a:stretch>
                  </pic:blipFill>
                  <pic:spPr>
                    <a:xfrm>
                      <a:off x="0" y="0"/>
                      <a:ext cx="5186842" cy="2902665"/>
                    </a:xfrm>
                    <a:prstGeom prst="rect">
                      <a:avLst/>
                    </a:prstGeom>
                  </pic:spPr>
                </pic:pic>
              </a:graphicData>
            </a:graphic>
          </wp:inline>
        </w:drawing>
      </w:r>
    </w:p>
    <w:p w14:paraId="0B3847B5" w14:textId="768EB7DD" w:rsidR="00FB37C4" w:rsidRPr="00E9279E" w:rsidRDefault="00FB37C4" w:rsidP="00F86A77">
      <w:pPr>
        <w:pStyle w:val="FigureDescription"/>
      </w:pPr>
      <w:r w:rsidRPr="00E9279E">
        <w:t xml:space="preserve">Abbreviations: </w:t>
      </w:r>
      <w:r w:rsidR="00905E0F" w:rsidRPr="00E9279E">
        <w:t xml:space="preserve"># = number of; </w:t>
      </w:r>
      <w:r w:rsidRPr="00E9279E">
        <w:t>CI = confidence interval; ET = endocrine therapy; HR = hazard ratio.</w:t>
      </w:r>
    </w:p>
    <w:p w14:paraId="4F2ABEBA" w14:textId="30CD8A04" w:rsidR="00C314D3" w:rsidRPr="00E9279E" w:rsidRDefault="00FB37C4" w:rsidP="00F86A77">
      <w:pPr>
        <w:pStyle w:val="FigureDescription"/>
      </w:pPr>
      <w:r w:rsidRPr="00E9279E">
        <w:t xml:space="preserve">Data </w:t>
      </w:r>
      <w:r w:rsidR="005A2617" w:rsidRPr="00E9279E">
        <w:t xml:space="preserve">cut-off date: </w:t>
      </w:r>
      <w:r w:rsidRPr="00E9279E">
        <w:t>16 March 2020</w:t>
      </w:r>
      <w:r w:rsidR="005A2617" w:rsidRPr="00E9279E">
        <w:t>.</w:t>
      </w:r>
    </w:p>
    <w:p w14:paraId="7F6C1735" w14:textId="1982C044" w:rsidR="00C314D3" w:rsidRPr="00E9279E" w:rsidRDefault="00C314D3" w:rsidP="00C314D3">
      <w:pPr>
        <w:pStyle w:val="Heading5"/>
      </w:pPr>
      <w:r w:rsidRPr="00E9279E">
        <w:t xml:space="preserve">Final </w:t>
      </w:r>
      <w:r w:rsidR="009B5BCF" w:rsidRPr="00E9279E">
        <w:t>invasive disease-free survival</w:t>
      </w:r>
      <w:r w:rsidRPr="00E9279E">
        <w:t xml:space="preserve"> analysis</w:t>
      </w:r>
    </w:p>
    <w:p w14:paraId="70C341AA" w14:textId="77777777" w:rsidR="00C314D3" w:rsidRPr="00E9279E" w:rsidRDefault="00C314D3" w:rsidP="00C314D3">
      <w:r w:rsidRPr="00E9279E">
        <w:t>At the final (exploratory) IDFS analysis, 25.5% of patients had completed a 2-year study period. At this analysis the findings were:</w:t>
      </w:r>
    </w:p>
    <w:p w14:paraId="0DBB08E1" w14:textId="175BD2D5" w:rsidR="00C314D3" w:rsidRPr="00E9279E" w:rsidRDefault="00C314D3" w:rsidP="00C314D3">
      <w:pPr>
        <w:pStyle w:val="ListBullet"/>
      </w:pPr>
      <w:r w:rsidRPr="00E9279E">
        <w:t xml:space="preserve">395 IDFS events observed in the ITT population (n = 163 </w:t>
      </w:r>
      <w:r w:rsidR="00033AC2" w:rsidRPr="00E9279E">
        <w:t>(</w:t>
      </w:r>
      <w:r w:rsidRPr="00E9279E">
        <w:t>5.8%</w:t>
      </w:r>
      <w:r w:rsidR="00033AC2" w:rsidRPr="00E9279E">
        <w:t>)</w:t>
      </w:r>
      <w:r w:rsidRPr="00E9279E">
        <w:t xml:space="preserve"> events in Arm A and 232 </w:t>
      </w:r>
      <w:r w:rsidR="00033AC2" w:rsidRPr="00E9279E">
        <w:t>(</w:t>
      </w:r>
      <w:r w:rsidRPr="00E9279E">
        <w:t>8.2%</w:t>
      </w:r>
      <w:r w:rsidR="00033AC2" w:rsidRPr="00E9279E">
        <w:t>)</w:t>
      </w:r>
      <w:r w:rsidRPr="00E9279E">
        <w:t xml:space="preserve"> events in Arm B) with a median follow-up time of 19.1 months in Arm A and 19.2 months in Arm </w:t>
      </w:r>
      <w:proofErr w:type="gramStart"/>
      <w:r w:rsidRPr="00E9279E">
        <w:t>B</w:t>
      </w:r>
      <w:r w:rsidR="005A2617" w:rsidRPr="00E9279E">
        <w:t>;</w:t>
      </w:r>
      <w:proofErr w:type="gramEnd"/>
    </w:p>
    <w:p w14:paraId="5B50456D" w14:textId="3CE68FBC" w:rsidR="00C314D3" w:rsidRPr="00E9279E" w:rsidRDefault="006D2BFB" w:rsidP="00C314D3">
      <w:pPr>
        <w:pStyle w:val="ListBullet"/>
      </w:pPr>
      <w:r w:rsidRPr="00E9279E">
        <w:t>h</w:t>
      </w:r>
      <w:r w:rsidR="00F56BF9" w:rsidRPr="00E9279E">
        <w:t xml:space="preserve">azard ratio </w:t>
      </w:r>
      <w:r w:rsidR="00C314D3" w:rsidRPr="00E9279E">
        <w:t xml:space="preserve">for Arm A </w:t>
      </w:r>
      <w:r w:rsidR="00033AC2" w:rsidRPr="00E9279E">
        <w:t>versus</w:t>
      </w:r>
      <w:r w:rsidR="00C314D3" w:rsidRPr="00E9279E">
        <w:t xml:space="preserve"> Arm B = 0.713, </w:t>
      </w:r>
      <w:r w:rsidR="005A2617" w:rsidRPr="00E9279E">
        <w:t>(</w:t>
      </w:r>
      <w:r w:rsidR="00C314D3" w:rsidRPr="00E9279E">
        <w:t>95% CI: 0.583, 0.871</w:t>
      </w:r>
      <w:proofErr w:type="gramStart"/>
      <w:r w:rsidR="00C314D3" w:rsidRPr="00E9279E">
        <w:t>)</w:t>
      </w:r>
      <w:r w:rsidR="005A2617" w:rsidRPr="00E9279E">
        <w:t>;</w:t>
      </w:r>
      <w:proofErr w:type="gramEnd"/>
    </w:p>
    <w:p w14:paraId="31844E73" w14:textId="67F848F7" w:rsidR="00C314D3" w:rsidRPr="00E9279E" w:rsidRDefault="005A2617" w:rsidP="00C314D3">
      <w:pPr>
        <w:pStyle w:val="ListBullet"/>
      </w:pPr>
      <w:r w:rsidRPr="00E9279E">
        <w:t>two</w:t>
      </w:r>
      <w:r w:rsidR="00C314D3" w:rsidRPr="00E9279E">
        <w:t xml:space="preserve">-year IDFS rate 92.3% (90.9%, 93.5%) </w:t>
      </w:r>
      <w:r w:rsidR="00033AC2" w:rsidRPr="00E9279E">
        <w:t>versus</w:t>
      </w:r>
      <w:r w:rsidR="00C314D3" w:rsidRPr="00E9279E">
        <w:t xml:space="preserve"> 89.3% (87.7%, 90.7%); difference 3.5% (95% CI: 0.9%, 1.6.1%)</w:t>
      </w:r>
      <w:r w:rsidRPr="00E9279E">
        <w:t xml:space="preserve"> </w:t>
      </w:r>
      <w:r w:rsidR="00C314D3" w:rsidRPr="00E9279E">
        <w:t xml:space="preserve">(see </w:t>
      </w:r>
      <w:r w:rsidR="00C314D3" w:rsidRPr="00E9279E">
        <w:fldChar w:fldCharType="begin"/>
      </w:r>
      <w:r w:rsidR="00C314D3" w:rsidRPr="00E9279E">
        <w:instrText xml:space="preserve"> REF _Ref91931346 \h  \* MERGEFORMAT </w:instrText>
      </w:r>
      <w:r w:rsidR="00C314D3" w:rsidRPr="00E9279E">
        <w:fldChar w:fldCharType="separate"/>
      </w:r>
      <w:r w:rsidR="00E9279E" w:rsidRPr="00E9279E">
        <w:t xml:space="preserve">Figure </w:t>
      </w:r>
      <w:r w:rsidR="00E9279E">
        <w:rPr>
          <w:noProof/>
        </w:rPr>
        <w:t>3</w:t>
      </w:r>
      <w:r w:rsidR="00C314D3" w:rsidRPr="00E9279E">
        <w:fldChar w:fldCharType="end"/>
      </w:r>
      <w:r w:rsidRPr="00E9279E">
        <w:t xml:space="preserve"> below</w:t>
      </w:r>
      <w:proofErr w:type="gramStart"/>
      <w:r w:rsidR="00C314D3" w:rsidRPr="00E9279E">
        <w:t>)</w:t>
      </w:r>
      <w:r w:rsidRPr="00E9279E">
        <w:t>;</w:t>
      </w:r>
      <w:proofErr w:type="gramEnd"/>
    </w:p>
    <w:p w14:paraId="3BC2622D" w14:textId="5B278061" w:rsidR="00C314D3" w:rsidRPr="00E9279E" w:rsidRDefault="005A2617" w:rsidP="00C314D3">
      <w:pPr>
        <w:pStyle w:val="ListBullet"/>
      </w:pPr>
      <w:r w:rsidRPr="00E9279E">
        <w:t>one</w:t>
      </w:r>
      <w:r w:rsidR="00C314D3" w:rsidRPr="00E9279E">
        <w:t xml:space="preserve">-year IDFS </w:t>
      </w:r>
      <w:r w:rsidRPr="00E9279E">
        <w:t xml:space="preserve">rate </w:t>
      </w:r>
      <w:r w:rsidR="00C314D3" w:rsidRPr="00E9279E">
        <w:t xml:space="preserve">96.5% (95.7%, 97.1%) </w:t>
      </w:r>
      <w:r w:rsidR="00033AC2" w:rsidRPr="00E9279E">
        <w:t>versus</w:t>
      </w:r>
      <w:r w:rsidR="00C314D3" w:rsidRPr="00E9279E">
        <w:t xml:space="preserve"> 95.7% (94.9%, 96.4%); difference 0.8 % (95% CI: -0.2%, 1.8%)</w:t>
      </w:r>
      <w:r w:rsidRPr="00E9279E">
        <w:t>.</w:t>
      </w:r>
    </w:p>
    <w:p w14:paraId="2B3D2E5E" w14:textId="6D70693D" w:rsidR="00C314D3" w:rsidRPr="00E9279E" w:rsidRDefault="00C314D3" w:rsidP="00C314D3">
      <w:r w:rsidRPr="00E9279E">
        <w:t>Most of the IDFS events attributed to confirmed invasive disease (n = 151 events in Arm</w:t>
      </w:r>
      <w:r w:rsidR="00905E0F" w:rsidRPr="00E9279E">
        <w:t> </w:t>
      </w:r>
      <w:r w:rsidRPr="00E9279E">
        <w:t>A and n = 225 events in Arm B), were distant</w:t>
      </w:r>
      <w:r w:rsidR="00206B4F" w:rsidRPr="00E9279E">
        <w:t xml:space="preserve"> </w:t>
      </w:r>
      <w:r w:rsidRPr="00E9279E">
        <w:t xml:space="preserve">recurrence (n = 109 </w:t>
      </w:r>
      <w:r w:rsidR="00033AC2" w:rsidRPr="00E9279E">
        <w:t>(</w:t>
      </w:r>
      <w:r w:rsidRPr="00E9279E">
        <w:t>3.9%</w:t>
      </w:r>
      <w:r w:rsidR="00033AC2" w:rsidRPr="00E9279E">
        <w:t>)</w:t>
      </w:r>
      <w:r w:rsidRPr="00E9279E">
        <w:t xml:space="preserve"> Arm A, n = 170 </w:t>
      </w:r>
      <w:r w:rsidR="00033AC2" w:rsidRPr="00E9279E">
        <w:t>(</w:t>
      </w:r>
      <w:r w:rsidRPr="00E9279E">
        <w:t>6.0%</w:t>
      </w:r>
      <w:r w:rsidR="00033AC2" w:rsidRPr="00E9279E">
        <w:t>)</w:t>
      </w:r>
      <w:r w:rsidRPr="00E9279E">
        <w:t xml:space="preserve"> Arm B). Bone, liver, and lung were the most common sites of distant recurrence overall, with the frequency of recurrence in bone and liver lower in Arm A compared with Arm</w:t>
      </w:r>
      <w:r w:rsidR="00905E0F" w:rsidRPr="00E9279E">
        <w:t> </w:t>
      </w:r>
      <w:r w:rsidRPr="00E9279E">
        <w:t>B.</w:t>
      </w:r>
    </w:p>
    <w:p w14:paraId="652893B4" w14:textId="47DC3AF5" w:rsidR="00C314D3" w:rsidRPr="00E9279E" w:rsidRDefault="00C314D3" w:rsidP="00F86A77">
      <w:pPr>
        <w:pStyle w:val="FigureTitle"/>
      </w:pPr>
      <w:bookmarkStart w:id="62" w:name="_Ref91931346"/>
      <w:bookmarkStart w:id="63" w:name="_Toc90826303"/>
      <w:r w:rsidRPr="00E9279E">
        <w:lastRenderedPageBreak/>
        <w:t xml:space="preserve">Figure </w:t>
      </w:r>
      <w:r w:rsidR="000C44E7">
        <w:fldChar w:fldCharType="begin"/>
      </w:r>
      <w:r w:rsidR="000C44E7">
        <w:instrText xml:space="preserve"> SEQ Figure \* ARABIC </w:instrText>
      </w:r>
      <w:r w:rsidR="000C44E7">
        <w:fldChar w:fldCharType="separate"/>
      </w:r>
      <w:r w:rsidR="00E9279E">
        <w:rPr>
          <w:noProof/>
        </w:rPr>
        <w:t>3</w:t>
      </w:r>
      <w:r w:rsidR="000C44E7">
        <w:rPr>
          <w:noProof/>
        </w:rPr>
        <w:fldChar w:fldCharType="end"/>
      </w:r>
      <w:bookmarkEnd w:id="62"/>
      <w:r w:rsidRPr="00E9279E">
        <w:t xml:space="preserve">: </w:t>
      </w:r>
      <w:r w:rsidR="0086249E" w:rsidRPr="00E9279E">
        <w:t xml:space="preserve">Study I3Y-MC-JPCF </w:t>
      </w:r>
      <w:r w:rsidR="007427C3" w:rsidRPr="00E9279E">
        <w:t>(</w:t>
      </w:r>
      <w:r w:rsidR="001B7C07" w:rsidRPr="00E9279E">
        <w:t xml:space="preserve">MONARCHE </w:t>
      </w:r>
      <w:r w:rsidR="007427C3" w:rsidRPr="00E9279E">
        <w:t xml:space="preserve">trial) </w:t>
      </w:r>
      <w:r w:rsidRPr="00E9279E">
        <w:t xml:space="preserve">Kaplan-Meier plot of </w:t>
      </w:r>
      <w:r w:rsidR="00905E0F" w:rsidRPr="00E9279E">
        <w:t>invasive disease-free survival by investigator assessment at final invasive disease-free survival analysis (intent</w:t>
      </w:r>
      <w:r w:rsidR="00905E0F" w:rsidRPr="00E9279E">
        <w:noBreakHyphen/>
        <w:t>to</w:t>
      </w:r>
      <w:r w:rsidR="00905E0F" w:rsidRPr="00E9279E">
        <w:noBreakHyphen/>
        <w:t>treat population)</w:t>
      </w:r>
      <w:bookmarkEnd w:id="63"/>
    </w:p>
    <w:p w14:paraId="60B74C23" w14:textId="0F57E0CC" w:rsidR="00C314D3" w:rsidRPr="00E9279E" w:rsidRDefault="00C314D3" w:rsidP="00F86A77">
      <w:pPr>
        <w:rPr>
          <w:i/>
          <w:sz w:val="20"/>
        </w:rPr>
      </w:pPr>
      <w:r w:rsidRPr="00E9279E">
        <w:rPr>
          <w:noProof/>
          <w:lang w:val="en-GB" w:eastAsia="en-GB"/>
        </w:rPr>
        <w:drawing>
          <wp:inline distT="0" distB="0" distL="0" distR="0" wp14:anchorId="033DAFA3" wp14:editId="6103DA77">
            <wp:extent cx="5174672" cy="2782570"/>
            <wp:effectExtent l="0" t="0" r="6985" b="0"/>
            <wp:docPr id="32" name="Picture 32" descr="Figure 3: Study I3Y-MC-JPCF (MONARCHE trial) Kaplan Meier plot of invasive disease free survival by investigator assessment at final invasive disease free survival analysis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3: Study I3Y-MC-JPCF (MONARCHE trial) Kaplan Meier plot of invasive disease free survival by investigator assessment at final invasive disease free survival analysis (intent to treat population)"/>
                    <pic:cNvPicPr/>
                  </pic:nvPicPr>
                  <pic:blipFill>
                    <a:blip r:embed="rId20"/>
                    <a:stretch>
                      <a:fillRect/>
                    </a:stretch>
                  </pic:blipFill>
                  <pic:spPr>
                    <a:xfrm>
                      <a:off x="0" y="0"/>
                      <a:ext cx="5217527" cy="2805615"/>
                    </a:xfrm>
                    <a:prstGeom prst="rect">
                      <a:avLst/>
                    </a:prstGeom>
                  </pic:spPr>
                </pic:pic>
              </a:graphicData>
            </a:graphic>
          </wp:inline>
        </w:drawing>
      </w:r>
    </w:p>
    <w:p w14:paraId="0A2FB4F9" w14:textId="52E83D17" w:rsidR="00FB37C4" w:rsidRPr="00E9279E" w:rsidRDefault="00C314D3" w:rsidP="00F86A77">
      <w:pPr>
        <w:pStyle w:val="FigureDescription"/>
      </w:pPr>
      <w:r w:rsidRPr="00E9279E">
        <w:t>Abbreviations: # = number of; CI = confidence interval; ET = endocrine therapy; HR = hazard ratio.</w:t>
      </w:r>
    </w:p>
    <w:p w14:paraId="72F0BC32" w14:textId="4E484410" w:rsidR="00C314D3" w:rsidRPr="00E9279E" w:rsidRDefault="00C314D3" w:rsidP="00F86A77">
      <w:pPr>
        <w:pStyle w:val="FigureDescription"/>
      </w:pPr>
      <w:r w:rsidRPr="00E9279E">
        <w:t>Data cut-off</w:t>
      </w:r>
      <w:r w:rsidR="00BC618B" w:rsidRPr="00E9279E">
        <w:t xml:space="preserve"> date</w:t>
      </w:r>
      <w:r w:rsidRPr="00E9279E">
        <w:t>: 8 July 2020.</w:t>
      </w:r>
    </w:p>
    <w:p w14:paraId="1870B012" w14:textId="4FE7F8FF" w:rsidR="00C314D3" w:rsidRPr="00E9279E" w:rsidRDefault="00AD7BAF" w:rsidP="00C314D3">
      <w:r w:rsidRPr="00E9279E">
        <w:t>Invasive disease-free survival (</w:t>
      </w:r>
      <w:r w:rsidR="00C314D3" w:rsidRPr="00E9279E">
        <w:t>IDFS</w:t>
      </w:r>
      <w:r w:rsidRPr="00E9279E">
        <w:t>)</w:t>
      </w:r>
      <w:r w:rsidR="00C314D3" w:rsidRPr="00E9279E">
        <w:t xml:space="preserve"> analyses within pre-specified subgroups within the ITT population is shown below in </w:t>
      </w:r>
      <w:r w:rsidR="00C314D3" w:rsidRPr="00E9279E">
        <w:fldChar w:fldCharType="begin"/>
      </w:r>
      <w:r w:rsidR="00C314D3" w:rsidRPr="00E9279E">
        <w:instrText xml:space="preserve"> REF _Ref91845473 \h  \* MERGEFORMAT </w:instrText>
      </w:r>
      <w:r w:rsidR="00C314D3" w:rsidRPr="00E9279E">
        <w:fldChar w:fldCharType="separate"/>
      </w:r>
      <w:r w:rsidR="00E9279E" w:rsidRPr="00E9279E">
        <w:t xml:space="preserve">Figure </w:t>
      </w:r>
      <w:r w:rsidR="00E9279E">
        <w:t>4</w:t>
      </w:r>
      <w:r w:rsidR="00C314D3" w:rsidRPr="00E9279E">
        <w:fldChar w:fldCharType="end"/>
      </w:r>
      <w:r w:rsidR="00C314D3" w:rsidRPr="00E9279E">
        <w:t>. The numbers of male patients in the study are too small for a meaningful separate subgroup analysis.</w:t>
      </w:r>
    </w:p>
    <w:p w14:paraId="361F5737" w14:textId="503521E3" w:rsidR="00C314D3" w:rsidRPr="00E9279E" w:rsidRDefault="00C314D3" w:rsidP="00F86A77">
      <w:pPr>
        <w:pStyle w:val="FigureTitle"/>
      </w:pPr>
      <w:bookmarkStart w:id="64" w:name="_Ref91845473"/>
      <w:r w:rsidRPr="00E9279E">
        <w:t xml:space="preserve">Figure </w:t>
      </w:r>
      <w:r w:rsidR="000C44E7">
        <w:fldChar w:fldCharType="begin"/>
      </w:r>
      <w:r w:rsidR="000C44E7">
        <w:instrText xml:space="preserve"> SEQ Figure \* ARABIC </w:instrText>
      </w:r>
      <w:r w:rsidR="000C44E7">
        <w:fldChar w:fldCharType="separate"/>
      </w:r>
      <w:r w:rsidR="00E9279E">
        <w:rPr>
          <w:noProof/>
        </w:rPr>
        <w:t>4</w:t>
      </w:r>
      <w:r w:rsidR="000C44E7">
        <w:rPr>
          <w:noProof/>
        </w:rPr>
        <w:fldChar w:fldCharType="end"/>
      </w:r>
      <w:bookmarkEnd w:id="64"/>
      <w:r w:rsidR="0086249E" w:rsidRPr="00E9279E">
        <w:t>: Study I3Y-MC-JPCF</w:t>
      </w:r>
      <w:r w:rsidRPr="00E9279E">
        <w:t xml:space="preserve"> </w:t>
      </w:r>
      <w:r w:rsidR="007427C3" w:rsidRPr="00E9279E">
        <w:t>(</w:t>
      </w:r>
      <w:r w:rsidR="001B7C07" w:rsidRPr="00E9279E">
        <w:t xml:space="preserve">MONARCHE </w:t>
      </w:r>
      <w:r w:rsidR="007427C3" w:rsidRPr="00E9279E">
        <w:t xml:space="preserve">trial) </w:t>
      </w:r>
      <w:r w:rsidRPr="00E9279E">
        <w:t xml:space="preserve">Subgroup </w:t>
      </w:r>
      <w:r w:rsidR="00905E0F" w:rsidRPr="00E9279E">
        <w:t>analysis and forest plot final invasive disease-free survival analysis</w:t>
      </w:r>
      <w:r w:rsidR="004F1366" w:rsidRPr="00E9279E">
        <w:t xml:space="preserve"> (</w:t>
      </w:r>
      <w:r w:rsidR="00905E0F" w:rsidRPr="00E9279E">
        <w:t>intent-to-treat p</w:t>
      </w:r>
      <w:r w:rsidR="004F1366" w:rsidRPr="00E9279E">
        <w:t>opulation)</w:t>
      </w:r>
    </w:p>
    <w:p w14:paraId="6B61A70E" w14:textId="7625BF6F" w:rsidR="00C314D3" w:rsidRPr="00E9279E" w:rsidRDefault="004F1366" w:rsidP="00F86A77">
      <w:r w:rsidRPr="00E9279E">
        <w:rPr>
          <w:noProof/>
          <w:lang w:val="en-GB" w:eastAsia="en-GB"/>
        </w:rPr>
        <w:drawing>
          <wp:inline distT="0" distB="0" distL="0" distR="0" wp14:anchorId="292270D1" wp14:editId="570871AD">
            <wp:extent cx="5400040" cy="3773805"/>
            <wp:effectExtent l="0" t="0" r="0" b="0"/>
            <wp:docPr id="14" name="Picture 14" descr="Figure  4: Study I3Y-MC-JPCF (MONARCHE trial) Subgroup analysis and forest plot final invasive disease free survival analysis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4: Study I3Y-MC-JPCF (MONARCHE trial) Subgroup analysis and forest plot final invasive disease free survival analysis (intent to treat population)"/>
                    <pic:cNvPicPr/>
                  </pic:nvPicPr>
                  <pic:blipFill>
                    <a:blip r:embed="rId21"/>
                    <a:stretch>
                      <a:fillRect/>
                    </a:stretch>
                  </pic:blipFill>
                  <pic:spPr>
                    <a:xfrm>
                      <a:off x="0" y="0"/>
                      <a:ext cx="5400040" cy="3773805"/>
                    </a:xfrm>
                    <a:prstGeom prst="rect">
                      <a:avLst/>
                    </a:prstGeom>
                  </pic:spPr>
                </pic:pic>
              </a:graphicData>
            </a:graphic>
          </wp:inline>
        </w:drawing>
      </w:r>
    </w:p>
    <w:p w14:paraId="595D8ABB" w14:textId="6C4C652B" w:rsidR="004F1366" w:rsidRPr="00E9279E" w:rsidRDefault="00C314D3" w:rsidP="00F86A77">
      <w:pPr>
        <w:pStyle w:val="FigureDescription"/>
      </w:pPr>
      <w:r w:rsidRPr="00E9279E">
        <w:lastRenderedPageBreak/>
        <w:t xml:space="preserve">Abbreviations: CI = confidence interval; ECOG PS = Eastern Cooperative Oncology Group </w:t>
      </w:r>
      <w:r w:rsidR="00905E0F" w:rsidRPr="00E9279E">
        <w:t>Performance Status</w:t>
      </w:r>
      <w:r w:rsidRPr="00E9279E">
        <w:t xml:space="preserve">; EDT = endocrine therapy; </w:t>
      </w:r>
      <w:r w:rsidR="00905E0F" w:rsidRPr="00E9279E">
        <w:t xml:space="preserve">G= Grade; </w:t>
      </w:r>
      <w:r w:rsidRPr="00E9279E">
        <w:t>HR = hazard ratio; IDFS = invasive disease-free survival; IWRS = interactive web response system; n = number of patients in specific population; NA = North America.</w:t>
      </w:r>
    </w:p>
    <w:p w14:paraId="1C52A844" w14:textId="3BB241FF" w:rsidR="00C314D3" w:rsidRPr="00E9279E" w:rsidRDefault="00C314D3" w:rsidP="00F86A77">
      <w:pPr>
        <w:pStyle w:val="FigureDescription"/>
      </w:pPr>
      <w:r w:rsidRPr="00E9279E">
        <w:t>Data cut-off</w:t>
      </w:r>
      <w:r w:rsidR="00BC618B" w:rsidRPr="00E9279E">
        <w:t xml:space="preserve"> date</w:t>
      </w:r>
      <w:r w:rsidRPr="00E9279E">
        <w:t>: 8 July 2020.</w:t>
      </w:r>
    </w:p>
    <w:p w14:paraId="2A0E0D00" w14:textId="4A88B190" w:rsidR="00C314D3" w:rsidRPr="00E9279E" w:rsidRDefault="00C314D3" w:rsidP="00C314D3">
      <w:pPr>
        <w:pStyle w:val="Heading5"/>
      </w:pPr>
      <w:r w:rsidRPr="00E9279E">
        <w:t xml:space="preserve">Secondary endpoints: </w:t>
      </w:r>
      <w:r w:rsidR="004052B5" w:rsidRPr="00E9279E">
        <w:t>final invasive disease-free survival analysis</w:t>
      </w:r>
    </w:p>
    <w:p w14:paraId="781579BC" w14:textId="717E444F" w:rsidR="00C314D3" w:rsidRPr="00E9279E" w:rsidRDefault="009B5BCF" w:rsidP="00C314D3">
      <w:pPr>
        <w:pStyle w:val="Heading6"/>
        <w:rPr>
          <w:rFonts w:cs="Calibri"/>
          <w:u w:val="single"/>
        </w:rPr>
      </w:pPr>
      <w:r w:rsidRPr="00E9279E">
        <w:t>Invasive disease-free survival</w:t>
      </w:r>
      <w:r w:rsidR="00C314D3" w:rsidRPr="00E9279E">
        <w:t xml:space="preserve"> in Ki</w:t>
      </w:r>
      <w:r w:rsidR="007427C3" w:rsidRPr="00E9279E">
        <w:t>-</w:t>
      </w:r>
      <w:r w:rsidR="00C314D3" w:rsidRPr="00E9279E">
        <w:t>67 high population</w:t>
      </w:r>
    </w:p>
    <w:p w14:paraId="6AEC1F19" w14:textId="77777777" w:rsidR="00C314D3" w:rsidRPr="00E9279E" w:rsidRDefault="00C314D3" w:rsidP="00C314D3">
      <w:r w:rsidRPr="00E9279E">
        <w:t>At the final analysis, the findings for the total Ki-67 high population were:</w:t>
      </w:r>
    </w:p>
    <w:p w14:paraId="7F720162" w14:textId="34304314" w:rsidR="00C314D3" w:rsidRPr="00E9279E" w:rsidRDefault="00C314D3" w:rsidP="00C314D3">
      <w:pPr>
        <w:pStyle w:val="ListBullet"/>
        <w:rPr>
          <w:lang w:eastAsia="en-AU"/>
        </w:rPr>
      </w:pPr>
      <w:r w:rsidRPr="00E9279E">
        <w:rPr>
          <w:lang w:eastAsia="en-AU"/>
        </w:rPr>
        <w:t xml:space="preserve">197 IDFS events observed among the 2498 patients in the Ki67 high population; n = 82 (6.5%) events in Arm A and n = 115 (9.3%) events in Arm </w:t>
      </w:r>
      <w:proofErr w:type="gramStart"/>
      <w:r w:rsidRPr="00E9279E">
        <w:rPr>
          <w:lang w:eastAsia="en-AU"/>
        </w:rPr>
        <w:t>B</w:t>
      </w:r>
      <w:r w:rsidR="006E5BF2" w:rsidRPr="00E9279E">
        <w:rPr>
          <w:lang w:eastAsia="en-AU"/>
        </w:rPr>
        <w:t>;</w:t>
      </w:r>
      <w:proofErr w:type="gramEnd"/>
    </w:p>
    <w:p w14:paraId="53ABFDD1" w14:textId="375E16E6" w:rsidR="00C314D3" w:rsidRPr="00E9279E" w:rsidRDefault="006E5BF2" w:rsidP="00C314D3">
      <w:pPr>
        <w:pStyle w:val="ListBullet"/>
      </w:pPr>
      <w:r w:rsidRPr="00E9279E">
        <w:t xml:space="preserve">hazard </w:t>
      </w:r>
      <w:r w:rsidR="00F56BF9" w:rsidRPr="00E9279E">
        <w:t>ratio</w:t>
      </w:r>
      <w:r w:rsidR="00C314D3" w:rsidRPr="00E9279E">
        <w:t xml:space="preserve"> for Arm A </w:t>
      </w:r>
      <w:r w:rsidR="00033AC2" w:rsidRPr="00E9279E">
        <w:t>versus</w:t>
      </w:r>
      <w:r w:rsidR="00C314D3" w:rsidRPr="00E9279E">
        <w:t xml:space="preserve"> Arm B = </w:t>
      </w:r>
      <w:r w:rsidR="00C314D3" w:rsidRPr="00E9279E">
        <w:rPr>
          <w:lang w:eastAsia="en-AU"/>
        </w:rPr>
        <w:t>0.691 (95% CI: 0.519, 0.920</w:t>
      </w:r>
      <w:proofErr w:type="gramStart"/>
      <w:r w:rsidR="00C314D3" w:rsidRPr="00E9279E">
        <w:rPr>
          <w:lang w:eastAsia="en-AU"/>
        </w:rPr>
        <w:t>)</w:t>
      </w:r>
      <w:r w:rsidRPr="00E9279E">
        <w:rPr>
          <w:lang w:eastAsia="en-AU"/>
        </w:rPr>
        <w:t>;</w:t>
      </w:r>
      <w:proofErr w:type="gramEnd"/>
    </w:p>
    <w:p w14:paraId="08352674" w14:textId="4C98A718" w:rsidR="00C314D3" w:rsidRPr="00E9279E" w:rsidRDefault="006E5BF2" w:rsidP="00C314D3">
      <w:pPr>
        <w:pStyle w:val="ListBullet"/>
      </w:pPr>
      <w:r w:rsidRPr="00E9279E">
        <w:t>two-year</w:t>
      </w:r>
      <w:r w:rsidR="00C314D3" w:rsidRPr="00E9279E">
        <w:t xml:space="preserve"> IDFS rate 91.6% (89.4%, 93.4%) </w:t>
      </w:r>
      <w:r w:rsidR="00033AC2" w:rsidRPr="00E9279E">
        <w:t>versus</w:t>
      </w:r>
      <w:r w:rsidR="00C314D3" w:rsidRPr="00E9279E">
        <w:t xml:space="preserve"> 87.1% (84.3%, 89.5%); difference 4.5% (95% CI: 1.2%, 7.7%</w:t>
      </w:r>
      <w:proofErr w:type="gramStart"/>
      <w:r w:rsidR="00C314D3" w:rsidRPr="00E9279E">
        <w:t>)</w:t>
      </w:r>
      <w:r w:rsidRPr="00E9279E">
        <w:t>;</w:t>
      </w:r>
      <w:proofErr w:type="gramEnd"/>
    </w:p>
    <w:p w14:paraId="7A10D65A" w14:textId="3F1BC897" w:rsidR="00C314D3" w:rsidRPr="00E9279E" w:rsidRDefault="006E5BF2" w:rsidP="00C314D3">
      <w:pPr>
        <w:pStyle w:val="ListBullet"/>
      </w:pPr>
      <w:r w:rsidRPr="00E9279E">
        <w:t>one-year</w:t>
      </w:r>
      <w:r w:rsidR="00C314D3" w:rsidRPr="00E9279E">
        <w:t xml:space="preserve"> IDFS 96.1% (94.9%, 97.1%) </w:t>
      </w:r>
      <w:r w:rsidR="00033AC2" w:rsidRPr="00E9279E">
        <w:t>versus</w:t>
      </w:r>
      <w:r w:rsidR="00C314D3" w:rsidRPr="00E9279E">
        <w:t xml:space="preserve"> 95.3% (94.0%, 96.4%); difference 0.8 % (95% CI: -0.8%, 2.4%)</w:t>
      </w:r>
      <w:r w:rsidRPr="00E9279E">
        <w:t>.</w:t>
      </w:r>
    </w:p>
    <w:p w14:paraId="72FC2CF5" w14:textId="384E86A6" w:rsidR="00C314D3" w:rsidRPr="00E9279E" w:rsidRDefault="00C314D3" w:rsidP="00F86A77">
      <w:pPr>
        <w:pStyle w:val="FigureTitle"/>
      </w:pPr>
      <w:bookmarkStart w:id="65" w:name="_Toc81654575"/>
      <w:r w:rsidRPr="00E9279E">
        <w:t xml:space="preserve">Figure </w:t>
      </w:r>
      <w:r w:rsidR="000C44E7">
        <w:fldChar w:fldCharType="begin"/>
      </w:r>
      <w:r w:rsidR="000C44E7">
        <w:instrText xml:space="preserve"> SEQ Figure \* ARABIC </w:instrText>
      </w:r>
      <w:r w:rsidR="000C44E7">
        <w:fldChar w:fldCharType="separate"/>
      </w:r>
      <w:r w:rsidR="00E9279E">
        <w:rPr>
          <w:noProof/>
        </w:rPr>
        <w:t>5</w:t>
      </w:r>
      <w:r w:rsidR="000C44E7">
        <w:rPr>
          <w:noProof/>
        </w:rPr>
        <w:fldChar w:fldCharType="end"/>
      </w:r>
      <w:r w:rsidRPr="00E9279E">
        <w:t xml:space="preserve">: </w:t>
      </w:r>
      <w:r w:rsidR="0086249E" w:rsidRPr="00E9279E">
        <w:t xml:space="preserve">Study I3Y-MC-JPCF </w:t>
      </w:r>
      <w:r w:rsidR="007427C3" w:rsidRPr="00E9279E">
        <w:t>(</w:t>
      </w:r>
      <w:r w:rsidR="001B7C07" w:rsidRPr="00E9279E">
        <w:t xml:space="preserve">MONARCHE </w:t>
      </w:r>
      <w:r w:rsidR="007427C3" w:rsidRPr="00E9279E">
        <w:t xml:space="preserve">trial) </w:t>
      </w:r>
      <w:r w:rsidRPr="00E9279E">
        <w:t xml:space="preserve">Kaplan-Meier plot of </w:t>
      </w:r>
      <w:r w:rsidR="00EA612F" w:rsidRPr="00E9279E">
        <w:t>i</w:t>
      </w:r>
      <w:r w:rsidR="009B5BCF" w:rsidRPr="00E9279E">
        <w:t>nvasive disease-free survival</w:t>
      </w:r>
      <w:r w:rsidRPr="00E9279E">
        <w:t xml:space="preserve"> by </w:t>
      </w:r>
      <w:r w:rsidR="006E5BF2" w:rsidRPr="00E9279E">
        <w:t xml:space="preserve">investigator </w:t>
      </w:r>
      <w:r w:rsidRPr="00E9279E">
        <w:t>assessment in Ki</w:t>
      </w:r>
      <w:r w:rsidR="007427C3" w:rsidRPr="00E9279E">
        <w:t>-</w:t>
      </w:r>
      <w:r w:rsidRPr="00E9279E">
        <w:t xml:space="preserve">67 </w:t>
      </w:r>
      <w:r w:rsidR="00EA612F" w:rsidRPr="00E9279E">
        <w:t xml:space="preserve">high </w:t>
      </w:r>
      <w:r w:rsidRPr="00E9279E">
        <w:t xml:space="preserve">population at final </w:t>
      </w:r>
      <w:r w:rsidR="009B5BCF" w:rsidRPr="00E9279E">
        <w:t>Invasive disease-free survival</w:t>
      </w:r>
      <w:r w:rsidRPr="00E9279E">
        <w:t xml:space="preserve"> analysis</w:t>
      </w:r>
      <w:bookmarkEnd w:id="65"/>
    </w:p>
    <w:p w14:paraId="4F55B35B" w14:textId="77777777" w:rsidR="00C314D3" w:rsidRPr="00E9279E" w:rsidRDefault="00C314D3" w:rsidP="00F86A77">
      <w:r w:rsidRPr="00E9279E">
        <w:rPr>
          <w:noProof/>
          <w:lang w:val="en-GB" w:eastAsia="en-GB"/>
        </w:rPr>
        <w:drawing>
          <wp:inline distT="0" distB="0" distL="0" distR="0" wp14:anchorId="7120F67B" wp14:editId="0F917C0C">
            <wp:extent cx="5188527" cy="2954999"/>
            <wp:effectExtent l="0" t="0" r="0" b="0"/>
            <wp:docPr id="122" name="Picture 122" descr="Figure 5: Study I3Y-MC-JPCF (MONARCHE trial) Kaplan Meier plot of invasive disease free survival by investigator assessment in Ki-67 high population at final Invasive disease free surviv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Figure 5: Study I3Y-MC-JPCF (MONARCHE trial) Kaplan Meier plot of invasive disease free survival by investigator assessment in Ki-67 high population at final Invasive disease free survival analysis"/>
                    <pic:cNvPicPr/>
                  </pic:nvPicPr>
                  <pic:blipFill>
                    <a:blip r:embed="rId22"/>
                    <a:stretch>
                      <a:fillRect/>
                    </a:stretch>
                  </pic:blipFill>
                  <pic:spPr>
                    <a:xfrm>
                      <a:off x="0" y="0"/>
                      <a:ext cx="5198812" cy="2960857"/>
                    </a:xfrm>
                    <a:prstGeom prst="rect">
                      <a:avLst/>
                    </a:prstGeom>
                  </pic:spPr>
                </pic:pic>
              </a:graphicData>
            </a:graphic>
          </wp:inline>
        </w:drawing>
      </w:r>
    </w:p>
    <w:p w14:paraId="7E21A0D6" w14:textId="045B017E" w:rsidR="004F1366" w:rsidRPr="00E9279E" w:rsidRDefault="00C314D3" w:rsidP="00F86A77">
      <w:pPr>
        <w:pStyle w:val="FigureDescription"/>
      </w:pPr>
      <w:r w:rsidRPr="00E9279E">
        <w:t>Abbreviations: # = number of; CI = confidence interval; ET = endocrine therapy; HR = hazard ratio.</w:t>
      </w:r>
    </w:p>
    <w:p w14:paraId="25CE89BE" w14:textId="7BC70489" w:rsidR="00C314D3" w:rsidRPr="00E9279E" w:rsidRDefault="00C314D3" w:rsidP="00F86A77">
      <w:pPr>
        <w:pStyle w:val="FigureDescription"/>
      </w:pPr>
      <w:r w:rsidRPr="00E9279E">
        <w:t>Data cut-off</w:t>
      </w:r>
      <w:r w:rsidR="00BC618B" w:rsidRPr="00E9279E">
        <w:t xml:space="preserve"> date</w:t>
      </w:r>
      <w:r w:rsidRPr="00E9279E">
        <w:t>: 8 July 2020.</w:t>
      </w:r>
    </w:p>
    <w:p w14:paraId="7F871623" w14:textId="53E07D97" w:rsidR="00C314D3" w:rsidRPr="00E9279E" w:rsidRDefault="009B5BCF" w:rsidP="00C314D3">
      <w:pPr>
        <w:pStyle w:val="Heading6"/>
      </w:pPr>
      <w:r w:rsidRPr="00E9279E">
        <w:t>Invasive disease-free survival</w:t>
      </w:r>
      <w:r w:rsidR="00C314D3" w:rsidRPr="00E9279E">
        <w:t xml:space="preserve"> in Cohort 1</w:t>
      </w:r>
      <w:r w:rsidR="00EA612F" w:rsidRPr="00E9279E">
        <w:t xml:space="preserve"> </w:t>
      </w:r>
      <w:r w:rsidR="00C314D3" w:rsidRPr="00E9279E">
        <w:t>Ki</w:t>
      </w:r>
      <w:r w:rsidR="007427C3" w:rsidRPr="00E9279E">
        <w:t>-</w:t>
      </w:r>
      <w:r w:rsidR="00C314D3" w:rsidRPr="00E9279E">
        <w:t>67 high population</w:t>
      </w:r>
    </w:p>
    <w:p w14:paraId="7C692DEE" w14:textId="5156BF62" w:rsidR="00C314D3" w:rsidRPr="00E9279E" w:rsidRDefault="00C314D3" w:rsidP="00C314D3">
      <w:bookmarkStart w:id="66" w:name="_Toc81654576"/>
      <w:r w:rsidRPr="00E9279E">
        <w:t>At the final analysis, the findings for the Cohort 1</w:t>
      </w:r>
      <w:r w:rsidR="00EA612F" w:rsidRPr="00E9279E">
        <w:t xml:space="preserve"> </w:t>
      </w:r>
      <w:r w:rsidRPr="00E9279E">
        <w:t>Ki-67 high population were:</w:t>
      </w:r>
    </w:p>
    <w:p w14:paraId="6A13EEFB" w14:textId="7925CD78" w:rsidR="00C314D3" w:rsidRPr="00E9279E" w:rsidRDefault="00C314D3" w:rsidP="00C314D3">
      <w:pPr>
        <w:pStyle w:val="ListBullet"/>
        <w:rPr>
          <w:lang w:eastAsia="en-AU"/>
        </w:rPr>
      </w:pPr>
      <w:r w:rsidRPr="00E9279E">
        <w:rPr>
          <w:lang w:eastAsia="en-AU"/>
        </w:rPr>
        <w:t>177 IDFS events observed among the 2003 patients in the Cohort 1</w:t>
      </w:r>
      <w:r w:rsidR="00EA612F" w:rsidRPr="00E9279E">
        <w:rPr>
          <w:lang w:eastAsia="en-AU"/>
        </w:rPr>
        <w:t xml:space="preserve"> </w:t>
      </w:r>
      <w:r w:rsidR="002F37A9" w:rsidRPr="00E9279E">
        <w:rPr>
          <w:lang w:eastAsia="en-AU"/>
        </w:rPr>
        <w:t>Ki67 high</w:t>
      </w:r>
      <w:r w:rsidRPr="00E9279E">
        <w:rPr>
          <w:lang w:eastAsia="en-AU"/>
        </w:rPr>
        <w:t xml:space="preserve"> population; n = 71 (7.0%) events in Arm A and n = 106 (10.8%) events in Arm </w:t>
      </w:r>
      <w:proofErr w:type="gramStart"/>
      <w:r w:rsidRPr="00E9279E">
        <w:rPr>
          <w:lang w:eastAsia="en-AU"/>
        </w:rPr>
        <w:t>B</w:t>
      </w:r>
      <w:r w:rsidR="00EA612F" w:rsidRPr="00E9279E">
        <w:rPr>
          <w:lang w:eastAsia="en-AU"/>
        </w:rPr>
        <w:t>;</w:t>
      </w:r>
      <w:proofErr w:type="gramEnd"/>
    </w:p>
    <w:p w14:paraId="19C40634" w14:textId="10DA4149" w:rsidR="00C314D3" w:rsidRPr="00E9279E" w:rsidRDefault="00EA612F" w:rsidP="00C314D3">
      <w:pPr>
        <w:pStyle w:val="ListBullet"/>
      </w:pPr>
      <w:r w:rsidRPr="00E9279E">
        <w:t>h</w:t>
      </w:r>
      <w:r w:rsidR="00F56BF9" w:rsidRPr="00E9279E">
        <w:t>azard ratio</w:t>
      </w:r>
      <w:r w:rsidR="00C314D3" w:rsidRPr="00E9279E">
        <w:t xml:space="preserve"> for Arm A </w:t>
      </w:r>
      <w:r w:rsidR="00033AC2" w:rsidRPr="00E9279E">
        <w:t>versus</w:t>
      </w:r>
      <w:r w:rsidR="00C314D3" w:rsidRPr="00E9279E">
        <w:t xml:space="preserve"> Arm B = </w:t>
      </w:r>
      <w:r w:rsidR="00C314D3" w:rsidRPr="00E9279E">
        <w:rPr>
          <w:lang w:eastAsia="en-AU"/>
        </w:rPr>
        <w:t>0.643 (95% CI: 0.475, 0.872</w:t>
      </w:r>
      <w:proofErr w:type="gramStart"/>
      <w:r w:rsidR="00C314D3" w:rsidRPr="00E9279E">
        <w:rPr>
          <w:lang w:eastAsia="en-AU"/>
        </w:rPr>
        <w:t>)</w:t>
      </w:r>
      <w:r w:rsidRPr="00E9279E">
        <w:rPr>
          <w:lang w:eastAsia="en-AU"/>
        </w:rPr>
        <w:t>;</w:t>
      </w:r>
      <w:proofErr w:type="gramEnd"/>
    </w:p>
    <w:p w14:paraId="102EA567" w14:textId="1AB0C693" w:rsidR="00C314D3" w:rsidRPr="00E9279E" w:rsidRDefault="00EA612F" w:rsidP="00C314D3">
      <w:pPr>
        <w:pStyle w:val="ListBullet"/>
      </w:pPr>
      <w:r w:rsidRPr="00E9279E">
        <w:t>two</w:t>
      </w:r>
      <w:r w:rsidR="00C314D3" w:rsidRPr="00E9279E">
        <w:t xml:space="preserve">-year IDFS rate 91.3% (88.9%, 93.2%) </w:t>
      </w:r>
      <w:r w:rsidR="00033AC2" w:rsidRPr="00E9279E">
        <w:t>versus</w:t>
      </w:r>
      <w:r w:rsidR="00C314D3" w:rsidRPr="00E9279E">
        <w:t xml:space="preserve"> 86.1% (83.1%, 88.7%); difference 5.2% (95% CI: 1.6%, 8.7%</w:t>
      </w:r>
      <w:proofErr w:type="gramStart"/>
      <w:r w:rsidR="00C314D3" w:rsidRPr="00E9279E">
        <w:t>)</w:t>
      </w:r>
      <w:r w:rsidRPr="00E9279E">
        <w:t>;</w:t>
      </w:r>
      <w:proofErr w:type="gramEnd"/>
    </w:p>
    <w:p w14:paraId="688C0FD8" w14:textId="78CEF100" w:rsidR="00C314D3" w:rsidRPr="00E9279E" w:rsidRDefault="00EA612F" w:rsidP="00C314D3">
      <w:pPr>
        <w:pStyle w:val="ListBullet"/>
      </w:pPr>
      <w:r w:rsidRPr="00E9279E">
        <w:lastRenderedPageBreak/>
        <w:t>one</w:t>
      </w:r>
      <w:r w:rsidR="00C314D3" w:rsidRPr="00E9279E">
        <w:t xml:space="preserve">-year IDFS 96.0% (94.6%, 97.1%) </w:t>
      </w:r>
      <w:r w:rsidR="00033AC2" w:rsidRPr="00E9279E">
        <w:t>versus</w:t>
      </w:r>
      <w:r w:rsidR="00C314D3" w:rsidRPr="00E9279E">
        <w:t xml:space="preserve"> 94.4% (92.7%, 95.7%); difference 1.6% (95% CI: -0.3%, 3.5%</w:t>
      </w:r>
      <w:r w:rsidRPr="00E9279E">
        <w:t>).</w:t>
      </w:r>
    </w:p>
    <w:p w14:paraId="6048D0D8" w14:textId="2F0B42F6" w:rsidR="00C314D3" w:rsidRPr="00E9279E" w:rsidRDefault="00C314D3" w:rsidP="00F86A77">
      <w:pPr>
        <w:pStyle w:val="FigureTitle"/>
      </w:pPr>
      <w:r w:rsidRPr="00E9279E">
        <w:t xml:space="preserve">Figure </w:t>
      </w:r>
      <w:r w:rsidR="000C44E7">
        <w:fldChar w:fldCharType="begin"/>
      </w:r>
      <w:r w:rsidR="000C44E7">
        <w:instrText xml:space="preserve"> SEQ Figure \* ARABIC </w:instrText>
      </w:r>
      <w:r w:rsidR="000C44E7">
        <w:fldChar w:fldCharType="separate"/>
      </w:r>
      <w:r w:rsidR="00E9279E">
        <w:rPr>
          <w:noProof/>
        </w:rPr>
        <w:t>6</w:t>
      </w:r>
      <w:r w:rsidR="000C44E7">
        <w:rPr>
          <w:noProof/>
        </w:rPr>
        <w:fldChar w:fldCharType="end"/>
      </w:r>
      <w:r w:rsidRPr="00E9279E">
        <w:t xml:space="preserve">: </w:t>
      </w:r>
      <w:r w:rsidR="0086249E" w:rsidRPr="00E9279E">
        <w:t xml:space="preserve">Study I3Y-MC-JPCF </w:t>
      </w:r>
      <w:r w:rsidR="007427C3" w:rsidRPr="00E9279E">
        <w:t>(</w:t>
      </w:r>
      <w:r w:rsidR="001B7C07" w:rsidRPr="00E9279E">
        <w:t xml:space="preserve">MONARCHE </w:t>
      </w:r>
      <w:r w:rsidR="007427C3" w:rsidRPr="00E9279E">
        <w:t xml:space="preserve">trial) </w:t>
      </w:r>
      <w:r w:rsidRPr="00E9279E">
        <w:t xml:space="preserve">Kaplan-Meier plot of </w:t>
      </w:r>
      <w:r w:rsidR="006D2BFB" w:rsidRPr="00E9279E">
        <w:t>i</w:t>
      </w:r>
      <w:r w:rsidR="009B5BCF" w:rsidRPr="00E9279E">
        <w:t>nvasive disease-free survival</w:t>
      </w:r>
      <w:r w:rsidRPr="00E9279E">
        <w:t xml:space="preserve"> by </w:t>
      </w:r>
      <w:r w:rsidR="00EA612F" w:rsidRPr="00E9279E">
        <w:t xml:space="preserve">investigator assessment in </w:t>
      </w:r>
      <w:r w:rsidRPr="00E9279E">
        <w:t>C</w:t>
      </w:r>
      <w:r w:rsidR="00EA612F" w:rsidRPr="00E9279E">
        <w:t xml:space="preserve">ohort </w:t>
      </w:r>
      <w:r w:rsidRPr="00E9279E">
        <w:t>1</w:t>
      </w:r>
      <w:r w:rsidR="00EA612F" w:rsidRPr="00E9279E">
        <w:t xml:space="preserve"> </w:t>
      </w:r>
      <w:r w:rsidRPr="00E9279E">
        <w:t>Ki</w:t>
      </w:r>
      <w:r w:rsidR="007427C3" w:rsidRPr="00E9279E">
        <w:t>-</w:t>
      </w:r>
      <w:r w:rsidRPr="00E9279E">
        <w:t>67</w:t>
      </w:r>
      <w:r w:rsidR="00EA612F" w:rsidRPr="00E9279E">
        <w:t xml:space="preserve"> high</w:t>
      </w:r>
      <w:r w:rsidRPr="00E9279E">
        <w:t xml:space="preserve"> population at final </w:t>
      </w:r>
      <w:r w:rsidR="00EA612F" w:rsidRPr="00E9279E">
        <w:t>invasive disease-free survival analysis</w:t>
      </w:r>
      <w:bookmarkEnd w:id="66"/>
    </w:p>
    <w:p w14:paraId="6480E694" w14:textId="77777777" w:rsidR="00C314D3" w:rsidRPr="00E9279E" w:rsidRDefault="00C314D3" w:rsidP="00F86A77">
      <w:r w:rsidRPr="00E9279E">
        <w:rPr>
          <w:noProof/>
          <w:lang w:val="en-GB" w:eastAsia="en-GB"/>
        </w:rPr>
        <w:drawing>
          <wp:inline distT="0" distB="0" distL="0" distR="0" wp14:anchorId="4FC690BB" wp14:editId="7B1B4AAE">
            <wp:extent cx="5209309" cy="2748280"/>
            <wp:effectExtent l="0" t="0" r="0" b="0"/>
            <wp:docPr id="124" name="Picture 124" descr="Figure 6: Study I3Y-MC-JPCF (MONARCHE trial) Kaplan Meier plot of invasive disease-free survival by investigator assessment in Cohort 1 Ki-67 high population at final invasive disease free surviv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Figure 6: Study I3Y-MC-JPCF (MONARCHE trial) Kaplan Meier plot of invasive disease-free survival by investigator assessment in Cohort 1 Ki-67 high population at final invasive disease free survival analysis"/>
                    <pic:cNvPicPr/>
                  </pic:nvPicPr>
                  <pic:blipFill>
                    <a:blip r:embed="rId23"/>
                    <a:stretch>
                      <a:fillRect/>
                    </a:stretch>
                  </pic:blipFill>
                  <pic:spPr>
                    <a:xfrm>
                      <a:off x="0" y="0"/>
                      <a:ext cx="5286141" cy="2788814"/>
                    </a:xfrm>
                    <a:prstGeom prst="rect">
                      <a:avLst/>
                    </a:prstGeom>
                  </pic:spPr>
                </pic:pic>
              </a:graphicData>
            </a:graphic>
          </wp:inline>
        </w:drawing>
      </w:r>
    </w:p>
    <w:p w14:paraId="76A2A89A" w14:textId="3A4F8EA7" w:rsidR="004F1366" w:rsidRPr="00E9279E" w:rsidRDefault="00C314D3" w:rsidP="00F86A77">
      <w:pPr>
        <w:pStyle w:val="FigureDescription"/>
      </w:pPr>
      <w:r w:rsidRPr="00E9279E">
        <w:t>Abbreviations: # = number of; CI = confidence interval; ET = endocrine therapy; HR = hazard ratio.</w:t>
      </w:r>
    </w:p>
    <w:p w14:paraId="401A9C20" w14:textId="349C73B5" w:rsidR="00C314D3" w:rsidRPr="00E9279E" w:rsidRDefault="00C314D3" w:rsidP="00F86A77">
      <w:pPr>
        <w:pStyle w:val="FigureDescription"/>
      </w:pPr>
      <w:r w:rsidRPr="00E9279E">
        <w:t>Data cut-off</w:t>
      </w:r>
      <w:r w:rsidR="00BC618B" w:rsidRPr="00E9279E">
        <w:t xml:space="preserve"> date</w:t>
      </w:r>
      <w:r w:rsidRPr="00E9279E">
        <w:t>: 8 July 2020.</w:t>
      </w:r>
    </w:p>
    <w:p w14:paraId="57E441BA" w14:textId="11072476" w:rsidR="00C314D3" w:rsidRPr="00E9279E" w:rsidRDefault="009B5BCF" w:rsidP="005A2C95">
      <w:pPr>
        <w:pStyle w:val="Heading6"/>
      </w:pPr>
      <w:r w:rsidRPr="00E9279E">
        <w:t>Overall survival</w:t>
      </w:r>
    </w:p>
    <w:p w14:paraId="6ABA6F0F" w14:textId="7CBB899B" w:rsidR="00C314D3" w:rsidRPr="00E9279E" w:rsidRDefault="009B5BCF" w:rsidP="005A2C95">
      <w:r w:rsidRPr="00E9279E">
        <w:t>Overall survival (</w:t>
      </w:r>
      <w:r w:rsidR="00C314D3" w:rsidRPr="00E9279E">
        <w:t>OS</w:t>
      </w:r>
      <w:r w:rsidRPr="00E9279E">
        <w:t>)</w:t>
      </w:r>
      <w:r w:rsidR="00C314D3" w:rsidRPr="00E9279E">
        <w:t xml:space="preserve"> in the ITT population was planned to be tested after IDFS in the ITT, </w:t>
      </w:r>
      <w:r w:rsidR="002F37A9" w:rsidRPr="00E9279E">
        <w:t>Ki</w:t>
      </w:r>
      <w:r w:rsidR="002530FC" w:rsidRPr="00E9279E">
        <w:t>-</w:t>
      </w:r>
      <w:r w:rsidR="002F37A9" w:rsidRPr="00E9279E">
        <w:t>67 high</w:t>
      </w:r>
      <w:r w:rsidR="00C314D3" w:rsidRPr="00E9279E">
        <w:t xml:space="preserve">, and </w:t>
      </w:r>
      <w:r w:rsidR="00CB6359" w:rsidRPr="00E9279E">
        <w:rPr>
          <w:lang w:eastAsia="en-AU"/>
        </w:rPr>
        <w:t>Cohort 1</w:t>
      </w:r>
      <w:r w:rsidR="00EA612F" w:rsidRPr="00E9279E">
        <w:t xml:space="preserve"> </w:t>
      </w:r>
      <w:r w:rsidR="002F37A9" w:rsidRPr="00E9279E">
        <w:t>Ki</w:t>
      </w:r>
      <w:r w:rsidR="002530FC" w:rsidRPr="00E9279E">
        <w:t>-</w:t>
      </w:r>
      <w:r w:rsidR="002F37A9" w:rsidRPr="00E9279E">
        <w:t>67 high</w:t>
      </w:r>
      <w:r w:rsidR="00C314D3" w:rsidRPr="00E9279E">
        <w:t xml:space="preserve"> populations were all statistically significant. At the final IDFS analysis, the OS data were immature. There were 106 deaths (1.9%) in the ITT population (n = 55 </w:t>
      </w:r>
      <w:r w:rsidR="00033AC2" w:rsidRPr="00E9279E">
        <w:t>(</w:t>
      </w:r>
      <w:r w:rsidR="00C314D3" w:rsidRPr="00E9279E">
        <w:t xml:space="preserve">2.0%) Arm A, n = 51 </w:t>
      </w:r>
      <w:r w:rsidR="00033AC2" w:rsidRPr="00E9279E">
        <w:t>(</w:t>
      </w:r>
      <w:r w:rsidR="00C314D3" w:rsidRPr="00E9279E">
        <w:t>1.8%</w:t>
      </w:r>
      <w:r w:rsidR="00033AC2" w:rsidRPr="00E9279E">
        <w:t>)</w:t>
      </w:r>
      <w:r w:rsidR="00C314D3" w:rsidRPr="00E9279E">
        <w:t xml:space="preserve"> Arm B); estimated OS </w:t>
      </w:r>
      <w:r w:rsidR="00D0041E" w:rsidRPr="00E9279E">
        <w:t>hazard ratio</w:t>
      </w:r>
      <w:r w:rsidR="00C314D3" w:rsidRPr="00E9279E">
        <w:t xml:space="preserve"> was 1.093 (95% CI: 0.746, 1.600).</w:t>
      </w:r>
    </w:p>
    <w:p w14:paraId="0D438146" w14:textId="724DE046" w:rsidR="00C314D3" w:rsidRPr="00E9279E" w:rsidRDefault="009B5BCF" w:rsidP="005A2C95">
      <w:pPr>
        <w:pStyle w:val="Heading6"/>
      </w:pPr>
      <w:r w:rsidRPr="00E9279E">
        <w:t xml:space="preserve">Distant </w:t>
      </w:r>
      <w:r w:rsidR="006B4139" w:rsidRPr="00E9279E">
        <w:t>recurrence</w:t>
      </w:r>
      <w:r w:rsidRPr="00E9279E">
        <w:t>-free survival</w:t>
      </w:r>
    </w:p>
    <w:p w14:paraId="71C30057" w14:textId="400138EA" w:rsidR="00C314D3" w:rsidRPr="00E9279E" w:rsidRDefault="009B5BCF" w:rsidP="005A2C95">
      <w:r w:rsidRPr="00E9279E">
        <w:t xml:space="preserve">Distant </w:t>
      </w:r>
      <w:r w:rsidR="006B4139" w:rsidRPr="00E9279E">
        <w:t>recurrence</w:t>
      </w:r>
      <w:r w:rsidRPr="00E9279E">
        <w:t>-free survival (</w:t>
      </w:r>
      <w:r w:rsidR="00C314D3" w:rsidRPr="00E9279E">
        <w:t>DRFS</w:t>
      </w:r>
      <w:r w:rsidRPr="00E9279E">
        <w:t>)</w:t>
      </w:r>
      <w:r w:rsidR="00C314D3" w:rsidRPr="00E9279E">
        <w:t xml:space="preserve"> was not Type</w:t>
      </w:r>
      <w:r w:rsidR="00EA612F" w:rsidRPr="00E9279E">
        <w:t xml:space="preserve"> </w:t>
      </w:r>
      <w:r w:rsidR="00C314D3" w:rsidRPr="00E9279E">
        <w:t xml:space="preserve">I error controlled. At the final IDFS analysis there were 324 DRFS events observed; n = 131 (4.7%) Arm A, n = 193 (6.8%) Arm B; estimated </w:t>
      </w:r>
      <w:r w:rsidR="00D0041E" w:rsidRPr="00E9279E">
        <w:t>hazard ratio</w:t>
      </w:r>
      <w:r w:rsidR="00C314D3" w:rsidRPr="00E9279E">
        <w:t xml:space="preserve"> </w:t>
      </w:r>
      <w:r w:rsidR="00D0041E" w:rsidRPr="00E9279E">
        <w:t>was</w:t>
      </w:r>
      <w:r w:rsidR="00C314D3" w:rsidRPr="00E9279E">
        <w:t xml:space="preserve"> 0.687</w:t>
      </w:r>
      <w:r w:rsidR="00D0041E" w:rsidRPr="00E9279E">
        <w:t xml:space="preserve"> (</w:t>
      </w:r>
      <w:r w:rsidR="00C314D3" w:rsidRPr="00E9279E">
        <w:t>95% CI: 0.551, 0.858) with 3.0% difference in 2</w:t>
      </w:r>
      <w:r w:rsidR="002530FC" w:rsidRPr="00E9279E">
        <w:noBreakHyphen/>
      </w:r>
      <w:r w:rsidR="00C314D3" w:rsidRPr="00E9279E">
        <w:t xml:space="preserve">year DRFS rates (93.8% </w:t>
      </w:r>
      <w:r w:rsidR="00033AC2" w:rsidRPr="00E9279E">
        <w:t>versus</w:t>
      </w:r>
      <w:r w:rsidR="00C314D3" w:rsidRPr="00E9279E">
        <w:t xml:space="preserve"> 90.8%).</w:t>
      </w:r>
    </w:p>
    <w:p w14:paraId="60F1065C" w14:textId="1E83D56B" w:rsidR="00C314D3" w:rsidRPr="00E9279E" w:rsidRDefault="009B5BCF" w:rsidP="005A2C95">
      <w:pPr>
        <w:pStyle w:val="Heading6"/>
      </w:pPr>
      <w:r w:rsidRPr="00E9279E">
        <w:t>Patient-reported outcomes</w:t>
      </w:r>
    </w:p>
    <w:p w14:paraId="198DE1E6" w14:textId="2B579EC8" w:rsidR="00C314D3" w:rsidRPr="00E9279E" w:rsidRDefault="009B5BCF" w:rsidP="005A2C95">
      <w:r w:rsidRPr="00E9279E">
        <w:t xml:space="preserve">Patient-reported outcome </w:t>
      </w:r>
      <w:r w:rsidR="00C314D3" w:rsidRPr="00E9279E">
        <w:t xml:space="preserve">assessments were conducted at </w:t>
      </w:r>
      <w:r w:rsidR="006B5FFA" w:rsidRPr="00E9279E">
        <w:t>Baseline</w:t>
      </w:r>
      <w:r w:rsidR="00C314D3" w:rsidRPr="00E9279E">
        <w:t xml:space="preserve"> and </w:t>
      </w:r>
      <w:proofErr w:type="gramStart"/>
      <w:r w:rsidR="00C314D3" w:rsidRPr="00E9279E">
        <w:t>3, 6, 12, and 18</w:t>
      </w:r>
      <w:r w:rsidR="00EA612F" w:rsidRPr="00E9279E">
        <w:t> </w:t>
      </w:r>
      <w:r w:rsidR="00C314D3" w:rsidRPr="00E9279E">
        <w:t>months</w:t>
      </w:r>
      <w:proofErr w:type="gramEnd"/>
      <w:r w:rsidR="00C314D3" w:rsidRPr="00E9279E">
        <w:t xml:space="preserve"> post-</w:t>
      </w:r>
      <w:r w:rsidR="006B5FFA" w:rsidRPr="00E9279E">
        <w:t>Baseline</w:t>
      </w:r>
      <w:r w:rsidR="00C314D3" w:rsidRPr="00E9279E">
        <w:t xml:space="preserve"> were generally similar between treatment arms. The main difference between treatment arms was in the </w:t>
      </w:r>
      <w:r w:rsidR="002F37A9" w:rsidRPr="00E9279E">
        <w:t>Functional Assessment of Cancer Therapy Endocrine Subscale</w:t>
      </w:r>
      <w:r w:rsidR="000C6D2E" w:rsidRPr="00E9279E">
        <w:t>;</w:t>
      </w:r>
      <w:r w:rsidR="000C6D2E" w:rsidRPr="00E9279E">
        <w:rPr>
          <w:rStyle w:val="FootnoteReference"/>
        </w:rPr>
        <w:footnoteReference w:id="31"/>
      </w:r>
      <w:r w:rsidR="002F37A9" w:rsidRPr="00E9279E">
        <w:t xml:space="preserve"> </w:t>
      </w:r>
      <w:r w:rsidR="00C314D3" w:rsidRPr="00E9279E">
        <w:t>item relating to diarrhoea. The within-group mean change from baseline difference between Arms A and B was greatest at Month</w:t>
      </w:r>
      <w:r w:rsidR="00EA612F" w:rsidRPr="00E9279E">
        <w:t> </w:t>
      </w:r>
      <w:r w:rsidR="00C314D3" w:rsidRPr="00E9279E">
        <w:t>3 (1.18) and lowest at Month</w:t>
      </w:r>
      <w:r w:rsidR="003B53F8" w:rsidRPr="00E9279E">
        <w:t> </w:t>
      </w:r>
      <w:r w:rsidR="00C314D3" w:rsidRPr="00E9279E">
        <w:t>18 (0.86).</w:t>
      </w:r>
    </w:p>
    <w:p w14:paraId="731FEC4C" w14:textId="40521D4F" w:rsidR="00C314D3" w:rsidRPr="00E9279E" w:rsidRDefault="00C314D3" w:rsidP="005A2C95">
      <w:pPr>
        <w:pStyle w:val="Heading5"/>
      </w:pPr>
      <w:r w:rsidRPr="00E9279E">
        <w:lastRenderedPageBreak/>
        <w:t>Exploratory analyses of Cohort 1 with Ki</w:t>
      </w:r>
      <w:r w:rsidR="002530FC" w:rsidRPr="00E9279E">
        <w:t>-</w:t>
      </w:r>
      <w:r w:rsidRPr="00E9279E">
        <w:t>67 low and Cohort 2 population</w:t>
      </w:r>
    </w:p>
    <w:p w14:paraId="2AB92535" w14:textId="09E62E13" w:rsidR="00C314D3" w:rsidRPr="00E9279E" w:rsidRDefault="00C314D3" w:rsidP="005A2C95">
      <w:r w:rsidRPr="00E9279E">
        <w:t>Analyses of IDFS results for Cohort 1 with Ki</w:t>
      </w:r>
      <w:r w:rsidR="002530FC" w:rsidRPr="00E9279E">
        <w:t>-</w:t>
      </w:r>
      <w:r w:rsidRPr="00E9279E">
        <w:t xml:space="preserve">67 low (index </w:t>
      </w:r>
      <w:r w:rsidR="0088412E" w:rsidRPr="00E9279E">
        <w:t>less than</w:t>
      </w:r>
      <w:r w:rsidR="002F1A84" w:rsidRPr="00E9279E">
        <w:t xml:space="preserve"> </w:t>
      </w:r>
      <w:r w:rsidRPr="00E9279E">
        <w:t>20%) tumours, and Cohort</w:t>
      </w:r>
      <w:r w:rsidR="00EA612F" w:rsidRPr="00E9279E">
        <w:t> </w:t>
      </w:r>
      <w:r w:rsidRPr="00E9279E">
        <w:t>2 are from the final IDFS analysis report.</w:t>
      </w:r>
    </w:p>
    <w:p w14:paraId="1BD53700" w14:textId="69D1AB67" w:rsidR="00C314D3" w:rsidRPr="00E9279E" w:rsidRDefault="00C314D3" w:rsidP="005A2C95">
      <w:r w:rsidRPr="00E9279E">
        <w:t>Cohort 1</w:t>
      </w:r>
      <w:r w:rsidR="00EA612F" w:rsidRPr="00E9279E">
        <w:t xml:space="preserve"> </w:t>
      </w:r>
      <w:r w:rsidRPr="00E9279E">
        <w:t>Ki</w:t>
      </w:r>
      <w:r w:rsidR="002530FC" w:rsidRPr="00E9279E">
        <w:t>-</w:t>
      </w:r>
      <w:r w:rsidRPr="00E9279E">
        <w:t>67 low population (n</w:t>
      </w:r>
      <w:r w:rsidR="00E93113" w:rsidRPr="00E9279E">
        <w:t xml:space="preserve"> </w:t>
      </w:r>
      <w:r w:rsidRPr="00E9279E">
        <w:t>= 946 Arm A, n</w:t>
      </w:r>
      <w:r w:rsidR="00E93113" w:rsidRPr="00E9279E">
        <w:t xml:space="preserve"> </w:t>
      </w:r>
      <w:r w:rsidRPr="00E9279E">
        <w:t>= 968 Arm B)</w:t>
      </w:r>
    </w:p>
    <w:p w14:paraId="5DABBF2F" w14:textId="09F12EB2" w:rsidR="00C314D3" w:rsidRPr="00E9279E" w:rsidRDefault="00AD7BAF" w:rsidP="005A2C95">
      <w:pPr>
        <w:pStyle w:val="ListBullet"/>
      </w:pPr>
      <w:r w:rsidRPr="00E9279E">
        <w:t>Invasive disease-free survival</w:t>
      </w:r>
      <w:r w:rsidR="00C314D3" w:rsidRPr="00E9279E">
        <w:t xml:space="preserve">: 43 events (4.5%) Arm A </w:t>
      </w:r>
      <w:r w:rsidR="00033AC2" w:rsidRPr="00E9279E">
        <w:t>versus</w:t>
      </w:r>
      <w:r w:rsidR="00C314D3" w:rsidRPr="00E9279E">
        <w:t xml:space="preserve"> 63 events (6.5%) Arm</w:t>
      </w:r>
      <w:r w:rsidR="002530FC" w:rsidRPr="00E9279E">
        <w:t> </w:t>
      </w:r>
      <w:r w:rsidR="00C314D3" w:rsidRPr="00E9279E">
        <w:t xml:space="preserve">B, </w:t>
      </w:r>
      <w:r w:rsidR="00D0041E" w:rsidRPr="00E9279E">
        <w:t>hazard ratio</w:t>
      </w:r>
      <w:r w:rsidR="00C314D3" w:rsidRPr="00E9279E">
        <w:t xml:space="preserve"> </w:t>
      </w:r>
      <w:r w:rsidR="003B53F8" w:rsidRPr="00E9279E">
        <w:t xml:space="preserve">of </w:t>
      </w:r>
      <w:r w:rsidR="00C314D3" w:rsidRPr="00E9279E">
        <w:t>0.685 (0.462, 1.017)</w:t>
      </w:r>
      <w:r w:rsidR="00EA612F" w:rsidRPr="00E9279E">
        <w:t>.</w:t>
      </w:r>
    </w:p>
    <w:p w14:paraId="20D25328" w14:textId="1D245000" w:rsidR="00C314D3" w:rsidRPr="00E9279E" w:rsidRDefault="00EA612F" w:rsidP="005A2C95">
      <w:pPr>
        <w:pStyle w:val="ListBullet"/>
      </w:pPr>
      <w:r w:rsidRPr="00E9279E">
        <w:t>Two</w:t>
      </w:r>
      <w:r w:rsidR="00C314D3" w:rsidRPr="00E9279E">
        <w:t xml:space="preserve">-year IDFS rate 94.7% (92.8%, 96.1%) </w:t>
      </w:r>
      <w:r w:rsidR="00033AC2" w:rsidRPr="00E9279E">
        <w:t>versus</w:t>
      </w:r>
      <w:r w:rsidR="00C314D3" w:rsidRPr="00E9279E">
        <w:t xml:space="preserve"> 86.1% (83.1%, 88.7%); difference 5.2% (95% CI: 1.6%, 8.7%)</w:t>
      </w:r>
      <w:r w:rsidRPr="00E9279E">
        <w:t>.</w:t>
      </w:r>
    </w:p>
    <w:p w14:paraId="3FCCDA48" w14:textId="386DD519" w:rsidR="00C314D3" w:rsidRPr="00E9279E" w:rsidRDefault="00C314D3" w:rsidP="005A2C95">
      <w:r w:rsidRPr="00E9279E">
        <w:t>Cohort 2 population (n</w:t>
      </w:r>
      <w:r w:rsidR="00E93113" w:rsidRPr="00E9279E">
        <w:t xml:space="preserve"> </w:t>
      </w:r>
      <w:r w:rsidRPr="00E9279E">
        <w:t>=</w:t>
      </w:r>
      <w:r w:rsidR="00E93113" w:rsidRPr="00E9279E">
        <w:t xml:space="preserve"> </w:t>
      </w:r>
      <w:r w:rsidRPr="00E9279E">
        <w:t>253 Arm A, n</w:t>
      </w:r>
      <w:r w:rsidR="00E93113" w:rsidRPr="00E9279E">
        <w:t xml:space="preserve"> </w:t>
      </w:r>
      <w:r w:rsidRPr="00E9279E">
        <w:t>=</w:t>
      </w:r>
      <w:r w:rsidR="00E93113" w:rsidRPr="00E9279E">
        <w:t xml:space="preserve"> </w:t>
      </w:r>
      <w:r w:rsidRPr="00E9279E">
        <w:t>264 Arm B)</w:t>
      </w:r>
    </w:p>
    <w:p w14:paraId="30DED133" w14:textId="03386A3B" w:rsidR="00C314D3" w:rsidRPr="00E9279E" w:rsidRDefault="00AD7BAF" w:rsidP="005A2C95">
      <w:pPr>
        <w:pStyle w:val="ListBullet"/>
      </w:pPr>
      <w:r w:rsidRPr="00E9279E">
        <w:t>Invasive disease-free survival</w:t>
      </w:r>
      <w:r w:rsidR="00C314D3" w:rsidRPr="00E9279E">
        <w:t xml:space="preserve">: 11 events (4.3%) Arm A </w:t>
      </w:r>
      <w:r w:rsidR="00033AC2" w:rsidRPr="00E9279E">
        <w:t>versus</w:t>
      </w:r>
      <w:r w:rsidR="00C314D3" w:rsidRPr="00E9279E">
        <w:t xml:space="preserve"> 9 events (3.4%) Arm</w:t>
      </w:r>
      <w:r w:rsidR="0010145D" w:rsidRPr="00E9279E">
        <w:t> </w:t>
      </w:r>
      <w:r w:rsidR="00C314D3" w:rsidRPr="00E9279E">
        <w:t xml:space="preserve">B, </w:t>
      </w:r>
      <w:r w:rsidR="00D0041E" w:rsidRPr="00E9279E">
        <w:t>hazard ratio</w:t>
      </w:r>
      <w:r w:rsidR="00C314D3" w:rsidRPr="00E9279E">
        <w:t xml:space="preserve"> </w:t>
      </w:r>
      <w:r w:rsidR="003B53F8" w:rsidRPr="00E9279E">
        <w:t xml:space="preserve">of </w:t>
      </w:r>
      <w:r w:rsidR="00C314D3" w:rsidRPr="00E9279E">
        <w:t>1.498 (0.6, 3.74)</w:t>
      </w:r>
      <w:r w:rsidR="0031603E" w:rsidRPr="00E9279E">
        <w:t>.</w:t>
      </w:r>
    </w:p>
    <w:p w14:paraId="6F0C7195" w14:textId="64EB0563" w:rsidR="00C314D3" w:rsidRPr="00E9279E" w:rsidRDefault="00C314D3" w:rsidP="005A2C95">
      <w:pPr>
        <w:pStyle w:val="Heading5"/>
      </w:pPr>
      <w:r w:rsidRPr="00E9279E">
        <w:t>Additional analysis</w:t>
      </w:r>
      <w:r w:rsidR="00CB6359" w:rsidRPr="00E9279E">
        <w:t xml:space="preserve"> (</w:t>
      </w:r>
      <w:r w:rsidRPr="00E9279E">
        <w:t>data cut</w:t>
      </w:r>
      <w:r w:rsidR="00CB6359" w:rsidRPr="00E9279E">
        <w:t>-off date:</w:t>
      </w:r>
      <w:r w:rsidRPr="00E9279E">
        <w:t xml:space="preserve"> 1 April 2021</w:t>
      </w:r>
      <w:r w:rsidR="00CB6359" w:rsidRPr="00E9279E">
        <w:t>)</w:t>
      </w:r>
    </w:p>
    <w:p w14:paraId="4B6E5C16" w14:textId="33E3B32D" w:rsidR="00C314D3" w:rsidRPr="00E9279E" w:rsidRDefault="00C314D3" w:rsidP="005A2C95">
      <w:r w:rsidRPr="00E9279E">
        <w:t xml:space="preserve">An interim </w:t>
      </w:r>
      <w:r w:rsidR="00682AA1" w:rsidRPr="00E9279E">
        <w:t>OS</w:t>
      </w:r>
      <w:r w:rsidRPr="00E9279E">
        <w:t xml:space="preserve"> analysis for the ITT population with a data cut of 1</w:t>
      </w:r>
      <w:r w:rsidR="00CB6359" w:rsidRPr="00E9279E">
        <w:t> </w:t>
      </w:r>
      <w:r w:rsidRPr="00E9279E">
        <w:t>April</w:t>
      </w:r>
      <w:r w:rsidR="00CB6359" w:rsidRPr="00E9279E">
        <w:t> </w:t>
      </w:r>
      <w:r w:rsidRPr="00E9279E">
        <w:t>2021 was provided in response to questions</w:t>
      </w:r>
      <w:r w:rsidR="000C6D2E" w:rsidRPr="00E9279E">
        <w:t xml:space="preserve"> raised in the clinical evaluation</w:t>
      </w:r>
      <w:r w:rsidRPr="00E9279E">
        <w:t>. An analysis of all results at this data cut</w:t>
      </w:r>
      <w:r w:rsidR="00CB6359" w:rsidRPr="00E9279E">
        <w:t>-off date</w:t>
      </w:r>
      <w:r w:rsidRPr="00E9279E">
        <w:t xml:space="preserve"> were provided. The analysis included additional </w:t>
      </w:r>
      <w:r w:rsidRPr="00E9279E">
        <w:rPr>
          <w:i/>
          <w:iCs/>
        </w:rPr>
        <w:t>post-hoc</w:t>
      </w:r>
      <w:r w:rsidRPr="00E9279E">
        <w:t xml:space="preserve"> analyses of other efficacy endpoints. No statistical inference should be made with these results.</w:t>
      </w:r>
    </w:p>
    <w:p w14:paraId="63CF94AD" w14:textId="3F073934" w:rsidR="00C314D3" w:rsidRPr="00E9279E" w:rsidRDefault="00BD08E7" w:rsidP="005A2C95">
      <w:pPr>
        <w:pStyle w:val="ListBullet"/>
      </w:pPr>
      <w:r w:rsidRPr="00E9279E">
        <w:t xml:space="preserve">There were </w:t>
      </w:r>
      <w:r w:rsidR="00C314D3" w:rsidRPr="00E9279E">
        <w:t>72.2% patients completed a 2-year study period</w:t>
      </w:r>
      <w:r w:rsidR="00CB6359" w:rsidRPr="00E9279E">
        <w:t>.</w:t>
      </w:r>
    </w:p>
    <w:p w14:paraId="2D87A523" w14:textId="56E51AC0" w:rsidR="00C314D3" w:rsidRPr="00E9279E" w:rsidRDefault="00AD7BAF" w:rsidP="005A2C95">
      <w:pPr>
        <w:pStyle w:val="ListBullet"/>
      </w:pPr>
      <w:r w:rsidRPr="00E9279E">
        <w:t xml:space="preserve">Overall survival </w:t>
      </w:r>
      <w:r w:rsidR="00C314D3" w:rsidRPr="00E9279E">
        <w:t xml:space="preserve">(ITT): 96 events Arm A </w:t>
      </w:r>
      <w:r w:rsidR="00033AC2" w:rsidRPr="00E9279E">
        <w:t>versus</w:t>
      </w:r>
      <w:r w:rsidR="00C314D3" w:rsidRPr="00E9279E">
        <w:t xml:space="preserve"> 90 events Arm B; </w:t>
      </w:r>
      <w:r w:rsidR="00D0041E" w:rsidRPr="00E9279E">
        <w:t>hazard ratio</w:t>
      </w:r>
      <w:r w:rsidR="00C314D3" w:rsidRPr="00E9279E">
        <w:t xml:space="preserve"> </w:t>
      </w:r>
      <w:r w:rsidR="003B53F8" w:rsidRPr="00E9279E">
        <w:t xml:space="preserve">of </w:t>
      </w:r>
      <w:r w:rsidR="00C314D3" w:rsidRPr="00E9279E">
        <w:t>1.091 (95% CI: 0.818, 1.455)</w:t>
      </w:r>
      <w:r w:rsidR="00CB6359" w:rsidRPr="00E9279E">
        <w:t>.</w:t>
      </w:r>
    </w:p>
    <w:p w14:paraId="1F0C6478" w14:textId="51D4B46E" w:rsidR="00C314D3" w:rsidRPr="00E9279E" w:rsidRDefault="00AD7BAF" w:rsidP="005A2C95">
      <w:pPr>
        <w:pStyle w:val="ListBullet"/>
      </w:pPr>
      <w:r w:rsidRPr="00E9279E">
        <w:t xml:space="preserve">Invasive disease-free survival </w:t>
      </w:r>
      <w:r w:rsidR="00C314D3" w:rsidRPr="00E9279E">
        <w:t xml:space="preserve">(ITT): 232 events in Arm A </w:t>
      </w:r>
      <w:r w:rsidR="00033AC2" w:rsidRPr="00E9279E">
        <w:t>versus</w:t>
      </w:r>
      <w:r w:rsidR="00C314D3" w:rsidRPr="00E9279E">
        <w:t xml:space="preserve"> 333 events in Arm</w:t>
      </w:r>
      <w:r w:rsidR="0010145D" w:rsidRPr="00E9279E">
        <w:t> </w:t>
      </w:r>
      <w:r w:rsidR="00C314D3" w:rsidRPr="00E9279E">
        <w:t xml:space="preserve">B; </w:t>
      </w:r>
      <w:r w:rsidR="00D0041E" w:rsidRPr="00E9279E">
        <w:t>hazard ratio</w:t>
      </w:r>
      <w:r w:rsidR="00C314D3" w:rsidRPr="00E9279E">
        <w:t xml:space="preserve"> </w:t>
      </w:r>
      <w:r w:rsidR="003B53F8" w:rsidRPr="00E9279E">
        <w:t xml:space="preserve">of </w:t>
      </w:r>
      <w:r w:rsidR="00C314D3" w:rsidRPr="00E9279E">
        <w:t xml:space="preserve">0.696 (95% CI: 0.588, 0.823), 2-year IDFS 92.7% Arm A </w:t>
      </w:r>
      <w:r w:rsidR="00033AC2" w:rsidRPr="00E9279E">
        <w:t>versus</w:t>
      </w:r>
      <w:r w:rsidR="00C314D3" w:rsidRPr="00E9279E">
        <w:t xml:space="preserve"> 90.0% Arm B</w:t>
      </w:r>
      <w:r w:rsidR="00CB6359" w:rsidRPr="00E9279E">
        <w:t>.</w:t>
      </w:r>
    </w:p>
    <w:p w14:paraId="3977089D" w14:textId="415D9C44" w:rsidR="00C314D3" w:rsidRPr="00E9279E" w:rsidRDefault="00206B4F" w:rsidP="005A2C95">
      <w:pPr>
        <w:pStyle w:val="ListBullet"/>
      </w:pPr>
      <w:r w:rsidRPr="00E9279E">
        <w:t xml:space="preserve">Distant recurrence-free survival </w:t>
      </w:r>
      <w:r w:rsidR="00C314D3" w:rsidRPr="00E9279E">
        <w:t xml:space="preserve">(ITT): 191 events in Arm A </w:t>
      </w:r>
      <w:r w:rsidR="00033AC2" w:rsidRPr="00E9279E">
        <w:t>versus</w:t>
      </w:r>
      <w:r w:rsidR="00C314D3" w:rsidRPr="00E9279E">
        <w:t xml:space="preserve"> 278 events in Arm</w:t>
      </w:r>
      <w:r w:rsidR="002530FC" w:rsidRPr="00E9279E">
        <w:t> </w:t>
      </w:r>
      <w:r w:rsidR="00C314D3" w:rsidRPr="00E9279E">
        <w:t xml:space="preserve">B; </w:t>
      </w:r>
      <w:r w:rsidR="00D0041E" w:rsidRPr="00E9279E">
        <w:t>hazard ratio</w:t>
      </w:r>
      <w:r w:rsidR="00C314D3" w:rsidRPr="00E9279E">
        <w:t xml:space="preserve"> </w:t>
      </w:r>
      <w:r w:rsidR="003B53F8" w:rsidRPr="00E9279E">
        <w:t xml:space="preserve">of </w:t>
      </w:r>
      <w:r w:rsidR="00C314D3" w:rsidRPr="00E9279E">
        <w:t xml:space="preserve">0.687 (95% CI: 0.571, 0.826), 2-year DRFS 94.1% Arm A </w:t>
      </w:r>
      <w:r w:rsidR="00033AC2" w:rsidRPr="00E9279E">
        <w:t>versus</w:t>
      </w:r>
      <w:r w:rsidR="00C314D3" w:rsidRPr="00E9279E">
        <w:t xml:space="preserve"> 91.6% Arm B</w:t>
      </w:r>
      <w:r w:rsidR="00CB6359" w:rsidRPr="00E9279E">
        <w:t>.</w:t>
      </w:r>
    </w:p>
    <w:p w14:paraId="5652DBEA" w14:textId="491EEC61" w:rsidR="00C314D3" w:rsidRPr="00E9279E" w:rsidRDefault="00AD7BAF" w:rsidP="005A2C95">
      <w:pPr>
        <w:pStyle w:val="ListBullet"/>
      </w:pPr>
      <w:r w:rsidRPr="00E9279E">
        <w:t xml:space="preserve">Invasive disease-free survival </w:t>
      </w:r>
      <w:r w:rsidR="00C314D3" w:rsidRPr="00E9279E">
        <w:t xml:space="preserve">(Ki-67 high): 118 events in Arm A </w:t>
      </w:r>
      <w:r w:rsidR="00033AC2" w:rsidRPr="00E9279E">
        <w:t>versus</w:t>
      </w:r>
      <w:r w:rsidR="00C314D3" w:rsidRPr="00E9279E">
        <w:t xml:space="preserve"> 172 events in Arm B; </w:t>
      </w:r>
      <w:r w:rsidR="00D0041E" w:rsidRPr="00E9279E">
        <w:t>hazard ratio</w:t>
      </w:r>
      <w:r w:rsidR="00C314D3" w:rsidRPr="00E9279E">
        <w:t xml:space="preserve"> </w:t>
      </w:r>
      <w:r w:rsidR="003B53F8" w:rsidRPr="00E9279E">
        <w:t xml:space="preserve">of </w:t>
      </w:r>
      <w:r w:rsidR="00C314D3" w:rsidRPr="00E9279E">
        <w:t>0.663 (95% CI: 0.524, 0.839)</w:t>
      </w:r>
      <w:r w:rsidR="00CB6359" w:rsidRPr="00E9279E">
        <w:t>.</w:t>
      </w:r>
    </w:p>
    <w:p w14:paraId="43CB89F5" w14:textId="580E3417" w:rsidR="00C314D3" w:rsidRPr="00E9279E" w:rsidRDefault="00AD7BAF" w:rsidP="005A2C95">
      <w:pPr>
        <w:pStyle w:val="ListBullet"/>
      </w:pPr>
      <w:r w:rsidRPr="00E9279E">
        <w:t xml:space="preserve">Overall survival </w:t>
      </w:r>
      <w:r w:rsidR="00C314D3" w:rsidRPr="00E9279E">
        <w:t xml:space="preserve">(Ki-67 high): 48 events Arm A </w:t>
      </w:r>
      <w:r w:rsidR="00033AC2" w:rsidRPr="00E9279E">
        <w:t>versus</w:t>
      </w:r>
      <w:r w:rsidR="00C314D3" w:rsidRPr="00E9279E">
        <w:t xml:space="preserve"> 55 events Arm B; </w:t>
      </w:r>
      <w:r w:rsidR="00D0041E" w:rsidRPr="00E9279E">
        <w:t>hazard ratio</w:t>
      </w:r>
      <w:r w:rsidR="00C314D3" w:rsidRPr="00E9279E">
        <w:t xml:space="preserve"> </w:t>
      </w:r>
      <w:r w:rsidR="003B53F8" w:rsidRPr="00E9279E">
        <w:t xml:space="preserve">of </w:t>
      </w:r>
      <w:r w:rsidR="00C314D3" w:rsidRPr="00E9279E">
        <w:t>0.851 (95% CI: 0.577, 1.255)</w:t>
      </w:r>
      <w:r w:rsidR="00CB6359" w:rsidRPr="00E9279E">
        <w:t>.</w:t>
      </w:r>
    </w:p>
    <w:p w14:paraId="0C965BC0" w14:textId="3F40AB27" w:rsidR="00C314D3" w:rsidRPr="00E9279E" w:rsidRDefault="00AD7BAF" w:rsidP="005A2C95">
      <w:pPr>
        <w:pStyle w:val="ListBullet"/>
      </w:pPr>
      <w:r w:rsidRPr="00E9279E">
        <w:t xml:space="preserve">Invasive disease-free survival </w:t>
      </w:r>
      <w:r w:rsidR="00C314D3" w:rsidRPr="00E9279E">
        <w:t xml:space="preserve">(Cohort 1 Ki-67 high): 104 events in Arm A </w:t>
      </w:r>
      <w:r w:rsidR="00033AC2" w:rsidRPr="00E9279E">
        <w:t>versus</w:t>
      </w:r>
      <w:r w:rsidR="00C314D3" w:rsidRPr="00E9279E">
        <w:t xml:space="preserve"> 158</w:t>
      </w:r>
      <w:r w:rsidR="002530FC" w:rsidRPr="00E9279E">
        <w:t> </w:t>
      </w:r>
      <w:r w:rsidR="00C314D3" w:rsidRPr="00E9279E">
        <w:t xml:space="preserve">events in Arm B; </w:t>
      </w:r>
      <w:r w:rsidR="00D0041E" w:rsidRPr="00E9279E">
        <w:t>hazard ratio</w:t>
      </w:r>
      <w:r w:rsidR="00C314D3" w:rsidRPr="00E9279E">
        <w:t xml:space="preserve"> </w:t>
      </w:r>
      <w:r w:rsidR="003B53F8" w:rsidRPr="00E9279E">
        <w:t xml:space="preserve">of </w:t>
      </w:r>
      <w:r w:rsidR="00C314D3" w:rsidRPr="00E9279E">
        <w:t>0.626 (95% CI: 0.488, 0.803)</w:t>
      </w:r>
      <w:r w:rsidR="00CB6359" w:rsidRPr="00E9279E">
        <w:t>.</w:t>
      </w:r>
    </w:p>
    <w:p w14:paraId="7F4A806E" w14:textId="77B18AB9" w:rsidR="00C314D3" w:rsidRPr="00E9279E" w:rsidRDefault="00AD7BAF" w:rsidP="005A2C95">
      <w:pPr>
        <w:pStyle w:val="ListBullet"/>
      </w:pPr>
      <w:r w:rsidRPr="00E9279E">
        <w:t xml:space="preserve">Overall survival </w:t>
      </w:r>
      <w:r w:rsidR="00C314D3" w:rsidRPr="00E9279E">
        <w:t xml:space="preserve">(Cohort 1 Ki-67 high): 42 events Arm A </w:t>
      </w:r>
      <w:r w:rsidR="00033AC2" w:rsidRPr="00E9279E">
        <w:t>versus</w:t>
      </w:r>
      <w:r w:rsidR="00C314D3" w:rsidRPr="00E9279E">
        <w:t xml:space="preserve"> 53 events Arm B; </w:t>
      </w:r>
      <w:r w:rsidR="00D0041E" w:rsidRPr="00E9279E">
        <w:t>hazard ratio</w:t>
      </w:r>
      <w:r w:rsidR="00C314D3" w:rsidRPr="00E9279E">
        <w:t xml:space="preserve"> </w:t>
      </w:r>
      <w:r w:rsidR="003B53F8" w:rsidRPr="00E9279E">
        <w:t xml:space="preserve">of </w:t>
      </w:r>
      <w:r w:rsidR="00C314D3" w:rsidRPr="00E9279E">
        <w:t>0.767 (95% CI: 0.511, 1.152)</w:t>
      </w:r>
      <w:r w:rsidR="00CB6359" w:rsidRPr="00E9279E">
        <w:t>.</w:t>
      </w:r>
    </w:p>
    <w:p w14:paraId="682DF831" w14:textId="77777777" w:rsidR="00C314D3" w:rsidRPr="00E9279E" w:rsidRDefault="00C314D3" w:rsidP="005A2C95">
      <w:pPr>
        <w:pStyle w:val="Heading4"/>
      </w:pPr>
      <w:r w:rsidRPr="00E9279E">
        <w:t>Safety</w:t>
      </w:r>
    </w:p>
    <w:p w14:paraId="71CF8F68" w14:textId="681AC304" w:rsidR="002530FC" w:rsidRPr="00E9279E" w:rsidRDefault="00C314D3" w:rsidP="005A2C95">
      <w:r w:rsidRPr="00E9279E">
        <w:t xml:space="preserve">This section is a </w:t>
      </w:r>
      <w:r w:rsidR="002530FC" w:rsidRPr="00E9279E">
        <w:t xml:space="preserve">summary </w:t>
      </w:r>
      <w:r w:rsidRPr="00E9279E">
        <w:t xml:space="preserve">of the </w:t>
      </w:r>
      <w:r w:rsidR="002530FC" w:rsidRPr="00E9279E">
        <w:t xml:space="preserve">key </w:t>
      </w:r>
      <w:r w:rsidRPr="00E9279E">
        <w:t xml:space="preserve">safety information presented </w:t>
      </w:r>
      <w:r w:rsidR="002530FC" w:rsidRPr="00E9279E">
        <w:t>with, and highlighted through, the TGA’s evaluation of this submission</w:t>
      </w:r>
      <w:r w:rsidRPr="00E9279E">
        <w:t>.</w:t>
      </w:r>
    </w:p>
    <w:p w14:paraId="46974FEF" w14:textId="21D30626" w:rsidR="00C314D3" w:rsidRPr="00E9279E" w:rsidRDefault="002530FC" w:rsidP="001B7EB8">
      <w:pPr>
        <w:pStyle w:val="Heading5"/>
      </w:pPr>
      <w:r w:rsidRPr="00E9279E">
        <w:t>Exposure</w:t>
      </w:r>
    </w:p>
    <w:p w14:paraId="35E25F63" w14:textId="37AB89FD" w:rsidR="00C314D3" w:rsidRPr="00E9279E" w:rsidRDefault="00C314D3" w:rsidP="005A2C95">
      <w:r w:rsidRPr="00E9279E">
        <w:t xml:space="preserve">At data cut-off (1 April 2021) for </w:t>
      </w:r>
      <w:r w:rsidR="004052B5" w:rsidRPr="00E9279E">
        <w:t>overall survival (</w:t>
      </w:r>
      <w:r w:rsidRPr="00E9279E">
        <w:t>OS</w:t>
      </w:r>
      <w:r w:rsidR="004052B5" w:rsidRPr="00E9279E">
        <w:t>)</w:t>
      </w:r>
      <w:r w:rsidRPr="00E9279E">
        <w:t xml:space="preserve"> </w:t>
      </w:r>
      <w:r w:rsidR="00D008C9" w:rsidRPr="00E9279E">
        <w:t>Interim Analysis 1</w:t>
      </w:r>
      <w:r w:rsidRPr="00E9279E">
        <w:t xml:space="preserve">, 72.2% of patients had completed the 2-year on-study treatment period (n = 2021 </w:t>
      </w:r>
      <w:r w:rsidR="00033AC2" w:rsidRPr="00E9279E">
        <w:t>(</w:t>
      </w:r>
      <w:r w:rsidRPr="00E9279E">
        <w:t>72.0%</w:t>
      </w:r>
      <w:r w:rsidR="00033AC2" w:rsidRPr="00E9279E">
        <w:t>)</w:t>
      </w:r>
      <w:r w:rsidRPr="00E9279E">
        <w:t xml:space="preserve"> Arm</w:t>
      </w:r>
      <w:r w:rsidR="0010145D" w:rsidRPr="00E9279E">
        <w:t> </w:t>
      </w:r>
      <w:r w:rsidRPr="00E9279E">
        <w:t>A, n</w:t>
      </w:r>
      <w:r w:rsidR="0010145D" w:rsidRPr="00E9279E">
        <w:t> </w:t>
      </w:r>
      <w:r w:rsidRPr="00E9279E">
        <w:t>=</w:t>
      </w:r>
      <w:r w:rsidR="0010145D" w:rsidRPr="00E9279E">
        <w:t> </w:t>
      </w:r>
      <w:r w:rsidRPr="00E9279E">
        <w:t xml:space="preserve">2050 </w:t>
      </w:r>
      <w:r w:rsidR="00033AC2" w:rsidRPr="00E9279E">
        <w:t>(</w:t>
      </w:r>
      <w:r w:rsidRPr="00E9279E">
        <w:t>72.5%</w:t>
      </w:r>
      <w:r w:rsidR="00033AC2" w:rsidRPr="00E9279E">
        <w:t>)</w:t>
      </w:r>
      <w:r w:rsidRPr="00E9279E">
        <w:t xml:space="preserve"> Arm B). The median duration of </w:t>
      </w:r>
      <w:proofErr w:type="spellStart"/>
      <w:r w:rsidRPr="00E9279E">
        <w:t>abemaciclib</w:t>
      </w:r>
      <w:proofErr w:type="spellEnd"/>
      <w:r w:rsidRPr="00E9279E">
        <w:t xml:space="preserve"> treatment was 23.7</w:t>
      </w:r>
      <w:r w:rsidR="0010145D" w:rsidRPr="00E9279E">
        <w:t> </w:t>
      </w:r>
      <w:r w:rsidRPr="00E9279E">
        <w:t xml:space="preserve">months, and median duration of </w:t>
      </w:r>
      <w:r w:rsidR="00C518AE" w:rsidRPr="00E9279E">
        <w:t>endocrine therapy</w:t>
      </w:r>
      <w:r w:rsidRPr="00E9279E">
        <w:t xml:space="preserve"> received 23.8 months in both arms. The submission also included data from </w:t>
      </w:r>
      <w:r w:rsidR="00D008C9" w:rsidRPr="00E9279E">
        <w:t>Interim Analysis 2</w:t>
      </w:r>
      <w:r w:rsidRPr="00E9279E">
        <w:t xml:space="preserve"> and the final IDFS</w:t>
      </w:r>
      <w:r w:rsidR="00266263" w:rsidRPr="00E9279E">
        <w:t xml:space="preserve"> analysis</w:t>
      </w:r>
      <w:r w:rsidRPr="00E9279E">
        <w:t>.</w:t>
      </w:r>
    </w:p>
    <w:p w14:paraId="75579006" w14:textId="230E6D1D" w:rsidR="002530FC" w:rsidRPr="00E9279E" w:rsidRDefault="002530FC" w:rsidP="00C26898">
      <w:pPr>
        <w:pStyle w:val="Heading5"/>
      </w:pPr>
      <w:r w:rsidRPr="00E9279E">
        <w:lastRenderedPageBreak/>
        <w:t>Adverse events</w:t>
      </w:r>
    </w:p>
    <w:p w14:paraId="48723174" w14:textId="4E71F806" w:rsidR="00C314D3" w:rsidRPr="00E9279E" w:rsidRDefault="00C314D3" w:rsidP="005A2C95">
      <w:r w:rsidRPr="00E9279E">
        <w:t>Adverse events</w:t>
      </w:r>
      <w:r w:rsidR="009A5ACC" w:rsidRPr="00E9279E">
        <w:t xml:space="preserve"> (AEs)</w:t>
      </w:r>
      <w:r w:rsidRPr="00E9279E">
        <w:t xml:space="preserve"> at the final IDFS analysis and at OS </w:t>
      </w:r>
      <w:r w:rsidR="00D008C9" w:rsidRPr="00E9279E">
        <w:t>Interim Analysis 1</w:t>
      </w:r>
      <w:r w:rsidRPr="00E9279E">
        <w:t xml:space="preserve"> are summarised in </w:t>
      </w:r>
      <w:r w:rsidRPr="00E9279E">
        <w:fldChar w:fldCharType="begin"/>
      </w:r>
      <w:r w:rsidRPr="00E9279E">
        <w:instrText xml:space="preserve"> REF _Ref90407217 \h </w:instrText>
      </w:r>
      <w:r w:rsidR="005A2C95" w:rsidRPr="00E9279E">
        <w:instrText xml:space="preserve"> \* MERGEFORMAT </w:instrText>
      </w:r>
      <w:r w:rsidRPr="00E9279E">
        <w:fldChar w:fldCharType="separate"/>
      </w:r>
      <w:r w:rsidR="00E9279E" w:rsidRPr="00E9279E">
        <w:t xml:space="preserve">Table </w:t>
      </w:r>
      <w:r w:rsidR="00E9279E">
        <w:t>6</w:t>
      </w:r>
      <w:r w:rsidRPr="00E9279E">
        <w:fldChar w:fldCharType="end"/>
      </w:r>
      <w:r w:rsidR="00CB6359" w:rsidRPr="00E9279E">
        <w:t xml:space="preserve"> below</w:t>
      </w:r>
      <w:r w:rsidRPr="00E9279E">
        <w:t>.</w:t>
      </w:r>
    </w:p>
    <w:p w14:paraId="5FE01CD6" w14:textId="27EE5721" w:rsidR="00C314D3" w:rsidRPr="00E9279E" w:rsidRDefault="00C314D3" w:rsidP="00B63518">
      <w:pPr>
        <w:pStyle w:val="TableTitle"/>
      </w:pPr>
      <w:bookmarkStart w:id="67" w:name="_Ref90407217"/>
      <w:bookmarkStart w:id="68" w:name="_Toc90886889"/>
      <w:r w:rsidRPr="00E9279E">
        <w:t xml:space="preserve">Table </w:t>
      </w:r>
      <w:r w:rsidR="000C44E7">
        <w:fldChar w:fldCharType="begin"/>
      </w:r>
      <w:r w:rsidR="000C44E7">
        <w:instrText xml:space="preserve"> SEQ Table \* ARABIC </w:instrText>
      </w:r>
      <w:r w:rsidR="000C44E7">
        <w:fldChar w:fldCharType="separate"/>
      </w:r>
      <w:r w:rsidR="00E9279E">
        <w:rPr>
          <w:noProof/>
        </w:rPr>
        <w:t>6</w:t>
      </w:r>
      <w:r w:rsidR="000C44E7">
        <w:rPr>
          <w:noProof/>
        </w:rPr>
        <w:fldChar w:fldCharType="end"/>
      </w:r>
      <w:bookmarkEnd w:id="67"/>
      <w:r w:rsidRPr="00E9279E">
        <w:t xml:space="preserve">: </w:t>
      </w:r>
      <w:r w:rsidR="0086249E" w:rsidRPr="00E9279E">
        <w:t xml:space="preserve">Study I3Y-MC-JPCF </w:t>
      </w:r>
      <w:r w:rsidR="002530FC" w:rsidRPr="00E9279E">
        <w:t>(</w:t>
      </w:r>
      <w:r w:rsidR="001B7C07" w:rsidRPr="00E9279E">
        <w:t xml:space="preserve">MONARCHE </w:t>
      </w:r>
      <w:r w:rsidR="002530FC" w:rsidRPr="00E9279E">
        <w:t xml:space="preserve">trial) </w:t>
      </w:r>
      <w:r w:rsidRPr="00E9279E">
        <w:t xml:space="preserve">Overview of safety by analysis data cut-off </w:t>
      </w:r>
      <w:r w:rsidR="00476DB2" w:rsidRPr="00E9279E">
        <w:t>(safety population</w:t>
      </w:r>
      <w:bookmarkEnd w:id="68"/>
      <w:r w:rsidR="00476DB2" w:rsidRPr="00E9279E">
        <w:t>)</w:t>
      </w:r>
    </w:p>
    <w:p w14:paraId="33BF1496" w14:textId="77777777" w:rsidR="00C314D3" w:rsidRPr="00E9279E" w:rsidRDefault="00C314D3" w:rsidP="00B63518">
      <w:pPr>
        <w:rPr>
          <w:lang w:eastAsia="ja-JP"/>
        </w:rPr>
      </w:pPr>
      <w:r w:rsidRPr="00E9279E">
        <w:rPr>
          <w:noProof/>
          <w:lang w:val="en-GB" w:eastAsia="en-GB"/>
        </w:rPr>
        <w:drawing>
          <wp:inline distT="0" distB="0" distL="0" distR="0" wp14:anchorId="38540E13" wp14:editId="1C136766">
            <wp:extent cx="5254093" cy="1887846"/>
            <wp:effectExtent l="0" t="0" r="3810" b="0"/>
            <wp:docPr id="170" name="Picture 170" descr="Table 6: Study I3Y-MC-JPCF (MONARCHE trial) Overview of safety by analysis data cut off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Table 6: Study I3Y-MC-JPCF (MONARCHE trial) Overview of safety by analysis data cut off (safety population)"/>
                    <pic:cNvPicPr/>
                  </pic:nvPicPr>
                  <pic:blipFill>
                    <a:blip r:embed="rId24"/>
                    <a:stretch>
                      <a:fillRect/>
                    </a:stretch>
                  </pic:blipFill>
                  <pic:spPr>
                    <a:xfrm>
                      <a:off x="0" y="0"/>
                      <a:ext cx="5273587" cy="1894850"/>
                    </a:xfrm>
                    <a:prstGeom prst="rect">
                      <a:avLst/>
                    </a:prstGeom>
                  </pic:spPr>
                </pic:pic>
              </a:graphicData>
            </a:graphic>
          </wp:inline>
        </w:drawing>
      </w:r>
    </w:p>
    <w:p w14:paraId="75903BC7" w14:textId="1E921D6C" w:rsidR="00476DB2" w:rsidRPr="00E9279E" w:rsidRDefault="00C314D3" w:rsidP="00B63518">
      <w:pPr>
        <w:pStyle w:val="TableDescription"/>
      </w:pPr>
      <w:r w:rsidRPr="00E9279E">
        <w:t xml:space="preserve">Abbreviations: AE = adverse event; CTCAE = Common Terminology Criteria for Adverse Event; ET = endocrine therapy; IDFS = invasive disease-free survival; N = number of patients in the ITT population; n = number of patients in the specific population; </w:t>
      </w:r>
      <w:r w:rsidR="006D2BFB" w:rsidRPr="00E9279E">
        <w:t xml:space="preserve">NA= not available; </w:t>
      </w:r>
      <w:r w:rsidRPr="00E9279E">
        <w:t xml:space="preserve">OS IA1 = </w:t>
      </w:r>
      <w:r w:rsidR="004052B5" w:rsidRPr="00E9279E">
        <w:t>overall survival</w:t>
      </w:r>
      <w:r w:rsidRPr="00E9279E">
        <w:t xml:space="preserve"> Interim Analysis 1; TEAE = treatment-emergent adverse events, TE-SAE = treatment-emergent serious adverse event.</w:t>
      </w:r>
    </w:p>
    <w:p w14:paraId="7C9F89E3" w14:textId="77DB264E" w:rsidR="00476DB2" w:rsidRPr="00E9279E" w:rsidRDefault="00C314D3" w:rsidP="00B63518">
      <w:pPr>
        <w:pStyle w:val="TableDescription"/>
      </w:pPr>
      <w:r w:rsidRPr="00E9279E">
        <w:t>a Data cut-off</w:t>
      </w:r>
      <w:r w:rsidR="00BC618B" w:rsidRPr="00E9279E">
        <w:t xml:space="preserve"> date</w:t>
      </w:r>
      <w:r w:rsidRPr="00E9279E">
        <w:t>: 8 July 2020.</w:t>
      </w:r>
    </w:p>
    <w:p w14:paraId="32465928" w14:textId="34374DF0" w:rsidR="00476DB2" w:rsidRPr="00E9279E" w:rsidRDefault="00C314D3" w:rsidP="00B63518">
      <w:pPr>
        <w:pStyle w:val="TableDescription"/>
      </w:pPr>
      <w:r w:rsidRPr="00E9279E">
        <w:t>b Data cut-off</w:t>
      </w:r>
      <w:r w:rsidR="00BC618B" w:rsidRPr="00E9279E">
        <w:t xml:space="preserve"> date</w:t>
      </w:r>
      <w:r w:rsidRPr="00E9279E">
        <w:t>: 1 April 2021.</w:t>
      </w:r>
    </w:p>
    <w:p w14:paraId="32C0B137" w14:textId="77777777" w:rsidR="00476DB2" w:rsidRPr="00E9279E" w:rsidRDefault="00C314D3" w:rsidP="00B63518">
      <w:pPr>
        <w:pStyle w:val="TableDescription"/>
      </w:pPr>
      <w:r w:rsidRPr="00E9279E">
        <w:t xml:space="preserve">c </w:t>
      </w:r>
      <w:proofErr w:type="gramStart"/>
      <w:r w:rsidRPr="00E9279E">
        <w:t>The</w:t>
      </w:r>
      <w:proofErr w:type="gramEnd"/>
      <w:r w:rsidRPr="00E9279E">
        <w:t xml:space="preserve"> 6.2% is included in the 17.2% of patients who discontinued </w:t>
      </w:r>
      <w:proofErr w:type="spellStart"/>
      <w:r w:rsidRPr="00E9279E">
        <w:t>abemaciclib</w:t>
      </w:r>
      <w:proofErr w:type="spellEnd"/>
      <w:r w:rsidRPr="00E9279E">
        <w:t xml:space="preserve"> due to AE. Patients could continue their ET as post-discontinuation therapy.</w:t>
      </w:r>
    </w:p>
    <w:p w14:paraId="448585F9" w14:textId="0CC66942" w:rsidR="00C314D3" w:rsidRPr="00E9279E" w:rsidRDefault="00C314D3" w:rsidP="00B63518">
      <w:pPr>
        <w:pStyle w:val="TableDescription"/>
      </w:pPr>
      <w:r w:rsidRPr="00E9279E">
        <w:t xml:space="preserve">d </w:t>
      </w:r>
      <w:proofErr w:type="gramStart"/>
      <w:r w:rsidRPr="00E9279E">
        <w:t>The</w:t>
      </w:r>
      <w:proofErr w:type="gramEnd"/>
      <w:r w:rsidRPr="00E9279E">
        <w:t xml:space="preserve"> 6.5% is included in the 18.5% of patients who discontinued </w:t>
      </w:r>
      <w:proofErr w:type="spellStart"/>
      <w:r w:rsidRPr="00E9279E">
        <w:t>abemaciclib</w:t>
      </w:r>
      <w:proofErr w:type="spellEnd"/>
      <w:r w:rsidRPr="00E9279E">
        <w:t xml:space="preserve"> due to AE. Patients could continue their ET as post-discontinuation therapy.</w:t>
      </w:r>
    </w:p>
    <w:p w14:paraId="5171863C" w14:textId="58653E8A" w:rsidR="00C314D3" w:rsidRPr="00E9279E" w:rsidRDefault="00C314D3" w:rsidP="005A2C95">
      <w:r w:rsidRPr="00E9279E">
        <w:t>The most frequent TEAEs and Grade 3</w:t>
      </w:r>
      <w:r w:rsidR="00A945C5" w:rsidRPr="00E9279E">
        <w:t xml:space="preserve"> or higher</w:t>
      </w:r>
      <w:r w:rsidRPr="00E9279E">
        <w:t xml:space="preserve"> TEAEs are summarised in </w:t>
      </w:r>
      <w:r w:rsidRPr="00E9279E">
        <w:fldChar w:fldCharType="begin"/>
      </w:r>
      <w:r w:rsidRPr="00E9279E">
        <w:instrText xml:space="preserve"> REF _Ref90840821 \h </w:instrText>
      </w:r>
      <w:r w:rsidR="005A2C95" w:rsidRPr="00E9279E">
        <w:instrText xml:space="preserve"> \* MERGEFORMAT </w:instrText>
      </w:r>
      <w:r w:rsidRPr="00E9279E">
        <w:fldChar w:fldCharType="separate"/>
      </w:r>
      <w:r w:rsidR="00E9279E" w:rsidRPr="00E9279E">
        <w:t xml:space="preserve">Table </w:t>
      </w:r>
      <w:r w:rsidR="00E9279E">
        <w:t>7</w:t>
      </w:r>
      <w:r w:rsidRPr="00E9279E">
        <w:fldChar w:fldCharType="end"/>
      </w:r>
      <w:r w:rsidRPr="00E9279E">
        <w:t xml:space="preserve"> below.</w:t>
      </w:r>
    </w:p>
    <w:p w14:paraId="1E98CA63" w14:textId="2A115549" w:rsidR="00C314D3" w:rsidRPr="00E9279E" w:rsidRDefault="00C314D3" w:rsidP="00B63518">
      <w:pPr>
        <w:pStyle w:val="TableTitle"/>
      </w:pPr>
      <w:bookmarkStart w:id="69" w:name="_Ref90840821"/>
      <w:bookmarkStart w:id="70" w:name="_Toc90886890"/>
      <w:r w:rsidRPr="00E9279E">
        <w:t xml:space="preserve">Table </w:t>
      </w:r>
      <w:r w:rsidR="000C44E7">
        <w:fldChar w:fldCharType="begin"/>
      </w:r>
      <w:r w:rsidR="000C44E7">
        <w:instrText xml:space="preserve"> SEQ Table \* ARABIC </w:instrText>
      </w:r>
      <w:r w:rsidR="000C44E7">
        <w:fldChar w:fldCharType="separate"/>
      </w:r>
      <w:r w:rsidR="00E9279E">
        <w:rPr>
          <w:noProof/>
        </w:rPr>
        <w:t>7</w:t>
      </w:r>
      <w:r w:rsidR="000C44E7">
        <w:rPr>
          <w:noProof/>
        </w:rPr>
        <w:fldChar w:fldCharType="end"/>
      </w:r>
      <w:bookmarkEnd w:id="69"/>
      <w:r w:rsidRPr="00E9279E">
        <w:t>:</w:t>
      </w:r>
      <w:r w:rsidR="0086249E" w:rsidRPr="00E9279E">
        <w:t xml:space="preserve"> Study I3Y-MC-JPCF</w:t>
      </w:r>
      <w:r w:rsidRPr="00E9279E">
        <w:t xml:space="preserve"> </w:t>
      </w:r>
      <w:r w:rsidR="002530FC" w:rsidRPr="00E9279E">
        <w:t>(</w:t>
      </w:r>
      <w:r w:rsidR="001B7C07" w:rsidRPr="00E9279E">
        <w:t xml:space="preserve">MONARCHE </w:t>
      </w:r>
      <w:r w:rsidR="002530FC" w:rsidRPr="00E9279E">
        <w:t xml:space="preserve">trial) </w:t>
      </w:r>
      <w:r w:rsidRPr="00E9279E">
        <w:t xml:space="preserve">Incidence by analysis data cut-off of </w:t>
      </w:r>
      <w:r w:rsidR="00CB6359" w:rsidRPr="00E9279E">
        <w:t>ad</w:t>
      </w:r>
      <w:r w:rsidR="00E93113" w:rsidRPr="00E9279E">
        <w:t>verse event of special interest</w:t>
      </w:r>
      <w:r w:rsidRPr="00E9279E">
        <w:t xml:space="preserve"> and </w:t>
      </w:r>
      <w:r w:rsidR="00CB6359" w:rsidRPr="00E9279E">
        <w:t>t</w:t>
      </w:r>
      <w:r w:rsidR="00E93113" w:rsidRPr="00E9279E">
        <w:t>reatment-emergent adverse event</w:t>
      </w:r>
      <w:r w:rsidRPr="00E9279E">
        <w:t xml:space="preserve">s 20% </w:t>
      </w:r>
      <w:r w:rsidR="00A945C5" w:rsidRPr="00E9279E">
        <w:t xml:space="preserve">or higher </w:t>
      </w:r>
      <w:r w:rsidRPr="00E9279E">
        <w:t xml:space="preserve">in either </w:t>
      </w:r>
      <w:r w:rsidR="00D008C9" w:rsidRPr="00E9279E">
        <w:t>arm (safety population</w:t>
      </w:r>
      <w:bookmarkEnd w:id="70"/>
      <w:r w:rsidR="00D008C9" w:rsidRPr="00E9279E">
        <w:t>)</w:t>
      </w:r>
    </w:p>
    <w:p w14:paraId="6698FA0D" w14:textId="77777777" w:rsidR="00C314D3" w:rsidRPr="00E9279E" w:rsidRDefault="00C314D3" w:rsidP="00B63518">
      <w:pPr>
        <w:rPr>
          <w:lang w:eastAsia="ja-JP"/>
        </w:rPr>
      </w:pPr>
      <w:r w:rsidRPr="00E9279E">
        <w:rPr>
          <w:noProof/>
          <w:lang w:val="en-GB" w:eastAsia="en-GB"/>
        </w:rPr>
        <w:drawing>
          <wp:inline distT="0" distB="0" distL="0" distR="0" wp14:anchorId="7AA1809A" wp14:editId="30A1D077">
            <wp:extent cx="5205930" cy="3123789"/>
            <wp:effectExtent l="0" t="0" r="0" b="635"/>
            <wp:docPr id="173" name="Picture 173" descr="Table 7: Study I3Y-MC-JPCF (MONARCHE trial) Incidence by analysis data cut off of adverse event of special interest and treatment emergent adverse events 20% or higher in either arm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Table 7: Study I3Y-MC-JPCF (MONARCHE trial) Incidence by analysis data cut off of adverse event of special interest and treatment emergent adverse events 20% or higher in either arm (safety population)"/>
                    <pic:cNvPicPr/>
                  </pic:nvPicPr>
                  <pic:blipFill>
                    <a:blip r:embed="rId25"/>
                    <a:stretch>
                      <a:fillRect/>
                    </a:stretch>
                  </pic:blipFill>
                  <pic:spPr>
                    <a:xfrm>
                      <a:off x="0" y="0"/>
                      <a:ext cx="5212823" cy="3127925"/>
                    </a:xfrm>
                    <a:prstGeom prst="rect">
                      <a:avLst/>
                    </a:prstGeom>
                  </pic:spPr>
                </pic:pic>
              </a:graphicData>
            </a:graphic>
          </wp:inline>
        </w:drawing>
      </w:r>
    </w:p>
    <w:p w14:paraId="3C108B74" w14:textId="41FD8F29" w:rsidR="00476DB2" w:rsidRPr="00E9279E" w:rsidRDefault="00C314D3" w:rsidP="00B63518">
      <w:pPr>
        <w:pStyle w:val="TableDescription"/>
      </w:pPr>
      <w:r w:rsidRPr="00E9279E">
        <w:lastRenderedPageBreak/>
        <w:t>Abbreviations: ALT = alanine aminotransferase; AST = aspartate aminotransferase</w:t>
      </w:r>
      <w:r w:rsidR="006D2BFB" w:rsidRPr="00E9279E">
        <w:t xml:space="preserve">; </w:t>
      </w:r>
      <w:r w:rsidRPr="00E9279E">
        <w:t xml:space="preserve">ET = endocrine therapy; N = number of patients in the safety population; IDFS = invasive disease-free survival; ILD = interstitial lung disease; OS IA1 = </w:t>
      </w:r>
      <w:r w:rsidR="004052B5" w:rsidRPr="00E9279E">
        <w:t>overall survival</w:t>
      </w:r>
      <w:r w:rsidRPr="00E9279E">
        <w:t xml:space="preserve"> Interim Analysis 1; VTE = venous thromboembolic event.</w:t>
      </w:r>
    </w:p>
    <w:p w14:paraId="73DF1867" w14:textId="6B5F8625" w:rsidR="00476DB2" w:rsidRPr="00E9279E" w:rsidRDefault="00C314D3" w:rsidP="00B63518">
      <w:pPr>
        <w:pStyle w:val="TableDescription"/>
      </w:pPr>
      <w:r w:rsidRPr="00E9279E">
        <w:t>a Data cut-off</w:t>
      </w:r>
      <w:r w:rsidR="00BC618B" w:rsidRPr="00E9279E">
        <w:t xml:space="preserve"> date</w:t>
      </w:r>
      <w:r w:rsidRPr="00E9279E">
        <w:t>: 8 July 2020.</w:t>
      </w:r>
    </w:p>
    <w:p w14:paraId="2AC6C22D" w14:textId="7FAE0A01" w:rsidR="00476DB2" w:rsidRPr="00E9279E" w:rsidRDefault="00C314D3" w:rsidP="00B63518">
      <w:pPr>
        <w:pStyle w:val="TableDescription"/>
      </w:pPr>
      <w:r w:rsidRPr="00E9279E">
        <w:t>b Data cut-off</w:t>
      </w:r>
      <w:r w:rsidR="00BC618B" w:rsidRPr="00E9279E">
        <w:t xml:space="preserve"> date</w:t>
      </w:r>
      <w:r w:rsidRPr="00E9279E">
        <w:t>: 1 April 2021.</w:t>
      </w:r>
    </w:p>
    <w:p w14:paraId="780193CB" w14:textId="77777777" w:rsidR="00476DB2" w:rsidRPr="00E9279E" w:rsidRDefault="00C314D3" w:rsidP="00B63518">
      <w:pPr>
        <w:pStyle w:val="TableDescription"/>
      </w:pPr>
      <w:r w:rsidRPr="00E9279E">
        <w:t>c One Grade 5 event of diarrhoea.</w:t>
      </w:r>
    </w:p>
    <w:p w14:paraId="4F0A0870" w14:textId="003D260D" w:rsidR="006D2BFB" w:rsidRPr="00E9279E" w:rsidRDefault="00C314D3" w:rsidP="00B63518">
      <w:pPr>
        <w:pStyle w:val="TableDescription"/>
      </w:pPr>
      <w:r w:rsidRPr="00E9279E">
        <w:t xml:space="preserve">d Preferred </w:t>
      </w:r>
      <w:r w:rsidR="00BD08E7" w:rsidRPr="00E9279E">
        <w:t xml:space="preserve">Term </w:t>
      </w:r>
      <w:r w:rsidRPr="00E9279E">
        <w:t xml:space="preserve">has a maximum </w:t>
      </w:r>
      <w:r w:rsidR="006D2BFB" w:rsidRPr="00E9279E">
        <w:t>Common Terminology Criteria for Adverse Event (</w:t>
      </w:r>
      <w:r w:rsidRPr="00E9279E">
        <w:t>CTCAE</w:t>
      </w:r>
      <w:r w:rsidR="006D2BFB" w:rsidRPr="00E9279E">
        <w:t>)</w:t>
      </w:r>
      <w:r w:rsidRPr="00E9279E">
        <w:t xml:space="preserve"> Grade of 3.</w:t>
      </w:r>
    </w:p>
    <w:p w14:paraId="15BDA682" w14:textId="7910E0B4" w:rsidR="00C314D3" w:rsidRPr="00E9279E" w:rsidRDefault="00C314D3" w:rsidP="00B63518">
      <w:pPr>
        <w:pStyle w:val="TableDescription"/>
      </w:pPr>
      <w:r w:rsidRPr="00E9279E">
        <w:t xml:space="preserve">e Frequencies for ALT increase and AST increase laboratory abnormalities are based on the number of patients with available </w:t>
      </w:r>
      <w:r w:rsidR="0010145D" w:rsidRPr="00E9279E">
        <w:t xml:space="preserve">baseline and post-baseline </w:t>
      </w:r>
      <w:r w:rsidRPr="00E9279E">
        <w:t>results.</w:t>
      </w:r>
    </w:p>
    <w:p w14:paraId="78F7A5F8" w14:textId="64DF3668" w:rsidR="00266263" w:rsidRPr="00E9279E" w:rsidRDefault="00C314D3" w:rsidP="005A2C95">
      <w:r w:rsidRPr="00E9279E">
        <w:t xml:space="preserve">At OS </w:t>
      </w:r>
      <w:r w:rsidR="00D008C9" w:rsidRPr="00E9279E">
        <w:t>Interim Analysis 1</w:t>
      </w:r>
      <w:r w:rsidRPr="00E9279E">
        <w:t xml:space="preserve">, there were 144 patients with AEs (all AEs, not just </w:t>
      </w:r>
      <w:r w:rsidR="00CB6359" w:rsidRPr="00E9279E">
        <w:t>TEAEs</w:t>
      </w:r>
      <w:r w:rsidRPr="00E9279E">
        <w:t xml:space="preserve">) of suspected or confirmed </w:t>
      </w:r>
      <w:r w:rsidR="00596DFB" w:rsidRPr="00E9279E">
        <w:t>coronavirus disease 2019 (</w:t>
      </w:r>
      <w:r w:rsidRPr="00E9279E">
        <w:t>COVID-19</w:t>
      </w:r>
      <w:r w:rsidR="00596DFB" w:rsidRPr="00E9279E">
        <w:t>)</w:t>
      </w:r>
      <w:r w:rsidRPr="00E9279E">
        <w:t>, with a higher incidence in Arm A; n = 95 (3.4%, 0.6% Grade</w:t>
      </w:r>
      <w:r w:rsidR="00A945C5" w:rsidRPr="00E9279E">
        <w:t> </w:t>
      </w:r>
      <w:r w:rsidRPr="00E9279E">
        <w:t>3</w:t>
      </w:r>
      <w:r w:rsidR="00A945C5" w:rsidRPr="00E9279E">
        <w:t xml:space="preserve"> or higher</w:t>
      </w:r>
      <w:r w:rsidRPr="00E9279E">
        <w:t xml:space="preserve">) </w:t>
      </w:r>
      <w:r w:rsidR="00033AC2" w:rsidRPr="00E9279E">
        <w:t>versus</w:t>
      </w:r>
      <w:r w:rsidRPr="00E9279E">
        <w:t xml:space="preserve"> n = 49 (1.8%) Arm B (0.1% Grade</w:t>
      </w:r>
      <w:r w:rsidR="00D22E21" w:rsidRPr="00E9279E">
        <w:t> </w:t>
      </w:r>
      <w:r w:rsidRPr="00E9279E">
        <w:t>3</w:t>
      </w:r>
      <w:r w:rsidR="00A945C5" w:rsidRPr="00E9279E">
        <w:t xml:space="preserve"> or higher</w:t>
      </w:r>
      <w:r w:rsidRPr="00E9279E">
        <w:t>). The majority events were Grade</w:t>
      </w:r>
      <w:r w:rsidR="0083018A" w:rsidRPr="00E9279E">
        <w:t> </w:t>
      </w:r>
      <w:r w:rsidRPr="00E9279E">
        <w:t>2</w:t>
      </w:r>
      <w:r w:rsidR="0083018A" w:rsidRPr="00E9279E">
        <w:t>or less</w:t>
      </w:r>
      <w:r w:rsidRPr="00E9279E">
        <w:t>.</w:t>
      </w:r>
    </w:p>
    <w:p w14:paraId="52D489DB" w14:textId="7E3049FF" w:rsidR="00266263" w:rsidRPr="00E9279E" w:rsidRDefault="00C314D3" w:rsidP="005A2C95">
      <w:r w:rsidRPr="00E9279E">
        <w:t xml:space="preserve">There were more patients in Arm A with treatment-emergent </w:t>
      </w:r>
      <w:r w:rsidR="00596DFB" w:rsidRPr="00E9279E">
        <w:t>serious adverse events (</w:t>
      </w:r>
      <w:r w:rsidRPr="00E9279E">
        <w:t>SAEs</w:t>
      </w:r>
      <w:r w:rsidR="00596DFB" w:rsidRPr="00E9279E">
        <w:t>)</w:t>
      </w:r>
      <w:r w:rsidRPr="00E9279E">
        <w:t xml:space="preserve"> of COVID-19 infection (n = 15) compared to Arm B (n = 3), with fatal AEs also more common in Arm</w:t>
      </w:r>
      <w:r w:rsidR="00CB6359" w:rsidRPr="00E9279E">
        <w:t> </w:t>
      </w:r>
      <w:r w:rsidRPr="00E9279E">
        <w:t xml:space="preserve">A (n = 4 </w:t>
      </w:r>
      <w:r w:rsidR="00033AC2" w:rsidRPr="00E9279E">
        <w:t>versus</w:t>
      </w:r>
      <w:r w:rsidRPr="00E9279E">
        <w:t xml:space="preserve"> n</w:t>
      </w:r>
      <w:r w:rsidR="002530FC" w:rsidRPr="00E9279E">
        <w:t> </w:t>
      </w:r>
      <w:r w:rsidRPr="00E9279E">
        <w:t>=</w:t>
      </w:r>
      <w:r w:rsidR="002530FC" w:rsidRPr="00E9279E">
        <w:t> </w:t>
      </w:r>
      <w:r w:rsidRPr="00E9279E">
        <w:t>1).</w:t>
      </w:r>
    </w:p>
    <w:p w14:paraId="27A97E47" w14:textId="1D93B612" w:rsidR="00C314D3" w:rsidRPr="00E9279E" w:rsidRDefault="00C314D3" w:rsidP="005A2C95">
      <w:r w:rsidRPr="00E9279E">
        <w:t>The evaluat</w:t>
      </w:r>
      <w:r w:rsidR="006B5FFA" w:rsidRPr="00E9279E">
        <w:t>ion</w:t>
      </w:r>
      <w:r w:rsidRPr="00E9279E">
        <w:t xml:space="preserve"> noted the sponsor’s comment that there was no correlation with </w:t>
      </w:r>
      <w:proofErr w:type="spellStart"/>
      <w:r w:rsidR="000C71AD" w:rsidRPr="00E9279E">
        <w:t>neutropaenia</w:t>
      </w:r>
      <w:proofErr w:type="spellEnd"/>
      <w:r w:rsidRPr="00E9279E">
        <w:t xml:space="preserve"> or </w:t>
      </w:r>
      <w:proofErr w:type="spellStart"/>
      <w:r w:rsidRPr="00E9279E">
        <w:t>lymphop</w:t>
      </w:r>
      <w:r w:rsidR="000C71AD" w:rsidRPr="00E9279E">
        <w:t>a</w:t>
      </w:r>
      <w:r w:rsidRPr="00E9279E">
        <w:t>enia</w:t>
      </w:r>
      <w:proofErr w:type="spellEnd"/>
      <w:r w:rsidRPr="00E9279E">
        <w:t xml:space="preserve"> and COVID-19 infection in </w:t>
      </w:r>
      <w:proofErr w:type="spellStart"/>
      <w:r w:rsidRPr="00E9279E">
        <w:t>abemaciclib</w:t>
      </w:r>
      <w:proofErr w:type="spellEnd"/>
      <w:r w:rsidR="00CB6359" w:rsidRPr="00E9279E">
        <w:noBreakHyphen/>
      </w:r>
      <w:r w:rsidRPr="00E9279E">
        <w:t xml:space="preserve">treated patients nor was there any reported events of </w:t>
      </w:r>
      <w:r w:rsidR="00C518AE" w:rsidRPr="00E9279E">
        <w:t>interstitial lung disease</w:t>
      </w:r>
      <w:r w:rsidRPr="00E9279E">
        <w:t xml:space="preserve"> in patients with SAEs related to COVID-19.</w:t>
      </w:r>
    </w:p>
    <w:p w14:paraId="2C5E3459" w14:textId="77777777" w:rsidR="00C314D3" w:rsidRPr="00E9279E" w:rsidRDefault="00C314D3" w:rsidP="005A2C95">
      <w:pPr>
        <w:pStyle w:val="Heading5"/>
        <w:rPr>
          <w:lang w:eastAsia="ja-JP"/>
        </w:rPr>
      </w:pPr>
      <w:r w:rsidRPr="00E9279E">
        <w:rPr>
          <w:lang w:eastAsia="ja-JP"/>
        </w:rPr>
        <w:t>Discontinuations and dose modifications</w:t>
      </w:r>
    </w:p>
    <w:p w14:paraId="350B09E8" w14:textId="71E7059F" w:rsidR="00C314D3" w:rsidRPr="00E9279E" w:rsidRDefault="00C314D3" w:rsidP="005A2C95">
      <w:r w:rsidRPr="00E9279E">
        <w:t xml:space="preserve">At OS </w:t>
      </w:r>
      <w:r w:rsidR="00D008C9" w:rsidRPr="00E9279E">
        <w:t>Interim Analysis 1</w:t>
      </w:r>
      <w:r w:rsidRPr="00E9279E">
        <w:t xml:space="preserve">, there was a slight increase in the number of patients who discontinued </w:t>
      </w:r>
      <w:proofErr w:type="spellStart"/>
      <w:r w:rsidRPr="00E9279E">
        <w:t>abemaciclib</w:t>
      </w:r>
      <w:proofErr w:type="spellEnd"/>
      <w:r w:rsidRPr="00E9279E">
        <w:t xml:space="preserve"> or </w:t>
      </w:r>
      <w:proofErr w:type="spellStart"/>
      <w:r w:rsidRPr="00E9279E">
        <w:t>abemaciclib</w:t>
      </w:r>
      <w:proofErr w:type="spellEnd"/>
      <w:r w:rsidRPr="00E9279E">
        <w:t xml:space="preserve"> and </w:t>
      </w:r>
      <w:r w:rsidR="00C518AE" w:rsidRPr="00E9279E">
        <w:t>endocrine therapy</w:t>
      </w:r>
      <w:r w:rsidRPr="00E9279E">
        <w:t xml:space="preserve"> due to AEs; n = 515 (18.5%, </w:t>
      </w:r>
      <w:r w:rsidR="00033AC2" w:rsidRPr="00E9279E">
        <w:t>versus</w:t>
      </w:r>
      <w:r w:rsidRPr="00E9279E">
        <w:t xml:space="preserve"> 17.2% at final IDFS analysis).</w:t>
      </w:r>
    </w:p>
    <w:p w14:paraId="0387DF61" w14:textId="4086A579" w:rsidR="00C314D3" w:rsidRPr="00E9279E" w:rsidRDefault="00C314D3" w:rsidP="005A2C95">
      <w:r w:rsidRPr="00E9279E">
        <w:t>The 3 most common reasons for discontinuations were those also reported at final IDFS analysis (</w:t>
      </w:r>
      <w:r w:rsidR="00CB6359" w:rsidRPr="00E9279E">
        <w:t xml:space="preserve">see </w:t>
      </w:r>
      <w:r w:rsidRPr="00E9279E">
        <w:fldChar w:fldCharType="begin"/>
      </w:r>
      <w:r w:rsidRPr="00E9279E">
        <w:instrText xml:space="preserve"> REF _Ref91840717 \h </w:instrText>
      </w:r>
      <w:r w:rsidR="005A2C95" w:rsidRPr="00E9279E">
        <w:instrText xml:space="preserve"> \* MERGEFORMAT </w:instrText>
      </w:r>
      <w:r w:rsidRPr="00E9279E">
        <w:fldChar w:fldCharType="separate"/>
      </w:r>
      <w:r w:rsidR="00E9279E" w:rsidRPr="00E9279E">
        <w:t xml:space="preserve">Figure </w:t>
      </w:r>
      <w:r w:rsidR="00E9279E">
        <w:t>7</w:t>
      </w:r>
      <w:r w:rsidRPr="00E9279E">
        <w:fldChar w:fldCharType="end"/>
      </w:r>
      <w:r w:rsidR="00CB6359" w:rsidRPr="00E9279E">
        <w:t xml:space="preserve"> below</w:t>
      </w:r>
      <w:r w:rsidRPr="00E9279E">
        <w:t xml:space="preserve">): diarrhoea (5.3%), fatigue (2.0%), and </w:t>
      </w:r>
      <w:proofErr w:type="spellStart"/>
      <w:r w:rsidR="000C71AD" w:rsidRPr="00E9279E">
        <w:t>neutropaenia</w:t>
      </w:r>
      <w:proofErr w:type="spellEnd"/>
      <w:r w:rsidRPr="00E9279E">
        <w:t xml:space="preserve"> (0.9%), with these 3</w:t>
      </w:r>
      <w:r w:rsidR="00CB6359" w:rsidRPr="00E9279E">
        <w:t> </w:t>
      </w:r>
      <w:r w:rsidRPr="00E9279E">
        <w:t>AEs accounting for 44% of all discontinuations due to AEs.</w:t>
      </w:r>
    </w:p>
    <w:p w14:paraId="0E913467" w14:textId="4E42A538" w:rsidR="00C314D3" w:rsidRPr="00E9279E" w:rsidRDefault="00C314D3" w:rsidP="005A2C95">
      <w:r w:rsidRPr="00E9279E">
        <w:t xml:space="preserve">There were 181 (6.5%) patients in Arm A who discontinued all study treatment due to AEs, most commonly due to diarrhoea (2.5%) and fatigue (1.0%). In Arm B, 30 (1.1%) subjects discontinued treatment. Of these 211 patients who discontinued all treatment, 135 (64%) entered the follow-up period, and 106 (91%) Arm A patients and 10 (56%) Arm B patients </w:t>
      </w:r>
      <w:proofErr w:type="gramStart"/>
      <w:r w:rsidRPr="00E9279E">
        <w:t>continued on</w:t>
      </w:r>
      <w:proofErr w:type="gramEnd"/>
      <w:r w:rsidRPr="00E9279E">
        <w:t xml:space="preserve"> </w:t>
      </w:r>
      <w:r w:rsidR="00C518AE" w:rsidRPr="00E9279E">
        <w:t>endocrine therapy</w:t>
      </w:r>
      <w:r w:rsidRPr="00E9279E">
        <w:t xml:space="preserve"> as post-discontinuation therapy.</w:t>
      </w:r>
    </w:p>
    <w:p w14:paraId="723BB254" w14:textId="5E6E0FF3" w:rsidR="00C314D3" w:rsidRPr="00E9279E" w:rsidRDefault="00C314D3" w:rsidP="00B63518">
      <w:pPr>
        <w:pStyle w:val="FigureTitle"/>
      </w:pPr>
      <w:bookmarkStart w:id="71" w:name="_Ref91840717"/>
      <w:r w:rsidRPr="00E9279E">
        <w:lastRenderedPageBreak/>
        <w:t xml:space="preserve">Figure </w:t>
      </w:r>
      <w:r w:rsidR="000C44E7">
        <w:fldChar w:fldCharType="begin"/>
      </w:r>
      <w:r w:rsidR="000C44E7">
        <w:instrText xml:space="preserve"> SEQ Figure \* ARABIC </w:instrText>
      </w:r>
      <w:r w:rsidR="000C44E7">
        <w:fldChar w:fldCharType="separate"/>
      </w:r>
      <w:r w:rsidR="00E9279E">
        <w:rPr>
          <w:noProof/>
        </w:rPr>
        <w:t>7</w:t>
      </w:r>
      <w:r w:rsidR="000C44E7">
        <w:rPr>
          <w:noProof/>
        </w:rPr>
        <w:fldChar w:fldCharType="end"/>
      </w:r>
      <w:bookmarkEnd w:id="71"/>
      <w:r w:rsidRPr="00E9279E">
        <w:t xml:space="preserve">: </w:t>
      </w:r>
      <w:r w:rsidR="0086249E" w:rsidRPr="00E9279E">
        <w:t xml:space="preserve">Study I3Y-MC-JPCF </w:t>
      </w:r>
      <w:r w:rsidR="00266263" w:rsidRPr="00E9279E">
        <w:t>(</w:t>
      </w:r>
      <w:r w:rsidR="001B7C07" w:rsidRPr="00E9279E">
        <w:t xml:space="preserve">MONARCHE </w:t>
      </w:r>
      <w:r w:rsidR="00266263" w:rsidRPr="00E9279E">
        <w:t xml:space="preserve">trial) </w:t>
      </w:r>
      <w:r w:rsidRPr="00E9279E">
        <w:t xml:space="preserve">Discontinuation of </w:t>
      </w:r>
      <w:proofErr w:type="spellStart"/>
      <w:r w:rsidRPr="00E9279E">
        <w:t>abemaciclib</w:t>
      </w:r>
      <w:proofErr w:type="spellEnd"/>
      <w:r w:rsidRPr="00E9279E">
        <w:t xml:space="preserve"> or all treatment due to </w:t>
      </w:r>
      <w:r w:rsidR="00CB6359" w:rsidRPr="00E9279E">
        <w:t>adverse event</w:t>
      </w:r>
      <w:r w:rsidRPr="00E9279E">
        <w:t xml:space="preserve"> by months of treatment, </w:t>
      </w:r>
      <w:r w:rsidR="006E35DD" w:rsidRPr="00E9279E">
        <w:t>final invasive disease-free survival analysis</w:t>
      </w:r>
    </w:p>
    <w:p w14:paraId="77353A32" w14:textId="77777777" w:rsidR="00C314D3" w:rsidRPr="00E9279E" w:rsidRDefault="00C314D3" w:rsidP="00B63518">
      <w:pPr>
        <w:rPr>
          <w:lang w:eastAsia="ja-JP"/>
        </w:rPr>
      </w:pPr>
      <w:r w:rsidRPr="00E9279E">
        <w:rPr>
          <w:noProof/>
          <w:lang w:val="en-GB" w:eastAsia="en-GB"/>
        </w:rPr>
        <w:drawing>
          <wp:inline distT="0" distB="0" distL="0" distR="0" wp14:anchorId="57285F7A" wp14:editId="7F478C9B">
            <wp:extent cx="5254440" cy="3222172"/>
            <wp:effectExtent l="0" t="0" r="3810" b="0"/>
            <wp:docPr id="5" name="Picture 5" descr="Figure 7: Study I3Y-MC-JPCF (MONARCHE trial) Discontinuation of abemaciclib or all treatment due to adverse event by months of treatment, final invasive disease free surviv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7: Study I3Y-MC-JPCF (MONARCHE trial) Discontinuation of abemaciclib or all treatment due to adverse event by months of treatment, final invasive disease free survival analysis"/>
                    <pic:cNvPicPr/>
                  </pic:nvPicPr>
                  <pic:blipFill>
                    <a:blip r:embed="rId26"/>
                    <a:stretch>
                      <a:fillRect/>
                    </a:stretch>
                  </pic:blipFill>
                  <pic:spPr>
                    <a:xfrm>
                      <a:off x="0" y="0"/>
                      <a:ext cx="5268970" cy="3231082"/>
                    </a:xfrm>
                    <a:prstGeom prst="rect">
                      <a:avLst/>
                    </a:prstGeom>
                  </pic:spPr>
                </pic:pic>
              </a:graphicData>
            </a:graphic>
          </wp:inline>
        </w:drawing>
      </w:r>
    </w:p>
    <w:p w14:paraId="792C30CE" w14:textId="7AD6CA3E" w:rsidR="00971A2C" w:rsidRPr="00E9279E" w:rsidRDefault="00971A2C" w:rsidP="00B63518">
      <w:pPr>
        <w:pStyle w:val="FigureDescription"/>
      </w:pPr>
      <w:r w:rsidRPr="00E9279E">
        <w:t>Abbreviation: ET = endocrine therapy.</w:t>
      </w:r>
    </w:p>
    <w:p w14:paraId="4130CC01" w14:textId="1D19AB74" w:rsidR="00BC618B" w:rsidRPr="00E9279E" w:rsidRDefault="00C314D3" w:rsidP="00B63518">
      <w:pPr>
        <w:pStyle w:val="FigureDescription"/>
      </w:pPr>
      <w:r w:rsidRPr="00E9279E">
        <w:t>The denominator is the number of patients exposed to study treatment per month.</w:t>
      </w:r>
    </w:p>
    <w:p w14:paraId="50068FC4" w14:textId="50E1BA4E" w:rsidR="00C314D3" w:rsidRPr="00E9279E" w:rsidRDefault="00C314D3" w:rsidP="00B63518">
      <w:pPr>
        <w:pStyle w:val="FigureDescription"/>
      </w:pPr>
      <w:r w:rsidRPr="00E9279E">
        <w:t>Data cut-off</w:t>
      </w:r>
      <w:r w:rsidR="00BC618B" w:rsidRPr="00E9279E">
        <w:t xml:space="preserve"> date</w:t>
      </w:r>
      <w:r w:rsidRPr="00E9279E">
        <w:t>: 8 July 2020.</w:t>
      </w:r>
    </w:p>
    <w:p w14:paraId="26C638EF" w14:textId="5279F080" w:rsidR="00C314D3" w:rsidRPr="00E9279E" w:rsidRDefault="00C314D3" w:rsidP="005A2C95">
      <w:r w:rsidRPr="00E9279E">
        <w:t xml:space="preserve">The incidence of </w:t>
      </w:r>
      <w:proofErr w:type="spellStart"/>
      <w:r w:rsidRPr="00E9279E">
        <w:t>abemaciclib</w:t>
      </w:r>
      <w:proofErr w:type="spellEnd"/>
      <w:r w:rsidRPr="00E9279E">
        <w:t xml:space="preserve"> dose modifications and reasons the dose modifications at OS </w:t>
      </w:r>
      <w:r w:rsidR="00D008C9" w:rsidRPr="00E9279E">
        <w:t>Interim</w:t>
      </w:r>
      <w:r w:rsidR="006E35DD" w:rsidRPr="00E9279E">
        <w:t> </w:t>
      </w:r>
      <w:r w:rsidR="00D008C9" w:rsidRPr="00E9279E">
        <w:t>Analysis</w:t>
      </w:r>
      <w:r w:rsidR="006E35DD" w:rsidRPr="00E9279E">
        <w:t> </w:t>
      </w:r>
      <w:r w:rsidR="00D008C9" w:rsidRPr="00E9279E">
        <w:t>1</w:t>
      </w:r>
      <w:r w:rsidRPr="00E9279E">
        <w:t xml:space="preserve"> were comparable with the final IDFS analysis (</w:t>
      </w:r>
      <w:r w:rsidR="006E35DD" w:rsidRPr="00E9279E">
        <w:t xml:space="preserve">see </w:t>
      </w:r>
      <w:r w:rsidRPr="00E9279E">
        <w:fldChar w:fldCharType="begin"/>
      </w:r>
      <w:r w:rsidRPr="00E9279E">
        <w:instrText xml:space="preserve"> REF _Ref91840778 \h </w:instrText>
      </w:r>
      <w:r w:rsidR="005A2C95" w:rsidRPr="00E9279E">
        <w:instrText xml:space="preserve"> \* MERGEFORMAT </w:instrText>
      </w:r>
      <w:r w:rsidRPr="00E9279E">
        <w:fldChar w:fldCharType="separate"/>
      </w:r>
      <w:r w:rsidR="00E9279E" w:rsidRPr="00E9279E">
        <w:t xml:space="preserve">Figure </w:t>
      </w:r>
      <w:r w:rsidR="00E9279E">
        <w:t>8</w:t>
      </w:r>
      <w:r w:rsidRPr="00E9279E">
        <w:fldChar w:fldCharType="end"/>
      </w:r>
      <w:r w:rsidR="006E35DD" w:rsidRPr="00E9279E">
        <w:t xml:space="preserve"> below</w:t>
      </w:r>
      <w:r w:rsidRPr="00E9279E">
        <w:t xml:space="preserve">), with 43.4% and 61.7% with at least </w:t>
      </w:r>
      <w:r w:rsidR="006E35DD" w:rsidRPr="00E9279E">
        <w:t>one</w:t>
      </w:r>
      <w:r w:rsidRPr="00E9279E">
        <w:t xml:space="preserve"> dose reduction and dose omission respectively. Diarrhoea, </w:t>
      </w:r>
      <w:proofErr w:type="spellStart"/>
      <w:r w:rsidR="000C71AD" w:rsidRPr="00E9279E">
        <w:t>neutropaenia</w:t>
      </w:r>
      <w:proofErr w:type="spellEnd"/>
      <w:r w:rsidRPr="00E9279E">
        <w:t xml:space="preserve">, fatigue, and leukopenia were the most common reasons for </w:t>
      </w:r>
      <w:proofErr w:type="spellStart"/>
      <w:r w:rsidRPr="00E9279E">
        <w:t>abemaciclib</w:t>
      </w:r>
      <w:proofErr w:type="spellEnd"/>
      <w:r w:rsidRPr="00E9279E">
        <w:t xml:space="preserve"> dose modifications.</w:t>
      </w:r>
    </w:p>
    <w:p w14:paraId="1D82DD6D" w14:textId="53542DDA" w:rsidR="00C314D3" w:rsidRPr="00E9279E" w:rsidRDefault="00C314D3" w:rsidP="00B63518">
      <w:pPr>
        <w:pStyle w:val="FigureTitle"/>
      </w:pPr>
      <w:bookmarkStart w:id="72" w:name="_Ref91840778"/>
      <w:r w:rsidRPr="00E9279E">
        <w:lastRenderedPageBreak/>
        <w:t xml:space="preserve">Figure </w:t>
      </w:r>
      <w:r w:rsidR="000C44E7">
        <w:fldChar w:fldCharType="begin"/>
      </w:r>
      <w:r w:rsidR="000C44E7">
        <w:instrText xml:space="preserve"> SEQ Figure \* ARABIC </w:instrText>
      </w:r>
      <w:r w:rsidR="000C44E7">
        <w:fldChar w:fldCharType="separate"/>
      </w:r>
      <w:r w:rsidR="00E9279E">
        <w:rPr>
          <w:noProof/>
        </w:rPr>
        <w:t>8</w:t>
      </w:r>
      <w:r w:rsidR="000C44E7">
        <w:rPr>
          <w:noProof/>
        </w:rPr>
        <w:fldChar w:fldCharType="end"/>
      </w:r>
      <w:bookmarkEnd w:id="72"/>
      <w:r w:rsidRPr="00E9279E">
        <w:t xml:space="preserve">: </w:t>
      </w:r>
      <w:r w:rsidR="0086249E" w:rsidRPr="00E9279E">
        <w:t xml:space="preserve">Study I3Y-MC-JPCF </w:t>
      </w:r>
      <w:r w:rsidR="00266263" w:rsidRPr="00E9279E">
        <w:t>(</w:t>
      </w:r>
      <w:r w:rsidR="001B7C07" w:rsidRPr="00E9279E">
        <w:t xml:space="preserve">MONARCHE </w:t>
      </w:r>
      <w:r w:rsidR="00266263" w:rsidRPr="00E9279E">
        <w:t xml:space="preserve">trial) </w:t>
      </w:r>
      <w:r w:rsidRPr="00E9279E">
        <w:t xml:space="preserve">Dose modifications of </w:t>
      </w:r>
      <w:proofErr w:type="spellStart"/>
      <w:r w:rsidRPr="00E9279E">
        <w:t>abemaciclib</w:t>
      </w:r>
      <w:proofErr w:type="spellEnd"/>
      <w:r w:rsidRPr="00E9279E">
        <w:t xml:space="preserve"> due to </w:t>
      </w:r>
      <w:r w:rsidR="006E35DD" w:rsidRPr="00E9279E">
        <w:t>adverse event</w:t>
      </w:r>
      <w:r w:rsidRPr="00E9279E">
        <w:t xml:space="preserve"> by months, </w:t>
      </w:r>
      <w:r w:rsidR="006E35DD" w:rsidRPr="00E9279E">
        <w:t>final invasive disease-free survival analysis</w:t>
      </w:r>
    </w:p>
    <w:p w14:paraId="407565B4" w14:textId="77777777" w:rsidR="00C314D3" w:rsidRPr="00E9279E" w:rsidRDefault="00C314D3" w:rsidP="00B63518">
      <w:r w:rsidRPr="00E9279E">
        <w:rPr>
          <w:noProof/>
          <w:lang w:val="en-GB" w:eastAsia="en-GB"/>
        </w:rPr>
        <w:drawing>
          <wp:inline distT="0" distB="0" distL="0" distR="0" wp14:anchorId="359F60E6" wp14:editId="53EBDAB4">
            <wp:extent cx="5327886" cy="3363685"/>
            <wp:effectExtent l="0" t="0" r="6350" b="8255"/>
            <wp:docPr id="4" name="Picture 4" descr="Figure 8: Study I3Y-MC-JPCF (MONARCHE trial) Dose modifications of abemaciclib due to adverse event by months, final invasive disease free surviv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8: Study I3Y-MC-JPCF (MONARCHE trial) Dose modifications of abemaciclib due to adverse event by months, final invasive disease free survival analysis"/>
                    <pic:cNvPicPr/>
                  </pic:nvPicPr>
                  <pic:blipFill>
                    <a:blip r:embed="rId27"/>
                    <a:stretch>
                      <a:fillRect/>
                    </a:stretch>
                  </pic:blipFill>
                  <pic:spPr>
                    <a:xfrm>
                      <a:off x="0" y="0"/>
                      <a:ext cx="5348655" cy="3376797"/>
                    </a:xfrm>
                    <a:prstGeom prst="rect">
                      <a:avLst/>
                    </a:prstGeom>
                  </pic:spPr>
                </pic:pic>
              </a:graphicData>
            </a:graphic>
          </wp:inline>
        </w:drawing>
      </w:r>
    </w:p>
    <w:p w14:paraId="529250BB" w14:textId="3F526A01" w:rsidR="00BC618B" w:rsidRPr="00E9279E" w:rsidRDefault="00C314D3" w:rsidP="00B63518">
      <w:pPr>
        <w:pStyle w:val="FigureDescription"/>
      </w:pPr>
      <w:r w:rsidRPr="00E9279E">
        <w:t>The denominator is the number of patients exposed to study treatment per month.</w:t>
      </w:r>
    </w:p>
    <w:p w14:paraId="72CB92B0" w14:textId="0D7713E6" w:rsidR="00C314D3" w:rsidRPr="00E9279E" w:rsidRDefault="00C314D3" w:rsidP="00B63518">
      <w:pPr>
        <w:pStyle w:val="FigureDescription"/>
      </w:pPr>
      <w:r w:rsidRPr="00E9279E">
        <w:t>Data cut-off</w:t>
      </w:r>
      <w:r w:rsidR="00BC618B" w:rsidRPr="00E9279E">
        <w:t xml:space="preserve"> date</w:t>
      </w:r>
      <w:r w:rsidRPr="00E9279E">
        <w:t>: 8 July 2020.</w:t>
      </w:r>
    </w:p>
    <w:p w14:paraId="06C76426" w14:textId="4C0FD00F" w:rsidR="00C314D3" w:rsidRPr="00E9279E" w:rsidRDefault="00C314D3" w:rsidP="005A2C95">
      <w:pPr>
        <w:pStyle w:val="Heading5"/>
        <w:rPr>
          <w:lang w:eastAsia="ja-JP"/>
        </w:rPr>
      </w:pPr>
      <w:r w:rsidRPr="00E9279E">
        <w:rPr>
          <w:lang w:eastAsia="ja-JP"/>
        </w:rPr>
        <w:t xml:space="preserve">Serious </w:t>
      </w:r>
      <w:r w:rsidR="006E35DD" w:rsidRPr="00E9279E">
        <w:rPr>
          <w:lang w:eastAsia="ja-JP"/>
        </w:rPr>
        <w:t>adverse events and deaths</w:t>
      </w:r>
    </w:p>
    <w:p w14:paraId="2A59C32C" w14:textId="552CE485" w:rsidR="00C314D3" w:rsidRPr="00E9279E" w:rsidRDefault="00C314D3" w:rsidP="005A2C95">
      <w:r w:rsidRPr="00E9279E">
        <w:t xml:space="preserve">More SAEs had accrued at the OS </w:t>
      </w:r>
      <w:r w:rsidR="00D008C9" w:rsidRPr="00E9279E">
        <w:t>Interim Analysis 1</w:t>
      </w:r>
      <w:r w:rsidRPr="00E9279E">
        <w:t xml:space="preserve"> analysis (15.2% Arm A, 8.8% Arm</w:t>
      </w:r>
      <w:r w:rsidR="00D22E21" w:rsidRPr="00E9279E">
        <w:t> </w:t>
      </w:r>
      <w:r w:rsidRPr="00E9279E">
        <w:t>B) compared with the final IDFS analysis (13.3% Arm A, 7.8% Arm B).</w:t>
      </w:r>
    </w:p>
    <w:p w14:paraId="50A13FC2" w14:textId="3865BD0C" w:rsidR="00C314D3" w:rsidRPr="00E9279E" w:rsidRDefault="00C314D3" w:rsidP="005A2C95">
      <w:r w:rsidRPr="00E9279E">
        <w:t xml:space="preserve">There were 184 deaths at the time of OS </w:t>
      </w:r>
      <w:r w:rsidR="00D008C9" w:rsidRPr="00E9279E">
        <w:t xml:space="preserve">Interim Analysis </w:t>
      </w:r>
      <w:proofErr w:type="gramStart"/>
      <w:r w:rsidR="00D008C9" w:rsidRPr="00E9279E">
        <w:t>1</w:t>
      </w:r>
      <w:r w:rsidRPr="00E9279E">
        <w:t>;</w:t>
      </w:r>
      <w:proofErr w:type="gramEnd"/>
      <w:r w:rsidRPr="00E9279E">
        <w:t xml:space="preserve"> n = 95 (3.4%) Arm A, n</w:t>
      </w:r>
      <w:r w:rsidR="00D22E21" w:rsidRPr="00E9279E">
        <w:t> </w:t>
      </w:r>
      <w:r w:rsidRPr="00E9279E">
        <w:t>=</w:t>
      </w:r>
      <w:r w:rsidR="00D22E21" w:rsidRPr="00E9279E">
        <w:t> </w:t>
      </w:r>
      <w:r w:rsidRPr="00E9279E">
        <w:t xml:space="preserve">89 (3.2%) Arm B. </w:t>
      </w:r>
      <w:proofErr w:type="gramStart"/>
      <w:r w:rsidRPr="00E9279E">
        <w:t>The majority of</w:t>
      </w:r>
      <w:proofErr w:type="gramEnd"/>
      <w:r w:rsidRPr="00E9279E">
        <w:t xml:space="preserve"> deaths in both treatment arms were due to study disease; n</w:t>
      </w:r>
      <w:r w:rsidR="00266263" w:rsidRPr="00E9279E">
        <w:t> </w:t>
      </w:r>
      <w:r w:rsidRPr="00E9279E">
        <w:t>= 71 (2.5%) and n = 75 (2.7%) for Arm A and Arm B respectively.</w:t>
      </w:r>
    </w:p>
    <w:p w14:paraId="5517C7F9" w14:textId="02FCDA75" w:rsidR="00C314D3" w:rsidRPr="00E9279E" w:rsidRDefault="00C314D3" w:rsidP="005A2C95">
      <w:r w:rsidRPr="00E9279E">
        <w:t xml:space="preserve">More fatal AEs that were treatment-emergent or within 30 days of study treatment discontinuation had accrued at the OS </w:t>
      </w:r>
      <w:r w:rsidR="00D008C9" w:rsidRPr="00E9279E">
        <w:t>Interim Analysis 1</w:t>
      </w:r>
      <w:r w:rsidRPr="00E9279E">
        <w:t xml:space="preserve"> analysis (n = 15 </w:t>
      </w:r>
      <w:r w:rsidR="00033AC2" w:rsidRPr="00E9279E">
        <w:t>(</w:t>
      </w:r>
      <w:r w:rsidRPr="00E9279E">
        <w:t>0.5%</w:t>
      </w:r>
      <w:r w:rsidR="00033AC2" w:rsidRPr="00E9279E">
        <w:t>)</w:t>
      </w:r>
      <w:r w:rsidRPr="00E9279E">
        <w:t xml:space="preserve"> Arm</w:t>
      </w:r>
      <w:r w:rsidR="00D22E21" w:rsidRPr="00E9279E">
        <w:t> </w:t>
      </w:r>
      <w:r w:rsidRPr="00E9279E">
        <w:t xml:space="preserve">A </w:t>
      </w:r>
      <w:r w:rsidR="00033AC2" w:rsidRPr="00E9279E">
        <w:t>versus</w:t>
      </w:r>
      <w:r w:rsidRPr="00E9279E">
        <w:t xml:space="preserve"> n = 10 </w:t>
      </w:r>
      <w:r w:rsidR="00033AC2" w:rsidRPr="00E9279E">
        <w:t>(</w:t>
      </w:r>
      <w:r w:rsidRPr="00E9279E">
        <w:t>0.4%</w:t>
      </w:r>
      <w:r w:rsidR="00033AC2" w:rsidRPr="00E9279E">
        <w:t>)</w:t>
      </w:r>
      <w:r w:rsidRPr="00E9279E">
        <w:t xml:space="preserve"> Arm B) compared with the final IDFS analysis (n = 11 </w:t>
      </w:r>
      <w:r w:rsidR="00033AC2" w:rsidRPr="00E9279E">
        <w:t>(</w:t>
      </w:r>
      <w:r w:rsidRPr="00E9279E">
        <w:t>0.4%</w:t>
      </w:r>
      <w:r w:rsidR="00033AC2" w:rsidRPr="00E9279E">
        <w:t>)</w:t>
      </w:r>
      <w:r w:rsidRPr="00E9279E">
        <w:t xml:space="preserve"> Arm</w:t>
      </w:r>
      <w:r w:rsidR="00D22E21" w:rsidRPr="00E9279E">
        <w:t> </w:t>
      </w:r>
      <w:r w:rsidRPr="00E9279E">
        <w:t>A, n</w:t>
      </w:r>
      <w:r w:rsidR="00D22E21" w:rsidRPr="00E9279E">
        <w:t> </w:t>
      </w:r>
      <w:r w:rsidRPr="00E9279E">
        <w:t>=</w:t>
      </w:r>
      <w:r w:rsidR="00D22E21" w:rsidRPr="00E9279E">
        <w:t> </w:t>
      </w:r>
      <w:r w:rsidRPr="00E9279E">
        <w:t xml:space="preserve">9 </w:t>
      </w:r>
      <w:r w:rsidR="00033AC2" w:rsidRPr="00E9279E">
        <w:t>(</w:t>
      </w:r>
      <w:r w:rsidRPr="00E9279E">
        <w:t>0.3%</w:t>
      </w:r>
      <w:r w:rsidR="00033AC2" w:rsidRPr="00E9279E">
        <w:t>)</w:t>
      </w:r>
      <w:r w:rsidRPr="00E9279E">
        <w:t xml:space="preserve"> Arm B).</w:t>
      </w:r>
    </w:p>
    <w:p w14:paraId="0C5F74C6" w14:textId="197C12FB" w:rsidR="00C314D3" w:rsidRPr="00E9279E" w:rsidRDefault="00C314D3" w:rsidP="00B63518">
      <w:pPr>
        <w:pStyle w:val="TableTitle"/>
      </w:pPr>
      <w:r w:rsidRPr="00E9279E">
        <w:t xml:space="preserve">Table </w:t>
      </w:r>
      <w:r w:rsidR="000C44E7">
        <w:fldChar w:fldCharType="begin"/>
      </w:r>
      <w:r w:rsidR="000C44E7">
        <w:instrText xml:space="preserve"> SEQ Table \* ARABIC </w:instrText>
      </w:r>
      <w:r w:rsidR="000C44E7">
        <w:fldChar w:fldCharType="separate"/>
      </w:r>
      <w:r w:rsidR="00E9279E">
        <w:rPr>
          <w:noProof/>
        </w:rPr>
        <w:t>8</w:t>
      </w:r>
      <w:r w:rsidR="000C44E7">
        <w:rPr>
          <w:noProof/>
        </w:rPr>
        <w:fldChar w:fldCharType="end"/>
      </w:r>
      <w:r w:rsidR="0086249E" w:rsidRPr="00E9279E">
        <w:t>: Study I3Y-MC-JPCF</w:t>
      </w:r>
      <w:r w:rsidRPr="00E9279E">
        <w:t xml:space="preserve"> </w:t>
      </w:r>
      <w:r w:rsidR="00266263" w:rsidRPr="00E9279E">
        <w:t>(</w:t>
      </w:r>
      <w:r w:rsidR="001B7C07" w:rsidRPr="00E9279E">
        <w:t xml:space="preserve">MONARCHE </w:t>
      </w:r>
      <w:r w:rsidR="00266263" w:rsidRPr="00E9279E">
        <w:t xml:space="preserve">trial) </w:t>
      </w:r>
      <w:r w:rsidRPr="00E9279E">
        <w:t xml:space="preserve">Summary of </w:t>
      </w:r>
      <w:r w:rsidR="006E35DD" w:rsidRPr="00E9279E">
        <w:t>serious adverse effects and deaths</w:t>
      </w:r>
    </w:p>
    <w:tbl>
      <w:tblPr>
        <w:tblStyle w:val="TableTGAblue"/>
        <w:tblW w:w="0" w:type="auto"/>
        <w:tblLook w:val="04A0" w:firstRow="1" w:lastRow="0" w:firstColumn="1" w:lastColumn="0" w:noHBand="0" w:noVBand="1"/>
      </w:tblPr>
      <w:tblGrid>
        <w:gridCol w:w="4101"/>
        <w:gridCol w:w="2268"/>
        <w:gridCol w:w="1973"/>
      </w:tblGrid>
      <w:tr w:rsidR="00C314D3" w:rsidRPr="00E9279E" w14:paraId="16D073E3" w14:textId="77777777" w:rsidTr="00BD08E7">
        <w:trPr>
          <w:cnfStyle w:val="100000000000" w:firstRow="1" w:lastRow="0" w:firstColumn="0" w:lastColumn="0" w:oddVBand="0" w:evenVBand="0" w:oddHBand="0" w:evenHBand="0" w:firstRowFirstColumn="0" w:firstRowLastColumn="0" w:lastRowFirstColumn="0" w:lastRowLastColumn="0"/>
        </w:trPr>
        <w:tc>
          <w:tcPr>
            <w:tcW w:w="4101" w:type="dxa"/>
          </w:tcPr>
          <w:p w14:paraId="450F9730" w14:textId="77777777" w:rsidR="00C314D3" w:rsidRPr="00E9279E" w:rsidRDefault="00C314D3" w:rsidP="00200519">
            <w:pPr>
              <w:pStyle w:val="Tabletext"/>
              <w:ind w:left="0" w:right="0"/>
            </w:pPr>
          </w:p>
        </w:tc>
        <w:tc>
          <w:tcPr>
            <w:tcW w:w="2268" w:type="dxa"/>
          </w:tcPr>
          <w:p w14:paraId="48FED352" w14:textId="77777777" w:rsidR="006D2BFB" w:rsidRPr="00E9279E" w:rsidRDefault="00C314D3" w:rsidP="00200519">
            <w:pPr>
              <w:pStyle w:val="Tabletext"/>
              <w:ind w:left="0" w:right="0"/>
              <w:rPr>
                <w:b w:val="0"/>
              </w:rPr>
            </w:pPr>
            <w:r w:rsidRPr="00E9279E">
              <w:t>Arm A</w:t>
            </w:r>
          </w:p>
          <w:p w14:paraId="210AE5EE" w14:textId="0057F280" w:rsidR="00E93113" w:rsidRPr="00E9279E" w:rsidRDefault="00C314D3" w:rsidP="00200519">
            <w:pPr>
              <w:pStyle w:val="Tabletext"/>
              <w:ind w:left="0" w:right="0"/>
              <w:rPr>
                <w:b w:val="0"/>
              </w:rPr>
            </w:pPr>
            <w:proofErr w:type="spellStart"/>
            <w:r w:rsidRPr="00E9279E">
              <w:t>Abemaciclib</w:t>
            </w:r>
            <w:proofErr w:type="spellEnd"/>
            <w:r w:rsidRPr="00E9279E">
              <w:t xml:space="preserve"> </w:t>
            </w:r>
            <w:r w:rsidR="000C71AD" w:rsidRPr="00E9279E">
              <w:t>plus</w:t>
            </w:r>
            <w:r w:rsidRPr="00E9279E">
              <w:t xml:space="preserve"> </w:t>
            </w:r>
            <w:r w:rsidR="00C518AE" w:rsidRPr="00E9279E">
              <w:t>endocrine therapy</w:t>
            </w:r>
          </w:p>
          <w:p w14:paraId="0227DC51" w14:textId="02DE3103" w:rsidR="00C314D3" w:rsidRPr="00E9279E" w:rsidRDefault="00C314D3" w:rsidP="00200519">
            <w:pPr>
              <w:pStyle w:val="Tabletext"/>
              <w:ind w:left="0" w:right="0"/>
            </w:pPr>
            <w:r w:rsidRPr="00E9279E">
              <w:t>(n</w:t>
            </w:r>
            <w:r w:rsidR="00E93113" w:rsidRPr="00E9279E">
              <w:t xml:space="preserve"> </w:t>
            </w:r>
            <w:r w:rsidRPr="00E9279E">
              <w:t>=</w:t>
            </w:r>
            <w:r w:rsidR="00E93113" w:rsidRPr="00E9279E">
              <w:t xml:space="preserve"> </w:t>
            </w:r>
            <w:r w:rsidRPr="00E9279E">
              <w:t>2791)</w:t>
            </w:r>
          </w:p>
        </w:tc>
        <w:tc>
          <w:tcPr>
            <w:tcW w:w="1973" w:type="dxa"/>
          </w:tcPr>
          <w:p w14:paraId="4E3BB4AA" w14:textId="3073A613" w:rsidR="00C314D3" w:rsidRPr="00E9279E" w:rsidRDefault="00C314D3" w:rsidP="00200519">
            <w:pPr>
              <w:pStyle w:val="Tabletext"/>
              <w:ind w:left="0" w:right="0"/>
            </w:pPr>
            <w:r w:rsidRPr="00E9279E">
              <w:t>Arm B</w:t>
            </w:r>
          </w:p>
          <w:p w14:paraId="638EC22A" w14:textId="0AF4DDD6" w:rsidR="00C314D3" w:rsidRPr="00E9279E" w:rsidRDefault="006D2BFB" w:rsidP="00200519">
            <w:pPr>
              <w:pStyle w:val="Tabletext"/>
              <w:ind w:left="0" w:right="0"/>
            </w:pPr>
            <w:r w:rsidRPr="00E9279E">
              <w:t>E</w:t>
            </w:r>
            <w:r w:rsidR="00C518AE" w:rsidRPr="00E9279E">
              <w:t>ndocrine therapy</w:t>
            </w:r>
            <w:r w:rsidR="00C314D3" w:rsidRPr="00E9279E">
              <w:t xml:space="preserve"> alone</w:t>
            </w:r>
          </w:p>
          <w:p w14:paraId="76BB9F05" w14:textId="5CFC5E5A" w:rsidR="00C314D3" w:rsidRPr="00E9279E" w:rsidRDefault="00C314D3" w:rsidP="00200519">
            <w:pPr>
              <w:pStyle w:val="Tabletext"/>
              <w:ind w:left="0" w:right="0"/>
            </w:pPr>
            <w:r w:rsidRPr="00E9279E">
              <w:t>(n</w:t>
            </w:r>
            <w:r w:rsidR="00E93113" w:rsidRPr="00E9279E">
              <w:t xml:space="preserve"> </w:t>
            </w:r>
            <w:r w:rsidRPr="00E9279E">
              <w:t>=</w:t>
            </w:r>
            <w:r w:rsidR="00E93113" w:rsidRPr="00E9279E">
              <w:t xml:space="preserve"> </w:t>
            </w:r>
            <w:r w:rsidRPr="00E9279E">
              <w:t>2800)</w:t>
            </w:r>
          </w:p>
        </w:tc>
      </w:tr>
      <w:tr w:rsidR="00C314D3" w:rsidRPr="00E9279E" w14:paraId="48C8A872" w14:textId="77777777" w:rsidTr="00BD08E7">
        <w:tc>
          <w:tcPr>
            <w:tcW w:w="4101" w:type="dxa"/>
          </w:tcPr>
          <w:p w14:paraId="55FA82B0" w14:textId="670F28D6" w:rsidR="00C314D3" w:rsidRPr="00E9279E" w:rsidRDefault="00C314D3" w:rsidP="00200519">
            <w:pPr>
              <w:pStyle w:val="Tabletext"/>
              <w:ind w:left="0" w:right="0"/>
              <w:rPr>
                <w:b/>
                <w:bCs/>
              </w:rPr>
            </w:pPr>
            <w:r w:rsidRPr="00E9279E">
              <w:rPr>
                <w:b/>
                <w:bCs/>
              </w:rPr>
              <w:t xml:space="preserve">Serious </w:t>
            </w:r>
            <w:r w:rsidR="006D2BFB" w:rsidRPr="00E9279E">
              <w:rPr>
                <w:b/>
                <w:bCs/>
              </w:rPr>
              <w:t>adverse events</w:t>
            </w:r>
          </w:p>
        </w:tc>
        <w:tc>
          <w:tcPr>
            <w:tcW w:w="2268" w:type="dxa"/>
          </w:tcPr>
          <w:p w14:paraId="06746EC3" w14:textId="77777777" w:rsidR="00C314D3" w:rsidRPr="00E9279E" w:rsidRDefault="00C314D3" w:rsidP="00200519">
            <w:pPr>
              <w:pStyle w:val="Tabletext"/>
              <w:ind w:left="0" w:right="0"/>
            </w:pPr>
            <w:r w:rsidRPr="00E9279E">
              <w:t>424 (15.2%)</w:t>
            </w:r>
          </w:p>
        </w:tc>
        <w:tc>
          <w:tcPr>
            <w:tcW w:w="1973" w:type="dxa"/>
          </w:tcPr>
          <w:p w14:paraId="3BC9D3A1" w14:textId="77777777" w:rsidR="00C314D3" w:rsidRPr="00E9279E" w:rsidRDefault="00C314D3" w:rsidP="00200519">
            <w:pPr>
              <w:pStyle w:val="Tabletext"/>
              <w:ind w:left="0" w:right="0"/>
            </w:pPr>
            <w:r w:rsidRPr="00E9279E">
              <w:t>247 (8.8%)</w:t>
            </w:r>
          </w:p>
        </w:tc>
      </w:tr>
      <w:tr w:rsidR="00C314D3" w:rsidRPr="00E9279E" w14:paraId="08438772" w14:textId="77777777" w:rsidTr="0036706A">
        <w:tc>
          <w:tcPr>
            <w:tcW w:w="8342" w:type="dxa"/>
            <w:gridSpan w:val="3"/>
          </w:tcPr>
          <w:p w14:paraId="54F2F8E7" w14:textId="1D373997" w:rsidR="00C314D3" w:rsidRPr="00E9279E" w:rsidRDefault="00C314D3" w:rsidP="00200519">
            <w:pPr>
              <w:pStyle w:val="Tabletext"/>
              <w:ind w:left="0" w:right="0"/>
              <w:rPr>
                <w:b/>
                <w:bCs/>
                <w:i/>
                <w:iCs/>
              </w:rPr>
            </w:pPr>
            <w:r w:rsidRPr="00E9279E">
              <w:rPr>
                <w:b/>
                <w:bCs/>
                <w:i/>
                <w:iCs/>
              </w:rPr>
              <w:t xml:space="preserve">Serious </w:t>
            </w:r>
            <w:r w:rsidR="006D2BFB" w:rsidRPr="00E9279E">
              <w:rPr>
                <w:b/>
                <w:bCs/>
                <w:i/>
                <w:iCs/>
              </w:rPr>
              <w:t xml:space="preserve">adverse events </w:t>
            </w:r>
            <w:r w:rsidRPr="00E9279E">
              <w:rPr>
                <w:b/>
                <w:bCs/>
                <w:i/>
                <w:iCs/>
              </w:rPr>
              <w:t>in ≥ 10 patients in either arm</w:t>
            </w:r>
          </w:p>
        </w:tc>
      </w:tr>
      <w:tr w:rsidR="00C314D3" w:rsidRPr="00E9279E" w14:paraId="37D65833" w14:textId="77777777" w:rsidTr="00BD08E7">
        <w:tc>
          <w:tcPr>
            <w:tcW w:w="4101" w:type="dxa"/>
          </w:tcPr>
          <w:p w14:paraId="21AFC581" w14:textId="21627F3A" w:rsidR="00C314D3" w:rsidRPr="00E9279E" w:rsidRDefault="00266263" w:rsidP="00200519">
            <w:pPr>
              <w:pStyle w:val="Tabletext"/>
              <w:ind w:left="0" w:right="0"/>
            </w:pPr>
            <w:r w:rsidRPr="00E9279E">
              <w:t>P</w:t>
            </w:r>
            <w:r w:rsidR="00C314D3" w:rsidRPr="00E9279E">
              <w:t>neumonia</w:t>
            </w:r>
          </w:p>
        </w:tc>
        <w:tc>
          <w:tcPr>
            <w:tcW w:w="2268" w:type="dxa"/>
          </w:tcPr>
          <w:p w14:paraId="6F38BC54" w14:textId="77777777" w:rsidR="00C314D3" w:rsidRPr="00E9279E" w:rsidRDefault="00C314D3" w:rsidP="00200519">
            <w:pPr>
              <w:pStyle w:val="Tabletext"/>
              <w:ind w:left="0" w:right="0"/>
            </w:pPr>
            <w:r w:rsidRPr="00E9279E">
              <w:t>20 (1.0%)</w:t>
            </w:r>
          </w:p>
        </w:tc>
        <w:tc>
          <w:tcPr>
            <w:tcW w:w="1973" w:type="dxa"/>
          </w:tcPr>
          <w:p w14:paraId="6E9DD3E1" w14:textId="77777777" w:rsidR="00C314D3" w:rsidRPr="00E9279E" w:rsidRDefault="00C314D3" w:rsidP="00200519">
            <w:pPr>
              <w:pStyle w:val="Tabletext"/>
              <w:ind w:left="0" w:right="0"/>
            </w:pPr>
            <w:r w:rsidRPr="00E9279E">
              <w:t>17 (0.6%)</w:t>
            </w:r>
          </w:p>
        </w:tc>
      </w:tr>
      <w:tr w:rsidR="00C314D3" w:rsidRPr="00E9279E" w14:paraId="13EB6173" w14:textId="77777777" w:rsidTr="00BD08E7">
        <w:tc>
          <w:tcPr>
            <w:tcW w:w="4101" w:type="dxa"/>
          </w:tcPr>
          <w:p w14:paraId="350260F0" w14:textId="77777777" w:rsidR="00C314D3" w:rsidRPr="00E9279E" w:rsidRDefault="00C314D3" w:rsidP="00200519">
            <w:pPr>
              <w:pStyle w:val="Tabletext"/>
              <w:ind w:left="0" w:right="0"/>
            </w:pPr>
            <w:r w:rsidRPr="00E9279E">
              <w:t>Pulmonary embolism</w:t>
            </w:r>
          </w:p>
        </w:tc>
        <w:tc>
          <w:tcPr>
            <w:tcW w:w="2268" w:type="dxa"/>
          </w:tcPr>
          <w:p w14:paraId="374DAACF" w14:textId="77777777" w:rsidR="00C314D3" w:rsidRPr="00E9279E" w:rsidRDefault="00C314D3" w:rsidP="00200519">
            <w:pPr>
              <w:pStyle w:val="Tabletext"/>
              <w:ind w:left="0" w:right="0"/>
            </w:pPr>
            <w:r w:rsidRPr="00E9279E">
              <w:t>18 (0.6%)</w:t>
            </w:r>
          </w:p>
        </w:tc>
        <w:tc>
          <w:tcPr>
            <w:tcW w:w="1973" w:type="dxa"/>
          </w:tcPr>
          <w:p w14:paraId="399E95F3" w14:textId="77777777" w:rsidR="00C314D3" w:rsidRPr="00E9279E" w:rsidRDefault="00C314D3" w:rsidP="00200519">
            <w:pPr>
              <w:pStyle w:val="Tabletext"/>
              <w:ind w:left="0" w:right="0"/>
            </w:pPr>
            <w:r w:rsidRPr="00E9279E">
              <w:t>4 (0.1%)</w:t>
            </w:r>
          </w:p>
        </w:tc>
      </w:tr>
      <w:tr w:rsidR="00C314D3" w:rsidRPr="00E9279E" w14:paraId="5727B51C" w14:textId="77777777" w:rsidTr="00BD08E7">
        <w:tc>
          <w:tcPr>
            <w:tcW w:w="4101" w:type="dxa"/>
          </w:tcPr>
          <w:p w14:paraId="480627E8" w14:textId="77777777" w:rsidR="00C314D3" w:rsidRPr="00E9279E" w:rsidRDefault="00C314D3" w:rsidP="00200519">
            <w:pPr>
              <w:pStyle w:val="Tabletext"/>
              <w:ind w:left="0" w:right="0"/>
            </w:pPr>
            <w:r w:rsidRPr="00E9279E">
              <w:lastRenderedPageBreak/>
              <w:t>Deep vein thrombosis</w:t>
            </w:r>
          </w:p>
        </w:tc>
        <w:tc>
          <w:tcPr>
            <w:tcW w:w="2268" w:type="dxa"/>
          </w:tcPr>
          <w:p w14:paraId="2F35D2CA" w14:textId="77777777" w:rsidR="00C314D3" w:rsidRPr="00E9279E" w:rsidRDefault="00C314D3" w:rsidP="00200519">
            <w:pPr>
              <w:pStyle w:val="Tabletext"/>
              <w:ind w:left="0" w:right="0"/>
            </w:pPr>
            <w:r w:rsidRPr="00E9279E">
              <w:t>16 (0.6%)</w:t>
            </w:r>
          </w:p>
        </w:tc>
        <w:tc>
          <w:tcPr>
            <w:tcW w:w="1973" w:type="dxa"/>
          </w:tcPr>
          <w:p w14:paraId="3EE44B40" w14:textId="77777777" w:rsidR="00C314D3" w:rsidRPr="00E9279E" w:rsidRDefault="00C314D3" w:rsidP="00200519">
            <w:pPr>
              <w:pStyle w:val="Tabletext"/>
              <w:ind w:left="0" w:right="0"/>
            </w:pPr>
            <w:r w:rsidRPr="00E9279E">
              <w:t>4 (0.1%)</w:t>
            </w:r>
          </w:p>
        </w:tc>
      </w:tr>
      <w:tr w:rsidR="00C314D3" w:rsidRPr="00E9279E" w14:paraId="320CB033" w14:textId="77777777" w:rsidTr="00BD08E7">
        <w:tc>
          <w:tcPr>
            <w:tcW w:w="4101" w:type="dxa"/>
          </w:tcPr>
          <w:p w14:paraId="295BCB5D" w14:textId="77777777" w:rsidR="00C314D3" w:rsidRPr="00E9279E" w:rsidRDefault="00C314D3" w:rsidP="00200519">
            <w:pPr>
              <w:pStyle w:val="Tabletext"/>
              <w:ind w:left="0" w:right="0"/>
            </w:pPr>
            <w:r w:rsidRPr="00E9279E">
              <w:t>Diarrhoea</w:t>
            </w:r>
          </w:p>
        </w:tc>
        <w:tc>
          <w:tcPr>
            <w:tcW w:w="2268" w:type="dxa"/>
          </w:tcPr>
          <w:p w14:paraId="4195809B" w14:textId="77777777" w:rsidR="00C314D3" w:rsidRPr="00E9279E" w:rsidRDefault="00C314D3" w:rsidP="00200519">
            <w:pPr>
              <w:pStyle w:val="Tabletext"/>
              <w:ind w:left="0" w:right="0"/>
            </w:pPr>
            <w:r w:rsidRPr="00E9279E">
              <w:t>15 (0.5%)</w:t>
            </w:r>
          </w:p>
        </w:tc>
        <w:tc>
          <w:tcPr>
            <w:tcW w:w="1973" w:type="dxa"/>
          </w:tcPr>
          <w:p w14:paraId="1F73A1A3" w14:textId="77777777" w:rsidR="00C314D3" w:rsidRPr="00E9279E" w:rsidRDefault="00C314D3" w:rsidP="00200519">
            <w:pPr>
              <w:pStyle w:val="Tabletext"/>
              <w:ind w:left="0" w:right="0"/>
            </w:pPr>
            <w:r w:rsidRPr="00E9279E">
              <w:t>0</w:t>
            </w:r>
          </w:p>
        </w:tc>
      </w:tr>
      <w:tr w:rsidR="00C314D3" w:rsidRPr="00E9279E" w14:paraId="1BE30F6C" w14:textId="77777777" w:rsidTr="00BD08E7">
        <w:tc>
          <w:tcPr>
            <w:tcW w:w="4101" w:type="dxa"/>
          </w:tcPr>
          <w:p w14:paraId="2BD06108" w14:textId="77777777" w:rsidR="00C314D3" w:rsidRPr="00E9279E" w:rsidRDefault="00C314D3" w:rsidP="00200519">
            <w:pPr>
              <w:pStyle w:val="Tabletext"/>
              <w:ind w:left="0" w:right="0"/>
            </w:pPr>
            <w:r w:rsidRPr="00E9279E">
              <w:t>Cellulitis</w:t>
            </w:r>
          </w:p>
        </w:tc>
        <w:tc>
          <w:tcPr>
            <w:tcW w:w="2268" w:type="dxa"/>
          </w:tcPr>
          <w:p w14:paraId="742734D6" w14:textId="77777777" w:rsidR="00C314D3" w:rsidRPr="00E9279E" w:rsidRDefault="00C314D3" w:rsidP="00200519">
            <w:pPr>
              <w:pStyle w:val="Tabletext"/>
              <w:ind w:left="0" w:right="0"/>
            </w:pPr>
            <w:r w:rsidRPr="00E9279E">
              <w:t>14 (0.5%)</w:t>
            </w:r>
          </w:p>
        </w:tc>
        <w:tc>
          <w:tcPr>
            <w:tcW w:w="1973" w:type="dxa"/>
          </w:tcPr>
          <w:p w14:paraId="1F22FA25" w14:textId="77777777" w:rsidR="00C314D3" w:rsidRPr="00E9279E" w:rsidRDefault="00C314D3" w:rsidP="00200519">
            <w:pPr>
              <w:pStyle w:val="Tabletext"/>
              <w:ind w:left="0" w:right="0"/>
            </w:pPr>
            <w:r w:rsidRPr="00E9279E">
              <w:t>10 (0.4%)</w:t>
            </w:r>
          </w:p>
        </w:tc>
      </w:tr>
      <w:tr w:rsidR="00C314D3" w:rsidRPr="00E9279E" w14:paraId="56D5B81E" w14:textId="77777777" w:rsidTr="00BD08E7">
        <w:tc>
          <w:tcPr>
            <w:tcW w:w="4101" w:type="dxa"/>
          </w:tcPr>
          <w:p w14:paraId="70D35BA0" w14:textId="77777777" w:rsidR="00C314D3" w:rsidRPr="00E9279E" w:rsidRDefault="00C314D3" w:rsidP="00200519">
            <w:pPr>
              <w:pStyle w:val="Tabletext"/>
              <w:ind w:left="0" w:right="0"/>
            </w:pPr>
            <w:r w:rsidRPr="00E9279E">
              <w:t>Urinary tract infection</w:t>
            </w:r>
          </w:p>
        </w:tc>
        <w:tc>
          <w:tcPr>
            <w:tcW w:w="2268" w:type="dxa"/>
          </w:tcPr>
          <w:p w14:paraId="776F0E92" w14:textId="77777777" w:rsidR="00C314D3" w:rsidRPr="00E9279E" w:rsidRDefault="00C314D3" w:rsidP="00200519">
            <w:pPr>
              <w:pStyle w:val="Tabletext"/>
              <w:ind w:left="0" w:right="0"/>
            </w:pPr>
            <w:r w:rsidRPr="00E9279E">
              <w:t>14 (0.5%)</w:t>
            </w:r>
          </w:p>
        </w:tc>
        <w:tc>
          <w:tcPr>
            <w:tcW w:w="1973" w:type="dxa"/>
          </w:tcPr>
          <w:p w14:paraId="7A8EE435" w14:textId="77777777" w:rsidR="00C314D3" w:rsidRPr="00E9279E" w:rsidRDefault="00C314D3" w:rsidP="00200519">
            <w:pPr>
              <w:pStyle w:val="Tabletext"/>
              <w:ind w:left="0" w:right="0"/>
            </w:pPr>
            <w:r w:rsidRPr="00E9279E">
              <w:t>4 (0.1%)</w:t>
            </w:r>
          </w:p>
        </w:tc>
      </w:tr>
      <w:tr w:rsidR="00C314D3" w:rsidRPr="00E9279E" w14:paraId="4FE326BD" w14:textId="77777777" w:rsidTr="00BD08E7">
        <w:tc>
          <w:tcPr>
            <w:tcW w:w="4101" w:type="dxa"/>
          </w:tcPr>
          <w:p w14:paraId="60054245" w14:textId="77777777" w:rsidR="00C314D3" w:rsidRPr="00E9279E" w:rsidRDefault="00C314D3" w:rsidP="00200519">
            <w:pPr>
              <w:pStyle w:val="Tabletext"/>
              <w:ind w:left="0" w:right="0"/>
            </w:pPr>
            <w:r w:rsidRPr="00E9279E">
              <w:t>Cholecystitis</w:t>
            </w:r>
          </w:p>
        </w:tc>
        <w:tc>
          <w:tcPr>
            <w:tcW w:w="2268" w:type="dxa"/>
          </w:tcPr>
          <w:p w14:paraId="44CC3612" w14:textId="77777777" w:rsidR="00C314D3" w:rsidRPr="00E9279E" w:rsidRDefault="00C314D3" w:rsidP="00200519">
            <w:pPr>
              <w:pStyle w:val="Tabletext"/>
              <w:ind w:left="0" w:right="0"/>
            </w:pPr>
            <w:r w:rsidRPr="00E9279E">
              <w:t>10 (0.4%)</w:t>
            </w:r>
          </w:p>
        </w:tc>
        <w:tc>
          <w:tcPr>
            <w:tcW w:w="1973" w:type="dxa"/>
          </w:tcPr>
          <w:p w14:paraId="694324AE" w14:textId="77777777" w:rsidR="00C314D3" w:rsidRPr="00E9279E" w:rsidRDefault="00C314D3" w:rsidP="00200519">
            <w:pPr>
              <w:pStyle w:val="Tabletext"/>
              <w:ind w:left="0" w:right="0"/>
            </w:pPr>
            <w:r w:rsidRPr="00E9279E">
              <w:t>4 (0.1%)</w:t>
            </w:r>
          </w:p>
        </w:tc>
      </w:tr>
      <w:tr w:rsidR="00C314D3" w:rsidRPr="00E9279E" w14:paraId="143B8FEB" w14:textId="77777777" w:rsidTr="00BD08E7">
        <w:tc>
          <w:tcPr>
            <w:tcW w:w="4101" w:type="dxa"/>
          </w:tcPr>
          <w:p w14:paraId="58520058" w14:textId="51992D89" w:rsidR="00C314D3" w:rsidRPr="00E9279E" w:rsidRDefault="00266263" w:rsidP="00200519">
            <w:pPr>
              <w:pStyle w:val="Tabletext"/>
              <w:ind w:left="0" w:right="0"/>
            </w:pPr>
            <w:r w:rsidRPr="00E9279E">
              <w:t>P</w:t>
            </w:r>
            <w:r w:rsidR="00C314D3" w:rsidRPr="00E9279E">
              <w:t>yrexia</w:t>
            </w:r>
          </w:p>
        </w:tc>
        <w:tc>
          <w:tcPr>
            <w:tcW w:w="2268" w:type="dxa"/>
          </w:tcPr>
          <w:p w14:paraId="5CE40815" w14:textId="77777777" w:rsidR="00C314D3" w:rsidRPr="00E9279E" w:rsidRDefault="00C314D3" w:rsidP="00200519">
            <w:pPr>
              <w:pStyle w:val="Tabletext"/>
              <w:ind w:left="0" w:right="0"/>
            </w:pPr>
            <w:r w:rsidRPr="00E9279E">
              <w:t>10 (0.4%)</w:t>
            </w:r>
          </w:p>
        </w:tc>
        <w:tc>
          <w:tcPr>
            <w:tcW w:w="1973" w:type="dxa"/>
          </w:tcPr>
          <w:p w14:paraId="3316FED9" w14:textId="77777777" w:rsidR="00C314D3" w:rsidRPr="00E9279E" w:rsidRDefault="00C314D3" w:rsidP="00200519">
            <w:pPr>
              <w:pStyle w:val="Tabletext"/>
              <w:ind w:left="0" w:right="0"/>
            </w:pPr>
            <w:r w:rsidRPr="00E9279E">
              <w:t>0</w:t>
            </w:r>
          </w:p>
        </w:tc>
      </w:tr>
      <w:tr w:rsidR="00C314D3" w:rsidRPr="00E9279E" w14:paraId="03BDE9E9" w14:textId="77777777" w:rsidTr="00BD08E7">
        <w:tc>
          <w:tcPr>
            <w:tcW w:w="4101" w:type="dxa"/>
          </w:tcPr>
          <w:p w14:paraId="4C0CEFFB" w14:textId="77777777" w:rsidR="00C314D3" w:rsidRPr="00E9279E" w:rsidRDefault="00C314D3" w:rsidP="00200519">
            <w:pPr>
              <w:pStyle w:val="Tabletext"/>
              <w:ind w:left="0" w:right="0"/>
              <w:rPr>
                <w:b/>
                <w:bCs/>
              </w:rPr>
            </w:pPr>
            <w:r w:rsidRPr="00E9279E">
              <w:rPr>
                <w:b/>
                <w:bCs/>
              </w:rPr>
              <w:t>Deaths</w:t>
            </w:r>
          </w:p>
        </w:tc>
        <w:tc>
          <w:tcPr>
            <w:tcW w:w="2268" w:type="dxa"/>
          </w:tcPr>
          <w:p w14:paraId="275F4035" w14:textId="77777777" w:rsidR="00C314D3" w:rsidRPr="00E9279E" w:rsidRDefault="00C314D3" w:rsidP="00200519">
            <w:pPr>
              <w:pStyle w:val="Tabletext"/>
              <w:ind w:left="0" w:right="0"/>
            </w:pPr>
            <w:r w:rsidRPr="00E9279E">
              <w:t>95 (3.4%)</w:t>
            </w:r>
          </w:p>
        </w:tc>
        <w:tc>
          <w:tcPr>
            <w:tcW w:w="1973" w:type="dxa"/>
          </w:tcPr>
          <w:p w14:paraId="0C2F0ACC" w14:textId="77777777" w:rsidR="00C314D3" w:rsidRPr="00E9279E" w:rsidRDefault="00C314D3" w:rsidP="00200519">
            <w:pPr>
              <w:pStyle w:val="Tabletext"/>
              <w:ind w:left="0" w:right="0"/>
            </w:pPr>
            <w:r w:rsidRPr="00E9279E">
              <w:t>89 (3.2%)</w:t>
            </w:r>
          </w:p>
        </w:tc>
      </w:tr>
      <w:tr w:rsidR="00C314D3" w:rsidRPr="00E9279E" w14:paraId="31C5CE99" w14:textId="77777777" w:rsidTr="00BD08E7">
        <w:tc>
          <w:tcPr>
            <w:tcW w:w="4101" w:type="dxa"/>
          </w:tcPr>
          <w:p w14:paraId="27C35328" w14:textId="61DEC407" w:rsidR="00C314D3" w:rsidRPr="00E9279E" w:rsidRDefault="00C314D3" w:rsidP="00200519">
            <w:pPr>
              <w:pStyle w:val="Tabletext"/>
              <w:ind w:left="0" w:right="0"/>
              <w:rPr>
                <w:b/>
                <w:bCs/>
                <w:i/>
                <w:iCs/>
              </w:rPr>
            </w:pPr>
            <w:r w:rsidRPr="00E9279E">
              <w:rPr>
                <w:b/>
                <w:bCs/>
                <w:i/>
                <w:iCs/>
              </w:rPr>
              <w:t>Deaths on therapy or ≤</w:t>
            </w:r>
            <w:r w:rsidR="002F1A84" w:rsidRPr="00E9279E">
              <w:rPr>
                <w:b/>
                <w:bCs/>
                <w:i/>
                <w:iCs/>
              </w:rPr>
              <w:t xml:space="preserve"> </w:t>
            </w:r>
            <w:r w:rsidRPr="00E9279E">
              <w:rPr>
                <w:b/>
                <w:bCs/>
                <w:i/>
                <w:iCs/>
              </w:rPr>
              <w:t>30 days from study drug discontinuation</w:t>
            </w:r>
          </w:p>
        </w:tc>
        <w:tc>
          <w:tcPr>
            <w:tcW w:w="2268" w:type="dxa"/>
          </w:tcPr>
          <w:p w14:paraId="0B59F243" w14:textId="77777777" w:rsidR="00C314D3" w:rsidRPr="00E9279E" w:rsidRDefault="00C314D3" w:rsidP="00200519">
            <w:pPr>
              <w:pStyle w:val="Tabletext"/>
              <w:ind w:left="0" w:right="0"/>
            </w:pPr>
            <w:r w:rsidRPr="00E9279E">
              <w:t>21 (0.8%)</w:t>
            </w:r>
          </w:p>
        </w:tc>
        <w:tc>
          <w:tcPr>
            <w:tcW w:w="1973" w:type="dxa"/>
          </w:tcPr>
          <w:p w14:paraId="14AFA7D2" w14:textId="77777777" w:rsidR="00C314D3" w:rsidRPr="00E9279E" w:rsidRDefault="00C314D3" w:rsidP="00200519">
            <w:pPr>
              <w:pStyle w:val="Tabletext"/>
              <w:ind w:left="0" w:right="0"/>
            </w:pPr>
            <w:r w:rsidRPr="00E9279E">
              <w:t>19 (0.7%)</w:t>
            </w:r>
          </w:p>
        </w:tc>
      </w:tr>
      <w:tr w:rsidR="00C314D3" w:rsidRPr="00E9279E" w14:paraId="2445CD7F" w14:textId="77777777" w:rsidTr="00BD08E7">
        <w:tc>
          <w:tcPr>
            <w:tcW w:w="4101" w:type="dxa"/>
          </w:tcPr>
          <w:p w14:paraId="0C939CFA" w14:textId="7C74C638" w:rsidR="00C314D3" w:rsidRPr="00E9279E" w:rsidRDefault="00266263" w:rsidP="00200519">
            <w:pPr>
              <w:pStyle w:val="Tabletext"/>
              <w:ind w:left="0" w:right="0"/>
            </w:pPr>
            <w:r w:rsidRPr="00E9279E">
              <w:t>D</w:t>
            </w:r>
            <w:r w:rsidR="00C314D3" w:rsidRPr="00E9279E">
              <w:t>eath from study disease</w:t>
            </w:r>
          </w:p>
        </w:tc>
        <w:tc>
          <w:tcPr>
            <w:tcW w:w="2268" w:type="dxa"/>
          </w:tcPr>
          <w:p w14:paraId="15F9CAAF" w14:textId="77777777" w:rsidR="00C314D3" w:rsidRPr="00E9279E" w:rsidRDefault="00C314D3" w:rsidP="00200519">
            <w:pPr>
              <w:pStyle w:val="Tabletext"/>
              <w:ind w:left="0" w:right="0"/>
            </w:pPr>
            <w:r w:rsidRPr="00E9279E">
              <w:t>6 (0.2%)</w:t>
            </w:r>
          </w:p>
        </w:tc>
        <w:tc>
          <w:tcPr>
            <w:tcW w:w="1973" w:type="dxa"/>
          </w:tcPr>
          <w:p w14:paraId="2AE16754" w14:textId="77777777" w:rsidR="00C314D3" w:rsidRPr="00E9279E" w:rsidRDefault="00C314D3" w:rsidP="00200519">
            <w:pPr>
              <w:pStyle w:val="Tabletext"/>
              <w:ind w:left="0" w:right="0"/>
            </w:pPr>
            <w:r w:rsidRPr="00E9279E">
              <w:t>9 (0.3%)</w:t>
            </w:r>
          </w:p>
        </w:tc>
      </w:tr>
      <w:tr w:rsidR="00C314D3" w:rsidRPr="00E9279E" w14:paraId="2F425DBA" w14:textId="77777777" w:rsidTr="00BD08E7">
        <w:tc>
          <w:tcPr>
            <w:tcW w:w="4101" w:type="dxa"/>
          </w:tcPr>
          <w:p w14:paraId="24E93BA8" w14:textId="77777777" w:rsidR="00C314D3" w:rsidRPr="00E9279E" w:rsidRDefault="00C314D3" w:rsidP="00200519">
            <w:pPr>
              <w:pStyle w:val="Tabletext"/>
              <w:ind w:left="0" w:right="0"/>
            </w:pPr>
            <w:r w:rsidRPr="00E9279E">
              <w:t>Death from adverse event</w:t>
            </w:r>
          </w:p>
        </w:tc>
        <w:tc>
          <w:tcPr>
            <w:tcW w:w="2268" w:type="dxa"/>
          </w:tcPr>
          <w:p w14:paraId="22A2708D" w14:textId="77777777" w:rsidR="00C314D3" w:rsidRPr="00E9279E" w:rsidRDefault="00C314D3" w:rsidP="00200519">
            <w:pPr>
              <w:pStyle w:val="Tabletext"/>
              <w:ind w:left="0" w:right="0"/>
            </w:pPr>
            <w:r w:rsidRPr="00E9279E">
              <w:t>15 (0.5%)</w:t>
            </w:r>
          </w:p>
        </w:tc>
        <w:tc>
          <w:tcPr>
            <w:tcW w:w="1973" w:type="dxa"/>
          </w:tcPr>
          <w:p w14:paraId="4CC4A6DE" w14:textId="77777777" w:rsidR="00C314D3" w:rsidRPr="00E9279E" w:rsidRDefault="00C314D3" w:rsidP="00200519">
            <w:pPr>
              <w:pStyle w:val="Tabletext"/>
              <w:ind w:left="0" w:right="0"/>
            </w:pPr>
            <w:r w:rsidRPr="00E9279E">
              <w:t>10 (0.4%)</w:t>
            </w:r>
          </w:p>
        </w:tc>
      </w:tr>
      <w:tr w:rsidR="00C314D3" w:rsidRPr="00E9279E" w14:paraId="5B8F700E" w14:textId="77777777" w:rsidTr="00BD08E7">
        <w:tc>
          <w:tcPr>
            <w:tcW w:w="4101" w:type="dxa"/>
          </w:tcPr>
          <w:p w14:paraId="20128290" w14:textId="05180A98" w:rsidR="00C314D3" w:rsidRPr="00E9279E" w:rsidRDefault="00C314D3" w:rsidP="00200519">
            <w:pPr>
              <w:pStyle w:val="Tabletext"/>
              <w:ind w:left="0" w:right="0"/>
              <w:rPr>
                <w:b/>
                <w:bCs/>
                <w:i/>
                <w:iCs/>
              </w:rPr>
            </w:pPr>
            <w:r w:rsidRPr="00E9279E">
              <w:rPr>
                <w:b/>
                <w:bCs/>
                <w:i/>
                <w:iCs/>
              </w:rPr>
              <w:t>Deaths &gt;</w:t>
            </w:r>
            <w:r w:rsidR="002F1A84" w:rsidRPr="00E9279E">
              <w:rPr>
                <w:b/>
                <w:bCs/>
                <w:i/>
                <w:iCs/>
              </w:rPr>
              <w:t xml:space="preserve"> </w:t>
            </w:r>
            <w:r w:rsidRPr="00E9279E">
              <w:rPr>
                <w:b/>
                <w:bCs/>
                <w:i/>
                <w:iCs/>
              </w:rPr>
              <w:t>30 days from study drug discontinuation</w:t>
            </w:r>
          </w:p>
        </w:tc>
        <w:tc>
          <w:tcPr>
            <w:tcW w:w="2268" w:type="dxa"/>
          </w:tcPr>
          <w:p w14:paraId="01278790" w14:textId="77777777" w:rsidR="00C314D3" w:rsidRPr="00E9279E" w:rsidRDefault="00C314D3" w:rsidP="00200519">
            <w:pPr>
              <w:pStyle w:val="Tabletext"/>
              <w:ind w:left="0" w:right="0"/>
            </w:pPr>
            <w:r w:rsidRPr="00E9279E">
              <w:t>74 (2.7%)</w:t>
            </w:r>
          </w:p>
        </w:tc>
        <w:tc>
          <w:tcPr>
            <w:tcW w:w="1973" w:type="dxa"/>
          </w:tcPr>
          <w:p w14:paraId="64884A18" w14:textId="77777777" w:rsidR="00C314D3" w:rsidRPr="00E9279E" w:rsidRDefault="00C314D3" w:rsidP="00200519">
            <w:pPr>
              <w:pStyle w:val="Tabletext"/>
              <w:ind w:left="0" w:right="0"/>
            </w:pPr>
            <w:r w:rsidRPr="00E9279E">
              <w:t>70 (2.5%)</w:t>
            </w:r>
          </w:p>
        </w:tc>
      </w:tr>
      <w:tr w:rsidR="00C314D3" w:rsidRPr="00E9279E" w14:paraId="45EE8FE3" w14:textId="77777777" w:rsidTr="00BD08E7">
        <w:tc>
          <w:tcPr>
            <w:tcW w:w="4101" w:type="dxa"/>
          </w:tcPr>
          <w:p w14:paraId="28CABFA0" w14:textId="26E5504D" w:rsidR="00C314D3" w:rsidRPr="00E9279E" w:rsidRDefault="00266263" w:rsidP="00200519">
            <w:pPr>
              <w:pStyle w:val="Tabletext"/>
              <w:ind w:left="0" w:right="0"/>
            </w:pPr>
            <w:r w:rsidRPr="00E9279E">
              <w:t>D</w:t>
            </w:r>
            <w:r w:rsidR="00C314D3" w:rsidRPr="00E9279E">
              <w:t>eath from study disease</w:t>
            </w:r>
          </w:p>
        </w:tc>
        <w:tc>
          <w:tcPr>
            <w:tcW w:w="2268" w:type="dxa"/>
          </w:tcPr>
          <w:p w14:paraId="05261E3E" w14:textId="77777777" w:rsidR="00C314D3" w:rsidRPr="00E9279E" w:rsidRDefault="00C314D3" w:rsidP="00200519">
            <w:pPr>
              <w:pStyle w:val="Tabletext"/>
              <w:ind w:left="0" w:right="0"/>
            </w:pPr>
            <w:r w:rsidRPr="00E9279E">
              <w:t>65 (2.3%)</w:t>
            </w:r>
          </w:p>
        </w:tc>
        <w:tc>
          <w:tcPr>
            <w:tcW w:w="1973" w:type="dxa"/>
          </w:tcPr>
          <w:p w14:paraId="2262DE15" w14:textId="77777777" w:rsidR="00C314D3" w:rsidRPr="00E9279E" w:rsidRDefault="00C314D3" w:rsidP="00200519">
            <w:pPr>
              <w:pStyle w:val="Tabletext"/>
              <w:ind w:left="0" w:right="0"/>
            </w:pPr>
            <w:r w:rsidRPr="00E9279E">
              <w:t>66 (2.4%)</w:t>
            </w:r>
          </w:p>
        </w:tc>
      </w:tr>
      <w:tr w:rsidR="00C314D3" w:rsidRPr="00E9279E" w14:paraId="72CD4344" w14:textId="77777777" w:rsidTr="00BD08E7">
        <w:tc>
          <w:tcPr>
            <w:tcW w:w="4101" w:type="dxa"/>
          </w:tcPr>
          <w:p w14:paraId="6C12E382" w14:textId="77777777" w:rsidR="00C314D3" w:rsidRPr="00E9279E" w:rsidRDefault="00C314D3" w:rsidP="00200519">
            <w:pPr>
              <w:pStyle w:val="Tabletext"/>
              <w:ind w:left="0" w:right="0"/>
            </w:pPr>
            <w:r w:rsidRPr="00E9279E">
              <w:t>Death from adverse event</w:t>
            </w:r>
          </w:p>
        </w:tc>
        <w:tc>
          <w:tcPr>
            <w:tcW w:w="2268" w:type="dxa"/>
          </w:tcPr>
          <w:p w14:paraId="2BAEEF95" w14:textId="77777777" w:rsidR="00C314D3" w:rsidRPr="00E9279E" w:rsidRDefault="00C314D3" w:rsidP="00200519">
            <w:pPr>
              <w:pStyle w:val="Tabletext"/>
              <w:ind w:left="0" w:right="0"/>
            </w:pPr>
            <w:r w:rsidRPr="00E9279E">
              <w:t>9 (0.3%)</w:t>
            </w:r>
          </w:p>
        </w:tc>
        <w:tc>
          <w:tcPr>
            <w:tcW w:w="1973" w:type="dxa"/>
          </w:tcPr>
          <w:p w14:paraId="7129FC9F" w14:textId="77777777" w:rsidR="00C314D3" w:rsidRPr="00E9279E" w:rsidRDefault="00C314D3" w:rsidP="00200519">
            <w:pPr>
              <w:pStyle w:val="Tabletext"/>
              <w:ind w:left="0" w:right="0"/>
            </w:pPr>
            <w:r w:rsidRPr="00E9279E">
              <w:t>4 (0.1%)</w:t>
            </w:r>
          </w:p>
        </w:tc>
      </w:tr>
    </w:tbl>
    <w:p w14:paraId="09DED4C3" w14:textId="1E7E4C86" w:rsidR="00C314D3" w:rsidRPr="00E9279E" w:rsidRDefault="00C314D3" w:rsidP="005A2C95">
      <w:r w:rsidRPr="00E9279E">
        <w:t>Except for cardiac failure in Arm A (n</w:t>
      </w:r>
      <w:r w:rsidR="00E93113" w:rsidRPr="00E9279E">
        <w:t xml:space="preserve"> </w:t>
      </w:r>
      <w:r w:rsidRPr="00E9279E">
        <w:t>=</w:t>
      </w:r>
      <w:r w:rsidR="00E93113" w:rsidRPr="00E9279E">
        <w:t xml:space="preserve"> </w:t>
      </w:r>
      <w:r w:rsidRPr="00E9279E">
        <w:t xml:space="preserve">2), deaths were reported against a single </w:t>
      </w:r>
      <w:r w:rsidR="006E35DD" w:rsidRPr="00E9279E">
        <w:t>Preferred Term</w:t>
      </w:r>
      <w:r w:rsidRPr="00E9279E">
        <w:t>. Of note there was a single death reported for diarrhoea.</w:t>
      </w:r>
    </w:p>
    <w:p w14:paraId="4494F5A3" w14:textId="7F1ACBD6" w:rsidR="00C314D3" w:rsidRPr="00E9279E" w:rsidRDefault="00E93113" w:rsidP="005A2C95">
      <w:pPr>
        <w:pStyle w:val="Heading5"/>
        <w:rPr>
          <w:lang w:eastAsia="ja-JP"/>
        </w:rPr>
      </w:pPr>
      <w:r w:rsidRPr="00E9279E">
        <w:rPr>
          <w:lang w:eastAsia="ja-JP"/>
        </w:rPr>
        <w:t>Adverse event of special interest</w:t>
      </w:r>
      <w:r w:rsidR="00C314D3" w:rsidRPr="00E9279E">
        <w:rPr>
          <w:lang w:eastAsia="ja-JP"/>
        </w:rPr>
        <w:t>s</w:t>
      </w:r>
    </w:p>
    <w:p w14:paraId="21A03BEB" w14:textId="5AD7465B" w:rsidR="00C314D3" w:rsidRPr="00E9279E" w:rsidRDefault="00C314D3" w:rsidP="005A2C95">
      <w:r w:rsidRPr="00E9279E">
        <w:t xml:space="preserve">Separate summaries of adverse events of special interest, based on the known safety profile of </w:t>
      </w:r>
      <w:proofErr w:type="spellStart"/>
      <w:r w:rsidRPr="00E9279E">
        <w:t>abemaciclib</w:t>
      </w:r>
      <w:proofErr w:type="spellEnd"/>
      <w:r w:rsidRPr="00E9279E">
        <w:t xml:space="preserve"> and the </w:t>
      </w:r>
      <w:r w:rsidR="00C365A9" w:rsidRPr="00E9279E">
        <w:t>cyclin-D dependent kinases 4 or 6 (</w:t>
      </w:r>
      <w:r w:rsidRPr="00E9279E">
        <w:t>CDK4</w:t>
      </w:r>
      <w:r w:rsidR="00C365A9" w:rsidRPr="00E9279E">
        <w:t xml:space="preserve"> or CDK</w:t>
      </w:r>
      <w:r w:rsidRPr="00E9279E">
        <w:t>6</w:t>
      </w:r>
      <w:r w:rsidR="00C365A9" w:rsidRPr="00E9279E">
        <w:t>)</w:t>
      </w:r>
      <w:r w:rsidRPr="00E9279E">
        <w:t xml:space="preserve"> inhibitors as a class were provided in the submission (See </w:t>
      </w:r>
      <w:r w:rsidRPr="00E9279E">
        <w:fldChar w:fldCharType="begin"/>
      </w:r>
      <w:r w:rsidRPr="00E9279E">
        <w:instrText xml:space="preserve"> REF _Ref90840821 \h  \* MERGEFORMAT </w:instrText>
      </w:r>
      <w:r w:rsidRPr="00E9279E">
        <w:fldChar w:fldCharType="separate"/>
      </w:r>
      <w:r w:rsidR="00E9279E" w:rsidRPr="00E9279E">
        <w:t xml:space="preserve">Table </w:t>
      </w:r>
      <w:r w:rsidR="00E9279E">
        <w:t>7</w:t>
      </w:r>
      <w:r w:rsidRPr="00E9279E">
        <w:fldChar w:fldCharType="end"/>
      </w:r>
      <w:r w:rsidRPr="00E9279E">
        <w:t xml:space="preserve"> above)</w:t>
      </w:r>
      <w:r w:rsidR="0015566F" w:rsidRPr="00E9279E">
        <w:t>.</w:t>
      </w:r>
    </w:p>
    <w:p w14:paraId="1B2767B6" w14:textId="6C9DC7B5" w:rsidR="00C314D3" w:rsidRPr="00E9279E" w:rsidRDefault="00C314D3" w:rsidP="005A2C95">
      <w:pPr>
        <w:pStyle w:val="Heading6"/>
        <w:rPr>
          <w:lang w:eastAsia="ja-JP"/>
        </w:rPr>
      </w:pPr>
      <w:r w:rsidRPr="00E9279E">
        <w:rPr>
          <w:lang w:eastAsia="ja-JP"/>
        </w:rPr>
        <w:t>Diarrhoea</w:t>
      </w:r>
    </w:p>
    <w:p w14:paraId="51C27394" w14:textId="46465A7C" w:rsidR="00C314D3" w:rsidRPr="00E9279E" w:rsidRDefault="00C314D3" w:rsidP="005A2C95">
      <w:r w:rsidRPr="00E9279E">
        <w:t xml:space="preserve">At OS </w:t>
      </w:r>
      <w:r w:rsidR="00D008C9" w:rsidRPr="00E9279E">
        <w:t>Interim Analysis 1</w:t>
      </w:r>
      <w:r w:rsidRPr="00E9279E">
        <w:t>, diarrhoea remained the most frequent TEAE (83.5% Arm</w:t>
      </w:r>
      <w:r w:rsidR="006E35DD" w:rsidRPr="00E9279E">
        <w:t> </w:t>
      </w:r>
      <w:r w:rsidRPr="00E9279E">
        <w:t xml:space="preserve">A, 8.6% Arm B), </w:t>
      </w:r>
      <w:proofErr w:type="gramStart"/>
      <w:r w:rsidRPr="00E9279E">
        <w:t>the majority of</w:t>
      </w:r>
      <w:proofErr w:type="gramEnd"/>
      <w:r w:rsidRPr="00E9279E">
        <w:t xml:space="preserve"> events (</w:t>
      </w:r>
      <w:r w:rsidR="0088412E" w:rsidRPr="00E9279E">
        <w:t xml:space="preserve">greater than </w:t>
      </w:r>
      <w:r w:rsidRPr="00E9279E">
        <w:t>90% Arm A) Grade 2</w:t>
      </w:r>
      <w:r w:rsidR="0083018A" w:rsidRPr="00E9279E">
        <w:t xml:space="preserve"> or lower</w:t>
      </w:r>
      <w:r w:rsidRPr="00E9279E">
        <w:t xml:space="preserve">. At least </w:t>
      </w:r>
      <w:r w:rsidR="006E35DD" w:rsidRPr="00E9279E">
        <w:t>one</w:t>
      </w:r>
      <w:r w:rsidRPr="00E9279E">
        <w:t xml:space="preserve"> </w:t>
      </w:r>
      <w:proofErr w:type="spellStart"/>
      <w:r w:rsidRPr="00E9279E">
        <w:t>abemaciclib</w:t>
      </w:r>
      <w:proofErr w:type="spellEnd"/>
      <w:r w:rsidRPr="00E9279E">
        <w:t xml:space="preserve"> dose reduction or omission was required in 17.2 and 19.4%, respectively and </w:t>
      </w:r>
      <w:proofErr w:type="spellStart"/>
      <w:r w:rsidRPr="00E9279E">
        <w:t>abemaciclib</w:t>
      </w:r>
      <w:proofErr w:type="spellEnd"/>
      <w:r w:rsidRPr="00E9279E">
        <w:t xml:space="preserve"> or all treatment discontinuation due to diarrhoea in 5.2%. This was </w:t>
      </w:r>
      <w:proofErr w:type="gramStart"/>
      <w:r w:rsidRPr="00E9279E">
        <w:t>similar to</w:t>
      </w:r>
      <w:proofErr w:type="gramEnd"/>
      <w:r w:rsidRPr="00E9279E">
        <w:t xml:space="preserve"> the findings in the earlier analyses of the </w:t>
      </w:r>
      <w:r w:rsidR="002F1A84" w:rsidRPr="00E9279E">
        <w:t>MONARCHE</w:t>
      </w:r>
      <w:r w:rsidRPr="00E9279E">
        <w:t xml:space="preserve"> </w:t>
      </w:r>
      <w:r w:rsidR="00476DB2" w:rsidRPr="00E9279E">
        <w:t xml:space="preserve">trial </w:t>
      </w:r>
      <w:r w:rsidRPr="00E9279E">
        <w:t>data.</w:t>
      </w:r>
    </w:p>
    <w:p w14:paraId="2BD8D307" w14:textId="250FE4E9" w:rsidR="00C314D3" w:rsidRPr="00E9279E" w:rsidRDefault="00C314D3" w:rsidP="005A2C95">
      <w:pPr>
        <w:pStyle w:val="Heading6"/>
        <w:rPr>
          <w:lang w:eastAsia="ja-JP"/>
        </w:rPr>
      </w:pPr>
      <w:proofErr w:type="spellStart"/>
      <w:r w:rsidRPr="00E9279E">
        <w:rPr>
          <w:lang w:eastAsia="ja-JP"/>
        </w:rPr>
        <w:t>Neutrop</w:t>
      </w:r>
      <w:r w:rsidR="000C71AD" w:rsidRPr="00E9279E">
        <w:rPr>
          <w:lang w:eastAsia="ja-JP"/>
        </w:rPr>
        <w:t>a</w:t>
      </w:r>
      <w:r w:rsidRPr="00E9279E">
        <w:rPr>
          <w:lang w:eastAsia="ja-JP"/>
        </w:rPr>
        <w:t>enia</w:t>
      </w:r>
      <w:proofErr w:type="spellEnd"/>
    </w:p>
    <w:p w14:paraId="38247A5A" w14:textId="1C4994CB" w:rsidR="00C314D3" w:rsidRPr="00E9279E" w:rsidRDefault="00C314D3" w:rsidP="005A2C95">
      <w:r w:rsidRPr="00E9279E">
        <w:t xml:space="preserve">The incidence of </w:t>
      </w:r>
      <w:proofErr w:type="spellStart"/>
      <w:r w:rsidR="000C71AD" w:rsidRPr="00E9279E">
        <w:t>neutropaenia</w:t>
      </w:r>
      <w:proofErr w:type="spellEnd"/>
      <w:r w:rsidRPr="00E9279E">
        <w:t xml:space="preserve"> was </w:t>
      </w:r>
      <w:proofErr w:type="gramStart"/>
      <w:r w:rsidRPr="00E9279E">
        <w:t>similar to</w:t>
      </w:r>
      <w:proofErr w:type="gramEnd"/>
      <w:r w:rsidRPr="00E9279E">
        <w:t xml:space="preserve"> the final IDFS analysis, with </w:t>
      </w:r>
      <w:proofErr w:type="spellStart"/>
      <w:r w:rsidR="000C71AD" w:rsidRPr="00E9279E">
        <w:t>neutropaenia</w:t>
      </w:r>
      <w:proofErr w:type="spellEnd"/>
      <w:r w:rsidRPr="00E9279E">
        <w:t xml:space="preserve"> TEAEs more common in Arm A (45.8%, 19.6% Grade 3</w:t>
      </w:r>
      <w:r w:rsidR="00A945C5" w:rsidRPr="00E9279E">
        <w:t xml:space="preserve"> or higher</w:t>
      </w:r>
      <w:r w:rsidRPr="00E9279E">
        <w:t xml:space="preserve">) </w:t>
      </w:r>
      <w:r w:rsidR="00033AC2" w:rsidRPr="00E9279E">
        <w:t>versus</w:t>
      </w:r>
      <w:r w:rsidRPr="00E9279E">
        <w:t xml:space="preserve"> Arm B (5.6%, 0.8% Grade</w:t>
      </w:r>
      <w:r w:rsidR="006E35DD" w:rsidRPr="00E9279E">
        <w:t> </w:t>
      </w:r>
      <w:r w:rsidRPr="00E9279E">
        <w:t>3</w:t>
      </w:r>
      <w:r w:rsidR="00A945C5" w:rsidRPr="00E9279E">
        <w:t xml:space="preserve"> or higher</w:t>
      </w:r>
      <w:r w:rsidRPr="00E9279E">
        <w:t>). There were no additional TEAEs of Grade 3</w:t>
      </w:r>
      <w:r w:rsidR="00A945C5" w:rsidRPr="00E9279E">
        <w:t xml:space="preserve"> or higher</w:t>
      </w:r>
      <w:r w:rsidRPr="00E9279E">
        <w:t xml:space="preserve"> febrile </w:t>
      </w:r>
      <w:proofErr w:type="spellStart"/>
      <w:r w:rsidR="000C71AD" w:rsidRPr="00E9279E">
        <w:t>neutropaenia</w:t>
      </w:r>
      <w:proofErr w:type="spellEnd"/>
      <w:r w:rsidRPr="00E9279E">
        <w:t xml:space="preserve"> (0.3%) or SAEs of </w:t>
      </w:r>
      <w:proofErr w:type="spellStart"/>
      <w:r w:rsidR="000C71AD" w:rsidRPr="00E9279E">
        <w:t>neutropaenia</w:t>
      </w:r>
      <w:proofErr w:type="spellEnd"/>
      <w:r w:rsidRPr="00E9279E">
        <w:t xml:space="preserve"> (0.1%) for Arm A at OS </w:t>
      </w:r>
      <w:r w:rsidR="00D008C9" w:rsidRPr="00E9279E">
        <w:t>Interim Analysis</w:t>
      </w:r>
      <w:r w:rsidR="00D22E21" w:rsidRPr="00E9279E">
        <w:t> </w:t>
      </w:r>
      <w:r w:rsidR="00D008C9" w:rsidRPr="00E9279E">
        <w:t>1</w:t>
      </w:r>
      <w:r w:rsidRPr="00E9279E">
        <w:t xml:space="preserve">. </w:t>
      </w:r>
      <w:r w:rsidRPr="00E9279E">
        <w:lastRenderedPageBreak/>
        <w:t xml:space="preserve">Discontinuation of </w:t>
      </w:r>
      <w:proofErr w:type="spellStart"/>
      <w:r w:rsidRPr="00E9279E">
        <w:t>abemaciclib</w:t>
      </w:r>
      <w:proofErr w:type="spellEnd"/>
      <w:r w:rsidRPr="00E9279E">
        <w:t xml:space="preserve"> or all treatment due to </w:t>
      </w:r>
      <w:proofErr w:type="spellStart"/>
      <w:r w:rsidR="000C71AD" w:rsidRPr="00E9279E">
        <w:t>neutropaenia</w:t>
      </w:r>
      <w:proofErr w:type="spellEnd"/>
      <w:r w:rsidRPr="00E9279E">
        <w:t xml:space="preserve"> TEAEs remained low (0.8%).</w:t>
      </w:r>
    </w:p>
    <w:p w14:paraId="6A769B1F" w14:textId="58C0BA2C" w:rsidR="00C314D3" w:rsidRPr="00E9279E" w:rsidRDefault="00C314D3" w:rsidP="005A2C95">
      <w:pPr>
        <w:pStyle w:val="Heading6"/>
        <w:rPr>
          <w:lang w:eastAsia="ja-JP"/>
        </w:rPr>
      </w:pPr>
      <w:r w:rsidRPr="00E9279E">
        <w:rPr>
          <w:lang w:eastAsia="ja-JP"/>
        </w:rPr>
        <w:t>Infections</w:t>
      </w:r>
    </w:p>
    <w:p w14:paraId="6329D897" w14:textId="022CD074" w:rsidR="00C314D3" w:rsidRPr="00E9279E" w:rsidRDefault="00C314D3" w:rsidP="005A2C95">
      <w:r w:rsidRPr="00E9279E">
        <w:t xml:space="preserve">The incidence of infections was slightly higher in both treatment arms at OS </w:t>
      </w:r>
      <w:r w:rsidR="00D008C9" w:rsidRPr="00E9279E">
        <w:t>Interim</w:t>
      </w:r>
      <w:r w:rsidR="006E35DD" w:rsidRPr="00E9279E">
        <w:t> </w:t>
      </w:r>
      <w:r w:rsidR="00D008C9" w:rsidRPr="00E9279E">
        <w:t>Analysis 1</w:t>
      </w:r>
      <w:r w:rsidRPr="00E9279E">
        <w:t xml:space="preserve"> (Arm A 51.2%, 5.6% Grade 3</w:t>
      </w:r>
      <w:r w:rsidR="00A945C5" w:rsidRPr="00E9279E">
        <w:t xml:space="preserve"> or higher</w:t>
      </w:r>
      <w:r w:rsidRPr="00E9279E">
        <w:t>; Arm B 39.4%, 3.0% Grade</w:t>
      </w:r>
      <w:r w:rsidR="00A945C5" w:rsidRPr="00E9279E">
        <w:t> </w:t>
      </w:r>
      <w:r w:rsidRPr="00E9279E">
        <w:t>3</w:t>
      </w:r>
      <w:r w:rsidR="00A945C5" w:rsidRPr="00E9279E">
        <w:t xml:space="preserve"> or higher</w:t>
      </w:r>
      <w:r w:rsidRPr="00E9279E">
        <w:t>) compared to final IDFS analysis (47.7% and 36.4% respectively), although the types of infections were comparable (</w:t>
      </w:r>
      <w:r w:rsidR="00C518AE" w:rsidRPr="00E9279E">
        <w:t>upper respiratory tract infection</w:t>
      </w:r>
      <w:r w:rsidR="006E35DD" w:rsidRPr="00E9279E">
        <w:t xml:space="preserve"> and</w:t>
      </w:r>
      <w:r w:rsidRPr="00E9279E">
        <w:t xml:space="preserve"> </w:t>
      </w:r>
      <w:r w:rsidR="00C518AE" w:rsidRPr="00E9279E">
        <w:t>urinary tract infection</w:t>
      </w:r>
      <w:r w:rsidRPr="00E9279E">
        <w:t xml:space="preserve">) and discontinuation of </w:t>
      </w:r>
      <w:proofErr w:type="spellStart"/>
      <w:r w:rsidRPr="00E9279E">
        <w:t>abemaciclib</w:t>
      </w:r>
      <w:proofErr w:type="spellEnd"/>
      <w:r w:rsidRPr="00E9279E">
        <w:t xml:space="preserve"> or all treatment due to infection minimal (0.9%).</w:t>
      </w:r>
    </w:p>
    <w:p w14:paraId="5766FB03" w14:textId="25066878" w:rsidR="00C314D3" w:rsidRPr="00E9279E" w:rsidRDefault="00C314D3" w:rsidP="005A2C95">
      <w:r w:rsidRPr="00E9279E">
        <w:t>There were 4 deaths in Arm A (</w:t>
      </w:r>
      <w:r w:rsidR="00AD7BAF" w:rsidRPr="00E9279E">
        <w:t>zero</w:t>
      </w:r>
      <w:r w:rsidRPr="00E9279E">
        <w:t xml:space="preserve"> at final IDFS analysis) and </w:t>
      </w:r>
      <w:r w:rsidR="006E35DD" w:rsidRPr="00E9279E">
        <w:t>one</w:t>
      </w:r>
      <w:r w:rsidRPr="00E9279E">
        <w:t xml:space="preserve"> additional death in Arm</w:t>
      </w:r>
      <w:r w:rsidR="006E35DD" w:rsidRPr="00E9279E">
        <w:t> </w:t>
      </w:r>
      <w:r w:rsidRPr="00E9279E">
        <w:t xml:space="preserve">B (total n = 5) due to infection at OS </w:t>
      </w:r>
      <w:r w:rsidR="00D008C9" w:rsidRPr="00E9279E">
        <w:t>Interim Analysis 1</w:t>
      </w:r>
      <w:r w:rsidRPr="00E9279E">
        <w:t>, all due to COVID-19 or suspected COVID-19.</w:t>
      </w:r>
    </w:p>
    <w:p w14:paraId="24B879FC" w14:textId="1EB6428C" w:rsidR="00C314D3" w:rsidRPr="00E9279E" w:rsidRDefault="00D008C9" w:rsidP="005A2C95">
      <w:pPr>
        <w:pStyle w:val="Heading6"/>
        <w:rPr>
          <w:lang w:eastAsia="ja-JP"/>
        </w:rPr>
      </w:pPr>
      <w:r w:rsidRPr="00E9279E">
        <w:rPr>
          <w:lang w:eastAsia="ja-JP"/>
        </w:rPr>
        <w:t>Venous thromboembolic event</w:t>
      </w:r>
    </w:p>
    <w:p w14:paraId="542C6E7F" w14:textId="63515AB8" w:rsidR="00C314D3" w:rsidRPr="00E9279E" w:rsidRDefault="00C314D3" w:rsidP="00C314D3">
      <w:r w:rsidRPr="00E9279E">
        <w:t xml:space="preserve">At least </w:t>
      </w:r>
      <w:r w:rsidR="006E35DD" w:rsidRPr="00E9279E">
        <w:t>one</w:t>
      </w:r>
      <w:r w:rsidRPr="00E9279E">
        <w:t xml:space="preserve"> </w:t>
      </w:r>
      <w:r w:rsidR="00D008C9" w:rsidRPr="00E9279E">
        <w:t>venous thromboembolic event</w:t>
      </w:r>
      <w:r w:rsidRPr="00E9279E">
        <w:t xml:space="preserve"> was reported in both treatment arms:</w:t>
      </w:r>
    </w:p>
    <w:p w14:paraId="4797CF95" w14:textId="5094E537" w:rsidR="00C314D3" w:rsidRPr="00E9279E" w:rsidRDefault="00C314D3" w:rsidP="005A2C95">
      <w:pPr>
        <w:pStyle w:val="ListBullet"/>
      </w:pPr>
      <w:r w:rsidRPr="00E9279E">
        <w:t>Arm A: n</w:t>
      </w:r>
      <w:r w:rsidR="00E93113" w:rsidRPr="00E9279E">
        <w:t xml:space="preserve"> </w:t>
      </w:r>
      <w:r w:rsidRPr="00E9279E">
        <w:t xml:space="preserve">= 71 (2.5%) total, n = 49 (1.8%) </w:t>
      </w:r>
      <w:r w:rsidR="00D008C9" w:rsidRPr="00E9279E">
        <w:t>deep vein thrombosis</w:t>
      </w:r>
      <w:r w:rsidRPr="00E9279E">
        <w:t xml:space="preserve">, n = 28 (1.0%) </w:t>
      </w:r>
      <w:r w:rsidR="00C518AE" w:rsidRPr="00E9279E">
        <w:t xml:space="preserve">pulmonary </w:t>
      </w:r>
      <w:proofErr w:type="gramStart"/>
      <w:r w:rsidR="00C518AE" w:rsidRPr="00E9279E">
        <w:t>embolism</w:t>
      </w:r>
      <w:proofErr w:type="gramEnd"/>
      <w:r w:rsidR="006E35DD" w:rsidRPr="00E9279E">
        <w:t>.</w:t>
      </w:r>
    </w:p>
    <w:p w14:paraId="260371FB" w14:textId="7B2A5FAB" w:rsidR="00C314D3" w:rsidRPr="00E9279E" w:rsidRDefault="00C314D3" w:rsidP="005A2C95">
      <w:pPr>
        <w:pStyle w:val="ListBullet"/>
      </w:pPr>
      <w:r w:rsidRPr="00E9279E">
        <w:t>Arm B: n</w:t>
      </w:r>
      <w:r w:rsidR="00E93113" w:rsidRPr="00E9279E">
        <w:t xml:space="preserve"> </w:t>
      </w:r>
      <w:r w:rsidRPr="00E9279E">
        <w:t>=</w:t>
      </w:r>
      <w:r w:rsidR="00E93113" w:rsidRPr="00E9279E">
        <w:t xml:space="preserve"> </w:t>
      </w:r>
      <w:r w:rsidRPr="00E9279E">
        <w:t xml:space="preserve">17 (0.6%) total, n = 14 (0.5%) </w:t>
      </w:r>
      <w:r w:rsidR="00D008C9" w:rsidRPr="00E9279E">
        <w:t>deep vein thrombosis</w:t>
      </w:r>
      <w:r w:rsidRPr="00E9279E">
        <w:t xml:space="preserve">, n = 4 (0.1%) </w:t>
      </w:r>
      <w:r w:rsidR="00C518AE" w:rsidRPr="00E9279E">
        <w:t xml:space="preserve">pulmonary </w:t>
      </w:r>
      <w:proofErr w:type="gramStart"/>
      <w:r w:rsidR="00C518AE" w:rsidRPr="00E9279E">
        <w:t>embolism</w:t>
      </w:r>
      <w:proofErr w:type="gramEnd"/>
      <w:r w:rsidR="006E35DD" w:rsidRPr="00E9279E">
        <w:t>.</w:t>
      </w:r>
    </w:p>
    <w:p w14:paraId="6D385E68" w14:textId="31C59EAF" w:rsidR="00C314D3" w:rsidRPr="00E9279E" w:rsidRDefault="00D008C9" w:rsidP="005A2C95">
      <w:r w:rsidRPr="00E9279E">
        <w:t>Venous thromboembolic event</w:t>
      </w:r>
      <w:r w:rsidR="00C314D3" w:rsidRPr="00E9279E">
        <w:t xml:space="preserve"> had been reported in the final IDFS analysis (n = 67 </w:t>
      </w:r>
      <w:r w:rsidR="00033AC2" w:rsidRPr="00E9279E">
        <w:t>(</w:t>
      </w:r>
      <w:r w:rsidR="00C314D3" w:rsidRPr="00E9279E">
        <w:t>2.4%</w:t>
      </w:r>
      <w:r w:rsidR="00033AC2" w:rsidRPr="00E9279E">
        <w:t>)</w:t>
      </w:r>
      <w:r w:rsidR="00C314D3" w:rsidRPr="00E9279E">
        <w:t xml:space="preserve"> </w:t>
      </w:r>
      <w:r w:rsidR="00033AC2" w:rsidRPr="00E9279E">
        <w:t>versus</w:t>
      </w:r>
      <w:r w:rsidR="00C314D3" w:rsidRPr="00E9279E">
        <w:t xml:space="preserve"> n = 16 </w:t>
      </w:r>
      <w:r w:rsidR="00033AC2" w:rsidRPr="00E9279E">
        <w:t>(</w:t>
      </w:r>
      <w:r w:rsidR="00C314D3" w:rsidRPr="00E9279E">
        <w:t>0.6%</w:t>
      </w:r>
      <w:r w:rsidR="00033AC2" w:rsidRPr="00E9279E">
        <w:t>)</w:t>
      </w:r>
      <w:r w:rsidR="00C314D3" w:rsidRPr="00E9279E">
        <w:t xml:space="preserve">) with proportions of </w:t>
      </w:r>
      <w:r w:rsidRPr="00E9279E">
        <w:t>deep vein thrombosis</w:t>
      </w:r>
      <w:r w:rsidR="00C314D3" w:rsidRPr="00E9279E">
        <w:t xml:space="preserve"> and </w:t>
      </w:r>
      <w:r w:rsidR="00C518AE" w:rsidRPr="00E9279E">
        <w:t>pulmonary embolism</w:t>
      </w:r>
      <w:r w:rsidR="00C314D3" w:rsidRPr="00E9279E">
        <w:t xml:space="preserve"> events in each arm. There </w:t>
      </w:r>
      <w:r w:rsidR="006E35DD" w:rsidRPr="00E9279E">
        <w:t>is one</w:t>
      </w:r>
      <w:r w:rsidR="00C314D3" w:rsidRPr="00E9279E">
        <w:t xml:space="preserve"> fatal </w:t>
      </w:r>
      <w:r w:rsidRPr="00E9279E">
        <w:t>venous thromboembolic event</w:t>
      </w:r>
      <w:r w:rsidR="00C314D3" w:rsidRPr="00E9279E">
        <w:t xml:space="preserve"> in the Arm B, and in long-term follow-up the </w:t>
      </w:r>
      <w:r w:rsidR="006E35DD" w:rsidRPr="00E9279E">
        <w:t>one</w:t>
      </w:r>
      <w:r w:rsidR="00C314D3" w:rsidRPr="00E9279E">
        <w:t xml:space="preserve"> </w:t>
      </w:r>
      <w:r w:rsidRPr="00E9279E">
        <w:t>venous thromboembolic event</w:t>
      </w:r>
      <w:r w:rsidR="00C314D3" w:rsidRPr="00E9279E">
        <w:t xml:space="preserve"> fatality in Arm A was not considered </w:t>
      </w:r>
      <w:proofErr w:type="gramStart"/>
      <w:r w:rsidR="00C314D3" w:rsidRPr="00E9279E">
        <w:t>treatment-emergent</w:t>
      </w:r>
      <w:proofErr w:type="gramEnd"/>
      <w:r w:rsidR="00C314D3" w:rsidRPr="00E9279E">
        <w:t>.</w:t>
      </w:r>
    </w:p>
    <w:p w14:paraId="268AACC6" w14:textId="2C126C1B" w:rsidR="00C314D3" w:rsidRPr="00E9279E" w:rsidRDefault="00C518AE" w:rsidP="005A2C95">
      <w:pPr>
        <w:pStyle w:val="Heading6"/>
      </w:pPr>
      <w:r w:rsidRPr="00E9279E">
        <w:t>Interstitial lung disease</w:t>
      </w:r>
      <w:r w:rsidR="006E35DD" w:rsidRPr="00E9279E">
        <w:t xml:space="preserve"> or </w:t>
      </w:r>
      <w:r w:rsidR="00C314D3" w:rsidRPr="00E9279E">
        <w:t>pneumonitis</w:t>
      </w:r>
    </w:p>
    <w:p w14:paraId="3112FE79" w14:textId="5524345D" w:rsidR="00C314D3" w:rsidRPr="00E9279E" w:rsidRDefault="00C314D3" w:rsidP="005A2C95">
      <w:r w:rsidRPr="00E9279E">
        <w:t xml:space="preserve">At OS </w:t>
      </w:r>
      <w:r w:rsidR="00D008C9" w:rsidRPr="00E9279E">
        <w:t>Interim Analysis 1</w:t>
      </w:r>
      <w:r w:rsidRPr="00E9279E">
        <w:t xml:space="preserve">, </w:t>
      </w:r>
      <w:r w:rsidR="00C518AE" w:rsidRPr="00E9279E">
        <w:t>interstitial lung disease</w:t>
      </w:r>
      <w:r w:rsidR="006E35DD" w:rsidRPr="00E9279E">
        <w:t xml:space="preserve"> or </w:t>
      </w:r>
      <w:r w:rsidRPr="00E9279E">
        <w:t xml:space="preserve">pneumonitis events were reported in 3.2% of Arm A and 1.3% of Arm B </w:t>
      </w:r>
      <w:r w:rsidR="00033AC2" w:rsidRPr="00E9279E">
        <w:t>versus</w:t>
      </w:r>
      <w:r w:rsidRPr="00E9279E">
        <w:t xml:space="preserve"> 2.9% and 1.2% at final IDFS analysis, respectively. Grade 3</w:t>
      </w:r>
      <w:r w:rsidR="00A945C5" w:rsidRPr="00E9279E">
        <w:t xml:space="preserve"> or higher</w:t>
      </w:r>
      <w:r w:rsidRPr="00E9279E">
        <w:t xml:space="preserve"> events were unchanged from the final IDFS analysis (0.4% Arm</w:t>
      </w:r>
      <w:r w:rsidR="006E35DD" w:rsidRPr="00E9279E">
        <w:t> </w:t>
      </w:r>
      <w:r w:rsidRPr="00E9279E">
        <w:t xml:space="preserve">A and </w:t>
      </w:r>
      <w:r w:rsidR="0088412E" w:rsidRPr="00E9279E">
        <w:t>less than</w:t>
      </w:r>
      <w:r w:rsidRPr="00E9279E">
        <w:t xml:space="preserve"> 0.1% Arm B). </w:t>
      </w:r>
      <w:r w:rsidR="00C518AE" w:rsidRPr="00E9279E">
        <w:t>interstitial lung disease</w:t>
      </w:r>
      <w:r w:rsidR="006E35DD" w:rsidRPr="00E9279E">
        <w:t xml:space="preserve"> or </w:t>
      </w:r>
      <w:r w:rsidRPr="00E9279E">
        <w:t xml:space="preserve">pneumonitis events were associated with </w:t>
      </w:r>
      <w:proofErr w:type="spellStart"/>
      <w:r w:rsidRPr="00E9279E">
        <w:t>abemaciclib</w:t>
      </w:r>
      <w:proofErr w:type="spellEnd"/>
      <w:r w:rsidRPr="00E9279E">
        <w:t xml:space="preserve"> dose omissions (n = 13 </w:t>
      </w:r>
      <w:r w:rsidR="00033AC2" w:rsidRPr="00E9279E">
        <w:t>(</w:t>
      </w:r>
      <w:r w:rsidRPr="00E9279E">
        <w:t>14.6%</w:t>
      </w:r>
      <w:r w:rsidR="00033AC2" w:rsidRPr="00E9279E">
        <w:t>)</w:t>
      </w:r>
      <w:r w:rsidRPr="00E9279E">
        <w:t>), dose reductions (n</w:t>
      </w:r>
      <w:r w:rsidR="00745D43" w:rsidRPr="00E9279E">
        <w:t> </w:t>
      </w:r>
      <w:r w:rsidRPr="00E9279E">
        <w:t>=</w:t>
      </w:r>
      <w:r w:rsidR="00745D43" w:rsidRPr="00E9279E">
        <w:t> </w:t>
      </w:r>
      <w:r w:rsidRPr="00E9279E">
        <w:t xml:space="preserve">5 </w:t>
      </w:r>
      <w:r w:rsidR="00033AC2" w:rsidRPr="00E9279E">
        <w:t>(</w:t>
      </w:r>
      <w:r w:rsidRPr="00E9279E">
        <w:t>5.6%</w:t>
      </w:r>
      <w:r w:rsidR="00033AC2" w:rsidRPr="00E9279E">
        <w:t>)</w:t>
      </w:r>
      <w:r w:rsidRPr="00E9279E">
        <w:t xml:space="preserve">) and discontinuations of </w:t>
      </w:r>
      <w:proofErr w:type="spellStart"/>
      <w:r w:rsidRPr="00E9279E">
        <w:t>abemaciclib</w:t>
      </w:r>
      <w:proofErr w:type="spellEnd"/>
      <w:r w:rsidRPr="00E9279E">
        <w:t xml:space="preserve"> or all treatment (n = 19 </w:t>
      </w:r>
      <w:r w:rsidR="00033AC2" w:rsidRPr="00E9279E">
        <w:t>(</w:t>
      </w:r>
      <w:r w:rsidRPr="00E9279E">
        <w:t>21.3%</w:t>
      </w:r>
      <w:r w:rsidR="00033AC2" w:rsidRPr="00E9279E">
        <w:t>)</w:t>
      </w:r>
      <w:r w:rsidRPr="00E9279E">
        <w:t>).</w:t>
      </w:r>
    </w:p>
    <w:p w14:paraId="40B939EE" w14:textId="5A70C417" w:rsidR="00C314D3" w:rsidRPr="00E9279E" w:rsidRDefault="00C314D3" w:rsidP="005A2C95">
      <w:pPr>
        <w:pStyle w:val="Heading6"/>
      </w:pPr>
      <w:r w:rsidRPr="00E9279E">
        <w:t>Elevated transaminases (</w:t>
      </w:r>
      <w:r w:rsidR="006E35DD" w:rsidRPr="00E9279E">
        <w:t>alanine transaminase</w:t>
      </w:r>
      <w:r w:rsidR="00794D77" w:rsidRPr="00E9279E">
        <w:t xml:space="preserve"> and </w:t>
      </w:r>
      <w:r w:rsidR="006E35DD" w:rsidRPr="00E9279E">
        <w:t>aspartate transaminase</w:t>
      </w:r>
      <w:r w:rsidRPr="00E9279E">
        <w:t>)</w:t>
      </w:r>
    </w:p>
    <w:p w14:paraId="1CF02E5D" w14:textId="439E92D6" w:rsidR="00C314D3" w:rsidRPr="00E9279E" w:rsidRDefault="00C314D3" w:rsidP="005A2C95">
      <w:r w:rsidRPr="00E9279E">
        <w:t xml:space="preserve">A summary of the findings for these events is in </w:t>
      </w:r>
      <w:r w:rsidRPr="00E9279E">
        <w:fldChar w:fldCharType="begin"/>
      </w:r>
      <w:r w:rsidRPr="00E9279E">
        <w:instrText xml:space="preserve"> REF _Ref91947377 \h </w:instrText>
      </w:r>
      <w:r w:rsidR="005A2C95" w:rsidRPr="00E9279E">
        <w:instrText xml:space="preserve"> \* MERGEFORMAT </w:instrText>
      </w:r>
      <w:r w:rsidRPr="00E9279E">
        <w:fldChar w:fldCharType="separate"/>
      </w:r>
      <w:r w:rsidR="00E9279E" w:rsidRPr="00E9279E">
        <w:t xml:space="preserve">Table </w:t>
      </w:r>
      <w:r w:rsidR="00E9279E">
        <w:t>9</w:t>
      </w:r>
      <w:r w:rsidRPr="00E9279E">
        <w:fldChar w:fldCharType="end"/>
      </w:r>
      <w:r w:rsidRPr="00E9279E">
        <w:t>.</w:t>
      </w:r>
    </w:p>
    <w:p w14:paraId="452F6387" w14:textId="67DFEF50" w:rsidR="00C314D3" w:rsidRPr="00E9279E" w:rsidRDefault="00C314D3" w:rsidP="005A2C95">
      <w:r w:rsidRPr="00E9279E">
        <w:t xml:space="preserve">No cases were considered to meet the definition of </w:t>
      </w:r>
      <w:r w:rsidR="00AD7BAF" w:rsidRPr="00E9279E">
        <w:t>drug induced liver injury</w:t>
      </w:r>
      <w:r w:rsidRPr="00E9279E">
        <w:t>.</w:t>
      </w:r>
      <w:r w:rsidR="00AD7BAF" w:rsidRPr="00E9279E">
        <w:rPr>
          <w:rStyle w:val="FootnoteReference"/>
        </w:rPr>
        <w:footnoteReference w:id="32"/>
      </w:r>
    </w:p>
    <w:p w14:paraId="4609FF4B" w14:textId="4C1EC090" w:rsidR="00C314D3" w:rsidRPr="00E9279E" w:rsidRDefault="00C314D3" w:rsidP="00B63518">
      <w:pPr>
        <w:pStyle w:val="TableTitle"/>
      </w:pPr>
      <w:bookmarkStart w:id="73" w:name="_Ref91947377"/>
      <w:r w:rsidRPr="00E9279E">
        <w:lastRenderedPageBreak/>
        <w:t xml:space="preserve">Table </w:t>
      </w:r>
      <w:r w:rsidR="000C44E7">
        <w:fldChar w:fldCharType="begin"/>
      </w:r>
      <w:r w:rsidR="000C44E7">
        <w:instrText xml:space="preserve"> SEQ Table \* ARABIC </w:instrText>
      </w:r>
      <w:r w:rsidR="000C44E7">
        <w:fldChar w:fldCharType="separate"/>
      </w:r>
      <w:r w:rsidR="00E9279E">
        <w:rPr>
          <w:noProof/>
        </w:rPr>
        <w:t>9</w:t>
      </w:r>
      <w:r w:rsidR="000C44E7">
        <w:rPr>
          <w:noProof/>
        </w:rPr>
        <w:fldChar w:fldCharType="end"/>
      </w:r>
      <w:bookmarkEnd w:id="73"/>
      <w:r w:rsidR="0086249E" w:rsidRPr="00E9279E">
        <w:t>: Study I3Y-MC-JPCF</w:t>
      </w:r>
      <w:r w:rsidRPr="00E9279E">
        <w:t xml:space="preserve"> </w:t>
      </w:r>
      <w:r w:rsidR="00266263" w:rsidRPr="00E9279E">
        <w:t>(</w:t>
      </w:r>
      <w:r w:rsidR="00FD3077" w:rsidRPr="00E9279E">
        <w:t xml:space="preserve">MONARCHE </w:t>
      </w:r>
      <w:r w:rsidR="00266263" w:rsidRPr="00E9279E">
        <w:t xml:space="preserve">trial) </w:t>
      </w:r>
      <w:r w:rsidRPr="00E9279E">
        <w:t>Summary o</w:t>
      </w:r>
      <w:r w:rsidR="00794D77" w:rsidRPr="00E9279E">
        <w:t xml:space="preserve">f aspartate transaminase and alanine transaminase increased in final invasive disease-free survival analysis and overall survival </w:t>
      </w:r>
      <w:r w:rsidR="00D008C9" w:rsidRPr="00E9279E">
        <w:t>Interim Analysis 1</w:t>
      </w:r>
    </w:p>
    <w:tbl>
      <w:tblPr>
        <w:tblStyle w:val="TableTGAblue"/>
        <w:tblW w:w="0" w:type="auto"/>
        <w:tblLook w:val="04A0" w:firstRow="1" w:lastRow="0" w:firstColumn="1" w:lastColumn="0" w:noHBand="0" w:noVBand="1"/>
      </w:tblPr>
      <w:tblGrid>
        <w:gridCol w:w="1575"/>
        <w:gridCol w:w="1124"/>
        <w:gridCol w:w="1121"/>
        <w:gridCol w:w="1188"/>
        <w:gridCol w:w="1105"/>
        <w:gridCol w:w="1244"/>
        <w:gridCol w:w="997"/>
      </w:tblGrid>
      <w:tr w:rsidR="00C314D3" w:rsidRPr="00E9279E" w14:paraId="07E304F4" w14:textId="77777777" w:rsidTr="00BD08E7">
        <w:trPr>
          <w:cnfStyle w:val="100000000000" w:firstRow="1" w:lastRow="0" w:firstColumn="0" w:lastColumn="0" w:oddVBand="0" w:evenVBand="0" w:oddHBand="0" w:evenHBand="0" w:firstRowFirstColumn="0" w:firstRowLastColumn="0" w:lastRowFirstColumn="0" w:lastRowLastColumn="0"/>
        </w:trPr>
        <w:tc>
          <w:tcPr>
            <w:tcW w:w="1575" w:type="dxa"/>
            <w:vMerge w:val="restart"/>
            <w:tcBorders>
              <w:top w:val="single" w:sz="8" w:space="0" w:color="auto"/>
              <w:left w:val="single" w:sz="8" w:space="0" w:color="auto"/>
              <w:bottom w:val="single" w:sz="8" w:space="0" w:color="auto"/>
              <w:right w:val="single" w:sz="8" w:space="0" w:color="auto"/>
            </w:tcBorders>
          </w:tcPr>
          <w:p w14:paraId="0893C481" w14:textId="77777777" w:rsidR="00C314D3" w:rsidRPr="00E9279E" w:rsidRDefault="00C314D3" w:rsidP="00200519">
            <w:pPr>
              <w:pStyle w:val="Tabletext"/>
              <w:ind w:left="0" w:right="0"/>
            </w:pPr>
            <w:r w:rsidRPr="00E9279E">
              <w:t>Parameter</w:t>
            </w:r>
          </w:p>
        </w:tc>
        <w:tc>
          <w:tcPr>
            <w:tcW w:w="2245" w:type="dxa"/>
            <w:gridSpan w:val="2"/>
            <w:tcBorders>
              <w:top w:val="single" w:sz="8" w:space="0" w:color="auto"/>
              <w:left w:val="single" w:sz="8" w:space="0" w:color="auto"/>
              <w:bottom w:val="single" w:sz="8" w:space="0" w:color="auto"/>
              <w:right w:val="single" w:sz="8" w:space="0" w:color="auto"/>
            </w:tcBorders>
          </w:tcPr>
          <w:p w14:paraId="27E63DB1" w14:textId="77777777" w:rsidR="00C314D3" w:rsidRPr="00E9279E" w:rsidRDefault="00C314D3" w:rsidP="00200519">
            <w:pPr>
              <w:pStyle w:val="Tabletext"/>
              <w:ind w:left="0" w:right="0"/>
            </w:pPr>
            <w:r w:rsidRPr="00E9279E">
              <w:t>Final IDFS analysis</w:t>
            </w:r>
          </w:p>
        </w:tc>
        <w:tc>
          <w:tcPr>
            <w:tcW w:w="2293" w:type="dxa"/>
            <w:gridSpan w:val="2"/>
            <w:tcBorders>
              <w:top w:val="single" w:sz="8" w:space="0" w:color="auto"/>
              <w:left w:val="single" w:sz="8" w:space="0" w:color="auto"/>
              <w:bottom w:val="single" w:sz="8" w:space="0" w:color="auto"/>
              <w:right w:val="single" w:sz="8" w:space="0" w:color="auto"/>
            </w:tcBorders>
          </w:tcPr>
          <w:p w14:paraId="46D964F3" w14:textId="5597BB3A" w:rsidR="00C314D3" w:rsidRPr="00E9279E" w:rsidRDefault="009B5BCF" w:rsidP="00200519">
            <w:pPr>
              <w:pStyle w:val="Tabletext"/>
              <w:ind w:left="0" w:right="0"/>
            </w:pPr>
            <w:r w:rsidRPr="00E9279E">
              <w:t>Overall survival</w:t>
            </w:r>
            <w:r w:rsidR="00C314D3" w:rsidRPr="00E9279E">
              <w:t xml:space="preserve"> </w:t>
            </w:r>
            <w:r w:rsidR="00D008C9" w:rsidRPr="00E9279E">
              <w:t>Interim Analysis 1</w:t>
            </w:r>
            <w:r w:rsidR="00BD08E7" w:rsidRPr="00E9279E">
              <w:t xml:space="preserve"> a</w:t>
            </w:r>
            <w:r w:rsidR="00C314D3" w:rsidRPr="00E9279E">
              <w:t>ll Grade</w:t>
            </w:r>
          </w:p>
        </w:tc>
        <w:tc>
          <w:tcPr>
            <w:tcW w:w="2241" w:type="dxa"/>
            <w:gridSpan w:val="2"/>
            <w:tcBorders>
              <w:top w:val="single" w:sz="8" w:space="0" w:color="auto"/>
              <w:left w:val="single" w:sz="8" w:space="0" w:color="auto"/>
              <w:bottom w:val="single" w:sz="8" w:space="0" w:color="auto"/>
              <w:right w:val="single" w:sz="8" w:space="0" w:color="auto"/>
            </w:tcBorders>
          </w:tcPr>
          <w:p w14:paraId="1D029A38" w14:textId="22B389AD" w:rsidR="00C314D3" w:rsidRPr="00E9279E" w:rsidRDefault="009B5BCF" w:rsidP="00200519">
            <w:pPr>
              <w:pStyle w:val="Tabletext"/>
              <w:ind w:left="0" w:right="0"/>
            </w:pPr>
            <w:r w:rsidRPr="00E9279E">
              <w:t>Overall survival</w:t>
            </w:r>
            <w:r w:rsidR="00C314D3" w:rsidRPr="00E9279E">
              <w:t xml:space="preserve"> </w:t>
            </w:r>
            <w:r w:rsidR="00D008C9" w:rsidRPr="00E9279E">
              <w:t>Interim Analysis 1</w:t>
            </w:r>
            <w:r w:rsidR="00C314D3" w:rsidRPr="00E9279E">
              <w:t xml:space="preserve"> Grade ≥</w:t>
            </w:r>
            <w:r w:rsidR="002F1A84" w:rsidRPr="00E9279E">
              <w:t xml:space="preserve"> </w:t>
            </w:r>
            <w:r w:rsidR="00C314D3" w:rsidRPr="00E9279E">
              <w:t>3</w:t>
            </w:r>
          </w:p>
        </w:tc>
      </w:tr>
      <w:tr w:rsidR="00C314D3" w:rsidRPr="00E9279E" w14:paraId="2321800C" w14:textId="77777777" w:rsidTr="00BD08E7">
        <w:tc>
          <w:tcPr>
            <w:tcW w:w="1575" w:type="dxa"/>
            <w:vMerge/>
            <w:tcBorders>
              <w:top w:val="single" w:sz="8" w:space="0" w:color="auto"/>
              <w:left w:val="single" w:sz="8" w:space="0" w:color="auto"/>
              <w:bottom w:val="single" w:sz="8" w:space="0" w:color="auto"/>
              <w:right w:val="single" w:sz="8" w:space="0" w:color="auto"/>
            </w:tcBorders>
            <w:shd w:val="clear" w:color="auto" w:fill="006DA7"/>
          </w:tcPr>
          <w:p w14:paraId="2B41B75E" w14:textId="77777777" w:rsidR="00C314D3" w:rsidRPr="00E9279E" w:rsidRDefault="00C314D3" w:rsidP="00200519">
            <w:pPr>
              <w:pStyle w:val="Tabletext"/>
              <w:ind w:left="0" w:right="0"/>
            </w:pPr>
          </w:p>
        </w:tc>
        <w:tc>
          <w:tcPr>
            <w:tcW w:w="1124" w:type="dxa"/>
            <w:tcBorders>
              <w:top w:val="single" w:sz="8" w:space="0" w:color="auto"/>
              <w:left w:val="single" w:sz="8" w:space="0" w:color="auto"/>
              <w:bottom w:val="single" w:sz="8" w:space="0" w:color="auto"/>
              <w:right w:val="single" w:sz="8" w:space="0" w:color="auto"/>
            </w:tcBorders>
            <w:shd w:val="clear" w:color="auto" w:fill="006DA7"/>
          </w:tcPr>
          <w:p w14:paraId="132469DE" w14:textId="77777777" w:rsidR="00C314D3" w:rsidRPr="00E9279E" w:rsidRDefault="00C314D3" w:rsidP="00200519">
            <w:pPr>
              <w:pStyle w:val="Tabletext"/>
              <w:ind w:left="0" w:right="0"/>
              <w:rPr>
                <w:b/>
                <w:bCs/>
                <w:color w:val="F8F8F8"/>
              </w:rPr>
            </w:pPr>
            <w:r w:rsidRPr="00E9279E">
              <w:rPr>
                <w:b/>
                <w:bCs/>
                <w:color w:val="F8F8F8"/>
              </w:rPr>
              <w:t>Arm A</w:t>
            </w:r>
          </w:p>
        </w:tc>
        <w:tc>
          <w:tcPr>
            <w:tcW w:w="1121" w:type="dxa"/>
            <w:tcBorders>
              <w:top w:val="single" w:sz="8" w:space="0" w:color="auto"/>
              <w:left w:val="single" w:sz="8" w:space="0" w:color="auto"/>
              <w:bottom w:val="single" w:sz="8" w:space="0" w:color="auto"/>
              <w:right w:val="single" w:sz="8" w:space="0" w:color="auto"/>
            </w:tcBorders>
            <w:shd w:val="clear" w:color="auto" w:fill="006DA7"/>
          </w:tcPr>
          <w:p w14:paraId="76FE1F85" w14:textId="77777777" w:rsidR="00C314D3" w:rsidRPr="00E9279E" w:rsidRDefault="00C314D3" w:rsidP="00200519">
            <w:pPr>
              <w:pStyle w:val="Tabletext"/>
              <w:ind w:left="0" w:right="0"/>
              <w:rPr>
                <w:b/>
                <w:bCs/>
                <w:color w:val="F8F8F8"/>
              </w:rPr>
            </w:pPr>
            <w:r w:rsidRPr="00E9279E">
              <w:rPr>
                <w:b/>
                <w:bCs/>
                <w:color w:val="F8F8F8"/>
              </w:rPr>
              <w:t>Arm B</w:t>
            </w:r>
          </w:p>
        </w:tc>
        <w:tc>
          <w:tcPr>
            <w:tcW w:w="1188" w:type="dxa"/>
            <w:tcBorders>
              <w:top w:val="single" w:sz="8" w:space="0" w:color="auto"/>
              <w:left w:val="single" w:sz="8" w:space="0" w:color="auto"/>
              <w:bottom w:val="single" w:sz="8" w:space="0" w:color="auto"/>
              <w:right w:val="single" w:sz="8" w:space="0" w:color="auto"/>
            </w:tcBorders>
            <w:shd w:val="clear" w:color="auto" w:fill="006DA7"/>
          </w:tcPr>
          <w:p w14:paraId="0E0C2229" w14:textId="77777777" w:rsidR="00C314D3" w:rsidRPr="00E9279E" w:rsidRDefault="00C314D3" w:rsidP="00200519">
            <w:pPr>
              <w:pStyle w:val="Tabletext"/>
              <w:ind w:left="0" w:right="0"/>
              <w:rPr>
                <w:b/>
                <w:bCs/>
                <w:color w:val="F8F8F8"/>
              </w:rPr>
            </w:pPr>
            <w:r w:rsidRPr="00E9279E">
              <w:rPr>
                <w:b/>
                <w:bCs/>
                <w:color w:val="F8F8F8"/>
              </w:rPr>
              <w:t>Arm A</w:t>
            </w:r>
          </w:p>
        </w:tc>
        <w:tc>
          <w:tcPr>
            <w:tcW w:w="1105" w:type="dxa"/>
            <w:tcBorders>
              <w:top w:val="single" w:sz="8" w:space="0" w:color="auto"/>
              <w:left w:val="single" w:sz="8" w:space="0" w:color="auto"/>
              <w:bottom w:val="single" w:sz="8" w:space="0" w:color="auto"/>
              <w:right w:val="single" w:sz="8" w:space="0" w:color="auto"/>
            </w:tcBorders>
            <w:shd w:val="clear" w:color="auto" w:fill="006DA7"/>
          </w:tcPr>
          <w:p w14:paraId="028747A7" w14:textId="77777777" w:rsidR="00C314D3" w:rsidRPr="00E9279E" w:rsidRDefault="00C314D3" w:rsidP="00200519">
            <w:pPr>
              <w:pStyle w:val="Tabletext"/>
              <w:ind w:left="0" w:right="0"/>
              <w:rPr>
                <w:b/>
                <w:bCs/>
                <w:color w:val="F8F8F8"/>
              </w:rPr>
            </w:pPr>
            <w:r w:rsidRPr="00E9279E">
              <w:rPr>
                <w:b/>
                <w:bCs/>
                <w:color w:val="F8F8F8"/>
              </w:rPr>
              <w:t>Arm B</w:t>
            </w:r>
          </w:p>
        </w:tc>
        <w:tc>
          <w:tcPr>
            <w:tcW w:w="1244" w:type="dxa"/>
            <w:tcBorders>
              <w:top w:val="single" w:sz="8" w:space="0" w:color="auto"/>
              <w:left w:val="single" w:sz="8" w:space="0" w:color="auto"/>
              <w:bottom w:val="single" w:sz="8" w:space="0" w:color="auto"/>
              <w:right w:val="single" w:sz="8" w:space="0" w:color="auto"/>
            </w:tcBorders>
            <w:shd w:val="clear" w:color="auto" w:fill="006DA7"/>
          </w:tcPr>
          <w:p w14:paraId="1AD49375" w14:textId="77777777" w:rsidR="00C314D3" w:rsidRPr="00E9279E" w:rsidRDefault="00C314D3" w:rsidP="00200519">
            <w:pPr>
              <w:pStyle w:val="Tabletext"/>
              <w:ind w:left="0" w:right="0"/>
              <w:rPr>
                <w:b/>
                <w:bCs/>
                <w:color w:val="F8F8F8"/>
              </w:rPr>
            </w:pPr>
            <w:r w:rsidRPr="00E9279E">
              <w:rPr>
                <w:b/>
                <w:bCs/>
                <w:color w:val="F8F8F8"/>
              </w:rPr>
              <w:t>Arm A</w:t>
            </w:r>
          </w:p>
        </w:tc>
        <w:tc>
          <w:tcPr>
            <w:tcW w:w="997" w:type="dxa"/>
            <w:tcBorders>
              <w:top w:val="single" w:sz="8" w:space="0" w:color="auto"/>
              <w:left w:val="single" w:sz="8" w:space="0" w:color="auto"/>
              <w:bottom w:val="single" w:sz="8" w:space="0" w:color="auto"/>
              <w:right w:val="single" w:sz="8" w:space="0" w:color="auto"/>
            </w:tcBorders>
            <w:shd w:val="clear" w:color="auto" w:fill="006DA7"/>
          </w:tcPr>
          <w:p w14:paraId="6829B56A" w14:textId="77777777" w:rsidR="00C314D3" w:rsidRPr="00E9279E" w:rsidRDefault="00C314D3" w:rsidP="00200519">
            <w:pPr>
              <w:pStyle w:val="Tabletext"/>
              <w:ind w:left="0" w:right="0"/>
              <w:rPr>
                <w:b/>
                <w:bCs/>
                <w:color w:val="F8F8F8"/>
              </w:rPr>
            </w:pPr>
            <w:r w:rsidRPr="00E9279E">
              <w:rPr>
                <w:b/>
                <w:bCs/>
                <w:color w:val="F8F8F8"/>
              </w:rPr>
              <w:t>Arm B</w:t>
            </w:r>
          </w:p>
        </w:tc>
      </w:tr>
      <w:tr w:rsidR="00C314D3" w:rsidRPr="00E9279E" w14:paraId="0FE1E1FE" w14:textId="77777777" w:rsidTr="00BD08E7">
        <w:tc>
          <w:tcPr>
            <w:tcW w:w="1575" w:type="dxa"/>
            <w:tcBorders>
              <w:top w:val="single" w:sz="8" w:space="0" w:color="auto"/>
            </w:tcBorders>
          </w:tcPr>
          <w:p w14:paraId="573A0C59" w14:textId="77777777" w:rsidR="00C314D3" w:rsidRPr="00E9279E" w:rsidRDefault="00C314D3" w:rsidP="00200519">
            <w:pPr>
              <w:pStyle w:val="Tabletext"/>
              <w:ind w:left="0" w:right="0"/>
              <w:rPr>
                <w:b/>
                <w:bCs/>
              </w:rPr>
            </w:pPr>
            <w:r w:rsidRPr="00E9279E">
              <w:rPr>
                <w:b/>
                <w:bCs/>
              </w:rPr>
              <w:t>ALT increased</w:t>
            </w:r>
          </w:p>
        </w:tc>
        <w:tc>
          <w:tcPr>
            <w:tcW w:w="1124" w:type="dxa"/>
            <w:tcBorders>
              <w:top w:val="single" w:sz="8" w:space="0" w:color="auto"/>
            </w:tcBorders>
          </w:tcPr>
          <w:p w14:paraId="68F890D0" w14:textId="77777777" w:rsidR="00C314D3" w:rsidRPr="00E9279E" w:rsidRDefault="00C314D3" w:rsidP="00200519">
            <w:pPr>
              <w:pStyle w:val="Tabletext"/>
              <w:ind w:left="0" w:right="0"/>
            </w:pPr>
            <w:r w:rsidRPr="00E9279E">
              <w:t>10.4%</w:t>
            </w:r>
          </w:p>
        </w:tc>
        <w:tc>
          <w:tcPr>
            <w:tcW w:w="1121" w:type="dxa"/>
            <w:tcBorders>
              <w:top w:val="single" w:sz="8" w:space="0" w:color="auto"/>
            </w:tcBorders>
          </w:tcPr>
          <w:p w14:paraId="22D87DA4" w14:textId="77777777" w:rsidR="00C314D3" w:rsidRPr="00E9279E" w:rsidRDefault="00C314D3" w:rsidP="00200519">
            <w:pPr>
              <w:pStyle w:val="Tabletext"/>
              <w:ind w:left="0" w:right="0"/>
            </w:pPr>
            <w:r w:rsidRPr="00E9279E">
              <w:t>4.9%</w:t>
            </w:r>
          </w:p>
        </w:tc>
        <w:tc>
          <w:tcPr>
            <w:tcW w:w="1188" w:type="dxa"/>
            <w:tcBorders>
              <w:top w:val="single" w:sz="8" w:space="0" w:color="auto"/>
            </w:tcBorders>
          </w:tcPr>
          <w:p w14:paraId="6658BCA4" w14:textId="77777777" w:rsidR="00C314D3" w:rsidRPr="00E9279E" w:rsidRDefault="00C314D3" w:rsidP="00200519">
            <w:pPr>
              <w:pStyle w:val="Tabletext"/>
              <w:ind w:left="0" w:right="0"/>
            </w:pPr>
            <w:r w:rsidRPr="00E9279E">
              <w:t>12.3%</w:t>
            </w:r>
          </w:p>
        </w:tc>
        <w:tc>
          <w:tcPr>
            <w:tcW w:w="1105" w:type="dxa"/>
            <w:tcBorders>
              <w:top w:val="single" w:sz="8" w:space="0" w:color="auto"/>
            </w:tcBorders>
          </w:tcPr>
          <w:p w14:paraId="7549C507" w14:textId="77777777" w:rsidR="00C314D3" w:rsidRPr="00E9279E" w:rsidRDefault="00C314D3" w:rsidP="00200519">
            <w:pPr>
              <w:pStyle w:val="Tabletext"/>
              <w:ind w:left="0" w:right="0"/>
            </w:pPr>
            <w:r w:rsidRPr="00E9279E">
              <w:t>5.6%</w:t>
            </w:r>
          </w:p>
        </w:tc>
        <w:tc>
          <w:tcPr>
            <w:tcW w:w="1244" w:type="dxa"/>
            <w:tcBorders>
              <w:top w:val="single" w:sz="8" w:space="0" w:color="auto"/>
            </w:tcBorders>
          </w:tcPr>
          <w:p w14:paraId="2A189B80" w14:textId="77777777" w:rsidR="00C314D3" w:rsidRPr="00E9279E" w:rsidRDefault="00C314D3" w:rsidP="00200519">
            <w:pPr>
              <w:pStyle w:val="Tabletext"/>
              <w:ind w:left="0" w:right="0"/>
            </w:pPr>
            <w:r w:rsidRPr="00E9279E">
              <w:t>2.8%</w:t>
            </w:r>
          </w:p>
        </w:tc>
        <w:tc>
          <w:tcPr>
            <w:tcW w:w="997" w:type="dxa"/>
            <w:tcBorders>
              <w:top w:val="single" w:sz="8" w:space="0" w:color="auto"/>
            </w:tcBorders>
          </w:tcPr>
          <w:p w14:paraId="0D123E04" w14:textId="77777777" w:rsidR="00C314D3" w:rsidRPr="00E9279E" w:rsidRDefault="00C314D3" w:rsidP="00200519">
            <w:pPr>
              <w:pStyle w:val="Tabletext"/>
              <w:ind w:left="0" w:right="0"/>
            </w:pPr>
            <w:r w:rsidRPr="00E9279E">
              <w:t>0.7%</w:t>
            </w:r>
          </w:p>
        </w:tc>
      </w:tr>
      <w:tr w:rsidR="00C314D3" w:rsidRPr="00E9279E" w14:paraId="3CB7A978" w14:textId="77777777" w:rsidTr="00BD08E7">
        <w:tc>
          <w:tcPr>
            <w:tcW w:w="1575" w:type="dxa"/>
          </w:tcPr>
          <w:p w14:paraId="67A78C23" w14:textId="77777777" w:rsidR="00C314D3" w:rsidRPr="00E9279E" w:rsidRDefault="00C314D3" w:rsidP="00200519">
            <w:pPr>
              <w:pStyle w:val="Tabletext"/>
              <w:ind w:left="0" w:right="0"/>
              <w:rPr>
                <w:b/>
                <w:bCs/>
              </w:rPr>
            </w:pPr>
            <w:r w:rsidRPr="00E9279E">
              <w:rPr>
                <w:b/>
                <w:bCs/>
              </w:rPr>
              <w:t>AST increased</w:t>
            </w:r>
          </w:p>
        </w:tc>
        <w:tc>
          <w:tcPr>
            <w:tcW w:w="1124" w:type="dxa"/>
          </w:tcPr>
          <w:p w14:paraId="21B803C4" w14:textId="77777777" w:rsidR="00C314D3" w:rsidRPr="00E9279E" w:rsidRDefault="00C314D3" w:rsidP="00200519">
            <w:pPr>
              <w:pStyle w:val="Tabletext"/>
              <w:ind w:left="0" w:right="0"/>
            </w:pPr>
            <w:r w:rsidRPr="00E9279E">
              <w:t>10.1%</w:t>
            </w:r>
          </w:p>
        </w:tc>
        <w:tc>
          <w:tcPr>
            <w:tcW w:w="1121" w:type="dxa"/>
          </w:tcPr>
          <w:p w14:paraId="2B754302" w14:textId="77777777" w:rsidR="00C314D3" w:rsidRPr="00E9279E" w:rsidRDefault="00C314D3" w:rsidP="00200519">
            <w:pPr>
              <w:pStyle w:val="Tabletext"/>
              <w:ind w:left="0" w:right="0"/>
            </w:pPr>
            <w:r w:rsidRPr="00E9279E">
              <w:t>4.3%</w:t>
            </w:r>
          </w:p>
        </w:tc>
        <w:tc>
          <w:tcPr>
            <w:tcW w:w="1188" w:type="dxa"/>
          </w:tcPr>
          <w:p w14:paraId="4C985E2C" w14:textId="77777777" w:rsidR="00C314D3" w:rsidRPr="00E9279E" w:rsidRDefault="00C314D3" w:rsidP="00200519">
            <w:pPr>
              <w:pStyle w:val="Tabletext"/>
              <w:ind w:left="0" w:right="0"/>
            </w:pPr>
            <w:r w:rsidRPr="00E9279E">
              <w:t>11.8%</w:t>
            </w:r>
          </w:p>
        </w:tc>
        <w:tc>
          <w:tcPr>
            <w:tcW w:w="1105" w:type="dxa"/>
          </w:tcPr>
          <w:p w14:paraId="0C618B8A" w14:textId="77777777" w:rsidR="00C314D3" w:rsidRPr="00E9279E" w:rsidRDefault="00C314D3" w:rsidP="00200519">
            <w:pPr>
              <w:pStyle w:val="Tabletext"/>
              <w:ind w:left="0" w:right="0"/>
            </w:pPr>
            <w:r w:rsidRPr="00E9279E">
              <w:t>4.9%</w:t>
            </w:r>
          </w:p>
        </w:tc>
        <w:tc>
          <w:tcPr>
            <w:tcW w:w="1244" w:type="dxa"/>
          </w:tcPr>
          <w:p w14:paraId="1532E089" w14:textId="77777777" w:rsidR="00C314D3" w:rsidRPr="00E9279E" w:rsidRDefault="00C314D3" w:rsidP="00200519">
            <w:pPr>
              <w:pStyle w:val="Tabletext"/>
              <w:ind w:left="0" w:right="0"/>
            </w:pPr>
            <w:r w:rsidRPr="00E9279E">
              <w:t>1.9%</w:t>
            </w:r>
          </w:p>
        </w:tc>
        <w:tc>
          <w:tcPr>
            <w:tcW w:w="997" w:type="dxa"/>
          </w:tcPr>
          <w:p w14:paraId="5BDCB279" w14:textId="77777777" w:rsidR="00C314D3" w:rsidRPr="00E9279E" w:rsidRDefault="00C314D3" w:rsidP="00200519">
            <w:pPr>
              <w:pStyle w:val="Tabletext"/>
              <w:ind w:left="0" w:right="0"/>
            </w:pPr>
            <w:r w:rsidRPr="00E9279E">
              <w:t>0.5%</w:t>
            </w:r>
          </w:p>
        </w:tc>
      </w:tr>
    </w:tbl>
    <w:p w14:paraId="1E63E0F9" w14:textId="5CA9BCFD" w:rsidR="006D2BFB" w:rsidRPr="00E9279E" w:rsidRDefault="006D2BFB" w:rsidP="00B63518">
      <w:pPr>
        <w:pStyle w:val="TableDescription"/>
      </w:pPr>
      <w:r w:rsidRPr="00E9279E">
        <w:t>Abbreviations: ALT = alanine transaminase; AST = aspartate aminotransferase; IDFS = invasive disease-free survival.</w:t>
      </w:r>
    </w:p>
    <w:p w14:paraId="6CED2E71" w14:textId="264FF89B" w:rsidR="00C314D3" w:rsidRPr="00E9279E" w:rsidRDefault="00C314D3" w:rsidP="005A2C95">
      <w:proofErr w:type="spellStart"/>
      <w:r w:rsidRPr="00E9279E">
        <w:t>Abemaciclib</w:t>
      </w:r>
      <w:proofErr w:type="spellEnd"/>
      <w:r w:rsidRPr="00E9279E">
        <w:t xml:space="preserve"> dose modifications or discontinuations of </w:t>
      </w:r>
      <w:proofErr w:type="spellStart"/>
      <w:r w:rsidRPr="00E9279E">
        <w:t>abemaciclib</w:t>
      </w:r>
      <w:proofErr w:type="spellEnd"/>
      <w:r w:rsidRPr="00E9279E">
        <w:t xml:space="preserve"> or all treatment due to </w:t>
      </w:r>
      <w:r w:rsidR="00206B4F" w:rsidRPr="00E9279E">
        <w:t>aspartate aminotransferase (</w:t>
      </w:r>
      <w:r w:rsidRPr="00E9279E">
        <w:t>ALT</w:t>
      </w:r>
      <w:r w:rsidR="00206B4F" w:rsidRPr="00E9279E">
        <w:t>)</w:t>
      </w:r>
      <w:r w:rsidRPr="00E9279E">
        <w:t xml:space="preserve"> or </w:t>
      </w:r>
      <w:r w:rsidR="00206B4F" w:rsidRPr="00E9279E">
        <w:t>aspartate aminotransferase (</w:t>
      </w:r>
      <w:r w:rsidRPr="00E9279E">
        <w:t>AST</w:t>
      </w:r>
      <w:r w:rsidR="00206B4F" w:rsidRPr="00E9279E">
        <w:t>)</w:t>
      </w:r>
      <w:r w:rsidRPr="00E9279E">
        <w:t xml:space="preserve"> increased were reported in 2.4%</w:t>
      </w:r>
      <w:r w:rsidR="0083018A" w:rsidRPr="00E9279E">
        <w:t xml:space="preserve"> or less </w:t>
      </w:r>
      <w:r w:rsidRPr="00E9279E">
        <w:t>and 0.6%</w:t>
      </w:r>
      <w:r w:rsidR="0083018A" w:rsidRPr="00E9279E">
        <w:t xml:space="preserve"> or less</w:t>
      </w:r>
      <w:r w:rsidRPr="00E9279E">
        <w:t>, respectively</w:t>
      </w:r>
      <w:r w:rsidR="0031603E" w:rsidRPr="00E9279E">
        <w:t>.</w:t>
      </w:r>
    </w:p>
    <w:p w14:paraId="621B9AB0" w14:textId="77777777" w:rsidR="00C314D3" w:rsidRPr="00E9279E" w:rsidRDefault="00C314D3" w:rsidP="005A2C95">
      <w:pPr>
        <w:pStyle w:val="Heading5"/>
        <w:rPr>
          <w:lang w:eastAsia="ja-JP"/>
        </w:rPr>
      </w:pPr>
      <w:r w:rsidRPr="00E9279E">
        <w:rPr>
          <w:lang w:eastAsia="ja-JP"/>
        </w:rPr>
        <w:t>Laboratory abnormalities</w:t>
      </w:r>
    </w:p>
    <w:p w14:paraId="580A32AB" w14:textId="05C1CA52" w:rsidR="00C314D3" w:rsidRPr="00E9279E" w:rsidRDefault="00C314D3" w:rsidP="005A2C95">
      <w:r w:rsidRPr="00E9279E">
        <w:fldChar w:fldCharType="begin"/>
      </w:r>
      <w:r w:rsidRPr="00E9279E">
        <w:instrText xml:space="preserve"> REF _Ref91947528 \h </w:instrText>
      </w:r>
      <w:r w:rsidR="005A2C95" w:rsidRPr="00E9279E">
        <w:instrText xml:space="preserve"> \* MERGEFORMAT </w:instrText>
      </w:r>
      <w:r w:rsidRPr="00E9279E">
        <w:fldChar w:fldCharType="separate"/>
      </w:r>
      <w:r w:rsidR="00E9279E" w:rsidRPr="00E9279E">
        <w:t xml:space="preserve">Table </w:t>
      </w:r>
      <w:r w:rsidR="00E9279E">
        <w:t>10</w:t>
      </w:r>
      <w:r w:rsidRPr="00E9279E">
        <w:fldChar w:fldCharType="end"/>
      </w:r>
      <w:r w:rsidRPr="00E9279E">
        <w:t xml:space="preserve"> is a summary of common laboratory abnormality findings from the OS </w:t>
      </w:r>
      <w:r w:rsidR="00D008C9" w:rsidRPr="00E9279E">
        <w:t>Interim</w:t>
      </w:r>
      <w:r w:rsidR="00794D77" w:rsidRPr="00E9279E">
        <w:t> </w:t>
      </w:r>
      <w:r w:rsidR="00D008C9" w:rsidRPr="00E9279E">
        <w:t>Analysis</w:t>
      </w:r>
      <w:r w:rsidR="00745D43" w:rsidRPr="00E9279E">
        <w:t> </w:t>
      </w:r>
      <w:r w:rsidR="00D008C9" w:rsidRPr="00E9279E">
        <w:t>1</w:t>
      </w:r>
      <w:r w:rsidRPr="00E9279E">
        <w:t xml:space="preserve"> data cut.</w:t>
      </w:r>
    </w:p>
    <w:p w14:paraId="1A46B712" w14:textId="4CBE36C6" w:rsidR="00C314D3" w:rsidRPr="00E9279E" w:rsidRDefault="00C314D3" w:rsidP="00B63518">
      <w:pPr>
        <w:pStyle w:val="TableTitle"/>
      </w:pPr>
      <w:bookmarkStart w:id="74" w:name="_Ref91947528"/>
      <w:r w:rsidRPr="00E9279E">
        <w:t xml:space="preserve">Table </w:t>
      </w:r>
      <w:r w:rsidR="000C44E7">
        <w:fldChar w:fldCharType="begin"/>
      </w:r>
      <w:r w:rsidR="000C44E7">
        <w:instrText xml:space="preserve"> SEQ Table \* ARABIC </w:instrText>
      </w:r>
      <w:r w:rsidR="000C44E7">
        <w:fldChar w:fldCharType="separate"/>
      </w:r>
      <w:r w:rsidR="00E9279E">
        <w:rPr>
          <w:noProof/>
        </w:rPr>
        <w:t>10</w:t>
      </w:r>
      <w:r w:rsidR="000C44E7">
        <w:rPr>
          <w:noProof/>
        </w:rPr>
        <w:fldChar w:fldCharType="end"/>
      </w:r>
      <w:bookmarkEnd w:id="74"/>
      <w:r w:rsidR="0086249E" w:rsidRPr="00E9279E">
        <w:t>: Study I3Y-MC-JPCF</w:t>
      </w:r>
      <w:r w:rsidRPr="00E9279E">
        <w:t xml:space="preserve"> </w:t>
      </w:r>
      <w:r w:rsidR="00266263" w:rsidRPr="00E9279E">
        <w:t>(</w:t>
      </w:r>
      <w:r w:rsidR="00FD3077" w:rsidRPr="00E9279E">
        <w:t xml:space="preserve">MONARCHE </w:t>
      </w:r>
      <w:r w:rsidR="00266263" w:rsidRPr="00E9279E">
        <w:t xml:space="preserve">trial) </w:t>
      </w:r>
      <w:r w:rsidRPr="00E9279E">
        <w:t xml:space="preserve">Summary of </w:t>
      </w:r>
      <w:r w:rsidR="00794D77" w:rsidRPr="00E9279E">
        <w:t>laboratory abnormalities</w:t>
      </w:r>
      <w:r w:rsidRPr="00E9279E">
        <w:t xml:space="preserve">, </w:t>
      </w:r>
      <w:r w:rsidR="00794D77" w:rsidRPr="00E9279E">
        <w:t xml:space="preserve">all </w:t>
      </w:r>
      <w:proofErr w:type="gramStart"/>
      <w:r w:rsidR="00794D77" w:rsidRPr="00E9279E">
        <w:t>grades</w:t>
      </w:r>
      <w:proofErr w:type="gramEnd"/>
      <w:r w:rsidR="00794D77" w:rsidRPr="00E9279E">
        <w:t xml:space="preserve"> </w:t>
      </w:r>
      <w:r w:rsidRPr="00E9279E">
        <w:t>and Grades</w:t>
      </w:r>
      <w:r w:rsidR="00794D77" w:rsidRPr="00E9279E">
        <w:t> </w:t>
      </w:r>
      <w:r w:rsidRPr="00E9279E">
        <w:t>3 and 4</w:t>
      </w:r>
    </w:p>
    <w:p w14:paraId="19056125" w14:textId="76C417EA" w:rsidR="00C314D3" w:rsidRPr="00E9279E" w:rsidRDefault="00C314D3" w:rsidP="00B63518">
      <w:pPr>
        <w:rPr>
          <w:lang w:eastAsia="ja-JP"/>
        </w:rPr>
      </w:pPr>
      <w:r w:rsidRPr="00E9279E">
        <w:rPr>
          <w:noProof/>
          <w:lang w:val="en-GB" w:eastAsia="en-GB"/>
        </w:rPr>
        <w:drawing>
          <wp:inline distT="0" distB="0" distL="0" distR="0" wp14:anchorId="64942A07" wp14:editId="7EF832D4">
            <wp:extent cx="5244207" cy="2139857"/>
            <wp:effectExtent l="0" t="0" r="0" b="0"/>
            <wp:docPr id="178" name="Picture 178" descr="Table 10: Study I3Y-MC-JPCF (MONARCHE trial) Summary of laboratory abnormalities, all grades and Grades 3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Table 10: Study I3Y-MC-JPCF (MONARCHE trial) Summary of laboratory abnormalities, all grades and Grades 3 and 4"/>
                    <pic:cNvPicPr/>
                  </pic:nvPicPr>
                  <pic:blipFill>
                    <a:blip r:embed="rId28"/>
                    <a:stretch>
                      <a:fillRect/>
                    </a:stretch>
                  </pic:blipFill>
                  <pic:spPr>
                    <a:xfrm>
                      <a:off x="0" y="0"/>
                      <a:ext cx="5268032" cy="2149578"/>
                    </a:xfrm>
                    <a:prstGeom prst="rect">
                      <a:avLst/>
                    </a:prstGeom>
                  </pic:spPr>
                </pic:pic>
              </a:graphicData>
            </a:graphic>
          </wp:inline>
        </w:drawing>
      </w:r>
    </w:p>
    <w:p w14:paraId="2105444B" w14:textId="01CD084E" w:rsidR="006D2BFB" w:rsidRPr="00E9279E" w:rsidRDefault="006D2BFB" w:rsidP="00B63518">
      <w:pPr>
        <w:pStyle w:val="TableDescription"/>
      </w:pPr>
      <w:r w:rsidRPr="00E9279E">
        <w:t>Abbreviations: ET = endocrine therapy; N = number of patients</w:t>
      </w:r>
      <w:r w:rsidR="006B4139" w:rsidRPr="00E9279E">
        <w:t xml:space="preserve"> in subpopulation.</w:t>
      </w:r>
    </w:p>
    <w:p w14:paraId="5FAD4565" w14:textId="405A5290" w:rsidR="008E7846" w:rsidRPr="00E9279E" w:rsidRDefault="00386150" w:rsidP="007B6132">
      <w:pPr>
        <w:pStyle w:val="Heading3"/>
        <w:rPr>
          <w:lang w:eastAsia="en-AU"/>
        </w:rPr>
      </w:pPr>
      <w:bookmarkStart w:id="75" w:name="_Toc314842514"/>
      <w:bookmarkStart w:id="76" w:name="_Toc118379559"/>
      <w:r w:rsidRPr="00E9279E">
        <w:rPr>
          <w:lang w:eastAsia="en-AU"/>
        </w:rPr>
        <w:t>Risk m</w:t>
      </w:r>
      <w:r w:rsidR="008E7846" w:rsidRPr="00E9279E">
        <w:rPr>
          <w:lang w:eastAsia="en-AU"/>
        </w:rPr>
        <w:t xml:space="preserve">anagement </w:t>
      </w:r>
      <w:r w:rsidRPr="00E9279E">
        <w:rPr>
          <w:lang w:eastAsia="en-AU"/>
        </w:rPr>
        <w:t>p</w:t>
      </w:r>
      <w:r w:rsidR="008E7846" w:rsidRPr="00E9279E">
        <w:rPr>
          <w:lang w:eastAsia="en-AU"/>
        </w:rPr>
        <w:t>lan</w:t>
      </w:r>
      <w:bookmarkEnd w:id="75"/>
      <w:bookmarkEnd w:id="76"/>
    </w:p>
    <w:p w14:paraId="21902A90" w14:textId="77777777" w:rsidR="0074163C" w:rsidRPr="00E9279E" w:rsidRDefault="0074163C" w:rsidP="0074163C">
      <w:bookmarkStart w:id="77" w:name="_Toc247691531"/>
      <w:bookmarkStart w:id="78" w:name="_Toc314842515"/>
      <w:bookmarkStart w:id="79" w:name="_Toc196046505"/>
      <w:bookmarkStart w:id="80" w:name="_Toc196046949"/>
      <w:r w:rsidRPr="00E9279E">
        <w:t>The sponsor is required to comply with product vigilance and risk minimisation requirements.</w:t>
      </w:r>
    </w:p>
    <w:p w14:paraId="32BD9481" w14:textId="77777777" w:rsidR="008E7846" w:rsidRPr="00E9279E" w:rsidRDefault="00AA0ED0" w:rsidP="008E7846">
      <w:pPr>
        <w:pStyle w:val="Heading3"/>
      </w:pPr>
      <w:bookmarkStart w:id="81" w:name="_Toc118379560"/>
      <w:r w:rsidRPr="00E9279E">
        <w:t>Risk-benefit a</w:t>
      </w:r>
      <w:r w:rsidR="008E7846" w:rsidRPr="00E9279E">
        <w:t>nalysis</w:t>
      </w:r>
      <w:bookmarkEnd w:id="77"/>
      <w:bookmarkEnd w:id="78"/>
      <w:bookmarkEnd w:id="81"/>
    </w:p>
    <w:p w14:paraId="2DF6E990" w14:textId="77777777" w:rsidR="0074163C" w:rsidRPr="00E9279E" w:rsidRDefault="0074163C" w:rsidP="0074163C">
      <w:pPr>
        <w:pStyle w:val="Heading4"/>
      </w:pPr>
      <w:bookmarkStart w:id="82" w:name="_Toc98931932"/>
      <w:r w:rsidRPr="00E9279E">
        <w:t>Delegate’s considerations</w:t>
      </w:r>
      <w:bookmarkEnd w:id="82"/>
    </w:p>
    <w:p w14:paraId="50B13426" w14:textId="71DAD65C" w:rsidR="00C314D3" w:rsidRPr="00E9279E" w:rsidRDefault="00C314D3" w:rsidP="00C314D3">
      <w:r w:rsidRPr="00E9279E">
        <w:t xml:space="preserve">This submission seeks to extend the indications of </w:t>
      </w:r>
      <w:proofErr w:type="spellStart"/>
      <w:r w:rsidRPr="00E9279E">
        <w:t>abemaciclib</w:t>
      </w:r>
      <w:proofErr w:type="spellEnd"/>
      <w:r w:rsidRPr="00E9279E">
        <w:t xml:space="preserve"> to include its use in combination with endocrine therapy for the adjuvant treatment of </w:t>
      </w:r>
      <w:r w:rsidR="00275626" w:rsidRPr="00E9279E">
        <w:t>high-risk</w:t>
      </w:r>
      <w:r w:rsidRPr="00E9279E">
        <w:t xml:space="preserve"> </w:t>
      </w:r>
      <w:r w:rsidR="00DB48CF" w:rsidRPr="00E9279E">
        <w:t xml:space="preserve">hormone </w:t>
      </w:r>
      <w:r w:rsidR="00DB48CF" w:rsidRPr="00E9279E">
        <w:lastRenderedPageBreak/>
        <w:t>receptor positive (</w:t>
      </w:r>
      <w:r w:rsidRPr="00E9279E">
        <w:t>HR+</w:t>
      </w:r>
      <w:r w:rsidR="00DB48CF" w:rsidRPr="00E9279E">
        <w:t>)</w:t>
      </w:r>
      <w:r w:rsidRPr="00E9279E">
        <w:t xml:space="preserve">, </w:t>
      </w:r>
      <w:r w:rsidR="006E47AB" w:rsidRPr="00E9279E">
        <w:t>human epidermal growth factor receptor 2 negative (</w:t>
      </w:r>
      <w:r w:rsidRPr="00E9279E">
        <w:t>HER2-</w:t>
      </w:r>
      <w:r w:rsidR="006E47AB" w:rsidRPr="00E9279E">
        <w:t>)</w:t>
      </w:r>
      <w:r w:rsidRPr="00E9279E">
        <w:t xml:space="preserve"> breast cancer.</w:t>
      </w:r>
    </w:p>
    <w:p w14:paraId="392A7530" w14:textId="362A39F1" w:rsidR="00C314D3" w:rsidRPr="00E9279E" w:rsidRDefault="00C314D3" w:rsidP="00C314D3">
      <w:r w:rsidRPr="00E9279E">
        <w:t>The submission is supported by Study I3Y-MC-JPCF (</w:t>
      </w:r>
      <w:r w:rsidR="00476DB2" w:rsidRPr="00E9279E">
        <w:t>the MONARCHE trial</w:t>
      </w:r>
      <w:r w:rsidRPr="00E9279E">
        <w:t>), a Phase</w:t>
      </w:r>
      <w:r w:rsidR="00794D77" w:rsidRPr="00E9279E">
        <w:t> </w:t>
      </w:r>
      <w:r w:rsidRPr="00E9279E">
        <w:t>III, randomised, open</w:t>
      </w:r>
      <w:r w:rsidR="00794D77" w:rsidRPr="00E9279E">
        <w:t xml:space="preserve"> </w:t>
      </w:r>
      <w:r w:rsidRPr="00E9279E">
        <w:t xml:space="preserve">label, multi-centre, multinational study to evaluate the efficacy and safety of </w:t>
      </w:r>
      <w:proofErr w:type="spellStart"/>
      <w:r w:rsidRPr="00E9279E">
        <w:t>abemaciclib</w:t>
      </w:r>
      <w:proofErr w:type="spellEnd"/>
      <w:r w:rsidRPr="00E9279E">
        <w:t xml:space="preserve"> combined with standard adjuvant </w:t>
      </w:r>
      <w:r w:rsidR="00C518AE" w:rsidRPr="00E9279E">
        <w:t>endocrine therapy</w:t>
      </w:r>
      <w:r w:rsidRPr="00E9279E">
        <w:t xml:space="preserve"> </w:t>
      </w:r>
      <w:r w:rsidR="00033AC2" w:rsidRPr="00E9279E">
        <w:t>versus</w:t>
      </w:r>
      <w:r w:rsidRPr="00E9279E">
        <w:t xml:space="preserve"> standard adjuvant </w:t>
      </w:r>
      <w:r w:rsidR="00C518AE" w:rsidRPr="00E9279E">
        <w:t>endocrine therapy</w:t>
      </w:r>
      <w:r w:rsidRPr="00E9279E">
        <w:t xml:space="preserve"> alone in patients with node</w:t>
      </w:r>
      <w:r w:rsidR="00DB48CF" w:rsidRPr="00E9279E">
        <w:t xml:space="preserve"> </w:t>
      </w:r>
      <w:r w:rsidRPr="00E9279E">
        <w:t>positive, invasive, resected, HR+, HER2- early breast cancer who completed definitive locoregional therapy, with or without neoadjuvant or adjuvant chemotherapy, at high risk of disease recurrence.</w:t>
      </w:r>
    </w:p>
    <w:p w14:paraId="2CDE950B" w14:textId="498007DF" w:rsidR="00C314D3" w:rsidRPr="00E9279E" w:rsidRDefault="00C314D3" w:rsidP="00C314D3">
      <w:r w:rsidRPr="00E9279E">
        <w:t xml:space="preserve">The study initially included patients identified as high risk based on lymph node positivity, tumour size or histological grade in the </w:t>
      </w:r>
      <w:r w:rsidR="004052B5" w:rsidRPr="00E9279E">
        <w:t>intent-to-treat (</w:t>
      </w:r>
      <w:r w:rsidRPr="00E9279E">
        <w:t>ITT</w:t>
      </w:r>
      <w:r w:rsidR="004052B5" w:rsidRPr="00E9279E">
        <w:t>)</w:t>
      </w:r>
      <w:r w:rsidRPr="00E9279E">
        <w:t xml:space="preserve"> analysis. At </w:t>
      </w:r>
      <w:r w:rsidR="00480BA3" w:rsidRPr="00E9279E">
        <w:t>Protocol Amendment C,</w:t>
      </w:r>
      <w:r w:rsidRPr="00E9279E">
        <w:t xml:space="preserve"> Cohort</w:t>
      </w:r>
      <w:r w:rsidR="00480BA3" w:rsidRPr="00E9279E">
        <w:t> </w:t>
      </w:r>
      <w:r w:rsidRPr="00E9279E">
        <w:t>2 was added to the ITT population. In this population risk was assessed differently, and although Ki</w:t>
      </w:r>
      <w:r w:rsidR="00266263" w:rsidRPr="00E9279E">
        <w:t>-</w:t>
      </w:r>
      <w:r w:rsidRPr="00E9279E">
        <w:t>67 was an important factor for inclusion of this cohort, most patients contributing results with Ki</w:t>
      </w:r>
      <w:r w:rsidR="00266263" w:rsidRPr="00E9279E">
        <w:t>-</w:t>
      </w:r>
      <w:r w:rsidRPr="00E9279E">
        <w:t>67 proliferation index high tumours were from Cohort 1. A separate analysis for Cohort 2 was not included in the testing hierarchy so based on patient numbers Cohort 1 appears the driver of the results underpinning the efficacy claims.</w:t>
      </w:r>
    </w:p>
    <w:p w14:paraId="7208A255" w14:textId="778693EA" w:rsidR="00C314D3" w:rsidRPr="00E9279E" w:rsidRDefault="00C314D3" w:rsidP="00C314D3">
      <w:r w:rsidRPr="00E9279E">
        <w:t>Most patients were between the ages of 40 and 65 years and were mostly female. While this was a multinational study, Australian patients were among the randomised. Tumour type, histological grade and number of positive lymph nodes, and receptor status were similar between the two groups, and around 44% of each group had a Ki</w:t>
      </w:r>
      <w:r w:rsidR="00266263" w:rsidRPr="00E9279E">
        <w:t>-</w:t>
      </w:r>
      <w:r w:rsidRPr="00E9279E">
        <w:t>67 index of</w:t>
      </w:r>
      <w:r w:rsidR="003A44F7" w:rsidRPr="00E9279E">
        <w:t> </w:t>
      </w:r>
      <w:r w:rsidRPr="00E9279E">
        <w:t>20%</w:t>
      </w:r>
      <w:r w:rsidR="00A945C5" w:rsidRPr="00E9279E">
        <w:t xml:space="preserve"> or higher</w:t>
      </w:r>
      <w:r w:rsidRPr="00E9279E">
        <w:t xml:space="preserve">. As expected for this age group the ECOG </w:t>
      </w:r>
      <w:r w:rsidR="00596DFB" w:rsidRPr="00E9279E">
        <w:t>Performance Status;</w:t>
      </w:r>
      <w:r w:rsidR="00596DFB" w:rsidRPr="00E9279E">
        <w:rPr>
          <w:vertAlign w:val="superscript"/>
        </w:rPr>
        <w:fldChar w:fldCharType="begin"/>
      </w:r>
      <w:r w:rsidR="00596DFB" w:rsidRPr="00E9279E">
        <w:rPr>
          <w:vertAlign w:val="superscript"/>
        </w:rPr>
        <w:instrText xml:space="preserve"> NOTEREF _Ref114682331 \h  \* MERGEFORMAT </w:instrText>
      </w:r>
      <w:r w:rsidR="00596DFB" w:rsidRPr="00E9279E">
        <w:rPr>
          <w:vertAlign w:val="superscript"/>
        </w:rPr>
      </w:r>
      <w:r w:rsidR="00596DFB" w:rsidRPr="00E9279E">
        <w:rPr>
          <w:vertAlign w:val="superscript"/>
        </w:rPr>
        <w:fldChar w:fldCharType="separate"/>
      </w:r>
      <w:r w:rsidR="00E9279E">
        <w:rPr>
          <w:vertAlign w:val="superscript"/>
        </w:rPr>
        <w:t>29</w:t>
      </w:r>
      <w:r w:rsidR="00596DFB" w:rsidRPr="00E9279E">
        <w:rPr>
          <w:vertAlign w:val="superscript"/>
        </w:rPr>
        <w:fldChar w:fldCharType="end"/>
      </w:r>
      <w:r w:rsidRPr="00E9279E">
        <w:t xml:space="preserve"> was generally low, and, a priori, patients with a low ECOG </w:t>
      </w:r>
      <w:r w:rsidR="00596DFB" w:rsidRPr="00E9279E">
        <w:t xml:space="preserve">Performance Status </w:t>
      </w:r>
      <w:r w:rsidRPr="00E9279E">
        <w:t xml:space="preserve">may be better able to tolerate the adverse effects of </w:t>
      </w:r>
      <w:proofErr w:type="spellStart"/>
      <w:r w:rsidRPr="00E9279E">
        <w:t>abemaciclib</w:t>
      </w:r>
      <w:proofErr w:type="spellEnd"/>
      <w:r w:rsidRPr="00E9279E">
        <w:t>.</w:t>
      </w:r>
    </w:p>
    <w:p w14:paraId="504880D4" w14:textId="0A6DFFA7" w:rsidR="00C314D3" w:rsidRPr="00E9279E" w:rsidRDefault="00C314D3" w:rsidP="00C314D3">
      <w:r w:rsidRPr="00E9279E">
        <w:t xml:space="preserve">The study was designed to investigate the contribution of </w:t>
      </w:r>
      <w:proofErr w:type="spellStart"/>
      <w:r w:rsidRPr="00E9279E">
        <w:t>abemaciclib</w:t>
      </w:r>
      <w:proofErr w:type="spellEnd"/>
      <w:r w:rsidRPr="00E9279E">
        <w:t xml:space="preserve"> in a combination with endocrine therapy. Aromatase inhibitors and anti-estrogens were </w:t>
      </w:r>
      <w:proofErr w:type="gramStart"/>
      <w:r w:rsidRPr="00E9279E">
        <w:t>most commonly prescribed</w:t>
      </w:r>
      <w:proofErr w:type="gramEnd"/>
      <w:r w:rsidRPr="00E9279E">
        <w:t xml:space="preserve">. The use of </w:t>
      </w:r>
      <w:r w:rsidR="002F37A9" w:rsidRPr="00E9279E">
        <w:t>gonadotropin-releasing hormone (</w:t>
      </w:r>
      <w:r w:rsidRPr="00E9279E">
        <w:t>GnRH</w:t>
      </w:r>
      <w:r w:rsidR="002F37A9" w:rsidRPr="00E9279E">
        <w:t>)</w:t>
      </w:r>
      <w:r w:rsidRPr="00E9279E">
        <w:t>, in generally reflects the proportion of patients that were pre</w:t>
      </w:r>
      <w:r w:rsidR="003A44F7" w:rsidRPr="00E9279E">
        <w:noBreakHyphen/>
      </w:r>
      <w:r w:rsidRPr="00E9279E">
        <w:t>menopausal on commencement of therapy. The choice of agent was not controlled, reflecting the likely use of the combination, but adding a degree of uncertainty with respect to the attribution of adverse events</w:t>
      </w:r>
      <w:r w:rsidR="009A5ACC" w:rsidRPr="00E9279E">
        <w:t xml:space="preserve"> (AEs)</w:t>
      </w:r>
      <w:r w:rsidRPr="00E9279E">
        <w:t xml:space="preserve">. The choice of </w:t>
      </w:r>
      <w:r w:rsidR="00C518AE" w:rsidRPr="00E9279E">
        <w:t>endocrine therapy</w:t>
      </w:r>
      <w:r w:rsidRPr="00E9279E">
        <w:t xml:space="preserve"> as a comparator is considered reasonable. Whether or not a GnRH analogue should be used as part of the </w:t>
      </w:r>
      <w:proofErr w:type="spellStart"/>
      <w:r w:rsidRPr="00E9279E">
        <w:t>abemaciclib</w:t>
      </w:r>
      <w:proofErr w:type="spellEnd"/>
      <w:r w:rsidRPr="00E9279E">
        <w:t xml:space="preserve"> </w:t>
      </w:r>
      <w:r w:rsidR="000C71AD" w:rsidRPr="00E9279E">
        <w:t>plus</w:t>
      </w:r>
      <w:r w:rsidRPr="00E9279E">
        <w:t xml:space="preserve"> </w:t>
      </w:r>
      <w:r w:rsidR="00C518AE" w:rsidRPr="00E9279E">
        <w:t>endocrine therapy</w:t>
      </w:r>
      <w:r w:rsidRPr="00E9279E">
        <w:t xml:space="preserve"> combination in patients who are pre- and peri</w:t>
      </w:r>
      <w:r w:rsidR="002F37A9" w:rsidRPr="00E9279E">
        <w:t>-</w:t>
      </w:r>
      <w:r w:rsidRPr="00E9279E">
        <w:t xml:space="preserve">menopausal has not been specifically investigated in the </w:t>
      </w:r>
      <w:r w:rsidR="002F1A84" w:rsidRPr="00E9279E">
        <w:t>MONARCHE</w:t>
      </w:r>
      <w:r w:rsidRPr="00E9279E">
        <w:t xml:space="preserve"> </w:t>
      </w:r>
      <w:r w:rsidR="00476DB2" w:rsidRPr="00E9279E">
        <w:t>trial</w:t>
      </w:r>
      <w:r w:rsidRPr="00E9279E">
        <w:t>.</w:t>
      </w:r>
    </w:p>
    <w:p w14:paraId="088318DD" w14:textId="0BF33D65" w:rsidR="00C314D3" w:rsidRPr="00E9279E" w:rsidRDefault="00C314D3" w:rsidP="00C314D3">
      <w:r w:rsidRPr="00E9279E">
        <w:t xml:space="preserve">More than 60% of each treatment arm had received prior adjuvant chemotherapy, raising a level of uncertainty about the contribution of the pre-treatment to the outcome, potentially in each arm. Whether there would be the same difference in </w:t>
      </w:r>
      <w:r w:rsidR="00206B4F" w:rsidRPr="00E9279E">
        <w:t>invasive disease</w:t>
      </w:r>
      <w:r w:rsidR="00275626" w:rsidRPr="00E9279E">
        <w:noBreakHyphen/>
      </w:r>
      <w:r w:rsidR="00206B4F" w:rsidRPr="00E9279E">
        <w:t>free survival (</w:t>
      </w:r>
      <w:r w:rsidRPr="00E9279E">
        <w:t>IDFS</w:t>
      </w:r>
      <w:r w:rsidR="00206B4F" w:rsidRPr="00E9279E">
        <w:t>)</w:t>
      </w:r>
      <w:r w:rsidRPr="00E9279E">
        <w:t xml:space="preserve"> between the two arms in patients with no prior treatment is untested.</w:t>
      </w:r>
    </w:p>
    <w:p w14:paraId="285D9394" w14:textId="11A9C742" w:rsidR="00C314D3" w:rsidRPr="00E9279E" w:rsidRDefault="00C314D3" w:rsidP="00C314D3">
      <w:r w:rsidRPr="00E9279E">
        <w:t xml:space="preserve">The primary efficacy endpoint was IDFS, an acceptable endpoint in an adjuvant setting. The inclusion of a 2-year landmark was accepted by the </w:t>
      </w:r>
      <w:r w:rsidR="006B5FFA" w:rsidRPr="00E9279E">
        <w:t xml:space="preserve">clinical evaluation </w:t>
      </w:r>
      <w:r w:rsidRPr="00E9279E">
        <w:t xml:space="preserve">and appears reasonably justified. As shown by the </w:t>
      </w:r>
      <w:r w:rsidR="00D0041E" w:rsidRPr="00E9279E">
        <w:t>Kaplan-Meier</w:t>
      </w:r>
      <w:r w:rsidRPr="00E9279E">
        <w:t xml:space="preserve"> curves the hazards are non</w:t>
      </w:r>
      <w:r w:rsidR="00275626" w:rsidRPr="00E9279E">
        <w:noBreakHyphen/>
      </w:r>
      <w:r w:rsidRPr="00E9279E">
        <w:t xml:space="preserve">proportional, with the curves for IDFS separating after 7.5 </w:t>
      </w:r>
      <w:r w:rsidR="003A44F7" w:rsidRPr="00E9279E">
        <w:t xml:space="preserve">to </w:t>
      </w:r>
      <w:r w:rsidRPr="00E9279E">
        <w:t>12 months (depending on the analysis timepoint), the use of the 2-year landmark to assess differences in risk is considered reasonable.</w:t>
      </w:r>
    </w:p>
    <w:p w14:paraId="28F35E92" w14:textId="7D26001A" w:rsidR="00C314D3" w:rsidRPr="00E9279E" w:rsidRDefault="00C314D3" w:rsidP="00C314D3">
      <w:r w:rsidRPr="00E9279E">
        <w:t xml:space="preserve">The IDFS assessment was event driven. The risk of an event as summarised by the </w:t>
      </w:r>
      <w:r w:rsidR="006E4FE0" w:rsidRPr="00E9279E">
        <w:t xml:space="preserve">hazard ratio </w:t>
      </w:r>
      <w:r w:rsidRPr="00E9279E">
        <w:t xml:space="preserve">was reduced around 30%, consistently across the IDFS </w:t>
      </w:r>
      <w:r w:rsidR="00D008C9" w:rsidRPr="00E9279E">
        <w:t>Interim Analysis 2</w:t>
      </w:r>
      <w:r w:rsidRPr="00E9279E">
        <w:t xml:space="preserve"> (primary), Final IDFS </w:t>
      </w:r>
      <w:r w:rsidR="006B5FFA" w:rsidRPr="00E9279E">
        <w:t xml:space="preserve">analysis </w:t>
      </w:r>
      <w:r w:rsidRPr="00E9279E">
        <w:t xml:space="preserve">and </w:t>
      </w:r>
      <w:r w:rsidR="004052B5" w:rsidRPr="00E9279E">
        <w:t>overall survival (</w:t>
      </w:r>
      <w:r w:rsidRPr="00E9279E">
        <w:t>OS</w:t>
      </w:r>
      <w:r w:rsidR="004052B5" w:rsidRPr="00E9279E">
        <w:t>)</w:t>
      </w:r>
      <w:r w:rsidRPr="00E9279E">
        <w:t xml:space="preserve"> </w:t>
      </w:r>
      <w:r w:rsidR="00D008C9" w:rsidRPr="00E9279E">
        <w:t>Interim Analysis 1</w:t>
      </w:r>
      <w:r w:rsidRPr="00E9279E">
        <w:t xml:space="preserve">. Although the ITT population was used for the primary analysis </w:t>
      </w:r>
      <w:proofErr w:type="gramStart"/>
      <w:r w:rsidRPr="00E9279E">
        <w:t>the majority of</w:t>
      </w:r>
      <w:proofErr w:type="gramEnd"/>
      <w:r w:rsidRPr="00E9279E">
        <w:t xml:space="preserve"> patients were in Cohort</w:t>
      </w:r>
      <w:r w:rsidR="00275626" w:rsidRPr="00E9279E">
        <w:t> </w:t>
      </w:r>
      <w:r w:rsidRPr="00E9279E">
        <w:t>1, the primary driver of the results.</w:t>
      </w:r>
    </w:p>
    <w:p w14:paraId="1B7FDDA9" w14:textId="76005ACE" w:rsidR="00C314D3" w:rsidRPr="00E9279E" w:rsidRDefault="00C314D3" w:rsidP="00C314D3">
      <w:r w:rsidRPr="00E9279E">
        <w:lastRenderedPageBreak/>
        <w:t xml:space="preserve">Over time the reported 2-year absolute difference in IDFS decreases as more patients contribute to the analysis. In considering this difference from an efficacy perspective, the Delegate has considered that this treatment is in the adjuvant setting and therefore preventative after surgery with curative intent. As in many other settings, preventative measures, while associated with a reduction in relative risk of a disease event, the absolute risk difference between interventions in clinical studies is often relatively small. Although not the primary analysis data, at the OS </w:t>
      </w:r>
      <w:r w:rsidR="00D008C9" w:rsidRPr="00E9279E">
        <w:t>Interim Analysis 2</w:t>
      </w:r>
      <w:r w:rsidRPr="00E9279E">
        <w:t xml:space="preserve"> data cut</w:t>
      </w:r>
      <w:r w:rsidR="00CB6359" w:rsidRPr="00E9279E">
        <w:t xml:space="preserve">-off </w:t>
      </w:r>
      <w:r w:rsidRPr="00E9279E">
        <w:t xml:space="preserve">72.5% of patients had completed the 2-year study treatment the </w:t>
      </w:r>
      <w:r w:rsidR="00D0041E" w:rsidRPr="00E9279E">
        <w:t>number needed to treat</w:t>
      </w:r>
      <w:r w:rsidRPr="00E9279E">
        <w:t xml:space="preserve"> for IDFS is 40. It is recognised this benefit is in addition to the benefit already derived from endocrine therapy in this setting.</w:t>
      </w:r>
    </w:p>
    <w:p w14:paraId="13674EF9" w14:textId="216BE668" w:rsidR="00C314D3" w:rsidRPr="00E9279E" w:rsidRDefault="00C314D3" w:rsidP="00C314D3">
      <w:r w:rsidRPr="00E9279E">
        <w:t xml:space="preserve">Among the subgroups the </w:t>
      </w:r>
      <w:r w:rsidR="006E4FE0" w:rsidRPr="00E9279E">
        <w:t>hazard ratio</w:t>
      </w:r>
      <w:r w:rsidRPr="00E9279E">
        <w:t xml:space="preserve"> </w:t>
      </w:r>
      <w:proofErr w:type="gramStart"/>
      <w:r w:rsidRPr="00E9279E">
        <w:t>point</w:t>
      </w:r>
      <w:proofErr w:type="gramEnd"/>
      <w:r w:rsidRPr="00E9279E">
        <w:t xml:space="preserve"> estimates for IDFS exceed </w:t>
      </w:r>
      <w:r w:rsidR="003A44F7" w:rsidRPr="00E9279E">
        <w:t>1.0</w:t>
      </w:r>
      <w:r w:rsidRPr="00E9279E">
        <w:t xml:space="preserve"> for those aged 65</w:t>
      </w:r>
      <w:r w:rsidR="003A44F7" w:rsidRPr="00E9279E">
        <w:t> </w:t>
      </w:r>
      <w:r w:rsidRPr="00E9279E">
        <w:t>years</w:t>
      </w:r>
      <w:r w:rsidR="00A945C5" w:rsidRPr="00E9279E">
        <w:t xml:space="preserve"> or over</w:t>
      </w:r>
      <w:r w:rsidRPr="00E9279E">
        <w:t xml:space="preserve"> and ECOG </w:t>
      </w:r>
      <w:r w:rsidR="003A44F7" w:rsidRPr="00E9279E">
        <w:t>Performance S</w:t>
      </w:r>
      <w:r w:rsidR="00596DFB" w:rsidRPr="00E9279E">
        <w:t>tatus</w:t>
      </w:r>
      <w:r w:rsidR="003A44F7" w:rsidRPr="00E9279E">
        <w:t xml:space="preserve"> </w:t>
      </w:r>
      <w:r w:rsidR="0088412E" w:rsidRPr="00E9279E">
        <w:t>1</w:t>
      </w:r>
      <w:r w:rsidRPr="00E9279E">
        <w:t xml:space="preserve">. The numbers of patients contributing to those estimates is relatively small and the lower bound of the 95% CI for each of these estimates is well below </w:t>
      </w:r>
      <w:r w:rsidR="0088412E" w:rsidRPr="00E9279E">
        <w:t>1</w:t>
      </w:r>
      <w:r w:rsidRPr="00E9279E">
        <w:t>, nevertheless there is uncertainty about the benefits in these subgroups.</w:t>
      </w:r>
    </w:p>
    <w:p w14:paraId="7D4D713B" w14:textId="3FDE399E" w:rsidR="00C314D3" w:rsidRPr="00E9279E" w:rsidRDefault="00C314D3" w:rsidP="00C314D3">
      <w:r w:rsidRPr="00E9279E">
        <w:t>The sponsor included three</w:t>
      </w:r>
      <w:r w:rsidR="003A44F7" w:rsidRPr="00E9279E">
        <w:t>-</w:t>
      </w:r>
      <w:r w:rsidRPr="00E9279E">
        <w:t xml:space="preserve">year estimates of IDFS from the 1 April 2021 OS </w:t>
      </w:r>
      <w:r w:rsidR="00D008C9" w:rsidRPr="00E9279E">
        <w:t>Interim</w:t>
      </w:r>
      <w:r w:rsidR="003A44F7" w:rsidRPr="00E9279E">
        <w:t> </w:t>
      </w:r>
      <w:r w:rsidR="00D008C9" w:rsidRPr="00E9279E">
        <w:t>Analysis 1</w:t>
      </w:r>
      <w:r w:rsidRPr="00E9279E">
        <w:t xml:space="preserve"> that include an absolute difference of 5.4% between the treatment arms, however only 9.9% of patients had been followed for disease recurrence for three years, so there is considerable </w:t>
      </w:r>
      <w:r w:rsidR="003A44F7" w:rsidRPr="00E9279E">
        <w:t>uncertainty,</w:t>
      </w:r>
      <w:r w:rsidRPr="00E9279E">
        <w:t xml:space="preserve"> and the interpretation of the results is limited.</w:t>
      </w:r>
    </w:p>
    <w:p w14:paraId="1EFDEF47" w14:textId="37C6AE67" w:rsidR="00C314D3" w:rsidRPr="00E9279E" w:rsidRDefault="00C314D3" w:rsidP="00C314D3">
      <w:r w:rsidRPr="00E9279E">
        <w:t xml:space="preserve">In general, a challenge with the studies in the adjuvant setting is the slower maturation of OS data, and for this submission OS was a major point of concern for </w:t>
      </w:r>
      <w:r w:rsidR="003A44F7" w:rsidRPr="00E9279E">
        <w:t>the clinical evaluation</w:t>
      </w:r>
      <w:r w:rsidRPr="00E9279E">
        <w:t xml:space="preserve">. No survival benefit of </w:t>
      </w:r>
      <w:proofErr w:type="spellStart"/>
      <w:r w:rsidRPr="00E9279E">
        <w:t>abemaciclib</w:t>
      </w:r>
      <w:proofErr w:type="spellEnd"/>
      <w:r w:rsidRPr="00E9279E">
        <w:t xml:space="preserve"> </w:t>
      </w:r>
      <w:r w:rsidR="000C71AD" w:rsidRPr="00E9279E">
        <w:t>plus</w:t>
      </w:r>
      <w:r w:rsidRPr="00E9279E">
        <w:t xml:space="preserve"> </w:t>
      </w:r>
      <w:r w:rsidR="00C518AE" w:rsidRPr="00E9279E">
        <w:t>endocrine therapy</w:t>
      </w:r>
      <w:r w:rsidRPr="00E9279E">
        <w:t xml:space="preserve"> over </w:t>
      </w:r>
      <w:r w:rsidR="00C518AE" w:rsidRPr="00E9279E">
        <w:t>endocrine therapy</w:t>
      </w:r>
      <w:r w:rsidRPr="00E9279E">
        <w:t xml:space="preserve"> alone has been demonstrated for the ITT population. The </w:t>
      </w:r>
      <w:r w:rsidR="006E4FE0" w:rsidRPr="00E9279E">
        <w:t>hazard ratio</w:t>
      </w:r>
      <w:r w:rsidRPr="00E9279E">
        <w:t xml:space="preserve"> point estimate in all three efficacy analyses is just over 1.0. </w:t>
      </w:r>
      <w:proofErr w:type="gramStart"/>
      <w:r w:rsidRPr="00E9279E">
        <w:t>Considering the precision of the estimate, there</w:t>
      </w:r>
      <w:proofErr w:type="gramEnd"/>
      <w:r w:rsidRPr="00E9279E">
        <w:t xml:space="preserve"> is neither a clear benefit or clear detriment for OS in the ITT population, and but a possible OS detriment is a potential issue in the efficacy considerations.</w:t>
      </w:r>
    </w:p>
    <w:p w14:paraId="0ED1409A" w14:textId="1D180E3B" w:rsidR="00C314D3" w:rsidRPr="00E9279E" w:rsidRDefault="00C314D3" w:rsidP="00C314D3">
      <w:r w:rsidRPr="00E9279E">
        <w:t xml:space="preserve">The </w:t>
      </w:r>
      <w:r w:rsidR="003A44F7" w:rsidRPr="00E9279E">
        <w:t>MONARCHE trial</w:t>
      </w:r>
      <w:r w:rsidRPr="00E9279E">
        <w:t xml:space="preserve"> is continuing and the magnitude of disease modification from the addition of </w:t>
      </w:r>
      <w:proofErr w:type="spellStart"/>
      <w:r w:rsidRPr="00E9279E">
        <w:t>abemaciclib</w:t>
      </w:r>
      <w:proofErr w:type="spellEnd"/>
      <w:r w:rsidRPr="00E9279E">
        <w:t xml:space="preserve"> will become more apparent over time. There is a potential confounding effect of the choice of next treatment that is not expected to be uniform across the various countries in the study, and as new therapies emerge the impact will be more difficult to interpret. The issue of interpretation of the OS results to data and its implications for the approval of this submission is a matter on which the advice of the </w:t>
      </w:r>
      <w:r w:rsidR="00596DFB" w:rsidRPr="00E9279E">
        <w:t>Advisory Committee on Medicines (</w:t>
      </w:r>
      <w:r w:rsidRPr="00E9279E">
        <w:t>ACM</w:t>
      </w:r>
      <w:r w:rsidR="00596DFB" w:rsidRPr="00E9279E">
        <w:t>)</w:t>
      </w:r>
      <w:r w:rsidRPr="00E9279E">
        <w:t xml:space="preserve"> is sought.</w:t>
      </w:r>
    </w:p>
    <w:p w14:paraId="0CA80434" w14:textId="651BF80A" w:rsidR="00C314D3" w:rsidRPr="00E9279E" w:rsidRDefault="00C314D3" w:rsidP="00C314D3">
      <w:r w:rsidRPr="00E9279E">
        <w:t xml:space="preserve">As noted </w:t>
      </w:r>
      <w:r w:rsidR="00365B09" w:rsidRPr="00E9279E">
        <w:t>by</w:t>
      </w:r>
      <w:r w:rsidRPr="00E9279E">
        <w:t xml:space="preserve"> the </w:t>
      </w:r>
      <w:r w:rsidR="00365B09" w:rsidRPr="00E9279E">
        <w:t>clinical evaluation</w:t>
      </w:r>
      <w:r w:rsidRPr="00E9279E">
        <w:t xml:space="preserve">, the addition of </w:t>
      </w:r>
      <w:proofErr w:type="spellStart"/>
      <w:r w:rsidRPr="00E9279E">
        <w:t>abemaciclib</w:t>
      </w:r>
      <w:proofErr w:type="spellEnd"/>
      <w:r w:rsidRPr="00E9279E">
        <w:t xml:space="preserve"> to </w:t>
      </w:r>
      <w:r w:rsidR="00C518AE" w:rsidRPr="00E9279E">
        <w:t>endocrine therapy</w:t>
      </w:r>
      <w:r w:rsidRPr="00E9279E">
        <w:t xml:space="preserve"> is associated with clinically significant toxicities. Grade 3</w:t>
      </w:r>
      <w:r w:rsidR="00A945C5" w:rsidRPr="00E9279E">
        <w:t xml:space="preserve"> or higher</w:t>
      </w:r>
      <w:r w:rsidRPr="00E9279E">
        <w:t xml:space="preserve"> </w:t>
      </w:r>
      <w:r w:rsidR="009A5ACC" w:rsidRPr="00E9279E">
        <w:t>treatment-emergent adverse event (</w:t>
      </w:r>
      <w:r w:rsidRPr="00E9279E">
        <w:t>TEAEs</w:t>
      </w:r>
      <w:r w:rsidR="009A5ACC" w:rsidRPr="00E9279E">
        <w:t>)</w:t>
      </w:r>
      <w:r w:rsidRPr="00E9279E">
        <w:t xml:space="preserve"> occurred more commonly in the </w:t>
      </w:r>
      <w:proofErr w:type="spellStart"/>
      <w:r w:rsidRPr="00E9279E">
        <w:t>abemaciclib</w:t>
      </w:r>
      <w:proofErr w:type="spellEnd"/>
      <w:r w:rsidRPr="00E9279E">
        <w:t xml:space="preserve"> </w:t>
      </w:r>
      <w:r w:rsidR="000C71AD" w:rsidRPr="00E9279E">
        <w:t>plus</w:t>
      </w:r>
      <w:r w:rsidRPr="00E9279E">
        <w:t xml:space="preserve"> </w:t>
      </w:r>
      <w:r w:rsidR="00C518AE" w:rsidRPr="00E9279E">
        <w:t>endocrine therapy</w:t>
      </w:r>
      <w:r w:rsidRPr="00E9279E">
        <w:t xml:space="preserve"> patients; 49.7% </w:t>
      </w:r>
      <w:r w:rsidR="00033AC2" w:rsidRPr="00E9279E">
        <w:t>versus</w:t>
      </w:r>
      <w:r w:rsidRPr="00E9279E">
        <w:t xml:space="preserve"> 16.3% with </w:t>
      </w:r>
      <w:r w:rsidR="00C518AE" w:rsidRPr="00E9279E">
        <w:t>endocrine therapy</w:t>
      </w:r>
      <w:r w:rsidRPr="00E9279E">
        <w:t xml:space="preserve"> alone, and twice as many patients treated with </w:t>
      </w:r>
      <w:proofErr w:type="spellStart"/>
      <w:r w:rsidRPr="00E9279E">
        <w:t>abemaciclib</w:t>
      </w:r>
      <w:proofErr w:type="spellEnd"/>
      <w:r w:rsidRPr="00E9279E">
        <w:t xml:space="preserve"> experienced</w:t>
      </w:r>
      <w:r w:rsidR="00596DFB" w:rsidRPr="00E9279E">
        <w:t xml:space="preserve"> serious adverse events</w:t>
      </w:r>
      <w:r w:rsidRPr="00E9279E">
        <w:t xml:space="preserve"> </w:t>
      </w:r>
      <w:r w:rsidR="00596DFB" w:rsidRPr="00E9279E">
        <w:t>(</w:t>
      </w:r>
      <w:r w:rsidRPr="00E9279E">
        <w:t>SAEs</w:t>
      </w:r>
      <w:r w:rsidR="00596DFB" w:rsidRPr="00E9279E">
        <w:t>)</w:t>
      </w:r>
      <w:r w:rsidRPr="00E9279E">
        <w:t xml:space="preserve"> (15.2% </w:t>
      </w:r>
      <w:r w:rsidR="00033AC2" w:rsidRPr="00E9279E">
        <w:t>versus</w:t>
      </w:r>
      <w:r w:rsidRPr="00E9279E">
        <w:t xml:space="preserve"> 8.8%). The incidence of fatal AEs was low across the study. Dose modifications, either reductions or omissions, were required at least once for 43.4 </w:t>
      </w:r>
      <w:r w:rsidR="003A02A9" w:rsidRPr="00E9279E">
        <w:t>to</w:t>
      </w:r>
      <w:r w:rsidRPr="00E9279E">
        <w:t xml:space="preserve"> 61.7% of patients, with 18.5% discontinuing </w:t>
      </w:r>
      <w:proofErr w:type="spellStart"/>
      <w:r w:rsidRPr="00E9279E">
        <w:t>abemaciclib</w:t>
      </w:r>
      <w:proofErr w:type="spellEnd"/>
      <w:r w:rsidRPr="00E9279E">
        <w:t xml:space="preserve"> treatment due to AEs. Gastrointestinal and haematological toxicities are most common, with AEs occurring for 20%</w:t>
      </w:r>
      <w:r w:rsidR="00A945C5" w:rsidRPr="00E9279E">
        <w:t xml:space="preserve"> or more</w:t>
      </w:r>
      <w:r w:rsidRPr="00E9279E">
        <w:t xml:space="preserve"> </w:t>
      </w:r>
      <w:proofErr w:type="spellStart"/>
      <w:r w:rsidRPr="00E9279E">
        <w:t>abemaciclib</w:t>
      </w:r>
      <w:proofErr w:type="spellEnd"/>
      <w:r w:rsidRPr="00E9279E">
        <w:t xml:space="preserve"> patients including diarrhoea, </w:t>
      </w:r>
      <w:proofErr w:type="spellStart"/>
      <w:r w:rsidR="000C71AD" w:rsidRPr="00E9279E">
        <w:t>neutropaenia</w:t>
      </w:r>
      <w:proofErr w:type="spellEnd"/>
      <w:r w:rsidRPr="00E9279E">
        <w:t xml:space="preserve">, leukopenia, fatigue, </w:t>
      </w:r>
      <w:proofErr w:type="gramStart"/>
      <w:r w:rsidRPr="00E9279E">
        <w:t>nausea</w:t>
      </w:r>
      <w:proofErr w:type="gramEnd"/>
      <w:r w:rsidRPr="00E9279E">
        <w:t xml:space="preserve"> and anaemia. The proportions of patients discontinuing due to the events of diarrhoea, fatigue and </w:t>
      </w:r>
      <w:proofErr w:type="spellStart"/>
      <w:r w:rsidR="000C71AD" w:rsidRPr="00E9279E">
        <w:t>neutropaenia</w:t>
      </w:r>
      <w:proofErr w:type="spellEnd"/>
      <w:r w:rsidRPr="00E9279E">
        <w:t xml:space="preserve"> over time are shown in </w:t>
      </w:r>
      <w:r w:rsidRPr="00E9279E">
        <w:fldChar w:fldCharType="begin"/>
      </w:r>
      <w:r w:rsidRPr="00E9279E">
        <w:instrText xml:space="preserve"> REF _Ref91840717 \h  \* MERGEFORMAT </w:instrText>
      </w:r>
      <w:r w:rsidRPr="00E9279E">
        <w:fldChar w:fldCharType="separate"/>
      </w:r>
      <w:r w:rsidR="00E9279E" w:rsidRPr="00E9279E">
        <w:t xml:space="preserve">Figure </w:t>
      </w:r>
      <w:r w:rsidR="00E9279E">
        <w:t>7</w:t>
      </w:r>
      <w:r w:rsidRPr="00E9279E">
        <w:fldChar w:fldCharType="end"/>
      </w:r>
      <w:r w:rsidR="003A02A9" w:rsidRPr="00E9279E">
        <w:t xml:space="preserve"> above</w:t>
      </w:r>
      <w:r w:rsidRPr="00E9279E">
        <w:t>, and while a higher proportion of patients discontinued due to these effects in the early months of treatment these events remained problematic over the course of treatment.</w:t>
      </w:r>
    </w:p>
    <w:p w14:paraId="24B5F178" w14:textId="71EFC087" w:rsidR="00C314D3" w:rsidRPr="00E9279E" w:rsidRDefault="00D008C9" w:rsidP="00C314D3">
      <w:r w:rsidRPr="00E9279E">
        <w:t>Venous thromboembolic event</w:t>
      </w:r>
      <w:r w:rsidR="00C314D3" w:rsidRPr="00E9279E">
        <w:t>, pneumonitis</w:t>
      </w:r>
      <w:r w:rsidR="003A02A9" w:rsidRPr="00E9279E">
        <w:t xml:space="preserve"> or </w:t>
      </w:r>
      <w:r w:rsidR="00C518AE" w:rsidRPr="00E9279E">
        <w:t>interstitial lung disease</w:t>
      </w:r>
      <w:r w:rsidR="00C314D3" w:rsidRPr="00E9279E">
        <w:t xml:space="preserve"> and elevated transaminases have also been previously identified as AEs of concern with </w:t>
      </w:r>
      <w:proofErr w:type="spellStart"/>
      <w:r w:rsidR="00C314D3" w:rsidRPr="00E9279E">
        <w:t>abemaciclib</w:t>
      </w:r>
      <w:proofErr w:type="spellEnd"/>
      <w:r w:rsidR="00C314D3" w:rsidRPr="00E9279E">
        <w:t>, and again occurred in this study.</w:t>
      </w:r>
    </w:p>
    <w:p w14:paraId="72FD535F" w14:textId="77777777" w:rsidR="00C314D3" w:rsidRPr="00E9279E" w:rsidRDefault="00C314D3" w:rsidP="00C314D3">
      <w:r w:rsidRPr="00E9279E">
        <w:lastRenderedPageBreak/>
        <w:t xml:space="preserve">The toxicities of </w:t>
      </w:r>
      <w:proofErr w:type="spellStart"/>
      <w:r w:rsidRPr="00E9279E">
        <w:t>abemaciclib</w:t>
      </w:r>
      <w:proofErr w:type="spellEnd"/>
      <w:r w:rsidRPr="00E9279E">
        <w:t xml:space="preserve"> are likely to limit the patients that would be offered or who would tolerate the treatment.</w:t>
      </w:r>
    </w:p>
    <w:p w14:paraId="7B7447FD" w14:textId="56AD8234" w:rsidR="00C314D3" w:rsidRPr="00E9279E" w:rsidRDefault="00C314D3" w:rsidP="00C314D3">
      <w:pPr>
        <w:pStyle w:val="Heading5"/>
      </w:pPr>
      <w:r w:rsidRPr="00E9279E">
        <w:t>Ki</w:t>
      </w:r>
      <w:r w:rsidR="00383341" w:rsidRPr="00E9279E">
        <w:t>-</w:t>
      </w:r>
      <w:r w:rsidRPr="00E9279E">
        <w:t>67</w:t>
      </w:r>
      <w:r w:rsidR="00383341" w:rsidRPr="00E9279E">
        <w:t xml:space="preserve"> biomarker</w:t>
      </w:r>
    </w:p>
    <w:p w14:paraId="36FAA514" w14:textId="41893B69" w:rsidR="00C314D3" w:rsidRPr="00E9279E" w:rsidRDefault="00C314D3" w:rsidP="00C314D3">
      <w:r w:rsidRPr="00E9279E">
        <w:t>The evaluat</w:t>
      </w:r>
      <w:r w:rsidR="006B5FFA" w:rsidRPr="00E9279E">
        <w:t>ion</w:t>
      </w:r>
      <w:r w:rsidRPr="00E9279E">
        <w:t xml:space="preserve"> considered whether the subset of patients identified as </w:t>
      </w:r>
      <w:r w:rsidR="00383341" w:rsidRPr="00E9279E">
        <w:t>‘</w:t>
      </w:r>
      <w:r w:rsidRPr="00E9279E">
        <w:t>Ki</w:t>
      </w:r>
      <w:r w:rsidR="00383341" w:rsidRPr="00E9279E">
        <w:t>-</w:t>
      </w:r>
      <w:r w:rsidRPr="00E9279E">
        <w:t>67 high</w:t>
      </w:r>
      <w:r w:rsidR="00383341" w:rsidRPr="00E9279E">
        <w:t>’</w:t>
      </w:r>
      <w:r w:rsidRPr="00E9279E">
        <w:t xml:space="preserve"> would be a patient group for which the benefits </w:t>
      </w:r>
      <w:r w:rsidR="00033AC2" w:rsidRPr="00E9279E">
        <w:t>versus</w:t>
      </w:r>
      <w:r w:rsidRPr="00E9279E">
        <w:t xml:space="preserve"> harms </w:t>
      </w:r>
      <w:r w:rsidR="00033AC2" w:rsidRPr="00E9279E">
        <w:t>versus</w:t>
      </w:r>
      <w:r w:rsidRPr="00E9279E">
        <w:t xml:space="preserve"> uncertainties may be favourable.</w:t>
      </w:r>
    </w:p>
    <w:p w14:paraId="489BC6F5" w14:textId="65C94D95" w:rsidR="00C314D3" w:rsidRPr="00E9279E" w:rsidRDefault="00C314D3" w:rsidP="00C314D3">
      <w:r w:rsidRPr="00E9279E">
        <w:t>The role of Ki</w:t>
      </w:r>
      <w:r w:rsidR="00383341" w:rsidRPr="00E9279E">
        <w:t>-</w:t>
      </w:r>
      <w:r w:rsidRPr="00E9279E">
        <w:t>67 in characterising the patient population likely to be most at benefit is a matter on which the advice of the ACM is sought but the Delegate’s preliminary considerations are</w:t>
      </w:r>
      <w:r w:rsidR="00A103B8" w:rsidRPr="00E9279E">
        <w:t xml:space="preserve"> as follows</w:t>
      </w:r>
      <w:r w:rsidRPr="00E9279E">
        <w:t>:</w:t>
      </w:r>
    </w:p>
    <w:p w14:paraId="1B2C84EA" w14:textId="069ABE10" w:rsidR="00C314D3" w:rsidRPr="00E9279E" w:rsidRDefault="00C314D3" w:rsidP="00C314D3">
      <w:pPr>
        <w:pStyle w:val="ListBullet"/>
        <w:rPr>
          <w:lang w:eastAsia="en-AU"/>
        </w:rPr>
      </w:pPr>
      <w:r w:rsidRPr="00E9279E">
        <w:rPr>
          <w:lang w:eastAsia="en-AU"/>
        </w:rPr>
        <w:t>The expression of the Ki</w:t>
      </w:r>
      <w:r w:rsidR="00383341" w:rsidRPr="00E9279E">
        <w:rPr>
          <w:lang w:eastAsia="en-AU"/>
        </w:rPr>
        <w:t>-</w:t>
      </w:r>
      <w:r w:rsidRPr="00E9279E">
        <w:rPr>
          <w:lang w:eastAsia="en-AU"/>
        </w:rPr>
        <w:t>67 protein is associated with the active phases of the cell cycle and is not present in resting cells. Its expression is not specific to organ or tumour type. It has been used to estimate the growth fraction of a tumour sample and has been considered of prognostic value, including in HR+</w:t>
      </w:r>
      <w:r w:rsidR="00A103B8" w:rsidRPr="00E9279E">
        <w:rPr>
          <w:lang w:eastAsia="en-AU"/>
        </w:rPr>
        <w:t>,</w:t>
      </w:r>
      <w:r w:rsidRPr="00E9279E">
        <w:rPr>
          <w:lang w:eastAsia="en-AU"/>
        </w:rPr>
        <w:t xml:space="preserve"> HER2- breast cancer.</w:t>
      </w:r>
    </w:p>
    <w:p w14:paraId="15F3CBAB" w14:textId="77777777" w:rsidR="00C314D3" w:rsidRPr="00E9279E" w:rsidRDefault="00C314D3" w:rsidP="00C314D3">
      <w:pPr>
        <w:pStyle w:val="ListBullet"/>
        <w:rPr>
          <w:lang w:eastAsia="en-AU"/>
        </w:rPr>
      </w:pPr>
      <w:r w:rsidRPr="00E9279E">
        <w:rPr>
          <w:lang w:eastAsia="en-AU"/>
        </w:rPr>
        <w:t>It is typically detected by immunohistochemistry stain.</w:t>
      </w:r>
    </w:p>
    <w:p w14:paraId="44D91D9C" w14:textId="25D03A25" w:rsidR="00C314D3" w:rsidRPr="00E9279E" w:rsidRDefault="00C314D3" w:rsidP="00C314D3">
      <w:pPr>
        <w:pStyle w:val="ListBullet"/>
        <w:rPr>
          <w:lang w:eastAsia="en-AU"/>
        </w:rPr>
      </w:pPr>
      <w:r w:rsidRPr="00E9279E">
        <w:rPr>
          <w:lang w:eastAsia="en-AU"/>
        </w:rPr>
        <w:t>Tumours are typically heterogeneous in cellular activity, providing challenges for the interpretation</w:t>
      </w:r>
      <w:r w:rsidR="00A103B8" w:rsidRPr="00E9279E">
        <w:rPr>
          <w:lang w:eastAsia="en-AU"/>
        </w:rPr>
        <w:t>.</w:t>
      </w:r>
    </w:p>
    <w:p w14:paraId="5851D63E" w14:textId="595C61A2" w:rsidR="00C314D3" w:rsidRPr="00E9279E" w:rsidRDefault="00C314D3" w:rsidP="00C314D3">
      <w:pPr>
        <w:pStyle w:val="ListBullet"/>
        <w:rPr>
          <w:lang w:eastAsia="en-AU"/>
        </w:rPr>
      </w:pPr>
      <w:r w:rsidRPr="00E9279E">
        <w:rPr>
          <w:lang w:eastAsia="en-AU"/>
        </w:rPr>
        <w:t>It appears sensitive to laboratory techniques used (</w:t>
      </w:r>
      <w:r w:rsidR="00033AC2" w:rsidRPr="00E9279E">
        <w:t>for example,</w:t>
      </w:r>
      <w:r w:rsidRPr="00E9279E">
        <w:rPr>
          <w:lang w:eastAsia="en-AU"/>
        </w:rPr>
        <w:t xml:space="preserve"> antibody used) and methods of assessment (</w:t>
      </w:r>
      <w:r w:rsidR="00033AC2" w:rsidRPr="00E9279E">
        <w:t>for example,</w:t>
      </w:r>
      <w:r w:rsidRPr="00E9279E">
        <w:rPr>
          <w:lang w:eastAsia="en-AU"/>
        </w:rPr>
        <w:t xml:space="preserve"> digital </w:t>
      </w:r>
      <w:r w:rsidR="00033AC2" w:rsidRPr="00E9279E">
        <w:rPr>
          <w:lang w:eastAsia="en-AU"/>
        </w:rPr>
        <w:t>versus</w:t>
      </w:r>
      <w:r w:rsidRPr="00E9279E">
        <w:rPr>
          <w:lang w:eastAsia="en-AU"/>
        </w:rPr>
        <w:t xml:space="preserve"> manual). Intra-operator and intra</w:t>
      </w:r>
      <w:r w:rsidR="00A103B8" w:rsidRPr="00E9279E">
        <w:rPr>
          <w:lang w:eastAsia="en-AU"/>
        </w:rPr>
        <w:noBreakHyphen/>
      </w:r>
      <w:r w:rsidRPr="00E9279E">
        <w:rPr>
          <w:lang w:eastAsia="en-AU"/>
        </w:rPr>
        <w:t>laboratory variability are potential issues.</w:t>
      </w:r>
    </w:p>
    <w:p w14:paraId="5694E9EE" w14:textId="3239021B" w:rsidR="00C314D3" w:rsidRPr="00E9279E" w:rsidRDefault="00C314D3" w:rsidP="00C314D3">
      <w:pPr>
        <w:pStyle w:val="ListBullet"/>
        <w:rPr>
          <w:lang w:eastAsia="en-AU"/>
        </w:rPr>
      </w:pPr>
      <w:r w:rsidRPr="00E9279E">
        <w:rPr>
          <w:lang w:eastAsia="en-AU"/>
        </w:rPr>
        <w:t>There is variability in the threshold of increased risk. The sponsor has adopted 20%</w:t>
      </w:r>
      <w:r w:rsidR="00A945C5" w:rsidRPr="00E9279E">
        <w:rPr>
          <w:lang w:eastAsia="en-AU"/>
        </w:rPr>
        <w:t xml:space="preserve"> or higher</w:t>
      </w:r>
      <w:r w:rsidRPr="00E9279E">
        <w:rPr>
          <w:lang w:eastAsia="en-AU"/>
        </w:rPr>
        <w:t xml:space="preserve"> for the </w:t>
      </w:r>
      <w:r w:rsidR="002F1A84" w:rsidRPr="00E9279E">
        <w:rPr>
          <w:lang w:eastAsia="en-AU"/>
        </w:rPr>
        <w:t>MONARCHE</w:t>
      </w:r>
      <w:r w:rsidRPr="00E9279E">
        <w:rPr>
          <w:lang w:eastAsia="en-AU"/>
        </w:rPr>
        <w:t xml:space="preserve"> </w:t>
      </w:r>
      <w:r w:rsidR="00476DB2" w:rsidRPr="00E9279E">
        <w:rPr>
          <w:lang w:eastAsia="en-AU"/>
        </w:rPr>
        <w:t>trial</w:t>
      </w:r>
      <w:r w:rsidRPr="00E9279E">
        <w:rPr>
          <w:lang w:eastAsia="en-AU"/>
        </w:rPr>
        <w:t xml:space="preserve"> based on the St Gallen International Expert Consensus</w:t>
      </w:r>
      <w:r w:rsidR="00383341" w:rsidRPr="00E9279E">
        <w:rPr>
          <w:lang w:eastAsia="en-AU"/>
        </w:rPr>
        <w:t>;</w:t>
      </w:r>
      <w:r w:rsidR="00383341" w:rsidRPr="00E9279E">
        <w:rPr>
          <w:vertAlign w:val="superscript"/>
          <w:lang w:eastAsia="en-AU"/>
        </w:rPr>
        <w:fldChar w:fldCharType="begin"/>
      </w:r>
      <w:r w:rsidR="00383341" w:rsidRPr="00E9279E">
        <w:rPr>
          <w:vertAlign w:val="superscript"/>
          <w:lang w:eastAsia="en-AU"/>
        </w:rPr>
        <w:instrText xml:space="preserve"> NOTEREF _Ref118112343 \h  \* MERGEFORMAT </w:instrText>
      </w:r>
      <w:r w:rsidR="00383341" w:rsidRPr="00E9279E">
        <w:rPr>
          <w:vertAlign w:val="superscript"/>
          <w:lang w:eastAsia="en-AU"/>
        </w:rPr>
      </w:r>
      <w:r w:rsidR="00383341" w:rsidRPr="00E9279E">
        <w:rPr>
          <w:vertAlign w:val="superscript"/>
          <w:lang w:eastAsia="en-AU"/>
        </w:rPr>
        <w:fldChar w:fldCharType="separate"/>
      </w:r>
      <w:r w:rsidR="00E9279E">
        <w:rPr>
          <w:vertAlign w:val="superscript"/>
          <w:lang w:eastAsia="en-AU"/>
        </w:rPr>
        <w:t>10</w:t>
      </w:r>
      <w:r w:rsidR="00383341" w:rsidRPr="00E9279E">
        <w:rPr>
          <w:vertAlign w:val="superscript"/>
          <w:lang w:eastAsia="en-AU"/>
        </w:rPr>
        <w:fldChar w:fldCharType="end"/>
      </w:r>
      <w:r w:rsidR="00383341" w:rsidRPr="00E9279E">
        <w:rPr>
          <w:vertAlign w:val="superscript"/>
          <w:lang w:eastAsia="en-AU"/>
        </w:rPr>
        <w:t>,</w:t>
      </w:r>
      <w:r w:rsidR="00383341" w:rsidRPr="00E9279E">
        <w:rPr>
          <w:vertAlign w:val="superscript"/>
          <w:lang w:eastAsia="en-AU"/>
        </w:rPr>
        <w:fldChar w:fldCharType="begin"/>
      </w:r>
      <w:r w:rsidR="00383341" w:rsidRPr="00E9279E">
        <w:rPr>
          <w:vertAlign w:val="superscript"/>
          <w:lang w:eastAsia="en-AU"/>
        </w:rPr>
        <w:instrText xml:space="preserve"> NOTEREF _Ref118112346 \h  \* MERGEFORMAT </w:instrText>
      </w:r>
      <w:r w:rsidR="00383341" w:rsidRPr="00E9279E">
        <w:rPr>
          <w:vertAlign w:val="superscript"/>
          <w:lang w:eastAsia="en-AU"/>
        </w:rPr>
      </w:r>
      <w:r w:rsidR="00383341" w:rsidRPr="00E9279E">
        <w:rPr>
          <w:vertAlign w:val="superscript"/>
          <w:lang w:eastAsia="en-AU"/>
        </w:rPr>
        <w:fldChar w:fldCharType="separate"/>
      </w:r>
      <w:r w:rsidR="00E9279E">
        <w:rPr>
          <w:vertAlign w:val="superscript"/>
          <w:lang w:eastAsia="en-AU"/>
        </w:rPr>
        <w:t>11</w:t>
      </w:r>
      <w:r w:rsidR="00383341" w:rsidRPr="00E9279E">
        <w:rPr>
          <w:vertAlign w:val="superscript"/>
          <w:lang w:eastAsia="en-AU"/>
        </w:rPr>
        <w:fldChar w:fldCharType="end"/>
      </w:r>
      <w:r w:rsidRPr="00E9279E">
        <w:rPr>
          <w:lang w:eastAsia="en-AU"/>
        </w:rPr>
        <w:t xml:space="preserve"> </w:t>
      </w:r>
      <w:r w:rsidR="00383341" w:rsidRPr="00E9279E">
        <w:rPr>
          <w:lang w:eastAsia="en-AU"/>
        </w:rPr>
        <w:t xml:space="preserve">however </w:t>
      </w:r>
      <w:r w:rsidRPr="00E9279E">
        <w:rPr>
          <w:lang w:eastAsia="en-AU"/>
        </w:rPr>
        <w:t>the International Ki</w:t>
      </w:r>
      <w:r w:rsidR="00383341" w:rsidRPr="00E9279E">
        <w:rPr>
          <w:lang w:eastAsia="en-AU"/>
        </w:rPr>
        <w:t>-</w:t>
      </w:r>
      <w:r w:rsidRPr="00E9279E">
        <w:rPr>
          <w:lang w:eastAsia="en-AU"/>
        </w:rPr>
        <w:t>67 in Breast Cancer Working Group</w:t>
      </w:r>
      <w:r w:rsidR="00FD3077" w:rsidRPr="00E9279E">
        <w:rPr>
          <w:lang w:eastAsia="en-AU"/>
        </w:rPr>
        <w:t>;</w:t>
      </w:r>
      <w:r w:rsidR="00383341" w:rsidRPr="00E9279E">
        <w:rPr>
          <w:vertAlign w:val="superscript"/>
          <w:lang w:eastAsia="en-AU"/>
        </w:rPr>
        <w:fldChar w:fldCharType="begin"/>
      </w:r>
      <w:r w:rsidR="00383341" w:rsidRPr="00E9279E">
        <w:rPr>
          <w:vertAlign w:val="superscript"/>
          <w:lang w:eastAsia="en-AU"/>
        </w:rPr>
        <w:instrText xml:space="preserve"> NOTEREF _Ref118112511 \h  \* MERGEFORMAT </w:instrText>
      </w:r>
      <w:r w:rsidR="00383341" w:rsidRPr="00E9279E">
        <w:rPr>
          <w:vertAlign w:val="superscript"/>
          <w:lang w:eastAsia="en-AU"/>
        </w:rPr>
      </w:r>
      <w:r w:rsidR="00383341" w:rsidRPr="00E9279E">
        <w:rPr>
          <w:vertAlign w:val="superscript"/>
          <w:lang w:eastAsia="en-AU"/>
        </w:rPr>
        <w:fldChar w:fldCharType="separate"/>
      </w:r>
      <w:r w:rsidR="00E9279E">
        <w:rPr>
          <w:vertAlign w:val="superscript"/>
          <w:lang w:eastAsia="en-AU"/>
        </w:rPr>
        <w:t>25</w:t>
      </w:r>
      <w:r w:rsidR="00383341" w:rsidRPr="00E9279E">
        <w:rPr>
          <w:vertAlign w:val="superscript"/>
          <w:lang w:eastAsia="en-AU"/>
        </w:rPr>
        <w:fldChar w:fldCharType="end"/>
      </w:r>
      <w:r w:rsidRPr="00E9279E">
        <w:rPr>
          <w:lang w:eastAsia="en-AU"/>
        </w:rPr>
        <w:t xml:space="preserve"> considers </w:t>
      </w:r>
      <w:r w:rsidR="00A945C5" w:rsidRPr="00E9279E">
        <w:rPr>
          <w:lang w:eastAsia="en-AU"/>
        </w:rPr>
        <w:t xml:space="preserve">greater than or equal to </w:t>
      </w:r>
      <w:r w:rsidRPr="00E9279E">
        <w:rPr>
          <w:lang w:eastAsia="en-AU"/>
        </w:rPr>
        <w:t xml:space="preserve">30% and </w:t>
      </w:r>
      <w:r w:rsidR="0088412E" w:rsidRPr="00E9279E">
        <w:rPr>
          <w:lang w:eastAsia="en-AU"/>
        </w:rPr>
        <w:t xml:space="preserve">less than </w:t>
      </w:r>
      <w:r w:rsidRPr="00E9279E">
        <w:rPr>
          <w:lang w:eastAsia="en-AU"/>
        </w:rPr>
        <w:t>5% are thresholds for use in early breast cancer</w:t>
      </w:r>
      <w:r w:rsidR="0015566F" w:rsidRPr="00E9279E">
        <w:rPr>
          <w:lang w:eastAsia="en-AU"/>
        </w:rPr>
        <w:t>.</w:t>
      </w:r>
    </w:p>
    <w:p w14:paraId="29DF2E66" w14:textId="3229C2C7" w:rsidR="00C314D3" w:rsidRPr="00E9279E" w:rsidRDefault="00C314D3" w:rsidP="00C314D3">
      <w:pPr>
        <w:pStyle w:val="ListBullet"/>
      </w:pPr>
      <w:r w:rsidRPr="00E9279E">
        <w:t xml:space="preserve">The </w:t>
      </w:r>
      <w:r w:rsidR="002F1A84" w:rsidRPr="00E9279E">
        <w:t>MONARCHE</w:t>
      </w:r>
      <w:r w:rsidRPr="00E9279E">
        <w:t xml:space="preserve"> </w:t>
      </w:r>
      <w:r w:rsidR="00476DB2" w:rsidRPr="00E9279E">
        <w:t>trial</w:t>
      </w:r>
      <w:r w:rsidRPr="00E9279E">
        <w:t xml:space="preserve"> was not designed to establish a threshold of Ki-67 expression that predicts a responsive population for </w:t>
      </w:r>
      <w:proofErr w:type="spellStart"/>
      <w:r w:rsidRPr="00E9279E">
        <w:t>abemaciclib</w:t>
      </w:r>
      <w:proofErr w:type="spellEnd"/>
      <w:r w:rsidRPr="00E9279E">
        <w:t>, independent of other prognostic indicators such as pathological grading and axillary lymph node involvement.</w:t>
      </w:r>
    </w:p>
    <w:p w14:paraId="7203B7D9" w14:textId="6D61B375" w:rsidR="00C314D3" w:rsidRPr="00E9279E" w:rsidRDefault="00C314D3" w:rsidP="00C314D3">
      <w:pPr>
        <w:pStyle w:val="ListBullet"/>
      </w:pPr>
      <w:r w:rsidRPr="00E9279E">
        <w:t>The sponsor is not planning to register a companion diagnostic in Australia</w:t>
      </w:r>
      <w:r w:rsidR="00A103B8" w:rsidRPr="00E9279E">
        <w:t>.</w:t>
      </w:r>
    </w:p>
    <w:p w14:paraId="13B0F3E6" w14:textId="62FE7647" w:rsidR="00C314D3" w:rsidRPr="00E9279E" w:rsidRDefault="00C314D3" w:rsidP="00775BB9">
      <w:r w:rsidRPr="00E9279E">
        <w:t>The Cohort 1</w:t>
      </w:r>
      <w:r w:rsidR="00EA612F" w:rsidRPr="00E9279E">
        <w:t xml:space="preserve"> </w:t>
      </w:r>
      <w:r w:rsidRPr="00E9279E">
        <w:t>Ki</w:t>
      </w:r>
      <w:r w:rsidR="00383341" w:rsidRPr="00E9279E">
        <w:t>-</w:t>
      </w:r>
      <w:r w:rsidRPr="00E9279E">
        <w:t>67 high population has favourable estimates for IDFS between population difference and for OS than the ITT population, numerically, however no interaction for Ki</w:t>
      </w:r>
      <w:r w:rsidR="00275626" w:rsidRPr="00E9279E">
        <w:noBreakHyphen/>
      </w:r>
      <w:r w:rsidRPr="00E9279E">
        <w:t xml:space="preserve">67 index was found in the IDFS, </w:t>
      </w:r>
      <w:r w:rsidR="00206B4F" w:rsidRPr="00E9279E">
        <w:t>distant recurrence-free survival (</w:t>
      </w:r>
      <w:r w:rsidRPr="00E9279E">
        <w:t>DRFS</w:t>
      </w:r>
      <w:r w:rsidR="00206B4F" w:rsidRPr="00E9279E">
        <w:t>)</w:t>
      </w:r>
      <w:r w:rsidRPr="00E9279E">
        <w:t xml:space="preserve"> or OS</w:t>
      </w:r>
      <w:r w:rsidR="00A103B8" w:rsidRPr="00E9279E">
        <w:t xml:space="preserve"> </w:t>
      </w:r>
      <w:r w:rsidRPr="00E9279E">
        <w:t>ITT population analyses (</w:t>
      </w:r>
      <w:r w:rsidR="00A103B8" w:rsidRPr="00E9279E">
        <w:t xml:space="preserve">see </w:t>
      </w:r>
      <w:r w:rsidR="00775BB9" w:rsidRPr="00E9279E">
        <w:fldChar w:fldCharType="begin"/>
      </w:r>
      <w:r w:rsidR="00775BB9" w:rsidRPr="00E9279E">
        <w:instrText xml:space="preserve"> REF _Ref90571564 \h  \* MERGEFORMAT </w:instrText>
      </w:r>
      <w:r w:rsidR="00775BB9" w:rsidRPr="00E9279E">
        <w:fldChar w:fldCharType="separate"/>
      </w:r>
      <w:r w:rsidR="00E9279E" w:rsidRPr="00E9279E">
        <w:t xml:space="preserve">Table </w:t>
      </w:r>
      <w:r w:rsidR="00E9279E">
        <w:t>11</w:t>
      </w:r>
      <w:r w:rsidR="00775BB9" w:rsidRPr="00E9279E">
        <w:fldChar w:fldCharType="end"/>
      </w:r>
      <w:r w:rsidR="00A103B8" w:rsidRPr="00E9279E">
        <w:t xml:space="preserve"> below</w:t>
      </w:r>
      <w:r w:rsidRPr="00E9279E">
        <w:t>).</w:t>
      </w:r>
    </w:p>
    <w:p w14:paraId="53A573E0" w14:textId="7F426CC1" w:rsidR="00033AC2" w:rsidRPr="00E9279E" w:rsidRDefault="00033AC2" w:rsidP="00B63518">
      <w:pPr>
        <w:pStyle w:val="TableTitle"/>
      </w:pPr>
      <w:bookmarkStart w:id="83" w:name="_Ref90571564"/>
      <w:bookmarkStart w:id="84" w:name="_Toc90886939"/>
      <w:r w:rsidRPr="00E9279E">
        <w:lastRenderedPageBreak/>
        <w:t xml:space="preserve">Table </w:t>
      </w:r>
      <w:r w:rsidR="000C44E7">
        <w:fldChar w:fldCharType="begin"/>
      </w:r>
      <w:r w:rsidR="000C44E7">
        <w:instrText xml:space="preserve"> SEQ Table \* ARABIC </w:instrText>
      </w:r>
      <w:r w:rsidR="000C44E7">
        <w:fldChar w:fldCharType="separate"/>
      </w:r>
      <w:r w:rsidR="00E9279E">
        <w:rPr>
          <w:noProof/>
        </w:rPr>
        <w:t>11</w:t>
      </w:r>
      <w:r w:rsidR="000C44E7">
        <w:rPr>
          <w:noProof/>
        </w:rPr>
        <w:fldChar w:fldCharType="end"/>
      </w:r>
      <w:bookmarkEnd w:id="83"/>
      <w:r w:rsidRPr="00E9279E">
        <w:t xml:space="preserve">: </w:t>
      </w:r>
      <w:r w:rsidR="0086249E" w:rsidRPr="00E9279E">
        <w:t xml:space="preserve">Study I3Y-MC-JPCF </w:t>
      </w:r>
      <w:r w:rsidR="00383341" w:rsidRPr="00E9279E">
        <w:t>(</w:t>
      </w:r>
      <w:r w:rsidR="00FD3077" w:rsidRPr="00E9279E">
        <w:t xml:space="preserve">MONARCHE </w:t>
      </w:r>
      <w:r w:rsidR="00383341" w:rsidRPr="00E9279E">
        <w:t xml:space="preserve">trial) </w:t>
      </w:r>
      <w:r w:rsidRPr="00E9279E">
        <w:t xml:space="preserve">Interaction of Ki-67 index with </w:t>
      </w:r>
      <w:r w:rsidR="00A103B8" w:rsidRPr="00E9279E">
        <w:t xml:space="preserve">invasive disease-free survival, distant </w:t>
      </w:r>
      <w:r w:rsidR="006B4139" w:rsidRPr="00E9279E">
        <w:t>recurrence</w:t>
      </w:r>
      <w:r w:rsidR="00A103B8" w:rsidRPr="00E9279E">
        <w:t>-free survival, and overall survival (intent-to-treat population overall surviva</w:t>
      </w:r>
      <w:r w:rsidR="009B5BCF" w:rsidRPr="00E9279E">
        <w:t>l</w:t>
      </w:r>
      <w:r w:rsidRPr="00E9279E">
        <w:t xml:space="preserve"> </w:t>
      </w:r>
      <w:bookmarkEnd w:id="84"/>
      <w:r w:rsidR="00D008C9" w:rsidRPr="00E9279E">
        <w:t>Interim Analysis 1</w:t>
      </w:r>
      <w:r w:rsidR="00A103B8" w:rsidRPr="00E9279E">
        <w:t>)</w:t>
      </w:r>
    </w:p>
    <w:p w14:paraId="0D5B4A45" w14:textId="77777777" w:rsidR="00033AC2" w:rsidRPr="00E9279E" w:rsidRDefault="00033AC2" w:rsidP="00B63518">
      <w:r w:rsidRPr="00E9279E">
        <w:rPr>
          <w:noProof/>
          <w:lang w:val="en-GB" w:eastAsia="en-GB"/>
        </w:rPr>
        <w:drawing>
          <wp:inline distT="0" distB="0" distL="0" distR="0" wp14:anchorId="7235BFC3" wp14:editId="76C6588F">
            <wp:extent cx="5331707" cy="2460171"/>
            <wp:effectExtent l="0" t="0" r="2540" b="0"/>
            <wp:docPr id="187" name="Picture 187" descr="Table 11: Study I3Y-MC-JPCF (MONARCHE trial) Interaction of Ki-67 index with invasive disease free survival, distant recurrence free survival, and overall survival (intent to treat population overall survival Interim Analys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Table 11: Study I3Y-MC-JPCF (MONARCHE trial) Interaction of Ki-67 index with invasive disease free survival, distant recurrence free survival, and overall survival (intent to treat population overall survival Interim Analysis 1)"/>
                    <pic:cNvPicPr/>
                  </pic:nvPicPr>
                  <pic:blipFill>
                    <a:blip r:embed="rId29"/>
                    <a:stretch>
                      <a:fillRect/>
                    </a:stretch>
                  </pic:blipFill>
                  <pic:spPr>
                    <a:xfrm>
                      <a:off x="0" y="0"/>
                      <a:ext cx="5354584" cy="2470727"/>
                    </a:xfrm>
                    <a:prstGeom prst="rect">
                      <a:avLst/>
                    </a:prstGeom>
                  </pic:spPr>
                </pic:pic>
              </a:graphicData>
            </a:graphic>
          </wp:inline>
        </w:drawing>
      </w:r>
    </w:p>
    <w:p w14:paraId="071FDDA0" w14:textId="7EE504D5" w:rsidR="007227F1" w:rsidRPr="00E9279E" w:rsidRDefault="00033AC2" w:rsidP="00B63518">
      <w:pPr>
        <w:pStyle w:val="TableDescription"/>
      </w:pPr>
      <w:r w:rsidRPr="00E9279E">
        <w:t xml:space="preserve">Abbreviations: </w:t>
      </w:r>
      <w:r w:rsidR="006B4139" w:rsidRPr="00E9279E">
        <w:t xml:space="preserve">C1 = Cohort 1; </w:t>
      </w:r>
      <w:r w:rsidRPr="00E9279E">
        <w:t>C2 = Cohort 2; CI = confidence interval; DRFS =</w:t>
      </w:r>
      <w:r w:rsidR="006B4139" w:rsidRPr="00E9279E">
        <w:t xml:space="preserve"> distant recurrence-free survival; ET = endocrine therapy;</w:t>
      </w:r>
      <w:r w:rsidRPr="00E9279E">
        <w:t xml:space="preserve"> HR = hazard ratio; IDFS = invasive disease-free survival; N = number of patients in subpopulation; n = number of survival events in category; OS = overall survival.</w:t>
      </w:r>
    </w:p>
    <w:p w14:paraId="0F8DCE4B" w14:textId="39D6F91F" w:rsidR="00476DB2" w:rsidRPr="00E9279E" w:rsidRDefault="00033AC2" w:rsidP="00B63518">
      <w:pPr>
        <w:pStyle w:val="TableDescription"/>
      </w:pPr>
      <w:proofErr w:type="gramStart"/>
      <w:r w:rsidRPr="00E9279E">
        <w:t>a</w:t>
      </w:r>
      <w:proofErr w:type="gramEnd"/>
      <w:r w:rsidRPr="00E9279E">
        <w:t xml:space="preserve"> OS data are immature for Cohort 2.</w:t>
      </w:r>
    </w:p>
    <w:p w14:paraId="023CF025" w14:textId="38F67125" w:rsidR="00033AC2" w:rsidRPr="00E9279E" w:rsidRDefault="00033AC2" w:rsidP="00B63518">
      <w:pPr>
        <w:pStyle w:val="TableDescription"/>
      </w:pPr>
      <w:r w:rsidRPr="00E9279E">
        <w:t>Data cut-off</w:t>
      </w:r>
      <w:r w:rsidR="00BC618B" w:rsidRPr="00E9279E">
        <w:t xml:space="preserve"> date</w:t>
      </w:r>
      <w:r w:rsidRPr="00E9279E">
        <w:t>: 1 April 2021</w:t>
      </w:r>
      <w:r w:rsidR="00BD08E7" w:rsidRPr="00E9279E">
        <w:t>.</w:t>
      </w:r>
    </w:p>
    <w:p w14:paraId="06897FF9" w14:textId="77777777" w:rsidR="00C314D3" w:rsidRPr="00E9279E" w:rsidRDefault="00C314D3" w:rsidP="00C314D3">
      <w:pPr>
        <w:pStyle w:val="Heading5"/>
      </w:pPr>
      <w:r w:rsidRPr="00E9279E">
        <w:t>Dose</w:t>
      </w:r>
    </w:p>
    <w:p w14:paraId="733ADFD0" w14:textId="49BB824A" w:rsidR="00C314D3" w:rsidRPr="00E9279E" w:rsidRDefault="00C314D3" w:rsidP="00C314D3">
      <w:r w:rsidRPr="00E9279E">
        <w:t xml:space="preserve">The 150 mg </w:t>
      </w:r>
      <w:r w:rsidR="00BC618B" w:rsidRPr="00E9279E">
        <w:t>twice daily</w:t>
      </w:r>
      <w:r w:rsidRPr="00E9279E">
        <w:t xml:space="preserve"> </w:t>
      </w:r>
      <w:proofErr w:type="spellStart"/>
      <w:r w:rsidRPr="00E9279E">
        <w:t>abemaciclib</w:t>
      </w:r>
      <w:proofErr w:type="spellEnd"/>
      <w:r w:rsidRPr="00E9279E">
        <w:t xml:space="preserve"> dose used in </w:t>
      </w:r>
      <w:r w:rsidR="00383341" w:rsidRPr="00E9279E">
        <w:t xml:space="preserve">Study I3Y-MC-JPCF (the </w:t>
      </w:r>
      <w:r w:rsidR="002F1A84" w:rsidRPr="00E9279E">
        <w:t>MONARCHE</w:t>
      </w:r>
      <w:r w:rsidRPr="00E9279E">
        <w:t xml:space="preserve"> </w:t>
      </w:r>
      <w:r w:rsidR="00476DB2" w:rsidRPr="00E9279E">
        <w:t>trial</w:t>
      </w:r>
      <w:r w:rsidR="00383341" w:rsidRPr="00E9279E">
        <w:t>)</w:t>
      </w:r>
      <w:r w:rsidRPr="00E9279E">
        <w:t xml:space="preserve"> is the same as that already approved. The dosing of </w:t>
      </w:r>
      <w:proofErr w:type="spellStart"/>
      <w:r w:rsidRPr="00E9279E">
        <w:t>abemaciclib</w:t>
      </w:r>
      <w:proofErr w:type="spellEnd"/>
      <w:r w:rsidRPr="00E9279E">
        <w:t xml:space="preserve"> is not an issue for this submission.</w:t>
      </w:r>
    </w:p>
    <w:p w14:paraId="48A5898A" w14:textId="77777777" w:rsidR="0074163C" w:rsidRPr="00E9279E" w:rsidRDefault="0074163C" w:rsidP="0074163C">
      <w:pPr>
        <w:pStyle w:val="Heading4"/>
      </w:pPr>
      <w:bookmarkStart w:id="85" w:name="_Toc98931933"/>
      <w:r w:rsidRPr="00E9279E">
        <w:t>Proposed action</w:t>
      </w:r>
      <w:bookmarkEnd w:id="85"/>
    </w:p>
    <w:p w14:paraId="1AE4902F" w14:textId="7F53FE23" w:rsidR="00C314D3" w:rsidRPr="00E9279E" w:rsidRDefault="00C314D3" w:rsidP="00C314D3">
      <w:r w:rsidRPr="00E9279E">
        <w:t xml:space="preserve">As a preliminary finding, and subject to the requested advice the ACM the Delegate is inclined towards approval of adjuvant therapy with </w:t>
      </w:r>
      <w:proofErr w:type="spellStart"/>
      <w:r w:rsidRPr="00E9279E">
        <w:t>abemaciclib</w:t>
      </w:r>
      <w:proofErr w:type="spellEnd"/>
      <w:r w:rsidRPr="00E9279E">
        <w:t xml:space="preserve"> </w:t>
      </w:r>
      <w:r w:rsidR="000C71AD" w:rsidRPr="00E9279E">
        <w:t>plus</w:t>
      </w:r>
      <w:r w:rsidRPr="00E9279E">
        <w:t xml:space="preserve"> endocrine therapy in </w:t>
      </w:r>
      <w:r w:rsidR="00275626" w:rsidRPr="00E9279E">
        <w:t>high-risk</w:t>
      </w:r>
      <w:r w:rsidRPr="00E9279E">
        <w:t xml:space="preserve"> </w:t>
      </w:r>
      <w:r w:rsidR="00DB48CF" w:rsidRPr="00E9279E">
        <w:t>hormone receptor positive (</w:t>
      </w:r>
      <w:r w:rsidR="007227F1" w:rsidRPr="00E9279E">
        <w:t>HR+</w:t>
      </w:r>
      <w:r w:rsidR="00DB48CF" w:rsidRPr="00E9279E">
        <w:t>)</w:t>
      </w:r>
      <w:r w:rsidRPr="00E9279E">
        <w:t xml:space="preserve">, </w:t>
      </w:r>
      <w:r w:rsidR="006E47AB" w:rsidRPr="00E9279E">
        <w:t>human epidermal growth factor receptor 2 negative (</w:t>
      </w:r>
      <w:r w:rsidRPr="00E9279E">
        <w:t>HER2</w:t>
      </w:r>
      <w:r w:rsidR="007227F1" w:rsidRPr="00E9279E">
        <w:t>-</w:t>
      </w:r>
      <w:r w:rsidR="006E47AB" w:rsidRPr="00E9279E">
        <w:t>)</w:t>
      </w:r>
      <w:r w:rsidRPr="00E9279E">
        <w:t xml:space="preserve"> breast cancer, as a management option.</w:t>
      </w:r>
    </w:p>
    <w:p w14:paraId="6A731C80" w14:textId="77777777" w:rsidR="0074163C" w:rsidRPr="00E9279E" w:rsidRDefault="0074163C" w:rsidP="0074163C">
      <w:pPr>
        <w:pStyle w:val="Heading4"/>
      </w:pPr>
      <w:bookmarkStart w:id="86" w:name="_Toc98931934"/>
      <w:r w:rsidRPr="00E9279E">
        <w:t>Questions for the sponsor</w:t>
      </w:r>
      <w:bookmarkEnd w:id="86"/>
    </w:p>
    <w:p w14:paraId="5D195CF3" w14:textId="77777777" w:rsidR="0074163C" w:rsidRPr="00E9279E" w:rsidRDefault="0074163C" w:rsidP="0074163C">
      <w:r w:rsidRPr="00E9279E">
        <w:t>The sponsor provided the following response to questions from the Delegate.</w:t>
      </w:r>
    </w:p>
    <w:p w14:paraId="69E54C21" w14:textId="07B8680C" w:rsidR="00CB25E5" w:rsidRPr="00E9279E" w:rsidRDefault="00CB25E5" w:rsidP="00D32D22">
      <w:pPr>
        <w:pStyle w:val="Numberbullet0"/>
        <w:rPr>
          <w:b/>
          <w:bCs/>
          <w:i/>
          <w:iCs/>
        </w:rPr>
      </w:pPr>
      <w:r w:rsidRPr="00E9279E">
        <w:rPr>
          <w:b/>
          <w:bCs/>
          <w:i/>
          <w:iCs/>
        </w:rPr>
        <w:t>Please provide the outcomes for overall survival for the Cohort 1</w:t>
      </w:r>
      <w:r w:rsidR="00EA612F" w:rsidRPr="00E9279E">
        <w:rPr>
          <w:b/>
          <w:bCs/>
          <w:i/>
          <w:iCs/>
        </w:rPr>
        <w:t xml:space="preserve"> </w:t>
      </w:r>
      <w:r w:rsidRPr="00E9279E">
        <w:rPr>
          <w:b/>
          <w:bCs/>
          <w:i/>
          <w:iCs/>
        </w:rPr>
        <w:t>Ki</w:t>
      </w:r>
      <w:r w:rsidR="00383341" w:rsidRPr="00E9279E">
        <w:rPr>
          <w:b/>
          <w:bCs/>
          <w:i/>
          <w:iCs/>
        </w:rPr>
        <w:t>-</w:t>
      </w:r>
      <w:r w:rsidRPr="00E9279E">
        <w:rPr>
          <w:b/>
          <w:bCs/>
          <w:i/>
          <w:iCs/>
        </w:rPr>
        <w:t xml:space="preserve">67 low population based on data from the </w:t>
      </w:r>
      <w:r w:rsidR="00D008C9" w:rsidRPr="00E9279E">
        <w:rPr>
          <w:b/>
          <w:bCs/>
          <w:i/>
          <w:iCs/>
        </w:rPr>
        <w:t>Interim Analysis 1</w:t>
      </w:r>
      <w:r w:rsidRPr="00E9279E">
        <w:rPr>
          <w:b/>
          <w:bCs/>
          <w:i/>
          <w:iCs/>
        </w:rPr>
        <w:t xml:space="preserve"> </w:t>
      </w:r>
      <w:r w:rsidR="009B5BCF" w:rsidRPr="00E9279E">
        <w:rPr>
          <w:b/>
          <w:bCs/>
          <w:i/>
          <w:iCs/>
        </w:rPr>
        <w:t>overall survival</w:t>
      </w:r>
      <w:r w:rsidRPr="00E9279E">
        <w:rPr>
          <w:b/>
          <w:bCs/>
          <w:i/>
          <w:iCs/>
        </w:rPr>
        <w:t xml:space="preserve"> data cut.</w:t>
      </w:r>
      <w:r w:rsidR="00D32D22" w:rsidRPr="00E9279E">
        <w:rPr>
          <w:b/>
          <w:bCs/>
          <w:i/>
          <w:iCs/>
        </w:rPr>
        <w:t xml:space="preserve"> </w:t>
      </w:r>
      <w:r w:rsidRPr="00E9279E">
        <w:rPr>
          <w:b/>
          <w:bCs/>
          <w:i/>
          <w:iCs/>
        </w:rPr>
        <w:t>It is recognised that this will be a post-hoc exploratory analysis.</w:t>
      </w:r>
    </w:p>
    <w:p w14:paraId="4A9A5786" w14:textId="444609F9" w:rsidR="00CB25E5" w:rsidRPr="00E9279E" w:rsidRDefault="00CB25E5" w:rsidP="00CB25E5">
      <w:r w:rsidRPr="00E9279E">
        <w:t>The overall survival (OS) data for the Cohort 1 Ki-67 low population is included in the clinical study report</w:t>
      </w:r>
      <w:r w:rsidR="002F37A9" w:rsidRPr="00E9279E">
        <w:t>;</w:t>
      </w:r>
      <w:bookmarkStart w:id="87" w:name="_Ref114746226"/>
      <w:r w:rsidR="002F37A9" w:rsidRPr="00E9279E">
        <w:rPr>
          <w:rStyle w:val="FootnoteReference"/>
        </w:rPr>
        <w:footnoteReference w:id="33"/>
      </w:r>
      <w:bookmarkEnd w:id="87"/>
      <w:r w:rsidRPr="00E9279E">
        <w:t xml:space="preserve"> for OS </w:t>
      </w:r>
      <w:r w:rsidR="00D008C9" w:rsidRPr="00E9279E">
        <w:t>Interim Analysis 1</w:t>
      </w:r>
      <w:r w:rsidRPr="00E9279E">
        <w:t xml:space="preserve">. </w:t>
      </w:r>
      <w:r w:rsidR="00FE0470" w:rsidRPr="00E9279E">
        <w:fldChar w:fldCharType="begin"/>
      </w:r>
      <w:r w:rsidR="00FE0470" w:rsidRPr="00E9279E">
        <w:instrText xml:space="preserve"> REF _Ref113820909 \h </w:instrText>
      </w:r>
      <w:r w:rsidR="002F37A9" w:rsidRPr="00E9279E">
        <w:instrText xml:space="preserve"> \* MERGEFORMAT </w:instrText>
      </w:r>
      <w:r w:rsidR="00FE0470" w:rsidRPr="00E9279E">
        <w:fldChar w:fldCharType="separate"/>
      </w:r>
      <w:r w:rsidR="00E9279E" w:rsidRPr="00E9279E">
        <w:t xml:space="preserve">Table </w:t>
      </w:r>
      <w:r w:rsidR="00E9279E">
        <w:rPr>
          <w:noProof/>
        </w:rPr>
        <w:t>12</w:t>
      </w:r>
      <w:r w:rsidR="00FE0470" w:rsidRPr="00E9279E">
        <w:fldChar w:fldCharType="end"/>
      </w:r>
      <w:r w:rsidR="00FE0470" w:rsidRPr="00E9279E">
        <w:t xml:space="preserve"> below </w:t>
      </w:r>
      <w:r w:rsidRPr="00E9279E">
        <w:t>summari</w:t>
      </w:r>
      <w:r w:rsidR="00BC618B" w:rsidRPr="00E9279E">
        <w:t>s</w:t>
      </w:r>
      <w:r w:rsidRPr="00E9279E">
        <w:t xml:space="preserve">es the efficacy outcomes in invasive disease-free survival (IDFS), distant </w:t>
      </w:r>
      <w:r w:rsidR="006B4139" w:rsidRPr="00E9279E">
        <w:t>recurrence</w:t>
      </w:r>
      <w:r w:rsidRPr="00E9279E">
        <w:t>-free survival (DRFS), and OS across subpopulations as defined by Ki-67 index and cohort.</w:t>
      </w:r>
    </w:p>
    <w:p w14:paraId="77AAE5D5" w14:textId="679B9632" w:rsidR="00CB25E5" w:rsidRPr="00E9279E" w:rsidRDefault="00CB25E5" w:rsidP="007227F1">
      <w:r w:rsidRPr="00E9279E">
        <w:t xml:space="preserve">The OS data in all subpopulations remained immature at OS </w:t>
      </w:r>
      <w:r w:rsidR="00D008C9" w:rsidRPr="00E9279E">
        <w:t>Interim Analysis 1</w:t>
      </w:r>
      <w:r w:rsidRPr="00E9279E">
        <w:t>. In the Cohort 1 Ki-67 low population, 47 deaths were observed, with</w:t>
      </w:r>
      <w:r w:rsidR="007227F1" w:rsidRPr="00E9279E">
        <w:t xml:space="preserve"> </w:t>
      </w:r>
      <w:r w:rsidRPr="00E9279E">
        <w:t xml:space="preserve">27 deaths in the </w:t>
      </w:r>
      <w:proofErr w:type="spellStart"/>
      <w:r w:rsidRPr="00E9279E">
        <w:t>abemaciclib</w:t>
      </w:r>
      <w:proofErr w:type="spellEnd"/>
      <w:r w:rsidRPr="00E9279E">
        <w:t xml:space="preserve"> arm, and</w:t>
      </w:r>
      <w:r w:rsidR="007227F1" w:rsidRPr="00E9279E">
        <w:t xml:space="preserve"> </w:t>
      </w:r>
      <w:r w:rsidRPr="00E9279E">
        <w:t>20 deaths in endocrine therapy (</w:t>
      </w:r>
      <w:r w:rsidR="00C518AE" w:rsidRPr="00E9279E">
        <w:t>endocrine therapy</w:t>
      </w:r>
      <w:r w:rsidRPr="00E9279E">
        <w:t>) alone arm.</w:t>
      </w:r>
    </w:p>
    <w:p w14:paraId="00062831" w14:textId="2602B886" w:rsidR="00CB25E5" w:rsidRPr="00E9279E" w:rsidRDefault="00CB25E5" w:rsidP="00CB25E5">
      <w:r w:rsidRPr="00E9279E">
        <w:lastRenderedPageBreak/>
        <w:t>The OS hazard ratio estimate was associated with wide confidence (</w:t>
      </w:r>
      <w:r w:rsidR="00DB48CF" w:rsidRPr="00E9279E">
        <w:t>hazard ratio</w:t>
      </w:r>
      <w:r w:rsidRPr="00E9279E">
        <w:t xml:space="preserve"> </w:t>
      </w:r>
      <w:r w:rsidR="003B53F8" w:rsidRPr="00E9279E">
        <w:t>of</w:t>
      </w:r>
      <w:r w:rsidRPr="00E9279E">
        <w:t xml:space="preserve"> 1.402; 95% CI = 0.786, 2.500), thus limiting interpretation of survival effect in this subpopulation. Attributed cause of deaths (study disease versus </w:t>
      </w:r>
      <w:r w:rsidR="009A5ACC" w:rsidRPr="00E9279E">
        <w:t>AE</w:t>
      </w:r>
      <w:r w:rsidRPr="00E9279E">
        <w:t xml:space="preserve">s) in the subpopulations are summarised in </w:t>
      </w:r>
      <w:r w:rsidR="00200519" w:rsidRPr="00E9279E">
        <w:fldChar w:fldCharType="begin"/>
      </w:r>
      <w:r w:rsidR="00200519" w:rsidRPr="00E9279E">
        <w:instrText xml:space="preserve"> REF _Ref113820958 \h </w:instrText>
      </w:r>
      <w:r w:rsidR="002F37A9" w:rsidRPr="00E9279E">
        <w:instrText xml:space="preserve"> \* MERGEFORMAT </w:instrText>
      </w:r>
      <w:r w:rsidR="00200519" w:rsidRPr="00E9279E">
        <w:fldChar w:fldCharType="separate"/>
      </w:r>
      <w:r w:rsidR="00E9279E" w:rsidRPr="00E9279E">
        <w:t xml:space="preserve">Table </w:t>
      </w:r>
      <w:r w:rsidR="00E9279E">
        <w:rPr>
          <w:noProof/>
        </w:rPr>
        <w:t>13</w:t>
      </w:r>
      <w:r w:rsidR="00200519" w:rsidRPr="00E9279E">
        <w:fldChar w:fldCharType="end"/>
      </w:r>
      <w:r w:rsidR="007227F1" w:rsidRPr="00E9279E">
        <w:t xml:space="preserve"> below</w:t>
      </w:r>
      <w:r w:rsidRPr="00E9279E">
        <w:t>.</w:t>
      </w:r>
    </w:p>
    <w:p w14:paraId="53FC676C" w14:textId="71EE946E" w:rsidR="00CB25E5" w:rsidRPr="00E9279E" w:rsidRDefault="00CB25E5" w:rsidP="00CB25E5">
      <w:r w:rsidRPr="00E9279E">
        <w:t xml:space="preserve">Importantly, </w:t>
      </w:r>
      <w:r w:rsidR="00200519" w:rsidRPr="00E9279E">
        <w:fldChar w:fldCharType="begin"/>
      </w:r>
      <w:r w:rsidR="00200519" w:rsidRPr="00E9279E">
        <w:instrText xml:space="preserve"> REF _Ref113820909 \h </w:instrText>
      </w:r>
      <w:r w:rsidR="002F37A9" w:rsidRPr="00E9279E">
        <w:instrText xml:space="preserve"> \* MERGEFORMAT </w:instrText>
      </w:r>
      <w:r w:rsidR="00200519" w:rsidRPr="00E9279E">
        <w:fldChar w:fldCharType="separate"/>
      </w:r>
      <w:r w:rsidR="00E9279E" w:rsidRPr="00E9279E">
        <w:t xml:space="preserve">Table </w:t>
      </w:r>
      <w:r w:rsidR="00E9279E">
        <w:rPr>
          <w:noProof/>
        </w:rPr>
        <w:t>12</w:t>
      </w:r>
      <w:r w:rsidR="00200519" w:rsidRPr="00E9279E">
        <w:fldChar w:fldCharType="end"/>
      </w:r>
      <w:r w:rsidRPr="00E9279E">
        <w:t xml:space="preserve"> </w:t>
      </w:r>
      <w:r w:rsidR="007227F1" w:rsidRPr="00E9279E">
        <w:t xml:space="preserve">below </w:t>
      </w:r>
      <w:r w:rsidRPr="00E9279E">
        <w:t xml:space="preserve">demonstrates that the treatment benefit of </w:t>
      </w:r>
      <w:proofErr w:type="spellStart"/>
      <w:r w:rsidRPr="00E9279E">
        <w:t>abemaciclib</w:t>
      </w:r>
      <w:proofErr w:type="spellEnd"/>
      <w:r w:rsidRPr="00E9279E">
        <w:t xml:space="preserve"> plus </w:t>
      </w:r>
      <w:r w:rsidR="00C518AE" w:rsidRPr="00E9279E">
        <w:t>endocrine therapy</w:t>
      </w:r>
      <w:r w:rsidRPr="00E9279E">
        <w:t xml:space="preserve"> in IDFS and DRFS at OS </w:t>
      </w:r>
      <w:r w:rsidR="00D008C9" w:rsidRPr="00E9279E">
        <w:t>Interim Analysis 1</w:t>
      </w:r>
      <w:r w:rsidRPr="00E9279E">
        <w:t xml:space="preserve"> was consistent across subpopulations within Cohort 1 regardless of Ki-67 status. The estimated </w:t>
      </w:r>
      <w:r w:rsidR="00DB48CF" w:rsidRPr="00E9279E">
        <w:t>hazard ratio</w:t>
      </w:r>
      <w:r w:rsidRPr="00E9279E">
        <w:t>s for IDFS and DRFS were numerically similar across</w:t>
      </w:r>
      <w:r w:rsidR="0031603E" w:rsidRPr="00E9279E">
        <w:t>:</w:t>
      </w:r>
    </w:p>
    <w:p w14:paraId="15186FA8" w14:textId="2AF9B73A" w:rsidR="00CB25E5" w:rsidRPr="00E9279E" w:rsidRDefault="00CB25E5" w:rsidP="00CB25E5">
      <w:pPr>
        <w:pStyle w:val="ListBullet"/>
      </w:pPr>
      <w:r w:rsidRPr="00E9279E">
        <w:t>Cohort 1 Ki-67 high</w:t>
      </w:r>
      <w:r w:rsidR="007227F1" w:rsidRPr="00E9279E">
        <w:t>,</w:t>
      </w:r>
    </w:p>
    <w:p w14:paraId="65803634" w14:textId="3A66EA69" w:rsidR="00CB25E5" w:rsidRPr="00E9279E" w:rsidRDefault="00CB25E5" w:rsidP="00CB25E5">
      <w:pPr>
        <w:pStyle w:val="ListBullet"/>
      </w:pPr>
      <w:r w:rsidRPr="00E9279E">
        <w:t>Cohort 1 Ki-67 low, and</w:t>
      </w:r>
    </w:p>
    <w:p w14:paraId="02AC4F3F" w14:textId="1C1D68EC" w:rsidR="00CB25E5" w:rsidRPr="00E9279E" w:rsidRDefault="00CB25E5" w:rsidP="00CB25E5">
      <w:pPr>
        <w:pStyle w:val="ListBullet"/>
      </w:pPr>
      <w:r w:rsidRPr="00E9279E">
        <w:t>Cohort 1 Ki-67 missing populations.</w:t>
      </w:r>
    </w:p>
    <w:p w14:paraId="310EFD70" w14:textId="4F398E83" w:rsidR="00CB25E5" w:rsidRPr="00E9279E" w:rsidRDefault="00CB25E5" w:rsidP="00CB25E5">
      <w:r w:rsidRPr="00E9279E">
        <w:t>The results also illustrate the prognostic value of Ki-67 index in patients with high</w:t>
      </w:r>
      <w:r w:rsidR="007227F1" w:rsidRPr="00E9279E">
        <w:t xml:space="preserve"> </w:t>
      </w:r>
      <w:r w:rsidRPr="00E9279E">
        <w:t>risk clinicopathological features. Cohort 1 (</w:t>
      </w:r>
      <w:r w:rsidR="00C518AE" w:rsidRPr="00E9279E">
        <w:t>endocrine therapy</w:t>
      </w:r>
      <w:r w:rsidRPr="00E9279E">
        <w:t xml:space="preserve"> alone, Arm B) estimated 2</w:t>
      </w:r>
      <w:r w:rsidR="0098240E" w:rsidRPr="00E9279E">
        <w:noBreakHyphen/>
      </w:r>
      <w:r w:rsidRPr="00E9279E">
        <w:t>year IDFS and DRFS rates confirm that patients with high Ki</w:t>
      </w:r>
      <w:r w:rsidR="00383341" w:rsidRPr="00E9279E">
        <w:t>-</w:t>
      </w:r>
      <w:r w:rsidRPr="00E9279E">
        <w:t>67 index have a higher risk of recurrent disease compared to those with low Ki-67 index. (</w:t>
      </w:r>
      <w:r w:rsidR="00200519" w:rsidRPr="00E9279E">
        <w:fldChar w:fldCharType="begin"/>
      </w:r>
      <w:r w:rsidR="00200519" w:rsidRPr="00E9279E">
        <w:instrText xml:space="preserve"> REF _Ref113820909 \h </w:instrText>
      </w:r>
      <w:r w:rsidR="00B61344" w:rsidRPr="00E9279E">
        <w:instrText xml:space="preserve"> \* MERGEFORMAT </w:instrText>
      </w:r>
      <w:r w:rsidR="00200519" w:rsidRPr="00E9279E">
        <w:fldChar w:fldCharType="separate"/>
      </w:r>
      <w:r w:rsidR="00E9279E" w:rsidRPr="00E9279E">
        <w:t xml:space="preserve">Table </w:t>
      </w:r>
      <w:r w:rsidR="00E9279E">
        <w:rPr>
          <w:noProof/>
        </w:rPr>
        <w:t>12</w:t>
      </w:r>
      <w:r w:rsidR="00200519" w:rsidRPr="00E9279E">
        <w:fldChar w:fldCharType="end"/>
      </w:r>
      <w:r w:rsidRPr="00E9279E">
        <w:t>).</w:t>
      </w:r>
    </w:p>
    <w:p w14:paraId="3ADDD42A" w14:textId="79116BF4" w:rsidR="00CB25E5" w:rsidRPr="00E9279E" w:rsidRDefault="00CB25E5" w:rsidP="00CB25E5">
      <w:r w:rsidRPr="00E9279E">
        <w:t xml:space="preserve">In summary, Ki-67 index is prognostic for disease recurrence in </w:t>
      </w:r>
      <w:r w:rsidR="00476DB2" w:rsidRPr="00E9279E">
        <w:t xml:space="preserve">the </w:t>
      </w:r>
      <w:r w:rsidR="002F1A84" w:rsidRPr="00E9279E">
        <w:t>MONARCHE</w:t>
      </w:r>
      <w:r w:rsidRPr="00E9279E">
        <w:t xml:space="preserve"> </w:t>
      </w:r>
      <w:r w:rsidR="00476DB2" w:rsidRPr="00E9279E">
        <w:t xml:space="preserve">trial </w:t>
      </w:r>
      <w:r w:rsidRPr="00E9279E">
        <w:t xml:space="preserve">Cohort 1 population, but it is not predictive of treatment benefit of </w:t>
      </w:r>
      <w:proofErr w:type="spellStart"/>
      <w:r w:rsidRPr="00E9279E">
        <w:t>abemaciclib</w:t>
      </w:r>
      <w:proofErr w:type="spellEnd"/>
      <w:r w:rsidRPr="00E9279E">
        <w:t xml:space="preserve">. Given Cohort 1 patients with a high Ki-67 index represent the subgroup with the absolute highest risk of recurrence, the OS data is most mature in this subgroup and is already trending in a positive direction (OS </w:t>
      </w:r>
      <w:r w:rsidR="00DB48CF" w:rsidRPr="00E9279E">
        <w:t>hazard ratio</w:t>
      </w:r>
      <w:r w:rsidRPr="00E9279E">
        <w:t>: 0.767; 95% CI: 0.511, 1.152),</w:t>
      </w:r>
      <w:r w:rsidR="007227F1" w:rsidRPr="00E9279E">
        <w:t xml:space="preserve"> </w:t>
      </w:r>
      <w:r w:rsidRPr="00E9279E">
        <w:t xml:space="preserve">and is expected to precede in the entire patient population with </w:t>
      </w:r>
      <w:r w:rsidR="0098240E" w:rsidRPr="00E9279E">
        <w:t>high-risk</w:t>
      </w:r>
      <w:r w:rsidRPr="00E9279E">
        <w:t xml:space="preserve"> </w:t>
      </w:r>
      <w:r w:rsidR="00C518AE" w:rsidRPr="00E9279E">
        <w:t>early breast cancer</w:t>
      </w:r>
      <w:r w:rsidRPr="00E9279E">
        <w:t>.</w:t>
      </w:r>
    </w:p>
    <w:p w14:paraId="62FAD12D" w14:textId="10B26940" w:rsidR="00CB25E5" w:rsidRPr="00E9279E" w:rsidRDefault="00200519" w:rsidP="00B63518">
      <w:pPr>
        <w:pStyle w:val="TableTitle"/>
      </w:pPr>
      <w:bookmarkStart w:id="88" w:name="_Ref113820909"/>
      <w:r w:rsidRPr="00E9279E">
        <w:t xml:space="preserve">Table </w:t>
      </w:r>
      <w:r w:rsidR="000C44E7">
        <w:fldChar w:fldCharType="begin"/>
      </w:r>
      <w:r w:rsidR="000C44E7">
        <w:instrText xml:space="preserve"> SEQ Table \* ARABIC </w:instrText>
      </w:r>
      <w:r w:rsidR="000C44E7">
        <w:fldChar w:fldCharType="separate"/>
      </w:r>
      <w:r w:rsidR="00E9279E">
        <w:rPr>
          <w:noProof/>
        </w:rPr>
        <w:t>12</w:t>
      </w:r>
      <w:r w:rsidR="000C44E7">
        <w:rPr>
          <w:noProof/>
        </w:rPr>
        <w:fldChar w:fldCharType="end"/>
      </w:r>
      <w:bookmarkEnd w:id="88"/>
      <w:r w:rsidRPr="00E9279E">
        <w:t>:</w:t>
      </w:r>
      <w:r w:rsidR="0086249E" w:rsidRPr="00E9279E">
        <w:t xml:space="preserve"> Study I3Y-MC-JPCF</w:t>
      </w:r>
      <w:r w:rsidR="00CB25E5" w:rsidRPr="00E9279E">
        <w:t xml:space="preserve"> </w:t>
      </w:r>
      <w:r w:rsidR="00383341" w:rsidRPr="00E9279E">
        <w:t>(</w:t>
      </w:r>
      <w:r w:rsidR="00FD3077" w:rsidRPr="00E9279E">
        <w:t xml:space="preserve">MONARCHE </w:t>
      </w:r>
      <w:r w:rsidR="00383341" w:rsidRPr="00E9279E">
        <w:t xml:space="preserve">trial) </w:t>
      </w:r>
      <w:r w:rsidR="00CB25E5" w:rsidRPr="00E9279E">
        <w:t xml:space="preserve">Interaction of Ki-67 </w:t>
      </w:r>
      <w:r w:rsidR="007227F1" w:rsidRPr="00E9279E">
        <w:t xml:space="preserve">index with invasive disease-free survival, distant </w:t>
      </w:r>
      <w:r w:rsidR="006B4139" w:rsidRPr="00E9279E">
        <w:t>recurrence</w:t>
      </w:r>
      <w:r w:rsidR="007227F1" w:rsidRPr="00E9279E">
        <w:t xml:space="preserve">-free survival, and overall survival (intent-to-treat population overall </w:t>
      </w:r>
      <w:r w:rsidR="009B5BCF" w:rsidRPr="00E9279E">
        <w:t>survival</w:t>
      </w:r>
      <w:r w:rsidR="00CB25E5" w:rsidRPr="00E9279E">
        <w:t xml:space="preserve"> Interim Analysis 1</w:t>
      </w:r>
      <w:r w:rsidR="007227F1" w:rsidRPr="00E9279E">
        <w:t>)</w:t>
      </w:r>
    </w:p>
    <w:p w14:paraId="3537541B" w14:textId="0EDD7B18" w:rsidR="00CB25E5" w:rsidRPr="00E9279E" w:rsidRDefault="00CB25E5" w:rsidP="00B63518">
      <w:r w:rsidRPr="00E9279E">
        <w:rPr>
          <w:noProof/>
          <w:lang w:val="en-GB" w:eastAsia="en-GB"/>
        </w:rPr>
        <w:drawing>
          <wp:inline distT="0" distB="0" distL="0" distR="0" wp14:anchorId="55EC3626" wp14:editId="0413E86F">
            <wp:extent cx="5257800" cy="2754086"/>
            <wp:effectExtent l="0" t="0" r="0" b="8255"/>
            <wp:docPr id="1" name="Picture 1" descr="Table 12: Study I3Y-MC-JPCF (MONARCHE trial) Interaction of Ki-67 index with invasive disease free survival, distant recurrence free survival, and overall survival (intent to treat population overall survival Interim Analysi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12: Study I3Y-MC-JPCF (MONARCHE trial) Interaction of Ki-67 index with invasive disease free survival, distant recurrence free survival, and overall survival (intent to treat population overall survival Interim Analysis 1) "/>
                    <pic:cNvPicPr/>
                  </pic:nvPicPr>
                  <pic:blipFill>
                    <a:blip r:embed="rId30"/>
                    <a:stretch>
                      <a:fillRect/>
                    </a:stretch>
                  </pic:blipFill>
                  <pic:spPr>
                    <a:xfrm>
                      <a:off x="0" y="0"/>
                      <a:ext cx="5264240" cy="2757459"/>
                    </a:xfrm>
                    <a:prstGeom prst="rect">
                      <a:avLst/>
                    </a:prstGeom>
                  </pic:spPr>
                </pic:pic>
              </a:graphicData>
            </a:graphic>
          </wp:inline>
        </w:drawing>
      </w:r>
    </w:p>
    <w:p w14:paraId="23CE2DBD" w14:textId="6E6B681D" w:rsidR="00CB25E5" w:rsidRPr="00E9279E" w:rsidRDefault="00CB25E5" w:rsidP="00B63518">
      <w:pPr>
        <w:pStyle w:val="TableDescription"/>
      </w:pPr>
      <w:r w:rsidRPr="00E9279E">
        <w:t>Abbreviations: C1 = Cohort 1; C2 = Cohort 2; CI = confidence interval;</w:t>
      </w:r>
      <w:r w:rsidR="006B4139" w:rsidRPr="00E9279E">
        <w:t xml:space="preserve"> </w:t>
      </w:r>
      <w:r w:rsidRPr="00E9279E">
        <w:t xml:space="preserve">DRFS = distant </w:t>
      </w:r>
      <w:r w:rsidR="006B4139" w:rsidRPr="00E9279E">
        <w:t>recurrence</w:t>
      </w:r>
      <w:r w:rsidRPr="00E9279E">
        <w:t>-free survival; ET = endocrine therapy; HR = hazard ratio; IDFS = invasive disease-free survival; N = number of patients in subpopulation; n = number of survival events in category; OS = overall survival.</w:t>
      </w:r>
    </w:p>
    <w:p w14:paraId="37BD6222" w14:textId="77777777" w:rsidR="00CB25E5" w:rsidRPr="00E9279E" w:rsidRDefault="00CB25E5" w:rsidP="00B63518">
      <w:pPr>
        <w:pStyle w:val="TableDescription"/>
      </w:pPr>
      <w:proofErr w:type="gramStart"/>
      <w:r w:rsidRPr="00E9279E">
        <w:t>a</w:t>
      </w:r>
      <w:proofErr w:type="gramEnd"/>
      <w:r w:rsidRPr="00E9279E">
        <w:t xml:space="preserve"> OS data are immature for Cohort 2.</w:t>
      </w:r>
    </w:p>
    <w:p w14:paraId="61C808C1" w14:textId="759302A1" w:rsidR="00CB25E5" w:rsidRPr="00E9279E" w:rsidRDefault="00CB25E5" w:rsidP="00B63518">
      <w:pPr>
        <w:pStyle w:val="TableDescription"/>
      </w:pPr>
      <w:r w:rsidRPr="00E9279E">
        <w:t>Data cut</w:t>
      </w:r>
      <w:r w:rsidR="0086249E" w:rsidRPr="00E9279E">
        <w:t>-</w:t>
      </w:r>
      <w:r w:rsidRPr="00E9279E">
        <w:t>off</w:t>
      </w:r>
      <w:r w:rsidR="00BC618B" w:rsidRPr="00E9279E">
        <w:t xml:space="preserve"> date</w:t>
      </w:r>
      <w:r w:rsidRPr="00E9279E">
        <w:t>: 1 April 2021.</w:t>
      </w:r>
    </w:p>
    <w:p w14:paraId="47114A35" w14:textId="1D8EC0FE" w:rsidR="00C314D3" w:rsidRPr="00E9279E" w:rsidRDefault="00200519" w:rsidP="00B63518">
      <w:pPr>
        <w:pStyle w:val="TableTitle"/>
      </w:pPr>
      <w:bookmarkStart w:id="89" w:name="_Ref113820958"/>
      <w:r w:rsidRPr="00E9279E">
        <w:lastRenderedPageBreak/>
        <w:t xml:space="preserve">Table </w:t>
      </w:r>
      <w:r w:rsidR="000C44E7">
        <w:fldChar w:fldCharType="begin"/>
      </w:r>
      <w:r w:rsidR="000C44E7">
        <w:instrText xml:space="preserve"> SEQ Table \* ARABIC </w:instrText>
      </w:r>
      <w:r w:rsidR="000C44E7">
        <w:fldChar w:fldCharType="separate"/>
      </w:r>
      <w:r w:rsidR="00E9279E">
        <w:rPr>
          <w:noProof/>
        </w:rPr>
        <w:t>13</w:t>
      </w:r>
      <w:r w:rsidR="000C44E7">
        <w:rPr>
          <w:noProof/>
        </w:rPr>
        <w:fldChar w:fldCharType="end"/>
      </w:r>
      <w:bookmarkEnd w:id="89"/>
      <w:r w:rsidR="00C314D3" w:rsidRPr="00E9279E">
        <w:t xml:space="preserve">: </w:t>
      </w:r>
      <w:r w:rsidR="0086249E" w:rsidRPr="00E9279E">
        <w:t xml:space="preserve">Study I3Y-MC-JPCF </w:t>
      </w:r>
      <w:r w:rsidR="006E4EA1" w:rsidRPr="00E9279E">
        <w:t>(</w:t>
      </w:r>
      <w:r w:rsidR="00FD3077" w:rsidRPr="00E9279E">
        <w:t xml:space="preserve">MONARCHE </w:t>
      </w:r>
      <w:r w:rsidR="006E4EA1" w:rsidRPr="00E9279E">
        <w:t xml:space="preserve">trial) </w:t>
      </w:r>
      <w:r w:rsidR="00C314D3" w:rsidRPr="00E9279E">
        <w:t xml:space="preserve">Deaths </w:t>
      </w:r>
      <w:r w:rsidR="007227F1" w:rsidRPr="00E9279E">
        <w:t>and reasons of deaths by subpopulation (intent</w:t>
      </w:r>
      <w:r w:rsidR="006D136D" w:rsidRPr="00E9279E">
        <w:t>-</w:t>
      </w:r>
      <w:r w:rsidR="007227F1" w:rsidRPr="00E9279E">
        <w:t>to</w:t>
      </w:r>
      <w:r w:rsidR="006D136D" w:rsidRPr="00E9279E">
        <w:t>-</w:t>
      </w:r>
      <w:r w:rsidR="007227F1" w:rsidRPr="00E9279E">
        <w:t>treat population overall survival</w:t>
      </w:r>
      <w:r w:rsidR="00C314D3" w:rsidRPr="00E9279E">
        <w:t xml:space="preserve"> Interim Analysis 1</w:t>
      </w:r>
      <w:r w:rsidR="007227F1" w:rsidRPr="00E9279E">
        <w:t>)</w:t>
      </w:r>
    </w:p>
    <w:p w14:paraId="44AA3D7F" w14:textId="7A09047B" w:rsidR="00C314D3" w:rsidRPr="00E9279E" w:rsidRDefault="00C314D3" w:rsidP="00B63518">
      <w:r w:rsidRPr="00E9279E">
        <w:rPr>
          <w:noProof/>
          <w:lang w:val="en-GB" w:eastAsia="en-GB"/>
        </w:rPr>
        <w:drawing>
          <wp:inline distT="0" distB="0" distL="0" distR="0" wp14:anchorId="192360C0" wp14:editId="0A2F382C">
            <wp:extent cx="5160818" cy="3768595"/>
            <wp:effectExtent l="0" t="0" r="1905" b="3810"/>
            <wp:docPr id="2" name="Picture 2" descr="Table 13: Study I3Y-MC-JPCF (MONARCHE trial) Deaths and reasons of deaths by subpopulation (intent to treat population overall survival Interim Analys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13: Study I3Y-MC-JPCF (MONARCHE trial) Deaths and reasons of deaths by subpopulation (intent to treat population overall survival Interim Analysis 1)"/>
                    <pic:cNvPicPr/>
                  </pic:nvPicPr>
                  <pic:blipFill>
                    <a:blip r:embed="rId31"/>
                    <a:stretch>
                      <a:fillRect/>
                    </a:stretch>
                  </pic:blipFill>
                  <pic:spPr>
                    <a:xfrm>
                      <a:off x="0" y="0"/>
                      <a:ext cx="5170572" cy="3775718"/>
                    </a:xfrm>
                    <a:prstGeom prst="rect">
                      <a:avLst/>
                    </a:prstGeom>
                  </pic:spPr>
                </pic:pic>
              </a:graphicData>
            </a:graphic>
          </wp:inline>
        </w:drawing>
      </w:r>
    </w:p>
    <w:p w14:paraId="3AA5C779" w14:textId="6461E3C0" w:rsidR="00C314D3" w:rsidRPr="00E9279E" w:rsidRDefault="00C314D3" w:rsidP="00B63518">
      <w:pPr>
        <w:pStyle w:val="TableDescription"/>
      </w:pPr>
      <w:r w:rsidRPr="00E9279E">
        <w:t>Abbreviations: C1 = Cohort 1</w:t>
      </w:r>
      <w:r w:rsidR="00BD08E7" w:rsidRPr="00E9279E">
        <w:t>;</w:t>
      </w:r>
      <w:r w:rsidRPr="00E9279E">
        <w:t xml:space="preserve"> ET = endocrine therapy; N = number of patients in the </w:t>
      </w:r>
      <w:r w:rsidR="00BD08E7" w:rsidRPr="00E9279E">
        <w:t xml:space="preserve">intent-to-treat </w:t>
      </w:r>
      <w:r w:rsidRPr="00E9279E">
        <w:t>population; n = number of-patients in the specific population; OS = overall survival.</w:t>
      </w:r>
    </w:p>
    <w:p w14:paraId="04E24DEB" w14:textId="77777777" w:rsidR="00C314D3" w:rsidRPr="00E9279E" w:rsidRDefault="00C314D3" w:rsidP="00B63518">
      <w:pPr>
        <w:pStyle w:val="TableDescription"/>
      </w:pPr>
      <w:r w:rsidRPr="00E9279E">
        <w:t>a Deaths after randomisation and prior to treatment were due to study disease.</w:t>
      </w:r>
    </w:p>
    <w:p w14:paraId="46FDDFD0" w14:textId="2971484C" w:rsidR="00C314D3" w:rsidRPr="00E9279E" w:rsidRDefault="00C314D3" w:rsidP="00B63518">
      <w:pPr>
        <w:pStyle w:val="TableDescription"/>
      </w:pPr>
      <w:r w:rsidRPr="00E9279E">
        <w:t>Data cut</w:t>
      </w:r>
      <w:r w:rsidR="0086249E" w:rsidRPr="00E9279E">
        <w:t>-</w:t>
      </w:r>
      <w:r w:rsidRPr="00E9279E">
        <w:t>off</w:t>
      </w:r>
      <w:r w:rsidR="00BC618B" w:rsidRPr="00E9279E">
        <w:t xml:space="preserve"> date</w:t>
      </w:r>
      <w:r w:rsidRPr="00E9279E">
        <w:t>: 1 April 2021.</w:t>
      </w:r>
    </w:p>
    <w:p w14:paraId="58F1A875" w14:textId="77777777" w:rsidR="0074163C" w:rsidRPr="00E9279E" w:rsidRDefault="0074163C" w:rsidP="0074163C">
      <w:pPr>
        <w:pStyle w:val="Heading4"/>
      </w:pPr>
      <w:bookmarkStart w:id="90" w:name="_Toc98931936"/>
      <w:bookmarkStart w:id="91" w:name="_Toc247691532"/>
      <w:bookmarkStart w:id="92" w:name="_Toc314842516"/>
      <w:bookmarkEnd w:id="44"/>
      <w:bookmarkEnd w:id="79"/>
      <w:bookmarkEnd w:id="80"/>
      <w:r w:rsidRPr="00E9279E">
        <w:t>Advisory Committee considerations</w:t>
      </w:r>
      <w:bookmarkEnd w:id="90"/>
    </w:p>
    <w:p w14:paraId="49D86DDE" w14:textId="0D5BD2D6" w:rsidR="0074163C" w:rsidRPr="00E9279E" w:rsidRDefault="0074163C" w:rsidP="0074163C">
      <w:pPr>
        <w:rPr>
          <w:bCs/>
        </w:rPr>
      </w:pPr>
      <w:r w:rsidRPr="00E9279E">
        <w:rPr>
          <w:bCs/>
        </w:rPr>
        <w:t xml:space="preserve">The </w:t>
      </w:r>
      <w:hyperlink r:id="rId32" w:history="1">
        <w:r w:rsidRPr="00E9279E">
          <w:rPr>
            <w:rStyle w:val="Hyperlink"/>
            <w:szCs w:val="21"/>
          </w:rPr>
          <w:t>Advisory Committee on Medicines (ACM)</w:t>
        </w:r>
      </w:hyperlink>
      <w:r w:rsidRPr="00E9279E">
        <w:rPr>
          <w:szCs w:val="21"/>
        </w:rPr>
        <w:t>,</w:t>
      </w:r>
      <w:r w:rsidRPr="00E9279E">
        <w:rPr>
          <w:bCs/>
        </w:rPr>
        <w:t xml:space="preserve"> having considered the evaluations and the Delegate’s overview, as well as the sponsor’s response to these documents, advised the following.</w:t>
      </w:r>
    </w:p>
    <w:p w14:paraId="0EFBB492" w14:textId="65408ED3" w:rsidR="0074163C" w:rsidRPr="00E9279E" w:rsidRDefault="0074163C" w:rsidP="0074163C">
      <w:pPr>
        <w:pStyle w:val="Heading5"/>
      </w:pPr>
      <w:r w:rsidRPr="00E9279E">
        <w:t>Specific advice to the Delegate</w:t>
      </w:r>
    </w:p>
    <w:p w14:paraId="5CF363EA" w14:textId="3FA124E5" w:rsidR="00765EE2" w:rsidRPr="00E9279E" w:rsidRDefault="00765EE2" w:rsidP="005A2C95">
      <w:pPr>
        <w:pStyle w:val="Numberbullet0"/>
        <w:numPr>
          <w:ilvl w:val="0"/>
          <w:numId w:val="5"/>
        </w:numPr>
        <w:rPr>
          <w:b/>
          <w:bCs/>
          <w:i/>
          <w:iCs/>
          <w:lang w:eastAsia="en-AU"/>
        </w:rPr>
      </w:pPr>
      <w:r w:rsidRPr="00E9279E">
        <w:rPr>
          <w:b/>
          <w:bCs/>
          <w:i/>
          <w:iCs/>
          <w:lang w:eastAsia="en-AU"/>
        </w:rPr>
        <w:t xml:space="preserve">In the </w:t>
      </w:r>
      <w:r w:rsidR="0098240E" w:rsidRPr="00E9279E">
        <w:rPr>
          <w:b/>
          <w:bCs/>
          <w:i/>
          <w:iCs/>
          <w:lang w:eastAsia="en-AU"/>
        </w:rPr>
        <w:t>high-risk</w:t>
      </w:r>
      <w:r w:rsidRPr="00E9279E">
        <w:rPr>
          <w:b/>
          <w:bCs/>
          <w:i/>
          <w:iCs/>
          <w:lang w:eastAsia="en-AU"/>
        </w:rPr>
        <w:t xml:space="preserve"> early breast cancer setting is a 2.5%</w:t>
      </w:r>
      <w:r w:rsidR="007227F1" w:rsidRPr="00E9279E">
        <w:rPr>
          <w:b/>
          <w:bCs/>
          <w:i/>
          <w:iCs/>
          <w:lang w:eastAsia="en-AU"/>
        </w:rPr>
        <w:t xml:space="preserve"> to</w:t>
      </w:r>
      <w:r w:rsidRPr="00E9279E">
        <w:rPr>
          <w:b/>
          <w:bCs/>
          <w:i/>
          <w:iCs/>
          <w:lang w:eastAsia="en-AU"/>
        </w:rPr>
        <w:t xml:space="preserve"> 3.5% improvement in the </w:t>
      </w:r>
      <w:r w:rsidR="009B5BCF" w:rsidRPr="00E9279E">
        <w:rPr>
          <w:b/>
          <w:bCs/>
          <w:i/>
          <w:iCs/>
          <w:lang w:eastAsia="en-AU"/>
        </w:rPr>
        <w:t>invasive disease-free survival</w:t>
      </w:r>
      <w:r w:rsidRPr="00E9279E">
        <w:rPr>
          <w:b/>
          <w:bCs/>
          <w:i/>
          <w:iCs/>
          <w:lang w:eastAsia="en-AU"/>
        </w:rPr>
        <w:t xml:space="preserve"> rates at 2 years over endocrine therapy alone clinically meaningful?</w:t>
      </w:r>
    </w:p>
    <w:p w14:paraId="004CFB07" w14:textId="1E76BF29" w:rsidR="00765EE2" w:rsidRPr="00E9279E" w:rsidRDefault="00765EE2" w:rsidP="00765EE2">
      <w:pPr>
        <w:rPr>
          <w:lang w:eastAsia="en-AU"/>
        </w:rPr>
      </w:pPr>
      <w:r w:rsidRPr="00E9279E">
        <w:rPr>
          <w:lang w:eastAsia="en-AU"/>
        </w:rPr>
        <w:t xml:space="preserve">The ACM commented that the hazard ratio for </w:t>
      </w:r>
      <w:r w:rsidR="00AD7BAF" w:rsidRPr="00E9279E">
        <w:rPr>
          <w:lang w:eastAsia="en-AU"/>
        </w:rPr>
        <w:t>invasive disease-free survival (I</w:t>
      </w:r>
      <w:r w:rsidRPr="00E9279E">
        <w:rPr>
          <w:lang w:eastAsia="en-AU"/>
        </w:rPr>
        <w:t>DFS</w:t>
      </w:r>
      <w:r w:rsidR="00AD7BAF" w:rsidRPr="00E9279E">
        <w:rPr>
          <w:lang w:eastAsia="en-AU"/>
        </w:rPr>
        <w:t>)</w:t>
      </w:r>
      <w:r w:rsidRPr="00E9279E">
        <w:rPr>
          <w:lang w:eastAsia="en-AU"/>
        </w:rPr>
        <w:t xml:space="preserve"> was consistently about 30% across the three analyses in </w:t>
      </w:r>
      <w:r w:rsidR="006E4EA1" w:rsidRPr="00E9279E">
        <w:t>Study I3Y-MC-JPCF</w:t>
      </w:r>
      <w:r w:rsidR="006E4EA1" w:rsidRPr="00E9279E">
        <w:rPr>
          <w:lang w:eastAsia="en-AU"/>
        </w:rPr>
        <w:t xml:space="preserve"> (</w:t>
      </w:r>
      <w:r w:rsidRPr="00E9279E">
        <w:rPr>
          <w:lang w:eastAsia="en-AU"/>
        </w:rPr>
        <w:t xml:space="preserve">the </w:t>
      </w:r>
      <w:r w:rsidR="002F1A84" w:rsidRPr="00E9279E">
        <w:rPr>
          <w:lang w:eastAsia="en-AU"/>
        </w:rPr>
        <w:t>MONARCHE</w:t>
      </w:r>
      <w:r w:rsidRPr="00E9279E">
        <w:rPr>
          <w:lang w:eastAsia="en-AU"/>
        </w:rPr>
        <w:t xml:space="preserve"> trial</w:t>
      </w:r>
      <w:r w:rsidR="006E4EA1" w:rsidRPr="00E9279E">
        <w:rPr>
          <w:lang w:eastAsia="en-AU"/>
        </w:rPr>
        <w:t>)</w:t>
      </w:r>
      <w:r w:rsidRPr="00E9279E">
        <w:rPr>
          <w:lang w:eastAsia="en-AU"/>
        </w:rPr>
        <w:t xml:space="preserve">, with an absolute benefit for </w:t>
      </w:r>
      <w:r w:rsidR="00AD7BAF" w:rsidRPr="00E9279E">
        <w:rPr>
          <w:lang w:eastAsia="en-AU"/>
        </w:rPr>
        <w:t xml:space="preserve">IDFS </w:t>
      </w:r>
      <w:r w:rsidRPr="00E9279E">
        <w:rPr>
          <w:lang w:eastAsia="en-AU"/>
        </w:rPr>
        <w:t xml:space="preserve">of 3.5% at </w:t>
      </w:r>
      <w:r w:rsidR="00D008C9" w:rsidRPr="00E9279E">
        <w:t>Interim Analysis 2</w:t>
      </w:r>
      <w:r w:rsidRPr="00E9279E">
        <w:rPr>
          <w:lang w:eastAsia="en-AU"/>
        </w:rPr>
        <w:t>, 3.0% at final primary outcome analysis 3.0% and 2.7% at April</w:t>
      </w:r>
      <w:r w:rsidR="007227F1" w:rsidRPr="00E9279E">
        <w:rPr>
          <w:lang w:eastAsia="en-AU"/>
        </w:rPr>
        <w:t> </w:t>
      </w:r>
      <w:r w:rsidRPr="00E9279E">
        <w:rPr>
          <w:lang w:eastAsia="en-AU"/>
        </w:rPr>
        <w:t xml:space="preserve">2021. The ACM was of the view that this is a clinically meaningful result in the adjuvant setting where the goal is cure (number needed to treat </w:t>
      </w:r>
      <w:r w:rsidR="007227F1" w:rsidRPr="00E9279E">
        <w:rPr>
          <w:lang w:eastAsia="en-AU"/>
        </w:rPr>
        <w:t>-</w:t>
      </w:r>
      <w:r w:rsidRPr="00E9279E">
        <w:rPr>
          <w:lang w:eastAsia="en-AU"/>
        </w:rPr>
        <w:t xml:space="preserve"> 40).</w:t>
      </w:r>
    </w:p>
    <w:p w14:paraId="2446E80D" w14:textId="77777777" w:rsidR="00765EE2" w:rsidRPr="00E9279E" w:rsidRDefault="00765EE2" w:rsidP="00765EE2">
      <w:pPr>
        <w:rPr>
          <w:lang w:eastAsia="en-AU"/>
        </w:rPr>
      </w:pPr>
      <w:r w:rsidRPr="00E9279E">
        <w:rPr>
          <w:lang w:eastAsia="en-AU"/>
        </w:rPr>
        <w:t>The ACM noted that while current data indicates clinical meaningfulness, this must be balanced against the drugs toxicity profile over endocrine therapy alone.</w:t>
      </w:r>
    </w:p>
    <w:p w14:paraId="4F411084" w14:textId="73E3CF38" w:rsidR="00765EE2" w:rsidRPr="00E9279E" w:rsidRDefault="00765EE2" w:rsidP="00765EE2">
      <w:pPr>
        <w:rPr>
          <w:lang w:eastAsia="en-AU"/>
        </w:rPr>
      </w:pPr>
      <w:r w:rsidRPr="00E9279E">
        <w:rPr>
          <w:lang w:eastAsia="en-AU"/>
        </w:rPr>
        <w:t xml:space="preserve">By way of comparison, the ACM noted the BIG 1-98 trial comparing 5 years of letrozole to tamoxifen in early breast cancer showed a 3% benefit in 5-year </w:t>
      </w:r>
      <w:r w:rsidR="007D07F9" w:rsidRPr="00E9279E">
        <w:rPr>
          <w:lang w:eastAsia="en-AU"/>
        </w:rPr>
        <w:t xml:space="preserve">disease-free survival </w:t>
      </w:r>
      <w:r w:rsidR="007D07F9" w:rsidRPr="00E9279E">
        <w:rPr>
          <w:lang w:eastAsia="en-AU"/>
        </w:rPr>
        <w:lastRenderedPageBreak/>
        <w:t>(DFS)</w:t>
      </w:r>
      <w:r w:rsidRPr="00E9279E">
        <w:rPr>
          <w:lang w:eastAsia="en-AU"/>
        </w:rPr>
        <w:t>, (</w:t>
      </w:r>
      <w:r w:rsidR="00DB48CF" w:rsidRPr="00E9279E">
        <w:rPr>
          <w:lang w:eastAsia="en-AU"/>
        </w:rPr>
        <w:t xml:space="preserve">hazard ratio </w:t>
      </w:r>
      <w:r w:rsidR="003B53F8" w:rsidRPr="00E9279E">
        <w:rPr>
          <w:lang w:eastAsia="en-AU"/>
        </w:rPr>
        <w:t>of</w:t>
      </w:r>
      <w:r w:rsidRPr="00E9279E">
        <w:rPr>
          <w:lang w:eastAsia="en-AU"/>
        </w:rPr>
        <w:t xml:space="preserve"> 0.81) after a median follow-up of 26 months.</w:t>
      </w:r>
      <w:r w:rsidRPr="00E9279E">
        <w:rPr>
          <w:rStyle w:val="FootnoteReference"/>
          <w:lang w:eastAsia="en-AU"/>
        </w:rPr>
        <w:footnoteReference w:id="34"/>
      </w:r>
      <w:r w:rsidRPr="00E9279E">
        <w:rPr>
          <w:lang w:eastAsia="en-AU"/>
        </w:rPr>
        <w:t xml:space="preserve"> At the 8 year follow up there was a 4.4% benefit in 5</w:t>
      </w:r>
      <w:r w:rsidRPr="00E9279E">
        <w:rPr>
          <w:lang w:eastAsia="en-AU"/>
        </w:rPr>
        <w:noBreakHyphen/>
        <w:t xml:space="preserve">year DFS, </w:t>
      </w:r>
      <w:r w:rsidR="00DB48CF" w:rsidRPr="00E9279E">
        <w:rPr>
          <w:lang w:eastAsia="en-AU"/>
        </w:rPr>
        <w:t>hazard ratio</w:t>
      </w:r>
      <w:r w:rsidRPr="00E9279E">
        <w:rPr>
          <w:lang w:eastAsia="en-AU"/>
        </w:rPr>
        <w:t xml:space="preserve"> </w:t>
      </w:r>
      <w:r w:rsidR="003B53F8" w:rsidRPr="00E9279E">
        <w:rPr>
          <w:lang w:eastAsia="en-AU"/>
        </w:rPr>
        <w:t xml:space="preserve">of </w:t>
      </w:r>
      <w:r w:rsidRPr="00E9279E">
        <w:rPr>
          <w:lang w:eastAsia="en-AU"/>
        </w:rPr>
        <w:t>0.82.</w:t>
      </w:r>
      <w:r w:rsidRPr="00E9279E">
        <w:rPr>
          <w:rStyle w:val="FootnoteReference"/>
          <w:lang w:eastAsia="en-AU"/>
        </w:rPr>
        <w:footnoteReference w:id="35"/>
      </w:r>
    </w:p>
    <w:p w14:paraId="0E237F5C" w14:textId="071378D1" w:rsidR="00765EE2" w:rsidRPr="00E9279E" w:rsidRDefault="00765EE2" w:rsidP="005A2C95">
      <w:pPr>
        <w:pStyle w:val="Numberbullet0"/>
        <w:numPr>
          <w:ilvl w:val="0"/>
          <w:numId w:val="2"/>
        </w:numPr>
        <w:rPr>
          <w:b/>
          <w:bCs/>
          <w:i/>
          <w:iCs/>
          <w:lang w:eastAsia="en-AU"/>
        </w:rPr>
      </w:pPr>
      <w:r w:rsidRPr="00E9279E">
        <w:rPr>
          <w:b/>
          <w:bCs/>
          <w:i/>
          <w:iCs/>
          <w:lang w:eastAsia="en-AU"/>
        </w:rPr>
        <w:t xml:space="preserve">Is there any concern about the </w:t>
      </w:r>
      <w:r w:rsidR="00E93113" w:rsidRPr="00E9279E">
        <w:rPr>
          <w:b/>
          <w:bCs/>
          <w:i/>
          <w:iCs/>
          <w:lang w:eastAsia="en-AU"/>
        </w:rPr>
        <w:t>invasive disease-free survival</w:t>
      </w:r>
      <w:r w:rsidRPr="00E9279E">
        <w:rPr>
          <w:b/>
          <w:bCs/>
          <w:i/>
          <w:iCs/>
          <w:lang w:eastAsia="en-AU"/>
        </w:rPr>
        <w:t xml:space="preserve"> translating to an </w:t>
      </w:r>
      <w:r w:rsidR="007227F1" w:rsidRPr="00E9279E">
        <w:rPr>
          <w:b/>
          <w:bCs/>
          <w:i/>
          <w:iCs/>
          <w:lang w:eastAsia="en-AU"/>
        </w:rPr>
        <w:t xml:space="preserve">overall survival benefit, noting concerns about other drugs in this class, and the overall survival findings </w:t>
      </w:r>
      <w:r w:rsidRPr="00E9279E">
        <w:rPr>
          <w:b/>
          <w:bCs/>
          <w:i/>
          <w:iCs/>
          <w:lang w:eastAsia="en-AU"/>
        </w:rPr>
        <w:t xml:space="preserve">of the </w:t>
      </w:r>
      <w:r w:rsidR="002F1A84" w:rsidRPr="00E9279E">
        <w:rPr>
          <w:b/>
          <w:bCs/>
          <w:i/>
          <w:iCs/>
          <w:lang w:eastAsia="en-AU"/>
        </w:rPr>
        <w:t>MONARCHE</w:t>
      </w:r>
      <w:r w:rsidRPr="00E9279E">
        <w:rPr>
          <w:b/>
          <w:bCs/>
          <w:i/>
          <w:iCs/>
          <w:lang w:eastAsia="en-AU"/>
        </w:rPr>
        <w:t xml:space="preserve"> </w:t>
      </w:r>
      <w:r w:rsidR="006E4EA1" w:rsidRPr="00E9279E">
        <w:rPr>
          <w:b/>
          <w:bCs/>
          <w:i/>
          <w:iCs/>
          <w:lang w:eastAsia="en-AU"/>
        </w:rPr>
        <w:t>trial</w:t>
      </w:r>
      <w:r w:rsidRPr="00E9279E">
        <w:rPr>
          <w:b/>
          <w:bCs/>
          <w:i/>
          <w:iCs/>
          <w:lang w:eastAsia="en-AU"/>
        </w:rPr>
        <w:t>?</w:t>
      </w:r>
    </w:p>
    <w:p w14:paraId="02D99304" w14:textId="77777777" w:rsidR="00765EE2" w:rsidRPr="00E9279E" w:rsidRDefault="00765EE2" w:rsidP="00765EE2">
      <w:pPr>
        <w:rPr>
          <w:color w:val="000000"/>
          <w:bdr w:val="none" w:sz="0" w:space="0" w:color="auto" w:frame="1"/>
        </w:rPr>
      </w:pPr>
      <w:r w:rsidRPr="00E9279E">
        <w:rPr>
          <w:color w:val="000000"/>
          <w:bdr w:val="none" w:sz="0" w:space="0" w:color="auto" w:frame="1"/>
        </w:rPr>
        <w:t>The ACM advised that longer follow-up is important to confirm the persistence of the clinical benefit and the proportionality of the hazard ratios of recurrence. It is possible, but unlikely, that the curves could converge with long-term follow-up.</w:t>
      </w:r>
    </w:p>
    <w:p w14:paraId="6FE9A278" w14:textId="77777777" w:rsidR="00765EE2" w:rsidRPr="00E9279E" w:rsidRDefault="00765EE2" w:rsidP="00765EE2">
      <w:pPr>
        <w:rPr>
          <w:color w:val="000000"/>
          <w:bdr w:val="none" w:sz="0" w:space="0" w:color="auto" w:frame="1"/>
        </w:rPr>
      </w:pPr>
      <w:r w:rsidRPr="00E9279E">
        <w:rPr>
          <w:color w:val="000000"/>
          <w:bdr w:val="none" w:sz="0" w:space="0" w:color="auto" w:frame="1"/>
        </w:rPr>
        <w:t>The ACM noted that further data are expected in June 2022 and discussed whether this data would include information on OS that would influence the benefit risk balance for this drug. The ACM expressed interest in the June 2022 data, however noted that it may still be too immature for a clear difference in OS to be seen.</w:t>
      </w:r>
    </w:p>
    <w:p w14:paraId="710AC144" w14:textId="77777777" w:rsidR="00765EE2" w:rsidRPr="00E9279E" w:rsidRDefault="00765EE2" w:rsidP="00765EE2">
      <w:pPr>
        <w:rPr>
          <w:lang w:eastAsia="en-AU"/>
        </w:rPr>
      </w:pPr>
      <w:r w:rsidRPr="00E9279E">
        <w:rPr>
          <w:lang w:eastAsia="en-AU"/>
        </w:rPr>
        <w:t xml:space="preserve">The ACM agreed that based on currently available data it is too early to understand the long-term impact on survival from adjuvant </w:t>
      </w:r>
      <w:proofErr w:type="spellStart"/>
      <w:r w:rsidRPr="00E9279E">
        <w:rPr>
          <w:lang w:eastAsia="en-AU"/>
        </w:rPr>
        <w:t>abemaciclib</w:t>
      </w:r>
      <w:proofErr w:type="spellEnd"/>
      <w:r w:rsidRPr="00E9279E">
        <w:rPr>
          <w:lang w:eastAsia="en-AU"/>
        </w:rPr>
        <w:t>.</w:t>
      </w:r>
    </w:p>
    <w:p w14:paraId="44A53F38" w14:textId="12AA1FA8" w:rsidR="00765EE2" w:rsidRPr="00E9279E" w:rsidRDefault="00765EE2" w:rsidP="00765EE2">
      <w:pPr>
        <w:rPr>
          <w:lang w:eastAsia="en-AU"/>
        </w:rPr>
      </w:pPr>
      <w:r w:rsidRPr="00E9279E">
        <w:rPr>
          <w:lang w:eastAsia="en-AU"/>
        </w:rPr>
        <w:t xml:space="preserve">By way of comparison, the ACM noted the lack of benefit of adjuvant </w:t>
      </w:r>
      <w:proofErr w:type="spellStart"/>
      <w:r w:rsidRPr="00E9279E">
        <w:rPr>
          <w:lang w:eastAsia="en-AU"/>
        </w:rPr>
        <w:t>palbociclib</w:t>
      </w:r>
      <w:proofErr w:type="spellEnd"/>
      <w:r w:rsidRPr="00E9279E">
        <w:rPr>
          <w:lang w:eastAsia="en-AU"/>
        </w:rPr>
        <w:t xml:space="preserve"> in the PALLAS</w:t>
      </w:r>
      <w:r w:rsidR="006E4EA1" w:rsidRPr="00E9279E">
        <w:rPr>
          <w:lang w:eastAsia="en-AU"/>
        </w:rPr>
        <w:t>;</w:t>
      </w:r>
      <w:r w:rsidR="006E4EA1" w:rsidRPr="00E9279E">
        <w:rPr>
          <w:rStyle w:val="FootnoteReference"/>
          <w:lang w:eastAsia="en-AU"/>
        </w:rPr>
        <w:footnoteReference w:id="36"/>
      </w:r>
      <w:r w:rsidRPr="00E9279E">
        <w:rPr>
          <w:lang w:eastAsia="en-AU"/>
        </w:rPr>
        <w:t xml:space="preserve"> and PENELOPE-B trials</w:t>
      </w:r>
      <w:r w:rsidR="006E4EA1" w:rsidRPr="00E9279E">
        <w:rPr>
          <w:lang w:eastAsia="en-AU"/>
        </w:rPr>
        <w:t>;</w:t>
      </w:r>
      <w:r w:rsidR="006E4EA1" w:rsidRPr="00E9279E">
        <w:rPr>
          <w:rStyle w:val="FootnoteReference"/>
          <w:lang w:eastAsia="en-AU"/>
        </w:rPr>
        <w:footnoteReference w:id="37"/>
      </w:r>
      <w:r w:rsidRPr="00E9279E">
        <w:rPr>
          <w:lang w:eastAsia="en-AU"/>
        </w:rPr>
        <w:t xml:space="preserve"> (42% discontinued </w:t>
      </w:r>
      <w:proofErr w:type="spellStart"/>
      <w:r w:rsidRPr="00E9279E">
        <w:rPr>
          <w:lang w:eastAsia="en-AU"/>
        </w:rPr>
        <w:t>palbociclib</w:t>
      </w:r>
      <w:proofErr w:type="spellEnd"/>
      <w:r w:rsidRPr="00E9279E">
        <w:rPr>
          <w:lang w:eastAsia="en-AU"/>
        </w:rPr>
        <w:t xml:space="preserve"> in </w:t>
      </w:r>
      <w:r w:rsidR="007227F1" w:rsidRPr="00E9279E">
        <w:rPr>
          <w:lang w:eastAsia="en-AU"/>
        </w:rPr>
        <w:t xml:space="preserve">the </w:t>
      </w:r>
      <w:r w:rsidRPr="00E9279E">
        <w:rPr>
          <w:lang w:eastAsia="en-AU"/>
        </w:rPr>
        <w:t>PALLAS</w:t>
      </w:r>
      <w:r w:rsidR="007227F1" w:rsidRPr="00E9279E">
        <w:rPr>
          <w:lang w:eastAsia="en-AU"/>
        </w:rPr>
        <w:t xml:space="preserve"> trial</w:t>
      </w:r>
      <w:r w:rsidRPr="00E9279E">
        <w:rPr>
          <w:lang w:eastAsia="en-AU"/>
        </w:rPr>
        <w:t xml:space="preserve">). In was also noted that the results of adjuvant </w:t>
      </w:r>
      <w:proofErr w:type="spellStart"/>
      <w:r w:rsidRPr="00E9279E">
        <w:rPr>
          <w:lang w:eastAsia="en-AU"/>
        </w:rPr>
        <w:t>ribociclib</w:t>
      </w:r>
      <w:proofErr w:type="spellEnd"/>
      <w:r w:rsidRPr="00E9279E">
        <w:rPr>
          <w:lang w:eastAsia="en-AU"/>
        </w:rPr>
        <w:t xml:space="preserve"> in the NATALEE trial</w:t>
      </w:r>
      <w:r w:rsidR="006E4EA1" w:rsidRPr="00E9279E">
        <w:rPr>
          <w:lang w:eastAsia="en-AU"/>
        </w:rPr>
        <w:t>;</w:t>
      </w:r>
      <w:r w:rsidR="006E4EA1" w:rsidRPr="00E9279E">
        <w:rPr>
          <w:rStyle w:val="FootnoteReference"/>
          <w:lang w:eastAsia="en-AU"/>
        </w:rPr>
        <w:footnoteReference w:id="38"/>
      </w:r>
      <w:r w:rsidRPr="00E9279E">
        <w:rPr>
          <w:lang w:eastAsia="en-AU"/>
        </w:rPr>
        <w:t xml:space="preserve"> are awaited.</w:t>
      </w:r>
    </w:p>
    <w:p w14:paraId="12772861" w14:textId="106CF8D0" w:rsidR="00765EE2" w:rsidRPr="00E9279E" w:rsidRDefault="00765EE2" w:rsidP="005A2C95">
      <w:pPr>
        <w:pStyle w:val="Numberbullet0"/>
        <w:numPr>
          <w:ilvl w:val="0"/>
          <w:numId w:val="2"/>
        </w:numPr>
        <w:rPr>
          <w:b/>
          <w:bCs/>
          <w:i/>
          <w:iCs/>
          <w:lang w:eastAsia="en-AU"/>
        </w:rPr>
      </w:pPr>
      <w:r w:rsidRPr="00E9279E">
        <w:rPr>
          <w:b/>
          <w:bCs/>
          <w:i/>
          <w:iCs/>
          <w:lang w:eastAsia="en-AU"/>
        </w:rPr>
        <w:t>Ki-67 immunohistochemistry is only available in some centres in Australia. If it were readily available is 20%</w:t>
      </w:r>
      <w:r w:rsidR="00A945C5" w:rsidRPr="00E9279E">
        <w:rPr>
          <w:b/>
          <w:bCs/>
          <w:i/>
          <w:iCs/>
          <w:lang w:eastAsia="en-AU"/>
        </w:rPr>
        <w:t xml:space="preserve"> or more</w:t>
      </w:r>
      <w:r w:rsidRPr="00E9279E">
        <w:rPr>
          <w:b/>
          <w:bCs/>
          <w:i/>
          <w:iCs/>
          <w:lang w:eastAsia="en-AU"/>
        </w:rPr>
        <w:t xml:space="preserve"> sufficiently predictive of high risk such that the indication should be limited to patients from that group?</w:t>
      </w:r>
    </w:p>
    <w:p w14:paraId="0054CD56" w14:textId="77777777" w:rsidR="00765EE2" w:rsidRPr="00E9279E" w:rsidRDefault="00765EE2" w:rsidP="00765EE2">
      <w:pPr>
        <w:rPr>
          <w:lang w:eastAsia="en-AU"/>
        </w:rPr>
      </w:pPr>
      <w:r w:rsidRPr="00E9279E">
        <w:rPr>
          <w:lang w:eastAsia="en-AU"/>
        </w:rPr>
        <w:t xml:space="preserve">The ACM advised that Ki-67 immunohistochemistry (IHC) is widely used for a variety of indications in diagnostic histopathology and would be available in </w:t>
      </w:r>
      <w:proofErr w:type="gramStart"/>
      <w:r w:rsidRPr="00E9279E">
        <w:rPr>
          <w:lang w:eastAsia="en-AU"/>
        </w:rPr>
        <w:t>the majority of</w:t>
      </w:r>
      <w:proofErr w:type="gramEnd"/>
      <w:r w:rsidRPr="00E9279E">
        <w:rPr>
          <w:lang w:eastAsia="en-AU"/>
        </w:rPr>
        <w:t xml:space="preserve"> laboratories in Australia, noting that Ki-67 IHC is not currently required in reporting of breast cancer in Australia.</w:t>
      </w:r>
    </w:p>
    <w:p w14:paraId="50560347" w14:textId="77777777" w:rsidR="00765EE2" w:rsidRPr="00E9279E" w:rsidRDefault="00765EE2" w:rsidP="00765EE2">
      <w:pPr>
        <w:rPr>
          <w:lang w:eastAsia="en-AU"/>
        </w:rPr>
      </w:pPr>
      <w:r w:rsidRPr="00E9279E">
        <w:rPr>
          <w:lang w:eastAsia="en-AU"/>
        </w:rPr>
        <w:t>The ACM noted some caveats with Ki-67, including issues with interpretation, variability in the threshold, and heterogeneity in tumour specimens.</w:t>
      </w:r>
    </w:p>
    <w:p w14:paraId="0EC8ACFD" w14:textId="052B746E" w:rsidR="00765EE2" w:rsidRPr="00E9279E" w:rsidRDefault="00765EE2" w:rsidP="00765EE2">
      <w:pPr>
        <w:rPr>
          <w:lang w:eastAsia="en-AU"/>
        </w:rPr>
      </w:pPr>
      <w:r w:rsidRPr="00E9279E">
        <w:rPr>
          <w:lang w:eastAsia="en-AU"/>
        </w:rPr>
        <w:t xml:space="preserve">The ACM agreed that Ki-67 is not predictive of response in patients with other </w:t>
      </w:r>
      <w:r w:rsidR="0098240E" w:rsidRPr="00E9279E">
        <w:rPr>
          <w:lang w:eastAsia="en-AU"/>
        </w:rPr>
        <w:t>high-risk</w:t>
      </w:r>
      <w:r w:rsidRPr="00E9279E">
        <w:rPr>
          <w:lang w:eastAsia="en-AU"/>
        </w:rPr>
        <w:t xml:space="preserve"> features (Cohort 1</w:t>
      </w:r>
      <w:r w:rsidR="00A945C5" w:rsidRPr="00E9279E">
        <w:rPr>
          <w:lang w:eastAsia="en-AU"/>
        </w:rPr>
        <w:t xml:space="preserve">: </w:t>
      </w:r>
      <w:r w:rsidRPr="00E9279E">
        <w:rPr>
          <w:lang w:eastAsia="en-AU"/>
        </w:rPr>
        <w:t>4</w:t>
      </w:r>
      <w:r w:rsidR="00A945C5" w:rsidRPr="00E9279E">
        <w:rPr>
          <w:lang w:eastAsia="en-AU"/>
        </w:rPr>
        <w:t xml:space="preserve"> or more</w:t>
      </w:r>
      <w:r w:rsidRPr="00E9279E">
        <w:rPr>
          <w:lang w:eastAsia="en-AU"/>
        </w:rPr>
        <w:t xml:space="preserve"> positive axillary lymph node</w:t>
      </w:r>
      <w:r w:rsidR="00206B4F" w:rsidRPr="00E9279E">
        <w:rPr>
          <w:lang w:eastAsia="en-AU"/>
        </w:rPr>
        <w:t>s</w:t>
      </w:r>
      <w:r w:rsidRPr="00E9279E">
        <w:rPr>
          <w:lang w:eastAsia="en-AU"/>
        </w:rPr>
        <w:t xml:space="preserve"> (ALN), or 1</w:t>
      </w:r>
      <w:r w:rsidR="007227F1" w:rsidRPr="00E9279E">
        <w:rPr>
          <w:lang w:eastAsia="en-AU"/>
        </w:rPr>
        <w:t xml:space="preserve"> to </w:t>
      </w:r>
      <w:r w:rsidRPr="00E9279E">
        <w:rPr>
          <w:lang w:eastAsia="en-AU"/>
        </w:rPr>
        <w:t xml:space="preserve">3 positive ALN and either </w:t>
      </w:r>
      <w:r w:rsidR="007227F1" w:rsidRPr="00E9279E">
        <w:rPr>
          <w:lang w:eastAsia="en-AU"/>
        </w:rPr>
        <w:t xml:space="preserve">Grade </w:t>
      </w:r>
      <w:r w:rsidRPr="00E9279E">
        <w:rPr>
          <w:lang w:eastAsia="en-AU"/>
        </w:rPr>
        <w:t>3 disease or tumour 5 cm</w:t>
      </w:r>
      <w:r w:rsidR="00A945C5" w:rsidRPr="00E9279E">
        <w:rPr>
          <w:lang w:eastAsia="en-AU"/>
        </w:rPr>
        <w:t xml:space="preserve"> or larger</w:t>
      </w:r>
      <w:r w:rsidRPr="00E9279E">
        <w:rPr>
          <w:lang w:eastAsia="en-AU"/>
        </w:rPr>
        <w:t>). The ACM advised that there was a patient benefit regardless of Ki-67 and high Ki-67 alone is not predictive of IDFS benefit. Therefore, it cannot be concluded that treatment should be limited to high Ki-67 patients.</w:t>
      </w:r>
    </w:p>
    <w:p w14:paraId="43A120E1" w14:textId="44DD2A49" w:rsidR="00765EE2" w:rsidRPr="00E9279E" w:rsidRDefault="00765EE2" w:rsidP="005A2C95">
      <w:pPr>
        <w:pStyle w:val="Numberbullet0"/>
        <w:numPr>
          <w:ilvl w:val="0"/>
          <w:numId w:val="2"/>
        </w:numPr>
        <w:rPr>
          <w:b/>
          <w:bCs/>
          <w:i/>
          <w:iCs/>
          <w:lang w:eastAsia="en-AU"/>
        </w:rPr>
      </w:pPr>
      <w:r w:rsidRPr="00E9279E">
        <w:rPr>
          <w:b/>
          <w:bCs/>
          <w:i/>
          <w:iCs/>
          <w:lang w:eastAsia="en-AU"/>
        </w:rPr>
        <w:t xml:space="preserve">Does the ACM consider the evidence of benefits </w:t>
      </w:r>
      <w:r w:rsidR="00033AC2" w:rsidRPr="00E9279E">
        <w:rPr>
          <w:b/>
          <w:bCs/>
          <w:i/>
          <w:iCs/>
          <w:lang w:eastAsia="en-AU"/>
        </w:rPr>
        <w:t>versus</w:t>
      </w:r>
      <w:r w:rsidRPr="00E9279E">
        <w:rPr>
          <w:b/>
          <w:bCs/>
          <w:i/>
          <w:iCs/>
          <w:lang w:eastAsia="en-AU"/>
        </w:rPr>
        <w:t xml:space="preserve"> harms, noting uncertainties, in this submission support a new indication in early breast cancer for the combination of </w:t>
      </w:r>
      <w:proofErr w:type="spellStart"/>
      <w:r w:rsidRPr="00E9279E">
        <w:rPr>
          <w:b/>
          <w:bCs/>
          <w:i/>
          <w:iCs/>
          <w:lang w:eastAsia="en-AU"/>
        </w:rPr>
        <w:t>abemaciclib</w:t>
      </w:r>
      <w:proofErr w:type="spellEnd"/>
      <w:r w:rsidRPr="00E9279E">
        <w:rPr>
          <w:b/>
          <w:bCs/>
          <w:i/>
          <w:iCs/>
          <w:lang w:eastAsia="en-AU"/>
        </w:rPr>
        <w:t xml:space="preserve"> and endocrine therapy?</w:t>
      </w:r>
    </w:p>
    <w:p w14:paraId="17772FB5" w14:textId="3DAFE9FD" w:rsidR="00765EE2" w:rsidRPr="00E9279E" w:rsidRDefault="00765EE2" w:rsidP="00765EE2">
      <w:pPr>
        <w:rPr>
          <w:color w:val="000000"/>
          <w:bdr w:val="none" w:sz="0" w:space="0" w:color="auto" w:frame="1"/>
        </w:rPr>
      </w:pPr>
      <w:r w:rsidRPr="00E9279E">
        <w:rPr>
          <w:color w:val="000000"/>
          <w:bdr w:val="none" w:sz="0" w:space="0" w:color="auto" w:frame="1"/>
        </w:rPr>
        <w:lastRenderedPageBreak/>
        <w:t xml:space="preserve">The ACM agreed that a relative risk reduction of approximately 30%, absolute risk reduction of 3%, is clinically meaningful for this cohort, noting that further data are important to fully understand the efficacy profile. The ACM highlighted that this is a </w:t>
      </w:r>
      <w:r w:rsidRPr="00E9279E">
        <w:rPr>
          <w:lang w:eastAsia="en-AU"/>
        </w:rPr>
        <w:t>drug with significant toxicity, which needs to be considered for the individual benefit risk balance.</w:t>
      </w:r>
    </w:p>
    <w:p w14:paraId="526DEFAB" w14:textId="77777777" w:rsidR="00765EE2" w:rsidRPr="00E9279E" w:rsidRDefault="00765EE2" w:rsidP="00765EE2">
      <w:pPr>
        <w:rPr>
          <w:lang w:eastAsia="en-AU"/>
        </w:rPr>
      </w:pPr>
      <w:r w:rsidRPr="00E9279E">
        <w:rPr>
          <w:lang w:eastAsia="en-AU"/>
        </w:rPr>
        <w:t>The ACM agreed that the patient population enrolled in the trial was representative of Australian patients with early breast cancer and noted that some Australian patients were also enrolled in the trial.</w:t>
      </w:r>
    </w:p>
    <w:p w14:paraId="5E9066CF" w14:textId="275C85B4" w:rsidR="00765EE2" w:rsidRPr="00E9279E" w:rsidRDefault="00765EE2" w:rsidP="00765EE2">
      <w:pPr>
        <w:rPr>
          <w:lang w:eastAsia="en-AU"/>
        </w:rPr>
      </w:pPr>
      <w:r w:rsidRPr="00E9279E">
        <w:rPr>
          <w:lang w:eastAsia="en-AU"/>
        </w:rPr>
        <w:t>However, the ACM highlighted several concerns with the study design which may have led to inherent bias. The ACM commented that the study randomisation within 16 months of definitive surgery is quite long and was of the view that an imbalance in this timing between the arms could affect the efficacy results, noting significant evidence of inferior results if initial multi</w:t>
      </w:r>
      <w:r w:rsidR="00442211" w:rsidRPr="00E9279E">
        <w:rPr>
          <w:lang w:eastAsia="en-AU"/>
        </w:rPr>
        <w:t>-</w:t>
      </w:r>
      <w:r w:rsidRPr="00E9279E">
        <w:rPr>
          <w:lang w:eastAsia="en-AU"/>
        </w:rPr>
        <w:t xml:space="preserve">modal treatment is prolonged. The ACM also commented that there could be significant variation in the baseline investigations (imaging) between patients, potentially up to 19 months from baseline imaging versus 6 months for others. Given that the </w:t>
      </w:r>
      <w:r w:rsidR="007D07F9" w:rsidRPr="00E9279E">
        <w:rPr>
          <w:lang w:eastAsia="en-AU"/>
        </w:rPr>
        <w:t>I</w:t>
      </w:r>
      <w:r w:rsidRPr="00E9279E">
        <w:rPr>
          <w:lang w:eastAsia="en-AU"/>
        </w:rPr>
        <w:t>DFS endpoint is from time of randomisation it is important to demonstrate balance in the trial arms.</w:t>
      </w:r>
    </w:p>
    <w:p w14:paraId="64C4FE6B" w14:textId="24C8E552" w:rsidR="00765EE2" w:rsidRPr="00E9279E" w:rsidRDefault="00765EE2" w:rsidP="00765EE2">
      <w:pPr>
        <w:rPr>
          <w:lang w:eastAsia="en-AU"/>
        </w:rPr>
      </w:pPr>
      <w:r w:rsidRPr="00E9279E">
        <w:rPr>
          <w:lang w:eastAsia="en-AU"/>
        </w:rPr>
        <w:t>The ACM advised that data on baseline characteristics focussing on the previous two considerations should be provided to the TGA and would provide further clarity regarding the benefit risk profile. In addition, the ACM was of the view that Cohort</w:t>
      </w:r>
      <w:r w:rsidR="00442211" w:rsidRPr="00E9279E">
        <w:rPr>
          <w:lang w:eastAsia="en-AU"/>
        </w:rPr>
        <w:t>s</w:t>
      </w:r>
      <w:r w:rsidRPr="00E9279E">
        <w:rPr>
          <w:lang w:eastAsia="en-AU"/>
        </w:rPr>
        <w:t xml:space="preserve"> 1 and 2 are separate parallel populations and should not be combined.</w:t>
      </w:r>
    </w:p>
    <w:p w14:paraId="74614C4C" w14:textId="4C9733F2" w:rsidR="00765EE2" w:rsidRPr="00E9279E" w:rsidRDefault="00765EE2" w:rsidP="005A2C95">
      <w:pPr>
        <w:pStyle w:val="Numberbullet0"/>
        <w:numPr>
          <w:ilvl w:val="0"/>
          <w:numId w:val="2"/>
        </w:numPr>
        <w:rPr>
          <w:b/>
          <w:bCs/>
          <w:i/>
          <w:iCs/>
          <w:lang w:eastAsia="en-AU"/>
        </w:rPr>
      </w:pPr>
      <w:r w:rsidRPr="00E9279E">
        <w:rPr>
          <w:b/>
          <w:bCs/>
          <w:i/>
          <w:iCs/>
          <w:lang w:eastAsia="en-AU"/>
        </w:rPr>
        <w:t xml:space="preserve">If a new indication is supported by the evidence, can the ACM comment on the wording of the indication. </w:t>
      </w:r>
      <w:proofErr w:type="gramStart"/>
      <w:r w:rsidRPr="00E9279E">
        <w:rPr>
          <w:b/>
          <w:bCs/>
          <w:i/>
          <w:iCs/>
          <w:lang w:eastAsia="en-AU"/>
        </w:rPr>
        <w:t>In particular, should</w:t>
      </w:r>
      <w:proofErr w:type="gramEnd"/>
      <w:r w:rsidRPr="00E9279E">
        <w:rPr>
          <w:b/>
          <w:bCs/>
          <w:i/>
          <w:iCs/>
          <w:lang w:eastAsia="en-AU"/>
        </w:rPr>
        <w:t xml:space="preserve"> the indication be limited to patients whose risk profile includes a Ki-67 index of 20%</w:t>
      </w:r>
      <w:r w:rsidR="00A945C5" w:rsidRPr="00E9279E">
        <w:rPr>
          <w:b/>
          <w:bCs/>
          <w:i/>
          <w:iCs/>
          <w:lang w:eastAsia="en-AU"/>
        </w:rPr>
        <w:t xml:space="preserve"> or higher</w:t>
      </w:r>
      <w:r w:rsidR="00442211" w:rsidRPr="00E9279E">
        <w:rPr>
          <w:b/>
          <w:bCs/>
          <w:i/>
          <w:iCs/>
          <w:lang w:eastAsia="en-AU"/>
        </w:rPr>
        <w:t>?</w:t>
      </w:r>
    </w:p>
    <w:p w14:paraId="53B9025C" w14:textId="77777777" w:rsidR="00765EE2" w:rsidRPr="00E9279E" w:rsidRDefault="00765EE2" w:rsidP="00765EE2">
      <w:pPr>
        <w:rPr>
          <w:lang w:eastAsia="en-AU"/>
        </w:rPr>
      </w:pPr>
      <w:r w:rsidRPr="00E9279E">
        <w:rPr>
          <w:lang w:eastAsia="en-AU"/>
        </w:rPr>
        <w:t>The ACM discussed including a definition of ‘high risk’ in the indication, however on balance agreed ‘high risk node positive disease’ is sufficient detail for oncologists who are experienced in managing the treatment of this disease.</w:t>
      </w:r>
    </w:p>
    <w:p w14:paraId="7B9C5BE9" w14:textId="77777777" w:rsidR="00765EE2" w:rsidRPr="00E9279E" w:rsidRDefault="00765EE2" w:rsidP="00765EE2">
      <w:pPr>
        <w:rPr>
          <w:lang w:eastAsia="en-AU"/>
        </w:rPr>
      </w:pPr>
      <w:r w:rsidRPr="00E9279E">
        <w:rPr>
          <w:lang w:eastAsia="en-AU"/>
        </w:rPr>
        <w:t>Given the issues as outlined in the advice the Question 3 (above), the ACM was of the view that Ki-67 index should not be included in the indication.</w:t>
      </w:r>
    </w:p>
    <w:p w14:paraId="387EE757" w14:textId="25BAC6DD" w:rsidR="00765EE2" w:rsidRPr="00E9279E" w:rsidRDefault="00765EE2" w:rsidP="00D962C5">
      <w:pPr>
        <w:pStyle w:val="Numberbullet0"/>
        <w:rPr>
          <w:b/>
          <w:bCs/>
          <w:i/>
          <w:iCs/>
        </w:rPr>
      </w:pPr>
      <w:r w:rsidRPr="00E9279E">
        <w:rPr>
          <w:b/>
          <w:bCs/>
          <w:i/>
          <w:iCs/>
          <w:lang w:eastAsia="en-AU"/>
        </w:rPr>
        <w:t>Are the risks adequately characterised from the data?</w:t>
      </w:r>
      <w:r w:rsidR="00D962C5" w:rsidRPr="00E9279E">
        <w:rPr>
          <w:b/>
          <w:bCs/>
          <w:i/>
          <w:iCs/>
          <w:lang w:eastAsia="en-AU"/>
        </w:rPr>
        <w:t xml:space="preserve"> </w:t>
      </w:r>
      <w:r w:rsidRPr="00E9279E">
        <w:rPr>
          <w:b/>
          <w:bCs/>
          <w:i/>
          <w:iCs/>
          <w:lang w:eastAsia="en-AU"/>
        </w:rPr>
        <w:t xml:space="preserve">Are the risks and risk mitigation strategies adequately explained in the draft </w:t>
      </w:r>
      <w:proofErr w:type="spellStart"/>
      <w:r w:rsidRPr="00E9279E">
        <w:rPr>
          <w:b/>
          <w:bCs/>
          <w:i/>
          <w:iCs/>
          <w:lang w:eastAsia="en-AU"/>
        </w:rPr>
        <w:t>Verzenio</w:t>
      </w:r>
      <w:proofErr w:type="spellEnd"/>
      <w:r w:rsidRPr="00E9279E">
        <w:rPr>
          <w:b/>
          <w:bCs/>
          <w:i/>
          <w:iCs/>
          <w:lang w:eastAsia="en-AU"/>
        </w:rPr>
        <w:t xml:space="preserve"> </w:t>
      </w:r>
      <w:r w:rsidR="007D07F9" w:rsidRPr="00E9279E">
        <w:rPr>
          <w:b/>
          <w:bCs/>
          <w:i/>
          <w:iCs/>
          <w:lang w:eastAsia="en-AU"/>
        </w:rPr>
        <w:t>Product Information</w:t>
      </w:r>
      <w:r w:rsidRPr="00E9279E">
        <w:rPr>
          <w:b/>
          <w:bCs/>
          <w:i/>
          <w:iCs/>
          <w:lang w:eastAsia="en-AU"/>
        </w:rPr>
        <w:t>?</w:t>
      </w:r>
    </w:p>
    <w:p w14:paraId="777DCB72" w14:textId="21C6D332" w:rsidR="00765EE2" w:rsidRPr="00E9279E" w:rsidRDefault="00765EE2" w:rsidP="00765EE2">
      <w:r w:rsidRPr="00E9279E">
        <w:t xml:space="preserve">The ACM advised that the risks reported in the </w:t>
      </w:r>
      <w:r w:rsidR="002F1A84" w:rsidRPr="00E9279E">
        <w:t>MONARCHE</w:t>
      </w:r>
      <w:r w:rsidRPr="00E9279E">
        <w:t xml:space="preserve"> trial are adequately characterised, and consistent with the known safety profile of </w:t>
      </w:r>
      <w:proofErr w:type="spellStart"/>
      <w:r w:rsidRPr="00E9279E">
        <w:t>abemaciclib</w:t>
      </w:r>
      <w:proofErr w:type="spellEnd"/>
      <w:r w:rsidRPr="00E9279E">
        <w:t>.</w:t>
      </w:r>
    </w:p>
    <w:p w14:paraId="2FF2C243" w14:textId="1D716027" w:rsidR="00765EE2" w:rsidRPr="00E9279E" w:rsidRDefault="00765EE2" w:rsidP="00765EE2">
      <w:r w:rsidRPr="00E9279E">
        <w:t xml:space="preserve">The ACM was of the view that the risk mitigation strategies are adequately explained in the </w:t>
      </w:r>
      <w:proofErr w:type="spellStart"/>
      <w:r w:rsidRPr="00E9279E">
        <w:t>Verzenio</w:t>
      </w:r>
      <w:proofErr w:type="spellEnd"/>
      <w:r w:rsidRPr="00E9279E">
        <w:t xml:space="preserve"> Product Information</w:t>
      </w:r>
      <w:r w:rsidR="007D07F9" w:rsidRPr="00E9279E">
        <w:t xml:space="preserve"> </w:t>
      </w:r>
      <w:r w:rsidRPr="00E9279E">
        <w:t>(PI).</w:t>
      </w:r>
    </w:p>
    <w:p w14:paraId="0F1342E9" w14:textId="36F56FEA" w:rsidR="00765EE2" w:rsidRPr="00E9279E" w:rsidRDefault="00E5532D" w:rsidP="005A2C95">
      <w:pPr>
        <w:pStyle w:val="Numberbullet0"/>
        <w:numPr>
          <w:ilvl w:val="0"/>
          <w:numId w:val="2"/>
        </w:numPr>
        <w:rPr>
          <w:b/>
          <w:bCs/>
          <w:i/>
          <w:iCs/>
        </w:rPr>
      </w:pPr>
      <w:r w:rsidRPr="00E9279E">
        <w:rPr>
          <w:b/>
          <w:bCs/>
          <w:i/>
          <w:iCs/>
        </w:rPr>
        <w:t>The ACM is requested to provide any o</w:t>
      </w:r>
      <w:r w:rsidR="00765EE2" w:rsidRPr="00E9279E">
        <w:rPr>
          <w:b/>
          <w:bCs/>
          <w:i/>
          <w:iCs/>
        </w:rPr>
        <w:t>ther advice</w:t>
      </w:r>
      <w:r w:rsidRPr="00E9279E">
        <w:rPr>
          <w:b/>
          <w:bCs/>
          <w:i/>
          <w:iCs/>
        </w:rPr>
        <w:t xml:space="preserve"> applicable to this submission.</w:t>
      </w:r>
    </w:p>
    <w:p w14:paraId="70FA8B74" w14:textId="77777777" w:rsidR="00765EE2" w:rsidRPr="00E9279E" w:rsidRDefault="00765EE2" w:rsidP="00765EE2">
      <w:pPr>
        <w:rPr>
          <w:color w:val="000000"/>
          <w:bdr w:val="none" w:sz="0" w:space="0" w:color="auto" w:frame="1"/>
        </w:rPr>
      </w:pPr>
      <w:r w:rsidRPr="00E9279E">
        <w:rPr>
          <w:color w:val="000000"/>
          <w:bdr w:val="none" w:sz="0" w:space="0" w:color="auto" w:frame="1"/>
        </w:rPr>
        <w:t>The ACM made the following recommended changes to the wording of the Consumer Medicines Information (CMI) and PI.</w:t>
      </w:r>
    </w:p>
    <w:p w14:paraId="56C4E4CA" w14:textId="77777777" w:rsidR="00765EE2" w:rsidRPr="00E9279E" w:rsidRDefault="00765EE2" w:rsidP="005A2C95">
      <w:pPr>
        <w:pStyle w:val="ListBullet"/>
        <w:numPr>
          <w:ilvl w:val="0"/>
          <w:numId w:val="1"/>
        </w:numPr>
      </w:pPr>
      <w:r w:rsidRPr="00E9279E">
        <w:t>Suggested amendments to the wording in the CMI:</w:t>
      </w:r>
    </w:p>
    <w:p w14:paraId="5A89F8C4" w14:textId="77777777" w:rsidR="00765EE2" w:rsidRPr="00E9279E" w:rsidRDefault="00765EE2" w:rsidP="005A2C95">
      <w:pPr>
        <w:pStyle w:val="ListBullet2"/>
        <w:numPr>
          <w:ilvl w:val="1"/>
          <w:numId w:val="1"/>
        </w:numPr>
      </w:pPr>
      <w:r w:rsidRPr="00E9279E">
        <w:t xml:space="preserve">‘What </w:t>
      </w:r>
      <w:proofErr w:type="spellStart"/>
      <w:r w:rsidRPr="00E9279E">
        <w:t>Verzenio</w:t>
      </w:r>
      <w:proofErr w:type="spellEnd"/>
      <w:r w:rsidRPr="00E9279E">
        <w:t xml:space="preserve"> is used for’</w:t>
      </w:r>
    </w:p>
    <w:p w14:paraId="7A1959CE" w14:textId="3C97563A" w:rsidR="00765EE2" w:rsidRPr="00E9279E" w:rsidRDefault="00765EE2" w:rsidP="005A2C95">
      <w:pPr>
        <w:pStyle w:val="ListBullet3"/>
        <w:numPr>
          <w:ilvl w:val="2"/>
          <w:numId w:val="1"/>
        </w:numPr>
      </w:pPr>
      <w:r w:rsidRPr="00E9279E">
        <w:t xml:space="preserve">Paragraph 2 </w:t>
      </w:r>
      <w:r w:rsidR="007D07F9" w:rsidRPr="00E9279E">
        <w:t>-</w:t>
      </w:r>
      <w:r w:rsidRPr="00E9279E">
        <w:t xml:space="preserve"> omit dot points to make it consistent with the layout of the </w:t>
      </w:r>
      <w:proofErr w:type="spellStart"/>
      <w:r w:rsidRPr="00E9279E">
        <w:t>Verzenio</w:t>
      </w:r>
      <w:proofErr w:type="spellEnd"/>
      <w:r w:rsidRPr="00E9279E">
        <w:t xml:space="preserve"> CMI for metastatic breast cancer</w:t>
      </w:r>
      <w:r w:rsidR="00442211" w:rsidRPr="00E9279E">
        <w:t>.</w:t>
      </w:r>
    </w:p>
    <w:p w14:paraId="3997358A" w14:textId="77777777" w:rsidR="00765EE2" w:rsidRPr="00E9279E" w:rsidRDefault="00765EE2" w:rsidP="005A2C95">
      <w:pPr>
        <w:pStyle w:val="ListBullet3"/>
        <w:numPr>
          <w:ilvl w:val="2"/>
          <w:numId w:val="1"/>
        </w:numPr>
      </w:pPr>
      <w:r w:rsidRPr="00E9279E">
        <w:t>Suggested wording ‘</w:t>
      </w:r>
      <w:proofErr w:type="spellStart"/>
      <w:r w:rsidRPr="00E9279E">
        <w:t>Verzenio</w:t>
      </w:r>
      <w:proofErr w:type="spellEnd"/>
      <w:r w:rsidRPr="00E9279E">
        <w:t xml:space="preserve"> is used to treat patients with certain types of breast cancer (hormone receptor-positive (HR pos), human epidermal growth factor receptor 2-negative (HER2 neg)). The breast cancer has not spread to other parts of the body apart from the breast and lymph nodes in the armpit. </w:t>
      </w:r>
      <w:proofErr w:type="spellStart"/>
      <w:r w:rsidRPr="00E9279E">
        <w:lastRenderedPageBreak/>
        <w:t>Verzenio</w:t>
      </w:r>
      <w:proofErr w:type="spellEnd"/>
      <w:r w:rsidRPr="00E9279E">
        <w:t xml:space="preserve"> is given with aromatase inhibitors or tamoxifen, which are hormonal anticancer therapies (endocrine therapies).’</w:t>
      </w:r>
    </w:p>
    <w:p w14:paraId="78EDB2CA" w14:textId="55F21B3E" w:rsidR="00765EE2" w:rsidRPr="00E9279E" w:rsidRDefault="00765EE2" w:rsidP="005A2C95">
      <w:pPr>
        <w:pStyle w:val="ListBullet3"/>
        <w:numPr>
          <w:ilvl w:val="2"/>
          <w:numId w:val="1"/>
        </w:numPr>
      </w:pPr>
      <w:r w:rsidRPr="00E9279E">
        <w:t xml:space="preserve">Note that the CMI currently states ‘It is given with aromatase inhibitors or </w:t>
      </w:r>
      <w:proofErr w:type="spellStart"/>
      <w:r w:rsidRPr="00E9279E">
        <w:t>fulvestrant</w:t>
      </w:r>
      <w:proofErr w:type="spellEnd"/>
      <w:r w:rsidRPr="00E9279E">
        <w:t>’</w:t>
      </w:r>
      <w:r w:rsidR="00442211" w:rsidRPr="00E9279E">
        <w:t>.</w:t>
      </w:r>
    </w:p>
    <w:p w14:paraId="51F0F069" w14:textId="26673499" w:rsidR="00765EE2" w:rsidRPr="00E9279E" w:rsidRDefault="00765EE2" w:rsidP="005A2C95">
      <w:pPr>
        <w:pStyle w:val="ListBullet2"/>
        <w:numPr>
          <w:ilvl w:val="1"/>
          <w:numId w:val="1"/>
        </w:numPr>
      </w:pPr>
      <w:r w:rsidRPr="00E9279E">
        <w:rPr>
          <w:lang w:val="en-US"/>
        </w:rPr>
        <w:t xml:space="preserve">‘How long to take it’ </w:t>
      </w:r>
      <w:r w:rsidR="005C509E" w:rsidRPr="00E9279E">
        <w:rPr>
          <w:lang w:val="en-US"/>
        </w:rPr>
        <w:t>-</w:t>
      </w:r>
      <w:r w:rsidRPr="00E9279E">
        <w:rPr>
          <w:lang w:val="en-US"/>
        </w:rPr>
        <w:t xml:space="preserve"> delete first sentence about metastatic breast cancer</w:t>
      </w:r>
      <w:r w:rsidR="00442211" w:rsidRPr="00E9279E">
        <w:rPr>
          <w:lang w:val="en-US"/>
        </w:rPr>
        <w:t>.</w:t>
      </w:r>
    </w:p>
    <w:p w14:paraId="2343BDE5" w14:textId="61BAE4F7" w:rsidR="00765EE2" w:rsidRPr="00E9279E" w:rsidRDefault="00765EE2" w:rsidP="005A2C95">
      <w:pPr>
        <w:pStyle w:val="ListBullet"/>
        <w:numPr>
          <w:ilvl w:val="0"/>
          <w:numId w:val="1"/>
        </w:numPr>
      </w:pPr>
      <w:r w:rsidRPr="00E9279E">
        <w:t>Suggested amendments to the PI</w:t>
      </w:r>
      <w:r w:rsidR="0031603E" w:rsidRPr="00E9279E">
        <w:t>:</w:t>
      </w:r>
    </w:p>
    <w:p w14:paraId="78D8B42F" w14:textId="402B8C87" w:rsidR="00765EE2" w:rsidRPr="00E9279E" w:rsidRDefault="00765EE2" w:rsidP="00200519">
      <w:pPr>
        <w:pStyle w:val="ListBullet2"/>
      </w:pPr>
      <w:r w:rsidRPr="00E9279E">
        <w:t>Dose adjustments decrease the dose by 50mg twice daily at a time (consistent with Table 1</w:t>
      </w:r>
      <w:r w:rsidR="00FE0470" w:rsidRPr="00E9279E">
        <w:t xml:space="preserve"> [of the PI]</w:t>
      </w:r>
      <w:r w:rsidRPr="00E9279E">
        <w:t>), also needs to be amended</w:t>
      </w:r>
      <w:r w:rsidR="0031603E" w:rsidRPr="00E9279E">
        <w:t>.</w:t>
      </w:r>
    </w:p>
    <w:p w14:paraId="2C855F8B" w14:textId="74375789" w:rsidR="00765EE2" w:rsidRPr="00E9279E" w:rsidRDefault="00765EE2" w:rsidP="00200519">
      <w:pPr>
        <w:pStyle w:val="ListBullet2"/>
      </w:pPr>
      <w:r w:rsidRPr="00E9279E">
        <w:t xml:space="preserve">Diarrhoea </w:t>
      </w:r>
      <w:r w:rsidR="00442211" w:rsidRPr="00E9279E">
        <w:t>-</w:t>
      </w:r>
      <w:r w:rsidRPr="00E9279E">
        <w:t xml:space="preserve"> dose modification…recommended for patients who develop recurrent </w:t>
      </w:r>
      <w:r w:rsidR="00FE0470" w:rsidRPr="00E9279E">
        <w:t>Grade </w:t>
      </w:r>
      <w:r w:rsidR="002F1A84" w:rsidRPr="00E9279E">
        <w:t>≥</w:t>
      </w:r>
      <w:r w:rsidRPr="00E9279E">
        <w:t xml:space="preserve"> 2 diarrhoea</w:t>
      </w:r>
      <w:r w:rsidR="00442211" w:rsidRPr="00E9279E">
        <w:t>.</w:t>
      </w:r>
    </w:p>
    <w:p w14:paraId="13AF23B4" w14:textId="0FFADD9E" w:rsidR="00765EE2" w:rsidRPr="00E9279E" w:rsidRDefault="00765EE2" w:rsidP="00200519">
      <w:pPr>
        <w:pStyle w:val="ListBullet2"/>
      </w:pPr>
      <w:proofErr w:type="spellStart"/>
      <w:r w:rsidRPr="00E9279E">
        <w:t>Neutropaenia</w:t>
      </w:r>
      <w:proofErr w:type="spellEnd"/>
      <w:r w:rsidRPr="00E9279E">
        <w:t xml:space="preserve"> </w:t>
      </w:r>
      <w:r w:rsidR="0022051D" w:rsidRPr="00E9279E">
        <w:t>-</w:t>
      </w:r>
      <w:r w:rsidRPr="00E9279E">
        <w:t xml:space="preserve"> dose modification…who develop recurrent Grade 3 or Grade</w:t>
      </w:r>
      <w:r w:rsidR="005C509E" w:rsidRPr="00E9279E">
        <w:t> </w:t>
      </w:r>
      <w:r w:rsidRPr="00E9279E">
        <w:t xml:space="preserve">4 </w:t>
      </w:r>
      <w:proofErr w:type="spellStart"/>
      <w:r w:rsidRPr="00E9279E">
        <w:t>neutropaenia</w:t>
      </w:r>
      <w:proofErr w:type="spellEnd"/>
      <w:r w:rsidRPr="00E9279E">
        <w:t>, also similar under increase ALT/AST</w:t>
      </w:r>
      <w:r w:rsidR="00442211" w:rsidRPr="00E9279E">
        <w:t>.</w:t>
      </w:r>
    </w:p>
    <w:p w14:paraId="40F95974" w14:textId="33255DB6" w:rsidR="00765EE2" w:rsidRPr="00E9279E" w:rsidRDefault="00765EE2" w:rsidP="00200519">
      <w:pPr>
        <w:pStyle w:val="ListBullet2"/>
      </w:pPr>
      <w:r w:rsidRPr="00E9279E">
        <w:t xml:space="preserve">Section 5.1 delete paragraph about effect on </w:t>
      </w:r>
      <w:proofErr w:type="spellStart"/>
      <w:r w:rsidRPr="00E9279E">
        <w:t>QTcF</w:t>
      </w:r>
      <w:proofErr w:type="spellEnd"/>
      <w:r w:rsidRPr="00E9279E">
        <w:t xml:space="preserve"> interval</w:t>
      </w:r>
      <w:r w:rsidR="007D07F9" w:rsidRPr="00E9279E">
        <w:t xml:space="preserve"> [QT interval corrected for heart rate according to Fridericia’s formula]</w:t>
      </w:r>
      <w:r w:rsidRPr="00E9279E">
        <w:t>,</w:t>
      </w:r>
      <w:r w:rsidR="007D07F9" w:rsidRPr="00E9279E">
        <w:rPr>
          <w:rStyle w:val="FootnoteReference"/>
        </w:rPr>
        <w:footnoteReference w:id="39"/>
      </w:r>
      <w:r w:rsidRPr="00E9279E">
        <w:t xml:space="preserve"> under incorrect section, repeated</w:t>
      </w:r>
      <w:r w:rsidR="00442211" w:rsidRPr="00E9279E">
        <w:t>.</w:t>
      </w:r>
    </w:p>
    <w:p w14:paraId="6346D779" w14:textId="0C0FAC15" w:rsidR="00765EE2" w:rsidRPr="00E9279E" w:rsidRDefault="00765EE2" w:rsidP="00200519">
      <w:pPr>
        <w:pStyle w:val="ListBullet2"/>
      </w:pPr>
      <w:r w:rsidRPr="00E9279E">
        <w:t xml:space="preserve">Section on 1 April 2021 analysis reports the 3-year </w:t>
      </w:r>
      <w:r w:rsidR="005C509E" w:rsidRPr="00E9279E">
        <w:t>IDFS</w:t>
      </w:r>
      <w:r w:rsidRPr="00E9279E">
        <w:t xml:space="preserve"> rate with a 5.4% absolute benefit rather than the 2-year </w:t>
      </w:r>
      <w:r w:rsidR="005C509E" w:rsidRPr="00E9279E">
        <w:t>IDFS</w:t>
      </w:r>
      <w:r w:rsidRPr="00E9279E">
        <w:t xml:space="preserve"> rate</w:t>
      </w:r>
      <w:r w:rsidR="00442211" w:rsidRPr="00E9279E">
        <w:t>.</w:t>
      </w:r>
    </w:p>
    <w:p w14:paraId="7A77C547" w14:textId="77777777" w:rsidR="0074163C" w:rsidRPr="00E9279E" w:rsidRDefault="0074163C" w:rsidP="0074163C">
      <w:pPr>
        <w:pStyle w:val="Heading5"/>
      </w:pPr>
      <w:r w:rsidRPr="00E9279E">
        <w:t>Conclusion</w:t>
      </w:r>
    </w:p>
    <w:p w14:paraId="1CFECBEB" w14:textId="63A0F6C3" w:rsidR="00765EE2" w:rsidRPr="00E9279E" w:rsidRDefault="00765EE2" w:rsidP="00765EE2">
      <w:r w:rsidRPr="00E9279E">
        <w:t xml:space="preserve">The ACM advised that there is insufficient data at this time to make a recommendation on the overall risk benefit balance. The ACM awaits the provision of data in support of the baseline characteristics being balanced, namely clarification about the duration of therapy in the up to 16-month interval from surgery to enrolment and the time from imaging to randomisation. Notwithstanding the limitations, the ACM also expressed interest in the provision of the </w:t>
      </w:r>
      <w:r w:rsidR="00E5532D" w:rsidRPr="00E9279E">
        <w:t xml:space="preserve">overall survival </w:t>
      </w:r>
      <w:r w:rsidRPr="00E9279E">
        <w:t>data to see the direction of the trend, noting that this further data is expected in June 2022.</w:t>
      </w:r>
    </w:p>
    <w:p w14:paraId="458BA752" w14:textId="74A9198A" w:rsidR="008E7846" w:rsidRPr="00E9279E" w:rsidRDefault="008E7846" w:rsidP="00D212F3">
      <w:pPr>
        <w:pStyle w:val="Heading2"/>
      </w:pPr>
      <w:bookmarkStart w:id="93" w:name="_Toc118379561"/>
      <w:r w:rsidRPr="00E9279E">
        <w:t>Outcome</w:t>
      </w:r>
      <w:bookmarkEnd w:id="91"/>
      <w:bookmarkEnd w:id="92"/>
      <w:bookmarkEnd w:id="93"/>
    </w:p>
    <w:p w14:paraId="199EC5DD" w14:textId="74E99596" w:rsidR="0074163C" w:rsidRPr="00E9279E" w:rsidRDefault="0074163C" w:rsidP="0074163C">
      <w:bookmarkStart w:id="94" w:name="_Toc247691533"/>
      <w:bookmarkStart w:id="95" w:name="_Toc314842517"/>
      <w:r w:rsidRPr="00E9279E">
        <w:t xml:space="preserve">Based on a review of quality, </w:t>
      </w:r>
      <w:r w:rsidR="00CC5044" w:rsidRPr="00E9279E">
        <w:t>safety,</w:t>
      </w:r>
      <w:r w:rsidRPr="00E9279E">
        <w:t xml:space="preserve"> and efficacy, the TGA approved the registration of </w:t>
      </w:r>
      <w:proofErr w:type="spellStart"/>
      <w:r w:rsidR="00CB3109" w:rsidRPr="00E9279E">
        <w:t>Verzenio</w:t>
      </w:r>
      <w:proofErr w:type="spellEnd"/>
      <w:r w:rsidR="00CB3109" w:rsidRPr="00E9279E">
        <w:t xml:space="preserve"> </w:t>
      </w:r>
      <w:r w:rsidRPr="00E9279E">
        <w:t>(</w:t>
      </w:r>
      <w:proofErr w:type="spellStart"/>
      <w:r w:rsidR="00CB3109" w:rsidRPr="00E9279E">
        <w:t>abemaciclib</w:t>
      </w:r>
      <w:proofErr w:type="spellEnd"/>
      <w:r w:rsidRPr="00E9279E">
        <w:t xml:space="preserve">) </w:t>
      </w:r>
      <w:r w:rsidR="00A776FD" w:rsidRPr="00E9279E">
        <w:t>50 mg, 100 mg, 150 mg and 200 mg</w:t>
      </w:r>
      <w:r w:rsidRPr="00E9279E">
        <w:t xml:space="preserve">, </w:t>
      </w:r>
      <w:r w:rsidR="00A776FD" w:rsidRPr="00E9279E">
        <w:t>film coated tablet</w:t>
      </w:r>
      <w:r w:rsidRPr="00E9279E">
        <w:t xml:space="preserve">, </w:t>
      </w:r>
      <w:r w:rsidR="00A776FD" w:rsidRPr="00E9279E">
        <w:t>blister pack</w:t>
      </w:r>
      <w:r w:rsidRPr="00E9279E">
        <w:t>, for the following extension of indications:</w:t>
      </w:r>
    </w:p>
    <w:p w14:paraId="7463D842" w14:textId="1A4E5237" w:rsidR="00F41129" w:rsidRPr="00E9279E" w:rsidRDefault="00F41129" w:rsidP="00F41129">
      <w:pPr>
        <w:ind w:left="720"/>
        <w:rPr>
          <w:b/>
          <w:bCs/>
          <w:i/>
          <w:iCs/>
        </w:rPr>
      </w:pPr>
      <w:r w:rsidRPr="00E9279E">
        <w:rPr>
          <w:b/>
          <w:bCs/>
          <w:i/>
          <w:iCs/>
        </w:rPr>
        <w:t>Early breast cancer</w:t>
      </w:r>
    </w:p>
    <w:p w14:paraId="356C5EA7" w14:textId="57E02DD5" w:rsidR="00F41129" w:rsidRPr="00E9279E" w:rsidRDefault="00F41129" w:rsidP="00F41129">
      <w:pPr>
        <w:ind w:left="720"/>
        <w:rPr>
          <w:i/>
          <w:iCs/>
        </w:rPr>
      </w:pPr>
      <w:proofErr w:type="spellStart"/>
      <w:r w:rsidRPr="00E9279E">
        <w:rPr>
          <w:i/>
          <w:iCs/>
        </w:rPr>
        <w:t>Verzenio</w:t>
      </w:r>
      <w:proofErr w:type="spellEnd"/>
      <w:r w:rsidRPr="00E9279E">
        <w:rPr>
          <w:i/>
          <w:iCs/>
        </w:rPr>
        <w:t xml:space="preserve"> in combination with endocrine therapy is indicated for the adjuvant treatment of patients with hormone receptor (HR) positive, human epidermal growth factor receptor 2 (HER2) negative, node-positive early breast cancer at high risk of recurrence.</w:t>
      </w:r>
    </w:p>
    <w:p w14:paraId="7B19774A" w14:textId="1977FE1E" w:rsidR="0074163C" w:rsidRPr="00E9279E" w:rsidRDefault="00F41129" w:rsidP="00F41129">
      <w:pPr>
        <w:ind w:left="720"/>
        <w:rPr>
          <w:i/>
          <w:iCs/>
        </w:rPr>
      </w:pPr>
      <w:r w:rsidRPr="00E9279E">
        <w:rPr>
          <w:i/>
          <w:iCs/>
        </w:rPr>
        <w:t>In pre- or peri-menopausal women, endocrine therapy should be combined with a luteinising hormone-releasing hormone (LHRH) agonist.</w:t>
      </w:r>
    </w:p>
    <w:p w14:paraId="253B58F8" w14:textId="4E4B39A4" w:rsidR="0074163C" w:rsidRPr="00E9279E" w:rsidRDefault="0074163C" w:rsidP="0074163C">
      <w:r w:rsidRPr="00E9279E">
        <w:t xml:space="preserve">As such, the full indications </w:t>
      </w:r>
      <w:proofErr w:type="gramStart"/>
      <w:r w:rsidRPr="00E9279E">
        <w:t>at this time</w:t>
      </w:r>
      <w:proofErr w:type="gramEnd"/>
      <w:r w:rsidRPr="00E9279E">
        <w:t xml:space="preserve"> were:</w:t>
      </w:r>
    </w:p>
    <w:p w14:paraId="36EF2CAF" w14:textId="24D132E4" w:rsidR="00F41129" w:rsidRPr="00E9279E" w:rsidRDefault="00F41129" w:rsidP="00F41129">
      <w:pPr>
        <w:ind w:left="720"/>
        <w:rPr>
          <w:b/>
          <w:bCs/>
          <w:i/>
          <w:iCs/>
        </w:rPr>
      </w:pPr>
      <w:r w:rsidRPr="00E9279E">
        <w:rPr>
          <w:b/>
          <w:bCs/>
          <w:i/>
          <w:iCs/>
        </w:rPr>
        <w:t>Early breast cancer</w:t>
      </w:r>
    </w:p>
    <w:p w14:paraId="7CCFE094" w14:textId="3EBFEF56" w:rsidR="00F41129" w:rsidRPr="00E9279E" w:rsidRDefault="00F41129" w:rsidP="00F41129">
      <w:pPr>
        <w:ind w:left="720"/>
        <w:rPr>
          <w:i/>
          <w:iCs/>
        </w:rPr>
      </w:pPr>
      <w:proofErr w:type="spellStart"/>
      <w:r w:rsidRPr="00E9279E">
        <w:rPr>
          <w:i/>
          <w:iCs/>
        </w:rPr>
        <w:lastRenderedPageBreak/>
        <w:t>Verzenio</w:t>
      </w:r>
      <w:proofErr w:type="spellEnd"/>
      <w:r w:rsidRPr="00E9279E">
        <w:rPr>
          <w:i/>
          <w:iCs/>
        </w:rPr>
        <w:t xml:space="preserve"> in combination with endocrine therapy is indicated for the adjuvant treatment of patients with hormone receptor (HR) positive, human epidermal growth factor receptor 2 (HER2) negative, node-positive early breast cancer at high risk of recurrence.</w:t>
      </w:r>
    </w:p>
    <w:p w14:paraId="4DE794DC" w14:textId="644D7DA6" w:rsidR="00F41129" w:rsidRPr="00E9279E" w:rsidRDefault="00F41129" w:rsidP="00F41129">
      <w:pPr>
        <w:ind w:left="720"/>
        <w:rPr>
          <w:i/>
          <w:iCs/>
        </w:rPr>
      </w:pPr>
      <w:r w:rsidRPr="00E9279E">
        <w:rPr>
          <w:i/>
          <w:iCs/>
        </w:rPr>
        <w:t>In pre- or peri-menopausal women, endocrine therapy should be combined with a luteinising hormone-releasing hormone (LHRH) agonist.</w:t>
      </w:r>
    </w:p>
    <w:p w14:paraId="4846A8F1" w14:textId="3AE16227" w:rsidR="00F41129" w:rsidRPr="00E9279E" w:rsidRDefault="00F41129" w:rsidP="00F41129">
      <w:pPr>
        <w:ind w:left="720"/>
        <w:rPr>
          <w:b/>
          <w:bCs/>
          <w:i/>
          <w:iCs/>
        </w:rPr>
      </w:pPr>
      <w:r w:rsidRPr="00E9279E">
        <w:rPr>
          <w:b/>
          <w:bCs/>
          <w:i/>
          <w:iCs/>
        </w:rPr>
        <w:t xml:space="preserve">Advanced </w:t>
      </w:r>
      <w:r w:rsidR="00033AC2" w:rsidRPr="00E9279E">
        <w:rPr>
          <w:b/>
          <w:bCs/>
          <w:i/>
          <w:iCs/>
        </w:rPr>
        <w:t>or metastatic breast cancer</w:t>
      </w:r>
    </w:p>
    <w:p w14:paraId="59CC0A67" w14:textId="4B1B6D42" w:rsidR="00F41129" w:rsidRPr="00E9279E" w:rsidRDefault="00F1337D" w:rsidP="00F41129">
      <w:pPr>
        <w:ind w:left="720"/>
        <w:rPr>
          <w:i/>
          <w:iCs/>
        </w:rPr>
      </w:pPr>
      <w:proofErr w:type="spellStart"/>
      <w:r w:rsidRPr="00E9279E">
        <w:rPr>
          <w:i/>
          <w:iCs/>
        </w:rPr>
        <w:t>Verzenio</w:t>
      </w:r>
      <w:proofErr w:type="spellEnd"/>
      <w:r w:rsidR="00F41129" w:rsidRPr="00E9279E">
        <w:rPr>
          <w:i/>
          <w:iCs/>
        </w:rPr>
        <w:t xml:space="preserve"> is indicated for the treatment of hormone receptor (HR) positive, human epidermal growth factor receptor 2 (HER2) negative locally advanced or metastatic breast cancer in combination with an aromatase inhibitor or </w:t>
      </w:r>
      <w:proofErr w:type="spellStart"/>
      <w:r w:rsidR="00F41129" w:rsidRPr="00E9279E">
        <w:rPr>
          <w:i/>
          <w:iCs/>
        </w:rPr>
        <w:t>fulvestrant</w:t>
      </w:r>
      <w:proofErr w:type="spellEnd"/>
      <w:r w:rsidR="00F41129" w:rsidRPr="00E9279E">
        <w:rPr>
          <w:i/>
          <w:iCs/>
        </w:rPr>
        <w:t xml:space="preserve"> as initial endocrine-based </w:t>
      </w:r>
      <w:proofErr w:type="gramStart"/>
      <w:r w:rsidR="00F41129" w:rsidRPr="00E9279E">
        <w:rPr>
          <w:i/>
          <w:iCs/>
        </w:rPr>
        <w:t>therapy, or</w:t>
      </w:r>
      <w:proofErr w:type="gramEnd"/>
      <w:r w:rsidR="00F41129" w:rsidRPr="00E9279E">
        <w:rPr>
          <w:i/>
          <w:iCs/>
        </w:rPr>
        <w:t xml:space="preserve"> following prior endocrine therapy.</w:t>
      </w:r>
    </w:p>
    <w:p w14:paraId="653D1578" w14:textId="03B7FDFE" w:rsidR="00F41129" w:rsidRPr="00E9279E" w:rsidRDefault="00F41129" w:rsidP="00F41129">
      <w:pPr>
        <w:ind w:left="720"/>
        <w:rPr>
          <w:i/>
          <w:iCs/>
        </w:rPr>
      </w:pPr>
      <w:r w:rsidRPr="00E9279E">
        <w:rPr>
          <w:i/>
          <w:iCs/>
        </w:rPr>
        <w:t>In pre- or peri-menopausal women, the endocrine therapy should be combined with a luteinising hormone-releasing hormone (LHRH) agonist.</w:t>
      </w:r>
    </w:p>
    <w:p w14:paraId="4110C79C" w14:textId="77777777" w:rsidR="00D23139" w:rsidRPr="00E9279E" w:rsidRDefault="00D23139" w:rsidP="00D212F3">
      <w:pPr>
        <w:pStyle w:val="Heading3"/>
      </w:pPr>
      <w:bookmarkStart w:id="96" w:name="_Toc118379562"/>
      <w:r w:rsidRPr="00E9279E">
        <w:t>Specific conditions of registration applying to these goods</w:t>
      </w:r>
      <w:bookmarkEnd w:id="96"/>
    </w:p>
    <w:p w14:paraId="700BE102" w14:textId="31278044" w:rsidR="00F41129" w:rsidRPr="00E9279E" w:rsidRDefault="00F41129" w:rsidP="00F41129">
      <w:pPr>
        <w:pStyle w:val="ListBullet"/>
      </w:pPr>
      <w:r w:rsidRPr="00E9279E">
        <w:t xml:space="preserve">Related to the </w:t>
      </w:r>
      <w:r w:rsidR="002F1A84" w:rsidRPr="00E9279E">
        <w:t>MONARCHE</w:t>
      </w:r>
      <w:r w:rsidRPr="00E9279E">
        <w:t xml:space="preserve"> study (Study 13Y-MC-JPCF), as the sponsor agreed by email on 29</w:t>
      </w:r>
      <w:r w:rsidR="00442211" w:rsidRPr="00E9279E">
        <w:t> </w:t>
      </w:r>
      <w:r w:rsidRPr="00E9279E">
        <w:t>April</w:t>
      </w:r>
      <w:r w:rsidR="00442211" w:rsidRPr="00E9279E">
        <w:t> </w:t>
      </w:r>
      <w:r w:rsidRPr="00E9279E">
        <w:t xml:space="preserve">2022, </w:t>
      </w:r>
      <w:r w:rsidR="00442211" w:rsidRPr="00E9279E">
        <w:t>[the sponsor]</w:t>
      </w:r>
      <w:r w:rsidRPr="00E9279E">
        <w:t xml:space="preserve"> will:</w:t>
      </w:r>
    </w:p>
    <w:p w14:paraId="12C3EFEF" w14:textId="27C2093E" w:rsidR="00F41129" w:rsidRPr="00E9279E" w:rsidRDefault="00F41129" w:rsidP="00F41129">
      <w:pPr>
        <w:pStyle w:val="ListBullet2"/>
      </w:pPr>
      <w:r w:rsidRPr="00E9279E">
        <w:t>submit the following for evaluation</w:t>
      </w:r>
      <w:r w:rsidR="00442211" w:rsidRPr="00E9279E">
        <w:t>:</w:t>
      </w:r>
    </w:p>
    <w:p w14:paraId="01D84E03" w14:textId="7D9AFC9D" w:rsidR="00F41129" w:rsidRPr="00E9279E" w:rsidRDefault="00F41129" w:rsidP="00F41129">
      <w:pPr>
        <w:pStyle w:val="ListBullet3"/>
      </w:pPr>
      <w:r w:rsidRPr="00E9279E">
        <w:t>The updated clinical study findings at the Interim Overall Survival Analysis</w:t>
      </w:r>
      <w:r w:rsidR="00442211" w:rsidRPr="00E9279E">
        <w:t> </w:t>
      </w:r>
      <w:r w:rsidRPr="00E9279E">
        <w:t>2</w:t>
      </w:r>
      <w:r w:rsidR="00F86A77" w:rsidRPr="00E9279E">
        <w:t>.</w:t>
      </w:r>
    </w:p>
    <w:p w14:paraId="623586AE" w14:textId="3DDA1D81" w:rsidR="00F41129" w:rsidRPr="00E9279E" w:rsidRDefault="00F41129" w:rsidP="00F41129">
      <w:pPr>
        <w:pStyle w:val="ListBullet3"/>
      </w:pPr>
      <w:r w:rsidRPr="00E9279E">
        <w:t>The updated clinical study findings at the Interim Overal</w:t>
      </w:r>
      <w:r w:rsidR="004052B5" w:rsidRPr="00E9279E">
        <w:t xml:space="preserve">l Survival </w:t>
      </w:r>
      <w:r w:rsidRPr="00E9279E">
        <w:t>Analysis</w:t>
      </w:r>
      <w:r w:rsidR="00442211" w:rsidRPr="00E9279E">
        <w:t> </w:t>
      </w:r>
      <w:r w:rsidRPr="00E9279E">
        <w:t>3</w:t>
      </w:r>
      <w:r w:rsidR="00F86A77" w:rsidRPr="00E9279E">
        <w:t>.</w:t>
      </w:r>
    </w:p>
    <w:p w14:paraId="3A7CA6E4" w14:textId="73AAAB1D" w:rsidR="00F41129" w:rsidRPr="00E9279E" w:rsidRDefault="00F41129" w:rsidP="00F41129">
      <w:pPr>
        <w:pStyle w:val="ListBullet3"/>
      </w:pPr>
      <w:r w:rsidRPr="00E9279E">
        <w:t>The final clinical study report</w:t>
      </w:r>
      <w:r w:rsidR="00F86A77" w:rsidRPr="00E9279E">
        <w:t>.</w:t>
      </w:r>
    </w:p>
    <w:p w14:paraId="286E6B9E" w14:textId="6D75D997" w:rsidR="00F41129" w:rsidRPr="00E9279E" w:rsidRDefault="00F41129" w:rsidP="00F41129">
      <w:pPr>
        <w:pStyle w:val="ListBullet2"/>
      </w:pPr>
      <w:r w:rsidRPr="00E9279E">
        <w:t>abide by commitments made in writing to TGA on 29 April 2022 regarding PI amendments and the socialising of any major negative findings to HCPs</w:t>
      </w:r>
      <w:r w:rsidR="007D07F9" w:rsidRPr="00E9279E">
        <w:t xml:space="preserve"> [</w:t>
      </w:r>
      <w:r w:rsidR="00242918" w:rsidRPr="00E9279E">
        <w:t>h</w:t>
      </w:r>
      <w:r w:rsidR="007D07F9" w:rsidRPr="00E9279E">
        <w:t>ealthcare professionals]</w:t>
      </w:r>
      <w:r w:rsidRPr="00E9279E">
        <w:t>.</w:t>
      </w:r>
    </w:p>
    <w:p w14:paraId="7510FA7B" w14:textId="3B432F5D" w:rsidR="008E7846" w:rsidRPr="00E9279E" w:rsidRDefault="00A80B5B" w:rsidP="00D23139">
      <w:pPr>
        <w:pStyle w:val="Heading2"/>
      </w:pPr>
      <w:bookmarkStart w:id="97" w:name="_Toc118379563"/>
      <w:r w:rsidRPr="00E9279E">
        <w:t xml:space="preserve">Attachment 1. </w:t>
      </w:r>
      <w:r w:rsidR="008E7846" w:rsidRPr="00E9279E">
        <w:t xml:space="preserve">Product </w:t>
      </w:r>
      <w:r w:rsidR="00AA0ED0" w:rsidRPr="00E9279E">
        <w:t>I</w:t>
      </w:r>
      <w:r w:rsidR="008E7846" w:rsidRPr="00E9279E">
        <w:t>nformation</w:t>
      </w:r>
      <w:bookmarkEnd w:id="94"/>
      <w:bookmarkEnd w:id="95"/>
      <w:bookmarkEnd w:id="97"/>
    </w:p>
    <w:p w14:paraId="27662517" w14:textId="5B24C213" w:rsidR="00523A21" w:rsidRPr="00E9279E" w:rsidRDefault="006136D7" w:rsidP="00C80137">
      <w:r w:rsidRPr="00E9279E">
        <w:t xml:space="preserve">The PI for </w:t>
      </w:r>
      <w:proofErr w:type="spellStart"/>
      <w:r w:rsidR="00CB3109" w:rsidRPr="00E9279E">
        <w:t>Verzenio</w:t>
      </w:r>
      <w:proofErr w:type="spellEnd"/>
      <w:r w:rsidR="00CB3109" w:rsidRPr="00E9279E">
        <w:t xml:space="preserve"> </w:t>
      </w:r>
      <w:r w:rsidRPr="00E9279E">
        <w:t xml:space="preserve">approved with the submission which is described in this </w:t>
      </w:r>
      <w:proofErr w:type="spellStart"/>
      <w:r w:rsidRPr="00E9279E">
        <w:t>AusPAR</w:t>
      </w:r>
      <w:proofErr w:type="spellEnd"/>
      <w:r w:rsidRPr="00E9279E">
        <w:t xml:space="preserve"> is at Attachment 1.</w:t>
      </w:r>
      <w:r w:rsidR="00CC5044" w:rsidRPr="00E9279E">
        <w:t xml:space="preserve"> </w:t>
      </w:r>
      <w:r w:rsidR="0074163C" w:rsidRPr="00E9279E">
        <w:t xml:space="preserve">For the most recent PI, please refer to the TGA </w:t>
      </w:r>
      <w:hyperlink r:id="rId33" w:history="1">
        <w:r w:rsidR="0074163C" w:rsidRPr="00E9279E">
          <w:rPr>
            <w:rStyle w:val="Hyperlink"/>
          </w:rPr>
          <w:t>PI/CMI search facility</w:t>
        </w:r>
        <w:r w:rsidR="0074163C" w:rsidRPr="00E9279E">
          <w:rPr>
            <w:rStyle w:val="Hyperlink"/>
            <w:color w:val="auto"/>
            <w:u w:val="none"/>
          </w:rPr>
          <w:t>.</w:t>
        </w:r>
      </w:hyperlink>
    </w:p>
    <w:p w14:paraId="084B1F44" w14:textId="7E3E1486" w:rsidR="00C80137" w:rsidRPr="00E9279E" w:rsidRDefault="008E7846" w:rsidP="005B7CD0">
      <w:pPr>
        <w:sectPr w:rsidR="00C80137" w:rsidRPr="00E9279E" w:rsidSect="00B452CE">
          <w:headerReference w:type="even" r:id="rId34"/>
          <w:headerReference w:type="default" r:id="rId35"/>
          <w:headerReference w:type="first" r:id="rId36"/>
          <w:footerReference w:type="first" r:id="rId37"/>
          <w:pgSz w:w="11906" w:h="16838" w:code="9"/>
          <w:pgMar w:top="834" w:right="1701" w:bottom="1191" w:left="1701" w:header="907" w:footer="216" w:gutter="0"/>
          <w:cols w:space="708"/>
          <w:docGrid w:linePitch="360"/>
        </w:sectPr>
      </w:pPr>
      <w:r w:rsidRPr="00E9279E">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E9279E" w14:paraId="72B61A65" w14:textId="77777777" w:rsidTr="00A05FA4">
        <w:trPr>
          <w:trHeight w:hRule="exact" w:val="704"/>
        </w:trPr>
        <w:tc>
          <w:tcPr>
            <w:tcW w:w="9175" w:type="dxa"/>
          </w:tcPr>
          <w:p w14:paraId="44FB2B3A" w14:textId="77777777" w:rsidR="001C32CD" w:rsidRPr="00E9279E" w:rsidRDefault="001C32CD" w:rsidP="00A05FA4">
            <w:pPr>
              <w:pStyle w:val="TGASignoff"/>
            </w:pPr>
            <w:r w:rsidRPr="00E9279E">
              <w:lastRenderedPageBreak/>
              <w:t>Therapeutic Goods Administration</w:t>
            </w:r>
          </w:p>
        </w:tc>
      </w:tr>
      <w:tr w:rsidR="001C32CD" w:rsidRPr="004C239D" w14:paraId="2DC1896E" w14:textId="77777777" w:rsidTr="00A05FA4">
        <w:trPr>
          <w:trHeight w:val="1221"/>
        </w:trPr>
        <w:tc>
          <w:tcPr>
            <w:tcW w:w="9175" w:type="dxa"/>
            <w:tcMar>
              <w:top w:w="28" w:type="dxa"/>
            </w:tcMar>
          </w:tcPr>
          <w:p w14:paraId="4F1F9C16" w14:textId="77777777" w:rsidR="001C32CD" w:rsidRPr="00E9279E" w:rsidRDefault="001C32CD" w:rsidP="00A05FA4">
            <w:pPr>
              <w:pStyle w:val="Address"/>
            </w:pPr>
            <w:r w:rsidRPr="00E9279E">
              <w:t>PO Box 100 Woden ACT 2606 Australia</w:t>
            </w:r>
          </w:p>
          <w:p w14:paraId="0AB3DA87" w14:textId="2C3628D9" w:rsidR="001C32CD" w:rsidRPr="00E9279E" w:rsidRDefault="001C32CD" w:rsidP="00A05FA4">
            <w:pPr>
              <w:pStyle w:val="Address"/>
            </w:pPr>
            <w:r w:rsidRPr="00E9279E">
              <w:t xml:space="preserve">Email: </w:t>
            </w:r>
            <w:hyperlink r:id="rId38" w:history="1">
              <w:r w:rsidRPr="00E9279E">
                <w:rPr>
                  <w:rStyle w:val="Hyperlink"/>
                </w:rPr>
                <w:t>info@tga.gov.au</w:t>
              </w:r>
            </w:hyperlink>
            <w:r w:rsidRPr="00E9279E">
              <w:t xml:space="preserve">  Phone: 1800 020 </w:t>
            </w:r>
            <w:proofErr w:type="gramStart"/>
            <w:r w:rsidRPr="00E9279E">
              <w:t>653  Fax</w:t>
            </w:r>
            <w:proofErr w:type="gramEnd"/>
            <w:r w:rsidRPr="00E9279E">
              <w:t>: 02 6232 8605</w:t>
            </w:r>
          </w:p>
          <w:p w14:paraId="30D31B0D" w14:textId="34C9CD6C" w:rsidR="001C32CD" w:rsidRPr="004C239D" w:rsidRDefault="000C44E7" w:rsidP="00A05FA4">
            <w:pPr>
              <w:pStyle w:val="Address"/>
              <w:spacing w:line="260" w:lineRule="atLeast"/>
              <w:rPr>
                <w:b/>
                <w:color w:val="0000FF"/>
                <w:u w:val="single"/>
              </w:rPr>
            </w:pPr>
            <w:hyperlink r:id="rId39" w:history="1">
              <w:r w:rsidR="007C6B9B" w:rsidRPr="00E9279E">
                <w:rPr>
                  <w:rStyle w:val="Hyperlink"/>
                  <w:b/>
                </w:rPr>
                <w:t>https://www.tga.gov.au</w:t>
              </w:r>
            </w:hyperlink>
          </w:p>
        </w:tc>
      </w:tr>
    </w:tbl>
    <w:p w14:paraId="74C21447" w14:textId="77777777" w:rsidR="00774E1D" w:rsidRPr="008A5E0B" w:rsidRDefault="00774E1D" w:rsidP="004C239D"/>
    <w:sectPr w:rsidR="00774E1D" w:rsidRPr="008A5E0B" w:rsidSect="001C32CD">
      <w:headerReference w:type="even" r:id="rId40"/>
      <w:headerReference w:type="default" r:id="rId41"/>
      <w:footerReference w:type="default" r:id="rId42"/>
      <w:headerReference w:type="first" r:id="rId43"/>
      <w:footerReference w:type="first" r:id="rId44"/>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EE422" w14:textId="77777777" w:rsidR="00A802EA" w:rsidRDefault="00A802EA" w:rsidP="00C40A36">
      <w:pPr>
        <w:spacing w:after="0"/>
      </w:pPr>
      <w:r>
        <w:separator/>
      </w:r>
    </w:p>
  </w:endnote>
  <w:endnote w:type="continuationSeparator" w:id="0">
    <w:p w14:paraId="55B421D1" w14:textId="77777777" w:rsidR="00A802EA" w:rsidRDefault="00A802E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MS Mincho"/>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A802EA" w:rsidRPr="00487162" w14:paraId="783D6234" w14:textId="77777777" w:rsidTr="00DB750B">
      <w:trPr>
        <w:trHeight w:val="269"/>
      </w:trPr>
      <w:tc>
        <w:tcPr>
          <w:tcW w:w="7371" w:type="dxa"/>
          <w:tcMar>
            <w:top w:w="142" w:type="dxa"/>
            <w:bottom w:w="0" w:type="dxa"/>
          </w:tcMar>
        </w:tcPr>
        <w:p w14:paraId="3E1223F0" w14:textId="2E903353" w:rsidR="00A802EA" w:rsidRPr="00487162" w:rsidRDefault="00A802EA" w:rsidP="00460036">
          <w:pPr>
            <w:pStyle w:val="Footer"/>
          </w:pPr>
          <w:proofErr w:type="spellStart"/>
          <w:r w:rsidRPr="00487162">
            <w:t>AusPA</w:t>
          </w:r>
          <w:r>
            <w:t>R</w:t>
          </w:r>
          <w:proofErr w:type="spellEnd"/>
          <w:r>
            <w:t xml:space="preserve"> - </w:t>
          </w:r>
          <w:proofErr w:type="spellStart"/>
          <w:r w:rsidRPr="00CB3109">
            <w:t>Verzenio</w:t>
          </w:r>
          <w:proofErr w:type="spellEnd"/>
          <w:r w:rsidRPr="00CB3109">
            <w:t xml:space="preserve"> </w:t>
          </w:r>
          <w:r>
            <w:t>-</w:t>
          </w:r>
          <w:r w:rsidRPr="00460036">
            <w:t xml:space="preserve"> </w:t>
          </w:r>
          <w:proofErr w:type="spellStart"/>
          <w:r w:rsidRPr="00CB3109">
            <w:t>abemaciclib</w:t>
          </w:r>
          <w:proofErr w:type="spellEnd"/>
          <w:r w:rsidRPr="00460036">
            <w:t xml:space="preserve"> </w:t>
          </w:r>
          <w:r>
            <w:t xml:space="preserve">- </w:t>
          </w:r>
          <w:r w:rsidRPr="00CB3109">
            <w:t>Eli Lilly Australia Pty Ltd</w:t>
          </w:r>
          <w:r>
            <w:t xml:space="preserve"> - </w:t>
          </w:r>
          <w:r w:rsidRPr="00CB3109">
            <w:t>PM-2020-06568-1-4</w:t>
          </w:r>
          <w:r>
            <w:br/>
          </w:r>
          <w:r w:rsidR="00E32FD0">
            <w:t xml:space="preserve">Final </w:t>
          </w:r>
          <w:r w:rsidR="0031603E">
            <w:t>3</w:t>
          </w:r>
          <w:r w:rsidR="00E32FD0">
            <w:t xml:space="preserve"> November 2022</w:t>
          </w:r>
        </w:p>
      </w:tc>
      <w:tc>
        <w:tcPr>
          <w:tcW w:w="1490" w:type="dxa"/>
          <w:tcMar>
            <w:top w:w="142" w:type="dxa"/>
            <w:bottom w:w="0" w:type="dxa"/>
          </w:tcMar>
        </w:tcPr>
        <w:p w14:paraId="58F98A59" w14:textId="03289836" w:rsidR="00A802EA" w:rsidRPr="00487162" w:rsidRDefault="00A802EA" w:rsidP="00DB750B">
          <w:pPr>
            <w:pStyle w:val="Footer"/>
            <w:jc w:val="right"/>
          </w:pPr>
          <w:r w:rsidRPr="00487162">
            <w:t xml:space="preserve">Page </w:t>
          </w:r>
          <w:r>
            <w:fldChar w:fldCharType="begin"/>
          </w:r>
          <w:r>
            <w:instrText xml:space="preserve"> PAGE  \* Arabic </w:instrText>
          </w:r>
          <w:r>
            <w:fldChar w:fldCharType="separate"/>
          </w:r>
          <w:r w:rsidR="0003346F">
            <w:rPr>
              <w:noProof/>
            </w:rPr>
            <w:t>8</w:t>
          </w:r>
          <w:r>
            <w:fldChar w:fldCharType="end"/>
          </w:r>
          <w:r w:rsidRPr="00487162">
            <w:t xml:space="preserve"> of </w:t>
          </w:r>
          <w:r w:rsidR="000C44E7">
            <w:fldChar w:fldCharType="begin"/>
          </w:r>
          <w:r w:rsidR="000C44E7">
            <w:instrText xml:space="preserve"> NUMPAGES  \* Arabic </w:instrText>
          </w:r>
          <w:r w:rsidR="000C44E7">
            <w:fldChar w:fldCharType="separate"/>
          </w:r>
          <w:r w:rsidR="0003346F">
            <w:rPr>
              <w:noProof/>
            </w:rPr>
            <w:t>51</w:t>
          </w:r>
          <w:r w:rsidR="000C44E7">
            <w:rPr>
              <w:noProof/>
            </w:rPr>
            <w:fldChar w:fldCharType="end"/>
          </w:r>
        </w:p>
      </w:tc>
    </w:tr>
  </w:tbl>
  <w:p w14:paraId="65ED57FA" w14:textId="77777777" w:rsidR="00A802EA" w:rsidRDefault="00A802EA"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802EA" w:rsidRPr="00487162" w14:paraId="4D5E979C" w14:textId="77777777" w:rsidTr="00E45619">
      <w:trPr>
        <w:trHeight w:val="269"/>
      </w:trPr>
      <w:tc>
        <w:tcPr>
          <w:tcW w:w="4519" w:type="dxa"/>
          <w:tcBorders>
            <w:top w:val="single" w:sz="4" w:space="0" w:color="auto"/>
          </w:tcBorders>
          <w:tcMar>
            <w:top w:w="142" w:type="dxa"/>
            <w:bottom w:w="0" w:type="dxa"/>
          </w:tcMar>
        </w:tcPr>
        <w:p w14:paraId="68288037" w14:textId="77777777" w:rsidR="00A802EA" w:rsidRPr="00487162" w:rsidRDefault="00A802EA" w:rsidP="00FE1DEE">
          <w:pPr>
            <w:pStyle w:val="Footer"/>
          </w:pPr>
          <w:r w:rsidRPr="00487162">
            <w:t>Document title, Part #, Section # - Section title</w:t>
          </w:r>
        </w:p>
        <w:p w14:paraId="74CBB57D" w14:textId="77777777" w:rsidR="00A802EA" w:rsidRPr="00487162" w:rsidRDefault="00A802EA" w:rsidP="00FE1DEE">
          <w:pPr>
            <w:pStyle w:val="Footer"/>
          </w:pPr>
          <w:r w:rsidRPr="00487162">
            <w:t>V1.0 October 2010</w:t>
          </w:r>
        </w:p>
      </w:tc>
      <w:tc>
        <w:tcPr>
          <w:tcW w:w="4342" w:type="dxa"/>
          <w:tcBorders>
            <w:top w:val="single" w:sz="4" w:space="0" w:color="auto"/>
          </w:tcBorders>
          <w:tcMar>
            <w:top w:w="142" w:type="dxa"/>
            <w:bottom w:w="0" w:type="dxa"/>
          </w:tcMar>
        </w:tcPr>
        <w:p w14:paraId="45FE71BF" w14:textId="77777777" w:rsidR="00A802EA" w:rsidRPr="00487162" w:rsidRDefault="00A802E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0C44E7">
            <w:fldChar w:fldCharType="begin"/>
          </w:r>
          <w:r w:rsidR="000C44E7">
            <w:instrText xml:space="preserve"> NUMPAGES  </w:instrText>
          </w:r>
          <w:r w:rsidR="000C44E7">
            <w:fldChar w:fldCharType="separate"/>
          </w:r>
          <w:r>
            <w:rPr>
              <w:noProof/>
            </w:rPr>
            <w:t>21</w:t>
          </w:r>
          <w:r w:rsidR="000C44E7">
            <w:rPr>
              <w:noProof/>
            </w:rPr>
            <w:fldChar w:fldCharType="end"/>
          </w:r>
        </w:p>
      </w:tc>
    </w:tr>
  </w:tbl>
  <w:p w14:paraId="40EB12BD" w14:textId="77777777" w:rsidR="00A802EA" w:rsidRDefault="00A802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1CC66" w14:textId="77777777" w:rsidR="00A802EA" w:rsidRPr="001C32CD" w:rsidRDefault="00A802EA"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802EA" w14:paraId="60785248" w14:textId="77777777" w:rsidTr="0010601F">
      <w:trPr>
        <w:trHeight w:val="108"/>
      </w:trPr>
      <w:tc>
        <w:tcPr>
          <w:tcW w:w="8875" w:type="dxa"/>
          <w:gridSpan w:val="2"/>
          <w:tcBorders>
            <w:bottom w:val="single" w:sz="4" w:space="0" w:color="auto"/>
          </w:tcBorders>
          <w:tcMar>
            <w:right w:w="284" w:type="dxa"/>
          </w:tcMar>
        </w:tcPr>
        <w:p w14:paraId="262BBA74" w14:textId="77777777" w:rsidR="00A802EA" w:rsidRDefault="00A802EA" w:rsidP="006E08B3">
          <w:pPr>
            <w:pStyle w:val="Heading3"/>
          </w:pPr>
          <w:r>
            <w:t>Copyright</w:t>
          </w:r>
        </w:p>
        <w:p w14:paraId="769CC0CA" w14:textId="77777777" w:rsidR="00A802EA" w:rsidRDefault="00A802EA" w:rsidP="006E08B3">
          <w:r>
            <w:rPr>
              <w:rFonts w:cs="Arial"/>
            </w:rPr>
            <w:t>©</w:t>
          </w:r>
          <w:r>
            <w:t xml:space="preserve"> Commonwealth of Australia [add year]</w:t>
          </w:r>
        </w:p>
        <w:p w14:paraId="769CFE9D" w14:textId="77777777" w:rsidR="00A802EA" w:rsidRDefault="00A802EA" w:rsidP="006E08B3"/>
        <w:p w14:paraId="7FE0C956" w14:textId="77777777" w:rsidR="00A802EA" w:rsidRDefault="00A802E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6D98F5A1" w14:textId="77777777" w:rsidR="00A802EA" w:rsidRDefault="00A802EA" w:rsidP="006E08B3"/>
        <w:p w14:paraId="20141867" w14:textId="77777777" w:rsidR="00A802EA" w:rsidRDefault="00A802EA" w:rsidP="006E08B3">
          <w:pPr>
            <w:pStyle w:val="Heading3"/>
          </w:pPr>
          <w:r>
            <w:t>Confidentiality</w:t>
          </w:r>
        </w:p>
        <w:p w14:paraId="3DF8E516" w14:textId="77777777" w:rsidR="00A802EA" w:rsidRDefault="00A802E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0794347" w14:textId="77777777" w:rsidR="00A802EA" w:rsidRDefault="00A802EA" w:rsidP="006E08B3"/>
        <w:p w14:paraId="1716BCCF" w14:textId="77777777" w:rsidR="00A802EA" w:rsidRDefault="00A802EA" w:rsidP="006E08B3">
          <w:r>
            <w:t>For submission made by individuals, all personal details, other than your name, will be removed from your submission before it is published on the TGA’s Internet site.</w:t>
          </w:r>
        </w:p>
        <w:p w14:paraId="5E5605A6" w14:textId="77777777" w:rsidR="00A802EA" w:rsidRDefault="00A802EA" w:rsidP="006E08B3"/>
        <w:p w14:paraId="252390D7" w14:textId="77777777" w:rsidR="00A802EA" w:rsidRDefault="00A802EA" w:rsidP="006E08B3">
          <w:r>
            <w:t>In addition, a list of parties making submissions will be published. If you do not wish to be identified with your submission you must specifically request this in the space provided in the submission coversheet.</w:t>
          </w:r>
        </w:p>
      </w:tc>
    </w:tr>
    <w:tr w:rsidR="00A802EA" w14:paraId="4FF4E626" w14:textId="77777777" w:rsidTr="0010601F">
      <w:trPr>
        <w:trHeight w:val="417"/>
      </w:trPr>
      <w:tc>
        <w:tcPr>
          <w:tcW w:w="4519" w:type="dxa"/>
          <w:tcBorders>
            <w:top w:val="single" w:sz="4" w:space="0" w:color="auto"/>
          </w:tcBorders>
          <w:tcMar>
            <w:top w:w="142" w:type="dxa"/>
            <w:bottom w:w="0" w:type="dxa"/>
          </w:tcMar>
        </w:tcPr>
        <w:p w14:paraId="02F98D9E" w14:textId="77777777" w:rsidR="00A802EA" w:rsidRDefault="00A802EA" w:rsidP="006E08B3">
          <w:r>
            <w:t>Document title, Part #, Section # - Section title</w:t>
          </w:r>
        </w:p>
        <w:p w14:paraId="3ABAAABC" w14:textId="77777777" w:rsidR="00A802EA" w:rsidRDefault="00A802EA" w:rsidP="006E08B3">
          <w:r>
            <w:t>V1.0 October 2010</w:t>
          </w:r>
        </w:p>
      </w:tc>
      <w:tc>
        <w:tcPr>
          <w:tcW w:w="4356" w:type="dxa"/>
          <w:tcBorders>
            <w:top w:val="single" w:sz="4" w:space="0" w:color="auto"/>
          </w:tcBorders>
          <w:tcMar>
            <w:top w:w="142" w:type="dxa"/>
            <w:bottom w:w="0" w:type="dxa"/>
          </w:tcMar>
        </w:tcPr>
        <w:p w14:paraId="2634BAF4" w14:textId="77777777" w:rsidR="00A802EA" w:rsidRDefault="00A802E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0C44E7">
            <w:fldChar w:fldCharType="begin"/>
          </w:r>
          <w:r w:rsidR="000C44E7">
            <w:instrText xml:space="preserve"> NUMPAGES  \* Arabic </w:instrText>
          </w:r>
          <w:r w:rsidR="000C44E7">
            <w:fldChar w:fldCharType="separate"/>
          </w:r>
          <w:r>
            <w:rPr>
              <w:noProof/>
            </w:rPr>
            <w:t>21</w:t>
          </w:r>
          <w:r w:rsidR="000C44E7">
            <w:rPr>
              <w:noProof/>
            </w:rPr>
            <w:fldChar w:fldCharType="end"/>
          </w:r>
          <w:r>
            <w:t xml:space="preserve">  </w:t>
          </w:r>
        </w:p>
      </w:tc>
    </w:tr>
  </w:tbl>
  <w:p w14:paraId="012E32E6" w14:textId="77777777" w:rsidR="00A802EA" w:rsidRDefault="00A802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0E765" w14:textId="77777777" w:rsidR="00A802EA" w:rsidRDefault="00A802EA" w:rsidP="00C40A36">
      <w:pPr>
        <w:spacing w:after="0"/>
      </w:pPr>
      <w:r>
        <w:separator/>
      </w:r>
    </w:p>
  </w:footnote>
  <w:footnote w:type="continuationSeparator" w:id="0">
    <w:p w14:paraId="56F287D5" w14:textId="77777777" w:rsidR="00A802EA" w:rsidRDefault="00A802EA" w:rsidP="00C40A36">
      <w:pPr>
        <w:spacing w:after="0"/>
      </w:pPr>
      <w:r>
        <w:continuationSeparator/>
      </w:r>
    </w:p>
  </w:footnote>
  <w:footnote w:id="1">
    <w:p w14:paraId="61506362" w14:textId="48B31DB1" w:rsidR="00A802EA" w:rsidRDefault="00A802EA">
      <w:pPr>
        <w:pStyle w:val="FootnoteText"/>
      </w:pPr>
      <w:r w:rsidRPr="003607DF">
        <w:rPr>
          <w:rStyle w:val="FootnoteReference"/>
        </w:rPr>
        <w:footnoteRef/>
      </w:r>
      <w:r w:rsidRPr="003607DF">
        <w:t xml:space="preserve"> Cancer Australia. </w:t>
      </w:r>
      <w:proofErr w:type="gramStart"/>
      <w:r w:rsidRPr="003607DF">
        <w:t>Breast Cancer in Australia Statistics,</w:t>
      </w:r>
      <w:proofErr w:type="gramEnd"/>
      <w:r w:rsidRPr="003607DF">
        <w:t xml:space="preserve"> last updated 15 September 2022. Available at: </w:t>
      </w:r>
      <w:hyperlink r:id="rId1" w:anchor=":~:text=The%20number%20of%20new%20cases,cases%20per%20100%2C000%20in%202018" w:history="1">
        <w:r w:rsidRPr="003607DF">
          <w:rPr>
            <w:rStyle w:val="Hyperlink"/>
          </w:rPr>
          <w:t>https://www.canceraustralia.gov.au/cancer-types/breast-cancer/statistics#:~:text=The%20number%20of%20new%20cases,cases%20per%20100%2C000%20in%202018</w:t>
        </w:r>
      </w:hyperlink>
      <w:r w:rsidRPr="003607DF">
        <w:t>.</w:t>
      </w:r>
    </w:p>
  </w:footnote>
  <w:footnote w:id="2">
    <w:p w14:paraId="14D75D3C" w14:textId="166A7BB8" w:rsidR="00A802EA" w:rsidRPr="00E32FD0" w:rsidRDefault="00A802EA" w:rsidP="008C4E2E">
      <w:pPr>
        <w:pStyle w:val="FootnoteText"/>
        <w:rPr>
          <w:lang w:val="en-GB"/>
        </w:rPr>
      </w:pPr>
      <w:r>
        <w:rPr>
          <w:rStyle w:val="FootnoteReference"/>
        </w:rPr>
        <w:footnoteRef/>
      </w:r>
      <w:r>
        <w:t xml:space="preserve"> The Surveillance, Epidemiology, and End Results (SEER) Program provides information on cancer statistics </w:t>
      </w:r>
      <w:proofErr w:type="gramStart"/>
      <w:r>
        <w:t>in an effort to</w:t>
      </w:r>
      <w:proofErr w:type="gramEnd"/>
      <w:r>
        <w:t xml:space="preserve"> reduce the cancer burden among the American (USA) population. SEER is supported by the Surveillance Research Program (SRP) in National Cancer Institute (NCI’s) Division of Cancer Control and Population Sciences (DCCPS).</w:t>
      </w:r>
    </w:p>
  </w:footnote>
  <w:footnote w:id="3">
    <w:p w14:paraId="700A1732" w14:textId="14C2355C" w:rsidR="00A802EA" w:rsidRDefault="00A802EA">
      <w:pPr>
        <w:pStyle w:val="FootnoteText"/>
      </w:pPr>
      <w:r>
        <w:rPr>
          <w:rStyle w:val="FootnoteReference"/>
        </w:rPr>
        <w:footnoteRef/>
      </w:r>
      <w:r>
        <w:t xml:space="preserve"> </w:t>
      </w:r>
      <w:proofErr w:type="spellStart"/>
      <w:r w:rsidRPr="00196E93">
        <w:t>Howlader</w:t>
      </w:r>
      <w:proofErr w:type="spellEnd"/>
      <w:r>
        <w:t xml:space="preserve"> et al. </w:t>
      </w:r>
      <w:r w:rsidRPr="00196E93">
        <w:t xml:space="preserve">US Incidence </w:t>
      </w:r>
      <w:r>
        <w:t>o</w:t>
      </w:r>
      <w:r w:rsidRPr="00196E93">
        <w:t xml:space="preserve">f Breast Cancer Subtypes Defined </w:t>
      </w:r>
      <w:r>
        <w:t>b</w:t>
      </w:r>
      <w:r w:rsidRPr="00196E93">
        <w:t>y Joint Hormone Receptor and HER2 Status</w:t>
      </w:r>
      <w:r>
        <w:t>,</w:t>
      </w:r>
      <w:r w:rsidRPr="00196E93">
        <w:t xml:space="preserve"> </w:t>
      </w:r>
      <w:r w:rsidRPr="00437819">
        <w:rPr>
          <w:i/>
          <w:iCs/>
        </w:rPr>
        <w:t>J Natl Cancer Inst</w:t>
      </w:r>
      <w:r>
        <w:t>,</w:t>
      </w:r>
      <w:r w:rsidRPr="00196E93">
        <w:t xml:space="preserve"> </w:t>
      </w:r>
      <w:r w:rsidRPr="00437819">
        <w:t>2014;</w:t>
      </w:r>
      <w:r>
        <w:t xml:space="preserve"> </w:t>
      </w:r>
      <w:r w:rsidRPr="00437819">
        <w:t>106(5):</w:t>
      </w:r>
      <w:r>
        <w:t xml:space="preserve"> </w:t>
      </w:r>
      <w:r w:rsidRPr="00437819">
        <w:t>dju055.</w:t>
      </w:r>
    </w:p>
  </w:footnote>
  <w:footnote w:id="4">
    <w:p w14:paraId="7E9575E2" w14:textId="736BDDCB" w:rsidR="00A802EA" w:rsidRDefault="00A802EA">
      <w:pPr>
        <w:pStyle w:val="FootnoteText"/>
      </w:pPr>
      <w:r>
        <w:rPr>
          <w:rStyle w:val="FootnoteReference"/>
        </w:rPr>
        <w:footnoteRef/>
      </w:r>
      <w:r>
        <w:t xml:space="preserve"> </w:t>
      </w:r>
      <w:proofErr w:type="spellStart"/>
      <w:r w:rsidRPr="00196E93">
        <w:t>Howlader</w:t>
      </w:r>
      <w:proofErr w:type="spellEnd"/>
      <w:r>
        <w:t>,</w:t>
      </w:r>
      <w:r w:rsidRPr="00196E93">
        <w:t xml:space="preserve"> N</w:t>
      </w:r>
      <w:r>
        <w:t>. e</w:t>
      </w:r>
      <w:r w:rsidRPr="00196E93">
        <w:t>t al.</w:t>
      </w:r>
      <w:r>
        <w:t xml:space="preserve"> (</w:t>
      </w:r>
      <w:r w:rsidRPr="00196E93">
        <w:t>ed</w:t>
      </w:r>
      <w:r>
        <w:t>.)</w:t>
      </w:r>
      <w:r w:rsidRPr="00196E93">
        <w:t xml:space="preserve"> SEER Cancer Statistics Review, 1975-2013, National Cancer Institute. Bethesda, M</w:t>
      </w:r>
      <w:r>
        <w:t>.</w:t>
      </w:r>
      <w:r w:rsidRPr="00196E93">
        <w:t>D.</w:t>
      </w:r>
      <w:r>
        <w:t>,</w:t>
      </w:r>
      <w:r w:rsidRPr="00196E93">
        <w:t xml:space="preserve"> </w:t>
      </w:r>
      <w:r w:rsidRPr="00437819">
        <w:t xml:space="preserve">based on November 2015 SEER data submission, posted to the SEER web site, April 2016. Available at: </w:t>
      </w:r>
      <w:hyperlink r:id="rId2" w:history="1">
        <w:r w:rsidRPr="00437819">
          <w:rPr>
            <w:rStyle w:val="Hyperlink"/>
          </w:rPr>
          <w:t>http://seer.cancer.gov/csr/1975_2013/</w:t>
        </w:r>
      </w:hyperlink>
      <w:r w:rsidRPr="00437819">
        <w:t>.</w:t>
      </w:r>
    </w:p>
  </w:footnote>
  <w:footnote w:id="5">
    <w:p w14:paraId="76B30C98" w14:textId="5C8B11BD" w:rsidR="00A802EA" w:rsidRDefault="00A802EA">
      <w:pPr>
        <w:pStyle w:val="FootnoteText"/>
      </w:pPr>
      <w:r>
        <w:rPr>
          <w:rStyle w:val="FootnoteReference"/>
        </w:rPr>
        <w:footnoteRef/>
      </w:r>
      <w:r>
        <w:t xml:space="preserve"> </w:t>
      </w:r>
      <w:r w:rsidRPr="003607DF">
        <w:t xml:space="preserve">The </w:t>
      </w:r>
      <w:r w:rsidRPr="003607DF">
        <w:rPr>
          <w:b/>
          <w:bCs/>
        </w:rPr>
        <w:t>TNM Staging System</w:t>
      </w:r>
      <w:r w:rsidRPr="003607DF">
        <w:t xml:space="preserve"> is a widely used cancer staging system, </w:t>
      </w:r>
      <w:proofErr w:type="spellStart"/>
      <w:r w:rsidRPr="003607DF">
        <w:t>developped</w:t>
      </w:r>
      <w:proofErr w:type="spellEnd"/>
      <w:r w:rsidRPr="003607DF">
        <w:t xml:space="preserve"> and maintained by the AJCC and the Union for </w:t>
      </w:r>
      <w:proofErr w:type="spellStart"/>
      <w:r w:rsidRPr="003607DF">
        <w:t>Internation</w:t>
      </w:r>
      <w:proofErr w:type="spellEnd"/>
      <w:r w:rsidRPr="003607DF">
        <w:t xml:space="preserve"> Cancer Control (UICC). The TNM Staging System is based on the extent of the tumour (T), extent of spread to lymph nodes (N) and presence of metastasis. The T category describes the original (primary) tumour: TX = Primary tumour cannot be evaluated; T0 = No evidence of primary tumour; Tis = Carcinoma in situ (early cancer that has not spread to neighbouring tissue); T1 to T4: Size and/or extent of the primary tumour. The N category describes </w:t>
      </w:r>
      <w:proofErr w:type="gramStart"/>
      <w:r w:rsidRPr="003607DF">
        <w:t>whether or not</w:t>
      </w:r>
      <w:proofErr w:type="gramEnd"/>
      <w:r w:rsidRPr="003607DF">
        <w:t xml:space="preserve"> the cancer has reached nearby lymph nodes: NX = Regional lymph nodes cannot be evaluated; N0 = No regional lymph node involvement (no cancer found in the lymph nodes); N1 to N3 = Involvement of regional lymph nodes (number and/or extent of spread). The M category tells whether there are distant metastases (spread of cancer to other parts of the body): M0 = No distant metastasis (cancer has not spread to other parts of the body); M1 = Distant metastasis (cancer has spread to distant parts of the body).</w:t>
      </w:r>
    </w:p>
  </w:footnote>
  <w:footnote w:id="6">
    <w:p w14:paraId="1DDEB062" w14:textId="2CC8A261" w:rsidR="00A802EA" w:rsidRPr="00CA034D" w:rsidRDefault="00A802EA">
      <w:pPr>
        <w:pStyle w:val="FootnoteText"/>
        <w:rPr>
          <w:lang w:val="en-GB"/>
        </w:rPr>
      </w:pPr>
      <w:r>
        <w:rPr>
          <w:rStyle w:val="FootnoteReference"/>
        </w:rPr>
        <w:footnoteRef/>
      </w:r>
      <w:r>
        <w:t xml:space="preserve"> </w:t>
      </w:r>
      <w:r w:rsidRPr="0096148E">
        <w:t>Early Breast Cancer Trialists’ Collaborative Group (EBCTCG</w:t>
      </w:r>
      <w:r w:rsidR="00CA034D" w:rsidRPr="0096148E">
        <w:t xml:space="preserve">) </w:t>
      </w:r>
      <w:r w:rsidRPr="0096148E">
        <w:t xml:space="preserve">Aromatase </w:t>
      </w:r>
      <w:r w:rsidR="00CA034D" w:rsidRPr="0096148E">
        <w:t xml:space="preserve">Inhibitors </w:t>
      </w:r>
      <w:r w:rsidR="00825853">
        <w:t>v</w:t>
      </w:r>
      <w:r w:rsidR="00CA034D" w:rsidRPr="0096148E">
        <w:t>ersus Tamoxifen in Early Breast Cancer: Patient Level Meta-Analysis of the Randomised Controlled Trials</w:t>
      </w:r>
      <w:r w:rsidR="00CA034D">
        <w:t xml:space="preserve">, </w:t>
      </w:r>
      <w:r w:rsidRPr="00CA034D">
        <w:rPr>
          <w:i/>
        </w:rPr>
        <w:t>Lancet</w:t>
      </w:r>
      <w:r w:rsidR="00CA034D">
        <w:rPr>
          <w:i/>
        </w:rPr>
        <w:t>,</w:t>
      </w:r>
      <w:r w:rsidRPr="0096148E">
        <w:t xml:space="preserve"> 2015;</w:t>
      </w:r>
      <w:r w:rsidR="00CA034D">
        <w:t xml:space="preserve"> </w:t>
      </w:r>
      <w:r w:rsidR="00CA034D" w:rsidRPr="00CA034D">
        <w:t>386(10001):</w:t>
      </w:r>
      <w:r w:rsidR="00825853">
        <w:t xml:space="preserve"> </w:t>
      </w:r>
      <w:r w:rsidR="00CA034D" w:rsidRPr="00CA034D">
        <w:t>1341-1352.</w:t>
      </w:r>
    </w:p>
  </w:footnote>
  <w:footnote w:id="7">
    <w:p w14:paraId="29A56193" w14:textId="018505F5" w:rsidR="00CA034D" w:rsidRPr="00CA034D" w:rsidRDefault="00A802EA">
      <w:pPr>
        <w:pStyle w:val="FootnoteText"/>
        <w:rPr>
          <w:lang w:val="en-GB"/>
        </w:rPr>
      </w:pPr>
      <w:r>
        <w:rPr>
          <w:rStyle w:val="FootnoteReference"/>
        </w:rPr>
        <w:footnoteRef/>
      </w:r>
      <w:r>
        <w:t xml:space="preserve"> </w:t>
      </w:r>
      <w:r w:rsidR="00CA034D" w:rsidRPr="00437819">
        <w:t>Cardoso</w:t>
      </w:r>
      <w:r w:rsidR="00CA034D">
        <w:t>,</w:t>
      </w:r>
      <w:r w:rsidR="00CA034D" w:rsidRPr="00437819">
        <w:t xml:space="preserve"> F</w:t>
      </w:r>
      <w:r w:rsidR="00CA034D">
        <w:t xml:space="preserve">. et al. </w:t>
      </w:r>
      <w:r w:rsidR="00CA034D" w:rsidRPr="00437819">
        <w:t>4th ESO-ESMO International Consensus Guidelines for Advanced Breast Cancer (ABC 4)</w:t>
      </w:r>
      <w:r w:rsidR="00CA034D">
        <w:t>,</w:t>
      </w:r>
      <w:r w:rsidR="00CA034D" w:rsidRPr="00437819">
        <w:t xml:space="preserve"> </w:t>
      </w:r>
      <w:r w:rsidR="00CA034D" w:rsidRPr="00B97C23">
        <w:rPr>
          <w:i/>
          <w:iCs/>
        </w:rPr>
        <w:t>Ann Oncol</w:t>
      </w:r>
      <w:r w:rsidR="00CA034D">
        <w:t>,</w:t>
      </w:r>
      <w:r w:rsidR="00CA034D" w:rsidRPr="00437819">
        <w:t xml:space="preserve"> 2018;</w:t>
      </w:r>
      <w:r w:rsidR="00CA034D">
        <w:t xml:space="preserve"> </w:t>
      </w:r>
      <w:r w:rsidR="00CA034D" w:rsidRPr="00437819">
        <w:t>29:</w:t>
      </w:r>
      <w:r w:rsidR="00CA034D">
        <w:t xml:space="preserve"> </w:t>
      </w:r>
      <w:r w:rsidR="00CA034D" w:rsidRPr="00437819">
        <w:t>1634-1657.</w:t>
      </w:r>
    </w:p>
  </w:footnote>
  <w:footnote w:id="8">
    <w:p w14:paraId="28927C79" w14:textId="29F758E7" w:rsidR="00A802EA" w:rsidRPr="005357E7" w:rsidRDefault="00A802EA">
      <w:pPr>
        <w:pStyle w:val="FootnoteText"/>
        <w:rPr>
          <w:lang w:val="en-GB"/>
        </w:rPr>
      </w:pPr>
      <w:r>
        <w:rPr>
          <w:rStyle w:val="FootnoteReference"/>
        </w:rPr>
        <w:footnoteRef/>
      </w:r>
      <w:r>
        <w:t xml:space="preserve"> </w:t>
      </w:r>
      <w:r w:rsidRPr="0096148E">
        <w:t>Pan</w:t>
      </w:r>
      <w:r w:rsidR="005357E7">
        <w:t>,</w:t>
      </w:r>
      <w:r w:rsidRPr="0096148E">
        <w:t xml:space="preserve"> H</w:t>
      </w:r>
      <w:r w:rsidR="005357E7">
        <w:t xml:space="preserve">. et al. </w:t>
      </w:r>
      <w:r w:rsidRPr="0096148E">
        <w:t>20-</w:t>
      </w:r>
      <w:r w:rsidR="005357E7" w:rsidRPr="0096148E">
        <w:t xml:space="preserve">Year Risks </w:t>
      </w:r>
      <w:r w:rsidRPr="0096148E">
        <w:t xml:space="preserve">of </w:t>
      </w:r>
      <w:r w:rsidR="005357E7" w:rsidRPr="0096148E">
        <w:t xml:space="preserve">Breast-Cancer Recurrence after Stopping Endocrine Therapy </w:t>
      </w:r>
      <w:r w:rsidRPr="0096148E">
        <w:t xml:space="preserve">at 5 </w:t>
      </w:r>
      <w:r w:rsidR="005357E7" w:rsidRPr="0096148E">
        <w:t>Years</w:t>
      </w:r>
      <w:r w:rsidR="005357E7">
        <w:t>,</w:t>
      </w:r>
      <w:r w:rsidRPr="0096148E">
        <w:t xml:space="preserve"> </w:t>
      </w:r>
      <w:r w:rsidRPr="005357E7">
        <w:rPr>
          <w:i/>
        </w:rPr>
        <w:t xml:space="preserve">N </w:t>
      </w:r>
      <w:proofErr w:type="spellStart"/>
      <w:r w:rsidRPr="005357E7">
        <w:rPr>
          <w:i/>
        </w:rPr>
        <w:t>Engl</w:t>
      </w:r>
      <w:proofErr w:type="spellEnd"/>
      <w:r w:rsidRPr="005357E7">
        <w:rPr>
          <w:i/>
        </w:rPr>
        <w:t xml:space="preserve"> J Med</w:t>
      </w:r>
      <w:r w:rsidR="005357E7">
        <w:rPr>
          <w:i/>
        </w:rPr>
        <w:t>,</w:t>
      </w:r>
      <w:r w:rsidRPr="005357E7">
        <w:rPr>
          <w:i/>
        </w:rPr>
        <w:t xml:space="preserve"> </w:t>
      </w:r>
      <w:r w:rsidRPr="0096148E">
        <w:t>2017;</w:t>
      </w:r>
      <w:r w:rsidR="005357E7">
        <w:t xml:space="preserve"> </w:t>
      </w:r>
      <w:r w:rsidRPr="0096148E">
        <w:t>377(19):</w:t>
      </w:r>
      <w:r w:rsidR="005357E7">
        <w:t xml:space="preserve"> </w:t>
      </w:r>
      <w:r w:rsidRPr="0096148E">
        <w:t>1836-1846</w:t>
      </w:r>
      <w:r w:rsidR="005357E7">
        <w:t>.</w:t>
      </w:r>
    </w:p>
  </w:footnote>
  <w:footnote w:id="9">
    <w:p w14:paraId="3A219C4B" w14:textId="03922E99" w:rsidR="00A802EA" w:rsidRDefault="00A802EA">
      <w:pPr>
        <w:pStyle w:val="FootnoteText"/>
      </w:pPr>
      <w:r>
        <w:rPr>
          <w:rStyle w:val="FootnoteReference"/>
        </w:rPr>
        <w:footnoteRef/>
      </w:r>
      <w:r>
        <w:t xml:space="preserve"> </w:t>
      </w:r>
      <w:r w:rsidRPr="00296D2A">
        <w:t xml:space="preserve">Cancer Australia, </w:t>
      </w:r>
      <w:r>
        <w:t xml:space="preserve">Guidance for the management of early breast cancer: Recommendations and practice points, </w:t>
      </w:r>
      <w:r w:rsidRPr="00B97C23">
        <w:t>September 2020</w:t>
      </w:r>
      <w:r>
        <w:t xml:space="preserve">. Available at: </w:t>
      </w:r>
      <w:hyperlink r:id="rId3" w:history="1">
        <w:r w:rsidRPr="00772899">
          <w:rPr>
            <w:rStyle w:val="Hyperlink"/>
          </w:rPr>
          <w:t>https://www.canceraustralia.gov.au/sites/default/files/publications/guidance-management-early-breast-cancer-recommendations-and-practice-points/pdf/guidance_for_the_management_of_early_breast_cancer_recommendations_and_pps_2020_0.pdf</w:t>
        </w:r>
      </w:hyperlink>
      <w:r>
        <w:t>.</w:t>
      </w:r>
    </w:p>
  </w:footnote>
  <w:footnote w:id="10">
    <w:p w14:paraId="4C0826FB" w14:textId="1215A5D4" w:rsidR="00A802EA" w:rsidRDefault="00A802EA" w:rsidP="00187EB3">
      <w:pPr>
        <w:pStyle w:val="FootnoteText"/>
      </w:pPr>
      <w:r>
        <w:rPr>
          <w:rStyle w:val="FootnoteReference"/>
        </w:rPr>
        <w:footnoteRef/>
      </w:r>
      <w:r>
        <w:t xml:space="preserve"> Burstein, H.J. et al. Estimating the Benefits of Therapy for Early-Stage Breast Cancer: the St. Gallen International Consensus Guidelines for the Primary Therapy of Early Breast Cancer, </w:t>
      </w:r>
      <w:r w:rsidRPr="00F019D0">
        <w:rPr>
          <w:i/>
          <w:iCs/>
        </w:rPr>
        <w:t>Ann Oncol</w:t>
      </w:r>
      <w:r>
        <w:t>, 2019; 30(10): 1541-1557.</w:t>
      </w:r>
    </w:p>
  </w:footnote>
  <w:footnote w:id="11">
    <w:p w14:paraId="24F5083D" w14:textId="6C53292F" w:rsidR="00A802EA" w:rsidRDefault="00A802EA" w:rsidP="00187EB3">
      <w:pPr>
        <w:pStyle w:val="FootnoteText"/>
      </w:pPr>
      <w:r>
        <w:rPr>
          <w:rStyle w:val="FootnoteReference"/>
        </w:rPr>
        <w:footnoteRef/>
      </w:r>
      <w:r>
        <w:t xml:space="preserve"> </w:t>
      </w:r>
      <w:proofErr w:type="spellStart"/>
      <w:r>
        <w:t>Thomssen</w:t>
      </w:r>
      <w:proofErr w:type="spellEnd"/>
      <w:r>
        <w:t xml:space="preserve">, C. et al. St. Gallen/Vienna 2021: a brief Summary of the Consensus Discussion on Customizing Therapies for Women with Early Breast Cancer, </w:t>
      </w:r>
      <w:r w:rsidRPr="00F019D0">
        <w:rPr>
          <w:i/>
          <w:iCs/>
        </w:rPr>
        <w:t>Breast</w:t>
      </w:r>
      <w:r>
        <w:rPr>
          <w:i/>
          <w:iCs/>
        </w:rPr>
        <w:t xml:space="preserve"> </w:t>
      </w:r>
      <w:r w:rsidRPr="00F019D0">
        <w:rPr>
          <w:i/>
          <w:iCs/>
        </w:rPr>
        <w:t>Care</w:t>
      </w:r>
      <w:r>
        <w:t>, 2021; 16(2): 135-143.</w:t>
      </w:r>
    </w:p>
  </w:footnote>
  <w:footnote w:id="12">
    <w:p w14:paraId="71DEAF9E" w14:textId="2C741C7A" w:rsidR="00A802EA" w:rsidRDefault="00A802EA" w:rsidP="00187EB3">
      <w:pPr>
        <w:pStyle w:val="FootnoteText"/>
      </w:pPr>
      <w:r>
        <w:rPr>
          <w:rStyle w:val="FootnoteReference"/>
        </w:rPr>
        <w:footnoteRef/>
      </w:r>
      <w:r>
        <w:t xml:space="preserve"> Burstein, H.J. et al. Adjuvant Endocrine Therapy for Women with Hormone Receptor-Positive Breast Cancer: ASCO Clinical Practice Guideline Focused Update, </w:t>
      </w:r>
      <w:r w:rsidRPr="00F019D0">
        <w:rPr>
          <w:i/>
          <w:iCs/>
        </w:rPr>
        <w:t>J Clin Oncol</w:t>
      </w:r>
      <w:r>
        <w:t>, 2019; 37(5): 423-438.</w:t>
      </w:r>
    </w:p>
  </w:footnote>
  <w:footnote w:id="13">
    <w:p w14:paraId="1607057A" w14:textId="12D5EF5F" w:rsidR="00A802EA" w:rsidRDefault="00A802EA" w:rsidP="00187EB3">
      <w:pPr>
        <w:pStyle w:val="FootnoteText"/>
      </w:pPr>
      <w:r>
        <w:rPr>
          <w:rStyle w:val="FootnoteReference"/>
        </w:rPr>
        <w:footnoteRef/>
      </w:r>
      <w:r>
        <w:t xml:space="preserve"> </w:t>
      </w:r>
      <w:proofErr w:type="spellStart"/>
      <w:r>
        <w:t>Visvinathan</w:t>
      </w:r>
      <w:proofErr w:type="spellEnd"/>
      <w:r>
        <w:t xml:space="preserve">, K. et al. Use of Endocrine Therapy for Breast Cancer Risk Reduction: ASCO Clinical Practice Guideline Update, </w:t>
      </w:r>
      <w:r w:rsidRPr="00F019D0">
        <w:rPr>
          <w:i/>
          <w:iCs/>
        </w:rPr>
        <w:t>J Clin Oncol</w:t>
      </w:r>
      <w:r>
        <w:t>, 2019; 37(33): 3152-3165.</w:t>
      </w:r>
    </w:p>
  </w:footnote>
  <w:footnote w:id="14">
    <w:p w14:paraId="48E5C59E" w14:textId="6DE741CA" w:rsidR="00A802EA" w:rsidRDefault="00A802EA" w:rsidP="00FA7653">
      <w:pPr>
        <w:pStyle w:val="FootnoteText"/>
      </w:pPr>
      <w:r>
        <w:rPr>
          <w:rStyle w:val="FootnoteReference"/>
        </w:rPr>
        <w:footnoteRef/>
      </w:r>
      <w:r>
        <w:t xml:space="preserve"> National Comprehensive Cancer Network (NCCN) NCCN Clinical Practice Guidelines on Oncology (NCCN Guidelines) Breast Cancer Version 5.2021. Available at: </w:t>
      </w:r>
      <w:hyperlink r:id="rId4" w:history="1">
        <w:r w:rsidRPr="00772899">
          <w:rPr>
            <w:rStyle w:val="Hyperlink"/>
          </w:rPr>
          <w:t>https://www.nccn.org/professionals/physician_gls/pdf/breast.pdf</w:t>
        </w:r>
      </w:hyperlink>
      <w:r>
        <w:t>.</w:t>
      </w:r>
    </w:p>
  </w:footnote>
  <w:footnote w:id="15">
    <w:p w14:paraId="68531233" w14:textId="296FBC0B" w:rsidR="00A802EA" w:rsidRDefault="00A802EA" w:rsidP="00FA7653">
      <w:pPr>
        <w:pStyle w:val="FootnoteText"/>
      </w:pPr>
      <w:r>
        <w:rPr>
          <w:rStyle w:val="FootnoteReference"/>
        </w:rPr>
        <w:footnoteRef/>
      </w:r>
      <w:r>
        <w:t xml:space="preserve"> National Cancer Institute (NCI) Breast Cancer Treatment (Adult) (PDQ) </w:t>
      </w:r>
      <w:r w:rsidR="00825853">
        <w:t>-</w:t>
      </w:r>
      <w:r>
        <w:t xml:space="preserve"> Health Professional Version. Updated September 21, 2021. Available at: </w:t>
      </w:r>
      <w:hyperlink r:id="rId5" w:history="1">
        <w:r w:rsidRPr="00772899">
          <w:rPr>
            <w:rStyle w:val="Hyperlink"/>
          </w:rPr>
          <w:t>https://www.cancer.gov/types/breast/hp/breast-treatment-pdq</w:t>
        </w:r>
      </w:hyperlink>
      <w:r>
        <w:t>.</w:t>
      </w:r>
    </w:p>
  </w:footnote>
  <w:footnote w:id="16">
    <w:p w14:paraId="1A0DA1D5" w14:textId="39C76FD6" w:rsidR="00A802EA" w:rsidRDefault="00A802EA" w:rsidP="00FA7653">
      <w:pPr>
        <w:pStyle w:val="FootnoteText"/>
      </w:pPr>
      <w:r>
        <w:rPr>
          <w:rStyle w:val="FootnoteReference"/>
        </w:rPr>
        <w:footnoteRef/>
      </w:r>
      <w:r>
        <w:t xml:space="preserve"> National Institute for Health and Care Excellence (NICE). Early and Locally Advanced Breast Cancer: Diagnosis and Management, Published July 2018. Available at: </w:t>
      </w:r>
      <w:hyperlink r:id="rId6" w:history="1">
        <w:r w:rsidRPr="00772899">
          <w:rPr>
            <w:rStyle w:val="Hyperlink"/>
          </w:rPr>
          <w:t>https://pubmed.ncbi.nlm.nih.gov/30102508/</w:t>
        </w:r>
      </w:hyperlink>
      <w:r>
        <w:t>.</w:t>
      </w:r>
    </w:p>
  </w:footnote>
  <w:footnote w:id="17">
    <w:p w14:paraId="2D6C1E13" w14:textId="07E968B3" w:rsidR="00A802EA" w:rsidRDefault="00A802EA">
      <w:pPr>
        <w:pStyle w:val="FootnoteText"/>
      </w:pPr>
      <w:r>
        <w:rPr>
          <w:rStyle w:val="FootnoteReference"/>
        </w:rPr>
        <w:footnoteRef/>
      </w:r>
      <w:r>
        <w:t xml:space="preserve"> </w:t>
      </w:r>
      <w:proofErr w:type="spellStart"/>
      <w:r w:rsidRPr="006E47AB">
        <w:t>Nolvadex</w:t>
      </w:r>
      <w:proofErr w:type="spellEnd"/>
      <w:r w:rsidRPr="006E47AB">
        <w:t xml:space="preserve"> (tamoxifen) was first registered on the ARTG on 11</w:t>
      </w:r>
      <w:r>
        <w:t xml:space="preserve"> July </w:t>
      </w:r>
      <w:r w:rsidRPr="006E47AB">
        <w:t>1991 (ARTG number</w:t>
      </w:r>
      <w:r>
        <w:t xml:space="preserve">s: </w:t>
      </w:r>
      <w:r w:rsidRPr="006E47AB">
        <w:t>11232</w:t>
      </w:r>
      <w:r>
        <w:t xml:space="preserve"> and </w:t>
      </w:r>
      <w:r w:rsidRPr="006E47AB">
        <w:t>11233).</w:t>
      </w:r>
    </w:p>
  </w:footnote>
  <w:footnote w:id="18">
    <w:p w14:paraId="034734D7" w14:textId="269046F9" w:rsidR="00A802EA" w:rsidRDefault="00A802EA">
      <w:pPr>
        <w:pStyle w:val="FootnoteText"/>
      </w:pPr>
      <w:r>
        <w:rPr>
          <w:rStyle w:val="FootnoteReference"/>
        </w:rPr>
        <w:footnoteRef/>
      </w:r>
      <w:r>
        <w:t xml:space="preserve"> </w:t>
      </w:r>
      <w:proofErr w:type="spellStart"/>
      <w:r w:rsidRPr="00F446BB">
        <w:t>Femara</w:t>
      </w:r>
      <w:proofErr w:type="spellEnd"/>
      <w:r w:rsidRPr="006E47AB">
        <w:t xml:space="preserve"> (</w:t>
      </w:r>
      <w:r w:rsidRPr="00F446BB">
        <w:t>letrozole</w:t>
      </w:r>
      <w:r w:rsidRPr="006E47AB">
        <w:t xml:space="preserve">) was first registered on the ARTG on </w:t>
      </w:r>
      <w:r w:rsidRPr="00F446BB">
        <w:t>30</w:t>
      </w:r>
      <w:r>
        <w:t xml:space="preserve"> October </w:t>
      </w:r>
      <w:r w:rsidRPr="00F446BB">
        <w:t>1997</w:t>
      </w:r>
      <w:r>
        <w:t xml:space="preserve"> </w:t>
      </w:r>
      <w:r w:rsidRPr="006E47AB">
        <w:t xml:space="preserve">(ARTG number: </w:t>
      </w:r>
      <w:r w:rsidRPr="00F446BB">
        <w:t>60605</w:t>
      </w:r>
      <w:r w:rsidRPr="006E47AB">
        <w:t>).</w:t>
      </w:r>
    </w:p>
  </w:footnote>
  <w:footnote w:id="19">
    <w:p w14:paraId="32F710BA" w14:textId="6614348C" w:rsidR="00A802EA" w:rsidRDefault="00A802EA">
      <w:pPr>
        <w:pStyle w:val="FootnoteText"/>
      </w:pPr>
      <w:r>
        <w:rPr>
          <w:rStyle w:val="FootnoteReference"/>
        </w:rPr>
        <w:footnoteRef/>
      </w:r>
      <w:r>
        <w:t xml:space="preserve"> </w:t>
      </w:r>
      <w:proofErr w:type="spellStart"/>
      <w:r w:rsidRPr="00914A85">
        <w:t>Arimidex</w:t>
      </w:r>
      <w:proofErr w:type="spellEnd"/>
      <w:r w:rsidRPr="006E47AB">
        <w:t xml:space="preserve"> (</w:t>
      </w:r>
      <w:r w:rsidRPr="00914A85">
        <w:t>anastrozole</w:t>
      </w:r>
      <w:r w:rsidRPr="006E47AB">
        <w:t xml:space="preserve">) was first registered on the ARTG on </w:t>
      </w:r>
      <w:r w:rsidRPr="00914A85">
        <w:t xml:space="preserve">17 December 1996 </w:t>
      </w:r>
      <w:r w:rsidRPr="006E47AB">
        <w:t xml:space="preserve">(ARTG number: </w:t>
      </w:r>
      <w:r w:rsidRPr="00914A85">
        <w:t>54672</w:t>
      </w:r>
      <w:r w:rsidRPr="006E47AB">
        <w:t>).</w:t>
      </w:r>
    </w:p>
  </w:footnote>
  <w:footnote w:id="20">
    <w:p w14:paraId="4CBCC35B" w14:textId="39044730" w:rsidR="00A802EA" w:rsidRDefault="00A802EA">
      <w:pPr>
        <w:pStyle w:val="FootnoteText"/>
      </w:pPr>
      <w:r>
        <w:rPr>
          <w:rStyle w:val="FootnoteReference"/>
        </w:rPr>
        <w:footnoteRef/>
      </w:r>
      <w:r>
        <w:t xml:space="preserve"> </w:t>
      </w:r>
      <w:proofErr w:type="spellStart"/>
      <w:r w:rsidRPr="00914A85">
        <w:t>Aromasin</w:t>
      </w:r>
      <w:proofErr w:type="spellEnd"/>
      <w:r w:rsidRPr="006E47AB">
        <w:t xml:space="preserve"> (</w:t>
      </w:r>
      <w:r w:rsidRPr="00914A85">
        <w:t>exemestane</w:t>
      </w:r>
      <w:r w:rsidRPr="006E47AB">
        <w:t xml:space="preserve">) was first registered on the ARTG on </w:t>
      </w:r>
      <w:r w:rsidRPr="00914A85">
        <w:t>30 November 2000</w:t>
      </w:r>
      <w:r w:rsidRPr="006E47AB">
        <w:t xml:space="preserve"> (ARTG number: </w:t>
      </w:r>
      <w:r w:rsidRPr="00914A85">
        <w:t>76369</w:t>
      </w:r>
      <w:r w:rsidRPr="006E47AB">
        <w:t>).</w:t>
      </w:r>
    </w:p>
  </w:footnote>
  <w:footnote w:id="21">
    <w:p w14:paraId="2355E7E5" w14:textId="1E1930AF" w:rsidR="00A802EA" w:rsidRDefault="00A802EA">
      <w:pPr>
        <w:pStyle w:val="FootnoteText"/>
      </w:pPr>
      <w:r>
        <w:rPr>
          <w:rStyle w:val="FootnoteReference"/>
        </w:rPr>
        <w:footnoteRef/>
      </w:r>
      <w:r>
        <w:t xml:space="preserve"> </w:t>
      </w:r>
      <w:proofErr w:type="spellStart"/>
      <w:r w:rsidRPr="00914A85">
        <w:t>Zoladex</w:t>
      </w:r>
      <w:proofErr w:type="spellEnd"/>
      <w:r w:rsidRPr="006E47AB">
        <w:t xml:space="preserve"> </w:t>
      </w:r>
      <w:r>
        <w:t>(</w:t>
      </w:r>
      <w:proofErr w:type="spellStart"/>
      <w:r>
        <w:t>g</w:t>
      </w:r>
      <w:r w:rsidRPr="00914A85">
        <w:t>oserelin</w:t>
      </w:r>
      <w:proofErr w:type="spellEnd"/>
      <w:r w:rsidRPr="006E47AB">
        <w:t xml:space="preserve">) was first registered on the ARTG on </w:t>
      </w:r>
      <w:r w:rsidRPr="00914A85">
        <w:t xml:space="preserve">14 October 1991 </w:t>
      </w:r>
      <w:r w:rsidRPr="006E47AB">
        <w:t xml:space="preserve">(ARTG number: </w:t>
      </w:r>
      <w:r w:rsidRPr="00914A85">
        <w:t>24368</w:t>
      </w:r>
      <w:r w:rsidRPr="006E47AB">
        <w:t>).</w:t>
      </w:r>
    </w:p>
  </w:footnote>
  <w:footnote w:id="22">
    <w:p w14:paraId="10276A88" w14:textId="2E1F3E69" w:rsidR="00A802EA" w:rsidRDefault="00A802EA">
      <w:pPr>
        <w:pStyle w:val="FootnoteText"/>
      </w:pPr>
      <w:r>
        <w:rPr>
          <w:rStyle w:val="FootnoteReference"/>
        </w:rPr>
        <w:footnoteRef/>
      </w:r>
      <w:r>
        <w:t xml:space="preserve"> </w:t>
      </w:r>
      <w:r w:rsidRPr="00365D6B">
        <w:rPr>
          <w:b/>
          <w:bCs/>
        </w:rPr>
        <w:t>Ki-67</w:t>
      </w:r>
      <w:r w:rsidRPr="00365D6B">
        <w:t xml:space="preserve"> is a nuclear non</w:t>
      </w:r>
      <w:r>
        <w:t>-</w:t>
      </w:r>
      <w:r w:rsidRPr="00365D6B">
        <w:t xml:space="preserve">histone protein present in all </w:t>
      </w:r>
      <w:r>
        <w:t>active phases (</w:t>
      </w:r>
      <w:r w:rsidRPr="00365D6B">
        <w:t>except G</w:t>
      </w:r>
      <w:r w:rsidRPr="00365D6B">
        <w:rPr>
          <w:vertAlign w:val="subscript"/>
        </w:rPr>
        <w:t>0</w:t>
      </w:r>
      <w:r>
        <w:t xml:space="preserve">) of cell cycles. It </w:t>
      </w:r>
      <w:r w:rsidRPr="00365D6B">
        <w:t xml:space="preserve">is </w:t>
      </w:r>
      <w:r>
        <w:t xml:space="preserve">one of the </w:t>
      </w:r>
      <w:r w:rsidRPr="00365D6B">
        <w:t>prospectively selected genes used to predict the risk of recurrence and extent of chemotherapy benefits in women with node</w:t>
      </w:r>
      <w:r>
        <w:t xml:space="preserve"> </w:t>
      </w:r>
      <w:r w:rsidRPr="00365D6B">
        <w:t xml:space="preserve">negative, estrogen receptor </w:t>
      </w:r>
      <w:r>
        <w:t>positive</w:t>
      </w:r>
      <w:r w:rsidRPr="00365D6B">
        <w:t xml:space="preserve"> breast cancers. The proliferation biomarker </w:t>
      </w:r>
      <w:r>
        <w:t xml:space="preserve">function of </w:t>
      </w:r>
      <w:r w:rsidRPr="00365D6B">
        <w:t>Ki-67 is also considered a prognostic factor for breast cancer</w:t>
      </w:r>
      <w:r>
        <w:t xml:space="preserve"> in some scientific studies</w:t>
      </w:r>
      <w:r w:rsidRPr="00365D6B">
        <w:t>.</w:t>
      </w:r>
    </w:p>
  </w:footnote>
  <w:footnote w:id="23">
    <w:p w14:paraId="6118BC39" w14:textId="7B328AFB" w:rsidR="00A802EA" w:rsidRDefault="00A802EA">
      <w:pPr>
        <w:pStyle w:val="FootnoteText"/>
      </w:pPr>
      <w:r>
        <w:rPr>
          <w:rStyle w:val="FootnoteReference"/>
        </w:rPr>
        <w:footnoteRef/>
      </w:r>
      <w:r>
        <w:t xml:space="preserve"> C</w:t>
      </w:r>
      <w:r w:rsidRPr="00F964B4">
        <w:t>linical expert opinion</w:t>
      </w:r>
      <w:r>
        <w:t>,</w:t>
      </w:r>
      <w:r w:rsidRPr="001D5792">
        <w:t xml:space="preserve"> </w:t>
      </w:r>
      <w:r>
        <w:t>i</w:t>
      </w:r>
      <w:r w:rsidRPr="001D5792">
        <w:t xml:space="preserve">nclusion of this information is beyond the scope of the </w:t>
      </w:r>
      <w:proofErr w:type="spellStart"/>
      <w:r w:rsidRPr="001D5792">
        <w:t>AusPAR</w:t>
      </w:r>
      <w:proofErr w:type="spellEnd"/>
      <w:r w:rsidRPr="001D5792">
        <w:t>.</w:t>
      </w:r>
    </w:p>
  </w:footnote>
  <w:footnote w:id="24">
    <w:p w14:paraId="2F6BE7D6" w14:textId="67F7C6FC" w:rsidR="00A802EA" w:rsidRDefault="00A802EA" w:rsidP="00167A61">
      <w:pPr>
        <w:pStyle w:val="FootnoteText"/>
      </w:pPr>
      <w:r>
        <w:rPr>
          <w:rStyle w:val="FootnoteReference"/>
        </w:rPr>
        <w:footnoteRef/>
      </w:r>
      <w:r>
        <w:t xml:space="preserve"> Royal College of Pathologists of Australia (RCPA) Invasive Breast Cancer Structured Reporting Protocol, 2nd edition, Published November 2012. Available at: </w:t>
      </w:r>
      <w:hyperlink r:id="rId7" w:history="1">
        <w:r w:rsidRPr="00772899">
          <w:rPr>
            <w:rStyle w:val="Hyperlink"/>
          </w:rPr>
          <w:t>https://www.rcpa.edu.au/getattachment/9c857cb6-6878-4004-bf8a-37761873cf13/Protocolinvasive-breast-cancer.aspx</w:t>
        </w:r>
      </w:hyperlink>
      <w:r>
        <w:t>.</w:t>
      </w:r>
    </w:p>
  </w:footnote>
  <w:footnote w:id="25">
    <w:p w14:paraId="49527C0F" w14:textId="712201E4" w:rsidR="00A802EA" w:rsidRDefault="00A802EA" w:rsidP="00F964B4">
      <w:pPr>
        <w:pStyle w:val="FootnoteText"/>
      </w:pPr>
      <w:r>
        <w:rPr>
          <w:rStyle w:val="FootnoteReference"/>
        </w:rPr>
        <w:footnoteRef/>
      </w:r>
      <w:r>
        <w:t xml:space="preserve"> </w:t>
      </w:r>
      <w:proofErr w:type="spellStart"/>
      <w:r>
        <w:t>Dowsett</w:t>
      </w:r>
      <w:proofErr w:type="spellEnd"/>
      <w:r>
        <w:t xml:space="preserve">, M. et al. Assessment of Ki67 in Breast Cancer: Recommendation from the International Ki67 in Breast Cancer working group, </w:t>
      </w:r>
      <w:r w:rsidRPr="00F964B4">
        <w:rPr>
          <w:i/>
          <w:iCs/>
        </w:rPr>
        <w:t>J Natl Cancer Inst</w:t>
      </w:r>
      <w:r>
        <w:t>, 2011;103(22):1656-1664.</w:t>
      </w:r>
    </w:p>
  </w:footnote>
  <w:footnote w:id="26">
    <w:p w14:paraId="0E82D9AA" w14:textId="56B95C8E" w:rsidR="00A802EA" w:rsidRDefault="00A802EA">
      <w:pPr>
        <w:pStyle w:val="FootnoteText"/>
      </w:pPr>
      <w:r>
        <w:rPr>
          <w:rStyle w:val="FootnoteReference"/>
        </w:rPr>
        <w:footnoteRef/>
      </w:r>
      <w:r>
        <w:t xml:space="preserve"> </w:t>
      </w:r>
      <w:r w:rsidRPr="00682AA1">
        <w:rPr>
          <w:b/>
          <w:bCs/>
        </w:rPr>
        <w:t>Common Terminology Criteria (CTC)</w:t>
      </w:r>
      <w:r w:rsidRPr="00682AA1">
        <w:t xml:space="preserve"> is a standardised classification of side effects used in assessing drugs for cancer </w:t>
      </w:r>
      <w:proofErr w:type="gramStart"/>
      <w:r w:rsidRPr="00682AA1">
        <w:t>therapy, in particular</w:t>
      </w:r>
      <w:proofErr w:type="gramEnd"/>
      <w:r w:rsidRPr="00682AA1">
        <w:t>. Specific conditions and symptoms may have values or descriptive</w:t>
      </w:r>
      <w:r>
        <w:t xml:space="preserve"> </w:t>
      </w:r>
      <w:r w:rsidRPr="00682AA1">
        <w:t xml:space="preserve">comment for each level, but the general guideline is 1 </w:t>
      </w:r>
      <w:r>
        <w:t>-</w:t>
      </w:r>
      <w:r w:rsidRPr="00682AA1">
        <w:t xml:space="preserve"> Mild, 2 </w:t>
      </w:r>
      <w:r>
        <w:t>-</w:t>
      </w:r>
      <w:r w:rsidRPr="00682AA1">
        <w:t xml:space="preserve"> Moderate, 3 </w:t>
      </w:r>
      <w:r>
        <w:t>-</w:t>
      </w:r>
      <w:r w:rsidRPr="00682AA1">
        <w:t xml:space="preserve"> Severe, 4 </w:t>
      </w:r>
      <w:r>
        <w:t>-</w:t>
      </w:r>
      <w:r w:rsidRPr="00682AA1">
        <w:t xml:space="preserve"> Life threatening, 5</w:t>
      </w:r>
      <w:r w:rsidR="00883A48">
        <w:t> </w:t>
      </w:r>
      <w:r>
        <w:t>-</w:t>
      </w:r>
      <w:r w:rsidR="00883A48">
        <w:t> </w:t>
      </w:r>
      <w:r w:rsidRPr="00682AA1">
        <w:t>Death.</w:t>
      </w:r>
    </w:p>
  </w:footnote>
  <w:footnote w:id="27">
    <w:p w14:paraId="50830DA8" w14:textId="35D0F901" w:rsidR="00A802EA" w:rsidRDefault="00A802EA">
      <w:pPr>
        <w:pStyle w:val="FootnoteText"/>
      </w:pPr>
      <w:r>
        <w:rPr>
          <w:rStyle w:val="FootnoteReference"/>
        </w:rPr>
        <w:footnoteRef/>
      </w:r>
      <w:r>
        <w:t xml:space="preserve"> </w:t>
      </w:r>
      <w:r w:rsidRPr="004052B5">
        <w:t xml:space="preserve">The randomised clinical trials analysed by the </w:t>
      </w:r>
      <w:r w:rsidRPr="004052B5">
        <w:rPr>
          <w:b/>
          <w:bCs/>
        </w:rPr>
        <w:t>intention-to-treat (ITT)</w:t>
      </w:r>
      <w:r w:rsidRPr="004052B5">
        <w:t xml:space="preserve"> approach provide unbiased comparisons among the treatment groups. In the ITT population, none of the subjects are excluded, regardless of treatment compliance or attrition due to dropout or crossover, and the subjects are analysed according to the randomisation scheme.</w:t>
      </w:r>
    </w:p>
  </w:footnote>
  <w:footnote w:id="28">
    <w:p w14:paraId="7FE006F8" w14:textId="121B4EE5" w:rsidR="00A802EA" w:rsidRPr="00E32FD0" w:rsidRDefault="00A802EA">
      <w:pPr>
        <w:pStyle w:val="FootnoteText"/>
        <w:rPr>
          <w:lang w:val="en-GB"/>
        </w:rPr>
      </w:pPr>
      <w:r>
        <w:rPr>
          <w:rStyle w:val="FootnoteReference"/>
        </w:rPr>
        <w:footnoteRef/>
      </w:r>
      <w:r>
        <w:t xml:space="preserve"> See </w:t>
      </w:r>
      <w:r w:rsidR="00E32FD0">
        <w:t>Section</w:t>
      </w:r>
      <w:r>
        <w:t xml:space="preserve">: </w:t>
      </w:r>
      <w:r w:rsidRPr="00E32FD0">
        <w:rPr>
          <w:i/>
        </w:rPr>
        <w:fldChar w:fldCharType="begin"/>
      </w:r>
      <w:r w:rsidRPr="00E32FD0">
        <w:rPr>
          <w:i/>
        </w:rPr>
        <w:instrText xml:space="preserve"> REF _Ref118108900 \h </w:instrText>
      </w:r>
      <w:r>
        <w:rPr>
          <w:i/>
        </w:rPr>
        <w:instrText xml:space="preserve"> \* MERGEFORMAT </w:instrText>
      </w:r>
      <w:r w:rsidRPr="00E32FD0">
        <w:rPr>
          <w:i/>
        </w:rPr>
      </w:r>
      <w:r w:rsidRPr="00E32FD0">
        <w:rPr>
          <w:i/>
        </w:rPr>
        <w:fldChar w:fldCharType="separate"/>
      </w:r>
      <w:r w:rsidRPr="00E32FD0">
        <w:rPr>
          <w:i/>
        </w:rPr>
        <w:t>Ki-67 as prognostic biomarker</w:t>
      </w:r>
      <w:r w:rsidRPr="00E32FD0">
        <w:rPr>
          <w:i/>
        </w:rPr>
        <w:fldChar w:fldCharType="end"/>
      </w:r>
      <w:r>
        <w:rPr>
          <w:i/>
        </w:rPr>
        <w:t>.</w:t>
      </w:r>
    </w:p>
  </w:footnote>
  <w:footnote w:id="29">
    <w:p w14:paraId="243A5276" w14:textId="4FB3D56C" w:rsidR="00A802EA" w:rsidRDefault="00A802EA" w:rsidP="00596DFB">
      <w:pPr>
        <w:pStyle w:val="FootnoteText"/>
      </w:pPr>
      <w:r>
        <w:rPr>
          <w:rStyle w:val="FootnoteReference"/>
        </w:rPr>
        <w:footnoteRef/>
      </w:r>
      <w:r>
        <w:t xml:space="preserve"> </w:t>
      </w:r>
      <w:r w:rsidRPr="00596DFB">
        <w:rPr>
          <w:b/>
          <w:bCs/>
        </w:rPr>
        <w:t>ECOG Performance Status</w:t>
      </w:r>
      <w:r>
        <w:t>: The Eastern Cooperative Oncology Group (ECOG) has developed criteria used by doctors and researchers to assess how a patient's disease is progressing, assess how the disease affects the daily living abilities of the patient, and determine appropriate treatment and prognosis. The following are used:</w:t>
      </w:r>
    </w:p>
    <w:p w14:paraId="6C7A2BF7" w14:textId="77777777" w:rsidR="00A802EA" w:rsidRDefault="00A802EA" w:rsidP="00596DFB">
      <w:pPr>
        <w:pStyle w:val="FootnoteText"/>
      </w:pPr>
      <w:r>
        <w:t>0 - Fully active, able to carry on all pre-disease performance without restriction</w:t>
      </w:r>
    </w:p>
    <w:p w14:paraId="25F59E4A" w14:textId="77777777" w:rsidR="00A802EA" w:rsidRDefault="00A802EA" w:rsidP="00596DFB">
      <w:pPr>
        <w:pStyle w:val="FootnoteText"/>
      </w:pPr>
      <w:r>
        <w:t xml:space="preserve">1- Restricted in physically strenuous activity but ambulatory and able to carry out work of a light or sedentary nature, for example, light </w:t>
      </w:r>
      <w:proofErr w:type="gramStart"/>
      <w:r>
        <w:t>house work</w:t>
      </w:r>
      <w:proofErr w:type="gramEnd"/>
      <w:r>
        <w:t>, office work</w:t>
      </w:r>
    </w:p>
    <w:p w14:paraId="5AC64496" w14:textId="77777777" w:rsidR="00A802EA" w:rsidRDefault="00A802EA" w:rsidP="00596DFB">
      <w:pPr>
        <w:pStyle w:val="FootnoteText"/>
      </w:pPr>
      <w:r>
        <w:t>2 - Ambulatory and capable of all selfcare but unable to carry out any work activities. Up and about more than 50% of waking hours</w:t>
      </w:r>
    </w:p>
    <w:p w14:paraId="0342282E" w14:textId="77777777" w:rsidR="00A802EA" w:rsidRDefault="00A802EA" w:rsidP="00596DFB">
      <w:pPr>
        <w:pStyle w:val="FootnoteText"/>
      </w:pPr>
      <w:r>
        <w:t>3 - Capable of only limited selfcare, confined to bed or chair more than 50% of waking hours</w:t>
      </w:r>
    </w:p>
    <w:p w14:paraId="1C0C1F97" w14:textId="77777777" w:rsidR="00A802EA" w:rsidRDefault="00A802EA" w:rsidP="00596DFB">
      <w:pPr>
        <w:pStyle w:val="FootnoteText"/>
      </w:pPr>
      <w:r>
        <w:t>4 - Completely disabled. Cannot carry on any selfcare. Totally confined to bed or chair</w:t>
      </w:r>
    </w:p>
    <w:p w14:paraId="5714872F" w14:textId="1824A426" w:rsidR="00A802EA" w:rsidRDefault="00A802EA" w:rsidP="00596DFB">
      <w:pPr>
        <w:pStyle w:val="FootnoteText"/>
      </w:pPr>
      <w:r>
        <w:t>5 – Dead</w:t>
      </w:r>
    </w:p>
  </w:footnote>
  <w:footnote w:id="30">
    <w:p w14:paraId="5D269AB0" w14:textId="2D62416E" w:rsidR="00A802EA" w:rsidRDefault="00A802EA" w:rsidP="00F964B4">
      <w:pPr>
        <w:pStyle w:val="FootnoteText"/>
      </w:pPr>
      <w:r>
        <w:rPr>
          <w:rStyle w:val="FootnoteReference"/>
        </w:rPr>
        <w:footnoteRef/>
      </w:r>
      <w:r>
        <w:t xml:space="preserve"> </w:t>
      </w:r>
      <w:proofErr w:type="spellStart"/>
      <w:r>
        <w:t>Hudis</w:t>
      </w:r>
      <w:proofErr w:type="spellEnd"/>
      <w:r>
        <w:t xml:space="preserve">, C.A. et al. Proposal for Standardized Definitions for Efficacy End Points in Adjuvant Breast Cancer Trials: the STEEP system, </w:t>
      </w:r>
      <w:r w:rsidRPr="00F964B4">
        <w:rPr>
          <w:i/>
          <w:iCs/>
        </w:rPr>
        <w:t>J Clin Oncol</w:t>
      </w:r>
      <w:r>
        <w:t>, 2007; 25(15): 2127-2132.</w:t>
      </w:r>
    </w:p>
  </w:footnote>
  <w:footnote w:id="31">
    <w:p w14:paraId="5B73338C" w14:textId="77471D2B" w:rsidR="00A802EA" w:rsidRDefault="00A802EA">
      <w:pPr>
        <w:pStyle w:val="FootnoteText"/>
      </w:pPr>
      <w:r>
        <w:rPr>
          <w:rStyle w:val="FootnoteReference"/>
        </w:rPr>
        <w:footnoteRef/>
      </w:r>
      <w:r>
        <w:t xml:space="preserve"> T</w:t>
      </w:r>
      <w:r w:rsidRPr="000C6D2E">
        <w:t xml:space="preserve">he </w:t>
      </w:r>
      <w:r w:rsidRPr="000C6D2E">
        <w:rPr>
          <w:b/>
          <w:bCs/>
        </w:rPr>
        <w:t>Functional Assessment of Cancer Therapy-Endocrine Subscale (FACT-ES)</w:t>
      </w:r>
      <w:r w:rsidRPr="000C6D2E">
        <w:t xml:space="preserve"> </w:t>
      </w:r>
      <w:r>
        <w:t xml:space="preserve">is a </w:t>
      </w:r>
      <w:r w:rsidRPr="000C6D2E">
        <w:t>5</w:t>
      </w:r>
      <w:r>
        <w:t>-</w:t>
      </w:r>
      <w:r w:rsidRPr="000C6D2E">
        <w:t>point Likert-type scale</w:t>
      </w:r>
      <w:r>
        <w:t xml:space="preserve"> questionnaire that can be used to </w:t>
      </w:r>
      <w:r w:rsidRPr="000C6D2E">
        <w:t>measure</w:t>
      </w:r>
      <w:r>
        <w:t>s</w:t>
      </w:r>
      <w:r w:rsidRPr="000C6D2E">
        <w:t xml:space="preserve"> the side effects and putative benefits of hormonal treatments given (endocrine therapy) in breast cancer.</w:t>
      </w:r>
      <w:r>
        <w:t xml:space="preserve"> It was </w:t>
      </w:r>
      <w:r w:rsidRPr="000C6D2E">
        <w:t>developed to accompany the Functional Assessment of Cancer Therapy for patients with Breast cancer (FACT-B), a standardi</w:t>
      </w:r>
      <w:r>
        <w:t>s</w:t>
      </w:r>
      <w:r w:rsidRPr="000C6D2E">
        <w:t>ed breast cancer quality of life measure.</w:t>
      </w:r>
    </w:p>
  </w:footnote>
  <w:footnote w:id="32">
    <w:p w14:paraId="14ECC208" w14:textId="1442D14E" w:rsidR="00A802EA" w:rsidRDefault="00A802EA">
      <w:pPr>
        <w:pStyle w:val="FootnoteText"/>
      </w:pPr>
      <w:r>
        <w:rPr>
          <w:rStyle w:val="FootnoteReference"/>
        </w:rPr>
        <w:footnoteRef/>
      </w:r>
      <w:r>
        <w:t xml:space="preserve"> </w:t>
      </w:r>
      <w:r w:rsidRPr="00AD7BAF">
        <w:rPr>
          <w:b/>
          <w:bCs/>
        </w:rPr>
        <w:t>Drug induced liver injury (DILI)</w:t>
      </w:r>
      <w:r w:rsidRPr="00AD7BAF">
        <w:t xml:space="preserve"> also known as drug-induced hepatoxicity, is acute or chronic liver damage caused by a prescription, over the counter (OTC) or complementary medicine. Hepatoxicity due to type A reactions, or intrinsic DILI is typically dose-related and occurs in a large proportion of individuals exposed to the drug, (predictable) and onset is within a short time span (hours to days). Idiosyncratic DILI is not closely dose-</w:t>
      </w:r>
      <w:proofErr w:type="gramStart"/>
      <w:r w:rsidRPr="00AD7BAF">
        <w:t>related, and</w:t>
      </w:r>
      <w:proofErr w:type="gramEnd"/>
      <w:r w:rsidRPr="00AD7BAF">
        <w:t xml:space="preserve"> occurs in only a small proportion of exposed susceptible individuals (unpredictable) and exhibits a variable latency to onset of days to weeks.</w:t>
      </w:r>
    </w:p>
  </w:footnote>
  <w:footnote w:id="33">
    <w:p w14:paraId="0FC1D92A" w14:textId="6713497B" w:rsidR="00A802EA" w:rsidRDefault="00A802EA">
      <w:pPr>
        <w:pStyle w:val="FootnoteText"/>
      </w:pPr>
      <w:r>
        <w:rPr>
          <w:rStyle w:val="FootnoteReference"/>
        </w:rPr>
        <w:footnoteRef/>
      </w:r>
      <w:r>
        <w:t xml:space="preserve"> </w:t>
      </w:r>
      <w:r w:rsidRPr="002F37A9">
        <w:t xml:space="preserve">Inclusion of this information is beyond the scope of the </w:t>
      </w:r>
      <w:proofErr w:type="spellStart"/>
      <w:r w:rsidRPr="002F37A9">
        <w:t>AusPAR</w:t>
      </w:r>
      <w:proofErr w:type="spellEnd"/>
      <w:r w:rsidRPr="002F37A9">
        <w:t>.</w:t>
      </w:r>
    </w:p>
  </w:footnote>
  <w:footnote w:id="34">
    <w:p w14:paraId="70C55D60" w14:textId="51C912C7" w:rsidR="00A802EA" w:rsidRDefault="00A802EA" w:rsidP="00765EE2">
      <w:pPr>
        <w:pStyle w:val="FootnoteText"/>
      </w:pPr>
      <w:r>
        <w:rPr>
          <w:rStyle w:val="FootnoteReference"/>
        </w:rPr>
        <w:footnoteRef/>
      </w:r>
      <w:r>
        <w:t xml:space="preserve"> T</w:t>
      </w:r>
      <w:r w:rsidRPr="00E32573">
        <w:t>he Breast International Group (BIG) 1-98 Collaborative Group</w:t>
      </w:r>
      <w:r>
        <w:t xml:space="preserve">, </w:t>
      </w:r>
      <w:r w:rsidR="0098240E">
        <w:t>A</w:t>
      </w:r>
      <w:r w:rsidRPr="00E32573">
        <w:t xml:space="preserve"> Comparison of Letrozole and Tamoxifen in Postmenopausal Women with Early Breast Cancer</w:t>
      </w:r>
      <w:r>
        <w:t xml:space="preserve">, </w:t>
      </w:r>
      <w:r w:rsidRPr="0098240E">
        <w:rPr>
          <w:i/>
          <w:iCs/>
        </w:rPr>
        <w:t xml:space="preserve">N </w:t>
      </w:r>
      <w:proofErr w:type="spellStart"/>
      <w:r w:rsidRPr="0098240E">
        <w:rPr>
          <w:i/>
          <w:iCs/>
        </w:rPr>
        <w:t>Engl</w:t>
      </w:r>
      <w:proofErr w:type="spellEnd"/>
      <w:r w:rsidRPr="0098240E">
        <w:rPr>
          <w:i/>
          <w:iCs/>
        </w:rPr>
        <w:t xml:space="preserve"> J Med</w:t>
      </w:r>
      <w:r w:rsidR="0098240E">
        <w:rPr>
          <w:i/>
          <w:iCs/>
        </w:rPr>
        <w:t>,</w:t>
      </w:r>
      <w:r w:rsidRPr="00E32573">
        <w:t xml:space="preserve"> 2005; 353:</w:t>
      </w:r>
      <w:r w:rsidR="0098240E">
        <w:t xml:space="preserve"> </w:t>
      </w:r>
      <w:r w:rsidRPr="00E32573">
        <w:t>2747-2757</w:t>
      </w:r>
      <w:r>
        <w:t>.</w:t>
      </w:r>
    </w:p>
  </w:footnote>
  <w:footnote w:id="35">
    <w:p w14:paraId="5E9C12C0" w14:textId="150FD5BA" w:rsidR="00A802EA" w:rsidRDefault="00A802EA" w:rsidP="00765EE2">
      <w:pPr>
        <w:pStyle w:val="FootnoteText"/>
      </w:pPr>
      <w:r>
        <w:rPr>
          <w:rStyle w:val="FootnoteReference"/>
        </w:rPr>
        <w:footnoteRef/>
      </w:r>
      <w:r>
        <w:t xml:space="preserve"> Regan et al. </w:t>
      </w:r>
      <w:r w:rsidRPr="000C33EB">
        <w:t xml:space="preserve">Assessment </w:t>
      </w:r>
      <w:r w:rsidR="0098240E">
        <w:t>o</w:t>
      </w:r>
      <w:r w:rsidR="0098240E" w:rsidRPr="000C33EB">
        <w:t xml:space="preserve">f Letrozole </w:t>
      </w:r>
      <w:r w:rsidR="0098240E">
        <w:t>a</w:t>
      </w:r>
      <w:r w:rsidR="0098240E" w:rsidRPr="000C33EB">
        <w:t xml:space="preserve">nd Tamoxifen Alone </w:t>
      </w:r>
      <w:r w:rsidR="0098240E">
        <w:t>a</w:t>
      </w:r>
      <w:r w:rsidR="0098240E" w:rsidRPr="000C33EB">
        <w:t xml:space="preserve">nd </w:t>
      </w:r>
      <w:r w:rsidR="0098240E">
        <w:t>i</w:t>
      </w:r>
      <w:r w:rsidR="0098240E" w:rsidRPr="000C33EB">
        <w:t>n Sequence for Postmenopausal Women with Steroid Hormone Receptor-Positive Breast Cancer</w:t>
      </w:r>
      <w:r w:rsidRPr="000C33EB">
        <w:t xml:space="preserve">: the BIG 1-98 </w:t>
      </w:r>
      <w:r w:rsidR="0098240E" w:rsidRPr="000C33EB">
        <w:t xml:space="preserve">Randomised Clinical Trial </w:t>
      </w:r>
      <w:r w:rsidRPr="000C33EB">
        <w:t xml:space="preserve">at 8·1 </w:t>
      </w:r>
      <w:r w:rsidR="0098240E" w:rsidRPr="000C33EB">
        <w:t>Years Median Follow-Up</w:t>
      </w:r>
      <w:r>
        <w:t xml:space="preserve">, </w:t>
      </w:r>
      <w:r w:rsidRPr="00F86A77">
        <w:rPr>
          <w:i/>
          <w:iCs/>
        </w:rPr>
        <w:t>Lancet Oncol</w:t>
      </w:r>
      <w:r w:rsidR="00F86A77">
        <w:t>,</w:t>
      </w:r>
      <w:r w:rsidRPr="000C33EB">
        <w:t xml:space="preserve"> 2011;</w:t>
      </w:r>
      <w:r w:rsidR="00F86A77">
        <w:t xml:space="preserve"> </w:t>
      </w:r>
      <w:r w:rsidRPr="000C33EB">
        <w:t>12(12):</w:t>
      </w:r>
      <w:r w:rsidR="00F86A77">
        <w:t xml:space="preserve"> </w:t>
      </w:r>
      <w:r w:rsidRPr="000C33EB">
        <w:t>1101-</w:t>
      </w:r>
      <w:r w:rsidR="00F86A77">
        <w:t>110</w:t>
      </w:r>
      <w:r w:rsidRPr="000C33EB">
        <w:t>8.</w:t>
      </w:r>
    </w:p>
  </w:footnote>
  <w:footnote w:id="36">
    <w:p w14:paraId="36796092" w14:textId="6070DEDF" w:rsidR="00A802EA" w:rsidRPr="005357E7" w:rsidRDefault="00A802EA">
      <w:pPr>
        <w:pStyle w:val="FootnoteText"/>
        <w:rPr>
          <w:lang w:val="en-GB"/>
        </w:rPr>
      </w:pPr>
      <w:r>
        <w:rPr>
          <w:rStyle w:val="FootnoteReference"/>
        </w:rPr>
        <w:footnoteRef/>
      </w:r>
      <w:r>
        <w:t xml:space="preserve"> </w:t>
      </w:r>
      <w:r w:rsidR="005357E7">
        <w:t xml:space="preserve">The </w:t>
      </w:r>
      <w:r>
        <w:t>PALLAS trial: P</w:t>
      </w:r>
      <w:r w:rsidRPr="006E4EA1">
        <w:t xml:space="preserve">albociclib collaborative adjuvant study: A randomised </w:t>
      </w:r>
      <w:r w:rsidR="005357E7" w:rsidRPr="006E4EA1">
        <w:t xml:space="preserve">Phase </w:t>
      </w:r>
      <w:r w:rsidRPr="006E4EA1">
        <w:t xml:space="preserve">III trial of </w:t>
      </w:r>
      <w:proofErr w:type="spellStart"/>
      <w:r w:rsidRPr="006E4EA1">
        <w:t>palbociclib</w:t>
      </w:r>
      <w:proofErr w:type="spellEnd"/>
      <w:r w:rsidRPr="006E4EA1">
        <w:t xml:space="preserve"> with standard adjuvant endocrine therapy versus standard adjuvant endocrine therapy alone for hormone receptor positive (HR+) / human epidermal growth factor receptor 2 </w:t>
      </w:r>
      <w:r w:rsidR="005357E7" w:rsidRPr="006E4EA1">
        <w:t xml:space="preserve">negative </w:t>
      </w:r>
      <w:r w:rsidRPr="006E4EA1">
        <w:t>(HER2</w:t>
      </w:r>
      <w:r w:rsidR="005357E7">
        <w:t>-</w:t>
      </w:r>
      <w:r w:rsidRPr="006E4EA1">
        <w:t>) early breast cancer</w:t>
      </w:r>
      <w:r w:rsidR="00A06517">
        <w:t>.</w:t>
      </w:r>
    </w:p>
  </w:footnote>
  <w:footnote w:id="37">
    <w:p w14:paraId="6E92513D" w14:textId="70BD5814" w:rsidR="00A802EA" w:rsidRPr="006E4EA1" w:rsidRDefault="00A802EA" w:rsidP="006E4EA1">
      <w:pPr>
        <w:pStyle w:val="FootnoteText"/>
      </w:pPr>
      <w:r>
        <w:rPr>
          <w:rStyle w:val="FootnoteReference"/>
        </w:rPr>
        <w:footnoteRef/>
      </w:r>
      <w:r>
        <w:t xml:space="preserve"> </w:t>
      </w:r>
      <w:r w:rsidR="005357E7">
        <w:t xml:space="preserve">The </w:t>
      </w:r>
      <w:r>
        <w:t xml:space="preserve">PENELOPE-B trial: A study of </w:t>
      </w:r>
      <w:proofErr w:type="spellStart"/>
      <w:r>
        <w:t>palbociclib</w:t>
      </w:r>
      <w:proofErr w:type="spellEnd"/>
      <w:r>
        <w:t xml:space="preserve"> in addition to standard endocrine treatment in hormone receptor positive </w:t>
      </w:r>
      <w:r w:rsidR="005357E7" w:rsidRPr="006E4EA1">
        <w:t xml:space="preserve">human epidermal growth factor receptor 2 </w:t>
      </w:r>
      <w:r w:rsidR="005357E7">
        <w:t>(HER</w:t>
      </w:r>
      <w:r>
        <w:t>2</w:t>
      </w:r>
      <w:r w:rsidR="005357E7">
        <w:t>)</w:t>
      </w:r>
      <w:r>
        <w:t xml:space="preserve"> normal breast cancer patients with residual disease after neoadjuvant chemotherapy and surgery.</w:t>
      </w:r>
    </w:p>
  </w:footnote>
  <w:footnote w:id="38">
    <w:p w14:paraId="238D3830" w14:textId="19473574" w:rsidR="00A802EA" w:rsidRPr="00A06517" w:rsidRDefault="00A802EA">
      <w:pPr>
        <w:pStyle w:val="FootnoteText"/>
        <w:rPr>
          <w:lang w:val="en-GB"/>
        </w:rPr>
      </w:pPr>
      <w:r>
        <w:rPr>
          <w:rStyle w:val="FootnoteReference"/>
        </w:rPr>
        <w:footnoteRef/>
      </w:r>
      <w:r>
        <w:t xml:space="preserve"> The </w:t>
      </w:r>
      <w:r w:rsidR="005357E7">
        <w:t xml:space="preserve">NATALEE </w:t>
      </w:r>
      <w:r>
        <w:t xml:space="preserve">trial: </w:t>
      </w:r>
      <w:r w:rsidRPr="006E4EA1">
        <w:t xml:space="preserve">A trial to evaluate efficacy and safety of </w:t>
      </w:r>
      <w:proofErr w:type="spellStart"/>
      <w:r w:rsidRPr="006E4EA1">
        <w:t>ribociclib</w:t>
      </w:r>
      <w:proofErr w:type="spellEnd"/>
      <w:r w:rsidRPr="006E4EA1">
        <w:t xml:space="preserve"> with endocrine therapy as adjuvant treatment in patients with</w:t>
      </w:r>
      <w:r>
        <w:t xml:space="preserve"> </w:t>
      </w:r>
      <w:r w:rsidR="005357E7" w:rsidRPr="006E4EA1">
        <w:t xml:space="preserve">hormone receptor positive </w:t>
      </w:r>
      <w:r w:rsidR="005357E7">
        <w:t>(</w:t>
      </w:r>
      <w:r>
        <w:t>HR+</w:t>
      </w:r>
      <w:r w:rsidR="005357E7">
        <w:t xml:space="preserve">) </w:t>
      </w:r>
      <w:r>
        <w:t>/</w:t>
      </w:r>
      <w:r w:rsidR="005357E7">
        <w:t xml:space="preserve"> </w:t>
      </w:r>
      <w:r w:rsidR="00A06517" w:rsidRPr="006E4EA1">
        <w:t>human epidermal growth factor receptor 2 negative (HER2</w:t>
      </w:r>
      <w:r w:rsidR="00A06517">
        <w:t>-</w:t>
      </w:r>
      <w:r w:rsidR="00A06517" w:rsidRPr="006E4EA1">
        <w:t>)</w:t>
      </w:r>
      <w:r>
        <w:t xml:space="preserve"> early breast cancer.</w:t>
      </w:r>
    </w:p>
  </w:footnote>
  <w:footnote w:id="39">
    <w:p w14:paraId="41A16A4F" w14:textId="77777777" w:rsidR="00A802EA" w:rsidRDefault="00A802EA" w:rsidP="007D07F9">
      <w:pPr>
        <w:pStyle w:val="FootnoteText"/>
      </w:pPr>
      <w:r>
        <w:rPr>
          <w:rStyle w:val="FootnoteReference"/>
        </w:rPr>
        <w:footnoteRef/>
      </w:r>
      <w:r>
        <w:t xml:space="preserve"> The QT interval is the time from the start of the QRS wave complex to the end of the corresponding T wave. It approximates to the time taken for ventricular depolarisation and repolarisation</w:t>
      </w:r>
      <w:proofErr w:type="gramStart"/>
      <w:r>
        <w:t>, that is to say, the</w:t>
      </w:r>
      <w:proofErr w:type="gramEnd"/>
      <w:r>
        <w:t xml:space="preserve"> period of ventricular systole from ventricular isovolumetric contraction to isovolumetric relaxation.</w:t>
      </w:r>
    </w:p>
    <w:p w14:paraId="3B88E4C3" w14:textId="687F2F8D" w:rsidR="00A802EA" w:rsidRDefault="00A802EA" w:rsidP="007D07F9">
      <w:pPr>
        <w:pStyle w:val="FootnoteText"/>
      </w:pPr>
      <w:r>
        <w:t xml:space="preserve">The corrected QT interval (QTc) estimates the QT interval at a standard heart rate. This allows comparison of QT values over time at different heart rates and improves detection of patients at increased risk of arrhythmias. The </w:t>
      </w:r>
      <w:proofErr w:type="spellStart"/>
      <w:r w:rsidRPr="007D07F9">
        <w:rPr>
          <w:b/>
          <w:bCs/>
        </w:rPr>
        <w:t>QTcF</w:t>
      </w:r>
      <w:proofErr w:type="spellEnd"/>
      <w:r>
        <w:t xml:space="preserve"> is the QT interval corrected for heart rate according to Fridericia’s formula.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283EE" w14:textId="77777777" w:rsidR="00A802EA" w:rsidRDefault="00A802EA"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141DB" w14:textId="77777777" w:rsidR="00A802EA" w:rsidRDefault="00A802EA">
    <w:pPr>
      <w:rPr>
        <w:noProof/>
        <w:lang w:eastAsia="en-AU"/>
      </w:rPr>
    </w:pPr>
    <w:r w:rsidRPr="00347824">
      <w:rPr>
        <w:noProof/>
        <w:lang w:val="en-GB" w:eastAsia="en-GB"/>
      </w:rPr>
      <w:drawing>
        <wp:anchor distT="0" distB="0" distL="114300" distR="114300" simplePos="0" relativeHeight="251659264" behindDoc="1" locked="0" layoutInCell="1" allowOverlap="1" wp14:anchorId="1691439F" wp14:editId="5DDBF0F8">
          <wp:simplePos x="0" y="0"/>
          <wp:positionH relativeFrom="column">
            <wp:posOffset>-1089660</wp:posOffset>
          </wp:positionH>
          <wp:positionV relativeFrom="paragraph">
            <wp:posOffset>-585470</wp:posOffset>
          </wp:positionV>
          <wp:extent cx="7572375" cy="10706100"/>
          <wp:effectExtent l="19050" t="0" r="0" b="0"/>
          <wp:wrapNone/>
          <wp:docPr id="1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E0C90" w14:textId="77777777" w:rsidR="00A802EA" w:rsidRDefault="00A802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A81E6" w14:textId="77777777" w:rsidR="00A802EA" w:rsidRDefault="00A802EA">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DB19B" w14:textId="77777777" w:rsidR="00A802EA" w:rsidRDefault="00A802EA">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9D9C7" w14:textId="77777777" w:rsidR="00A802EA" w:rsidRDefault="00A802E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972FE" w14:textId="77777777" w:rsidR="00A802EA" w:rsidRDefault="00A802EA"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E072E" w14:textId="77777777" w:rsidR="00A802EA" w:rsidRDefault="00A802EA" w:rsidP="006E08B3">
    <w:r>
      <w:t>Therapeutic Goods Administration</w:t>
    </w:r>
  </w:p>
  <w:p w14:paraId="04166042" w14:textId="77777777" w:rsidR="00A802EA" w:rsidRDefault="00A802EA"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15:restartNumberingAfterBreak="0">
    <w:nsid w:val="25560F3F"/>
    <w:multiLevelType w:val="hybridMultilevel"/>
    <w:tmpl w:val="08C83B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EB9215F"/>
    <w:multiLevelType w:val="hybridMultilevel"/>
    <w:tmpl w:val="01EC35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FC0A7E"/>
    <w:multiLevelType w:val="hybridMultilevel"/>
    <w:tmpl w:val="69D811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D3A25BF"/>
    <w:multiLevelType w:val="hybridMultilevel"/>
    <w:tmpl w:val="9A289C5A"/>
    <w:lvl w:ilvl="0" w:tplc="0C090001">
      <w:start w:val="1"/>
      <w:numFmt w:val="bullet"/>
      <w:lvlText w:val=""/>
      <w:lvlJc w:val="left"/>
      <w:pPr>
        <w:ind w:left="530" w:hanging="360"/>
      </w:pPr>
      <w:rPr>
        <w:rFonts w:ascii="Symbol" w:hAnsi="Symbo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6" w15:restartNumberingAfterBreak="0">
    <w:nsid w:val="447744BB"/>
    <w:multiLevelType w:val="hybridMultilevel"/>
    <w:tmpl w:val="6F381E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4914314"/>
    <w:multiLevelType w:val="hybridMultilevel"/>
    <w:tmpl w:val="A8762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4E5403"/>
    <w:multiLevelType w:val="hybridMultilevel"/>
    <w:tmpl w:val="679E854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4CC595F"/>
    <w:multiLevelType w:val="hybridMultilevel"/>
    <w:tmpl w:val="95A2DF9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C1A4A84"/>
    <w:multiLevelType w:val="hybridMultilevel"/>
    <w:tmpl w:val="D9ECC3F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D520838"/>
    <w:multiLevelType w:val="hybridMultilevel"/>
    <w:tmpl w:val="78720D70"/>
    <w:lvl w:ilvl="0" w:tplc="0C090003">
      <w:start w:val="1"/>
      <w:numFmt w:val="bullet"/>
      <w:lvlText w:val="o"/>
      <w:lvlJc w:val="left"/>
      <w:pPr>
        <w:ind w:left="720" w:hanging="360"/>
      </w:pPr>
      <w:rPr>
        <w:rFonts w:ascii="Courier New" w:hAnsi="Courier New" w:cs="Courier New" w:hint="default"/>
      </w:rPr>
    </w:lvl>
    <w:lvl w:ilvl="1" w:tplc="072C9D12">
      <w:numFmt w:val="bullet"/>
      <w:lvlText w:val="-"/>
      <w:lvlJc w:val="left"/>
      <w:pPr>
        <w:ind w:left="1440" w:hanging="360"/>
      </w:pPr>
      <w:rPr>
        <w:rFonts w:ascii="Cambria" w:eastAsia="Cambria" w:hAnsi="Cambria"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6"/>
  </w:num>
  <w:num w:numId="8">
    <w:abstractNumId w:val="3"/>
  </w:num>
  <w:num w:numId="9">
    <w:abstractNumId w:val="7"/>
  </w:num>
  <w:num w:numId="10">
    <w:abstractNumId w:val="4"/>
  </w:num>
  <w:num w:numId="11">
    <w:abstractNumId w:val="2"/>
  </w:num>
  <w:num w:numId="12">
    <w:abstractNumId w:val="12"/>
  </w:num>
  <w:num w:numId="13">
    <w:abstractNumId w:val="10"/>
  </w:num>
  <w:num w:numId="14">
    <w:abstractNumId w:val="11"/>
  </w:num>
  <w:num w:numId="15">
    <w:abstractNumId w:val="8"/>
  </w:num>
  <w:num w:numId="1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ACE"/>
    <w:rsid w:val="00002031"/>
    <w:rsid w:val="00004734"/>
    <w:rsid w:val="00006B22"/>
    <w:rsid w:val="00006FAB"/>
    <w:rsid w:val="0001276A"/>
    <w:rsid w:val="000246AE"/>
    <w:rsid w:val="00024A40"/>
    <w:rsid w:val="00025C67"/>
    <w:rsid w:val="0003346F"/>
    <w:rsid w:val="00033AC2"/>
    <w:rsid w:val="00044772"/>
    <w:rsid w:val="000452C7"/>
    <w:rsid w:val="0004541C"/>
    <w:rsid w:val="0005559E"/>
    <w:rsid w:val="000604D6"/>
    <w:rsid w:val="00060C51"/>
    <w:rsid w:val="000668A9"/>
    <w:rsid w:val="000734D8"/>
    <w:rsid w:val="00077775"/>
    <w:rsid w:val="00080ACE"/>
    <w:rsid w:val="0008118A"/>
    <w:rsid w:val="00090471"/>
    <w:rsid w:val="00096A29"/>
    <w:rsid w:val="00096AA7"/>
    <w:rsid w:val="000A3AED"/>
    <w:rsid w:val="000B1226"/>
    <w:rsid w:val="000B3532"/>
    <w:rsid w:val="000B3A75"/>
    <w:rsid w:val="000B652C"/>
    <w:rsid w:val="000C00C2"/>
    <w:rsid w:val="000C44E7"/>
    <w:rsid w:val="000C690F"/>
    <w:rsid w:val="000C6D2E"/>
    <w:rsid w:val="000C71AD"/>
    <w:rsid w:val="000D1295"/>
    <w:rsid w:val="000D33C0"/>
    <w:rsid w:val="000D391B"/>
    <w:rsid w:val="000D3D6D"/>
    <w:rsid w:val="000D4FC7"/>
    <w:rsid w:val="000E6196"/>
    <w:rsid w:val="000E651C"/>
    <w:rsid w:val="000F4869"/>
    <w:rsid w:val="000F5B42"/>
    <w:rsid w:val="000F6E6F"/>
    <w:rsid w:val="0010145D"/>
    <w:rsid w:val="0010601F"/>
    <w:rsid w:val="0010788A"/>
    <w:rsid w:val="00107A31"/>
    <w:rsid w:val="00110EA5"/>
    <w:rsid w:val="00112F56"/>
    <w:rsid w:val="00117C1F"/>
    <w:rsid w:val="00122C2E"/>
    <w:rsid w:val="00124678"/>
    <w:rsid w:val="00124ACD"/>
    <w:rsid w:val="00125318"/>
    <w:rsid w:val="001305A2"/>
    <w:rsid w:val="00133238"/>
    <w:rsid w:val="00133A1B"/>
    <w:rsid w:val="0014197B"/>
    <w:rsid w:val="001447CD"/>
    <w:rsid w:val="001516B1"/>
    <w:rsid w:val="00154EBB"/>
    <w:rsid w:val="0015566F"/>
    <w:rsid w:val="00156316"/>
    <w:rsid w:val="00161181"/>
    <w:rsid w:val="00161D56"/>
    <w:rsid w:val="00162D14"/>
    <w:rsid w:val="00163780"/>
    <w:rsid w:val="00165389"/>
    <w:rsid w:val="00167A61"/>
    <w:rsid w:val="0017693F"/>
    <w:rsid w:val="0018110E"/>
    <w:rsid w:val="00181684"/>
    <w:rsid w:val="001843C6"/>
    <w:rsid w:val="001850E0"/>
    <w:rsid w:val="00185407"/>
    <w:rsid w:val="00187EB3"/>
    <w:rsid w:val="00196E93"/>
    <w:rsid w:val="001A03AF"/>
    <w:rsid w:val="001A2158"/>
    <w:rsid w:val="001A525F"/>
    <w:rsid w:val="001A5A00"/>
    <w:rsid w:val="001A66B8"/>
    <w:rsid w:val="001B09F9"/>
    <w:rsid w:val="001B1DA4"/>
    <w:rsid w:val="001B5C90"/>
    <w:rsid w:val="001B6448"/>
    <w:rsid w:val="001B7C07"/>
    <w:rsid w:val="001B7EB8"/>
    <w:rsid w:val="001C32CD"/>
    <w:rsid w:val="001D2984"/>
    <w:rsid w:val="001D5453"/>
    <w:rsid w:val="001D5792"/>
    <w:rsid w:val="001E07CF"/>
    <w:rsid w:val="001E359E"/>
    <w:rsid w:val="001E59F1"/>
    <w:rsid w:val="001F2CEE"/>
    <w:rsid w:val="001F49EB"/>
    <w:rsid w:val="001F6CBA"/>
    <w:rsid w:val="00200519"/>
    <w:rsid w:val="00201D4E"/>
    <w:rsid w:val="0020324F"/>
    <w:rsid w:val="00206B4F"/>
    <w:rsid w:val="002076C9"/>
    <w:rsid w:val="0022051D"/>
    <w:rsid w:val="00220B8A"/>
    <w:rsid w:val="002257F3"/>
    <w:rsid w:val="002314EA"/>
    <w:rsid w:val="00233456"/>
    <w:rsid w:val="002339A5"/>
    <w:rsid w:val="00242918"/>
    <w:rsid w:val="00250271"/>
    <w:rsid w:val="00250F35"/>
    <w:rsid w:val="002530FC"/>
    <w:rsid w:val="00253DB1"/>
    <w:rsid w:val="00257848"/>
    <w:rsid w:val="002578E8"/>
    <w:rsid w:val="00266263"/>
    <w:rsid w:val="0027084A"/>
    <w:rsid w:val="00271E85"/>
    <w:rsid w:val="00275626"/>
    <w:rsid w:val="00280265"/>
    <w:rsid w:val="00283AFA"/>
    <w:rsid w:val="00286434"/>
    <w:rsid w:val="00286C59"/>
    <w:rsid w:val="00291957"/>
    <w:rsid w:val="002942D1"/>
    <w:rsid w:val="0029501A"/>
    <w:rsid w:val="00296D2A"/>
    <w:rsid w:val="002A3721"/>
    <w:rsid w:val="002B1638"/>
    <w:rsid w:val="002B3624"/>
    <w:rsid w:val="002B7A02"/>
    <w:rsid w:val="002D0952"/>
    <w:rsid w:val="002E40B3"/>
    <w:rsid w:val="002E4C9A"/>
    <w:rsid w:val="002F11F8"/>
    <w:rsid w:val="002F1A84"/>
    <w:rsid w:val="002F37A9"/>
    <w:rsid w:val="002F3F56"/>
    <w:rsid w:val="002F44B5"/>
    <w:rsid w:val="002F5122"/>
    <w:rsid w:val="002F645C"/>
    <w:rsid w:val="00300AD1"/>
    <w:rsid w:val="00311AC0"/>
    <w:rsid w:val="00314F25"/>
    <w:rsid w:val="0031603E"/>
    <w:rsid w:val="003176FC"/>
    <w:rsid w:val="00324E45"/>
    <w:rsid w:val="0032583B"/>
    <w:rsid w:val="00327883"/>
    <w:rsid w:val="00332715"/>
    <w:rsid w:val="00335504"/>
    <w:rsid w:val="00340C18"/>
    <w:rsid w:val="003442FD"/>
    <w:rsid w:val="00347824"/>
    <w:rsid w:val="00350567"/>
    <w:rsid w:val="003521E8"/>
    <w:rsid w:val="0035790D"/>
    <w:rsid w:val="003607DF"/>
    <w:rsid w:val="00365B09"/>
    <w:rsid w:val="00365D6B"/>
    <w:rsid w:val="0036706A"/>
    <w:rsid w:val="00370CE3"/>
    <w:rsid w:val="003728F3"/>
    <w:rsid w:val="00372E61"/>
    <w:rsid w:val="003735BC"/>
    <w:rsid w:val="0037496E"/>
    <w:rsid w:val="00383221"/>
    <w:rsid w:val="00383341"/>
    <w:rsid w:val="00386150"/>
    <w:rsid w:val="003874CE"/>
    <w:rsid w:val="00390900"/>
    <w:rsid w:val="003A02A9"/>
    <w:rsid w:val="003A44F7"/>
    <w:rsid w:val="003A7F6C"/>
    <w:rsid w:val="003B3062"/>
    <w:rsid w:val="003B4D60"/>
    <w:rsid w:val="003B53F8"/>
    <w:rsid w:val="003B7E39"/>
    <w:rsid w:val="003C01BB"/>
    <w:rsid w:val="003C50C8"/>
    <w:rsid w:val="003C58DC"/>
    <w:rsid w:val="003D1E62"/>
    <w:rsid w:val="003E0B99"/>
    <w:rsid w:val="003E2486"/>
    <w:rsid w:val="003E3208"/>
    <w:rsid w:val="003F0B04"/>
    <w:rsid w:val="0040134E"/>
    <w:rsid w:val="004052B5"/>
    <w:rsid w:val="004334C7"/>
    <w:rsid w:val="00437819"/>
    <w:rsid w:val="00440A2D"/>
    <w:rsid w:val="00441C3F"/>
    <w:rsid w:val="00442211"/>
    <w:rsid w:val="00444D1A"/>
    <w:rsid w:val="0045186A"/>
    <w:rsid w:val="00454BDC"/>
    <w:rsid w:val="004564A7"/>
    <w:rsid w:val="00456765"/>
    <w:rsid w:val="00460036"/>
    <w:rsid w:val="004617BF"/>
    <w:rsid w:val="00463658"/>
    <w:rsid w:val="004637A0"/>
    <w:rsid w:val="00466964"/>
    <w:rsid w:val="004722CC"/>
    <w:rsid w:val="00476DB2"/>
    <w:rsid w:val="00480BA3"/>
    <w:rsid w:val="004858C2"/>
    <w:rsid w:val="00490483"/>
    <w:rsid w:val="004936E4"/>
    <w:rsid w:val="00494E60"/>
    <w:rsid w:val="00496959"/>
    <w:rsid w:val="00497487"/>
    <w:rsid w:val="004A02EE"/>
    <w:rsid w:val="004A2771"/>
    <w:rsid w:val="004A6189"/>
    <w:rsid w:val="004A7390"/>
    <w:rsid w:val="004B7B76"/>
    <w:rsid w:val="004C239D"/>
    <w:rsid w:val="004C2B1B"/>
    <w:rsid w:val="004C2DCA"/>
    <w:rsid w:val="004C4FBE"/>
    <w:rsid w:val="004C61D2"/>
    <w:rsid w:val="004D5FD3"/>
    <w:rsid w:val="004E5890"/>
    <w:rsid w:val="004F0C4A"/>
    <w:rsid w:val="004F0F38"/>
    <w:rsid w:val="004F1366"/>
    <w:rsid w:val="004F47D6"/>
    <w:rsid w:val="00500337"/>
    <w:rsid w:val="00501921"/>
    <w:rsid w:val="00505417"/>
    <w:rsid w:val="0052149B"/>
    <w:rsid w:val="00523A21"/>
    <w:rsid w:val="00530354"/>
    <w:rsid w:val="005357E7"/>
    <w:rsid w:val="0053625B"/>
    <w:rsid w:val="00542D6F"/>
    <w:rsid w:val="00543134"/>
    <w:rsid w:val="005434C6"/>
    <w:rsid w:val="00543B39"/>
    <w:rsid w:val="00545CDB"/>
    <w:rsid w:val="00546154"/>
    <w:rsid w:val="00550096"/>
    <w:rsid w:val="005550FE"/>
    <w:rsid w:val="00555280"/>
    <w:rsid w:val="00557FF9"/>
    <w:rsid w:val="00562327"/>
    <w:rsid w:val="005711D5"/>
    <w:rsid w:val="00575E85"/>
    <w:rsid w:val="00576378"/>
    <w:rsid w:val="00577130"/>
    <w:rsid w:val="00577945"/>
    <w:rsid w:val="00577E38"/>
    <w:rsid w:val="00585322"/>
    <w:rsid w:val="005857C6"/>
    <w:rsid w:val="00592F6E"/>
    <w:rsid w:val="00593AD1"/>
    <w:rsid w:val="00596DFB"/>
    <w:rsid w:val="005A2617"/>
    <w:rsid w:val="005A2C95"/>
    <w:rsid w:val="005A68B6"/>
    <w:rsid w:val="005A79F5"/>
    <w:rsid w:val="005B7CD0"/>
    <w:rsid w:val="005C494B"/>
    <w:rsid w:val="005C509E"/>
    <w:rsid w:val="005C5570"/>
    <w:rsid w:val="005C5B66"/>
    <w:rsid w:val="005C6FDB"/>
    <w:rsid w:val="005C79A4"/>
    <w:rsid w:val="005D5442"/>
    <w:rsid w:val="00603F32"/>
    <w:rsid w:val="00605AD4"/>
    <w:rsid w:val="006136D7"/>
    <w:rsid w:val="00625A6E"/>
    <w:rsid w:val="00632398"/>
    <w:rsid w:val="00640FC3"/>
    <w:rsid w:val="00642020"/>
    <w:rsid w:val="006430EE"/>
    <w:rsid w:val="00643CE5"/>
    <w:rsid w:val="0065337B"/>
    <w:rsid w:val="0065419D"/>
    <w:rsid w:val="006603BC"/>
    <w:rsid w:val="006604D8"/>
    <w:rsid w:val="00664A5B"/>
    <w:rsid w:val="00665A20"/>
    <w:rsid w:val="0066735C"/>
    <w:rsid w:val="006763D2"/>
    <w:rsid w:val="00680C08"/>
    <w:rsid w:val="00682AA1"/>
    <w:rsid w:val="006835FD"/>
    <w:rsid w:val="006901BA"/>
    <w:rsid w:val="006916A0"/>
    <w:rsid w:val="006931B1"/>
    <w:rsid w:val="006A15C0"/>
    <w:rsid w:val="006A58A8"/>
    <w:rsid w:val="006B4139"/>
    <w:rsid w:val="006B5FFA"/>
    <w:rsid w:val="006C3E2A"/>
    <w:rsid w:val="006C642F"/>
    <w:rsid w:val="006D03E5"/>
    <w:rsid w:val="006D136D"/>
    <w:rsid w:val="006D2BFB"/>
    <w:rsid w:val="006D5D3E"/>
    <w:rsid w:val="006E08B3"/>
    <w:rsid w:val="006E35DD"/>
    <w:rsid w:val="006E47AB"/>
    <w:rsid w:val="006E4EA1"/>
    <w:rsid w:val="006E4FE0"/>
    <w:rsid w:val="006E5BF2"/>
    <w:rsid w:val="006E7D4A"/>
    <w:rsid w:val="006F17AC"/>
    <w:rsid w:val="006F25B8"/>
    <w:rsid w:val="006F2D32"/>
    <w:rsid w:val="006F572E"/>
    <w:rsid w:val="007046D6"/>
    <w:rsid w:val="00705DB0"/>
    <w:rsid w:val="007227F1"/>
    <w:rsid w:val="0072292E"/>
    <w:rsid w:val="00722B57"/>
    <w:rsid w:val="00730F8A"/>
    <w:rsid w:val="00735A8C"/>
    <w:rsid w:val="0074163C"/>
    <w:rsid w:val="0074253D"/>
    <w:rsid w:val="007427C3"/>
    <w:rsid w:val="00744121"/>
    <w:rsid w:val="0074429B"/>
    <w:rsid w:val="00745D43"/>
    <w:rsid w:val="007615BC"/>
    <w:rsid w:val="00762F05"/>
    <w:rsid w:val="007652FF"/>
    <w:rsid w:val="00765EE2"/>
    <w:rsid w:val="007703EF"/>
    <w:rsid w:val="00770CAC"/>
    <w:rsid w:val="00770EF1"/>
    <w:rsid w:val="00771186"/>
    <w:rsid w:val="0077131A"/>
    <w:rsid w:val="00773143"/>
    <w:rsid w:val="00773EF7"/>
    <w:rsid w:val="00774E1D"/>
    <w:rsid w:val="00775BB9"/>
    <w:rsid w:val="007765D8"/>
    <w:rsid w:val="0077675A"/>
    <w:rsid w:val="00780355"/>
    <w:rsid w:val="007819FD"/>
    <w:rsid w:val="00785717"/>
    <w:rsid w:val="00785721"/>
    <w:rsid w:val="007916D4"/>
    <w:rsid w:val="00793A59"/>
    <w:rsid w:val="00794D77"/>
    <w:rsid w:val="007A46F5"/>
    <w:rsid w:val="007A6505"/>
    <w:rsid w:val="007B6132"/>
    <w:rsid w:val="007B6E9F"/>
    <w:rsid w:val="007C1216"/>
    <w:rsid w:val="007C1AF7"/>
    <w:rsid w:val="007C6B9B"/>
    <w:rsid w:val="007D07F9"/>
    <w:rsid w:val="007D39D7"/>
    <w:rsid w:val="007D53B6"/>
    <w:rsid w:val="00804D99"/>
    <w:rsid w:val="00805D27"/>
    <w:rsid w:val="00806DCB"/>
    <w:rsid w:val="008110BC"/>
    <w:rsid w:val="00816B36"/>
    <w:rsid w:val="00821776"/>
    <w:rsid w:val="00825853"/>
    <w:rsid w:val="0083018A"/>
    <w:rsid w:val="008321F5"/>
    <w:rsid w:val="00832369"/>
    <w:rsid w:val="00833ED8"/>
    <w:rsid w:val="008342A3"/>
    <w:rsid w:val="00834660"/>
    <w:rsid w:val="00836BC2"/>
    <w:rsid w:val="0085156D"/>
    <w:rsid w:val="00852B28"/>
    <w:rsid w:val="0085641B"/>
    <w:rsid w:val="00857136"/>
    <w:rsid w:val="0086249E"/>
    <w:rsid w:val="008639F8"/>
    <w:rsid w:val="00865B03"/>
    <w:rsid w:val="00875A6B"/>
    <w:rsid w:val="00883A48"/>
    <w:rsid w:val="0088412E"/>
    <w:rsid w:val="00885B11"/>
    <w:rsid w:val="00886CFE"/>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4E2E"/>
    <w:rsid w:val="008C51A9"/>
    <w:rsid w:val="008E65BE"/>
    <w:rsid w:val="008E7846"/>
    <w:rsid w:val="008F02E5"/>
    <w:rsid w:val="008F1CCC"/>
    <w:rsid w:val="008F2967"/>
    <w:rsid w:val="008F576D"/>
    <w:rsid w:val="008F6943"/>
    <w:rsid w:val="00902A21"/>
    <w:rsid w:val="00905E0F"/>
    <w:rsid w:val="00914A85"/>
    <w:rsid w:val="0091523F"/>
    <w:rsid w:val="00916F88"/>
    <w:rsid w:val="00920330"/>
    <w:rsid w:val="009219D7"/>
    <w:rsid w:val="00922D53"/>
    <w:rsid w:val="00923B70"/>
    <w:rsid w:val="00924482"/>
    <w:rsid w:val="00930237"/>
    <w:rsid w:val="00932479"/>
    <w:rsid w:val="00937C17"/>
    <w:rsid w:val="00940A89"/>
    <w:rsid w:val="00941F77"/>
    <w:rsid w:val="009445D9"/>
    <w:rsid w:val="00946EA5"/>
    <w:rsid w:val="009556D7"/>
    <w:rsid w:val="00960520"/>
    <w:rsid w:val="0096148E"/>
    <w:rsid w:val="00963C08"/>
    <w:rsid w:val="0096683C"/>
    <w:rsid w:val="00967304"/>
    <w:rsid w:val="00971A2C"/>
    <w:rsid w:val="009752A5"/>
    <w:rsid w:val="0098240E"/>
    <w:rsid w:val="0098585A"/>
    <w:rsid w:val="009A4CED"/>
    <w:rsid w:val="009A5ACC"/>
    <w:rsid w:val="009A690D"/>
    <w:rsid w:val="009B1D12"/>
    <w:rsid w:val="009B416B"/>
    <w:rsid w:val="009B5BCF"/>
    <w:rsid w:val="009B72B8"/>
    <w:rsid w:val="009C4BD5"/>
    <w:rsid w:val="009D7B77"/>
    <w:rsid w:val="009E0BB0"/>
    <w:rsid w:val="009E3FBB"/>
    <w:rsid w:val="009E5A87"/>
    <w:rsid w:val="009F2673"/>
    <w:rsid w:val="009F7353"/>
    <w:rsid w:val="00A04F85"/>
    <w:rsid w:val="00A05FA4"/>
    <w:rsid w:val="00A06517"/>
    <w:rsid w:val="00A102E4"/>
    <w:rsid w:val="00A103B8"/>
    <w:rsid w:val="00A1219C"/>
    <w:rsid w:val="00A12C42"/>
    <w:rsid w:val="00A14DF7"/>
    <w:rsid w:val="00A22D57"/>
    <w:rsid w:val="00A3246D"/>
    <w:rsid w:val="00A36FA7"/>
    <w:rsid w:val="00A44DDB"/>
    <w:rsid w:val="00A475B7"/>
    <w:rsid w:val="00A47AF7"/>
    <w:rsid w:val="00A47C3E"/>
    <w:rsid w:val="00A50226"/>
    <w:rsid w:val="00A60BAD"/>
    <w:rsid w:val="00A776FD"/>
    <w:rsid w:val="00A77F87"/>
    <w:rsid w:val="00A802EA"/>
    <w:rsid w:val="00A80B5B"/>
    <w:rsid w:val="00A84E36"/>
    <w:rsid w:val="00A94124"/>
    <w:rsid w:val="00A945C5"/>
    <w:rsid w:val="00A964D1"/>
    <w:rsid w:val="00AA0ED0"/>
    <w:rsid w:val="00AB763E"/>
    <w:rsid w:val="00AC2B40"/>
    <w:rsid w:val="00AC2BB2"/>
    <w:rsid w:val="00AC2C3C"/>
    <w:rsid w:val="00AC4DCE"/>
    <w:rsid w:val="00AC512D"/>
    <w:rsid w:val="00AD0083"/>
    <w:rsid w:val="00AD2245"/>
    <w:rsid w:val="00AD3935"/>
    <w:rsid w:val="00AD7BAF"/>
    <w:rsid w:val="00AE2B37"/>
    <w:rsid w:val="00AE65EB"/>
    <w:rsid w:val="00AE67A7"/>
    <w:rsid w:val="00AF1D94"/>
    <w:rsid w:val="00AF2313"/>
    <w:rsid w:val="00AF4AB7"/>
    <w:rsid w:val="00AF60C5"/>
    <w:rsid w:val="00B009C6"/>
    <w:rsid w:val="00B01548"/>
    <w:rsid w:val="00B067AF"/>
    <w:rsid w:val="00B120DE"/>
    <w:rsid w:val="00B130C5"/>
    <w:rsid w:val="00B13EBD"/>
    <w:rsid w:val="00B1406F"/>
    <w:rsid w:val="00B21D29"/>
    <w:rsid w:val="00B25034"/>
    <w:rsid w:val="00B33588"/>
    <w:rsid w:val="00B33863"/>
    <w:rsid w:val="00B37D17"/>
    <w:rsid w:val="00B4175E"/>
    <w:rsid w:val="00B41C85"/>
    <w:rsid w:val="00B452CE"/>
    <w:rsid w:val="00B54C25"/>
    <w:rsid w:val="00B57A14"/>
    <w:rsid w:val="00B61344"/>
    <w:rsid w:val="00B63518"/>
    <w:rsid w:val="00B76B91"/>
    <w:rsid w:val="00B77EB1"/>
    <w:rsid w:val="00B811C6"/>
    <w:rsid w:val="00B83187"/>
    <w:rsid w:val="00B855B0"/>
    <w:rsid w:val="00B87E0B"/>
    <w:rsid w:val="00B92E08"/>
    <w:rsid w:val="00B97C23"/>
    <w:rsid w:val="00BB0B78"/>
    <w:rsid w:val="00BB75D6"/>
    <w:rsid w:val="00BC618B"/>
    <w:rsid w:val="00BC622A"/>
    <w:rsid w:val="00BD08E7"/>
    <w:rsid w:val="00BD5016"/>
    <w:rsid w:val="00BE0A78"/>
    <w:rsid w:val="00BE6542"/>
    <w:rsid w:val="00BE79F0"/>
    <w:rsid w:val="00BF046D"/>
    <w:rsid w:val="00BF1190"/>
    <w:rsid w:val="00BF3774"/>
    <w:rsid w:val="00BF5D04"/>
    <w:rsid w:val="00BF7063"/>
    <w:rsid w:val="00C009AA"/>
    <w:rsid w:val="00C1137D"/>
    <w:rsid w:val="00C1164D"/>
    <w:rsid w:val="00C16861"/>
    <w:rsid w:val="00C26898"/>
    <w:rsid w:val="00C314D3"/>
    <w:rsid w:val="00C34133"/>
    <w:rsid w:val="00C346AB"/>
    <w:rsid w:val="00C365A9"/>
    <w:rsid w:val="00C404A6"/>
    <w:rsid w:val="00C40A36"/>
    <w:rsid w:val="00C44419"/>
    <w:rsid w:val="00C45E7B"/>
    <w:rsid w:val="00C471B1"/>
    <w:rsid w:val="00C51740"/>
    <w:rsid w:val="00C518AE"/>
    <w:rsid w:val="00C525A2"/>
    <w:rsid w:val="00C52E24"/>
    <w:rsid w:val="00C55ED9"/>
    <w:rsid w:val="00C6316B"/>
    <w:rsid w:val="00C634A9"/>
    <w:rsid w:val="00C64586"/>
    <w:rsid w:val="00C70A36"/>
    <w:rsid w:val="00C70D53"/>
    <w:rsid w:val="00C72912"/>
    <w:rsid w:val="00C73D0B"/>
    <w:rsid w:val="00C74F5C"/>
    <w:rsid w:val="00C772FF"/>
    <w:rsid w:val="00C80137"/>
    <w:rsid w:val="00C801AF"/>
    <w:rsid w:val="00C80256"/>
    <w:rsid w:val="00C94CD4"/>
    <w:rsid w:val="00C9747E"/>
    <w:rsid w:val="00CA034D"/>
    <w:rsid w:val="00CA3357"/>
    <w:rsid w:val="00CB25E5"/>
    <w:rsid w:val="00CB3109"/>
    <w:rsid w:val="00CB4F92"/>
    <w:rsid w:val="00CB6359"/>
    <w:rsid w:val="00CB6BC0"/>
    <w:rsid w:val="00CC1B7C"/>
    <w:rsid w:val="00CC5044"/>
    <w:rsid w:val="00CC727F"/>
    <w:rsid w:val="00CF15C3"/>
    <w:rsid w:val="00CF2B6F"/>
    <w:rsid w:val="00CF2F3E"/>
    <w:rsid w:val="00CF58B6"/>
    <w:rsid w:val="00CF5DAD"/>
    <w:rsid w:val="00D0041E"/>
    <w:rsid w:val="00D0062D"/>
    <w:rsid w:val="00D008C9"/>
    <w:rsid w:val="00D017ED"/>
    <w:rsid w:val="00D040D3"/>
    <w:rsid w:val="00D04C65"/>
    <w:rsid w:val="00D050C8"/>
    <w:rsid w:val="00D153D8"/>
    <w:rsid w:val="00D201D2"/>
    <w:rsid w:val="00D212F3"/>
    <w:rsid w:val="00D224FE"/>
    <w:rsid w:val="00D22E21"/>
    <w:rsid w:val="00D23139"/>
    <w:rsid w:val="00D32D22"/>
    <w:rsid w:val="00D37370"/>
    <w:rsid w:val="00D425BB"/>
    <w:rsid w:val="00D453FA"/>
    <w:rsid w:val="00D56348"/>
    <w:rsid w:val="00D6493E"/>
    <w:rsid w:val="00D7195D"/>
    <w:rsid w:val="00D72CBA"/>
    <w:rsid w:val="00D7301E"/>
    <w:rsid w:val="00D83AE1"/>
    <w:rsid w:val="00D854AC"/>
    <w:rsid w:val="00D855D4"/>
    <w:rsid w:val="00D902C9"/>
    <w:rsid w:val="00D93466"/>
    <w:rsid w:val="00D94AB3"/>
    <w:rsid w:val="00D962C5"/>
    <w:rsid w:val="00DA1124"/>
    <w:rsid w:val="00DA64CB"/>
    <w:rsid w:val="00DA7964"/>
    <w:rsid w:val="00DB06B8"/>
    <w:rsid w:val="00DB48CF"/>
    <w:rsid w:val="00DB6124"/>
    <w:rsid w:val="00DB750B"/>
    <w:rsid w:val="00DB75B7"/>
    <w:rsid w:val="00DC0A2F"/>
    <w:rsid w:val="00DC1948"/>
    <w:rsid w:val="00DC4D4B"/>
    <w:rsid w:val="00DC566D"/>
    <w:rsid w:val="00DC6E02"/>
    <w:rsid w:val="00DD28CD"/>
    <w:rsid w:val="00DE02AE"/>
    <w:rsid w:val="00DE39D1"/>
    <w:rsid w:val="00DE64EB"/>
    <w:rsid w:val="00DE7FF5"/>
    <w:rsid w:val="00DF1D7F"/>
    <w:rsid w:val="00DF4BE4"/>
    <w:rsid w:val="00DF5A16"/>
    <w:rsid w:val="00DF7C6F"/>
    <w:rsid w:val="00E02382"/>
    <w:rsid w:val="00E02FB4"/>
    <w:rsid w:val="00E0699B"/>
    <w:rsid w:val="00E13FC7"/>
    <w:rsid w:val="00E20571"/>
    <w:rsid w:val="00E22C33"/>
    <w:rsid w:val="00E235F7"/>
    <w:rsid w:val="00E23659"/>
    <w:rsid w:val="00E239D4"/>
    <w:rsid w:val="00E26130"/>
    <w:rsid w:val="00E312B7"/>
    <w:rsid w:val="00E32FD0"/>
    <w:rsid w:val="00E33D42"/>
    <w:rsid w:val="00E3483E"/>
    <w:rsid w:val="00E40B22"/>
    <w:rsid w:val="00E44ED1"/>
    <w:rsid w:val="00E45619"/>
    <w:rsid w:val="00E4588F"/>
    <w:rsid w:val="00E46DA3"/>
    <w:rsid w:val="00E51BB1"/>
    <w:rsid w:val="00E5532D"/>
    <w:rsid w:val="00E55CB0"/>
    <w:rsid w:val="00E624A5"/>
    <w:rsid w:val="00E64BA4"/>
    <w:rsid w:val="00E7344E"/>
    <w:rsid w:val="00E82665"/>
    <w:rsid w:val="00E9279E"/>
    <w:rsid w:val="00E93113"/>
    <w:rsid w:val="00E95148"/>
    <w:rsid w:val="00EA612F"/>
    <w:rsid w:val="00EB0798"/>
    <w:rsid w:val="00EB36D6"/>
    <w:rsid w:val="00EB40AD"/>
    <w:rsid w:val="00EB586E"/>
    <w:rsid w:val="00EB5FC8"/>
    <w:rsid w:val="00EC463D"/>
    <w:rsid w:val="00EC7A85"/>
    <w:rsid w:val="00ED2922"/>
    <w:rsid w:val="00ED3CAD"/>
    <w:rsid w:val="00ED5A41"/>
    <w:rsid w:val="00EE1DE8"/>
    <w:rsid w:val="00EE27C2"/>
    <w:rsid w:val="00EF4BAD"/>
    <w:rsid w:val="00EF59DC"/>
    <w:rsid w:val="00F019D0"/>
    <w:rsid w:val="00F033EC"/>
    <w:rsid w:val="00F04F68"/>
    <w:rsid w:val="00F12670"/>
    <w:rsid w:val="00F1337D"/>
    <w:rsid w:val="00F14B27"/>
    <w:rsid w:val="00F1576D"/>
    <w:rsid w:val="00F3148D"/>
    <w:rsid w:val="00F325C5"/>
    <w:rsid w:val="00F32FE0"/>
    <w:rsid w:val="00F35298"/>
    <w:rsid w:val="00F41129"/>
    <w:rsid w:val="00F41452"/>
    <w:rsid w:val="00F446BB"/>
    <w:rsid w:val="00F45DAC"/>
    <w:rsid w:val="00F47148"/>
    <w:rsid w:val="00F47333"/>
    <w:rsid w:val="00F47E37"/>
    <w:rsid w:val="00F52478"/>
    <w:rsid w:val="00F53C07"/>
    <w:rsid w:val="00F54B65"/>
    <w:rsid w:val="00F56BF9"/>
    <w:rsid w:val="00F63DBF"/>
    <w:rsid w:val="00F640B6"/>
    <w:rsid w:val="00F66DF2"/>
    <w:rsid w:val="00F80E40"/>
    <w:rsid w:val="00F848D9"/>
    <w:rsid w:val="00F86A77"/>
    <w:rsid w:val="00F931CE"/>
    <w:rsid w:val="00F964B4"/>
    <w:rsid w:val="00FA4BBA"/>
    <w:rsid w:val="00FA5069"/>
    <w:rsid w:val="00FA5B82"/>
    <w:rsid w:val="00FA639E"/>
    <w:rsid w:val="00FA7653"/>
    <w:rsid w:val="00FB0A50"/>
    <w:rsid w:val="00FB37C4"/>
    <w:rsid w:val="00FC1FCA"/>
    <w:rsid w:val="00FC25E4"/>
    <w:rsid w:val="00FC4EF7"/>
    <w:rsid w:val="00FD0824"/>
    <w:rsid w:val="00FD119B"/>
    <w:rsid w:val="00FD1EDC"/>
    <w:rsid w:val="00FD3077"/>
    <w:rsid w:val="00FD39B7"/>
    <w:rsid w:val="00FD3A04"/>
    <w:rsid w:val="00FE0470"/>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0BCF7C70"/>
  <w15:docId w15:val="{77B39DAC-42EE-4AE8-AACE-662564B49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qFormat="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B652C"/>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customStyle="1" w:styleId="Default">
    <w:name w:val="Default"/>
    <w:rsid w:val="00F41129"/>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semiHidden/>
    <w:unhideWhenUsed/>
    <w:rsid w:val="00F41129"/>
    <w:pPr>
      <w:spacing w:before="100" w:beforeAutospacing="1" w:after="100" w:afterAutospacing="1" w:line="240" w:lineRule="auto"/>
    </w:pPr>
    <w:rPr>
      <w:rFonts w:ascii="Times New Roman" w:eastAsia="Times New Roman" w:hAnsi="Times New Roman"/>
      <w:sz w:val="24"/>
      <w:szCs w:val="24"/>
      <w:lang w:eastAsia="en-AU"/>
    </w:rPr>
  </w:style>
  <w:style w:type="paragraph" w:styleId="ListParagraph">
    <w:name w:val="List Paragraph"/>
    <w:basedOn w:val="Normal"/>
    <w:link w:val="ListParagraphChar"/>
    <w:uiPriority w:val="34"/>
    <w:qFormat/>
    <w:rsid w:val="00C314D3"/>
    <w:pPr>
      <w:adjustRightInd w:val="0"/>
      <w:snapToGrid w:val="0"/>
      <w:spacing w:before="180" w:after="180"/>
      <w:ind w:left="720"/>
      <w:contextualSpacing/>
    </w:pPr>
    <w:rPr>
      <w:rFonts w:eastAsia="MS Mincho"/>
      <w:szCs w:val="20"/>
      <w:lang w:eastAsia="ja-JP"/>
    </w:rPr>
  </w:style>
  <w:style w:type="character" w:customStyle="1" w:styleId="ListParagraphChar">
    <w:name w:val="List Paragraph Char"/>
    <w:basedOn w:val="DefaultParagraphFont"/>
    <w:link w:val="ListParagraph"/>
    <w:uiPriority w:val="34"/>
    <w:rsid w:val="00C314D3"/>
    <w:rPr>
      <w:rFonts w:ascii="Cambria" w:eastAsia="MS Mincho" w:hAnsi="Cambria" w:cs="Times New Roman"/>
      <w:szCs w:val="20"/>
      <w:lang w:eastAsia="ja-JP"/>
    </w:rPr>
  </w:style>
  <w:style w:type="paragraph" w:customStyle="1" w:styleId="FigureCaption">
    <w:name w:val="Figure Caption"/>
    <w:basedOn w:val="Normal"/>
    <w:qFormat/>
    <w:rsid w:val="00C314D3"/>
    <w:pPr>
      <w:adjustRightInd w:val="0"/>
      <w:snapToGrid w:val="0"/>
      <w:spacing w:before="180" w:after="180"/>
    </w:pPr>
    <w:rPr>
      <w:rFonts w:eastAsia="MS Mincho"/>
      <w:szCs w:val="20"/>
      <w:lang w:eastAsia="ja-JP"/>
    </w:rPr>
  </w:style>
  <w:style w:type="paragraph" w:customStyle="1" w:styleId="TableCaption">
    <w:name w:val="Table Caption"/>
    <w:basedOn w:val="FigureCaption"/>
    <w:qFormat/>
    <w:rsid w:val="00C314D3"/>
    <w:pPr>
      <w:spacing w:after="240"/>
    </w:pPr>
    <w:rPr>
      <w:sz w:val="17"/>
    </w:rPr>
  </w:style>
  <w:style w:type="table" w:customStyle="1" w:styleId="TableTGA2">
    <w:name w:val="Table TGA 2"/>
    <w:basedOn w:val="TableNormal"/>
    <w:uiPriority w:val="99"/>
    <w:rsid w:val="00C314D3"/>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C314D3"/>
    <w:pPr>
      <w:adjustRightInd w:val="0"/>
      <w:snapToGrid w:val="0"/>
      <w:spacing w:before="180" w:after="180"/>
    </w:pPr>
    <w:rPr>
      <w:rFonts w:eastAsia="MS Mincho"/>
      <w:b/>
      <w:szCs w:val="20"/>
      <w:lang w:eastAsia="ja-JP"/>
    </w:rPr>
  </w:style>
  <w:style w:type="paragraph" w:customStyle="1" w:styleId="Addressee">
    <w:name w:val="Addressee"/>
    <w:basedOn w:val="Normal"/>
    <w:qFormat/>
    <w:rsid w:val="00C314D3"/>
    <w:pPr>
      <w:adjustRightInd w:val="0"/>
      <w:snapToGrid w:val="0"/>
      <w:spacing w:before="180" w:after="180"/>
    </w:pPr>
    <w:rPr>
      <w:rFonts w:eastAsia="MS Mincho"/>
      <w:szCs w:val="20"/>
      <w:lang w:eastAsia="ja-JP"/>
    </w:rPr>
  </w:style>
  <w:style w:type="character" w:customStyle="1" w:styleId="ABN">
    <w:name w:val="ABN"/>
    <w:basedOn w:val="DefaultParagraphFont"/>
    <w:uiPriority w:val="1"/>
    <w:qFormat/>
    <w:rsid w:val="00C314D3"/>
    <w:rPr>
      <w:rFonts w:ascii="Arial" w:hAnsi="Arial"/>
      <w:color w:val="002C47"/>
      <w:sz w:val="14"/>
    </w:rPr>
  </w:style>
  <w:style w:type="paragraph" w:customStyle="1" w:styleId="BodyCopy">
    <w:name w:val="Body Copy"/>
    <w:basedOn w:val="Normal"/>
    <w:qFormat/>
    <w:rsid w:val="00C314D3"/>
    <w:pPr>
      <w:adjustRightInd w:val="0"/>
      <w:snapToGrid w:val="0"/>
      <w:spacing w:before="180" w:after="180"/>
    </w:pPr>
    <w:rPr>
      <w:rFonts w:eastAsia="MS Mincho"/>
      <w:szCs w:val="20"/>
      <w:lang w:eastAsia="ja-JP"/>
    </w:rPr>
  </w:style>
  <w:style w:type="paragraph" w:customStyle="1" w:styleId="Standard">
    <w:name w:val="Standard"/>
    <w:basedOn w:val="Normal"/>
    <w:link w:val="StandardChar"/>
    <w:qFormat/>
    <w:rsid w:val="00C314D3"/>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C314D3"/>
    <w:rPr>
      <w:rFonts w:ascii="Cambria" w:eastAsia="Times New Roman" w:hAnsi="Cambria" w:cs="Times New Roman"/>
      <w:snapToGrid w:val="0"/>
      <w:kern w:val="16"/>
      <w:sz w:val="23"/>
      <w:szCs w:val="24"/>
    </w:rPr>
  </w:style>
  <w:style w:type="paragraph" w:customStyle="1" w:styleId="Bulletpoint">
    <w:name w:val="Bullet point"/>
    <w:basedOn w:val="Standard"/>
    <w:rsid w:val="00C314D3"/>
    <w:pPr>
      <w:numPr>
        <w:numId w:val="6"/>
      </w:numPr>
      <w:tabs>
        <w:tab w:val="clear" w:pos="369"/>
        <w:tab w:val="left" w:pos="397"/>
        <w:tab w:val="num" w:pos="511"/>
        <w:tab w:val="num" w:pos="926"/>
      </w:tabs>
      <w:spacing w:after="180"/>
      <w:ind w:left="0" w:firstLine="0"/>
    </w:pPr>
    <w:rPr>
      <w:sz w:val="22"/>
    </w:rPr>
  </w:style>
  <w:style w:type="paragraph" w:customStyle="1" w:styleId="PISubsection">
    <w:name w:val="PI Subsection"/>
    <w:basedOn w:val="Standard"/>
    <w:next w:val="Standard"/>
    <w:rsid w:val="00C314D3"/>
    <w:pPr>
      <w:keepNext/>
      <w:spacing w:after="120"/>
    </w:pPr>
    <w:rPr>
      <w:b/>
      <w:i/>
      <w:kern w:val="2"/>
      <w:sz w:val="22"/>
    </w:rPr>
  </w:style>
  <w:style w:type="table" w:customStyle="1" w:styleId="TableTGAblue1">
    <w:name w:val="Table TGA blue1"/>
    <w:basedOn w:val="TableNormal"/>
    <w:uiPriority w:val="99"/>
    <w:qFormat/>
    <w:rsid w:val="00C314D3"/>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TableParagraph">
    <w:name w:val="Table Paragraph"/>
    <w:basedOn w:val="Normal"/>
    <w:uiPriority w:val="1"/>
    <w:qFormat/>
    <w:rsid w:val="00C314D3"/>
    <w:pPr>
      <w:widowControl w:val="0"/>
      <w:autoSpaceDE w:val="0"/>
      <w:autoSpaceDN w:val="0"/>
      <w:spacing w:before="11" w:after="0" w:line="148" w:lineRule="exact"/>
    </w:pPr>
    <w:rPr>
      <w:rFonts w:ascii="Calibri" w:eastAsia="Calibri" w:hAnsi="Calibri" w:cs="Calibri"/>
      <w:lang w:val="en-US"/>
    </w:rPr>
  </w:style>
  <w:style w:type="table" w:customStyle="1" w:styleId="TableTGAblue2">
    <w:name w:val="Table TGA blue2"/>
    <w:basedOn w:val="TableNormal"/>
    <w:uiPriority w:val="99"/>
    <w:qFormat/>
    <w:rsid w:val="00C314D3"/>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573790">
      <w:bodyDiv w:val="1"/>
      <w:marLeft w:val="0"/>
      <w:marRight w:val="0"/>
      <w:marTop w:val="0"/>
      <w:marBottom w:val="0"/>
      <w:divBdr>
        <w:top w:val="none" w:sz="0" w:space="0" w:color="auto"/>
        <w:left w:val="none" w:sz="0" w:space="0" w:color="auto"/>
        <w:bottom w:val="none" w:sz="0" w:space="0" w:color="auto"/>
        <w:right w:val="none" w:sz="0" w:space="0" w:color="auto"/>
      </w:divBdr>
      <w:divsChild>
        <w:div w:id="415175872">
          <w:marLeft w:val="0"/>
          <w:marRight w:val="0"/>
          <w:marTop w:val="0"/>
          <w:marBottom w:val="0"/>
          <w:divBdr>
            <w:top w:val="none" w:sz="0" w:space="0" w:color="auto"/>
            <w:left w:val="none" w:sz="0" w:space="0" w:color="auto"/>
            <w:bottom w:val="none" w:sz="0" w:space="0" w:color="auto"/>
            <w:right w:val="none" w:sz="0" w:space="0" w:color="auto"/>
          </w:divBdr>
          <w:divsChild>
            <w:div w:id="1566918048">
              <w:marLeft w:val="0"/>
              <w:marRight w:val="0"/>
              <w:marTop w:val="0"/>
              <w:marBottom w:val="0"/>
              <w:divBdr>
                <w:top w:val="none" w:sz="0" w:space="0" w:color="auto"/>
                <w:left w:val="none" w:sz="0" w:space="0" w:color="auto"/>
                <w:bottom w:val="none" w:sz="0" w:space="0" w:color="auto"/>
                <w:right w:val="none" w:sz="0" w:space="0" w:color="auto"/>
              </w:divBdr>
              <w:divsChild>
                <w:div w:id="98855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313220981">
      <w:bodyDiv w:val="1"/>
      <w:marLeft w:val="0"/>
      <w:marRight w:val="0"/>
      <w:marTop w:val="0"/>
      <w:marBottom w:val="0"/>
      <w:divBdr>
        <w:top w:val="none" w:sz="0" w:space="0" w:color="auto"/>
        <w:left w:val="none" w:sz="0" w:space="0" w:color="auto"/>
        <w:bottom w:val="none" w:sz="0" w:space="0" w:color="auto"/>
        <w:right w:val="none" w:sz="0" w:space="0" w:color="auto"/>
      </w:divBdr>
    </w:div>
    <w:div w:id="1203666359">
      <w:bodyDiv w:val="1"/>
      <w:marLeft w:val="0"/>
      <w:marRight w:val="0"/>
      <w:marTop w:val="0"/>
      <w:marBottom w:val="0"/>
      <w:divBdr>
        <w:top w:val="none" w:sz="0" w:space="0" w:color="auto"/>
        <w:left w:val="none" w:sz="0" w:space="0" w:color="auto"/>
        <w:bottom w:val="none" w:sz="0" w:space="0" w:color="auto"/>
        <w:right w:val="none" w:sz="0" w:space="0" w:color="auto"/>
      </w:divBdr>
    </w:div>
    <w:div w:id="1694067483">
      <w:bodyDiv w:val="1"/>
      <w:marLeft w:val="0"/>
      <w:marRight w:val="0"/>
      <w:marTop w:val="0"/>
      <w:marBottom w:val="0"/>
      <w:divBdr>
        <w:top w:val="none" w:sz="0" w:space="0" w:color="auto"/>
        <w:left w:val="none" w:sz="0" w:space="0" w:color="auto"/>
        <w:bottom w:val="none" w:sz="0" w:space="0" w:color="auto"/>
        <w:right w:val="none" w:sz="0" w:space="0" w:color="auto"/>
      </w:divBdr>
    </w:div>
    <w:div w:id="1808933022">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1929385257">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www.tga.gov.au"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3.xm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www.tga.gov.au/picmi-search-facility" TargetMode="External"/><Relationship Id="rId38" Type="http://schemas.openxmlformats.org/officeDocument/2006/relationships/hyperlink" Target="mailto:info@tga.gov.a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yperlink" Target="https://www.tga.gov.au/committee/advisory-committee-medicines-acm" TargetMode="External"/><Relationship Id="rId37" Type="http://schemas.openxmlformats.org/officeDocument/2006/relationships/footer" Target="footer2.xml"/><Relationship Id="rId40" Type="http://schemas.openxmlformats.org/officeDocument/2006/relationships/header" Target="header6.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ga.gov.au/picmi-search-facility"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5.xml"/><Relationship Id="rId10" Type="http://schemas.openxmlformats.org/officeDocument/2006/relationships/hyperlink" Target="mailto:tga.copyright@tga.gov.au"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www.tga.gov.au/australian-public-assessment-report-auspar-guidance" TargetMode="External"/><Relationship Id="rId14" Type="http://schemas.openxmlformats.org/officeDocument/2006/relationships/hyperlink" Target="https://www.tga.gov.au/black-triangle-schem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4.xml"/><Relationship Id="rId43" Type="http://schemas.openxmlformats.org/officeDocument/2006/relationships/header" Target="header8.xml"/></Relationships>
</file>

<file path=word/_rels/footnotes.xml.rels><?xml version="1.0" encoding="UTF-8" standalone="yes"?>
<Relationships xmlns="http://schemas.openxmlformats.org/package/2006/relationships"><Relationship Id="rId3" Type="http://schemas.openxmlformats.org/officeDocument/2006/relationships/hyperlink" Target="https://www.canceraustralia.gov.au/sites/default/files/publications/guidance-management-early-breast-cancer-recommendations-and-practice-points/pdf/guidance_for_the_management_of_early_breast_cancer_recommendations_and_pps_2020_0.pdf" TargetMode="External"/><Relationship Id="rId7" Type="http://schemas.openxmlformats.org/officeDocument/2006/relationships/hyperlink" Target="https://www.rcpa.edu.au/getattachment/9c857cb6-6878-4004-bf8a-37761873cf13/Protocolinvasive-breast-cancer.aspx" TargetMode="External"/><Relationship Id="rId2" Type="http://schemas.openxmlformats.org/officeDocument/2006/relationships/hyperlink" Target="http://seer.cancer.gov/csr/1975_2013/" TargetMode="External"/><Relationship Id="rId1" Type="http://schemas.openxmlformats.org/officeDocument/2006/relationships/hyperlink" Target="https://www.canceraustralia.gov.au/cancer-types/breast-cancer/statistics" TargetMode="External"/><Relationship Id="rId6" Type="http://schemas.openxmlformats.org/officeDocument/2006/relationships/hyperlink" Target="https://pubmed.ncbi.nlm.nih.gov/30102508/" TargetMode="External"/><Relationship Id="rId5" Type="http://schemas.openxmlformats.org/officeDocument/2006/relationships/hyperlink" Target="https://www.cancer.gov/types/breast/hp/breast-treatment-pdq" TargetMode="External"/><Relationship Id="rId4" Type="http://schemas.openxmlformats.org/officeDocument/2006/relationships/hyperlink" Target="https://www.nccn.org/professionals/physician_gls/pdf/breast.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634C2-AF9D-4547-BA2C-6CDD3F0B4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519</TotalTime>
  <Pages>50</Pages>
  <Words>14563</Words>
  <Characters>83159</Characters>
  <Application>Microsoft Office Word</Application>
  <DocSecurity>0</DocSecurity>
  <Lines>2519</Lines>
  <Paragraphs>1551</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96171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Verzenio</dc:title>
  <dc:subject>prescription medicine regulation</dc:subject>
  <dc:creator/>
  <cp:keywords/>
  <cp:lastModifiedBy>KOLARIK-O'REILLY, Kristy</cp:lastModifiedBy>
  <cp:revision>45</cp:revision>
  <cp:lastPrinted>2019-08-14T04:30:00Z</cp:lastPrinted>
  <dcterms:created xsi:type="dcterms:W3CDTF">2022-10-26T23:22:00Z</dcterms:created>
  <dcterms:modified xsi:type="dcterms:W3CDTF">2022-11-16T00:44:00Z</dcterms:modified>
  <cp:category/>
</cp:coreProperties>
</file>