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D0E682" w14:textId="2225D21C" w:rsidR="00661390" w:rsidRPr="00FA1502" w:rsidRDefault="000A7393" w:rsidP="00661390">
      <w:pPr>
        <w:rPr>
          <w:rStyle w:val="Hyperlink"/>
          <w:lang w:val="en-AU"/>
        </w:rPr>
      </w:pPr>
      <w:r w:rsidRPr="00FA1502">
        <w:rPr>
          <w:noProof/>
          <w:lang w:val="en-AU"/>
        </w:rPr>
        <mc:AlternateContent>
          <mc:Choice Requires="wps">
            <w:drawing>
              <wp:inline distT="0" distB="0" distL="0" distR="0" wp14:anchorId="3178E4FC" wp14:editId="05F56028">
                <wp:extent cx="361950" cy="5187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D8CF1" w14:textId="77777777" w:rsidR="006F5CD9" w:rsidRPr="00BC565F" w:rsidRDefault="006F5CD9" w:rsidP="00661390">
                            <w:pPr>
                              <w:rPr>
                                <w:rFonts w:ascii="Wingdings 3" w:hAnsi="Wingdings 3" w:hint="eastAsia"/>
                                <w:sz w:val="58"/>
                                <w:szCs w:val="58"/>
                              </w:rPr>
                            </w:pPr>
                            <w:r w:rsidRPr="00BC565F">
                              <w:rPr>
                                <w:rFonts w:ascii="SimSun" w:eastAsia="SimSun" w:hAnsi="SimSun" w:cs="Arial" w:hint="eastAsia"/>
                                <w:sz w:val="58"/>
                                <w:szCs w:val="58"/>
                              </w:rPr>
                              <w:t>▼</w:t>
                            </w:r>
                          </w:p>
                        </w:txbxContent>
                      </wps:txbx>
                      <wps:bodyPr rot="0" vert="horz" wrap="square" lIns="0" tIns="0" rIns="0" bIns="0" anchor="t" anchorCtr="0" upright="1">
                        <a:noAutofit/>
                      </wps:bodyPr>
                    </wps:wsp>
                  </a:graphicData>
                </a:graphic>
              </wp:inline>
            </w:drawing>
          </mc:Choice>
          <mc:Fallback>
            <w:pict>
              <v:shapetype w14:anchorId="3178E4FC" id="_x0000_t202" coordsize="21600,21600" o:spt="202" path="m,l,21600r21600,l21600,xe">
                <v:stroke joinstyle="miter"/>
                <v:path gradientshapeok="t" o:connecttype="rect"/>
              </v:shapetype>
              <v:shape id="Text Box 1" o:spid="_x0000_s1026" type="#_x0000_t202" style="width:28.5pt;height: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" stroked="f">
                <v:textbox inset="0,0,0,0">
                  <w:txbxContent>
                    <w:p w14:paraId="010D8CF1" w14:textId="77777777" w:rsidR="006F5CD9" w:rsidRPr="00BC565F" w:rsidRDefault="006F5CD9" w:rsidP="00661390">
                      <w:pPr>
                        <w:rPr>
                          <w:rFonts w:ascii="Wingdings 3" w:hAnsi="Wingdings 3" w:hint="eastAsia"/>
                          <w:sz w:val="58"/>
                          <w:szCs w:val="58"/>
                        </w:rPr>
                      </w:pPr>
                      <w:r w:rsidRPr="00BC565F">
                        <w:rPr>
                          <w:rFonts w:ascii="SimSun" w:eastAsia="SimSun" w:hAnsi="SimSun" w:cs="Arial" w:hint="eastAsia"/>
                          <w:sz w:val="58"/>
                          <w:szCs w:val="58"/>
                        </w:rPr>
                        <w:t>▼</w:t>
                      </w:r>
                    </w:p>
                  </w:txbxContent>
                </v:textbox>
                <w10:anchorlock/>
              </v:shape>
            </w:pict>
          </mc:Fallback>
        </mc:AlternateContent>
      </w:r>
      <w:r w:rsidR="00661390" w:rsidRPr="00FA1502">
        <w:rPr>
          <w:lang w:val="en-AU"/>
        </w:rPr>
        <w:t xml:space="preserve">This medicinal product is subject to additional monitoring in Australia. This will allow quick identification of new safety information. Healthcare professionals are asked to report any suspected adverse events at </w:t>
      </w:r>
      <w:hyperlink r:id="rId8" w:history="1">
        <w:r w:rsidR="00661390" w:rsidRPr="00FA1502">
          <w:rPr>
            <w:rStyle w:val="Hyperlink"/>
            <w:lang w:val="en-AU"/>
          </w:rPr>
          <w:t>https://www.tga.gov.au/reporting-problems</w:t>
        </w:r>
      </w:hyperlink>
    </w:p>
    <w:p w14:paraId="30280AA1" w14:textId="01EF756A" w:rsidR="00FD1F94" w:rsidRPr="00FA1502" w:rsidRDefault="00FD1F94" w:rsidP="00A61436">
      <w:pPr>
        <w:pStyle w:val="Heading1"/>
        <w:pageBreakBefore w:val="0"/>
        <w:numPr>
          <w:ilvl w:val="0"/>
          <w:numId w:val="0"/>
        </w:numPr>
        <w:rPr>
          <w:lang w:val="en-AU"/>
        </w:rPr>
      </w:pPr>
      <w:bookmarkStart w:id="0" w:name="_Ref511916954"/>
      <w:r w:rsidRPr="00FA1502">
        <w:rPr>
          <w:lang w:val="en-AU"/>
        </w:rPr>
        <w:t xml:space="preserve">AUSTRALIAN </w:t>
      </w:r>
      <w:r w:rsidR="00BC565F" w:rsidRPr="00FA1502">
        <w:rPr>
          <w:caps w:val="0"/>
          <w:lang w:val="en-AU"/>
        </w:rPr>
        <w:t>PRODUCT INFORMATION</w:t>
      </w:r>
      <w:r w:rsidRPr="00FA1502">
        <w:rPr>
          <w:lang w:val="en-AU"/>
        </w:rPr>
        <w:t xml:space="preserve"> </w:t>
      </w:r>
      <w:r w:rsidR="007120F8" w:rsidRPr="00FA1502">
        <w:rPr>
          <w:lang w:val="en-AU"/>
        </w:rPr>
        <w:t xml:space="preserve">– </w:t>
      </w:r>
      <w:r w:rsidR="00BC565F" w:rsidRPr="00FA1502">
        <w:rPr>
          <w:lang w:val="en-AU"/>
        </w:rPr>
        <w:t>XPOVIO (SELINEXOR) FILM-COATED TABLETS</w:t>
      </w:r>
      <w:bookmarkEnd w:id="0"/>
    </w:p>
    <w:p w14:paraId="1F08C7E3" w14:textId="77777777" w:rsidR="00FD1F94" w:rsidRPr="00FA1502" w:rsidRDefault="00FD1F94" w:rsidP="00B97A3A">
      <w:pPr>
        <w:pStyle w:val="Heading1"/>
        <w:pageBreakBefore w:val="0"/>
        <w:rPr>
          <w:lang w:val="en-AU"/>
        </w:rPr>
      </w:pPr>
      <w:r w:rsidRPr="00FA1502">
        <w:rPr>
          <w:lang w:val="en-AU"/>
        </w:rPr>
        <w:t>NAME OF THE MEDICINE</w:t>
      </w:r>
    </w:p>
    <w:p w14:paraId="2EE9099C" w14:textId="101F7652" w:rsidR="00077EF6" w:rsidRPr="00FA1502" w:rsidRDefault="00BC565F" w:rsidP="00B97A3A">
      <w:pPr>
        <w:rPr>
          <w:lang w:val="en-AU"/>
        </w:rPr>
      </w:pPr>
      <w:r w:rsidRPr="00FA1502">
        <w:rPr>
          <w:lang w:val="en-AU"/>
        </w:rPr>
        <w:t>Selinexor</w:t>
      </w:r>
    </w:p>
    <w:p w14:paraId="459ACCA9" w14:textId="4CE41803" w:rsidR="00FD1F94" w:rsidRPr="00FA1502" w:rsidRDefault="00FD1F94" w:rsidP="00B97A3A">
      <w:pPr>
        <w:pStyle w:val="Heading1"/>
        <w:pageBreakBefore w:val="0"/>
        <w:rPr>
          <w:lang w:val="en-AU"/>
        </w:rPr>
      </w:pPr>
      <w:bookmarkStart w:id="1" w:name="_Ref511901938"/>
      <w:r w:rsidRPr="00FA1502">
        <w:rPr>
          <w:lang w:val="en-AU"/>
        </w:rPr>
        <w:t>QUALITATIVE AND QUANTITATIVE COMPOSITION</w:t>
      </w:r>
      <w:bookmarkEnd w:id="1"/>
    </w:p>
    <w:p w14:paraId="54294392" w14:textId="77777777" w:rsidR="00BC565F" w:rsidRPr="00FA1502" w:rsidRDefault="00BC565F" w:rsidP="00B97A3A">
      <w:pPr>
        <w:rPr>
          <w:lang w:val="en-AU"/>
        </w:rPr>
      </w:pPr>
      <w:r w:rsidRPr="00E12BD8">
        <w:rPr>
          <w:lang w:val="en-AU"/>
        </w:rPr>
        <w:t>Each film-coated tablet contains 20 mg of Selinexor.</w:t>
      </w:r>
    </w:p>
    <w:p w14:paraId="6A06F462" w14:textId="7339E15B" w:rsidR="00A7374A" w:rsidRPr="00FA1502" w:rsidRDefault="00A7374A" w:rsidP="00A7374A">
      <w:pPr>
        <w:rPr>
          <w:lang w:val="en-AU"/>
        </w:rPr>
      </w:pPr>
      <w:r w:rsidRPr="00FA1502">
        <w:rPr>
          <w:lang w:val="en-AU"/>
        </w:rPr>
        <w:t xml:space="preserve">For the full list of excipients, see Section </w:t>
      </w:r>
      <w:r w:rsidR="007F6635" w:rsidRPr="00FA1502">
        <w:rPr>
          <w:lang w:val="en-AU"/>
        </w:rPr>
        <w:fldChar w:fldCharType="begin"/>
      </w:r>
      <w:r w:rsidR="007F6635" w:rsidRPr="00FA1502">
        <w:rPr>
          <w:lang w:val="en-AU"/>
        </w:rPr>
        <w:instrText xml:space="preserve"> REF _Ref45709874 \r \h  \* MERGEFORMAT </w:instrText>
      </w:r>
      <w:r w:rsidR="007F6635" w:rsidRPr="00FA1502">
        <w:rPr>
          <w:lang w:val="en-AU"/>
        </w:rPr>
      </w:r>
      <w:r w:rsidR="007F6635" w:rsidRPr="00FA1502">
        <w:rPr>
          <w:lang w:val="en-AU"/>
        </w:rPr>
        <w:fldChar w:fldCharType="separate"/>
      </w:r>
      <w:r w:rsidR="00F53F5F">
        <w:rPr>
          <w:lang w:val="en-AU"/>
        </w:rPr>
        <w:t>6.1</w:t>
      </w:r>
      <w:r w:rsidR="007F6635" w:rsidRPr="00FA1502">
        <w:rPr>
          <w:lang w:val="en-AU"/>
        </w:rPr>
        <w:fldChar w:fldCharType="end"/>
      </w:r>
      <w:r w:rsidR="007F6635" w:rsidRPr="00FA1502">
        <w:rPr>
          <w:lang w:val="en-AU"/>
        </w:rPr>
        <w:t xml:space="preserve"> </w:t>
      </w:r>
      <w:r w:rsidR="007F6635" w:rsidRPr="00FA1502">
        <w:rPr>
          <w:lang w:val="en-AU"/>
        </w:rPr>
        <w:fldChar w:fldCharType="begin"/>
      </w:r>
      <w:r w:rsidR="007F6635" w:rsidRPr="00FA1502">
        <w:rPr>
          <w:lang w:val="en-AU"/>
        </w:rPr>
        <w:instrText xml:space="preserve"> REF _Ref45709874 \h  \* MERGEFORMAT </w:instrText>
      </w:r>
      <w:r w:rsidR="007F6635" w:rsidRPr="00FA1502">
        <w:rPr>
          <w:lang w:val="en-AU"/>
        </w:rPr>
      </w:r>
      <w:r w:rsidR="007F6635" w:rsidRPr="00FA1502">
        <w:rPr>
          <w:lang w:val="en-AU"/>
        </w:rPr>
        <w:fldChar w:fldCharType="separate"/>
      </w:r>
      <w:r w:rsidR="00F53F5F" w:rsidRPr="00FA1502">
        <w:rPr>
          <w:lang w:val="en-AU"/>
        </w:rPr>
        <w:t>LIST OF EXCIPIENTS</w:t>
      </w:r>
      <w:r w:rsidR="007F6635" w:rsidRPr="00FA1502">
        <w:rPr>
          <w:lang w:val="en-AU"/>
        </w:rPr>
        <w:fldChar w:fldCharType="end"/>
      </w:r>
      <w:r w:rsidRPr="00FA1502">
        <w:rPr>
          <w:lang w:val="en-AU"/>
        </w:rPr>
        <w:t>.</w:t>
      </w:r>
    </w:p>
    <w:p w14:paraId="723CAA67" w14:textId="77777777" w:rsidR="00FD1F94" w:rsidRPr="00FA1502" w:rsidRDefault="00FD1F94" w:rsidP="00B97A3A">
      <w:pPr>
        <w:pStyle w:val="Heading1"/>
        <w:pageBreakBefore w:val="0"/>
        <w:rPr>
          <w:lang w:val="en-AU"/>
        </w:rPr>
      </w:pPr>
      <w:r w:rsidRPr="00FA1502">
        <w:rPr>
          <w:lang w:val="en-AU"/>
        </w:rPr>
        <w:t>PHARMACEUTICAL FORM</w:t>
      </w:r>
    </w:p>
    <w:p w14:paraId="7B4FA073" w14:textId="567C9532" w:rsidR="00124389" w:rsidRPr="00FA1502" w:rsidRDefault="00124389" w:rsidP="00124389">
      <w:pPr>
        <w:rPr>
          <w:lang w:val="en-AU"/>
        </w:rPr>
      </w:pPr>
      <w:r w:rsidRPr="001468A9">
        <w:rPr>
          <w:lang w:val="en-AU"/>
        </w:rPr>
        <w:t>Film-coated tablet.</w:t>
      </w:r>
    </w:p>
    <w:p w14:paraId="04748C7D" w14:textId="6FAC5687" w:rsidR="004F1996" w:rsidRPr="00FA1502" w:rsidRDefault="004F1996" w:rsidP="004F1996">
      <w:pPr>
        <w:rPr>
          <w:lang w:val="en-AU"/>
        </w:rPr>
      </w:pPr>
      <w:r w:rsidRPr="001468A9">
        <w:rPr>
          <w:lang w:val="en-AU"/>
        </w:rPr>
        <w:t xml:space="preserve">Blue, </w:t>
      </w:r>
      <w:r w:rsidR="00D132F6" w:rsidRPr="001468A9">
        <w:rPr>
          <w:lang w:val="en-AU"/>
        </w:rPr>
        <w:t xml:space="preserve">round, </w:t>
      </w:r>
      <w:r w:rsidRPr="001468A9">
        <w:rPr>
          <w:lang w:val="en-AU"/>
        </w:rPr>
        <w:t>bi-convex, round, film</w:t>
      </w:r>
      <w:r w:rsidR="008204EF" w:rsidRPr="001468A9">
        <w:rPr>
          <w:lang w:val="en-AU"/>
        </w:rPr>
        <w:t>-</w:t>
      </w:r>
      <w:r w:rsidRPr="001468A9">
        <w:rPr>
          <w:lang w:val="en-AU"/>
        </w:rPr>
        <w:t>coated tablets with “K20” debossed on one side and nothing on the other</w:t>
      </w:r>
      <w:r w:rsidR="008204EF" w:rsidRPr="001468A9">
        <w:rPr>
          <w:lang w:val="en-AU"/>
        </w:rPr>
        <w:t xml:space="preserve"> side</w:t>
      </w:r>
      <w:r w:rsidRPr="001468A9">
        <w:rPr>
          <w:lang w:val="en-AU"/>
        </w:rPr>
        <w:t>.</w:t>
      </w:r>
    </w:p>
    <w:p w14:paraId="47CCBDB7" w14:textId="77777777" w:rsidR="00FD1F94" w:rsidRPr="00FA1502" w:rsidRDefault="00FD1F94" w:rsidP="00B97A3A">
      <w:pPr>
        <w:pStyle w:val="Heading1"/>
        <w:pageBreakBefore w:val="0"/>
        <w:rPr>
          <w:lang w:val="en-AU"/>
        </w:rPr>
      </w:pPr>
      <w:bookmarkStart w:id="2" w:name="page2"/>
      <w:bookmarkEnd w:id="2"/>
      <w:r w:rsidRPr="00FA1502">
        <w:rPr>
          <w:lang w:val="en-AU"/>
        </w:rPr>
        <w:t>CLINICAL PARTICULARS</w:t>
      </w:r>
    </w:p>
    <w:p w14:paraId="1496FA69" w14:textId="77777777" w:rsidR="00FD1F94" w:rsidRPr="00FA1502" w:rsidRDefault="00FD1F94" w:rsidP="00124389">
      <w:pPr>
        <w:pStyle w:val="Heading2"/>
        <w:rPr>
          <w:lang w:val="en-AU"/>
        </w:rPr>
      </w:pPr>
      <w:r w:rsidRPr="00FA1502">
        <w:rPr>
          <w:lang w:val="en-AU"/>
        </w:rPr>
        <w:t>THERAPEUTIC INDICATIONS</w:t>
      </w:r>
    </w:p>
    <w:p w14:paraId="5D07D839" w14:textId="77777777" w:rsidR="00124389" w:rsidRPr="00A5717D" w:rsidRDefault="00124389" w:rsidP="00B97A3A">
      <w:pPr>
        <w:rPr>
          <w:lang w:val="en-AU"/>
        </w:rPr>
      </w:pPr>
      <w:r w:rsidRPr="00A5717D">
        <w:rPr>
          <w:lang w:val="en-AU"/>
        </w:rPr>
        <w:t>XPOVIO is indicated:</w:t>
      </w:r>
    </w:p>
    <w:p w14:paraId="304C3314" w14:textId="309FADC5" w:rsidR="00EA3962" w:rsidRPr="00C7118C" w:rsidRDefault="00EA3962" w:rsidP="003812A8">
      <w:pPr>
        <w:pStyle w:val="ListParagraph"/>
        <w:numPr>
          <w:ilvl w:val="0"/>
          <w:numId w:val="8"/>
        </w:numPr>
        <w:rPr>
          <w:lang w:val="en-AU"/>
        </w:rPr>
      </w:pPr>
      <w:r w:rsidRPr="00C7118C">
        <w:rPr>
          <w:lang w:val="en-AU"/>
        </w:rPr>
        <w:t>In combination with bortezomib and dexamethasone for the treatment of adult patients wit</w:t>
      </w:r>
      <w:r w:rsidR="00934C01" w:rsidRPr="00C7118C">
        <w:rPr>
          <w:lang w:val="en-AU"/>
        </w:rPr>
        <w:t>h</w:t>
      </w:r>
      <w:r w:rsidRPr="00C7118C">
        <w:rPr>
          <w:lang w:val="en-AU"/>
        </w:rPr>
        <w:t xml:space="preserve"> multiple myeloma who have received at least one prior therapy. </w:t>
      </w:r>
    </w:p>
    <w:p w14:paraId="7F115B51" w14:textId="5B43E962" w:rsidR="00FD1F94" w:rsidRPr="00C7118C" w:rsidRDefault="00422C1F" w:rsidP="003812A8">
      <w:pPr>
        <w:pStyle w:val="ListParagraph"/>
        <w:numPr>
          <w:ilvl w:val="0"/>
          <w:numId w:val="8"/>
        </w:numPr>
        <w:rPr>
          <w:lang w:val="en-AU"/>
        </w:rPr>
      </w:pPr>
      <w:r>
        <w:rPr>
          <w:lang w:val="en-AU"/>
        </w:rPr>
        <w:t>I</w:t>
      </w:r>
      <w:r w:rsidR="00124389" w:rsidRPr="00C7118C">
        <w:rPr>
          <w:lang w:val="en-AU"/>
        </w:rPr>
        <w:t xml:space="preserve">n combination with dexamethasone for the treatment of adult patients with relapsed </w:t>
      </w:r>
      <w:r w:rsidR="00133C54">
        <w:rPr>
          <w:lang w:val="en-AU"/>
        </w:rPr>
        <w:t xml:space="preserve">or </w:t>
      </w:r>
      <w:r w:rsidR="00124389" w:rsidRPr="00C7118C">
        <w:rPr>
          <w:lang w:val="en-AU"/>
        </w:rPr>
        <w:t>refractory multiple myeloma (RRMM) who have received at least three prior therapies and whose disease is refractory to at least one proteasome inhibitor, at least one immunomodulatory medicinal product (</w:t>
      </w:r>
      <w:proofErr w:type="spellStart"/>
      <w:r w:rsidR="00124389" w:rsidRPr="00C7118C">
        <w:rPr>
          <w:lang w:val="en-AU"/>
        </w:rPr>
        <w:t>IMiD</w:t>
      </w:r>
      <w:proofErr w:type="spellEnd"/>
      <w:r w:rsidR="00124389" w:rsidRPr="00C7118C">
        <w:rPr>
          <w:lang w:val="en-AU"/>
        </w:rPr>
        <w:t>), and an anti-CD38 monoclonal antibody (</w:t>
      </w:r>
      <w:proofErr w:type="spellStart"/>
      <w:r w:rsidR="00124389" w:rsidRPr="00C7118C">
        <w:rPr>
          <w:lang w:val="en-AU"/>
        </w:rPr>
        <w:t>mAb</w:t>
      </w:r>
      <w:proofErr w:type="spellEnd"/>
      <w:r w:rsidR="00124389" w:rsidRPr="00C7118C">
        <w:rPr>
          <w:lang w:val="en-AU"/>
        </w:rPr>
        <w:t>).</w:t>
      </w:r>
    </w:p>
    <w:p w14:paraId="44B8400C" w14:textId="6B7DE61F" w:rsidR="002B5FD1" w:rsidRPr="002B5FD1" w:rsidRDefault="002B5FD1" w:rsidP="002B5FD1">
      <w:pPr>
        <w:rPr>
          <w:lang w:val="en-AU"/>
        </w:rPr>
      </w:pPr>
    </w:p>
    <w:p w14:paraId="57F22454" w14:textId="7790D635" w:rsidR="002B5FD1" w:rsidRDefault="002B5FD1" w:rsidP="002B5FD1">
      <w:pPr>
        <w:tabs>
          <w:tab w:val="left" w:pos="3885"/>
        </w:tabs>
        <w:rPr>
          <w:lang w:val="en-AU"/>
        </w:rPr>
      </w:pPr>
      <w:r>
        <w:rPr>
          <w:lang w:val="en-AU"/>
        </w:rPr>
        <w:tab/>
      </w:r>
    </w:p>
    <w:p w14:paraId="0A76A74B" w14:textId="04E03DFF" w:rsidR="00735384" w:rsidRPr="00735384" w:rsidRDefault="00735384" w:rsidP="00F53F5F">
      <w:pPr>
        <w:tabs>
          <w:tab w:val="left" w:pos="3450"/>
          <w:tab w:val="center" w:pos="4583"/>
          <w:tab w:val="left" w:pos="5610"/>
        </w:tabs>
        <w:rPr>
          <w:lang w:val="en-AU"/>
        </w:rPr>
      </w:pPr>
      <w:r>
        <w:rPr>
          <w:lang w:val="en-AU"/>
        </w:rPr>
        <w:tab/>
      </w:r>
      <w:r w:rsidR="00621BAA">
        <w:rPr>
          <w:lang w:val="en-AU"/>
        </w:rPr>
        <w:tab/>
      </w:r>
      <w:r w:rsidR="005F187A">
        <w:rPr>
          <w:lang w:val="en-AU"/>
        </w:rPr>
        <w:tab/>
      </w:r>
    </w:p>
    <w:p w14:paraId="42171120" w14:textId="4D3DB82E" w:rsidR="00FD1F94" w:rsidRDefault="00FD1F94" w:rsidP="00124389">
      <w:pPr>
        <w:pStyle w:val="Heading2"/>
        <w:rPr>
          <w:lang w:val="en-AU"/>
        </w:rPr>
      </w:pPr>
      <w:bookmarkStart w:id="3" w:name="_Ref511901540"/>
      <w:r w:rsidRPr="00FA1502">
        <w:rPr>
          <w:lang w:val="en-AU"/>
        </w:rPr>
        <w:lastRenderedPageBreak/>
        <w:t>DOSE AND METHOD OF ADMINISTRATION</w:t>
      </w:r>
      <w:bookmarkEnd w:id="3"/>
    </w:p>
    <w:p w14:paraId="28002364" w14:textId="77777777" w:rsidR="00422C1F" w:rsidRPr="000339D8" w:rsidRDefault="00422C1F" w:rsidP="00422C1F">
      <w:pPr>
        <w:rPr>
          <w:lang w:val="en-AU"/>
        </w:rPr>
      </w:pPr>
      <w:r w:rsidRPr="000339D8">
        <w:rPr>
          <w:lang w:val="en-AU"/>
        </w:rPr>
        <w:t>Treatment must be initiated and monitored under supervision of physicians experienced in the management of multiple myeloma.</w:t>
      </w:r>
    </w:p>
    <w:p w14:paraId="2AB35861" w14:textId="6409C6A1" w:rsidR="00124389" w:rsidRPr="00FA1502" w:rsidRDefault="00124389" w:rsidP="00124389">
      <w:pPr>
        <w:pStyle w:val="Heading3"/>
        <w:numPr>
          <w:ilvl w:val="0"/>
          <w:numId w:val="0"/>
        </w:numPr>
        <w:rPr>
          <w:lang w:val="en-AU"/>
        </w:rPr>
      </w:pPr>
      <w:r w:rsidRPr="00FA1502">
        <w:rPr>
          <w:lang w:val="en-AU"/>
        </w:rPr>
        <w:t>Dosage</w:t>
      </w:r>
    </w:p>
    <w:p w14:paraId="7E53F362" w14:textId="53BA32FD" w:rsidR="00EA3962" w:rsidRPr="00D6651A" w:rsidRDefault="00EA3962" w:rsidP="005C4B7F">
      <w:pPr>
        <w:pStyle w:val="Heading4"/>
        <w:numPr>
          <w:ilvl w:val="0"/>
          <w:numId w:val="0"/>
        </w:numPr>
        <w:ind w:left="862" w:hanging="862"/>
        <w:rPr>
          <w:lang w:val="en-AU"/>
        </w:rPr>
      </w:pPr>
      <w:r w:rsidRPr="0087712D">
        <w:rPr>
          <w:lang w:val="en-AU"/>
        </w:rPr>
        <w:t xml:space="preserve">In combination with </w:t>
      </w:r>
      <w:r w:rsidR="00D45F2F">
        <w:rPr>
          <w:lang w:val="en-AU"/>
        </w:rPr>
        <w:t>b</w:t>
      </w:r>
      <w:r w:rsidRPr="00D6651A">
        <w:rPr>
          <w:lang w:val="en-AU"/>
        </w:rPr>
        <w:t xml:space="preserve">ortezomib and </w:t>
      </w:r>
      <w:r w:rsidR="00D45F2F">
        <w:rPr>
          <w:lang w:val="en-AU"/>
        </w:rPr>
        <w:t>d</w:t>
      </w:r>
      <w:r w:rsidRPr="00D6651A">
        <w:rPr>
          <w:lang w:val="en-AU"/>
        </w:rPr>
        <w:t>examethasone</w:t>
      </w:r>
      <w:r w:rsidR="00C01672" w:rsidRPr="00D6651A">
        <w:rPr>
          <w:lang w:val="en-AU"/>
        </w:rPr>
        <w:t xml:space="preserve"> (</w:t>
      </w:r>
      <w:proofErr w:type="spellStart"/>
      <w:r w:rsidR="00C01672" w:rsidRPr="00D6651A">
        <w:rPr>
          <w:lang w:val="en-AU"/>
        </w:rPr>
        <w:t>SVd</w:t>
      </w:r>
      <w:proofErr w:type="spellEnd"/>
      <w:r w:rsidR="00C01672" w:rsidRPr="00D6651A">
        <w:rPr>
          <w:lang w:val="en-AU"/>
        </w:rPr>
        <w:t>)</w:t>
      </w:r>
    </w:p>
    <w:p w14:paraId="2661980A" w14:textId="4F37680F" w:rsidR="00EA3962" w:rsidRPr="00D6651A" w:rsidRDefault="00EA3962" w:rsidP="00EA3962">
      <w:r w:rsidRPr="00D6651A">
        <w:t xml:space="preserve">The recommended </w:t>
      </w:r>
      <w:r w:rsidR="00A00D1F">
        <w:t xml:space="preserve">starting dose of </w:t>
      </w:r>
      <w:r w:rsidRPr="00D6651A">
        <w:t>XPOVIO in combination with bortezomib and dexamethasone is based on a 35-day cycle as follows:</w:t>
      </w:r>
    </w:p>
    <w:p w14:paraId="091290A7" w14:textId="36C42BBD" w:rsidR="00EA3962" w:rsidRPr="00D6651A" w:rsidRDefault="00EA3962" w:rsidP="003812A8">
      <w:pPr>
        <w:pStyle w:val="ListParagraph"/>
        <w:numPr>
          <w:ilvl w:val="0"/>
          <w:numId w:val="12"/>
        </w:numPr>
        <w:ind w:left="714" w:hanging="357"/>
      </w:pPr>
      <w:r w:rsidRPr="00D6651A">
        <w:t>XPOVIO 100 mg (five 20 mg tablets) is taken orally once weekly on Days 1, 8, 15, 22 and 29.</w:t>
      </w:r>
    </w:p>
    <w:p w14:paraId="2844020E" w14:textId="28E52F16" w:rsidR="00EA3962" w:rsidRPr="00D6651A" w:rsidRDefault="00EA3962" w:rsidP="003812A8">
      <w:pPr>
        <w:pStyle w:val="ListParagraph"/>
        <w:numPr>
          <w:ilvl w:val="0"/>
          <w:numId w:val="12"/>
        </w:numPr>
        <w:ind w:left="714" w:hanging="357"/>
      </w:pPr>
      <w:r w:rsidRPr="00D6651A">
        <w:t>Bortezomib 1.3 mg/m2 is administered subcutaneously once weekly on Days 1, 8, 15 and 22.</w:t>
      </w:r>
    </w:p>
    <w:p w14:paraId="540F8D14" w14:textId="7FF2125A" w:rsidR="00EA3962" w:rsidRPr="00D6651A" w:rsidRDefault="00EA3962" w:rsidP="003812A8">
      <w:pPr>
        <w:pStyle w:val="ListParagraph"/>
        <w:numPr>
          <w:ilvl w:val="0"/>
          <w:numId w:val="12"/>
        </w:numPr>
        <w:ind w:left="714" w:hanging="357"/>
      </w:pPr>
      <w:r w:rsidRPr="00D6651A">
        <w:t>Dexamethasone 20-mg is taken orally on Days 1, 2, 8, 9, 15, 16, 22, 23, 29, and 30.</w:t>
      </w:r>
    </w:p>
    <w:p w14:paraId="55DB3D69" w14:textId="7F7ECC7B" w:rsidR="00EA3962" w:rsidRPr="00D6651A" w:rsidRDefault="00EA3962" w:rsidP="00EA3962">
      <w:r w:rsidRPr="00D6651A">
        <w:t>Treatment is administered until disease progression or unacceptable toxicity, for additional information regarding the administration of bortezomib and dexamethasone, refer to their respective prescribing information</w:t>
      </w:r>
    </w:p>
    <w:p w14:paraId="76FB1415" w14:textId="7988BDD2" w:rsidR="00EA3962" w:rsidRPr="00E12BD8" w:rsidRDefault="00EA3962" w:rsidP="00F53F5F">
      <w:pPr>
        <w:pStyle w:val="Heading4"/>
        <w:numPr>
          <w:ilvl w:val="0"/>
          <w:numId w:val="0"/>
        </w:numPr>
        <w:ind w:left="862" w:hanging="862"/>
        <w:rPr>
          <w:lang w:val="en-AU"/>
        </w:rPr>
      </w:pPr>
      <w:r w:rsidRPr="00E12BD8">
        <w:rPr>
          <w:lang w:val="en-AU"/>
        </w:rPr>
        <w:t xml:space="preserve">In combination with </w:t>
      </w:r>
      <w:r w:rsidR="00222CF3" w:rsidRPr="00E12BD8">
        <w:rPr>
          <w:lang w:val="en-AU"/>
        </w:rPr>
        <w:t>d</w:t>
      </w:r>
      <w:r w:rsidRPr="00E12BD8">
        <w:rPr>
          <w:lang w:val="en-AU"/>
        </w:rPr>
        <w:t>examethasone</w:t>
      </w:r>
      <w:r w:rsidR="00C01672" w:rsidRPr="00E12BD8">
        <w:rPr>
          <w:lang w:val="en-AU"/>
        </w:rPr>
        <w:t xml:space="preserve"> (Sd)</w:t>
      </w:r>
    </w:p>
    <w:p w14:paraId="1BD6C937" w14:textId="6C19698F" w:rsidR="00124389" w:rsidRPr="000339D8" w:rsidRDefault="00124389" w:rsidP="00124389">
      <w:pPr>
        <w:rPr>
          <w:lang w:val="en-AU"/>
        </w:rPr>
      </w:pPr>
      <w:r w:rsidRPr="000339D8">
        <w:rPr>
          <w:lang w:val="en-AU"/>
        </w:rPr>
        <w:t xml:space="preserve">The recommended starting dose is 80 mg </w:t>
      </w:r>
      <w:r w:rsidR="005647F4" w:rsidRPr="000339D8">
        <w:rPr>
          <w:lang w:val="en-AU"/>
        </w:rPr>
        <w:t xml:space="preserve">(four </w:t>
      </w:r>
      <w:r w:rsidR="00573455" w:rsidRPr="000339D8">
        <w:rPr>
          <w:lang w:val="en-AU"/>
        </w:rPr>
        <w:t xml:space="preserve">20 mg tablets) </w:t>
      </w:r>
      <w:r w:rsidRPr="000339D8">
        <w:rPr>
          <w:lang w:val="en-AU"/>
        </w:rPr>
        <w:t xml:space="preserve">of </w:t>
      </w:r>
      <w:r w:rsidR="00573455" w:rsidRPr="000339D8">
        <w:rPr>
          <w:lang w:val="en-AU"/>
        </w:rPr>
        <w:t xml:space="preserve">XPOVIO </w:t>
      </w:r>
      <w:r w:rsidRPr="000339D8">
        <w:rPr>
          <w:lang w:val="en-AU"/>
        </w:rPr>
        <w:t>on Days 1 and 3 of each week.</w:t>
      </w:r>
    </w:p>
    <w:p w14:paraId="19F20FC9" w14:textId="3CE8B935" w:rsidR="00124389" w:rsidRPr="000339D8" w:rsidRDefault="00124389" w:rsidP="00124389">
      <w:pPr>
        <w:rPr>
          <w:lang w:val="en-AU"/>
        </w:rPr>
      </w:pPr>
      <w:r w:rsidRPr="000339D8">
        <w:rPr>
          <w:lang w:val="en-AU"/>
        </w:rPr>
        <w:t xml:space="preserve">The recommended starting dose of dexamethasone is 20 mg taken orally on Days 1 and 3 of each week with </w:t>
      </w:r>
      <w:r w:rsidR="0087503D">
        <w:rPr>
          <w:lang w:val="en-AU"/>
        </w:rPr>
        <w:t>XPOVIO</w:t>
      </w:r>
      <w:r w:rsidRPr="000339D8">
        <w:rPr>
          <w:lang w:val="en-AU"/>
        </w:rPr>
        <w:t>. For additional information regarding the administration of dexamethasone, refer to its Product Information.</w:t>
      </w:r>
    </w:p>
    <w:p w14:paraId="76544C76" w14:textId="74A71A3D" w:rsidR="00124389" w:rsidRPr="00FA1502" w:rsidRDefault="00124389" w:rsidP="00124389">
      <w:pPr>
        <w:rPr>
          <w:lang w:val="en-AU"/>
        </w:rPr>
      </w:pPr>
      <w:r w:rsidRPr="000339D8">
        <w:rPr>
          <w:lang w:val="en-AU"/>
        </w:rPr>
        <w:t>Treatment should be continued until disease progression or unacceptable toxicity.</w:t>
      </w:r>
    </w:p>
    <w:p w14:paraId="179EA7D4" w14:textId="5127AD48" w:rsidR="00124389" w:rsidRPr="00FA1502" w:rsidRDefault="00124389" w:rsidP="00124389">
      <w:pPr>
        <w:pStyle w:val="Heading3"/>
        <w:numPr>
          <w:ilvl w:val="0"/>
          <w:numId w:val="0"/>
        </w:numPr>
        <w:ind w:left="680" w:hanging="680"/>
        <w:rPr>
          <w:lang w:val="en-AU"/>
        </w:rPr>
      </w:pPr>
      <w:bookmarkStart w:id="4" w:name="_Ref46844684"/>
      <w:r w:rsidRPr="00FA1502">
        <w:rPr>
          <w:lang w:val="en-AU"/>
        </w:rPr>
        <w:t>Dose modifications</w:t>
      </w:r>
      <w:bookmarkEnd w:id="4"/>
      <w:r w:rsidR="00A00D1F">
        <w:rPr>
          <w:lang w:val="en-AU"/>
        </w:rPr>
        <w:t xml:space="preserve"> for Adverse Reactions</w:t>
      </w:r>
    </w:p>
    <w:p w14:paraId="6F3C6193" w14:textId="337BA00E" w:rsidR="00E81082" w:rsidRPr="00FA1502" w:rsidRDefault="00E81082" w:rsidP="00E81082">
      <w:pPr>
        <w:rPr>
          <w:lang w:val="en-AU"/>
        </w:rPr>
      </w:pPr>
      <w:r w:rsidRPr="002B5FD1">
        <w:rPr>
          <w:lang w:val="en-AU"/>
        </w:rPr>
        <w:t>Continued treatment of XPOVIO may require appropriate dose modifications (reductions and/or interruptions) in the event of adverse reactions.  Dose modifications utili</w:t>
      </w:r>
      <w:r w:rsidR="00510CAC">
        <w:rPr>
          <w:lang w:val="en-AU"/>
        </w:rPr>
        <w:t>s</w:t>
      </w:r>
      <w:r w:rsidRPr="002B5FD1">
        <w:rPr>
          <w:lang w:val="en-AU"/>
        </w:rPr>
        <w:t>ed in clinical trials are presented in Tables 1-4.</w:t>
      </w:r>
    </w:p>
    <w:p w14:paraId="67AC0E9C" w14:textId="6FD4C992" w:rsidR="00DF6EF2" w:rsidRPr="00FA1502" w:rsidRDefault="00124389" w:rsidP="00124389">
      <w:pPr>
        <w:rPr>
          <w:lang w:val="en-AU"/>
        </w:rPr>
      </w:pPr>
      <w:r w:rsidRPr="00FA1502">
        <w:rPr>
          <w:lang w:val="en-AU"/>
        </w:rPr>
        <w:t xml:space="preserve">Recommended XPOVIO dose </w:t>
      </w:r>
      <w:r w:rsidR="00A5417C" w:rsidRPr="00FA1502">
        <w:rPr>
          <w:lang w:val="en-AU"/>
        </w:rPr>
        <w:t>reduction</w:t>
      </w:r>
      <w:r w:rsidR="00E81082">
        <w:rPr>
          <w:lang w:val="en-AU"/>
        </w:rPr>
        <w:t xml:space="preserve"> step</w:t>
      </w:r>
      <w:r w:rsidR="00A5417C" w:rsidRPr="00FA1502">
        <w:rPr>
          <w:lang w:val="en-AU"/>
        </w:rPr>
        <w:t>s</w:t>
      </w:r>
      <w:r w:rsidRPr="00FA1502">
        <w:rPr>
          <w:lang w:val="en-AU"/>
        </w:rPr>
        <w:t xml:space="preserve"> for adverse reactions are presented in </w:t>
      </w:r>
      <w:r w:rsidR="00A37EFE" w:rsidRPr="00FA1502">
        <w:rPr>
          <w:lang w:val="en-AU"/>
        </w:rPr>
        <w:fldChar w:fldCharType="begin"/>
      </w:r>
      <w:r w:rsidR="00A37EFE" w:rsidRPr="00FA1502">
        <w:rPr>
          <w:lang w:val="en-AU"/>
        </w:rPr>
        <w:instrText xml:space="preserve"> REF _Ref45711620 \h </w:instrText>
      </w:r>
      <w:r w:rsidR="00A37EFE" w:rsidRPr="00FA1502">
        <w:rPr>
          <w:lang w:val="en-AU"/>
        </w:rPr>
      </w:r>
      <w:r w:rsidR="00A37EFE" w:rsidRPr="00FA1502">
        <w:rPr>
          <w:lang w:val="en-AU"/>
        </w:rPr>
        <w:fldChar w:fldCharType="separate"/>
      </w:r>
      <w:r w:rsidR="00F53F5F" w:rsidRPr="00FA1502">
        <w:rPr>
          <w:lang w:val="en-AU"/>
        </w:rPr>
        <w:t>Table</w:t>
      </w:r>
      <w:r w:rsidR="00F53F5F">
        <w:rPr>
          <w:lang w:val="en-AU"/>
        </w:rPr>
        <w:t> </w:t>
      </w:r>
      <w:r w:rsidR="00F53F5F">
        <w:rPr>
          <w:noProof/>
          <w:lang w:val="en-AU"/>
        </w:rPr>
        <w:t>1</w:t>
      </w:r>
      <w:r w:rsidR="00A37EFE" w:rsidRPr="00FA1502">
        <w:rPr>
          <w:lang w:val="en-AU"/>
        </w:rPr>
        <w:fldChar w:fldCharType="end"/>
      </w:r>
      <w:r w:rsidR="00A5417C" w:rsidRPr="00FA1502">
        <w:rPr>
          <w:lang w:val="en-AU"/>
        </w:rPr>
        <w:t>.</w:t>
      </w:r>
    </w:p>
    <w:p w14:paraId="0F108A82" w14:textId="4C7546A8" w:rsidR="00DF6EF2" w:rsidRDefault="00DF6EF2" w:rsidP="00DF6EF2">
      <w:pPr>
        <w:rPr>
          <w:lang w:val="en-AU"/>
        </w:rPr>
      </w:pPr>
      <w:r w:rsidRPr="00FA1502">
        <w:rPr>
          <w:lang w:val="en-AU"/>
        </w:rPr>
        <w:t>Recommended dosage modifications for hematologic adverse reactions in patients with multiple myeloma</w:t>
      </w:r>
      <w:r w:rsidR="003002EE">
        <w:rPr>
          <w:lang w:val="en-AU"/>
        </w:rPr>
        <w:t xml:space="preserve"> (both </w:t>
      </w:r>
      <w:proofErr w:type="spellStart"/>
      <w:r w:rsidR="003002EE">
        <w:rPr>
          <w:lang w:val="en-AU"/>
        </w:rPr>
        <w:t>SVd</w:t>
      </w:r>
      <w:proofErr w:type="spellEnd"/>
      <w:r w:rsidR="003002EE">
        <w:rPr>
          <w:lang w:val="en-AU"/>
        </w:rPr>
        <w:t xml:space="preserve"> and Sd)</w:t>
      </w:r>
      <w:r w:rsidRPr="00FA1502">
        <w:rPr>
          <w:lang w:val="en-AU"/>
        </w:rPr>
        <w:t xml:space="preserve"> </w:t>
      </w:r>
      <w:r w:rsidR="004854FB">
        <w:rPr>
          <w:lang w:val="en-AU"/>
        </w:rPr>
        <w:t>is</w:t>
      </w:r>
      <w:r w:rsidRPr="00FA1502">
        <w:rPr>
          <w:lang w:val="en-AU"/>
        </w:rPr>
        <w:t xml:space="preserve"> presented in </w:t>
      </w:r>
      <w:r w:rsidRPr="00FA1502">
        <w:rPr>
          <w:lang w:val="en-AU"/>
        </w:rPr>
        <w:fldChar w:fldCharType="begin"/>
      </w:r>
      <w:r w:rsidRPr="00FA1502">
        <w:rPr>
          <w:lang w:val="en-AU"/>
        </w:rPr>
        <w:instrText xml:space="preserve"> REF _Ref45718180 \h </w:instrText>
      </w:r>
      <w:r w:rsidRPr="00FA1502">
        <w:rPr>
          <w:lang w:val="en-AU"/>
        </w:rPr>
      </w:r>
      <w:r w:rsidRPr="00FA1502">
        <w:rPr>
          <w:lang w:val="en-AU"/>
        </w:rPr>
        <w:fldChar w:fldCharType="separate"/>
      </w:r>
      <w:r w:rsidR="00F53F5F" w:rsidRPr="00FA1502">
        <w:rPr>
          <w:lang w:val="en-AU"/>
        </w:rPr>
        <w:t>Table</w:t>
      </w:r>
      <w:r w:rsidR="00F53F5F">
        <w:rPr>
          <w:lang w:val="en-AU"/>
        </w:rPr>
        <w:t> </w:t>
      </w:r>
      <w:r w:rsidR="00F53F5F">
        <w:rPr>
          <w:noProof/>
          <w:lang w:val="en-AU"/>
        </w:rPr>
        <w:t>2</w:t>
      </w:r>
      <w:r w:rsidRPr="00FA1502">
        <w:rPr>
          <w:lang w:val="en-AU"/>
        </w:rPr>
        <w:fldChar w:fldCharType="end"/>
      </w:r>
      <w:r w:rsidRPr="00FA1502">
        <w:rPr>
          <w:lang w:val="en-AU"/>
        </w:rPr>
        <w:t>.</w:t>
      </w:r>
    </w:p>
    <w:p w14:paraId="26048798" w14:textId="77777777" w:rsidR="00BC2292" w:rsidRDefault="00BC2292" w:rsidP="005C4B7F">
      <w:pPr>
        <w:pStyle w:val="NormalIndent1"/>
        <w:ind w:left="0"/>
        <w:rPr>
          <w:rFonts w:ascii="Times New Roman" w:hAnsi="Times New Roman" w:cs="Times New Roman"/>
          <w:sz w:val="24"/>
          <w:szCs w:val="24"/>
        </w:rPr>
      </w:pPr>
    </w:p>
    <w:p w14:paraId="2848871F" w14:textId="0E8B32D0" w:rsidR="00A5417C" w:rsidRPr="00852C26" w:rsidRDefault="00DF6EF2" w:rsidP="005C4B7F">
      <w:pPr>
        <w:pStyle w:val="NormalIndent1"/>
        <w:ind w:left="0"/>
      </w:pPr>
      <w:r w:rsidRPr="005C4B7F">
        <w:rPr>
          <w:rFonts w:ascii="Times New Roman" w:hAnsi="Times New Roman" w:cs="Times New Roman"/>
          <w:sz w:val="24"/>
          <w:szCs w:val="24"/>
        </w:rPr>
        <w:t>Recommended dosage modifications for non-hematologic adverse reactions in all XPOVIO treated patients are presented in</w:t>
      </w:r>
      <w:r w:rsidR="00852C26" w:rsidRPr="005C4B7F">
        <w:rPr>
          <w:rFonts w:ascii="Times New Roman" w:hAnsi="Times New Roman" w:cs="Times New Roman"/>
          <w:sz w:val="24"/>
          <w:szCs w:val="24"/>
        </w:rPr>
        <w:t xml:space="preserve"> </w:t>
      </w:r>
      <w:r w:rsidR="00852C26" w:rsidRPr="005C4B7F">
        <w:fldChar w:fldCharType="begin"/>
      </w:r>
      <w:r w:rsidR="00852C26" w:rsidRPr="005C4B7F">
        <w:rPr>
          <w:rFonts w:ascii="Times New Roman" w:hAnsi="Times New Roman" w:cs="Times New Roman"/>
          <w:sz w:val="24"/>
          <w:szCs w:val="24"/>
        </w:rPr>
        <w:instrText xml:space="preserve"> REF _Ref94169671 \h  \* MERGEFORMAT </w:instrText>
      </w:r>
      <w:r w:rsidR="00852C26" w:rsidRPr="005C4B7F">
        <w:fldChar w:fldCharType="separate"/>
      </w:r>
      <w:r w:rsidR="00F53F5F" w:rsidRPr="00F53F5F">
        <w:rPr>
          <w:rFonts w:ascii="Times New Roman" w:hAnsi="Times New Roman" w:cs="Times New Roman"/>
          <w:sz w:val="24"/>
          <w:szCs w:val="24"/>
        </w:rPr>
        <w:t>Table 3</w:t>
      </w:r>
      <w:r w:rsidR="00852C26" w:rsidRPr="005C4B7F">
        <w:fldChar w:fldCharType="end"/>
      </w:r>
      <w:r w:rsidRPr="00F53F5F">
        <w:rPr>
          <w:rFonts w:ascii="Times New Roman" w:hAnsi="Times New Roman" w:cs="Times New Roman"/>
          <w:sz w:val="24"/>
          <w:szCs w:val="24"/>
        </w:rPr>
        <w:t xml:space="preserve"> </w:t>
      </w:r>
    </w:p>
    <w:p w14:paraId="28A81FFA" w14:textId="4407AAC6" w:rsidR="00124389" w:rsidRPr="00FA1502" w:rsidRDefault="00124389" w:rsidP="00A37EFE">
      <w:pPr>
        <w:pStyle w:val="Caption"/>
        <w:rPr>
          <w:lang w:val="en-AU"/>
        </w:rPr>
      </w:pPr>
      <w:bookmarkStart w:id="5" w:name="_Ref45711620"/>
      <w:r w:rsidRPr="00FA1502">
        <w:rPr>
          <w:lang w:val="en-AU"/>
        </w:rPr>
        <w:lastRenderedPageBreak/>
        <w:t>Table</w:t>
      </w:r>
      <w:r w:rsidR="008204EF">
        <w:rPr>
          <w:lang w:val="en-AU"/>
        </w:rPr>
        <w:t> </w:t>
      </w:r>
      <w:r w:rsidRPr="00FA1502">
        <w:rPr>
          <w:lang w:val="en-AU"/>
        </w:rPr>
        <w:fldChar w:fldCharType="begin"/>
      </w:r>
      <w:r w:rsidRPr="00FA1502">
        <w:rPr>
          <w:lang w:val="en-AU"/>
        </w:rPr>
        <w:instrText xml:space="preserve"> SEQ Table \* ARABIC </w:instrText>
      </w:r>
      <w:r w:rsidRPr="00FA1502">
        <w:rPr>
          <w:lang w:val="en-AU"/>
        </w:rPr>
        <w:fldChar w:fldCharType="separate"/>
      </w:r>
      <w:r w:rsidR="00F53F5F">
        <w:rPr>
          <w:noProof/>
          <w:lang w:val="en-AU"/>
        </w:rPr>
        <w:t>1</w:t>
      </w:r>
      <w:r w:rsidRPr="00FA1502">
        <w:rPr>
          <w:lang w:val="en-AU"/>
        </w:rPr>
        <w:fldChar w:fldCharType="end"/>
      </w:r>
      <w:bookmarkEnd w:id="5"/>
      <w:r w:rsidRPr="00FA1502">
        <w:rPr>
          <w:lang w:val="en-AU"/>
        </w:rPr>
        <w:t xml:space="preserve">: </w:t>
      </w:r>
      <w:proofErr w:type="spellStart"/>
      <w:r w:rsidR="0064064D">
        <w:rPr>
          <w:lang w:val="en-AU"/>
        </w:rPr>
        <w:t>Xpovio</w:t>
      </w:r>
      <w:proofErr w:type="spellEnd"/>
      <w:r w:rsidR="0064064D">
        <w:rPr>
          <w:lang w:val="en-AU"/>
        </w:rPr>
        <w:t xml:space="preserve"> Dosage Reduction Steps for Adverse Reactions</w:t>
      </w:r>
    </w:p>
    <w:tbl>
      <w:tblPr>
        <w:tblStyle w:val="TableGrid"/>
        <w:tblW w:w="0" w:type="auto"/>
        <w:tblLook w:val="04A0" w:firstRow="1" w:lastRow="0" w:firstColumn="1" w:lastColumn="0" w:noHBand="0" w:noVBand="1"/>
      </w:tblPr>
      <w:tblGrid>
        <w:gridCol w:w="2287"/>
        <w:gridCol w:w="2287"/>
        <w:gridCol w:w="2288"/>
        <w:gridCol w:w="2288"/>
      </w:tblGrid>
      <w:tr w:rsidR="00C01672" w:rsidRPr="00FA1502" w14:paraId="3B2E6B38" w14:textId="32D833E2" w:rsidTr="0077493B">
        <w:trPr>
          <w:tblHeader/>
        </w:trPr>
        <w:tc>
          <w:tcPr>
            <w:tcW w:w="2287" w:type="dxa"/>
          </w:tcPr>
          <w:p w14:paraId="11EA7D18" w14:textId="77777777" w:rsidR="00C01672" w:rsidRPr="00FA1502" w:rsidRDefault="00C01672" w:rsidP="00C01672">
            <w:pPr>
              <w:pStyle w:val="TblHeadingLeft"/>
              <w:rPr>
                <w:noProof w:val="0"/>
                <w:lang w:val="en-AU"/>
              </w:rPr>
            </w:pPr>
          </w:p>
        </w:tc>
        <w:tc>
          <w:tcPr>
            <w:tcW w:w="2287" w:type="dxa"/>
          </w:tcPr>
          <w:p w14:paraId="6BCDBD49" w14:textId="00F08663" w:rsidR="00C01672" w:rsidRPr="001468A9" w:rsidRDefault="00C01672" w:rsidP="00C01672">
            <w:pPr>
              <w:pStyle w:val="TblHeadingCenter"/>
              <w:rPr>
                <w:noProof w:val="0"/>
                <w:lang w:val="en-AU"/>
              </w:rPr>
            </w:pPr>
            <w:r w:rsidRPr="001468A9">
              <w:rPr>
                <w:noProof w:val="0"/>
                <w:lang w:val="en-AU"/>
              </w:rPr>
              <w:t>Multiple myeloma in combination with bortezomib and dexamethasone (</w:t>
            </w:r>
            <w:proofErr w:type="spellStart"/>
            <w:r w:rsidRPr="001468A9">
              <w:rPr>
                <w:noProof w:val="0"/>
                <w:lang w:val="en-AU"/>
              </w:rPr>
              <w:t>SVd</w:t>
            </w:r>
            <w:proofErr w:type="spellEnd"/>
            <w:r w:rsidRPr="001468A9">
              <w:rPr>
                <w:noProof w:val="0"/>
                <w:lang w:val="en-AU"/>
              </w:rPr>
              <w:t>)</w:t>
            </w:r>
          </w:p>
        </w:tc>
        <w:tc>
          <w:tcPr>
            <w:tcW w:w="2288" w:type="dxa"/>
          </w:tcPr>
          <w:p w14:paraId="0920677A" w14:textId="4D8388EF" w:rsidR="00C01672" w:rsidRPr="001468A9" w:rsidRDefault="00C01672" w:rsidP="00C01672">
            <w:pPr>
              <w:pStyle w:val="TblHeadingCenter"/>
              <w:rPr>
                <w:noProof w:val="0"/>
                <w:lang w:val="en-AU"/>
              </w:rPr>
            </w:pPr>
            <w:r w:rsidRPr="001468A9">
              <w:rPr>
                <w:noProof w:val="0"/>
                <w:lang w:val="en-AU"/>
              </w:rPr>
              <w:t>Multiple myeloma in combination with dexamethasone (Sd)</w:t>
            </w:r>
          </w:p>
        </w:tc>
        <w:tc>
          <w:tcPr>
            <w:tcW w:w="2288" w:type="dxa"/>
          </w:tcPr>
          <w:p w14:paraId="2B4B37E6" w14:textId="5624950F" w:rsidR="00C01672" w:rsidRPr="001468A9" w:rsidRDefault="00C01672" w:rsidP="00C01672">
            <w:pPr>
              <w:pStyle w:val="TblHeadingCenter"/>
              <w:rPr>
                <w:noProof w:val="0"/>
                <w:lang w:val="en-AU"/>
              </w:rPr>
            </w:pPr>
          </w:p>
        </w:tc>
      </w:tr>
      <w:tr w:rsidR="00C01672" w:rsidRPr="00FA1502" w14:paraId="15085B59" w14:textId="7FAC4160" w:rsidTr="0077493B">
        <w:tc>
          <w:tcPr>
            <w:tcW w:w="2287" w:type="dxa"/>
          </w:tcPr>
          <w:p w14:paraId="7ED40A26" w14:textId="7FDC7A7F" w:rsidR="00C01672" w:rsidRPr="00FA1502" w:rsidRDefault="00C01672" w:rsidP="00C01672">
            <w:pPr>
              <w:pStyle w:val="TblHeadingLeft"/>
              <w:rPr>
                <w:noProof w:val="0"/>
                <w:lang w:val="en-AU"/>
              </w:rPr>
            </w:pPr>
            <w:r w:rsidRPr="00FA1502">
              <w:rPr>
                <w:noProof w:val="0"/>
                <w:lang w:val="en-AU"/>
              </w:rPr>
              <w:t>Recommended starting dosage</w:t>
            </w:r>
          </w:p>
        </w:tc>
        <w:tc>
          <w:tcPr>
            <w:tcW w:w="2287" w:type="dxa"/>
          </w:tcPr>
          <w:p w14:paraId="6580590D" w14:textId="77777777" w:rsidR="00C01672" w:rsidRPr="001468A9" w:rsidRDefault="00C01672" w:rsidP="00C01672">
            <w:pPr>
              <w:pStyle w:val="TblTextCenter"/>
              <w:rPr>
                <w:lang w:val="en-AU"/>
              </w:rPr>
            </w:pPr>
            <w:r w:rsidRPr="001468A9">
              <w:rPr>
                <w:lang w:val="en-AU"/>
              </w:rPr>
              <w:t xml:space="preserve">100 mg </w:t>
            </w:r>
          </w:p>
          <w:p w14:paraId="27964699" w14:textId="3301C21B" w:rsidR="00C01672" w:rsidRPr="001468A9" w:rsidRDefault="00C01672" w:rsidP="00C01672">
            <w:pPr>
              <w:pStyle w:val="TblTextCenter"/>
              <w:rPr>
                <w:lang w:val="en-AU"/>
              </w:rPr>
            </w:pPr>
            <w:r w:rsidRPr="001468A9">
              <w:rPr>
                <w:lang w:val="en-AU"/>
              </w:rPr>
              <w:t>once weekly</w:t>
            </w:r>
          </w:p>
        </w:tc>
        <w:tc>
          <w:tcPr>
            <w:tcW w:w="2288" w:type="dxa"/>
          </w:tcPr>
          <w:p w14:paraId="0E9291FA" w14:textId="77777777" w:rsidR="00C01672" w:rsidRPr="001468A9" w:rsidRDefault="00C01672" w:rsidP="00C01672">
            <w:pPr>
              <w:pStyle w:val="TblTextCenter"/>
              <w:rPr>
                <w:lang w:val="en-AU"/>
              </w:rPr>
            </w:pPr>
            <w:r w:rsidRPr="001468A9">
              <w:rPr>
                <w:lang w:val="en-AU"/>
              </w:rPr>
              <w:t>80 mg</w:t>
            </w:r>
          </w:p>
          <w:p w14:paraId="27F6CE02" w14:textId="77777777" w:rsidR="00C01672" w:rsidRPr="001468A9" w:rsidRDefault="00C01672" w:rsidP="00C01672">
            <w:pPr>
              <w:pStyle w:val="TblTextCenter"/>
              <w:rPr>
                <w:lang w:val="en-AU"/>
              </w:rPr>
            </w:pPr>
            <w:r w:rsidRPr="001468A9">
              <w:rPr>
                <w:lang w:val="en-AU"/>
              </w:rPr>
              <w:t>Days 1 and 3 of each week</w:t>
            </w:r>
          </w:p>
          <w:p w14:paraId="0323F205" w14:textId="4249E051" w:rsidR="00C01672" w:rsidRPr="001468A9" w:rsidRDefault="00C01672" w:rsidP="00C01672">
            <w:pPr>
              <w:pStyle w:val="TblTextCenter"/>
              <w:rPr>
                <w:lang w:val="en-AU"/>
              </w:rPr>
            </w:pPr>
            <w:r w:rsidRPr="001468A9">
              <w:rPr>
                <w:lang w:val="en-AU"/>
              </w:rPr>
              <w:t>(160 mg total per week)</w:t>
            </w:r>
          </w:p>
        </w:tc>
        <w:tc>
          <w:tcPr>
            <w:tcW w:w="2288" w:type="dxa"/>
          </w:tcPr>
          <w:p w14:paraId="0E550361" w14:textId="60F4B8B5" w:rsidR="00C01672" w:rsidRPr="001468A9" w:rsidRDefault="00C01672" w:rsidP="00C01672">
            <w:pPr>
              <w:pStyle w:val="TblTextCenter"/>
              <w:rPr>
                <w:lang w:val="en-AU"/>
              </w:rPr>
            </w:pPr>
          </w:p>
        </w:tc>
      </w:tr>
      <w:tr w:rsidR="00C01672" w:rsidRPr="00FA1502" w14:paraId="65459DE6" w14:textId="6E6F4B52" w:rsidTr="0077493B">
        <w:tc>
          <w:tcPr>
            <w:tcW w:w="2287" w:type="dxa"/>
          </w:tcPr>
          <w:p w14:paraId="7CA51B48" w14:textId="1072F239" w:rsidR="00C01672" w:rsidRPr="00FA1502" w:rsidRDefault="00C01672" w:rsidP="00C01672">
            <w:pPr>
              <w:pStyle w:val="TblHeadingLeft"/>
              <w:rPr>
                <w:noProof w:val="0"/>
                <w:lang w:val="en-AU"/>
              </w:rPr>
            </w:pPr>
            <w:r w:rsidRPr="00FA1502">
              <w:rPr>
                <w:noProof w:val="0"/>
                <w:lang w:val="en-AU"/>
              </w:rPr>
              <w:t>First reduction</w:t>
            </w:r>
          </w:p>
        </w:tc>
        <w:tc>
          <w:tcPr>
            <w:tcW w:w="2287" w:type="dxa"/>
          </w:tcPr>
          <w:p w14:paraId="6C19C0AE" w14:textId="77777777" w:rsidR="00C01672" w:rsidRPr="001468A9" w:rsidRDefault="00C01672" w:rsidP="00C01672">
            <w:pPr>
              <w:pStyle w:val="TblTextCenter"/>
              <w:rPr>
                <w:lang w:val="en-AU"/>
              </w:rPr>
            </w:pPr>
            <w:r w:rsidRPr="001468A9">
              <w:rPr>
                <w:lang w:val="en-AU"/>
              </w:rPr>
              <w:t xml:space="preserve">80 mg </w:t>
            </w:r>
          </w:p>
          <w:p w14:paraId="6514819B" w14:textId="5E7C92D4" w:rsidR="00C01672" w:rsidRPr="001468A9" w:rsidRDefault="00C01672" w:rsidP="00C01672">
            <w:pPr>
              <w:pStyle w:val="TblTextCenter"/>
              <w:rPr>
                <w:lang w:val="en-AU"/>
              </w:rPr>
            </w:pPr>
            <w:r w:rsidRPr="001468A9">
              <w:rPr>
                <w:lang w:val="en-AU"/>
              </w:rPr>
              <w:t>once weekly</w:t>
            </w:r>
          </w:p>
        </w:tc>
        <w:tc>
          <w:tcPr>
            <w:tcW w:w="2288" w:type="dxa"/>
          </w:tcPr>
          <w:p w14:paraId="272F691B" w14:textId="77777777" w:rsidR="00C01672" w:rsidRPr="001468A9" w:rsidRDefault="00C01672" w:rsidP="00C01672">
            <w:pPr>
              <w:pStyle w:val="TblTextCenter"/>
              <w:rPr>
                <w:lang w:val="en-AU"/>
              </w:rPr>
            </w:pPr>
            <w:r w:rsidRPr="001468A9">
              <w:rPr>
                <w:lang w:val="en-AU"/>
              </w:rPr>
              <w:t>100 mg</w:t>
            </w:r>
          </w:p>
          <w:p w14:paraId="12B28283" w14:textId="60DFF6F1" w:rsidR="00C01672" w:rsidRPr="001468A9" w:rsidRDefault="00C01672" w:rsidP="00C01672">
            <w:pPr>
              <w:pStyle w:val="TblTextCenter"/>
              <w:rPr>
                <w:lang w:val="en-AU"/>
              </w:rPr>
            </w:pPr>
            <w:r w:rsidRPr="001468A9">
              <w:rPr>
                <w:lang w:val="en-AU"/>
              </w:rPr>
              <w:t>once weekly</w:t>
            </w:r>
          </w:p>
        </w:tc>
        <w:tc>
          <w:tcPr>
            <w:tcW w:w="2288" w:type="dxa"/>
          </w:tcPr>
          <w:p w14:paraId="3EA973A3" w14:textId="045E88FC" w:rsidR="00C01672" w:rsidRPr="001468A9" w:rsidRDefault="00C01672" w:rsidP="00C01672">
            <w:pPr>
              <w:pStyle w:val="TblTextCenter"/>
              <w:rPr>
                <w:lang w:val="en-AU"/>
              </w:rPr>
            </w:pPr>
          </w:p>
        </w:tc>
      </w:tr>
      <w:tr w:rsidR="00C01672" w:rsidRPr="00FA1502" w14:paraId="4177A34B" w14:textId="05C60EF5" w:rsidTr="0077493B">
        <w:tc>
          <w:tcPr>
            <w:tcW w:w="2287" w:type="dxa"/>
          </w:tcPr>
          <w:p w14:paraId="3AC7773E" w14:textId="6A69275C" w:rsidR="00C01672" w:rsidRPr="00FA1502" w:rsidRDefault="00C01672" w:rsidP="00C01672">
            <w:pPr>
              <w:pStyle w:val="TblHeadingLeft"/>
              <w:rPr>
                <w:noProof w:val="0"/>
                <w:lang w:val="en-AU"/>
              </w:rPr>
            </w:pPr>
            <w:r w:rsidRPr="00FA1502">
              <w:rPr>
                <w:noProof w:val="0"/>
                <w:lang w:val="en-AU"/>
              </w:rPr>
              <w:t>Second reduction</w:t>
            </w:r>
          </w:p>
        </w:tc>
        <w:tc>
          <w:tcPr>
            <w:tcW w:w="2287" w:type="dxa"/>
          </w:tcPr>
          <w:p w14:paraId="05D14D0C" w14:textId="77777777" w:rsidR="00C01672" w:rsidRPr="001468A9" w:rsidRDefault="00C01672" w:rsidP="00C01672">
            <w:pPr>
              <w:pStyle w:val="TblTextCenter"/>
              <w:rPr>
                <w:lang w:val="en-AU"/>
              </w:rPr>
            </w:pPr>
            <w:r w:rsidRPr="001468A9">
              <w:rPr>
                <w:lang w:val="en-AU"/>
              </w:rPr>
              <w:t>60 mg</w:t>
            </w:r>
          </w:p>
          <w:p w14:paraId="11365493" w14:textId="163281DA" w:rsidR="00C01672" w:rsidRPr="001468A9" w:rsidRDefault="00C01672" w:rsidP="00C01672">
            <w:pPr>
              <w:pStyle w:val="TblTextCenter"/>
              <w:rPr>
                <w:lang w:val="en-AU"/>
              </w:rPr>
            </w:pPr>
            <w:r w:rsidRPr="001468A9">
              <w:rPr>
                <w:lang w:val="en-AU"/>
              </w:rPr>
              <w:t>once weekly</w:t>
            </w:r>
          </w:p>
        </w:tc>
        <w:tc>
          <w:tcPr>
            <w:tcW w:w="2288" w:type="dxa"/>
          </w:tcPr>
          <w:p w14:paraId="0B1155FE" w14:textId="77777777" w:rsidR="00C01672" w:rsidRPr="001468A9" w:rsidRDefault="00C01672" w:rsidP="00C01672">
            <w:pPr>
              <w:pStyle w:val="TblTextCenter"/>
              <w:rPr>
                <w:lang w:val="en-AU"/>
              </w:rPr>
            </w:pPr>
            <w:r w:rsidRPr="001468A9">
              <w:rPr>
                <w:lang w:val="en-AU"/>
              </w:rPr>
              <w:t>80 mg</w:t>
            </w:r>
          </w:p>
          <w:p w14:paraId="6DB485A3" w14:textId="331CADF7" w:rsidR="00C01672" w:rsidRPr="001468A9" w:rsidRDefault="00C01672" w:rsidP="00C01672">
            <w:pPr>
              <w:pStyle w:val="TblTextCenter"/>
              <w:rPr>
                <w:lang w:val="en-AU"/>
              </w:rPr>
            </w:pPr>
            <w:r w:rsidRPr="001468A9">
              <w:rPr>
                <w:lang w:val="en-AU"/>
              </w:rPr>
              <w:t>once weekly</w:t>
            </w:r>
          </w:p>
        </w:tc>
        <w:tc>
          <w:tcPr>
            <w:tcW w:w="2288" w:type="dxa"/>
          </w:tcPr>
          <w:p w14:paraId="1A387F35" w14:textId="29C20575" w:rsidR="00C01672" w:rsidRPr="001468A9" w:rsidRDefault="00C01672" w:rsidP="00C01672">
            <w:pPr>
              <w:pStyle w:val="TblTextCenter"/>
              <w:rPr>
                <w:lang w:val="en-AU"/>
              </w:rPr>
            </w:pPr>
          </w:p>
        </w:tc>
      </w:tr>
      <w:tr w:rsidR="00C01672" w:rsidRPr="00FA1502" w14:paraId="26CE0D4D" w14:textId="0474E28F" w:rsidTr="0077493B">
        <w:tc>
          <w:tcPr>
            <w:tcW w:w="2287" w:type="dxa"/>
          </w:tcPr>
          <w:p w14:paraId="25C04F70" w14:textId="0A7712D1" w:rsidR="00C01672" w:rsidRPr="00FA1502" w:rsidRDefault="00C01672" w:rsidP="00C01672">
            <w:pPr>
              <w:pStyle w:val="TblHeadingLeft"/>
              <w:rPr>
                <w:noProof w:val="0"/>
                <w:lang w:val="en-AU"/>
              </w:rPr>
            </w:pPr>
            <w:r w:rsidRPr="00FA1502">
              <w:rPr>
                <w:noProof w:val="0"/>
                <w:lang w:val="en-AU"/>
              </w:rPr>
              <w:t>Third reduction</w:t>
            </w:r>
          </w:p>
        </w:tc>
        <w:tc>
          <w:tcPr>
            <w:tcW w:w="2287" w:type="dxa"/>
          </w:tcPr>
          <w:p w14:paraId="546CDA6D" w14:textId="77777777" w:rsidR="00C01672" w:rsidRPr="001468A9" w:rsidRDefault="00C01672" w:rsidP="00C01672">
            <w:pPr>
              <w:pStyle w:val="TblTextCenter"/>
              <w:rPr>
                <w:lang w:val="en-AU"/>
              </w:rPr>
            </w:pPr>
            <w:r w:rsidRPr="001468A9">
              <w:rPr>
                <w:lang w:val="en-AU"/>
              </w:rPr>
              <w:t>40 mg</w:t>
            </w:r>
          </w:p>
          <w:p w14:paraId="5DB43156" w14:textId="5F70FCE0" w:rsidR="00C01672" w:rsidRPr="001468A9" w:rsidRDefault="00C01672" w:rsidP="00C01672">
            <w:pPr>
              <w:pStyle w:val="TblTextCenter"/>
              <w:rPr>
                <w:lang w:val="en-AU"/>
              </w:rPr>
            </w:pPr>
            <w:r w:rsidRPr="001468A9">
              <w:rPr>
                <w:lang w:val="en-AU"/>
              </w:rPr>
              <w:t>once weekly</w:t>
            </w:r>
          </w:p>
        </w:tc>
        <w:tc>
          <w:tcPr>
            <w:tcW w:w="2288" w:type="dxa"/>
          </w:tcPr>
          <w:p w14:paraId="6E4ABB83" w14:textId="77777777" w:rsidR="00C01672" w:rsidRPr="001468A9" w:rsidRDefault="00C01672" w:rsidP="00C01672">
            <w:pPr>
              <w:pStyle w:val="TblTextCenter"/>
              <w:rPr>
                <w:lang w:val="en-AU"/>
              </w:rPr>
            </w:pPr>
            <w:r w:rsidRPr="001468A9">
              <w:rPr>
                <w:lang w:val="en-AU"/>
              </w:rPr>
              <w:t>60 mg</w:t>
            </w:r>
          </w:p>
          <w:p w14:paraId="6F6F95AD" w14:textId="4408882D" w:rsidR="00C01672" w:rsidRPr="001468A9" w:rsidRDefault="00C01672" w:rsidP="00C01672">
            <w:pPr>
              <w:pStyle w:val="TblTextCenter"/>
              <w:rPr>
                <w:lang w:val="en-AU"/>
              </w:rPr>
            </w:pPr>
            <w:r w:rsidRPr="001468A9">
              <w:rPr>
                <w:lang w:val="en-AU"/>
              </w:rPr>
              <w:t>once weekly</w:t>
            </w:r>
          </w:p>
        </w:tc>
        <w:tc>
          <w:tcPr>
            <w:tcW w:w="2288" w:type="dxa"/>
          </w:tcPr>
          <w:p w14:paraId="1324344F" w14:textId="388B9617" w:rsidR="00C01672" w:rsidRPr="001468A9" w:rsidRDefault="00C01672" w:rsidP="00C01672">
            <w:pPr>
              <w:pStyle w:val="TblTextCenter"/>
              <w:rPr>
                <w:lang w:val="en-AU"/>
              </w:rPr>
            </w:pPr>
          </w:p>
        </w:tc>
      </w:tr>
      <w:tr w:rsidR="00C01672" w:rsidRPr="00FA1502" w14:paraId="28E8BD59" w14:textId="6EF7828E" w:rsidTr="0077493B">
        <w:tc>
          <w:tcPr>
            <w:tcW w:w="2287" w:type="dxa"/>
          </w:tcPr>
          <w:p w14:paraId="49E11BC3" w14:textId="14AEB0EA" w:rsidR="00C01672" w:rsidRPr="00FA1502" w:rsidRDefault="00C01672" w:rsidP="00C01672">
            <w:pPr>
              <w:pStyle w:val="TblHeadingLeft"/>
              <w:rPr>
                <w:noProof w:val="0"/>
                <w:lang w:val="en-AU"/>
              </w:rPr>
            </w:pPr>
            <w:r w:rsidRPr="00FA1502">
              <w:rPr>
                <w:noProof w:val="0"/>
                <w:lang w:val="en-AU"/>
              </w:rPr>
              <w:t>Fo</w:t>
            </w:r>
            <w:r w:rsidR="004E164D">
              <w:rPr>
                <w:noProof w:val="0"/>
                <w:lang w:val="en-AU"/>
              </w:rPr>
              <w:t>u</w:t>
            </w:r>
            <w:r w:rsidRPr="00FA1502">
              <w:rPr>
                <w:noProof w:val="0"/>
                <w:lang w:val="en-AU"/>
              </w:rPr>
              <w:t>rth reduction</w:t>
            </w:r>
            <w:r w:rsidR="000339D8">
              <w:rPr>
                <w:noProof w:val="0"/>
                <w:lang w:val="en-AU"/>
              </w:rPr>
              <w:t>*</w:t>
            </w:r>
          </w:p>
        </w:tc>
        <w:tc>
          <w:tcPr>
            <w:tcW w:w="2287" w:type="dxa"/>
          </w:tcPr>
          <w:p w14:paraId="5BF2EB0B" w14:textId="0CC5C87E" w:rsidR="00C01672" w:rsidRPr="001468A9" w:rsidRDefault="00C01672" w:rsidP="00C01672">
            <w:pPr>
              <w:pStyle w:val="TblTextCenter"/>
              <w:rPr>
                <w:lang w:val="en-AU"/>
              </w:rPr>
            </w:pPr>
            <w:r w:rsidRPr="001468A9">
              <w:rPr>
                <w:lang w:val="en-AU"/>
              </w:rPr>
              <w:t>Discontinue</w:t>
            </w:r>
          </w:p>
        </w:tc>
        <w:tc>
          <w:tcPr>
            <w:tcW w:w="2288" w:type="dxa"/>
          </w:tcPr>
          <w:p w14:paraId="7758E8D2" w14:textId="1AA94831" w:rsidR="00C01672" w:rsidRPr="001468A9" w:rsidRDefault="00C01672" w:rsidP="00C01672">
            <w:pPr>
              <w:pStyle w:val="TblTextCenter"/>
              <w:rPr>
                <w:lang w:val="en-AU"/>
              </w:rPr>
            </w:pPr>
            <w:r w:rsidRPr="001468A9">
              <w:rPr>
                <w:lang w:val="en-AU"/>
              </w:rPr>
              <w:t>Discontinue</w:t>
            </w:r>
          </w:p>
        </w:tc>
        <w:tc>
          <w:tcPr>
            <w:tcW w:w="2288" w:type="dxa"/>
          </w:tcPr>
          <w:p w14:paraId="285862D8" w14:textId="5E09D056" w:rsidR="00C01672" w:rsidRPr="001468A9" w:rsidRDefault="00C01672" w:rsidP="00C01672">
            <w:pPr>
              <w:pStyle w:val="TblTextCenter"/>
              <w:rPr>
                <w:lang w:val="en-AU"/>
              </w:rPr>
            </w:pPr>
          </w:p>
        </w:tc>
      </w:tr>
    </w:tbl>
    <w:p w14:paraId="0E4E0994" w14:textId="0F8C787F" w:rsidR="00DF6EF2" w:rsidRDefault="00DF6EF2" w:rsidP="00DF6EF2">
      <w:pPr>
        <w:pStyle w:val="TblFigFootnote"/>
        <w:rPr>
          <w:lang w:val="en-AU"/>
        </w:rPr>
      </w:pPr>
      <w:r w:rsidRPr="00FA1502">
        <w:rPr>
          <w:lang w:val="en-AU"/>
        </w:rPr>
        <w:t>*If symptoms do not resolve, treatment should be discontinued.</w:t>
      </w:r>
    </w:p>
    <w:p w14:paraId="1AF7520B" w14:textId="77777777" w:rsidR="00A00D1F" w:rsidRDefault="00A00D1F" w:rsidP="00DF6EF2">
      <w:pPr>
        <w:pStyle w:val="TblFigFootnote"/>
        <w:rPr>
          <w:lang w:val="en-AU"/>
        </w:rPr>
      </w:pPr>
    </w:p>
    <w:p w14:paraId="4BD5871D" w14:textId="77777777" w:rsidR="00A00D1F" w:rsidRDefault="00A00D1F" w:rsidP="00A00D1F">
      <w:pPr>
        <w:spacing w:before="0"/>
        <w:rPr>
          <w:lang w:val="en-AU"/>
        </w:rPr>
      </w:pPr>
      <w:r w:rsidRPr="00A00D1F">
        <w:rPr>
          <w:color w:val="auto"/>
          <w:sz w:val="23"/>
          <w:szCs w:val="23"/>
        </w:rPr>
        <w:t>For information regarding dosage modification of drugs given in combination with XPOVIO, see the drugs manufacturer’s Product Information.</w:t>
      </w:r>
    </w:p>
    <w:p w14:paraId="79584ED7" w14:textId="77777777" w:rsidR="00A00D1F" w:rsidRPr="00FA1502" w:rsidRDefault="00A00D1F" w:rsidP="00DF6EF2">
      <w:pPr>
        <w:pStyle w:val="TblFigFootnote"/>
        <w:rPr>
          <w:lang w:val="en-AU"/>
        </w:rPr>
      </w:pPr>
    </w:p>
    <w:p w14:paraId="4C3287BA" w14:textId="111EF74A" w:rsidR="00124389" w:rsidRPr="00FA1502" w:rsidRDefault="00A37EFE" w:rsidP="00A37EFE">
      <w:pPr>
        <w:pStyle w:val="Caption"/>
        <w:rPr>
          <w:lang w:val="en-AU"/>
        </w:rPr>
      </w:pPr>
      <w:bookmarkStart w:id="6" w:name="_Ref45718180"/>
      <w:bookmarkStart w:id="7" w:name="_Ref45718169"/>
      <w:bookmarkStart w:id="8" w:name="_Ref46993795"/>
      <w:r w:rsidRPr="00FA1502">
        <w:rPr>
          <w:lang w:val="en-AU"/>
        </w:rPr>
        <w:t>Table</w:t>
      </w:r>
      <w:r w:rsidR="008204EF">
        <w:rPr>
          <w:lang w:val="en-AU"/>
        </w:rPr>
        <w:t> </w:t>
      </w:r>
      <w:r w:rsidRPr="00FA1502">
        <w:rPr>
          <w:lang w:val="en-AU"/>
        </w:rPr>
        <w:fldChar w:fldCharType="begin"/>
      </w:r>
      <w:r w:rsidRPr="00FA1502">
        <w:rPr>
          <w:lang w:val="en-AU"/>
        </w:rPr>
        <w:instrText xml:space="preserve"> SEQ Table \* ARABIC </w:instrText>
      </w:r>
      <w:r w:rsidRPr="00FA1502">
        <w:rPr>
          <w:lang w:val="en-AU"/>
        </w:rPr>
        <w:fldChar w:fldCharType="separate"/>
      </w:r>
      <w:r w:rsidR="00F53F5F">
        <w:rPr>
          <w:noProof/>
          <w:lang w:val="en-AU"/>
        </w:rPr>
        <w:t>2</w:t>
      </w:r>
      <w:r w:rsidRPr="00FA1502">
        <w:rPr>
          <w:lang w:val="en-AU"/>
        </w:rPr>
        <w:fldChar w:fldCharType="end"/>
      </w:r>
      <w:bookmarkEnd w:id="6"/>
      <w:r w:rsidRPr="00FA1502">
        <w:rPr>
          <w:lang w:val="en-AU"/>
        </w:rPr>
        <w:t>: Dose modification guidelines for</w:t>
      </w:r>
      <w:r w:rsidR="00DF6EF2" w:rsidRPr="00FA1502">
        <w:rPr>
          <w:lang w:val="en-AU"/>
        </w:rPr>
        <w:t xml:space="preserve"> </w:t>
      </w:r>
      <w:r w:rsidR="00FA1502" w:rsidRPr="00FA1502">
        <w:rPr>
          <w:lang w:val="en-AU"/>
        </w:rPr>
        <w:t>haematologic</w:t>
      </w:r>
      <w:r w:rsidRPr="00FA1502">
        <w:rPr>
          <w:lang w:val="en-AU"/>
        </w:rPr>
        <w:t xml:space="preserve"> adverse reactions</w:t>
      </w:r>
      <w:bookmarkEnd w:id="7"/>
      <w:r w:rsidR="00DF6EF2" w:rsidRPr="00FA1502">
        <w:rPr>
          <w:lang w:val="en-AU"/>
        </w:rPr>
        <w:t xml:space="preserve"> in patients with multiple myeloma</w:t>
      </w:r>
      <w:bookmarkEnd w:id="8"/>
      <w:r w:rsidR="00C01672">
        <w:rPr>
          <w:lang w:val="en-AU"/>
        </w:rPr>
        <w:t xml:space="preserve"> </w:t>
      </w:r>
      <w:r w:rsidR="00C01672" w:rsidRPr="002B5FD1">
        <w:rPr>
          <w:lang w:val="en-AU"/>
        </w:rPr>
        <w:t xml:space="preserve">(both </w:t>
      </w:r>
      <w:proofErr w:type="spellStart"/>
      <w:r w:rsidR="00C01672" w:rsidRPr="002B5FD1">
        <w:rPr>
          <w:lang w:val="en-AU"/>
        </w:rPr>
        <w:t>SVd</w:t>
      </w:r>
      <w:proofErr w:type="spellEnd"/>
      <w:r w:rsidR="00C01672">
        <w:rPr>
          <w:lang w:val="en-AU"/>
        </w:rPr>
        <w:t xml:space="preserve"> and Sd combinations)</w:t>
      </w:r>
    </w:p>
    <w:tbl>
      <w:tblPr>
        <w:tblStyle w:val="TableGrid"/>
        <w:tblW w:w="9156" w:type="dxa"/>
        <w:tblLook w:val="04A0" w:firstRow="1" w:lastRow="0" w:firstColumn="1" w:lastColumn="0" w:noHBand="0" w:noVBand="1"/>
      </w:tblPr>
      <w:tblGrid>
        <w:gridCol w:w="2532"/>
        <w:gridCol w:w="1216"/>
        <w:gridCol w:w="5408"/>
      </w:tblGrid>
      <w:tr w:rsidR="00A37EFE" w:rsidRPr="005E3646" w14:paraId="7E5CF353" w14:textId="77777777" w:rsidTr="00453043">
        <w:trPr>
          <w:tblHeader/>
        </w:trPr>
        <w:tc>
          <w:tcPr>
            <w:tcW w:w="2532" w:type="dxa"/>
          </w:tcPr>
          <w:p w14:paraId="6C06D497" w14:textId="39949208" w:rsidR="00A37EFE" w:rsidRPr="001468A9" w:rsidRDefault="00A37EFE" w:rsidP="003E4B29">
            <w:pPr>
              <w:pStyle w:val="TblHeadingCenter"/>
              <w:rPr>
                <w:noProof w:val="0"/>
                <w:lang w:val="en-AU"/>
              </w:rPr>
            </w:pPr>
            <w:r w:rsidRPr="001468A9">
              <w:rPr>
                <w:noProof w:val="0"/>
                <w:lang w:val="en-AU"/>
              </w:rPr>
              <w:t>Adverse reaction*</w:t>
            </w:r>
          </w:p>
        </w:tc>
        <w:tc>
          <w:tcPr>
            <w:tcW w:w="1216" w:type="dxa"/>
          </w:tcPr>
          <w:p w14:paraId="5D16982B" w14:textId="7A82A910" w:rsidR="00A37EFE" w:rsidRPr="001468A9" w:rsidRDefault="00FA1502" w:rsidP="003E4B29">
            <w:pPr>
              <w:pStyle w:val="TblHeadingCenter"/>
              <w:rPr>
                <w:noProof w:val="0"/>
                <w:lang w:val="en-AU"/>
              </w:rPr>
            </w:pPr>
            <w:r w:rsidRPr="001468A9">
              <w:rPr>
                <w:noProof w:val="0"/>
                <w:lang w:val="en-AU"/>
              </w:rPr>
              <w:t>Occurrence</w:t>
            </w:r>
          </w:p>
        </w:tc>
        <w:tc>
          <w:tcPr>
            <w:tcW w:w="5408" w:type="dxa"/>
          </w:tcPr>
          <w:p w14:paraId="46D89871" w14:textId="281E2BEB" w:rsidR="00A37EFE" w:rsidRPr="001468A9" w:rsidRDefault="00A37EFE" w:rsidP="003E4B29">
            <w:pPr>
              <w:pStyle w:val="TblHeadingCenter"/>
              <w:rPr>
                <w:noProof w:val="0"/>
                <w:lang w:val="en-AU"/>
              </w:rPr>
            </w:pPr>
            <w:r w:rsidRPr="001468A9">
              <w:rPr>
                <w:noProof w:val="0"/>
                <w:lang w:val="en-AU"/>
              </w:rPr>
              <w:t>Action</w:t>
            </w:r>
          </w:p>
        </w:tc>
      </w:tr>
      <w:tr w:rsidR="00A37EFE" w:rsidRPr="005E3646" w14:paraId="62ABE8F0" w14:textId="77777777" w:rsidTr="00453043">
        <w:trPr>
          <w:tblHeader/>
        </w:trPr>
        <w:tc>
          <w:tcPr>
            <w:tcW w:w="9156" w:type="dxa"/>
            <w:gridSpan w:val="3"/>
          </w:tcPr>
          <w:p w14:paraId="0DAA8B3A" w14:textId="73E43D7B" w:rsidR="00A37EFE" w:rsidRPr="001468A9" w:rsidRDefault="00FA1502" w:rsidP="00DB3E73">
            <w:pPr>
              <w:pStyle w:val="TblHeadingCenter"/>
              <w:keepNext/>
              <w:rPr>
                <w:noProof w:val="0"/>
                <w:lang w:val="en-AU"/>
              </w:rPr>
            </w:pPr>
            <w:r w:rsidRPr="001468A9">
              <w:rPr>
                <w:noProof w:val="0"/>
                <w:lang w:val="en-AU"/>
              </w:rPr>
              <w:t>Haematologic</w:t>
            </w:r>
            <w:r w:rsidR="00A37EFE" w:rsidRPr="001468A9">
              <w:rPr>
                <w:noProof w:val="0"/>
                <w:lang w:val="en-AU"/>
              </w:rPr>
              <w:t xml:space="preserve"> adverse reactions</w:t>
            </w:r>
          </w:p>
        </w:tc>
      </w:tr>
      <w:tr w:rsidR="00A37EFE" w:rsidRPr="005E3646" w14:paraId="0BF5DA70" w14:textId="77777777" w:rsidTr="00453043">
        <w:tc>
          <w:tcPr>
            <w:tcW w:w="9156" w:type="dxa"/>
            <w:gridSpan w:val="3"/>
          </w:tcPr>
          <w:p w14:paraId="17289C03" w14:textId="6D512ADC" w:rsidR="00A37EFE" w:rsidRPr="001468A9" w:rsidRDefault="00A37EFE" w:rsidP="00DB3E73">
            <w:pPr>
              <w:pStyle w:val="TblTextLeft"/>
              <w:keepNext/>
              <w:rPr>
                <w:lang w:val="en-AU"/>
              </w:rPr>
            </w:pPr>
            <w:r w:rsidRPr="001468A9">
              <w:rPr>
                <w:lang w:val="en-AU"/>
              </w:rPr>
              <w:t>Thrombocytopenia</w:t>
            </w:r>
          </w:p>
        </w:tc>
      </w:tr>
      <w:tr w:rsidR="00A37EFE" w:rsidRPr="005E3646" w14:paraId="365BA390" w14:textId="77777777" w:rsidTr="00453043">
        <w:tc>
          <w:tcPr>
            <w:tcW w:w="2532" w:type="dxa"/>
          </w:tcPr>
          <w:p w14:paraId="71C9A8C4" w14:textId="398A673B" w:rsidR="00A37EFE" w:rsidRPr="001468A9" w:rsidRDefault="00A37EFE" w:rsidP="003E4B29">
            <w:pPr>
              <w:pStyle w:val="TblTextLeft"/>
              <w:rPr>
                <w:lang w:val="en-AU"/>
              </w:rPr>
            </w:pPr>
            <w:r w:rsidRPr="001468A9">
              <w:rPr>
                <w:lang w:val="en-AU"/>
              </w:rPr>
              <w:t>Platelet count 25,000 to less than 75,000/</w:t>
            </w:r>
            <w:r w:rsidR="00852C26">
              <w:rPr>
                <w:lang w:val="en-AU"/>
              </w:rPr>
              <w:t>µ</w:t>
            </w:r>
            <w:r w:rsidRPr="001468A9">
              <w:rPr>
                <w:lang w:val="en-AU"/>
              </w:rPr>
              <w:t xml:space="preserve">L </w:t>
            </w:r>
          </w:p>
        </w:tc>
        <w:tc>
          <w:tcPr>
            <w:tcW w:w="1216" w:type="dxa"/>
          </w:tcPr>
          <w:p w14:paraId="605C5C3D" w14:textId="53FD00E4" w:rsidR="00A37EFE" w:rsidRPr="001468A9" w:rsidRDefault="00A37EFE" w:rsidP="003E4B29">
            <w:pPr>
              <w:pStyle w:val="TblTextLeft"/>
              <w:rPr>
                <w:lang w:val="en-AU"/>
              </w:rPr>
            </w:pPr>
            <w:r w:rsidRPr="001468A9">
              <w:rPr>
                <w:lang w:val="en-AU"/>
              </w:rPr>
              <w:t xml:space="preserve">Any </w:t>
            </w:r>
          </w:p>
        </w:tc>
        <w:tc>
          <w:tcPr>
            <w:tcW w:w="5408" w:type="dxa"/>
          </w:tcPr>
          <w:p w14:paraId="524B85DF" w14:textId="545A5951" w:rsidR="00A37EFE" w:rsidRPr="001468A9" w:rsidRDefault="00A37EFE" w:rsidP="003812A8">
            <w:pPr>
              <w:pStyle w:val="TblTextLeft"/>
              <w:numPr>
                <w:ilvl w:val="0"/>
                <w:numId w:val="9"/>
              </w:numPr>
              <w:ind w:left="142" w:hanging="142"/>
              <w:rPr>
                <w:lang w:val="en-AU"/>
              </w:rPr>
            </w:pPr>
            <w:r w:rsidRPr="001468A9">
              <w:rPr>
                <w:lang w:val="en-AU"/>
              </w:rPr>
              <w:t xml:space="preserve">Reduce </w:t>
            </w:r>
            <w:r w:rsidR="0087503D">
              <w:rPr>
                <w:lang w:val="en-AU"/>
              </w:rPr>
              <w:t>XPOVIO</w:t>
            </w:r>
            <w:r w:rsidRPr="001468A9">
              <w:rPr>
                <w:lang w:val="en-AU"/>
              </w:rPr>
              <w:t xml:space="preserve"> by 1 dose level (see</w:t>
            </w:r>
            <w:r w:rsidR="00FA1502" w:rsidRPr="001468A9">
              <w:rPr>
                <w:lang w:val="en-AU"/>
              </w:rPr>
              <w:t xml:space="preserve"> </w:t>
            </w:r>
            <w:r w:rsidR="00FA1502" w:rsidRPr="001468A9">
              <w:rPr>
                <w:lang w:val="en-AU"/>
              </w:rPr>
              <w:fldChar w:fldCharType="begin"/>
            </w:r>
            <w:r w:rsidR="00FA1502" w:rsidRPr="001468A9">
              <w:rPr>
                <w:lang w:val="en-AU"/>
              </w:rPr>
              <w:instrText xml:space="preserve"> REF _Ref45711620 \h  \* MERGEFORMAT </w:instrText>
            </w:r>
            <w:r w:rsidR="00FA1502" w:rsidRPr="001468A9">
              <w:rPr>
                <w:lang w:val="en-AU"/>
              </w:rPr>
            </w:r>
            <w:r w:rsidR="00FA1502" w:rsidRPr="001468A9">
              <w:rPr>
                <w:lang w:val="en-AU"/>
              </w:rPr>
              <w:fldChar w:fldCharType="separate"/>
            </w:r>
            <w:r w:rsidR="00F53F5F" w:rsidRPr="00FA1502">
              <w:rPr>
                <w:lang w:val="en-AU"/>
              </w:rPr>
              <w:t>Table</w:t>
            </w:r>
            <w:r w:rsidR="00F53F5F">
              <w:rPr>
                <w:lang w:val="en-AU"/>
              </w:rPr>
              <w:t> 1</w:t>
            </w:r>
            <w:r w:rsidR="00FA1502" w:rsidRPr="001468A9">
              <w:rPr>
                <w:lang w:val="en-AU"/>
              </w:rPr>
              <w:fldChar w:fldCharType="end"/>
            </w:r>
            <w:r w:rsidRPr="001468A9">
              <w:rPr>
                <w:lang w:val="en-AU"/>
              </w:rPr>
              <w:t xml:space="preserve">). </w:t>
            </w:r>
          </w:p>
        </w:tc>
      </w:tr>
      <w:tr w:rsidR="00A37EFE" w:rsidRPr="005E3646" w14:paraId="2F9E5034" w14:textId="77777777" w:rsidTr="00453043">
        <w:tc>
          <w:tcPr>
            <w:tcW w:w="2532" w:type="dxa"/>
          </w:tcPr>
          <w:p w14:paraId="749EA633" w14:textId="0DA7232B" w:rsidR="00A37EFE" w:rsidRPr="001468A9" w:rsidRDefault="00A37EFE" w:rsidP="003E4B29">
            <w:pPr>
              <w:pStyle w:val="TblTextLeft"/>
              <w:rPr>
                <w:lang w:val="en-AU"/>
              </w:rPr>
            </w:pPr>
            <w:r w:rsidRPr="001468A9">
              <w:rPr>
                <w:lang w:val="en-AU"/>
              </w:rPr>
              <w:t>Platelet count 25,000 to less than 75,000/</w:t>
            </w:r>
            <w:r w:rsidR="00852C26">
              <w:rPr>
                <w:lang w:val="en-AU"/>
              </w:rPr>
              <w:t>µ</w:t>
            </w:r>
            <w:r w:rsidRPr="001468A9">
              <w:rPr>
                <w:lang w:val="en-AU"/>
              </w:rPr>
              <w:t xml:space="preserve">L with concurrent bleeding </w:t>
            </w:r>
          </w:p>
        </w:tc>
        <w:tc>
          <w:tcPr>
            <w:tcW w:w="1216" w:type="dxa"/>
          </w:tcPr>
          <w:p w14:paraId="055AD908" w14:textId="6A3B64E5" w:rsidR="00A37EFE" w:rsidRPr="001468A9" w:rsidRDefault="00A37EFE" w:rsidP="003E4B29">
            <w:pPr>
              <w:pStyle w:val="TblTextLeft"/>
              <w:rPr>
                <w:lang w:val="en-AU"/>
              </w:rPr>
            </w:pPr>
            <w:r w:rsidRPr="001468A9">
              <w:rPr>
                <w:lang w:val="en-AU"/>
              </w:rPr>
              <w:t xml:space="preserve">Any </w:t>
            </w:r>
          </w:p>
        </w:tc>
        <w:tc>
          <w:tcPr>
            <w:tcW w:w="5408" w:type="dxa"/>
          </w:tcPr>
          <w:p w14:paraId="5A38D9DE" w14:textId="48CA345A" w:rsidR="00A37EFE" w:rsidRPr="001468A9" w:rsidRDefault="00A37EFE" w:rsidP="003812A8">
            <w:pPr>
              <w:pStyle w:val="TblTextLeft"/>
              <w:numPr>
                <w:ilvl w:val="0"/>
                <w:numId w:val="9"/>
              </w:numPr>
              <w:ind w:left="142" w:hanging="142"/>
              <w:rPr>
                <w:lang w:val="en-AU"/>
              </w:rPr>
            </w:pPr>
            <w:r w:rsidRPr="001468A9">
              <w:rPr>
                <w:lang w:val="en-AU"/>
              </w:rPr>
              <w:t xml:space="preserve">Interrupt </w:t>
            </w:r>
            <w:r w:rsidR="0087503D">
              <w:rPr>
                <w:lang w:val="en-AU"/>
              </w:rPr>
              <w:t>XPOVIO</w:t>
            </w:r>
            <w:r w:rsidRPr="001468A9">
              <w:rPr>
                <w:lang w:val="en-AU"/>
              </w:rPr>
              <w:t xml:space="preserve">. </w:t>
            </w:r>
          </w:p>
          <w:p w14:paraId="0944CDF8" w14:textId="26A4B952" w:rsidR="00A37EFE" w:rsidRPr="001468A9" w:rsidRDefault="00A37EFE" w:rsidP="003812A8">
            <w:pPr>
              <w:pStyle w:val="TblTextLeft"/>
              <w:numPr>
                <w:ilvl w:val="0"/>
                <w:numId w:val="9"/>
              </w:numPr>
              <w:ind w:left="142" w:hanging="142"/>
              <w:rPr>
                <w:lang w:val="en-AU"/>
              </w:rPr>
            </w:pPr>
            <w:r w:rsidRPr="001468A9">
              <w:rPr>
                <w:lang w:val="en-AU"/>
              </w:rPr>
              <w:t xml:space="preserve">Restart </w:t>
            </w:r>
            <w:r w:rsidR="0087503D">
              <w:rPr>
                <w:lang w:val="en-AU"/>
              </w:rPr>
              <w:t>XPOVIO</w:t>
            </w:r>
            <w:r w:rsidRPr="001468A9">
              <w:rPr>
                <w:lang w:val="en-AU"/>
              </w:rPr>
              <w:t xml:space="preserve"> at 1 dose level lower (see</w:t>
            </w:r>
            <w:r w:rsidR="00FA1502" w:rsidRPr="001468A9">
              <w:rPr>
                <w:lang w:val="en-AU"/>
              </w:rPr>
              <w:t xml:space="preserve"> </w:t>
            </w:r>
            <w:r w:rsidR="00FA1502" w:rsidRPr="001468A9">
              <w:rPr>
                <w:lang w:val="en-AU"/>
              </w:rPr>
              <w:fldChar w:fldCharType="begin"/>
            </w:r>
            <w:r w:rsidR="00FA1502" w:rsidRPr="001468A9">
              <w:rPr>
                <w:lang w:val="en-AU"/>
              </w:rPr>
              <w:instrText xml:space="preserve"> REF _Ref45711620 \h  \* MERGEFORMAT </w:instrText>
            </w:r>
            <w:r w:rsidR="00FA1502" w:rsidRPr="001468A9">
              <w:rPr>
                <w:lang w:val="en-AU"/>
              </w:rPr>
            </w:r>
            <w:r w:rsidR="00FA1502" w:rsidRPr="001468A9">
              <w:rPr>
                <w:lang w:val="en-AU"/>
              </w:rPr>
              <w:fldChar w:fldCharType="separate"/>
            </w:r>
            <w:r w:rsidR="00F53F5F" w:rsidRPr="00FA1502">
              <w:rPr>
                <w:lang w:val="en-AU"/>
              </w:rPr>
              <w:t>Table</w:t>
            </w:r>
            <w:r w:rsidR="00F53F5F">
              <w:rPr>
                <w:lang w:val="en-AU"/>
              </w:rPr>
              <w:t> 1</w:t>
            </w:r>
            <w:r w:rsidR="00FA1502" w:rsidRPr="001468A9">
              <w:rPr>
                <w:lang w:val="en-AU"/>
              </w:rPr>
              <w:fldChar w:fldCharType="end"/>
            </w:r>
            <w:r w:rsidRPr="001468A9">
              <w:rPr>
                <w:lang w:val="en-AU"/>
              </w:rPr>
              <w:t xml:space="preserve">), after bleeding has resolved. </w:t>
            </w:r>
          </w:p>
        </w:tc>
      </w:tr>
      <w:tr w:rsidR="00A37EFE" w:rsidRPr="005E3646" w14:paraId="4D46379A" w14:textId="77777777" w:rsidTr="00453043">
        <w:tc>
          <w:tcPr>
            <w:tcW w:w="2532" w:type="dxa"/>
          </w:tcPr>
          <w:p w14:paraId="67779BB4" w14:textId="5FFCEF34" w:rsidR="00A37EFE" w:rsidRPr="001468A9" w:rsidRDefault="00A37EFE" w:rsidP="003E4B29">
            <w:pPr>
              <w:pStyle w:val="TblTextLeft"/>
              <w:rPr>
                <w:lang w:val="en-AU"/>
              </w:rPr>
            </w:pPr>
            <w:r w:rsidRPr="001468A9">
              <w:rPr>
                <w:lang w:val="en-AU"/>
              </w:rPr>
              <w:t>Platelet count less than 25,000/</w:t>
            </w:r>
            <w:r w:rsidR="00852C26">
              <w:rPr>
                <w:lang w:val="en-AU"/>
              </w:rPr>
              <w:t>µ</w:t>
            </w:r>
            <w:r w:rsidRPr="001468A9">
              <w:rPr>
                <w:lang w:val="en-AU"/>
              </w:rPr>
              <w:t xml:space="preserve">L </w:t>
            </w:r>
          </w:p>
        </w:tc>
        <w:tc>
          <w:tcPr>
            <w:tcW w:w="1216" w:type="dxa"/>
          </w:tcPr>
          <w:p w14:paraId="729D26CC" w14:textId="1E2B6958" w:rsidR="00A37EFE" w:rsidRPr="001468A9" w:rsidRDefault="00A37EFE" w:rsidP="003E4B29">
            <w:pPr>
              <w:pStyle w:val="TblTextLeft"/>
              <w:rPr>
                <w:lang w:val="en-AU"/>
              </w:rPr>
            </w:pPr>
            <w:r w:rsidRPr="001468A9">
              <w:rPr>
                <w:lang w:val="en-AU"/>
              </w:rPr>
              <w:t xml:space="preserve">Any </w:t>
            </w:r>
          </w:p>
        </w:tc>
        <w:tc>
          <w:tcPr>
            <w:tcW w:w="5408" w:type="dxa"/>
          </w:tcPr>
          <w:p w14:paraId="62DF8066" w14:textId="384D049C" w:rsidR="00A37EFE" w:rsidRPr="001468A9" w:rsidRDefault="00A37EFE" w:rsidP="003812A8">
            <w:pPr>
              <w:pStyle w:val="TblTextLeft"/>
              <w:numPr>
                <w:ilvl w:val="0"/>
                <w:numId w:val="9"/>
              </w:numPr>
              <w:ind w:left="142" w:hanging="142"/>
              <w:rPr>
                <w:lang w:val="en-AU"/>
              </w:rPr>
            </w:pPr>
            <w:r w:rsidRPr="001468A9">
              <w:rPr>
                <w:lang w:val="en-AU"/>
              </w:rPr>
              <w:t xml:space="preserve">Interrupt </w:t>
            </w:r>
            <w:r w:rsidR="0087503D">
              <w:rPr>
                <w:lang w:val="en-AU"/>
              </w:rPr>
              <w:t>XPOVIO</w:t>
            </w:r>
            <w:r w:rsidRPr="001468A9">
              <w:rPr>
                <w:lang w:val="en-AU"/>
              </w:rPr>
              <w:t xml:space="preserve">. </w:t>
            </w:r>
          </w:p>
          <w:p w14:paraId="334DAAEA" w14:textId="05717BC8" w:rsidR="00A37EFE" w:rsidRPr="001468A9" w:rsidRDefault="00A37EFE" w:rsidP="003812A8">
            <w:pPr>
              <w:pStyle w:val="TblTextLeft"/>
              <w:numPr>
                <w:ilvl w:val="0"/>
                <w:numId w:val="9"/>
              </w:numPr>
              <w:ind w:left="142" w:hanging="142"/>
              <w:rPr>
                <w:lang w:val="en-AU"/>
              </w:rPr>
            </w:pPr>
            <w:r w:rsidRPr="001468A9">
              <w:rPr>
                <w:lang w:val="en-AU"/>
              </w:rPr>
              <w:t>Monitor until platelet count returns to at least 50,000/</w:t>
            </w:r>
            <w:r w:rsidR="00A213CF">
              <w:rPr>
                <w:lang w:val="en-AU"/>
              </w:rPr>
              <w:t>µ</w:t>
            </w:r>
            <w:r w:rsidRPr="001468A9">
              <w:rPr>
                <w:lang w:val="en-AU"/>
              </w:rPr>
              <w:t xml:space="preserve">L. </w:t>
            </w:r>
          </w:p>
          <w:p w14:paraId="11E65B38" w14:textId="1D7BD698" w:rsidR="00A37EFE" w:rsidRPr="001468A9" w:rsidRDefault="00A37EFE" w:rsidP="003812A8">
            <w:pPr>
              <w:pStyle w:val="TblTextLeft"/>
              <w:numPr>
                <w:ilvl w:val="0"/>
                <w:numId w:val="9"/>
              </w:numPr>
              <w:ind w:left="142" w:hanging="142"/>
              <w:rPr>
                <w:lang w:val="en-AU"/>
              </w:rPr>
            </w:pPr>
            <w:r w:rsidRPr="001468A9">
              <w:rPr>
                <w:lang w:val="en-AU"/>
              </w:rPr>
              <w:t xml:space="preserve">Restart </w:t>
            </w:r>
            <w:r w:rsidR="0087503D">
              <w:rPr>
                <w:lang w:val="en-AU"/>
              </w:rPr>
              <w:t>XPOVIO</w:t>
            </w:r>
            <w:r w:rsidRPr="001468A9">
              <w:rPr>
                <w:lang w:val="en-AU"/>
              </w:rPr>
              <w:t xml:space="preserve"> at 1 dose level lower (see</w:t>
            </w:r>
            <w:r w:rsidR="00FA1502" w:rsidRPr="001468A9">
              <w:rPr>
                <w:lang w:val="en-AU"/>
              </w:rPr>
              <w:t xml:space="preserve"> </w:t>
            </w:r>
            <w:r w:rsidR="00FA1502" w:rsidRPr="001468A9">
              <w:rPr>
                <w:lang w:val="en-AU"/>
              </w:rPr>
              <w:fldChar w:fldCharType="begin"/>
            </w:r>
            <w:r w:rsidR="00FA1502" w:rsidRPr="001468A9">
              <w:rPr>
                <w:lang w:val="en-AU"/>
              </w:rPr>
              <w:instrText xml:space="preserve"> REF _Ref45711620 \h  \* MERGEFORMAT </w:instrText>
            </w:r>
            <w:r w:rsidR="00FA1502" w:rsidRPr="001468A9">
              <w:rPr>
                <w:lang w:val="en-AU"/>
              </w:rPr>
            </w:r>
            <w:r w:rsidR="00FA1502" w:rsidRPr="001468A9">
              <w:rPr>
                <w:lang w:val="en-AU"/>
              </w:rPr>
              <w:fldChar w:fldCharType="separate"/>
            </w:r>
            <w:r w:rsidR="00F53F5F" w:rsidRPr="00FA1502">
              <w:rPr>
                <w:lang w:val="en-AU"/>
              </w:rPr>
              <w:t>Table</w:t>
            </w:r>
            <w:r w:rsidR="00F53F5F">
              <w:rPr>
                <w:lang w:val="en-AU"/>
              </w:rPr>
              <w:t> 1</w:t>
            </w:r>
            <w:r w:rsidR="00FA1502" w:rsidRPr="001468A9">
              <w:rPr>
                <w:lang w:val="en-AU"/>
              </w:rPr>
              <w:fldChar w:fldCharType="end"/>
            </w:r>
            <w:r w:rsidRPr="001468A9">
              <w:rPr>
                <w:lang w:val="en-AU"/>
              </w:rPr>
              <w:t xml:space="preserve">). </w:t>
            </w:r>
          </w:p>
        </w:tc>
      </w:tr>
      <w:tr w:rsidR="003E4B29" w:rsidRPr="005E3646" w14:paraId="3034F0CD" w14:textId="77777777" w:rsidTr="00453043">
        <w:tc>
          <w:tcPr>
            <w:tcW w:w="9156" w:type="dxa"/>
            <w:gridSpan w:val="3"/>
          </w:tcPr>
          <w:p w14:paraId="60BC3B1F" w14:textId="6E9A70E4" w:rsidR="003E4B29" w:rsidRPr="001468A9" w:rsidRDefault="003E4B29" w:rsidP="00DB3E73">
            <w:pPr>
              <w:pStyle w:val="TblTextLeft"/>
              <w:keepNext/>
              <w:rPr>
                <w:lang w:val="en-AU"/>
              </w:rPr>
            </w:pPr>
            <w:r w:rsidRPr="001468A9">
              <w:rPr>
                <w:lang w:val="en-AU"/>
              </w:rPr>
              <w:t>Neutropenia</w:t>
            </w:r>
          </w:p>
        </w:tc>
      </w:tr>
      <w:tr w:rsidR="003E4B29" w:rsidRPr="005E3646" w14:paraId="76385127" w14:textId="77777777" w:rsidTr="00453043">
        <w:tc>
          <w:tcPr>
            <w:tcW w:w="2532" w:type="dxa"/>
          </w:tcPr>
          <w:p w14:paraId="7A06A875" w14:textId="60723690" w:rsidR="003E4B29" w:rsidRPr="001468A9" w:rsidRDefault="003E4B29" w:rsidP="003E4B29">
            <w:pPr>
              <w:pStyle w:val="TblTextLeft"/>
              <w:rPr>
                <w:lang w:val="en-AU"/>
              </w:rPr>
            </w:pPr>
            <w:r w:rsidRPr="001468A9">
              <w:rPr>
                <w:lang w:val="en-AU"/>
              </w:rPr>
              <w:t>Absolute neutrophil count of 0.5 to 1.0 x 10</w:t>
            </w:r>
            <w:r w:rsidRPr="001468A9">
              <w:rPr>
                <w:vertAlign w:val="superscript"/>
                <w:lang w:val="en-AU"/>
              </w:rPr>
              <w:t>9</w:t>
            </w:r>
            <w:r w:rsidRPr="001468A9">
              <w:rPr>
                <w:lang w:val="en-AU"/>
              </w:rPr>
              <w:t xml:space="preserve">/L without fever </w:t>
            </w:r>
          </w:p>
        </w:tc>
        <w:tc>
          <w:tcPr>
            <w:tcW w:w="1216" w:type="dxa"/>
          </w:tcPr>
          <w:p w14:paraId="6C799559" w14:textId="18A4118D" w:rsidR="003E4B29" w:rsidRPr="001468A9" w:rsidRDefault="003E4B29" w:rsidP="003E4B29">
            <w:pPr>
              <w:pStyle w:val="TblTextLeft"/>
              <w:rPr>
                <w:lang w:val="en-AU"/>
              </w:rPr>
            </w:pPr>
            <w:r w:rsidRPr="001468A9">
              <w:rPr>
                <w:lang w:val="en-AU"/>
              </w:rPr>
              <w:t xml:space="preserve">Any </w:t>
            </w:r>
          </w:p>
        </w:tc>
        <w:tc>
          <w:tcPr>
            <w:tcW w:w="5408" w:type="dxa"/>
          </w:tcPr>
          <w:p w14:paraId="0F63797C" w14:textId="418DBC7E" w:rsidR="003E4B29" w:rsidRPr="001468A9" w:rsidRDefault="003E4B29" w:rsidP="003812A8">
            <w:pPr>
              <w:pStyle w:val="TblTextLeft"/>
              <w:numPr>
                <w:ilvl w:val="0"/>
                <w:numId w:val="9"/>
              </w:numPr>
              <w:ind w:left="142" w:hanging="142"/>
              <w:rPr>
                <w:lang w:val="en-AU"/>
              </w:rPr>
            </w:pPr>
            <w:r w:rsidRPr="001468A9">
              <w:rPr>
                <w:lang w:val="en-AU"/>
              </w:rPr>
              <w:t xml:space="preserve">Reduce </w:t>
            </w:r>
            <w:r w:rsidR="0087503D">
              <w:rPr>
                <w:lang w:val="en-AU"/>
              </w:rPr>
              <w:t>XPOVIO</w:t>
            </w:r>
            <w:r w:rsidRPr="001468A9">
              <w:rPr>
                <w:lang w:val="en-AU"/>
              </w:rPr>
              <w:t xml:space="preserve"> by 1 dose level (see </w:t>
            </w:r>
            <w:r w:rsidRPr="001468A9">
              <w:rPr>
                <w:lang w:val="en-AU"/>
              </w:rPr>
              <w:fldChar w:fldCharType="begin"/>
            </w:r>
            <w:r w:rsidRPr="001468A9">
              <w:rPr>
                <w:lang w:val="en-AU"/>
              </w:rPr>
              <w:instrText xml:space="preserve"> REF _Ref45711620 \h </w:instrText>
            </w:r>
            <w:r w:rsidR="00DB3E73" w:rsidRPr="001468A9">
              <w:rPr>
                <w:lang w:val="en-AU"/>
              </w:rPr>
              <w:instrText xml:space="preserve"> \* MERGEFORMAT </w:instrText>
            </w:r>
            <w:r w:rsidRPr="001468A9">
              <w:rPr>
                <w:lang w:val="en-AU"/>
              </w:rPr>
            </w:r>
            <w:r w:rsidRPr="001468A9">
              <w:rPr>
                <w:lang w:val="en-AU"/>
              </w:rPr>
              <w:fldChar w:fldCharType="separate"/>
            </w:r>
            <w:r w:rsidR="00F53F5F" w:rsidRPr="00FA1502">
              <w:rPr>
                <w:lang w:val="en-AU"/>
              </w:rPr>
              <w:t>Table</w:t>
            </w:r>
            <w:r w:rsidR="00F53F5F">
              <w:rPr>
                <w:lang w:val="en-AU"/>
              </w:rPr>
              <w:t> 1</w:t>
            </w:r>
            <w:r w:rsidRPr="001468A9">
              <w:rPr>
                <w:lang w:val="en-AU"/>
              </w:rPr>
              <w:fldChar w:fldCharType="end"/>
            </w:r>
            <w:r w:rsidRPr="001468A9">
              <w:rPr>
                <w:lang w:val="en-AU"/>
              </w:rPr>
              <w:t xml:space="preserve">). </w:t>
            </w:r>
          </w:p>
        </w:tc>
      </w:tr>
      <w:tr w:rsidR="003E4B29" w:rsidRPr="005E3646" w14:paraId="03043A0F" w14:textId="77777777" w:rsidTr="00453043">
        <w:tc>
          <w:tcPr>
            <w:tcW w:w="2532" w:type="dxa"/>
          </w:tcPr>
          <w:p w14:paraId="10250B3C" w14:textId="77777777" w:rsidR="003E4B29" w:rsidRPr="001468A9" w:rsidRDefault="003E4B29" w:rsidP="003E4B29">
            <w:pPr>
              <w:pStyle w:val="TblTextLeft"/>
              <w:rPr>
                <w:lang w:val="en-AU"/>
              </w:rPr>
            </w:pPr>
            <w:r w:rsidRPr="001468A9">
              <w:rPr>
                <w:lang w:val="en-AU"/>
              </w:rPr>
              <w:t>Absolute neutrophil count less than 0.5 x 10</w:t>
            </w:r>
            <w:r w:rsidRPr="001468A9">
              <w:rPr>
                <w:vertAlign w:val="superscript"/>
                <w:lang w:val="en-AU"/>
              </w:rPr>
              <w:t>9</w:t>
            </w:r>
            <w:r w:rsidRPr="001468A9">
              <w:rPr>
                <w:lang w:val="en-AU"/>
              </w:rPr>
              <w:t xml:space="preserve">/L </w:t>
            </w:r>
          </w:p>
          <w:p w14:paraId="5A31BB3F" w14:textId="782CA6FA" w:rsidR="003E4B29" w:rsidRPr="001468A9" w:rsidRDefault="003E4B29" w:rsidP="003E4B29">
            <w:pPr>
              <w:pStyle w:val="TblTextLeft"/>
              <w:rPr>
                <w:lang w:val="en-AU"/>
              </w:rPr>
            </w:pPr>
            <w:r w:rsidRPr="001468A9">
              <w:rPr>
                <w:i/>
                <w:iCs/>
                <w:lang w:val="en-AU"/>
              </w:rPr>
              <w:t>OR</w:t>
            </w:r>
            <w:r w:rsidRPr="001468A9">
              <w:rPr>
                <w:lang w:val="en-AU"/>
              </w:rPr>
              <w:t xml:space="preserve"> febrile neutropenia</w:t>
            </w:r>
          </w:p>
        </w:tc>
        <w:tc>
          <w:tcPr>
            <w:tcW w:w="1216" w:type="dxa"/>
          </w:tcPr>
          <w:p w14:paraId="40E93B00" w14:textId="5CC27E1B" w:rsidR="003E4B29" w:rsidRPr="001468A9" w:rsidRDefault="003E4B29" w:rsidP="003E4B29">
            <w:pPr>
              <w:pStyle w:val="TblTextLeft"/>
              <w:rPr>
                <w:lang w:val="en-AU"/>
              </w:rPr>
            </w:pPr>
            <w:r w:rsidRPr="001468A9">
              <w:rPr>
                <w:lang w:val="en-AU"/>
              </w:rPr>
              <w:t xml:space="preserve">Any </w:t>
            </w:r>
          </w:p>
        </w:tc>
        <w:tc>
          <w:tcPr>
            <w:tcW w:w="5408" w:type="dxa"/>
          </w:tcPr>
          <w:p w14:paraId="5FD0F32C" w14:textId="444E17BC" w:rsidR="003E4B29" w:rsidRPr="001468A9" w:rsidRDefault="003E4B29" w:rsidP="003812A8">
            <w:pPr>
              <w:pStyle w:val="TblTextLeft"/>
              <w:numPr>
                <w:ilvl w:val="0"/>
                <w:numId w:val="9"/>
              </w:numPr>
              <w:ind w:left="142" w:hanging="142"/>
              <w:rPr>
                <w:lang w:val="en-AU"/>
              </w:rPr>
            </w:pPr>
            <w:r w:rsidRPr="001468A9">
              <w:rPr>
                <w:lang w:val="en-AU"/>
              </w:rPr>
              <w:t xml:space="preserve">Interrupt </w:t>
            </w:r>
            <w:r w:rsidR="0087503D">
              <w:rPr>
                <w:lang w:val="en-AU"/>
              </w:rPr>
              <w:t>XPOVIO</w:t>
            </w:r>
            <w:r w:rsidRPr="001468A9">
              <w:rPr>
                <w:lang w:val="en-AU"/>
              </w:rPr>
              <w:t xml:space="preserve">. </w:t>
            </w:r>
          </w:p>
          <w:p w14:paraId="6E0DD811" w14:textId="1A5224A8" w:rsidR="003E4B29" w:rsidRPr="001468A9" w:rsidRDefault="003E4B29" w:rsidP="003812A8">
            <w:pPr>
              <w:pStyle w:val="TblTextLeft"/>
              <w:numPr>
                <w:ilvl w:val="0"/>
                <w:numId w:val="9"/>
              </w:numPr>
              <w:ind w:left="142" w:hanging="142"/>
              <w:rPr>
                <w:lang w:val="en-AU"/>
              </w:rPr>
            </w:pPr>
            <w:r w:rsidRPr="001468A9">
              <w:rPr>
                <w:lang w:val="en-AU"/>
              </w:rPr>
              <w:t>Monitor until neutrophil counts return to 1.0 x 10</w:t>
            </w:r>
            <w:r w:rsidRPr="001468A9">
              <w:rPr>
                <w:vertAlign w:val="superscript"/>
                <w:lang w:val="en-AU"/>
              </w:rPr>
              <w:t>9</w:t>
            </w:r>
            <w:r w:rsidRPr="001468A9">
              <w:rPr>
                <w:lang w:val="en-AU"/>
              </w:rPr>
              <w:t xml:space="preserve">/L or higher. </w:t>
            </w:r>
          </w:p>
          <w:p w14:paraId="4E89440B" w14:textId="18974990" w:rsidR="003E4B29" w:rsidRPr="001468A9" w:rsidRDefault="003E4B29" w:rsidP="003812A8">
            <w:pPr>
              <w:pStyle w:val="TblTextLeft"/>
              <w:numPr>
                <w:ilvl w:val="0"/>
                <w:numId w:val="9"/>
              </w:numPr>
              <w:ind w:left="142" w:hanging="142"/>
              <w:rPr>
                <w:lang w:val="en-AU"/>
              </w:rPr>
            </w:pPr>
            <w:r w:rsidRPr="001468A9">
              <w:rPr>
                <w:lang w:val="en-AU"/>
              </w:rPr>
              <w:t xml:space="preserve">Restart </w:t>
            </w:r>
            <w:r w:rsidR="0087503D">
              <w:rPr>
                <w:lang w:val="en-AU"/>
              </w:rPr>
              <w:t>XPOVIO</w:t>
            </w:r>
            <w:r w:rsidRPr="001468A9">
              <w:rPr>
                <w:lang w:val="en-AU"/>
              </w:rPr>
              <w:t xml:space="preserve"> at 1 dose level lower (see </w:t>
            </w:r>
            <w:r w:rsidRPr="001468A9">
              <w:rPr>
                <w:lang w:val="en-AU"/>
              </w:rPr>
              <w:fldChar w:fldCharType="begin"/>
            </w:r>
            <w:r w:rsidRPr="001468A9">
              <w:rPr>
                <w:lang w:val="en-AU"/>
              </w:rPr>
              <w:instrText xml:space="preserve"> REF _Ref45711620 \h </w:instrText>
            </w:r>
            <w:r w:rsidR="00DB3E73" w:rsidRPr="001468A9">
              <w:rPr>
                <w:lang w:val="en-AU"/>
              </w:rPr>
              <w:instrText xml:space="preserve"> \* MERGEFORMAT </w:instrText>
            </w:r>
            <w:r w:rsidRPr="001468A9">
              <w:rPr>
                <w:lang w:val="en-AU"/>
              </w:rPr>
            </w:r>
            <w:r w:rsidRPr="001468A9">
              <w:rPr>
                <w:lang w:val="en-AU"/>
              </w:rPr>
              <w:fldChar w:fldCharType="separate"/>
            </w:r>
            <w:r w:rsidR="00F53F5F" w:rsidRPr="00FA1502">
              <w:rPr>
                <w:lang w:val="en-AU"/>
              </w:rPr>
              <w:t>Table</w:t>
            </w:r>
            <w:r w:rsidR="00F53F5F">
              <w:rPr>
                <w:lang w:val="en-AU"/>
              </w:rPr>
              <w:t> 1</w:t>
            </w:r>
            <w:r w:rsidRPr="001468A9">
              <w:rPr>
                <w:lang w:val="en-AU"/>
              </w:rPr>
              <w:fldChar w:fldCharType="end"/>
            </w:r>
            <w:r w:rsidRPr="001468A9">
              <w:rPr>
                <w:lang w:val="en-AU"/>
              </w:rPr>
              <w:t>).</w:t>
            </w:r>
          </w:p>
        </w:tc>
      </w:tr>
      <w:tr w:rsidR="003E4B29" w:rsidRPr="005E3646" w14:paraId="3DF69073" w14:textId="77777777" w:rsidTr="00453043">
        <w:tc>
          <w:tcPr>
            <w:tcW w:w="9156" w:type="dxa"/>
            <w:gridSpan w:val="3"/>
          </w:tcPr>
          <w:p w14:paraId="2082334B" w14:textId="291AF8AF" w:rsidR="003E4B29" w:rsidRPr="001468A9" w:rsidRDefault="003E4B29" w:rsidP="00DB3E73">
            <w:pPr>
              <w:pStyle w:val="TblTextLeft"/>
              <w:keepNext/>
              <w:rPr>
                <w:lang w:val="en-AU"/>
              </w:rPr>
            </w:pPr>
            <w:r w:rsidRPr="001468A9">
              <w:rPr>
                <w:lang w:val="en-AU"/>
              </w:rPr>
              <w:t>Anaemia</w:t>
            </w:r>
          </w:p>
        </w:tc>
      </w:tr>
      <w:tr w:rsidR="003E4B29" w:rsidRPr="005E3646" w14:paraId="3DCEFF35" w14:textId="77777777" w:rsidTr="00453043">
        <w:tc>
          <w:tcPr>
            <w:tcW w:w="2532" w:type="dxa"/>
          </w:tcPr>
          <w:p w14:paraId="17AD1B81" w14:textId="3890E61F" w:rsidR="003E4B29" w:rsidRPr="001468A9" w:rsidRDefault="003E4B29" w:rsidP="003E4B29">
            <w:pPr>
              <w:pStyle w:val="TblTextLeft"/>
              <w:rPr>
                <w:lang w:val="en-AU"/>
              </w:rPr>
            </w:pPr>
            <w:r w:rsidRPr="001468A9">
              <w:rPr>
                <w:lang w:val="en-AU"/>
              </w:rPr>
              <w:t>Haemoglobin less than 8.0</w:t>
            </w:r>
            <w:r w:rsidR="00BC2DAD" w:rsidRPr="001468A9">
              <w:rPr>
                <w:lang w:val="en-AU"/>
              </w:rPr>
              <w:t> </w:t>
            </w:r>
            <w:r w:rsidRPr="001468A9">
              <w:rPr>
                <w:lang w:val="en-AU"/>
              </w:rPr>
              <w:t xml:space="preserve">g/dL </w:t>
            </w:r>
          </w:p>
        </w:tc>
        <w:tc>
          <w:tcPr>
            <w:tcW w:w="1216" w:type="dxa"/>
          </w:tcPr>
          <w:p w14:paraId="6704E666" w14:textId="1E367761" w:rsidR="003E4B29" w:rsidRPr="001468A9" w:rsidRDefault="003E4B29" w:rsidP="003E4B29">
            <w:pPr>
              <w:pStyle w:val="TblTextLeft"/>
              <w:rPr>
                <w:lang w:val="en-AU"/>
              </w:rPr>
            </w:pPr>
            <w:r w:rsidRPr="001468A9">
              <w:rPr>
                <w:lang w:val="en-AU"/>
              </w:rPr>
              <w:t xml:space="preserve">Any </w:t>
            </w:r>
          </w:p>
        </w:tc>
        <w:tc>
          <w:tcPr>
            <w:tcW w:w="5408" w:type="dxa"/>
          </w:tcPr>
          <w:p w14:paraId="3856C4D9" w14:textId="22220991" w:rsidR="003E4B29" w:rsidRPr="001468A9" w:rsidRDefault="003E4B29" w:rsidP="003812A8">
            <w:pPr>
              <w:pStyle w:val="TblTextLeft"/>
              <w:numPr>
                <w:ilvl w:val="0"/>
                <w:numId w:val="9"/>
              </w:numPr>
              <w:ind w:left="142" w:hanging="142"/>
              <w:rPr>
                <w:lang w:val="en-AU"/>
              </w:rPr>
            </w:pPr>
            <w:r w:rsidRPr="001468A9">
              <w:rPr>
                <w:lang w:val="en-AU"/>
              </w:rPr>
              <w:t xml:space="preserve">Reduce </w:t>
            </w:r>
            <w:r w:rsidR="0087503D">
              <w:rPr>
                <w:lang w:val="en-AU"/>
              </w:rPr>
              <w:t>XPOVIO</w:t>
            </w:r>
            <w:r w:rsidRPr="001468A9">
              <w:rPr>
                <w:lang w:val="en-AU"/>
              </w:rPr>
              <w:t xml:space="preserve"> by 1 dose level (see </w:t>
            </w:r>
            <w:r w:rsidRPr="001468A9">
              <w:rPr>
                <w:lang w:val="en-AU"/>
              </w:rPr>
              <w:fldChar w:fldCharType="begin"/>
            </w:r>
            <w:r w:rsidRPr="001468A9">
              <w:rPr>
                <w:lang w:val="en-AU"/>
              </w:rPr>
              <w:instrText xml:space="preserve"> REF _Ref45711620 \h </w:instrText>
            </w:r>
            <w:r w:rsidR="00DB3E73" w:rsidRPr="001468A9">
              <w:rPr>
                <w:lang w:val="en-AU"/>
              </w:rPr>
              <w:instrText xml:space="preserve"> \* MERGEFORMAT </w:instrText>
            </w:r>
            <w:r w:rsidRPr="001468A9">
              <w:rPr>
                <w:lang w:val="en-AU"/>
              </w:rPr>
            </w:r>
            <w:r w:rsidRPr="001468A9">
              <w:rPr>
                <w:lang w:val="en-AU"/>
              </w:rPr>
              <w:fldChar w:fldCharType="separate"/>
            </w:r>
            <w:r w:rsidR="00F53F5F" w:rsidRPr="00FA1502">
              <w:rPr>
                <w:lang w:val="en-AU"/>
              </w:rPr>
              <w:t>Table</w:t>
            </w:r>
            <w:r w:rsidR="00F53F5F">
              <w:rPr>
                <w:lang w:val="en-AU"/>
              </w:rPr>
              <w:t> 1</w:t>
            </w:r>
            <w:r w:rsidRPr="001468A9">
              <w:rPr>
                <w:lang w:val="en-AU"/>
              </w:rPr>
              <w:fldChar w:fldCharType="end"/>
            </w:r>
            <w:r w:rsidRPr="001468A9">
              <w:rPr>
                <w:lang w:val="en-AU"/>
              </w:rPr>
              <w:t xml:space="preserve">). </w:t>
            </w:r>
          </w:p>
          <w:p w14:paraId="4207BC48" w14:textId="3EEEC265" w:rsidR="003E4B29" w:rsidRPr="001468A9" w:rsidRDefault="003E4B29" w:rsidP="003812A8">
            <w:pPr>
              <w:pStyle w:val="TblTextLeft"/>
              <w:numPr>
                <w:ilvl w:val="0"/>
                <w:numId w:val="9"/>
              </w:numPr>
              <w:ind w:left="142" w:hanging="142"/>
              <w:rPr>
                <w:lang w:val="en-AU"/>
              </w:rPr>
            </w:pPr>
            <w:r w:rsidRPr="001468A9">
              <w:rPr>
                <w:lang w:val="en-AU"/>
              </w:rPr>
              <w:lastRenderedPageBreak/>
              <w:t xml:space="preserve">Administer blood transfusions and/or other treatments per clinical guidelines. </w:t>
            </w:r>
          </w:p>
        </w:tc>
      </w:tr>
      <w:tr w:rsidR="003E4B29" w:rsidRPr="00FA1502" w14:paraId="23E7C4B8" w14:textId="77777777" w:rsidTr="00453043">
        <w:tc>
          <w:tcPr>
            <w:tcW w:w="2532" w:type="dxa"/>
            <w:tcBorders>
              <w:bottom w:val="single" w:sz="4" w:space="0" w:color="auto"/>
            </w:tcBorders>
          </w:tcPr>
          <w:p w14:paraId="01C09ECB" w14:textId="654E8528" w:rsidR="003E4B29" w:rsidRPr="001468A9" w:rsidRDefault="003E4B29" w:rsidP="00DB3E73">
            <w:pPr>
              <w:pStyle w:val="TblTextLeft"/>
              <w:rPr>
                <w:lang w:val="en-AU"/>
              </w:rPr>
            </w:pPr>
            <w:r w:rsidRPr="001468A9">
              <w:rPr>
                <w:lang w:val="en-AU"/>
              </w:rPr>
              <w:lastRenderedPageBreak/>
              <w:t xml:space="preserve">Life-threatening consequences (urgent intervention indicated) </w:t>
            </w:r>
          </w:p>
        </w:tc>
        <w:tc>
          <w:tcPr>
            <w:tcW w:w="1216" w:type="dxa"/>
            <w:tcBorders>
              <w:bottom w:val="single" w:sz="4" w:space="0" w:color="auto"/>
            </w:tcBorders>
          </w:tcPr>
          <w:p w14:paraId="55987616" w14:textId="1F47159B" w:rsidR="003E4B29" w:rsidRPr="001468A9" w:rsidRDefault="003E4B29" w:rsidP="003E4B29">
            <w:pPr>
              <w:pStyle w:val="TblTextLeft"/>
              <w:rPr>
                <w:lang w:val="en-AU"/>
              </w:rPr>
            </w:pPr>
            <w:r w:rsidRPr="001468A9">
              <w:rPr>
                <w:lang w:val="en-AU"/>
              </w:rPr>
              <w:t xml:space="preserve">Any </w:t>
            </w:r>
          </w:p>
        </w:tc>
        <w:tc>
          <w:tcPr>
            <w:tcW w:w="5408" w:type="dxa"/>
            <w:tcBorders>
              <w:bottom w:val="single" w:sz="4" w:space="0" w:color="auto"/>
            </w:tcBorders>
          </w:tcPr>
          <w:p w14:paraId="04FAD58D" w14:textId="2A8C000C" w:rsidR="003E4B29" w:rsidRPr="001468A9" w:rsidRDefault="003E4B29" w:rsidP="003812A8">
            <w:pPr>
              <w:pStyle w:val="TblTextLeft"/>
              <w:numPr>
                <w:ilvl w:val="0"/>
                <w:numId w:val="9"/>
              </w:numPr>
              <w:ind w:left="142" w:hanging="142"/>
              <w:rPr>
                <w:lang w:val="en-AU"/>
              </w:rPr>
            </w:pPr>
            <w:r w:rsidRPr="001468A9">
              <w:rPr>
                <w:lang w:val="en-AU"/>
              </w:rPr>
              <w:t xml:space="preserve">Interrupt </w:t>
            </w:r>
            <w:r w:rsidR="0087503D">
              <w:rPr>
                <w:lang w:val="en-AU"/>
              </w:rPr>
              <w:t>XPOVIO</w:t>
            </w:r>
            <w:r w:rsidRPr="001468A9">
              <w:rPr>
                <w:lang w:val="en-AU"/>
              </w:rPr>
              <w:t xml:space="preserve">. </w:t>
            </w:r>
          </w:p>
          <w:p w14:paraId="25DF3C25" w14:textId="781A1523" w:rsidR="003E4B29" w:rsidRPr="001468A9" w:rsidRDefault="003E4B29" w:rsidP="003812A8">
            <w:pPr>
              <w:pStyle w:val="TblTextLeft"/>
              <w:numPr>
                <w:ilvl w:val="0"/>
                <w:numId w:val="9"/>
              </w:numPr>
              <w:ind w:left="142" w:hanging="142"/>
              <w:rPr>
                <w:lang w:val="en-AU"/>
              </w:rPr>
            </w:pPr>
            <w:r w:rsidRPr="001468A9">
              <w:rPr>
                <w:lang w:val="en-AU"/>
              </w:rPr>
              <w:t xml:space="preserve">Monitor haemoglobin until levels return to 8 g/dL or higher. </w:t>
            </w:r>
          </w:p>
          <w:p w14:paraId="00131A95" w14:textId="768F4AD5" w:rsidR="003E4B29" w:rsidRPr="001468A9" w:rsidRDefault="003E4B29" w:rsidP="003812A8">
            <w:pPr>
              <w:pStyle w:val="TblTextLeft"/>
              <w:numPr>
                <w:ilvl w:val="0"/>
                <w:numId w:val="9"/>
              </w:numPr>
              <w:ind w:left="142" w:hanging="142"/>
              <w:rPr>
                <w:lang w:val="en-AU"/>
              </w:rPr>
            </w:pPr>
            <w:r w:rsidRPr="001468A9">
              <w:rPr>
                <w:lang w:val="en-AU"/>
              </w:rPr>
              <w:t xml:space="preserve">Restart </w:t>
            </w:r>
            <w:r w:rsidR="0087503D">
              <w:rPr>
                <w:lang w:val="en-AU"/>
              </w:rPr>
              <w:t>XPOVIO</w:t>
            </w:r>
            <w:r w:rsidRPr="001468A9">
              <w:rPr>
                <w:lang w:val="en-AU"/>
              </w:rPr>
              <w:t xml:space="preserve"> at 1 dose level lower (see </w:t>
            </w:r>
            <w:r w:rsidRPr="001468A9">
              <w:rPr>
                <w:lang w:val="en-AU"/>
              </w:rPr>
              <w:fldChar w:fldCharType="begin"/>
            </w:r>
            <w:r w:rsidRPr="001468A9">
              <w:rPr>
                <w:lang w:val="en-AU"/>
              </w:rPr>
              <w:instrText xml:space="preserve"> REF _Ref45711620 \h </w:instrText>
            </w:r>
            <w:r w:rsidR="00DB3E73" w:rsidRPr="001468A9">
              <w:rPr>
                <w:lang w:val="en-AU"/>
              </w:rPr>
              <w:instrText xml:space="preserve"> \* MERGEFORMAT </w:instrText>
            </w:r>
            <w:r w:rsidRPr="001468A9">
              <w:rPr>
                <w:lang w:val="en-AU"/>
              </w:rPr>
            </w:r>
            <w:r w:rsidRPr="001468A9">
              <w:rPr>
                <w:lang w:val="en-AU"/>
              </w:rPr>
              <w:fldChar w:fldCharType="separate"/>
            </w:r>
            <w:r w:rsidR="00F53F5F" w:rsidRPr="00FA1502">
              <w:rPr>
                <w:lang w:val="en-AU"/>
              </w:rPr>
              <w:t>Table</w:t>
            </w:r>
            <w:r w:rsidR="00F53F5F">
              <w:rPr>
                <w:lang w:val="en-AU"/>
              </w:rPr>
              <w:t> 1</w:t>
            </w:r>
            <w:r w:rsidRPr="001468A9">
              <w:rPr>
                <w:lang w:val="en-AU"/>
              </w:rPr>
              <w:fldChar w:fldCharType="end"/>
            </w:r>
            <w:r w:rsidRPr="001468A9">
              <w:rPr>
                <w:lang w:val="en-AU"/>
              </w:rPr>
              <w:t xml:space="preserve">). </w:t>
            </w:r>
          </w:p>
          <w:p w14:paraId="54F70781" w14:textId="03B66E09" w:rsidR="003E4B29" w:rsidRPr="001468A9" w:rsidRDefault="003E4B29" w:rsidP="003812A8">
            <w:pPr>
              <w:pStyle w:val="TblTextLeft"/>
              <w:numPr>
                <w:ilvl w:val="0"/>
                <w:numId w:val="9"/>
              </w:numPr>
              <w:ind w:left="142" w:hanging="142"/>
              <w:rPr>
                <w:lang w:val="en-AU"/>
              </w:rPr>
            </w:pPr>
            <w:r w:rsidRPr="001468A9">
              <w:rPr>
                <w:lang w:val="en-AU"/>
              </w:rPr>
              <w:t xml:space="preserve">Administer blood transfusions and/or other treatments per clinical guidelines. </w:t>
            </w:r>
          </w:p>
        </w:tc>
      </w:tr>
      <w:tr w:rsidR="00453043" w:rsidRPr="00FA1502" w14:paraId="7AF7FDD3" w14:textId="77777777" w:rsidTr="00453043">
        <w:tc>
          <w:tcPr>
            <w:tcW w:w="9156" w:type="dxa"/>
            <w:gridSpan w:val="3"/>
            <w:tcBorders>
              <w:left w:val="nil"/>
              <w:bottom w:val="nil"/>
              <w:right w:val="nil"/>
            </w:tcBorders>
          </w:tcPr>
          <w:p w14:paraId="06155203" w14:textId="700493D0" w:rsidR="00453043" w:rsidRPr="009F662B" w:rsidRDefault="00453043" w:rsidP="00453043">
            <w:pPr>
              <w:pStyle w:val="TblTextLeft"/>
              <w:rPr>
                <w:lang w:val="en-AU"/>
              </w:rPr>
            </w:pPr>
            <w:r w:rsidRPr="00453043">
              <w:rPr>
                <w:rFonts w:asciiTheme="minorHAnsi" w:hAnsiTheme="minorHAnsi" w:cstheme="minorHAnsi"/>
                <w:sz w:val="18"/>
                <w:szCs w:val="18"/>
              </w:rPr>
              <w:t>*</w:t>
            </w:r>
            <w:r>
              <w:rPr>
                <w:rFonts w:asciiTheme="minorHAnsi" w:hAnsiTheme="minorHAnsi" w:cstheme="minorHAnsi"/>
                <w:sz w:val="18"/>
                <w:szCs w:val="18"/>
              </w:rPr>
              <w:t xml:space="preserve"> </w:t>
            </w:r>
            <w:r w:rsidRPr="007F2AAC">
              <w:rPr>
                <w:rFonts w:asciiTheme="minorHAnsi" w:hAnsiTheme="minorHAnsi" w:cstheme="minorHAnsi"/>
                <w:sz w:val="18"/>
                <w:szCs w:val="18"/>
              </w:rPr>
              <w:t>National Cancer Institute Common Terminology Criteria for Adverse Events (NCI CTCAE) version 4.03</w:t>
            </w:r>
          </w:p>
        </w:tc>
      </w:tr>
    </w:tbl>
    <w:p w14:paraId="7661B2FE" w14:textId="5328861B" w:rsidR="00FA1502" w:rsidRPr="00FA1502" w:rsidRDefault="00FA1502" w:rsidP="00FA1502">
      <w:pPr>
        <w:pStyle w:val="TblFigFootnote"/>
        <w:rPr>
          <w:lang w:val="en-AU"/>
        </w:rPr>
      </w:pPr>
      <w:r>
        <w:t>a. National Cancer Institute Common Terminology Criteria for Adverse Events (NCI CTCAE) version 4.03.</w:t>
      </w:r>
    </w:p>
    <w:p w14:paraId="0548F8DC" w14:textId="5157E683" w:rsidR="00DF6EF2" w:rsidRDefault="00DF6EF2" w:rsidP="00DF6EF2">
      <w:pPr>
        <w:pStyle w:val="Caption"/>
        <w:rPr>
          <w:lang w:val="en-AU"/>
        </w:rPr>
      </w:pPr>
      <w:bookmarkStart w:id="9" w:name="_Ref46993569"/>
      <w:bookmarkStart w:id="10" w:name="_Ref94169671"/>
      <w:r w:rsidRPr="00FA1502">
        <w:rPr>
          <w:lang w:val="en-AU"/>
        </w:rPr>
        <w:t>Table</w:t>
      </w:r>
      <w:r w:rsidR="008204EF">
        <w:rPr>
          <w:lang w:val="en-AU"/>
        </w:rPr>
        <w:t> </w:t>
      </w:r>
      <w:r w:rsidRPr="00FA1502">
        <w:rPr>
          <w:lang w:val="en-AU"/>
        </w:rPr>
        <w:fldChar w:fldCharType="begin"/>
      </w:r>
      <w:r w:rsidRPr="00FA1502">
        <w:rPr>
          <w:lang w:val="en-AU"/>
        </w:rPr>
        <w:instrText xml:space="preserve"> SEQ Table \* ARABIC </w:instrText>
      </w:r>
      <w:r w:rsidRPr="00FA1502">
        <w:rPr>
          <w:lang w:val="en-AU"/>
        </w:rPr>
        <w:fldChar w:fldCharType="separate"/>
      </w:r>
      <w:r w:rsidR="00F53F5F">
        <w:rPr>
          <w:noProof/>
          <w:lang w:val="en-AU"/>
        </w:rPr>
        <w:t>3</w:t>
      </w:r>
      <w:r w:rsidRPr="00FA1502">
        <w:rPr>
          <w:lang w:val="en-AU"/>
        </w:rPr>
        <w:fldChar w:fldCharType="end"/>
      </w:r>
      <w:bookmarkEnd w:id="9"/>
      <w:bookmarkEnd w:id="10"/>
      <w:r w:rsidRPr="00FA1502">
        <w:rPr>
          <w:lang w:val="en-AU"/>
        </w:rPr>
        <w:t>:Dosage modification guidelines for non-</w:t>
      </w:r>
      <w:r w:rsidR="00FA1502" w:rsidRPr="00FA1502">
        <w:rPr>
          <w:lang w:val="en-AU"/>
        </w:rPr>
        <w:t>haematologic</w:t>
      </w:r>
      <w:r w:rsidRPr="00FA1502">
        <w:rPr>
          <w:lang w:val="en-AU"/>
        </w:rPr>
        <w:t xml:space="preserve"> adverse reactions</w:t>
      </w:r>
    </w:p>
    <w:tbl>
      <w:tblPr>
        <w:tblStyle w:val="TableGrid"/>
        <w:tblW w:w="5000" w:type="pct"/>
        <w:tblLook w:val="04A0" w:firstRow="1" w:lastRow="0" w:firstColumn="1" w:lastColumn="0" w:noHBand="0" w:noVBand="1"/>
      </w:tblPr>
      <w:tblGrid>
        <w:gridCol w:w="2353"/>
        <w:gridCol w:w="1217"/>
        <w:gridCol w:w="2789"/>
        <w:gridCol w:w="2791"/>
      </w:tblGrid>
      <w:tr w:rsidR="007F0CC0" w:rsidRPr="00720609" w14:paraId="0D9A09D3" w14:textId="77777777" w:rsidTr="00EC2C08">
        <w:trPr>
          <w:tblHeader/>
        </w:trPr>
        <w:tc>
          <w:tcPr>
            <w:tcW w:w="1286" w:type="pct"/>
          </w:tcPr>
          <w:p w14:paraId="5A32E0A8" w14:textId="77777777" w:rsidR="007F0CC0" w:rsidRPr="00720609" w:rsidRDefault="007F0CC0" w:rsidP="002B5FD1">
            <w:pPr>
              <w:pStyle w:val="TblTextLeft"/>
              <w:rPr>
                <w:rFonts w:eastAsia="Arial"/>
                <w:b/>
                <w:bCs/>
              </w:rPr>
            </w:pPr>
            <w:r w:rsidRPr="00720609">
              <w:rPr>
                <w:rFonts w:eastAsia="Arial"/>
                <w:b/>
                <w:bCs/>
              </w:rPr>
              <w:t>Adverse Reaction</w:t>
            </w:r>
          </w:p>
        </w:tc>
        <w:tc>
          <w:tcPr>
            <w:tcW w:w="664" w:type="pct"/>
          </w:tcPr>
          <w:p w14:paraId="6CE181B1" w14:textId="77777777" w:rsidR="007F0CC0" w:rsidRPr="00720609" w:rsidRDefault="007F0CC0" w:rsidP="002B5FD1">
            <w:pPr>
              <w:pStyle w:val="TblTextLeft"/>
              <w:rPr>
                <w:rFonts w:eastAsia="Arial"/>
                <w:b/>
                <w:bCs/>
              </w:rPr>
            </w:pPr>
            <w:r w:rsidRPr="00720609">
              <w:rPr>
                <w:rFonts w:eastAsia="Arial"/>
                <w:b/>
                <w:bCs/>
              </w:rPr>
              <w:t>Occurrence</w:t>
            </w:r>
          </w:p>
        </w:tc>
        <w:tc>
          <w:tcPr>
            <w:tcW w:w="3049" w:type="pct"/>
            <w:gridSpan w:val="2"/>
          </w:tcPr>
          <w:p w14:paraId="22395C63" w14:textId="77777777" w:rsidR="007F0CC0" w:rsidRPr="00720609" w:rsidRDefault="007F0CC0" w:rsidP="002B5FD1">
            <w:pPr>
              <w:pStyle w:val="TblTextLeft"/>
              <w:jc w:val="center"/>
              <w:rPr>
                <w:rFonts w:eastAsia="Arial"/>
                <w:b/>
                <w:bCs/>
              </w:rPr>
            </w:pPr>
            <w:r w:rsidRPr="00720609">
              <w:rPr>
                <w:rFonts w:eastAsia="Arial"/>
                <w:b/>
                <w:bCs/>
              </w:rPr>
              <w:t>Action</w:t>
            </w:r>
          </w:p>
        </w:tc>
      </w:tr>
      <w:tr w:rsidR="007F0CC0" w:rsidRPr="00720609" w14:paraId="2D0A31DC" w14:textId="77777777" w:rsidTr="003E28BC">
        <w:tc>
          <w:tcPr>
            <w:tcW w:w="5000" w:type="pct"/>
            <w:gridSpan w:val="4"/>
          </w:tcPr>
          <w:p w14:paraId="69779E8B" w14:textId="732CF194" w:rsidR="007F0CC0" w:rsidRPr="00720609" w:rsidRDefault="007F0CC0" w:rsidP="00720609">
            <w:pPr>
              <w:pStyle w:val="TblTextLeft"/>
              <w:rPr>
                <w:rFonts w:eastAsia="Arial"/>
                <w:b/>
                <w:bCs/>
              </w:rPr>
            </w:pPr>
            <w:r w:rsidRPr="00720609">
              <w:rPr>
                <w:rFonts w:eastAsia="Arial"/>
                <w:b/>
                <w:bCs/>
              </w:rPr>
              <w:t xml:space="preserve">Nausea and Vomiting </w:t>
            </w:r>
          </w:p>
        </w:tc>
      </w:tr>
      <w:tr w:rsidR="007F0CC0" w:rsidRPr="00FE1E16" w14:paraId="7ABD53CC" w14:textId="77777777" w:rsidTr="00EC2C08">
        <w:trPr>
          <w:cantSplit/>
        </w:trPr>
        <w:tc>
          <w:tcPr>
            <w:tcW w:w="1286" w:type="pct"/>
          </w:tcPr>
          <w:p w14:paraId="7B2785F5" w14:textId="77777777" w:rsidR="007F0CC0" w:rsidRPr="00720609" w:rsidRDefault="007F0CC0" w:rsidP="003E28BC">
            <w:pPr>
              <w:rPr>
                <w:sz w:val="20"/>
                <w:szCs w:val="20"/>
              </w:rPr>
            </w:pPr>
            <w:r w:rsidRPr="00720609">
              <w:rPr>
                <w:sz w:val="20"/>
                <w:szCs w:val="20"/>
              </w:rPr>
              <w:t xml:space="preserve">Grade 1 or 2 nausea (oral intake decreased without significant weight loss, </w:t>
            </w:r>
            <w:proofErr w:type="gramStart"/>
            <w:r w:rsidRPr="00720609">
              <w:rPr>
                <w:sz w:val="20"/>
                <w:szCs w:val="20"/>
              </w:rPr>
              <w:t>dehydration</w:t>
            </w:r>
            <w:proofErr w:type="gramEnd"/>
            <w:r w:rsidRPr="00720609">
              <w:rPr>
                <w:sz w:val="20"/>
                <w:szCs w:val="20"/>
              </w:rPr>
              <w:t xml:space="preserve"> or malnutrition)</w:t>
            </w:r>
            <w:r w:rsidRPr="00720609">
              <w:rPr>
                <w:sz w:val="20"/>
                <w:szCs w:val="20"/>
              </w:rPr>
              <w:br/>
            </w:r>
            <w:r w:rsidRPr="00720609">
              <w:rPr>
                <w:i/>
                <w:sz w:val="20"/>
                <w:szCs w:val="20"/>
              </w:rPr>
              <w:t>OR</w:t>
            </w:r>
            <w:r w:rsidRPr="00720609">
              <w:rPr>
                <w:sz w:val="20"/>
                <w:szCs w:val="20"/>
              </w:rPr>
              <w:t xml:space="preserve"> </w:t>
            </w:r>
          </w:p>
          <w:p w14:paraId="364AFB52" w14:textId="77777777" w:rsidR="007F0CC0" w:rsidRPr="00720609" w:rsidRDefault="007F0CC0" w:rsidP="003E28BC">
            <w:pPr>
              <w:rPr>
                <w:sz w:val="20"/>
                <w:szCs w:val="20"/>
              </w:rPr>
            </w:pPr>
            <w:r w:rsidRPr="00720609">
              <w:rPr>
                <w:sz w:val="20"/>
                <w:szCs w:val="20"/>
              </w:rPr>
              <w:t>Grade 1 or 2 vomiting (5 or fewer episodes per day)</w:t>
            </w:r>
          </w:p>
        </w:tc>
        <w:tc>
          <w:tcPr>
            <w:tcW w:w="664" w:type="pct"/>
          </w:tcPr>
          <w:p w14:paraId="7598413E" w14:textId="77777777" w:rsidR="007F0CC0" w:rsidRPr="00720609" w:rsidRDefault="007F0CC0" w:rsidP="00720609">
            <w:pPr>
              <w:pStyle w:val="TblTextLeft"/>
              <w:rPr>
                <w:rFonts w:eastAsia="Arial"/>
              </w:rPr>
            </w:pPr>
            <w:r w:rsidRPr="00720609">
              <w:t>Any</w:t>
            </w:r>
          </w:p>
        </w:tc>
        <w:tc>
          <w:tcPr>
            <w:tcW w:w="3049" w:type="pct"/>
            <w:gridSpan w:val="2"/>
          </w:tcPr>
          <w:p w14:paraId="6D0BDA29" w14:textId="77777777" w:rsidR="007F0CC0" w:rsidRPr="00720609" w:rsidRDefault="007F0CC0" w:rsidP="003812A8">
            <w:pPr>
              <w:pStyle w:val="TblTextLeft"/>
              <w:numPr>
                <w:ilvl w:val="0"/>
                <w:numId w:val="11"/>
              </w:numPr>
              <w:ind w:left="142" w:hanging="142"/>
              <w:rPr>
                <w:rFonts w:eastAsia="Arial"/>
              </w:rPr>
            </w:pPr>
            <w:r w:rsidRPr="00720609">
              <w:rPr>
                <w:rFonts w:eastAsia="Arial"/>
              </w:rPr>
              <w:t>Maintain XPOVIO and initiate additional anti-nausea medications.</w:t>
            </w:r>
          </w:p>
        </w:tc>
      </w:tr>
      <w:tr w:rsidR="007F0CC0" w:rsidRPr="00FE1E16" w14:paraId="39FDBF5F" w14:textId="77777777" w:rsidTr="00EC2C08">
        <w:tc>
          <w:tcPr>
            <w:tcW w:w="1286" w:type="pct"/>
          </w:tcPr>
          <w:p w14:paraId="4C44B185" w14:textId="77777777" w:rsidR="007F0CC0" w:rsidRPr="00720609" w:rsidRDefault="007F0CC0" w:rsidP="003E28BC">
            <w:pPr>
              <w:rPr>
                <w:sz w:val="20"/>
                <w:szCs w:val="20"/>
              </w:rPr>
            </w:pPr>
            <w:r w:rsidRPr="00720609">
              <w:rPr>
                <w:sz w:val="20"/>
                <w:szCs w:val="20"/>
              </w:rPr>
              <w:t xml:space="preserve">Grade 3 nausea (inadequate oral caloric or fluid intake) </w:t>
            </w:r>
            <w:r w:rsidRPr="00720609">
              <w:rPr>
                <w:sz w:val="20"/>
                <w:szCs w:val="20"/>
              </w:rPr>
              <w:br/>
            </w:r>
            <w:r w:rsidRPr="00720609">
              <w:rPr>
                <w:i/>
                <w:sz w:val="20"/>
                <w:szCs w:val="20"/>
              </w:rPr>
              <w:t>OR</w:t>
            </w:r>
            <w:r w:rsidRPr="00720609">
              <w:rPr>
                <w:sz w:val="20"/>
                <w:szCs w:val="20"/>
              </w:rPr>
              <w:t xml:space="preserve"> </w:t>
            </w:r>
          </w:p>
          <w:p w14:paraId="025B1143" w14:textId="77777777" w:rsidR="007F0CC0" w:rsidRPr="00720609" w:rsidRDefault="007F0CC0" w:rsidP="003E28BC">
            <w:pPr>
              <w:rPr>
                <w:sz w:val="20"/>
                <w:szCs w:val="20"/>
              </w:rPr>
            </w:pPr>
            <w:r w:rsidRPr="00720609">
              <w:rPr>
                <w:sz w:val="20"/>
                <w:szCs w:val="20"/>
              </w:rPr>
              <w:t>Grade 3 or higher vomiting (6 or more episodes per day)</w:t>
            </w:r>
          </w:p>
        </w:tc>
        <w:tc>
          <w:tcPr>
            <w:tcW w:w="664" w:type="pct"/>
          </w:tcPr>
          <w:p w14:paraId="7AB1F7ED" w14:textId="77777777" w:rsidR="007F0CC0" w:rsidRPr="00720609" w:rsidRDefault="007F0CC0" w:rsidP="003E28BC">
            <w:pPr>
              <w:jc w:val="center"/>
              <w:rPr>
                <w:sz w:val="20"/>
                <w:szCs w:val="20"/>
              </w:rPr>
            </w:pPr>
            <w:r w:rsidRPr="00720609">
              <w:rPr>
                <w:sz w:val="20"/>
                <w:szCs w:val="20"/>
              </w:rPr>
              <w:t>Any</w:t>
            </w:r>
          </w:p>
        </w:tc>
        <w:tc>
          <w:tcPr>
            <w:tcW w:w="3049" w:type="pct"/>
            <w:gridSpan w:val="2"/>
          </w:tcPr>
          <w:p w14:paraId="18812EF8" w14:textId="77777777" w:rsidR="007F0CC0" w:rsidRPr="00720609" w:rsidRDefault="007F0CC0" w:rsidP="003812A8">
            <w:pPr>
              <w:pStyle w:val="TblTextLeft"/>
              <w:numPr>
                <w:ilvl w:val="0"/>
                <w:numId w:val="11"/>
              </w:numPr>
              <w:ind w:left="142" w:hanging="142"/>
              <w:rPr>
                <w:rFonts w:eastAsia="Arial"/>
              </w:rPr>
            </w:pPr>
            <w:r w:rsidRPr="00720609">
              <w:rPr>
                <w:rFonts w:eastAsia="Arial"/>
              </w:rPr>
              <w:t xml:space="preserve">Interrupt XPOVIO. </w:t>
            </w:r>
          </w:p>
          <w:p w14:paraId="2EF3B1D8" w14:textId="77777777" w:rsidR="007F0CC0" w:rsidRPr="00720609" w:rsidRDefault="007F0CC0" w:rsidP="003812A8">
            <w:pPr>
              <w:pStyle w:val="TblTextLeft"/>
              <w:numPr>
                <w:ilvl w:val="0"/>
                <w:numId w:val="11"/>
              </w:numPr>
              <w:ind w:left="142" w:hanging="142"/>
              <w:rPr>
                <w:rFonts w:eastAsia="Arial"/>
              </w:rPr>
            </w:pPr>
            <w:r w:rsidRPr="00720609">
              <w:rPr>
                <w:rFonts w:eastAsia="Arial"/>
              </w:rPr>
              <w:t xml:space="preserve">Monitor until nausea or vomiting has resolved to Grade 2 or lower or baseline. </w:t>
            </w:r>
          </w:p>
          <w:p w14:paraId="55FA6576" w14:textId="77777777" w:rsidR="007F0CC0" w:rsidRPr="00720609" w:rsidRDefault="007F0CC0" w:rsidP="003812A8">
            <w:pPr>
              <w:pStyle w:val="TblTextLeft"/>
              <w:numPr>
                <w:ilvl w:val="0"/>
                <w:numId w:val="11"/>
              </w:numPr>
              <w:ind w:left="142" w:hanging="142"/>
              <w:rPr>
                <w:rFonts w:eastAsia="Arial"/>
              </w:rPr>
            </w:pPr>
            <w:r w:rsidRPr="00720609">
              <w:rPr>
                <w:rFonts w:eastAsia="Arial"/>
              </w:rPr>
              <w:t>Initiate additional anti-nausea medications.</w:t>
            </w:r>
          </w:p>
          <w:p w14:paraId="02135057" w14:textId="77777777" w:rsidR="007F0CC0" w:rsidRPr="00720609" w:rsidRDefault="007F0CC0" w:rsidP="003812A8">
            <w:pPr>
              <w:pStyle w:val="TblTextLeft"/>
              <w:numPr>
                <w:ilvl w:val="0"/>
                <w:numId w:val="11"/>
              </w:numPr>
              <w:ind w:left="142" w:hanging="142"/>
              <w:rPr>
                <w:rFonts w:eastAsia="Arial"/>
              </w:rPr>
            </w:pPr>
            <w:r w:rsidRPr="00720609">
              <w:rPr>
                <w:rFonts w:eastAsia="Arial"/>
              </w:rPr>
              <w:t xml:space="preserve">Restart XPOVIO at 1 dose level lower (see </w:t>
            </w:r>
            <w:hyperlink w:anchor="Table_1" w:history="1">
              <w:r w:rsidRPr="00720609">
                <w:rPr>
                  <w:rStyle w:val="Hyperlink"/>
                  <w:rFonts w:eastAsia="Arial"/>
                </w:rPr>
                <w:t>Table 1</w:t>
              </w:r>
            </w:hyperlink>
            <w:r w:rsidRPr="00720609">
              <w:rPr>
                <w:rFonts w:eastAsia="Arial"/>
              </w:rPr>
              <w:t xml:space="preserve">). </w:t>
            </w:r>
          </w:p>
        </w:tc>
      </w:tr>
      <w:tr w:rsidR="007F0CC0" w:rsidRPr="00285944" w14:paraId="55D8785F" w14:textId="77777777" w:rsidTr="003E28BC">
        <w:tc>
          <w:tcPr>
            <w:tcW w:w="5000" w:type="pct"/>
            <w:gridSpan w:val="4"/>
          </w:tcPr>
          <w:p w14:paraId="56A367F8" w14:textId="252BA641" w:rsidR="007F0CC0" w:rsidRPr="00720609" w:rsidRDefault="007F0CC0" w:rsidP="003E28BC">
            <w:pPr>
              <w:keepNext/>
              <w:rPr>
                <w:b/>
                <w:sz w:val="20"/>
                <w:szCs w:val="20"/>
              </w:rPr>
            </w:pPr>
            <w:r w:rsidRPr="00720609">
              <w:rPr>
                <w:b/>
                <w:sz w:val="20"/>
                <w:szCs w:val="20"/>
              </w:rPr>
              <w:t xml:space="preserve">Diarrhea </w:t>
            </w:r>
          </w:p>
        </w:tc>
      </w:tr>
      <w:tr w:rsidR="007F0CC0" w:rsidRPr="00285944" w14:paraId="4B35E92F" w14:textId="77777777" w:rsidTr="002B5FD1">
        <w:tc>
          <w:tcPr>
            <w:tcW w:w="1951" w:type="pct"/>
            <w:gridSpan w:val="2"/>
          </w:tcPr>
          <w:p w14:paraId="6C8EC833" w14:textId="77777777" w:rsidR="007F0CC0" w:rsidRPr="00720609" w:rsidRDefault="007F0CC0" w:rsidP="003E28BC">
            <w:pPr>
              <w:keepNext/>
              <w:rPr>
                <w:b/>
                <w:sz w:val="20"/>
                <w:szCs w:val="20"/>
              </w:rPr>
            </w:pPr>
          </w:p>
        </w:tc>
        <w:tc>
          <w:tcPr>
            <w:tcW w:w="1524" w:type="pct"/>
          </w:tcPr>
          <w:p w14:paraId="3CA337C0" w14:textId="58A40516" w:rsidR="007F0CC0" w:rsidRPr="00720609" w:rsidRDefault="007F0CC0" w:rsidP="003E28BC">
            <w:pPr>
              <w:keepNext/>
              <w:rPr>
                <w:bCs/>
                <w:sz w:val="20"/>
                <w:szCs w:val="20"/>
              </w:rPr>
            </w:pPr>
            <w:r w:rsidRPr="00720609">
              <w:rPr>
                <w:bCs/>
                <w:sz w:val="20"/>
                <w:szCs w:val="20"/>
              </w:rPr>
              <w:t xml:space="preserve">Multiple Myeloma (Sd Combination) </w:t>
            </w:r>
          </w:p>
        </w:tc>
        <w:tc>
          <w:tcPr>
            <w:tcW w:w="1525" w:type="pct"/>
          </w:tcPr>
          <w:p w14:paraId="5C9E97E4" w14:textId="77777777" w:rsidR="007F0CC0" w:rsidRPr="00720609" w:rsidRDefault="007F0CC0" w:rsidP="003E28BC">
            <w:pPr>
              <w:keepNext/>
              <w:rPr>
                <w:b/>
                <w:sz w:val="20"/>
                <w:szCs w:val="20"/>
              </w:rPr>
            </w:pPr>
            <w:r w:rsidRPr="00720609">
              <w:rPr>
                <w:bCs/>
                <w:sz w:val="20"/>
                <w:szCs w:val="20"/>
              </w:rPr>
              <w:t>Multiple Myeloma (</w:t>
            </w:r>
            <w:proofErr w:type="spellStart"/>
            <w:r w:rsidRPr="00720609">
              <w:rPr>
                <w:bCs/>
                <w:sz w:val="20"/>
                <w:szCs w:val="20"/>
              </w:rPr>
              <w:t>SVd</w:t>
            </w:r>
            <w:proofErr w:type="spellEnd"/>
            <w:r w:rsidRPr="00720609">
              <w:rPr>
                <w:bCs/>
                <w:sz w:val="20"/>
                <w:szCs w:val="20"/>
              </w:rPr>
              <w:t xml:space="preserve"> Combination)</w:t>
            </w:r>
          </w:p>
        </w:tc>
      </w:tr>
      <w:tr w:rsidR="007F0CC0" w:rsidRPr="00BC3C49" w14:paraId="1AA814AB" w14:textId="77777777" w:rsidTr="00EC2C08">
        <w:trPr>
          <w:trHeight w:val="251"/>
        </w:trPr>
        <w:tc>
          <w:tcPr>
            <w:tcW w:w="1286" w:type="pct"/>
            <w:vMerge w:val="restart"/>
          </w:tcPr>
          <w:p w14:paraId="6E3F845E" w14:textId="77777777" w:rsidR="007F0CC0" w:rsidRPr="00720609" w:rsidRDefault="007F0CC0" w:rsidP="003E28BC">
            <w:pPr>
              <w:rPr>
                <w:sz w:val="20"/>
                <w:szCs w:val="20"/>
              </w:rPr>
            </w:pPr>
            <w:r w:rsidRPr="00720609">
              <w:rPr>
                <w:sz w:val="20"/>
                <w:szCs w:val="20"/>
              </w:rPr>
              <w:t>Grade 2 (increase of 4 to 6 stools per day over baseline)</w:t>
            </w:r>
          </w:p>
        </w:tc>
        <w:tc>
          <w:tcPr>
            <w:tcW w:w="664" w:type="pct"/>
          </w:tcPr>
          <w:p w14:paraId="15C5F141" w14:textId="77777777" w:rsidR="007F0CC0" w:rsidRPr="00720609" w:rsidRDefault="007F0CC0" w:rsidP="003E28BC">
            <w:pPr>
              <w:jc w:val="center"/>
              <w:rPr>
                <w:sz w:val="20"/>
                <w:szCs w:val="20"/>
              </w:rPr>
            </w:pPr>
            <w:r w:rsidRPr="00720609">
              <w:rPr>
                <w:sz w:val="20"/>
                <w:szCs w:val="20"/>
              </w:rPr>
              <w:t>1</w:t>
            </w:r>
            <w:r w:rsidRPr="00720609">
              <w:rPr>
                <w:sz w:val="20"/>
                <w:szCs w:val="20"/>
                <w:vertAlign w:val="superscript"/>
              </w:rPr>
              <w:t>st</w:t>
            </w:r>
            <w:r w:rsidRPr="00720609">
              <w:rPr>
                <w:sz w:val="20"/>
                <w:szCs w:val="20"/>
              </w:rPr>
              <w:t xml:space="preserve">  </w:t>
            </w:r>
          </w:p>
        </w:tc>
        <w:tc>
          <w:tcPr>
            <w:tcW w:w="1524" w:type="pct"/>
          </w:tcPr>
          <w:p w14:paraId="65C4FBB0" w14:textId="77777777" w:rsidR="007F0CC0" w:rsidRPr="00720609" w:rsidRDefault="007F0CC0" w:rsidP="003812A8">
            <w:pPr>
              <w:pStyle w:val="ListParagraph"/>
              <w:numPr>
                <w:ilvl w:val="0"/>
                <w:numId w:val="16"/>
              </w:numPr>
              <w:spacing w:before="0"/>
              <w:ind w:left="180" w:hanging="180"/>
              <w:rPr>
                <w:rFonts w:eastAsia="Arial"/>
                <w:sz w:val="20"/>
                <w:szCs w:val="20"/>
              </w:rPr>
            </w:pPr>
            <w:r w:rsidRPr="00720609">
              <w:rPr>
                <w:rFonts w:eastAsia="Arial"/>
                <w:sz w:val="20"/>
                <w:szCs w:val="20"/>
              </w:rPr>
              <w:t xml:space="preserve">Maintain XPOVIO and institute supportive care. </w:t>
            </w:r>
          </w:p>
        </w:tc>
        <w:tc>
          <w:tcPr>
            <w:tcW w:w="1525" w:type="pct"/>
          </w:tcPr>
          <w:p w14:paraId="50F88E2A" w14:textId="77777777" w:rsidR="007F0CC0" w:rsidRPr="00720609" w:rsidRDefault="007F0CC0" w:rsidP="003812A8">
            <w:pPr>
              <w:pStyle w:val="ListParagraph"/>
              <w:numPr>
                <w:ilvl w:val="0"/>
                <w:numId w:val="16"/>
              </w:numPr>
              <w:spacing w:before="0"/>
              <w:ind w:left="180" w:hanging="180"/>
              <w:rPr>
                <w:rFonts w:eastAsia="Arial"/>
                <w:sz w:val="20"/>
                <w:szCs w:val="20"/>
              </w:rPr>
            </w:pPr>
            <w:r w:rsidRPr="00720609">
              <w:rPr>
                <w:rFonts w:eastAsia="Arial"/>
                <w:sz w:val="20"/>
                <w:szCs w:val="20"/>
              </w:rPr>
              <w:t>Interrupt XPOVIO and institute supportive care.</w:t>
            </w:r>
          </w:p>
          <w:p w14:paraId="6A72CB6E" w14:textId="77777777" w:rsidR="007F0CC0" w:rsidRPr="00720609" w:rsidRDefault="007F0CC0" w:rsidP="003812A8">
            <w:pPr>
              <w:pStyle w:val="ListParagraph"/>
              <w:numPr>
                <w:ilvl w:val="0"/>
                <w:numId w:val="16"/>
              </w:numPr>
              <w:spacing w:before="0"/>
              <w:ind w:left="180" w:hanging="180"/>
              <w:rPr>
                <w:rFonts w:eastAsia="Arial"/>
                <w:sz w:val="20"/>
                <w:szCs w:val="20"/>
              </w:rPr>
            </w:pPr>
            <w:r w:rsidRPr="00720609">
              <w:rPr>
                <w:rFonts w:eastAsia="Arial"/>
                <w:sz w:val="20"/>
                <w:szCs w:val="20"/>
              </w:rPr>
              <w:t>Monitor until diarrhea resolves to Grade 1 or lower.</w:t>
            </w:r>
          </w:p>
          <w:p w14:paraId="50F3238F" w14:textId="77777777" w:rsidR="007F0CC0" w:rsidRPr="00720609" w:rsidRDefault="007F0CC0" w:rsidP="003812A8">
            <w:pPr>
              <w:pStyle w:val="ListParagraph"/>
              <w:numPr>
                <w:ilvl w:val="0"/>
                <w:numId w:val="16"/>
              </w:numPr>
              <w:spacing w:before="0"/>
              <w:ind w:left="180" w:hanging="180"/>
              <w:rPr>
                <w:rFonts w:eastAsia="Arial"/>
                <w:sz w:val="20"/>
                <w:szCs w:val="20"/>
              </w:rPr>
            </w:pPr>
            <w:r w:rsidRPr="00720609">
              <w:rPr>
                <w:rFonts w:eastAsia="Arial"/>
                <w:sz w:val="20"/>
                <w:szCs w:val="20"/>
              </w:rPr>
              <w:t>Restart XPOVIO at current dose.</w:t>
            </w:r>
          </w:p>
        </w:tc>
      </w:tr>
      <w:tr w:rsidR="007F0CC0" w:rsidRPr="00285944" w14:paraId="44DF6E60" w14:textId="77777777" w:rsidTr="00EC2C08">
        <w:trPr>
          <w:trHeight w:val="732"/>
        </w:trPr>
        <w:tc>
          <w:tcPr>
            <w:tcW w:w="1286" w:type="pct"/>
            <w:vMerge/>
          </w:tcPr>
          <w:p w14:paraId="3D2DB74B" w14:textId="77777777" w:rsidR="007F0CC0" w:rsidRPr="00720609" w:rsidRDefault="007F0CC0" w:rsidP="003E28BC">
            <w:pPr>
              <w:rPr>
                <w:sz w:val="20"/>
                <w:szCs w:val="20"/>
              </w:rPr>
            </w:pPr>
          </w:p>
        </w:tc>
        <w:tc>
          <w:tcPr>
            <w:tcW w:w="664" w:type="pct"/>
          </w:tcPr>
          <w:p w14:paraId="1DDD838D" w14:textId="77777777" w:rsidR="007F0CC0" w:rsidRPr="00720609" w:rsidRDefault="007F0CC0" w:rsidP="003E28BC">
            <w:pPr>
              <w:jc w:val="center"/>
              <w:rPr>
                <w:sz w:val="20"/>
                <w:szCs w:val="20"/>
              </w:rPr>
            </w:pPr>
            <w:r w:rsidRPr="00720609">
              <w:rPr>
                <w:sz w:val="20"/>
                <w:szCs w:val="20"/>
              </w:rPr>
              <w:t>2</w:t>
            </w:r>
            <w:r w:rsidRPr="00720609">
              <w:rPr>
                <w:sz w:val="20"/>
                <w:szCs w:val="20"/>
                <w:vertAlign w:val="superscript"/>
              </w:rPr>
              <w:t>nd</w:t>
            </w:r>
            <w:r w:rsidRPr="00720609">
              <w:rPr>
                <w:sz w:val="20"/>
                <w:szCs w:val="20"/>
              </w:rPr>
              <w:t xml:space="preserve"> and subsequent</w:t>
            </w:r>
          </w:p>
        </w:tc>
        <w:tc>
          <w:tcPr>
            <w:tcW w:w="1524" w:type="pct"/>
          </w:tcPr>
          <w:p w14:paraId="560C80C1"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Reduce XPOVIO by 1 dose level (see </w:t>
            </w:r>
            <w:hyperlink w:anchor="Table_1" w:history="1">
              <w:r w:rsidRPr="00720609">
                <w:rPr>
                  <w:rStyle w:val="Hyperlink"/>
                  <w:rFonts w:eastAsia="Arial"/>
                  <w:sz w:val="20"/>
                  <w:szCs w:val="20"/>
                </w:rPr>
                <w:t>Table 1</w:t>
              </w:r>
            </w:hyperlink>
            <w:r w:rsidRPr="00720609">
              <w:rPr>
                <w:rFonts w:eastAsia="Arial"/>
                <w:sz w:val="20"/>
                <w:szCs w:val="20"/>
              </w:rPr>
              <w:t xml:space="preserve">). </w:t>
            </w:r>
          </w:p>
          <w:p w14:paraId="38B43F5C"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Institute supportive care.</w:t>
            </w:r>
          </w:p>
        </w:tc>
        <w:tc>
          <w:tcPr>
            <w:tcW w:w="1525" w:type="pct"/>
          </w:tcPr>
          <w:p w14:paraId="75EF7EB1" w14:textId="77777777" w:rsidR="007F0CC0" w:rsidRPr="00720609" w:rsidRDefault="007F0CC0" w:rsidP="003812A8">
            <w:pPr>
              <w:pStyle w:val="ListParagraph"/>
              <w:numPr>
                <w:ilvl w:val="0"/>
                <w:numId w:val="10"/>
              </w:numPr>
              <w:spacing w:before="0"/>
              <w:ind w:left="177" w:hanging="180"/>
              <w:rPr>
                <w:rFonts w:eastAsia="Arial"/>
                <w:bCs/>
                <w:sz w:val="20"/>
                <w:szCs w:val="20"/>
              </w:rPr>
            </w:pPr>
            <w:r w:rsidRPr="00720609">
              <w:rPr>
                <w:rFonts w:eastAsia="Arial"/>
                <w:bCs/>
                <w:sz w:val="20"/>
                <w:szCs w:val="20"/>
              </w:rPr>
              <w:t>Interrupt XPOVIO and institute supportive care.</w:t>
            </w:r>
          </w:p>
          <w:p w14:paraId="7FDC3712" w14:textId="77777777" w:rsidR="007F0CC0" w:rsidRPr="00720609" w:rsidRDefault="007F0CC0" w:rsidP="003812A8">
            <w:pPr>
              <w:pStyle w:val="ListParagraph"/>
              <w:numPr>
                <w:ilvl w:val="0"/>
                <w:numId w:val="10"/>
              </w:numPr>
              <w:spacing w:before="0"/>
              <w:ind w:left="177" w:hanging="180"/>
              <w:rPr>
                <w:rFonts w:eastAsia="Arial"/>
                <w:bCs/>
                <w:sz w:val="20"/>
                <w:szCs w:val="20"/>
              </w:rPr>
            </w:pPr>
            <w:r w:rsidRPr="00720609">
              <w:rPr>
                <w:rFonts w:eastAsia="Arial"/>
                <w:bCs/>
                <w:sz w:val="20"/>
                <w:szCs w:val="20"/>
              </w:rPr>
              <w:t>Monitor until diarrhea resolves to Grade 1 or lower.</w:t>
            </w:r>
          </w:p>
          <w:p w14:paraId="3E39A799"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bCs/>
                <w:sz w:val="20"/>
                <w:szCs w:val="20"/>
              </w:rPr>
              <w:t xml:space="preserve">Restart XPOVIO at 1 dose level lower (see </w:t>
            </w:r>
            <w:hyperlink w:anchor="Table_1" w:history="1">
              <w:r w:rsidRPr="00720609">
                <w:rPr>
                  <w:rStyle w:val="Hyperlink"/>
                  <w:rFonts w:eastAsia="Arial"/>
                  <w:bCs/>
                  <w:sz w:val="20"/>
                  <w:szCs w:val="20"/>
                </w:rPr>
                <w:t>Table 1</w:t>
              </w:r>
            </w:hyperlink>
            <w:r w:rsidRPr="00720609">
              <w:rPr>
                <w:rFonts w:eastAsia="Arial"/>
                <w:bCs/>
                <w:sz w:val="20"/>
                <w:szCs w:val="20"/>
              </w:rPr>
              <w:t>).</w:t>
            </w:r>
          </w:p>
        </w:tc>
      </w:tr>
      <w:tr w:rsidR="007F0CC0" w:rsidRPr="00FE1E16" w14:paraId="0F8EB42F" w14:textId="77777777" w:rsidTr="00EC2C08">
        <w:trPr>
          <w:trHeight w:val="1043"/>
        </w:trPr>
        <w:tc>
          <w:tcPr>
            <w:tcW w:w="1286" w:type="pct"/>
          </w:tcPr>
          <w:p w14:paraId="4A9A31E4" w14:textId="77777777" w:rsidR="007F0CC0" w:rsidRPr="00720609" w:rsidRDefault="007F0CC0" w:rsidP="003E28BC">
            <w:pPr>
              <w:rPr>
                <w:sz w:val="20"/>
                <w:szCs w:val="20"/>
              </w:rPr>
            </w:pPr>
            <w:r w:rsidRPr="00720609">
              <w:rPr>
                <w:sz w:val="20"/>
                <w:szCs w:val="20"/>
              </w:rPr>
              <w:lastRenderedPageBreak/>
              <w:t>Grade 3 or higher (increase of 7 stools or more per day over baseline; hospitalization indicated)</w:t>
            </w:r>
          </w:p>
        </w:tc>
        <w:tc>
          <w:tcPr>
            <w:tcW w:w="664" w:type="pct"/>
          </w:tcPr>
          <w:p w14:paraId="1878C994" w14:textId="77777777" w:rsidR="007F0CC0" w:rsidRPr="00720609" w:rsidRDefault="007F0CC0" w:rsidP="003E28BC">
            <w:pPr>
              <w:jc w:val="center"/>
              <w:rPr>
                <w:sz w:val="20"/>
                <w:szCs w:val="20"/>
              </w:rPr>
            </w:pPr>
            <w:r w:rsidRPr="00720609">
              <w:rPr>
                <w:sz w:val="20"/>
                <w:szCs w:val="20"/>
              </w:rPr>
              <w:t>Any</w:t>
            </w:r>
          </w:p>
          <w:p w14:paraId="6CD9ECC2" w14:textId="77777777" w:rsidR="007F0CC0" w:rsidRPr="00720609" w:rsidRDefault="007F0CC0" w:rsidP="003E28BC">
            <w:pPr>
              <w:jc w:val="center"/>
              <w:rPr>
                <w:sz w:val="20"/>
                <w:szCs w:val="20"/>
              </w:rPr>
            </w:pPr>
          </w:p>
        </w:tc>
        <w:tc>
          <w:tcPr>
            <w:tcW w:w="3049" w:type="pct"/>
            <w:gridSpan w:val="2"/>
          </w:tcPr>
          <w:p w14:paraId="7F5CBEF1"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Interrupt XPOVIO and institute supportive care.</w:t>
            </w:r>
          </w:p>
          <w:p w14:paraId="2416161E" w14:textId="1695CE4D"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Monitor until diarrhea resolves to Grade </w:t>
            </w:r>
            <w:r w:rsidR="001624F4">
              <w:rPr>
                <w:rFonts w:eastAsia="Arial"/>
                <w:sz w:val="20"/>
                <w:szCs w:val="20"/>
              </w:rPr>
              <w:t>1</w:t>
            </w:r>
            <w:r w:rsidRPr="00720609">
              <w:rPr>
                <w:rFonts w:eastAsia="Arial"/>
                <w:sz w:val="20"/>
                <w:szCs w:val="20"/>
              </w:rPr>
              <w:t xml:space="preserve"> or lower.</w:t>
            </w:r>
          </w:p>
          <w:p w14:paraId="7E5B4C65"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Restart XPOVIO at 1 dose level lower (see </w:t>
            </w:r>
            <w:hyperlink w:anchor="Table_1" w:history="1">
              <w:r w:rsidRPr="00720609">
                <w:rPr>
                  <w:rStyle w:val="Hyperlink"/>
                  <w:rFonts w:eastAsia="Arial"/>
                  <w:sz w:val="20"/>
                  <w:szCs w:val="20"/>
                </w:rPr>
                <w:t>Table 1</w:t>
              </w:r>
            </w:hyperlink>
            <w:r w:rsidRPr="00720609">
              <w:rPr>
                <w:rFonts w:eastAsia="Arial"/>
                <w:sz w:val="20"/>
                <w:szCs w:val="20"/>
              </w:rPr>
              <w:t xml:space="preserve">). </w:t>
            </w:r>
          </w:p>
        </w:tc>
      </w:tr>
      <w:tr w:rsidR="007F0CC0" w:rsidRPr="00FE1E16" w14:paraId="3C5D594F" w14:textId="77777777" w:rsidTr="003E28BC">
        <w:tc>
          <w:tcPr>
            <w:tcW w:w="5000" w:type="pct"/>
            <w:gridSpan w:val="4"/>
          </w:tcPr>
          <w:p w14:paraId="70A31B5B" w14:textId="5BB9CDA1" w:rsidR="007F0CC0" w:rsidRPr="00720609" w:rsidRDefault="007F0CC0" w:rsidP="003E28BC">
            <w:pPr>
              <w:rPr>
                <w:b/>
                <w:sz w:val="20"/>
                <w:szCs w:val="20"/>
              </w:rPr>
            </w:pPr>
            <w:r w:rsidRPr="00720609">
              <w:rPr>
                <w:b/>
                <w:sz w:val="20"/>
                <w:szCs w:val="20"/>
              </w:rPr>
              <w:t xml:space="preserve">Weight Loss and Anorexia </w:t>
            </w:r>
            <w:r w:rsidR="00F673FA" w:rsidRPr="00720609">
              <w:rPr>
                <w:rFonts w:eastAsia="Arial"/>
                <w:i/>
                <w:sz w:val="20"/>
                <w:szCs w:val="20"/>
              </w:rPr>
              <w:t>[see Special Warning and Precautions for Use (</w:t>
            </w:r>
            <w:hyperlink w:anchor="Gastro_5_3" w:history="1">
              <w:r w:rsidR="00F673FA" w:rsidRPr="00720609">
                <w:rPr>
                  <w:rStyle w:val="Hyperlink"/>
                  <w:rFonts w:eastAsia="Arial"/>
                  <w:i/>
                  <w:sz w:val="20"/>
                  <w:szCs w:val="20"/>
                </w:rPr>
                <w:t>4.4</w:t>
              </w:r>
            </w:hyperlink>
            <w:r w:rsidR="00F673FA" w:rsidRPr="00720609">
              <w:rPr>
                <w:rFonts w:eastAsia="Arial"/>
                <w:i/>
                <w:sz w:val="20"/>
                <w:szCs w:val="20"/>
              </w:rPr>
              <w:t>)]</w:t>
            </w:r>
          </w:p>
        </w:tc>
      </w:tr>
      <w:tr w:rsidR="007F0CC0" w:rsidRPr="00FE1E16" w14:paraId="78D15778" w14:textId="77777777" w:rsidTr="00EC2C08">
        <w:tc>
          <w:tcPr>
            <w:tcW w:w="1286" w:type="pct"/>
          </w:tcPr>
          <w:p w14:paraId="6438113A" w14:textId="77777777" w:rsidR="007F0CC0" w:rsidRPr="00720609" w:rsidRDefault="007F0CC0" w:rsidP="003E28BC">
            <w:pPr>
              <w:rPr>
                <w:sz w:val="20"/>
                <w:szCs w:val="20"/>
              </w:rPr>
            </w:pPr>
            <w:r w:rsidRPr="00720609">
              <w:rPr>
                <w:sz w:val="20"/>
                <w:szCs w:val="20"/>
              </w:rPr>
              <w:t xml:space="preserve">Weight loss of 10% to less than 20% </w:t>
            </w:r>
          </w:p>
          <w:p w14:paraId="55F9BCA1" w14:textId="77777777" w:rsidR="007F0CC0" w:rsidRPr="00720609" w:rsidRDefault="007F0CC0" w:rsidP="003E28BC">
            <w:pPr>
              <w:rPr>
                <w:sz w:val="20"/>
                <w:szCs w:val="20"/>
              </w:rPr>
            </w:pPr>
            <w:r w:rsidRPr="00720609">
              <w:rPr>
                <w:i/>
                <w:sz w:val="20"/>
                <w:szCs w:val="20"/>
              </w:rPr>
              <w:t>OR</w:t>
            </w:r>
            <w:r w:rsidRPr="00720609">
              <w:rPr>
                <w:sz w:val="20"/>
                <w:szCs w:val="20"/>
              </w:rPr>
              <w:t xml:space="preserve"> </w:t>
            </w:r>
          </w:p>
          <w:p w14:paraId="68C64F2B" w14:textId="77777777" w:rsidR="007F0CC0" w:rsidRPr="00720609" w:rsidRDefault="007F0CC0" w:rsidP="003E28BC">
            <w:pPr>
              <w:rPr>
                <w:sz w:val="20"/>
                <w:szCs w:val="20"/>
              </w:rPr>
            </w:pPr>
            <w:r w:rsidRPr="00720609">
              <w:rPr>
                <w:sz w:val="20"/>
                <w:szCs w:val="20"/>
              </w:rPr>
              <w:t>anorexia associated with significant weight loss or malnutrition</w:t>
            </w:r>
          </w:p>
        </w:tc>
        <w:tc>
          <w:tcPr>
            <w:tcW w:w="664" w:type="pct"/>
          </w:tcPr>
          <w:p w14:paraId="1AD806EE" w14:textId="77777777" w:rsidR="007F0CC0" w:rsidRPr="00720609" w:rsidRDefault="007F0CC0" w:rsidP="003E28BC">
            <w:pPr>
              <w:jc w:val="center"/>
              <w:rPr>
                <w:sz w:val="20"/>
                <w:szCs w:val="20"/>
              </w:rPr>
            </w:pPr>
            <w:r w:rsidRPr="00720609">
              <w:rPr>
                <w:sz w:val="20"/>
                <w:szCs w:val="20"/>
              </w:rPr>
              <w:t>Any</w:t>
            </w:r>
          </w:p>
        </w:tc>
        <w:tc>
          <w:tcPr>
            <w:tcW w:w="3049" w:type="pct"/>
            <w:gridSpan w:val="2"/>
          </w:tcPr>
          <w:p w14:paraId="6C8E97EC"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Interrupt XPOVIO and institute supportive care.</w:t>
            </w:r>
          </w:p>
          <w:p w14:paraId="3567332B"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Monitor until weight returns to more than 90% of baseline weight.</w:t>
            </w:r>
          </w:p>
          <w:p w14:paraId="5322CAF7"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Restart XPOVIO at 1 dose level lower (see </w:t>
            </w:r>
            <w:hyperlink w:anchor="Table_1" w:history="1">
              <w:r w:rsidRPr="00720609">
                <w:rPr>
                  <w:rStyle w:val="Hyperlink"/>
                  <w:rFonts w:eastAsia="Arial"/>
                  <w:sz w:val="20"/>
                  <w:szCs w:val="20"/>
                </w:rPr>
                <w:t>Table 1</w:t>
              </w:r>
            </w:hyperlink>
            <w:r w:rsidRPr="00720609">
              <w:rPr>
                <w:rFonts w:eastAsia="Arial"/>
                <w:sz w:val="20"/>
                <w:szCs w:val="20"/>
              </w:rPr>
              <w:t>).</w:t>
            </w:r>
          </w:p>
        </w:tc>
      </w:tr>
      <w:tr w:rsidR="007F0CC0" w:rsidRPr="003B37B1" w14:paraId="5FBA33B4" w14:textId="77777777" w:rsidTr="003E28BC">
        <w:tc>
          <w:tcPr>
            <w:tcW w:w="5000" w:type="pct"/>
            <w:gridSpan w:val="4"/>
          </w:tcPr>
          <w:p w14:paraId="12158C76" w14:textId="01CB534F" w:rsidR="007F0CC0" w:rsidRPr="00720609" w:rsidRDefault="007F0CC0" w:rsidP="003E28BC">
            <w:pPr>
              <w:rPr>
                <w:b/>
                <w:sz w:val="20"/>
                <w:szCs w:val="20"/>
              </w:rPr>
            </w:pPr>
            <w:r w:rsidRPr="00720609">
              <w:rPr>
                <w:b/>
                <w:sz w:val="20"/>
                <w:szCs w:val="20"/>
              </w:rPr>
              <w:t xml:space="preserve">Hyponatremia </w:t>
            </w:r>
            <w:r w:rsidR="00F673FA" w:rsidRPr="00720609">
              <w:rPr>
                <w:rFonts w:eastAsia="Arial"/>
                <w:i/>
                <w:sz w:val="20"/>
                <w:szCs w:val="20"/>
              </w:rPr>
              <w:t>[see Special Warning and Precautions for Use (</w:t>
            </w:r>
            <w:hyperlink w:anchor="Gastro_5_3" w:history="1">
              <w:r w:rsidR="00F673FA" w:rsidRPr="00720609">
                <w:rPr>
                  <w:rStyle w:val="Hyperlink"/>
                  <w:rFonts w:eastAsia="Arial"/>
                  <w:i/>
                  <w:sz w:val="20"/>
                  <w:szCs w:val="20"/>
                </w:rPr>
                <w:t>4.4</w:t>
              </w:r>
            </w:hyperlink>
            <w:r w:rsidR="00F673FA" w:rsidRPr="00720609">
              <w:rPr>
                <w:rFonts w:eastAsia="Arial"/>
                <w:i/>
                <w:sz w:val="20"/>
                <w:szCs w:val="20"/>
              </w:rPr>
              <w:t>)]</w:t>
            </w:r>
          </w:p>
        </w:tc>
      </w:tr>
      <w:tr w:rsidR="007F0CC0" w:rsidRPr="003D6D92" w14:paraId="403F2625" w14:textId="77777777" w:rsidTr="002B5FD1">
        <w:trPr>
          <w:trHeight w:val="413"/>
        </w:trPr>
        <w:tc>
          <w:tcPr>
            <w:tcW w:w="1951" w:type="pct"/>
            <w:gridSpan w:val="2"/>
          </w:tcPr>
          <w:p w14:paraId="055E5A02" w14:textId="77777777" w:rsidR="007F0CC0" w:rsidRPr="00720609" w:rsidRDefault="007F0CC0" w:rsidP="003E28BC">
            <w:pPr>
              <w:jc w:val="center"/>
              <w:rPr>
                <w:sz w:val="20"/>
                <w:szCs w:val="20"/>
              </w:rPr>
            </w:pPr>
          </w:p>
        </w:tc>
        <w:tc>
          <w:tcPr>
            <w:tcW w:w="1524" w:type="pct"/>
          </w:tcPr>
          <w:p w14:paraId="0FAFBB7F" w14:textId="27641208" w:rsidR="007F0CC0" w:rsidRPr="00720609" w:rsidRDefault="007F0CC0" w:rsidP="003E28BC">
            <w:pPr>
              <w:ind w:left="-3"/>
              <w:rPr>
                <w:rFonts w:eastAsia="Arial"/>
                <w:sz w:val="20"/>
                <w:szCs w:val="20"/>
              </w:rPr>
            </w:pPr>
            <w:r w:rsidRPr="00720609">
              <w:rPr>
                <w:bCs/>
                <w:sz w:val="20"/>
                <w:szCs w:val="20"/>
              </w:rPr>
              <w:t xml:space="preserve">Multiple Myeloma (Sd Combination) </w:t>
            </w:r>
          </w:p>
        </w:tc>
        <w:tc>
          <w:tcPr>
            <w:tcW w:w="1525" w:type="pct"/>
          </w:tcPr>
          <w:p w14:paraId="63B8B686" w14:textId="77777777" w:rsidR="007F0CC0" w:rsidRPr="00720609" w:rsidRDefault="007F0CC0" w:rsidP="003E28BC">
            <w:pPr>
              <w:ind w:left="-3"/>
              <w:rPr>
                <w:rFonts w:eastAsia="Arial"/>
                <w:sz w:val="20"/>
                <w:szCs w:val="20"/>
              </w:rPr>
            </w:pPr>
            <w:r w:rsidRPr="00720609">
              <w:rPr>
                <w:bCs/>
                <w:sz w:val="20"/>
                <w:szCs w:val="20"/>
              </w:rPr>
              <w:t>Multiple Myeloma (</w:t>
            </w:r>
            <w:proofErr w:type="spellStart"/>
            <w:r w:rsidRPr="00720609">
              <w:rPr>
                <w:bCs/>
                <w:sz w:val="20"/>
                <w:szCs w:val="20"/>
              </w:rPr>
              <w:t>SVd</w:t>
            </w:r>
            <w:proofErr w:type="spellEnd"/>
            <w:r w:rsidRPr="00720609">
              <w:rPr>
                <w:bCs/>
                <w:sz w:val="20"/>
                <w:szCs w:val="20"/>
              </w:rPr>
              <w:t xml:space="preserve"> Combination)</w:t>
            </w:r>
          </w:p>
        </w:tc>
      </w:tr>
      <w:tr w:rsidR="007F0CC0" w:rsidRPr="003D6D92" w14:paraId="0999DAEE" w14:textId="77777777" w:rsidTr="00EC2C08">
        <w:trPr>
          <w:trHeight w:val="737"/>
        </w:trPr>
        <w:tc>
          <w:tcPr>
            <w:tcW w:w="1286" w:type="pct"/>
          </w:tcPr>
          <w:p w14:paraId="51A72FC2" w14:textId="77777777" w:rsidR="007F0CC0" w:rsidRPr="00720609" w:rsidRDefault="007F0CC0" w:rsidP="003E28BC">
            <w:pPr>
              <w:rPr>
                <w:sz w:val="20"/>
                <w:szCs w:val="20"/>
              </w:rPr>
            </w:pPr>
            <w:r w:rsidRPr="00720609">
              <w:rPr>
                <w:bCs/>
                <w:sz w:val="20"/>
                <w:szCs w:val="20"/>
              </w:rPr>
              <w:t>Sodium level 130-120 mmol/L</w:t>
            </w:r>
          </w:p>
        </w:tc>
        <w:tc>
          <w:tcPr>
            <w:tcW w:w="664" w:type="pct"/>
          </w:tcPr>
          <w:p w14:paraId="15E008E9" w14:textId="77777777" w:rsidR="007F0CC0" w:rsidRPr="00720609" w:rsidRDefault="007F0CC0" w:rsidP="003E28BC">
            <w:pPr>
              <w:jc w:val="center"/>
              <w:rPr>
                <w:sz w:val="20"/>
                <w:szCs w:val="20"/>
              </w:rPr>
            </w:pPr>
            <w:r w:rsidRPr="00720609">
              <w:rPr>
                <w:sz w:val="20"/>
                <w:szCs w:val="20"/>
              </w:rPr>
              <w:t>Any</w:t>
            </w:r>
          </w:p>
        </w:tc>
        <w:tc>
          <w:tcPr>
            <w:tcW w:w="1524" w:type="pct"/>
          </w:tcPr>
          <w:p w14:paraId="4EC2878B" w14:textId="77777777" w:rsidR="007F0CC0" w:rsidRPr="00720609" w:rsidRDefault="007F0CC0" w:rsidP="003812A8">
            <w:pPr>
              <w:pStyle w:val="ListParagraph"/>
              <w:numPr>
                <w:ilvl w:val="0"/>
                <w:numId w:val="10"/>
              </w:numPr>
              <w:spacing w:before="0"/>
              <w:ind w:left="177" w:hanging="180"/>
              <w:rPr>
                <w:sz w:val="20"/>
                <w:szCs w:val="20"/>
              </w:rPr>
            </w:pPr>
            <w:r w:rsidRPr="00720609">
              <w:rPr>
                <w:rFonts w:eastAsia="Arial"/>
                <w:sz w:val="20"/>
                <w:szCs w:val="20"/>
              </w:rPr>
              <w:t>Interrupt XPOVIO, evaluate, and provide supportive care.</w:t>
            </w:r>
          </w:p>
          <w:p w14:paraId="17D6C27B" w14:textId="77777777" w:rsidR="007F0CC0" w:rsidRPr="00720609" w:rsidRDefault="007F0CC0" w:rsidP="003812A8">
            <w:pPr>
              <w:pStyle w:val="ListParagraph"/>
              <w:numPr>
                <w:ilvl w:val="0"/>
                <w:numId w:val="10"/>
              </w:numPr>
              <w:spacing w:before="0"/>
              <w:ind w:left="177" w:hanging="180"/>
              <w:rPr>
                <w:sz w:val="20"/>
                <w:szCs w:val="20"/>
              </w:rPr>
            </w:pPr>
            <w:r w:rsidRPr="00720609">
              <w:rPr>
                <w:rFonts w:eastAsia="Arial"/>
                <w:sz w:val="20"/>
                <w:szCs w:val="20"/>
              </w:rPr>
              <w:t>Monitor until sodium levels return to greater than 130 mmol/L.</w:t>
            </w:r>
          </w:p>
          <w:p w14:paraId="24EF9A23"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Restart XPOVIO at 1 dose level lower (see </w:t>
            </w:r>
            <w:hyperlink w:anchor="Table_1" w:history="1">
              <w:r w:rsidRPr="00720609">
                <w:rPr>
                  <w:rStyle w:val="Hyperlink"/>
                  <w:rFonts w:eastAsia="Arial"/>
                  <w:sz w:val="20"/>
                  <w:szCs w:val="20"/>
                </w:rPr>
                <w:t>Table 1</w:t>
              </w:r>
            </w:hyperlink>
            <w:r w:rsidRPr="00720609">
              <w:rPr>
                <w:rFonts w:eastAsia="Arial"/>
                <w:sz w:val="20"/>
                <w:szCs w:val="20"/>
              </w:rPr>
              <w:t xml:space="preserve">). </w:t>
            </w:r>
          </w:p>
        </w:tc>
        <w:tc>
          <w:tcPr>
            <w:tcW w:w="1525" w:type="pct"/>
          </w:tcPr>
          <w:p w14:paraId="16F90610" w14:textId="77777777" w:rsidR="007F0CC0" w:rsidRPr="00720609" w:rsidRDefault="007F0CC0" w:rsidP="003812A8">
            <w:pPr>
              <w:pStyle w:val="ListParagraph"/>
              <w:numPr>
                <w:ilvl w:val="0"/>
                <w:numId w:val="10"/>
              </w:numPr>
              <w:spacing w:before="0"/>
              <w:ind w:left="177" w:hanging="180"/>
              <w:rPr>
                <w:rFonts w:eastAsia="Arial"/>
                <w:bCs/>
                <w:sz w:val="20"/>
                <w:szCs w:val="20"/>
              </w:rPr>
            </w:pPr>
            <w:r w:rsidRPr="00720609">
              <w:rPr>
                <w:rFonts w:eastAsia="Arial"/>
                <w:bCs/>
                <w:sz w:val="20"/>
                <w:szCs w:val="20"/>
              </w:rPr>
              <w:t>Maintain XPOVIO dose and provide appropriate supportive care.</w:t>
            </w:r>
          </w:p>
          <w:p w14:paraId="6A6A4304"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bCs/>
                <w:sz w:val="20"/>
                <w:szCs w:val="20"/>
              </w:rPr>
              <w:t>Monitor sodium levels.</w:t>
            </w:r>
          </w:p>
        </w:tc>
      </w:tr>
      <w:tr w:rsidR="007F0CC0" w:rsidRPr="003B37B1" w14:paraId="1ABD15F5" w14:textId="77777777" w:rsidTr="00EC2C08">
        <w:trPr>
          <w:trHeight w:val="737"/>
        </w:trPr>
        <w:tc>
          <w:tcPr>
            <w:tcW w:w="1286" w:type="pct"/>
          </w:tcPr>
          <w:p w14:paraId="6E709435" w14:textId="7047BD03" w:rsidR="007F0CC0" w:rsidRPr="00720609" w:rsidRDefault="007F0CC0" w:rsidP="003E28BC">
            <w:pPr>
              <w:rPr>
                <w:sz w:val="20"/>
                <w:szCs w:val="20"/>
              </w:rPr>
            </w:pPr>
            <w:r w:rsidRPr="00720609">
              <w:rPr>
                <w:sz w:val="20"/>
                <w:szCs w:val="20"/>
              </w:rPr>
              <w:t>Sodium level 120 mmol/L or less</w:t>
            </w:r>
          </w:p>
        </w:tc>
        <w:tc>
          <w:tcPr>
            <w:tcW w:w="664" w:type="pct"/>
          </w:tcPr>
          <w:p w14:paraId="6FF2947C" w14:textId="77777777" w:rsidR="007F0CC0" w:rsidRPr="00720609" w:rsidRDefault="007F0CC0" w:rsidP="003E28BC">
            <w:pPr>
              <w:jc w:val="center"/>
              <w:rPr>
                <w:sz w:val="20"/>
                <w:szCs w:val="20"/>
              </w:rPr>
            </w:pPr>
            <w:r w:rsidRPr="00720609">
              <w:rPr>
                <w:sz w:val="20"/>
                <w:szCs w:val="20"/>
              </w:rPr>
              <w:t>Any</w:t>
            </w:r>
          </w:p>
        </w:tc>
        <w:tc>
          <w:tcPr>
            <w:tcW w:w="3049" w:type="pct"/>
            <w:gridSpan w:val="2"/>
          </w:tcPr>
          <w:p w14:paraId="48375427" w14:textId="77777777" w:rsidR="007F0CC0" w:rsidRPr="00720609" w:rsidRDefault="007F0CC0" w:rsidP="003812A8">
            <w:pPr>
              <w:pStyle w:val="ListParagraph"/>
              <w:numPr>
                <w:ilvl w:val="0"/>
                <w:numId w:val="10"/>
              </w:numPr>
              <w:spacing w:before="0"/>
              <w:ind w:left="177" w:hanging="180"/>
              <w:rPr>
                <w:sz w:val="20"/>
                <w:szCs w:val="20"/>
              </w:rPr>
            </w:pPr>
            <w:r w:rsidRPr="00720609">
              <w:rPr>
                <w:rFonts w:eastAsia="Arial"/>
                <w:sz w:val="20"/>
                <w:szCs w:val="20"/>
              </w:rPr>
              <w:t>Interrupt XPOVIO, evaluate, and provide supportive care.</w:t>
            </w:r>
          </w:p>
          <w:p w14:paraId="0DA446CB" w14:textId="77777777" w:rsidR="007F0CC0" w:rsidRPr="00720609" w:rsidRDefault="007F0CC0" w:rsidP="003812A8">
            <w:pPr>
              <w:pStyle w:val="ListParagraph"/>
              <w:numPr>
                <w:ilvl w:val="0"/>
                <w:numId w:val="10"/>
              </w:numPr>
              <w:spacing w:before="0"/>
              <w:ind w:left="177" w:hanging="180"/>
              <w:rPr>
                <w:sz w:val="20"/>
                <w:szCs w:val="20"/>
              </w:rPr>
            </w:pPr>
            <w:r w:rsidRPr="00720609">
              <w:rPr>
                <w:rFonts w:eastAsia="Arial"/>
                <w:sz w:val="20"/>
                <w:szCs w:val="20"/>
              </w:rPr>
              <w:t>Monitor until sodium levels return to greater than 130 mmol/L.</w:t>
            </w:r>
          </w:p>
          <w:p w14:paraId="723C9F6D"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Restart XPOVIO at 1 dose level lower (see </w:t>
            </w:r>
            <w:hyperlink w:anchor="Table_1" w:history="1">
              <w:r w:rsidRPr="00720609">
                <w:rPr>
                  <w:rStyle w:val="Hyperlink"/>
                  <w:rFonts w:eastAsia="Arial"/>
                  <w:sz w:val="20"/>
                  <w:szCs w:val="20"/>
                </w:rPr>
                <w:t>Table 1</w:t>
              </w:r>
            </w:hyperlink>
            <w:r w:rsidRPr="00720609">
              <w:rPr>
                <w:rFonts w:eastAsia="Arial"/>
                <w:sz w:val="20"/>
                <w:szCs w:val="20"/>
              </w:rPr>
              <w:t xml:space="preserve">). </w:t>
            </w:r>
          </w:p>
        </w:tc>
      </w:tr>
      <w:tr w:rsidR="007F0CC0" w:rsidRPr="00F27AA4" w14:paraId="131E86DC" w14:textId="77777777" w:rsidTr="003E28BC">
        <w:tc>
          <w:tcPr>
            <w:tcW w:w="5000" w:type="pct"/>
            <w:gridSpan w:val="4"/>
          </w:tcPr>
          <w:p w14:paraId="63000722" w14:textId="77777777" w:rsidR="007F0CC0" w:rsidRPr="00720609" w:rsidRDefault="007F0CC0" w:rsidP="003E28BC">
            <w:pPr>
              <w:keepNext/>
              <w:rPr>
                <w:b/>
                <w:sz w:val="20"/>
                <w:szCs w:val="20"/>
              </w:rPr>
            </w:pPr>
            <w:r w:rsidRPr="00720609">
              <w:rPr>
                <w:b/>
                <w:sz w:val="20"/>
                <w:szCs w:val="20"/>
              </w:rPr>
              <w:t>Fatigue</w:t>
            </w:r>
          </w:p>
        </w:tc>
      </w:tr>
      <w:tr w:rsidR="007F0CC0" w:rsidRPr="00BE4B4A" w14:paraId="2E43C14E" w14:textId="77777777" w:rsidTr="002B5FD1">
        <w:trPr>
          <w:trHeight w:val="494"/>
        </w:trPr>
        <w:tc>
          <w:tcPr>
            <w:tcW w:w="1951" w:type="pct"/>
            <w:gridSpan w:val="2"/>
          </w:tcPr>
          <w:p w14:paraId="152861CB" w14:textId="77777777" w:rsidR="007F0CC0" w:rsidRPr="00720609" w:rsidRDefault="007F0CC0" w:rsidP="003E28BC">
            <w:pPr>
              <w:jc w:val="center"/>
              <w:rPr>
                <w:sz w:val="20"/>
                <w:szCs w:val="20"/>
              </w:rPr>
            </w:pPr>
          </w:p>
        </w:tc>
        <w:tc>
          <w:tcPr>
            <w:tcW w:w="1524" w:type="pct"/>
          </w:tcPr>
          <w:p w14:paraId="493C613E" w14:textId="45148C1B" w:rsidR="007F0CC0" w:rsidRPr="00720609" w:rsidRDefault="007F0CC0" w:rsidP="003E28BC">
            <w:pPr>
              <w:rPr>
                <w:rFonts w:eastAsia="Arial"/>
                <w:sz w:val="20"/>
                <w:szCs w:val="20"/>
              </w:rPr>
            </w:pPr>
            <w:r w:rsidRPr="00720609">
              <w:rPr>
                <w:bCs/>
                <w:sz w:val="20"/>
                <w:szCs w:val="20"/>
              </w:rPr>
              <w:t xml:space="preserve">Multiple Myeloma (Sd Combination) </w:t>
            </w:r>
          </w:p>
        </w:tc>
        <w:tc>
          <w:tcPr>
            <w:tcW w:w="1525" w:type="pct"/>
          </w:tcPr>
          <w:p w14:paraId="2C6B5FB7" w14:textId="77777777" w:rsidR="007F0CC0" w:rsidRPr="00720609" w:rsidRDefault="007F0CC0" w:rsidP="003E28BC">
            <w:pPr>
              <w:rPr>
                <w:rFonts w:eastAsia="Arial"/>
                <w:sz w:val="20"/>
                <w:szCs w:val="20"/>
              </w:rPr>
            </w:pPr>
            <w:r w:rsidRPr="00720609">
              <w:rPr>
                <w:bCs/>
                <w:sz w:val="20"/>
                <w:szCs w:val="20"/>
              </w:rPr>
              <w:t>Multiple Myeloma (</w:t>
            </w:r>
            <w:proofErr w:type="spellStart"/>
            <w:r w:rsidRPr="00720609">
              <w:rPr>
                <w:bCs/>
                <w:sz w:val="20"/>
                <w:szCs w:val="20"/>
              </w:rPr>
              <w:t>SVd</w:t>
            </w:r>
            <w:proofErr w:type="spellEnd"/>
            <w:r w:rsidRPr="00720609">
              <w:rPr>
                <w:bCs/>
                <w:sz w:val="20"/>
                <w:szCs w:val="20"/>
              </w:rPr>
              <w:t xml:space="preserve"> Combination)</w:t>
            </w:r>
          </w:p>
        </w:tc>
      </w:tr>
      <w:tr w:rsidR="007F0CC0" w:rsidRPr="00F27AA4" w14:paraId="4CD49DC6" w14:textId="77777777" w:rsidTr="00EC2C08">
        <w:trPr>
          <w:trHeight w:val="800"/>
        </w:trPr>
        <w:tc>
          <w:tcPr>
            <w:tcW w:w="1286" w:type="pct"/>
            <w:vMerge w:val="restart"/>
          </w:tcPr>
          <w:p w14:paraId="785B8E4C" w14:textId="77777777" w:rsidR="007F0CC0" w:rsidRPr="00720609" w:rsidRDefault="007F0CC0" w:rsidP="003E28BC">
            <w:pPr>
              <w:rPr>
                <w:sz w:val="20"/>
                <w:szCs w:val="20"/>
              </w:rPr>
            </w:pPr>
            <w:r w:rsidRPr="00720609">
              <w:rPr>
                <w:sz w:val="20"/>
                <w:szCs w:val="20"/>
              </w:rPr>
              <w:t xml:space="preserve">Grade 2 lasting greater than 7 days </w:t>
            </w:r>
          </w:p>
          <w:p w14:paraId="6B6EE5F4" w14:textId="77777777" w:rsidR="007F0CC0" w:rsidRPr="00720609" w:rsidRDefault="007F0CC0" w:rsidP="003E28BC">
            <w:pPr>
              <w:rPr>
                <w:sz w:val="20"/>
                <w:szCs w:val="20"/>
              </w:rPr>
            </w:pPr>
            <w:r w:rsidRPr="00720609">
              <w:rPr>
                <w:i/>
                <w:sz w:val="20"/>
                <w:szCs w:val="20"/>
              </w:rPr>
              <w:t>OR</w:t>
            </w:r>
            <w:r w:rsidRPr="00720609">
              <w:rPr>
                <w:sz w:val="20"/>
                <w:szCs w:val="20"/>
              </w:rPr>
              <w:t xml:space="preserve"> </w:t>
            </w:r>
          </w:p>
          <w:p w14:paraId="1878B4A9" w14:textId="77777777" w:rsidR="007F0CC0" w:rsidRPr="00720609" w:rsidRDefault="007F0CC0" w:rsidP="003E28BC">
            <w:pPr>
              <w:rPr>
                <w:sz w:val="20"/>
                <w:szCs w:val="20"/>
              </w:rPr>
            </w:pPr>
            <w:r w:rsidRPr="00720609">
              <w:rPr>
                <w:sz w:val="20"/>
                <w:szCs w:val="20"/>
              </w:rPr>
              <w:t>Grade 3</w:t>
            </w:r>
          </w:p>
        </w:tc>
        <w:tc>
          <w:tcPr>
            <w:tcW w:w="664" w:type="pct"/>
          </w:tcPr>
          <w:p w14:paraId="69B763FA" w14:textId="77777777" w:rsidR="007F0CC0" w:rsidRPr="00720609" w:rsidRDefault="007F0CC0" w:rsidP="003E28BC">
            <w:pPr>
              <w:jc w:val="center"/>
              <w:rPr>
                <w:sz w:val="20"/>
                <w:szCs w:val="20"/>
              </w:rPr>
            </w:pPr>
            <w:r w:rsidRPr="00720609">
              <w:rPr>
                <w:sz w:val="20"/>
                <w:szCs w:val="20"/>
              </w:rPr>
              <w:t>1</w:t>
            </w:r>
            <w:r w:rsidRPr="00720609">
              <w:rPr>
                <w:sz w:val="20"/>
                <w:szCs w:val="20"/>
                <w:vertAlign w:val="superscript"/>
              </w:rPr>
              <w:t>st</w:t>
            </w:r>
          </w:p>
        </w:tc>
        <w:tc>
          <w:tcPr>
            <w:tcW w:w="1524" w:type="pct"/>
          </w:tcPr>
          <w:p w14:paraId="3B834A95"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Interrupt XPOVIO.</w:t>
            </w:r>
          </w:p>
          <w:p w14:paraId="36D10B06"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Monitor until fatigue resolves to Grade 1 or baseline. </w:t>
            </w:r>
          </w:p>
          <w:p w14:paraId="0CA0B74E"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Restart XPOVIO at 1 dose level lower (see </w:t>
            </w:r>
            <w:hyperlink w:anchor="Table_1" w:history="1">
              <w:r w:rsidRPr="00720609">
                <w:rPr>
                  <w:rStyle w:val="Hyperlink"/>
                  <w:rFonts w:eastAsia="Arial"/>
                  <w:sz w:val="20"/>
                  <w:szCs w:val="20"/>
                </w:rPr>
                <w:t>Table 1</w:t>
              </w:r>
            </w:hyperlink>
            <w:r w:rsidRPr="00720609">
              <w:rPr>
                <w:rFonts w:eastAsia="Arial"/>
                <w:sz w:val="20"/>
                <w:szCs w:val="20"/>
              </w:rPr>
              <w:t>).</w:t>
            </w:r>
          </w:p>
        </w:tc>
        <w:tc>
          <w:tcPr>
            <w:tcW w:w="1525" w:type="pct"/>
          </w:tcPr>
          <w:p w14:paraId="0CA4E1D0"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Interrupt XPOVIO.</w:t>
            </w:r>
          </w:p>
          <w:p w14:paraId="2C779E10"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Monitor until fatigue resolves to Grade 1 or baseline. </w:t>
            </w:r>
          </w:p>
          <w:p w14:paraId="03F799D1"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Restart XPOVIO at current dose. </w:t>
            </w:r>
          </w:p>
        </w:tc>
      </w:tr>
      <w:tr w:rsidR="007F0CC0" w:rsidRPr="00F27AA4" w14:paraId="2748068C" w14:textId="77777777" w:rsidTr="00EC2C08">
        <w:trPr>
          <w:trHeight w:val="800"/>
        </w:trPr>
        <w:tc>
          <w:tcPr>
            <w:tcW w:w="1286" w:type="pct"/>
            <w:vMerge/>
          </w:tcPr>
          <w:p w14:paraId="13B58D46" w14:textId="77777777" w:rsidR="007F0CC0" w:rsidRPr="00720609" w:rsidRDefault="007F0CC0" w:rsidP="003E28BC">
            <w:pPr>
              <w:rPr>
                <w:sz w:val="20"/>
                <w:szCs w:val="20"/>
              </w:rPr>
            </w:pPr>
          </w:p>
        </w:tc>
        <w:tc>
          <w:tcPr>
            <w:tcW w:w="664" w:type="pct"/>
          </w:tcPr>
          <w:p w14:paraId="36F96FD3" w14:textId="0B2B0898" w:rsidR="007F0CC0" w:rsidRPr="00720609" w:rsidRDefault="007F0CC0" w:rsidP="003E28BC">
            <w:pPr>
              <w:jc w:val="center"/>
              <w:rPr>
                <w:sz w:val="20"/>
                <w:szCs w:val="20"/>
              </w:rPr>
            </w:pPr>
            <w:r w:rsidRPr="00720609">
              <w:rPr>
                <w:sz w:val="20"/>
                <w:szCs w:val="20"/>
              </w:rPr>
              <w:t>2</w:t>
            </w:r>
            <w:r w:rsidRPr="00720609">
              <w:rPr>
                <w:sz w:val="20"/>
                <w:szCs w:val="20"/>
                <w:vertAlign w:val="superscript"/>
              </w:rPr>
              <w:t>nd</w:t>
            </w:r>
            <w:r w:rsidRPr="00720609">
              <w:rPr>
                <w:sz w:val="20"/>
                <w:szCs w:val="20"/>
              </w:rPr>
              <w:t xml:space="preserve"> and subsequent</w:t>
            </w:r>
          </w:p>
          <w:p w14:paraId="1A43D0BD" w14:textId="77777777" w:rsidR="007F0CC0" w:rsidRPr="00720609" w:rsidRDefault="007F0CC0" w:rsidP="003E28BC">
            <w:pPr>
              <w:jc w:val="center"/>
              <w:rPr>
                <w:sz w:val="20"/>
                <w:szCs w:val="20"/>
              </w:rPr>
            </w:pPr>
          </w:p>
        </w:tc>
        <w:tc>
          <w:tcPr>
            <w:tcW w:w="3049" w:type="pct"/>
            <w:gridSpan w:val="2"/>
          </w:tcPr>
          <w:p w14:paraId="36ABA965"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Interrupt XPOVIO.</w:t>
            </w:r>
          </w:p>
          <w:p w14:paraId="728E4D26"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Monitor until fatigue resolves to Grade 1 or baseline. </w:t>
            </w:r>
          </w:p>
          <w:p w14:paraId="58329341"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Restart XPOVIO at 1 dose level lower (see </w:t>
            </w:r>
            <w:hyperlink w:anchor="Table_1" w:history="1">
              <w:r w:rsidRPr="00720609">
                <w:rPr>
                  <w:rStyle w:val="Hyperlink"/>
                  <w:rFonts w:eastAsia="Arial"/>
                  <w:sz w:val="20"/>
                  <w:szCs w:val="20"/>
                </w:rPr>
                <w:t>Table 1</w:t>
              </w:r>
            </w:hyperlink>
            <w:r w:rsidRPr="00720609">
              <w:rPr>
                <w:rFonts w:eastAsia="Arial"/>
                <w:sz w:val="20"/>
                <w:szCs w:val="20"/>
              </w:rPr>
              <w:t>).</w:t>
            </w:r>
          </w:p>
        </w:tc>
      </w:tr>
      <w:tr w:rsidR="007F0CC0" w:rsidRPr="00FE1E16" w14:paraId="7677A624" w14:textId="77777777" w:rsidTr="003E28BC">
        <w:tc>
          <w:tcPr>
            <w:tcW w:w="5000" w:type="pct"/>
            <w:gridSpan w:val="4"/>
          </w:tcPr>
          <w:p w14:paraId="112FEBD9" w14:textId="706C48C6" w:rsidR="007F0CC0" w:rsidRPr="00720609" w:rsidRDefault="00D90EDA" w:rsidP="003E28BC">
            <w:pPr>
              <w:rPr>
                <w:b/>
                <w:sz w:val="20"/>
                <w:szCs w:val="20"/>
              </w:rPr>
            </w:pPr>
            <w:r w:rsidRPr="00720609">
              <w:rPr>
                <w:b/>
                <w:sz w:val="20"/>
                <w:szCs w:val="20"/>
              </w:rPr>
              <w:t>Cataracts</w:t>
            </w:r>
            <w:r w:rsidR="00EC2C08">
              <w:rPr>
                <w:b/>
                <w:sz w:val="20"/>
                <w:szCs w:val="20"/>
              </w:rPr>
              <w:t>*</w:t>
            </w:r>
            <w:r w:rsidR="007F0CC0" w:rsidRPr="00720609">
              <w:rPr>
                <w:b/>
                <w:sz w:val="20"/>
                <w:szCs w:val="20"/>
              </w:rPr>
              <w:t xml:space="preserve"> </w:t>
            </w:r>
            <w:r w:rsidR="007F0CC0" w:rsidRPr="00720609">
              <w:rPr>
                <w:rFonts w:eastAsia="Arial"/>
                <w:i/>
                <w:sz w:val="20"/>
                <w:szCs w:val="20"/>
              </w:rPr>
              <w:t>[see Warning and Precautions (</w:t>
            </w:r>
            <w:r w:rsidRPr="00720609">
              <w:rPr>
                <w:rFonts w:eastAsia="Arial"/>
                <w:i/>
                <w:color w:val="0000FF"/>
                <w:sz w:val="20"/>
                <w:szCs w:val="20"/>
              </w:rPr>
              <w:t>4.4</w:t>
            </w:r>
            <w:r w:rsidR="007F0CC0" w:rsidRPr="00720609">
              <w:rPr>
                <w:rFonts w:eastAsia="Arial"/>
                <w:i/>
                <w:sz w:val="20"/>
                <w:szCs w:val="20"/>
              </w:rPr>
              <w:t>)]</w:t>
            </w:r>
          </w:p>
        </w:tc>
      </w:tr>
      <w:tr w:rsidR="007F0CC0" w:rsidRPr="00FE1E16" w14:paraId="5610B6A9" w14:textId="77777777" w:rsidTr="00EC2C08">
        <w:tc>
          <w:tcPr>
            <w:tcW w:w="1286" w:type="pct"/>
          </w:tcPr>
          <w:p w14:paraId="672DA9C3" w14:textId="77777777" w:rsidR="007F0CC0" w:rsidRPr="00720609" w:rsidRDefault="007F0CC0" w:rsidP="003E28BC">
            <w:pPr>
              <w:rPr>
                <w:sz w:val="20"/>
                <w:szCs w:val="20"/>
              </w:rPr>
            </w:pPr>
            <w:r w:rsidRPr="00720609">
              <w:rPr>
                <w:sz w:val="20"/>
                <w:szCs w:val="20"/>
              </w:rPr>
              <w:t>Grade 2, excluding cataract</w:t>
            </w:r>
          </w:p>
        </w:tc>
        <w:tc>
          <w:tcPr>
            <w:tcW w:w="664" w:type="pct"/>
          </w:tcPr>
          <w:p w14:paraId="5DD69340" w14:textId="77777777" w:rsidR="007F0CC0" w:rsidRPr="00720609" w:rsidRDefault="007F0CC0" w:rsidP="003E28BC">
            <w:pPr>
              <w:jc w:val="center"/>
              <w:rPr>
                <w:sz w:val="20"/>
                <w:szCs w:val="20"/>
              </w:rPr>
            </w:pPr>
            <w:r w:rsidRPr="00720609">
              <w:rPr>
                <w:sz w:val="20"/>
                <w:szCs w:val="20"/>
              </w:rPr>
              <w:t>Any</w:t>
            </w:r>
          </w:p>
        </w:tc>
        <w:tc>
          <w:tcPr>
            <w:tcW w:w="3049" w:type="pct"/>
            <w:gridSpan w:val="2"/>
          </w:tcPr>
          <w:p w14:paraId="0BDBF04B"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sz w:val="20"/>
                <w:szCs w:val="20"/>
              </w:rPr>
              <w:t>Perform ophthalmologic evaluation.</w:t>
            </w:r>
          </w:p>
          <w:p w14:paraId="0F9E3242"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Interrupt XPOVIO and provide supportive care.</w:t>
            </w:r>
          </w:p>
          <w:p w14:paraId="42FACC9E"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Monitor until ocular symptoms resolve to Grade 1 or baseline.</w:t>
            </w:r>
          </w:p>
          <w:p w14:paraId="2A889D8B"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Restart XPOVIO at 1 dose level lower (see </w:t>
            </w:r>
            <w:hyperlink w:anchor="Table_1" w:history="1">
              <w:r w:rsidRPr="00720609">
                <w:rPr>
                  <w:rStyle w:val="Hyperlink"/>
                  <w:rFonts w:eastAsia="Arial"/>
                  <w:sz w:val="20"/>
                  <w:szCs w:val="20"/>
                </w:rPr>
                <w:t>Table 1</w:t>
              </w:r>
            </w:hyperlink>
            <w:r w:rsidRPr="00720609">
              <w:rPr>
                <w:rFonts w:eastAsia="Arial"/>
                <w:sz w:val="20"/>
                <w:szCs w:val="20"/>
              </w:rPr>
              <w:t>).</w:t>
            </w:r>
          </w:p>
        </w:tc>
      </w:tr>
      <w:tr w:rsidR="007F0CC0" w:rsidRPr="00FE1E16" w:rsidDel="00397819" w14:paraId="38547D77" w14:textId="77777777" w:rsidTr="00EC2C08">
        <w:tc>
          <w:tcPr>
            <w:tcW w:w="1286" w:type="pct"/>
          </w:tcPr>
          <w:p w14:paraId="5A3C5114" w14:textId="77777777" w:rsidR="007F0CC0" w:rsidRPr="00720609" w:rsidRDefault="007F0CC0" w:rsidP="003E28BC">
            <w:pPr>
              <w:rPr>
                <w:sz w:val="20"/>
                <w:szCs w:val="20"/>
              </w:rPr>
            </w:pPr>
            <w:r w:rsidRPr="00720609">
              <w:rPr>
                <w:sz w:val="20"/>
                <w:szCs w:val="20"/>
              </w:rPr>
              <w:t>Grade ≥3</w:t>
            </w:r>
          </w:p>
        </w:tc>
        <w:tc>
          <w:tcPr>
            <w:tcW w:w="664" w:type="pct"/>
          </w:tcPr>
          <w:p w14:paraId="56FF4461" w14:textId="77777777" w:rsidR="007F0CC0" w:rsidRPr="00720609" w:rsidRDefault="007F0CC0" w:rsidP="003E28BC">
            <w:pPr>
              <w:jc w:val="center"/>
              <w:rPr>
                <w:sz w:val="20"/>
                <w:szCs w:val="20"/>
              </w:rPr>
            </w:pPr>
            <w:r w:rsidRPr="00720609">
              <w:rPr>
                <w:sz w:val="20"/>
                <w:szCs w:val="20"/>
              </w:rPr>
              <w:t>Any</w:t>
            </w:r>
          </w:p>
        </w:tc>
        <w:tc>
          <w:tcPr>
            <w:tcW w:w="3049" w:type="pct"/>
            <w:gridSpan w:val="2"/>
          </w:tcPr>
          <w:p w14:paraId="19EF2E75" w14:textId="77777777" w:rsidR="007F0CC0" w:rsidRPr="00720609" w:rsidRDefault="007F0CC0" w:rsidP="003812A8">
            <w:pPr>
              <w:pStyle w:val="ListParagraph"/>
              <w:numPr>
                <w:ilvl w:val="0"/>
                <w:numId w:val="10"/>
              </w:numPr>
              <w:spacing w:before="0"/>
              <w:ind w:left="177" w:hanging="180"/>
              <w:rPr>
                <w:sz w:val="20"/>
                <w:szCs w:val="20"/>
              </w:rPr>
            </w:pPr>
            <w:r w:rsidRPr="00720609">
              <w:rPr>
                <w:sz w:val="20"/>
                <w:szCs w:val="20"/>
              </w:rPr>
              <w:t xml:space="preserve">Permanently discontinue XPOVIO.  </w:t>
            </w:r>
          </w:p>
          <w:p w14:paraId="07D60397" w14:textId="77777777" w:rsidR="007F0CC0" w:rsidRPr="00720609" w:rsidDel="00397819" w:rsidRDefault="007F0CC0" w:rsidP="003812A8">
            <w:pPr>
              <w:pStyle w:val="ListParagraph"/>
              <w:numPr>
                <w:ilvl w:val="0"/>
                <w:numId w:val="10"/>
              </w:numPr>
              <w:spacing w:before="0"/>
              <w:ind w:left="177" w:hanging="180"/>
              <w:rPr>
                <w:sz w:val="20"/>
                <w:szCs w:val="20"/>
              </w:rPr>
            </w:pPr>
            <w:r w:rsidRPr="00720609">
              <w:rPr>
                <w:sz w:val="20"/>
                <w:szCs w:val="20"/>
              </w:rPr>
              <w:t>Perform ophthalmologic evaluation.</w:t>
            </w:r>
          </w:p>
        </w:tc>
      </w:tr>
      <w:tr w:rsidR="007F0CC0" w:rsidRPr="00FE1E16" w14:paraId="309417A9" w14:textId="77777777" w:rsidTr="00EC2C08">
        <w:tc>
          <w:tcPr>
            <w:tcW w:w="1286" w:type="pct"/>
          </w:tcPr>
          <w:p w14:paraId="1C5E0E42" w14:textId="77777777" w:rsidR="007F0CC0" w:rsidRPr="00720609" w:rsidRDefault="007F0CC0" w:rsidP="003E28BC">
            <w:pPr>
              <w:rPr>
                <w:sz w:val="20"/>
                <w:szCs w:val="20"/>
              </w:rPr>
            </w:pPr>
            <w:r w:rsidRPr="00720609">
              <w:rPr>
                <w:sz w:val="20"/>
                <w:szCs w:val="20"/>
              </w:rPr>
              <w:t xml:space="preserve">Cataract (Grade ≥2) </w:t>
            </w:r>
          </w:p>
        </w:tc>
        <w:tc>
          <w:tcPr>
            <w:tcW w:w="664" w:type="pct"/>
          </w:tcPr>
          <w:p w14:paraId="5F55AD27" w14:textId="77777777" w:rsidR="007F0CC0" w:rsidRPr="00720609" w:rsidRDefault="007F0CC0" w:rsidP="003E28BC">
            <w:pPr>
              <w:jc w:val="center"/>
              <w:rPr>
                <w:sz w:val="20"/>
                <w:szCs w:val="20"/>
              </w:rPr>
            </w:pPr>
            <w:r w:rsidRPr="00720609">
              <w:rPr>
                <w:sz w:val="20"/>
                <w:szCs w:val="20"/>
              </w:rPr>
              <w:t>Any</w:t>
            </w:r>
          </w:p>
        </w:tc>
        <w:tc>
          <w:tcPr>
            <w:tcW w:w="3049" w:type="pct"/>
            <w:gridSpan w:val="2"/>
          </w:tcPr>
          <w:p w14:paraId="74E08D54"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Perform ophthalmologic evaluation.</w:t>
            </w:r>
          </w:p>
          <w:p w14:paraId="659AB963"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Reduce XPOVIO by 1 dose level (see </w:t>
            </w:r>
            <w:hyperlink w:anchor="Table_1" w:history="1">
              <w:r w:rsidRPr="00720609">
                <w:rPr>
                  <w:rStyle w:val="Hyperlink"/>
                  <w:rFonts w:eastAsia="Arial"/>
                  <w:sz w:val="20"/>
                  <w:szCs w:val="20"/>
                </w:rPr>
                <w:t>Table 1</w:t>
              </w:r>
            </w:hyperlink>
            <w:r w:rsidRPr="00720609">
              <w:rPr>
                <w:rFonts w:eastAsia="Arial"/>
                <w:sz w:val="20"/>
                <w:szCs w:val="20"/>
              </w:rPr>
              <w:t>).</w:t>
            </w:r>
          </w:p>
          <w:p w14:paraId="7BC6FE20"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Monitor for progression.</w:t>
            </w:r>
          </w:p>
          <w:p w14:paraId="1C1018CC"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lastRenderedPageBreak/>
              <w:t>Hold XPOVIO dose 24 hours prior to surgery and for 72 hours after surgery.</w:t>
            </w:r>
          </w:p>
        </w:tc>
      </w:tr>
      <w:tr w:rsidR="007F0CC0" w:rsidRPr="00FE1E16" w14:paraId="44E05799" w14:textId="77777777" w:rsidTr="003E28BC">
        <w:tc>
          <w:tcPr>
            <w:tcW w:w="5000" w:type="pct"/>
            <w:gridSpan w:val="4"/>
          </w:tcPr>
          <w:p w14:paraId="3C5C8829" w14:textId="3B7A9BB2" w:rsidR="007F0CC0" w:rsidRPr="00720609" w:rsidRDefault="007F0CC0" w:rsidP="003E28BC">
            <w:pPr>
              <w:rPr>
                <w:b/>
                <w:sz w:val="20"/>
                <w:szCs w:val="20"/>
              </w:rPr>
            </w:pPr>
            <w:r w:rsidRPr="00720609">
              <w:rPr>
                <w:b/>
                <w:sz w:val="20"/>
                <w:szCs w:val="20"/>
              </w:rPr>
              <w:lastRenderedPageBreak/>
              <w:t>Other Non-Hematologic Adverse Reactions</w:t>
            </w:r>
          </w:p>
        </w:tc>
      </w:tr>
      <w:tr w:rsidR="007F0CC0" w:rsidRPr="00FE1E16" w14:paraId="49EABFD7" w14:textId="77777777" w:rsidTr="00EC2C08">
        <w:tc>
          <w:tcPr>
            <w:tcW w:w="1286" w:type="pct"/>
            <w:tcBorders>
              <w:bottom w:val="single" w:sz="4" w:space="0" w:color="auto"/>
            </w:tcBorders>
          </w:tcPr>
          <w:p w14:paraId="6D8D6617" w14:textId="77777777" w:rsidR="007F0CC0" w:rsidRPr="00720609" w:rsidRDefault="007F0CC0" w:rsidP="003E28BC">
            <w:pPr>
              <w:rPr>
                <w:sz w:val="20"/>
                <w:szCs w:val="20"/>
              </w:rPr>
            </w:pPr>
            <w:r w:rsidRPr="00720609">
              <w:rPr>
                <w:sz w:val="20"/>
                <w:szCs w:val="20"/>
              </w:rPr>
              <w:t xml:space="preserve">Grade 3 or 4 </w:t>
            </w:r>
          </w:p>
        </w:tc>
        <w:tc>
          <w:tcPr>
            <w:tcW w:w="664" w:type="pct"/>
            <w:tcBorders>
              <w:bottom w:val="single" w:sz="4" w:space="0" w:color="auto"/>
            </w:tcBorders>
          </w:tcPr>
          <w:p w14:paraId="64927491" w14:textId="77777777" w:rsidR="007F0CC0" w:rsidRPr="00720609" w:rsidRDefault="007F0CC0" w:rsidP="003E28BC">
            <w:pPr>
              <w:jc w:val="center"/>
              <w:rPr>
                <w:sz w:val="20"/>
                <w:szCs w:val="20"/>
              </w:rPr>
            </w:pPr>
            <w:r w:rsidRPr="00720609">
              <w:rPr>
                <w:sz w:val="20"/>
                <w:szCs w:val="20"/>
              </w:rPr>
              <w:t>Any</w:t>
            </w:r>
          </w:p>
        </w:tc>
        <w:tc>
          <w:tcPr>
            <w:tcW w:w="3049" w:type="pct"/>
            <w:gridSpan w:val="2"/>
            <w:tcBorders>
              <w:bottom w:val="single" w:sz="4" w:space="0" w:color="auto"/>
            </w:tcBorders>
          </w:tcPr>
          <w:p w14:paraId="618ED463"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Interrupt XPOVIO.</w:t>
            </w:r>
          </w:p>
          <w:p w14:paraId="3F76C184" w14:textId="77777777" w:rsidR="007F0CC0" w:rsidRPr="00720609" w:rsidRDefault="007F0CC0" w:rsidP="003812A8">
            <w:pPr>
              <w:pStyle w:val="ListParagraph"/>
              <w:numPr>
                <w:ilvl w:val="0"/>
                <w:numId w:val="10"/>
              </w:numPr>
              <w:spacing w:before="0"/>
              <w:ind w:left="177" w:hanging="180"/>
              <w:rPr>
                <w:rFonts w:eastAsia="Arial"/>
                <w:sz w:val="20"/>
                <w:szCs w:val="20"/>
              </w:rPr>
            </w:pPr>
            <w:r w:rsidRPr="00720609">
              <w:rPr>
                <w:rFonts w:eastAsia="Arial"/>
                <w:sz w:val="20"/>
                <w:szCs w:val="20"/>
              </w:rPr>
              <w:t xml:space="preserve">Monitor until resolved to Grade 2 or lower; restart XPOVIO at 1 dose level lower (see </w:t>
            </w:r>
            <w:hyperlink w:anchor="Table_1" w:history="1">
              <w:r w:rsidRPr="00720609">
                <w:rPr>
                  <w:rStyle w:val="Hyperlink"/>
                  <w:rFonts w:eastAsia="Arial"/>
                  <w:sz w:val="20"/>
                  <w:szCs w:val="20"/>
                </w:rPr>
                <w:t>Table 1</w:t>
              </w:r>
            </w:hyperlink>
            <w:r w:rsidRPr="00720609">
              <w:rPr>
                <w:rFonts w:eastAsia="Arial"/>
                <w:sz w:val="20"/>
                <w:szCs w:val="20"/>
              </w:rPr>
              <w:t xml:space="preserve">). </w:t>
            </w:r>
          </w:p>
        </w:tc>
      </w:tr>
      <w:tr w:rsidR="00EC2C08" w:rsidRPr="00FE1E16" w14:paraId="61FCFF01" w14:textId="77777777" w:rsidTr="00EC2C08">
        <w:tc>
          <w:tcPr>
            <w:tcW w:w="5000" w:type="pct"/>
            <w:gridSpan w:val="4"/>
            <w:tcBorders>
              <w:left w:val="nil"/>
              <w:bottom w:val="nil"/>
              <w:right w:val="nil"/>
            </w:tcBorders>
          </w:tcPr>
          <w:p w14:paraId="14AD936A" w14:textId="4DDE0407" w:rsidR="00EC2C08" w:rsidRPr="00EC2C08" w:rsidRDefault="00EC2C08" w:rsidP="00EC2C08">
            <w:pPr>
              <w:spacing w:before="0"/>
              <w:rPr>
                <w:rFonts w:eastAsia="Arial"/>
                <w:sz w:val="20"/>
                <w:szCs w:val="20"/>
              </w:rPr>
            </w:pPr>
            <w:r>
              <w:rPr>
                <w:rFonts w:eastAsia="Arial"/>
                <w:sz w:val="20"/>
                <w:szCs w:val="20"/>
              </w:rPr>
              <w:t xml:space="preserve">* </w:t>
            </w:r>
            <w:r>
              <w:rPr>
                <w:sz w:val="20"/>
                <w:szCs w:val="20"/>
              </w:rPr>
              <w:t>Catarac</w:t>
            </w:r>
            <w:r w:rsidRPr="00CD5832">
              <w:rPr>
                <w:sz w:val="20"/>
                <w:szCs w:val="20"/>
              </w:rPr>
              <w:t>t</w:t>
            </w:r>
            <w:r w:rsidR="00947EFB" w:rsidRPr="00CD5832">
              <w:rPr>
                <w:sz w:val="20"/>
                <w:szCs w:val="20"/>
              </w:rPr>
              <w:t>s</w:t>
            </w:r>
            <w:r>
              <w:rPr>
                <w:sz w:val="20"/>
                <w:szCs w:val="20"/>
              </w:rPr>
              <w:t xml:space="preserve"> includes cataract, cataract subcapsular and cataract cortical</w:t>
            </w:r>
          </w:p>
        </w:tc>
      </w:tr>
    </w:tbl>
    <w:p w14:paraId="09B4C9B5" w14:textId="6AA504A8" w:rsidR="005307DC" w:rsidRDefault="005307DC" w:rsidP="005307DC">
      <w:pPr>
        <w:pStyle w:val="Heading3"/>
        <w:numPr>
          <w:ilvl w:val="0"/>
          <w:numId w:val="0"/>
        </w:numPr>
        <w:ind w:left="680" w:hanging="680"/>
        <w:rPr>
          <w:lang w:val="en-AU"/>
        </w:rPr>
      </w:pPr>
      <w:r>
        <w:rPr>
          <w:lang w:val="en-AU"/>
        </w:rPr>
        <w:t>Method of Administration</w:t>
      </w:r>
    </w:p>
    <w:p w14:paraId="57B086DC" w14:textId="2DBB2F6F" w:rsidR="005307DC" w:rsidRDefault="005307DC" w:rsidP="005307DC">
      <w:pPr>
        <w:rPr>
          <w:lang w:val="en-AU"/>
        </w:rPr>
      </w:pPr>
      <w:r w:rsidRPr="001468A9">
        <w:rPr>
          <w:lang w:val="en-AU"/>
        </w:rPr>
        <w:t xml:space="preserve">The tablet should be swallowed whole with water. It should not be crushed, chewed, </w:t>
      </w:r>
      <w:proofErr w:type="gramStart"/>
      <w:r w:rsidRPr="001468A9">
        <w:rPr>
          <w:lang w:val="en-AU"/>
        </w:rPr>
        <w:t>broken</w:t>
      </w:r>
      <w:proofErr w:type="gramEnd"/>
      <w:r w:rsidRPr="001468A9">
        <w:rPr>
          <w:lang w:val="en-AU"/>
        </w:rPr>
        <w:t xml:space="preserve"> or divided in order to prevent risk of skin irritation from the active substance. It can be taken with or without food.</w:t>
      </w:r>
      <w:r>
        <w:rPr>
          <w:lang w:val="en-AU"/>
        </w:rPr>
        <w:t xml:space="preserve"> </w:t>
      </w:r>
    </w:p>
    <w:p w14:paraId="7DB148E3" w14:textId="77777777" w:rsidR="00FF3C48" w:rsidRPr="00FA1502" w:rsidRDefault="00FF3C48" w:rsidP="00FF3C48">
      <w:pPr>
        <w:rPr>
          <w:lang w:val="en-AU"/>
        </w:rPr>
      </w:pPr>
      <w:r w:rsidRPr="002B5FD1">
        <w:rPr>
          <w:lang w:val="en-AU"/>
        </w:rPr>
        <w:t>If a XPOVIO dose is missed or delayed or a patient vomits after a dose of XPOVIO, the patient should not repeat the dose. Patients should take the next dose on the next regularly scheduled day.</w:t>
      </w:r>
    </w:p>
    <w:p w14:paraId="16CDE879" w14:textId="77777777" w:rsidR="002867DC" w:rsidRPr="00555145" w:rsidRDefault="002867DC" w:rsidP="002867DC">
      <w:pPr>
        <w:rPr>
          <w:lang w:val="en-AU"/>
        </w:rPr>
      </w:pPr>
      <w:r w:rsidRPr="00555145">
        <w:rPr>
          <w:lang w:val="en-AU"/>
        </w:rPr>
        <w:t xml:space="preserve">Advise patients to maintain adequate fluid and caloric intake throughout treatment. </w:t>
      </w:r>
    </w:p>
    <w:p w14:paraId="745C39C1" w14:textId="77777777" w:rsidR="002867DC" w:rsidRPr="00555145" w:rsidRDefault="002867DC" w:rsidP="002867DC">
      <w:pPr>
        <w:rPr>
          <w:lang w:val="en-AU"/>
        </w:rPr>
      </w:pPr>
      <w:r w:rsidRPr="00555145">
        <w:rPr>
          <w:lang w:val="en-AU"/>
        </w:rPr>
        <w:t xml:space="preserve">Consider intravenous hydration for patients at risk of dehydration. </w:t>
      </w:r>
    </w:p>
    <w:p w14:paraId="011780B5" w14:textId="2CC7ECDC" w:rsidR="00FF3C48" w:rsidRDefault="00F55528" w:rsidP="00F55528">
      <w:pPr>
        <w:pStyle w:val="Heading3"/>
        <w:numPr>
          <w:ilvl w:val="0"/>
          <w:numId w:val="0"/>
        </w:numPr>
        <w:ind w:left="680" w:hanging="680"/>
        <w:rPr>
          <w:lang w:val="en-AU"/>
        </w:rPr>
      </w:pPr>
      <w:r>
        <w:rPr>
          <w:lang w:val="en-AU"/>
        </w:rPr>
        <w:t>Dosage Adjustment</w:t>
      </w:r>
    </w:p>
    <w:p w14:paraId="6522AF82" w14:textId="77777777" w:rsidR="00F55528" w:rsidRPr="009B4EB9" w:rsidRDefault="00F55528" w:rsidP="009B4EB9">
      <w:pPr>
        <w:pStyle w:val="Heading4"/>
        <w:numPr>
          <w:ilvl w:val="0"/>
          <w:numId w:val="0"/>
        </w:numPr>
        <w:rPr>
          <w:lang w:val="en-AU"/>
        </w:rPr>
      </w:pPr>
      <w:r w:rsidRPr="009B4EB9">
        <w:rPr>
          <w:lang w:val="en-AU"/>
        </w:rPr>
        <w:t>Use in hepatic impairment</w:t>
      </w:r>
    </w:p>
    <w:p w14:paraId="59C3245A" w14:textId="44563F47" w:rsidR="00F55528" w:rsidRPr="00F55528" w:rsidRDefault="00F55528" w:rsidP="00FD7886">
      <w:pPr>
        <w:rPr>
          <w:lang w:val="en-AU"/>
        </w:rPr>
      </w:pPr>
      <w:r w:rsidRPr="00F55528">
        <w:rPr>
          <w:lang w:val="en-AU"/>
        </w:rPr>
        <w:t xml:space="preserve">No dose adjustment is needed in patients with mild to moderate hepatic impairment </w:t>
      </w:r>
      <w:r w:rsidR="00FD7886">
        <w:rPr>
          <w:lang w:val="en-AU"/>
        </w:rPr>
        <w:t>(</w:t>
      </w:r>
      <w:r w:rsidRPr="00F55528">
        <w:rPr>
          <w:lang w:val="en-AU"/>
        </w:rPr>
        <w:t>see</w:t>
      </w:r>
      <w:r w:rsidR="00FD7886">
        <w:rPr>
          <w:lang w:val="en-AU"/>
        </w:rPr>
        <w:t xml:space="preserve"> </w:t>
      </w:r>
      <w:r w:rsidRPr="00F55528">
        <w:rPr>
          <w:iCs/>
        </w:rPr>
        <w:t xml:space="preserve">Sections </w:t>
      </w:r>
      <w:r w:rsidR="004A04DB">
        <w:rPr>
          <w:iCs/>
        </w:rPr>
        <w:fldChar w:fldCharType="begin"/>
      </w:r>
      <w:r w:rsidR="004A04DB">
        <w:rPr>
          <w:iCs/>
        </w:rPr>
        <w:instrText xml:space="preserve"> REF _Ref94178980 \r \h </w:instrText>
      </w:r>
      <w:r w:rsidR="004A04DB">
        <w:rPr>
          <w:iCs/>
        </w:rPr>
      </w:r>
      <w:r w:rsidR="004A04DB">
        <w:rPr>
          <w:iCs/>
        </w:rPr>
        <w:fldChar w:fldCharType="separate"/>
      </w:r>
      <w:r w:rsidR="00F53F5F">
        <w:rPr>
          <w:iCs/>
        </w:rPr>
        <w:t>4.4</w:t>
      </w:r>
      <w:r w:rsidR="004A04DB">
        <w:rPr>
          <w:iCs/>
        </w:rPr>
        <w:fldChar w:fldCharType="end"/>
      </w:r>
      <w:r w:rsidR="004A04DB">
        <w:rPr>
          <w:iCs/>
        </w:rPr>
        <w:t xml:space="preserve"> </w:t>
      </w:r>
      <w:r w:rsidR="00FD7886">
        <w:rPr>
          <w:iCs/>
        </w:rPr>
        <w:fldChar w:fldCharType="begin"/>
      </w:r>
      <w:r w:rsidR="00FD7886">
        <w:rPr>
          <w:iCs/>
        </w:rPr>
        <w:instrText xml:space="preserve"> REF _Ref94178980 \h </w:instrText>
      </w:r>
      <w:r w:rsidR="00FD7886">
        <w:rPr>
          <w:iCs/>
        </w:rPr>
      </w:r>
      <w:r w:rsidR="00FD7886">
        <w:rPr>
          <w:iCs/>
        </w:rPr>
        <w:fldChar w:fldCharType="separate"/>
      </w:r>
      <w:r w:rsidR="00F53F5F" w:rsidRPr="00FA1502">
        <w:rPr>
          <w:lang w:val="en-AU"/>
        </w:rPr>
        <w:t>SPECIAL WARNINGS AND PRECAUTIONS FOR USE</w:t>
      </w:r>
      <w:r w:rsidR="00FD7886">
        <w:rPr>
          <w:iCs/>
        </w:rPr>
        <w:fldChar w:fldCharType="end"/>
      </w:r>
      <w:r w:rsidR="00FD7886">
        <w:rPr>
          <w:iCs/>
        </w:rPr>
        <w:t xml:space="preserve"> </w:t>
      </w:r>
      <w:r w:rsidRPr="00F55528">
        <w:rPr>
          <w:iCs/>
        </w:rPr>
        <w:t xml:space="preserve">and </w:t>
      </w:r>
      <w:r w:rsidRPr="00F55528">
        <w:rPr>
          <w:lang w:val="en-AU"/>
        </w:rPr>
        <w:fldChar w:fldCharType="begin"/>
      </w:r>
      <w:r w:rsidRPr="00F55528">
        <w:rPr>
          <w:lang w:val="en-AU"/>
        </w:rPr>
        <w:instrText xml:space="preserve"> REF _Ref48221633 \r \h  \* MERGEFORMAT </w:instrText>
      </w:r>
      <w:r w:rsidRPr="00F55528">
        <w:rPr>
          <w:lang w:val="en-AU"/>
        </w:rPr>
      </w:r>
      <w:r w:rsidRPr="00F55528">
        <w:rPr>
          <w:lang w:val="en-AU"/>
        </w:rPr>
        <w:fldChar w:fldCharType="separate"/>
      </w:r>
      <w:r w:rsidR="00F53F5F">
        <w:rPr>
          <w:lang w:val="en-AU"/>
        </w:rPr>
        <w:t>5.2</w:t>
      </w:r>
      <w:r w:rsidRPr="00F55528">
        <w:rPr>
          <w:lang w:val="en-AU"/>
        </w:rPr>
        <w:fldChar w:fldCharType="end"/>
      </w:r>
      <w:r w:rsidR="00FD7886">
        <w:rPr>
          <w:lang w:val="en-AU"/>
        </w:rPr>
        <w:t xml:space="preserve"> </w:t>
      </w:r>
      <w:r w:rsidR="00FD7886">
        <w:rPr>
          <w:lang w:val="en-AU"/>
        </w:rPr>
        <w:fldChar w:fldCharType="begin"/>
      </w:r>
      <w:r w:rsidR="00FD7886">
        <w:rPr>
          <w:lang w:val="en-AU"/>
        </w:rPr>
        <w:instrText xml:space="preserve"> REF _Ref94179019 \h </w:instrText>
      </w:r>
      <w:r w:rsidR="00FD7886">
        <w:rPr>
          <w:lang w:val="en-AU"/>
        </w:rPr>
      </w:r>
      <w:r w:rsidR="00FD7886">
        <w:rPr>
          <w:lang w:val="en-AU"/>
        </w:rPr>
        <w:fldChar w:fldCharType="separate"/>
      </w:r>
      <w:r w:rsidR="00F53F5F" w:rsidRPr="00FA1502">
        <w:rPr>
          <w:lang w:val="en-AU"/>
        </w:rPr>
        <w:t>PHARMACOKINETIC PROPERTIES</w:t>
      </w:r>
      <w:r w:rsidR="00FD7886">
        <w:rPr>
          <w:lang w:val="en-AU"/>
        </w:rPr>
        <w:fldChar w:fldCharType="end"/>
      </w:r>
      <w:r w:rsidR="00FD7886">
        <w:rPr>
          <w:lang w:val="en-AU"/>
        </w:rPr>
        <w:t>).</w:t>
      </w:r>
      <w:r w:rsidRPr="00F55528">
        <w:rPr>
          <w:lang w:val="en-AU"/>
        </w:rPr>
        <w:t xml:space="preserve"> </w:t>
      </w:r>
    </w:p>
    <w:p w14:paraId="46368909" w14:textId="77777777" w:rsidR="00FD7886" w:rsidRDefault="00FD7886" w:rsidP="00FD7886">
      <w:pPr>
        <w:pStyle w:val="NormalIndent1"/>
        <w:ind w:left="0"/>
      </w:pPr>
    </w:p>
    <w:p w14:paraId="2E5670FB" w14:textId="29192F41" w:rsidR="00F55528" w:rsidRPr="009B4EB9" w:rsidRDefault="00F55528" w:rsidP="009B4EB9">
      <w:pPr>
        <w:pStyle w:val="Heading4"/>
        <w:numPr>
          <w:ilvl w:val="0"/>
          <w:numId w:val="0"/>
        </w:numPr>
        <w:rPr>
          <w:lang w:val="en-AU"/>
        </w:rPr>
      </w:pPr>
      <w:r w:rsidRPr="009B4EB9">
        <w:rPr>
          <w:lang w:val="en-AU"/>
        </w:rPr>
        <w:t>Use in renal impairment</w:t>
      </w:r>
    </w:p>
    <w:p w14:paraId="45391052" w14:textId="6979520F" w:rsidR="00F55528" w:rsidRPr="00F55528" w:rsidRDefault="00F55528" w:rsidP="00F55528">
      <w:pPr>
        <w:rPr>
          <w:lang w:val="en-AU"/>
        </w:rPr>
      </w:pPr>
      <w:r w:rsidRPr="00F55528">
        <w:rPr>
          <w:lang w:val="en-AU"/>
        </w:rPr>
        <w:t>No dosage adjustment of XPOVIO is recommended for patients with mild, moderate or severe renal impairment</w:t>
      </w:r>
      <w:r>
        <w:rPr>
          <w:lang w:val="en-AU"/>
        </w:rPr>
        <w:t xml:space="preserve"> </w:t>
      </w:r>
      <w:r w:rsidRPr="00F55528">
        <w:rPr>
          <w:lang w:val="en-AU"/>
        </w:rPr>
        <w:t xml:space="preserve">(see </w:t>
      </w:r>
      <w:r w:rsidRPr="00F55528">
        <w:rPr>
          <w:iCs/>
        </w:rPr>
        <w:t xml:space="preserve">Sections </w:t>
      </w:r>
      <w:r w:rsidR="004A04DB">
        <w:rPr>
          <w:iCs/>
        </w:rPr>
        <w:fldChar w:fldCharType="begin"/>
      </w:r>
      <w:r w:rsidR="004A04DB">
        <w:rPr>
          <w:iCs/>
        </w:rPr>
        <w:instrText xml:space="preserve"> REF _Ref94178980 \r \h </w:instrText>
      </w:r>
      <w:r w:rsidR="004A04DB">
        <w:rPr>
          <w:iCs/>
        </w:rPr>
      </w:r>
      <w:r w:rsidR="004A04DB">
        <w:rPr>
          <w:iCs/>
        </w:rPr>
        <w:fldChar w:fldCharType="separate"/>
      </w:r>
      <w:r w:rsidR="00F53F5F">
        <w:rPr>
          <w:iCs/>
        </w:rPr>
        <w:t>4.4</w:t>
      </w:r>
      <w:r w:rsidR="004A04DB">
        <w:rPr>
          <w:iCs/>
        </w:rPr>
        <w:fldChar w:fldCharType="end"/>
      </w:r>
      <w:r w:rsidR="004A04DB">
        <w:rPr>
          <w:iCs/>
        </w:rPr>
        <w:t xml:space="preserve"> </w:t>
      </w:r>
      <w:r w:rsidR="00FD7886">
        <w:rPr>
          <w:iCs/>
        </w:rPr>
        <w:fldChar w:fldCharType="begin"/>
      </w:r>
      <w:r w:rsidR="00FD7886">
        <w:rPr>
          <w:iCs/>
        </w:rPr>
        <w:instrText xml:space="preserve"> REF _Ref94178980 \h </w:instrText>
      </w:r>
      <w:r w:rsidR="00FD7886">
        <w:rPr>
          <w:iCs/>
        </w:rPr>
      </w:r>
      <w:r w:rsidR="00FD7886">
        <w:rPr>
          <w:iCs/>
        </w:rPr>
        <w:fldChar w:fldCharType="separate"/>
      </w:r>
      <w:r w:rsidR="00F53F5F" w:rsidRPr="00FA1502">
        <w:rPr>
          <w:lang w:val="en-AU"/>
        </w:rPr>
        <w:t>SPECIAL WARNINGS AND PRECAUTIONS FOR USE</w:t>
      </w:r>
      <w:r w:rsidR="00FD7886">
        <w:rPr>
          <w:iCs/>
        </w:rPr>
        <w:fldChar w:fldCharType="end"/>
      </w:r>
      <w:r w:rsidR="00FD7886">
        <w:rPr>
          <w:iCs/>
        </w:rPr>
        <w:t xml:space="preserve"> </w:t>
      </w:r>
      <w:r w:rsidRPr="00F55528">
        <w:rPr>
          <w:iCs/>
        </w:rPr>
        <w:t xml:space="preserve">and </w:t>
      </w:r>
      <w:r w:rsidRPr="00F55528">
        <w:rPr>
          <w:lang w:val="en-AU"/>
        </w:rPr>
        <w:t xml:space="preserve"> </w:t>
      </w:r>
      <w:r w:rsidRPr="00F55528">
        <w:rPr>
          <w:lang w:val="en-AU"/>
        </w:rPr>
        <w:fldChar w:fldCharType="begin"/>
      </w:r>
      <w:r w:rsidRPr="00F55528">
        <w:rPr>
          <w:lang w:val="en-AU"/>
        </w:rPr>
        <w:instrText xml:space="preserve"> REF _Ref48221633 \r \h  \* MERGEFORMAT </w:instrText>
      </w:r>
      <w:r w:rsidRPr="00F55528">
        <w:rPr>
          <w:lang w:val="en-AU"/>
        </w:rPr>
      </w:r>
      <w:r w:rsidRPr="00F55528">
        <w:rPr>
          <w:lang w:val="en-AU"/>
        </w:rPr>
        <w:fldChar w:fldCharType="separate"/>
      </w:r>
      <w:r w:rsidR="00F53F5F">
        <w:rPr>
          <w:lang w:val="en-AU"/>
        </w:rPr>
        <w:t>5.2</w:t>
      </w:r>
      <w:r w:rsidRPr="00F55528">
        <w:rPr>
          <w:lang w:val="en-AU"/>
        </w:rPr>
        <w:fldChar w:fldCharType="end"/>
      </w:r>
      <w:r w:rsidR="00FD7886">
        <w:rPr>
          <w:lang w:val="en-AU"/>
        </w:rPr>
        <w:t xml:space="preserve"> </w:t>
      </w:r>
      <w:r w:rsidR="00FD7886">
        <w:rPr>
          <w:lang w:val="en-AU"/>
        </w:rPr>
        <w:fldChar w:fldCharType="begin"/>
      </w:r>
      <w:r w:rsidR="00FD7886">
        <w:rPr>
          <w:lang w:val="en-AU"/>
        </w:rPr>
        <w:instrText xml:space="preserve"> REF _Ref94179019 \h </w:instrText>
      </w:r>
      <w:r w:rsidR="00FD7886">
        <w:rPr>
          <w:lang w:val="en-AU"/>
        </w:rPr>
      </w:r>
      <w:r w:rsidR="00FD7886">
        <w:rPr>
          <w:lang w:val="en-AU"/>
        </w:rPr>
        <w:fldChar w:fldCharType="separate"/>
      </w:r>
      <w:r w:rsidR="00F53F5F" w:rsidRPr="00FA1502">
        <w:rPr>
          <w:lang w:val="en-AU"/>
        </w:rPr>
        <w:t>PHARMACOKINETIC PROPERTIES</w:t>
      </w:r>
      <w:r w:rsidR="00FD7886">
        <w:rPr>
          <w:lang w:val="en-AU"/>
        </w:rPr>
        <w:fldChar w:fldCharType="end"/>
      </w:r>
      <w:r w:rsidRPr="00F55528">
        <w:rPr>
          <w:lang w:val="en-AU"/>
        </w:rPr>
        <w:t>).</w:t>
      </w:r>
    </w:p>
    <w:p w14:paraId="26C434DD" w14:textId="133D54D7" w:rsidR="00FD1F94" w:rsidRPr="00FA1502" w:rsidRDefault="00FD1F94" w:rsidP="00124389">
      <w:pPr>
        <w:pStyle w:val="Heading2"/>
        <w:rPr>
          <w:lang w:val="en-AU"/>
        </w:rPr>
      </w:pPr>
      <w:r w:rsidRPr="00FA1502">
        <w:rPr>
          <w:lang w:val="en-AU"/>
        </w:rPr>
        <w:t>CONTRAINDICATIONS</w:t>
      </w:r>
    </w:p>
    <w:p w14:paraId="32EC68FD" w14:textId="5F6CF39C" w:rsidR="00FF59B1" w:rsidRPr="00FA1502" w:rsidRDefault="00FF59B1" w:rsidP="00FF59B1">
      <w:pPr>
        <w:rPr>
          <w:lang w:val="en-AU"/>
        </w:rPr>
      </w:pPr>
      <w:r w:rsidRPr="001468A9">
        <w:rPr>
          <w:lang w:val="en-AU"/>
        </w:rPr>
        <w:t xml:space="preserve">Hypersensitivity to the active substance or to any of the excipients listed in </w:t>
      </w:r>
      <w:r w:rsidR="00704823" w:rsidRPr="001468A9">
        <w:rPr>
          <w:lang w:val="en-AU"/>
        </w:rPr>
        <w:t>S</w:t>
      </w:r>
      <w:r w:rsidRPr="001468A9">
        <w:rPr>
          <w:lang w:val="en-AU"/>
        </w:rPr>
        <w:t xml:space="preserve">ection </w:t>
      </w:r>
      <w:r w:rsidR="00704823" w:rsidRPr="001468A9">
        <w:rPr>
          <w:lang w:val="en-AU"/>
        </w:rPr>
        <w:fldChar w:fldCharType="begin"/>
      </w:r>
      <w:r w:rsidR="00704823" w:rsidRPr="001468A9">
        <w:rPr>
          <w:lang w:val="en-AU"/>
        </w:rPr>
        <w:instrText xml:space="preserve"> REF _Ref45709874 \r \h </w:instrText>
      </w:r>
      <w:r w:rsidR="005E3646" w:rsidRPr="001468A9">
        <w:rPr>
          <w:lang w:val="en-AU"/>
        </w:rPr>
        <w:instrText xml:space="preserve"> \* MERGEFORMAT </w:instrText>
      </w:r>
      <w:r w:rsidR="00704823" w:rsidRPr="001468A9">
        <w:rPr>
          <w:lang w:val="en-AU"/>
        </w:rPr>
      </w:r>
      <w:r w:rsidR="00704823" w:rsidRPr="001468A9">
        <w:rPr>
          <w:lang w:val="en-AU"/>
        </w:rPr>
        <w:fldChar w:fldCharType="separate"/>
      </w:r>
      <w:r w:rsidR="00F53F5F">
        <w:rPr>
          <w:lang w:val="en-AU"/>
        </w:rPr>
        <w:t>6.1</w:t>
      </w:r>
      <w:r w:rsidR="00704823" w:rsidRPr="001468A9">
        <w:rPr>
          <w:lang w:val="en-AU"/>
        </w:rPr>
        <w:fldChar w:fldCharType="end"/>
      </w:r>
      <w:r w:rsidR="00704823" w:rsidRPr="001468A9">
        <w:rPr>
          <w:lang w:val="en-AU"/>
        </w:rPr>
        <w:t xml:space="preserve"> </w:t>
      </w:r>
      <w:r w:rsidR="00704823" w:rsidRPr="001468A9">
        <w:rPr>
          <w:lang w:val="en-AU"/>
        </w:rPr>
        <w:fldChar w:fldCharType="begin"/>
      </w:r>
      <w:r w:rsidR="00704823" w:rsidRPr="001468A9">
        <w:rPr>
          <w:lang w:val="en-AU"/>
        </w:rPr>
        <w:instrText xml:space="preserve"> REF _Ref45709874 \h </w:instrText>
      </w:r>
      <w:r w:rsidR="005E3646" w:rsidRPr="001468A9">
        <w:rPr>
          <w:lang w:val="en-AU"/>
        </w:rPr>
        <w:instrText xml:space="preserve"> \* MERGEFORMAT </w:instrText>
      </w:r>
      <w:r w:rsidR="00704823" w:rsidRPr="001468A9">
        <w:rPr>
          <w:lang w:val="en-AU"/>
        </w:rPr>
      </w:r>
      <w:r w:rsidR="00704823" w:rsidRPr="001468A9">
        <w:rPr>
          <w:lang w:val="en-AU"/>
        </w:rPr>
        <w:fldChar w:fldCharType="separate"/>
      </w:r>
      <w:r w:rsidR="00F53F5F" w:rsidRPr="00FA1502">
        <w:rPr>
          <w:lang w:val="en-AU"/>
        </w:rPr>
        <w:t>LIST OF EXCIPIENTS</w:t>
      </w:r>
      <w:r w:rsidR="00704823" w:rsidRPr="001468A9">
        <w:rPr>
          <w:lang w:val="en-AU"/>
        </w:rPr>
        <w:fldChar w:fldCharType="end"/>
      </w:r>
      <w:r w:rsidRPr="001468A9">
        <w:rPr>
          <w:lang w:val="en-AU"/>
        </w:rPr>
        <w:t>.</w:t>
      </w:r>
    </w:p>
    <w:p w14:paraId="18D7D644" w14:textId="00B3493F" w:rsidR="00FD1F94" w:rsidRDefault="00FD1F94" w:rsidP="00124389">
      <w:pPr>
        <w:pStyle w:val="Heading2"/>
        <w:rPr>
          <w:lang w:val="en-AU"/>
        </w:rPr>
      </w:pPr>
      <w:bookmarkStart w:id="11" w:name="_Ref45713299"/>
      <w:bookmarkStart w:id="12" w:name="_Ref94178980"/>
      <w:r w:rsidRPr="00FA1502">
        <w:rPr>
          <w:lang w:val="en-AU"/>
        </w:rPr>
        <w:t>SPECIAL WARNINGS AND PRECAUTIONS FOR USE</w:t>
      </w:r>
      <w:bookmarkEnd w:id="11"/>
      <w:bookmarkEnd w:id="12"/>
    </w:p>
    <w:p w14:paraId="1A63DAC4" w14:textId="77777777" w:rsidR="00EC2C08" w:rsidRPr="000F4049" w:rsidRDefault="00EC2C08" w:rsidP="00EC2C08">
      <w:pPr>
        <w:rPr>
          <w:lang w:val="en-AU"/>
        </w:rPr>
      </w:pPr>
      <w:r w:rsidRPr="00EC2C08">
        <w:rPr>
          <w:lang w:val="en-AU"/>
        </w:rPr>
        <w:t>For medicinal products administered in combination with XPOVIO, the product information of these medicinal products must be consulted prior to initiation of treatment, including for special warnings and precaution for use and recommended concomitant treatments.</w:t>
      </w:r>
    </w:p>
    <w:p w14:paraId="4E526616" w14:textId="2E67D440" w:rsidR="00704823" w:rsidRPr="00FA1502" w:rsidRDefault="00BC2DAD" w:rsidP="00704823">
      <w:pPr>
        <w:pStyle w:val="Heading3"/>
        <w:numPr>
          <w:ilvl w:val="0"/>
          <w:numId w:val="0"/>
        </w:numPr>
        <w:ind w:left="680" w:hanging="680"/>
        <w:rPr>
          <w:lang w:val="en-AU"/>
        </w:rPr>
      </w:pPr>
      <w:r w:rsidRPr="00FA1502">
        <w:rPr>
          <w:lang w:val="en-AU"/>
        </w:rPr>
        <w:lastRenderedPageBreak/>
        <w:t>Haematologic</w:t>
      </w:r>
    </w:p>
    <w:p w14:paraId="78C88724" w14:textId="3BC4C1E8" w:rsidR="00BC2DAD" w:rsidRPr="00FA1502" w:rsidRDefault="00BC2DAD" w:rsidP="00BC2DAD">
      <w:pPr>
        <w:rPr>
          <w:lang w:val="en-AU"/>
        </w:rPr>
      </w:pPr>
      <w:r w:rsidRPr="001468A9">
        <w:rPr>
          <w:lang w:val="en-AU"/>
        </w:rPr>
        <w:t>Patients should have their complete blood counts (CBC) assessed at baseline, during treatment, and as clinically indicated. Monitor more frequently during the first two months of treatment.</w:t>
      </w:r>
    </w:p>
    <w:p w14:paraId="2AC73BC2" w14:textId="6E65B314" w:rsidR="00DD4618" w:rsidRPr="001468A9" w:rsidRDefault="00DD4618" w:rsidP="001468A9">
      <w:pPr>
        <w:pStyle w:val="Heading4"/>
        <w:numPr>
          <w:ilvl w:val="0"/>
          <w:numId w:val="0"/>
        </w:numPr>
        <w:rPr>
          <w:lang w:val="en-AU"/>
        </w:rPr>
      </w:pPr>
      <w:r w:rsidRPr="001468A9">
        <w:rPr>
          <w:lang w:val="en-AU"/>
        </w:rPr>
        <w:t>Thrombocytop</w:t>
      </w:r>
      <w:r w:rsidR="0076591D" w:rsidRPr="001468A9">
        <w:rPr>
          <w:lang w:val="en-AU"/>
        </w:rPr>
        <w:t>a</w:t>
      </w:r>
      <w:r w:rsidRPr="001468A9">
        <w:rPr>
          <w:lang w:val="en-AU"/>
        </w:rPr>
        <w:t xml:space="preserve">enia </w:t>
      </w:r>
    </w:p>
    <w:p w14:paraId="769486DB" w14:textId="46A97FAF" w:rsidR="003E6BC0" w:rsidRDefault="00B75CBD" w:rsidP="00BC2DAD">
      <w:pPr>
        <w:rPr>
          <w:lang w:val="en-AU"/>
        </w:rPr>
      </w:pPr>
      <w:r>
        <w:rPr>
          <w:lang w:val="en-AU"/>
        </w:rPr>
        <w:t>XPOVIO</w:t>
      </w:r>
      <w:r w:rsidRPr="001468A9">
        <w:rPr>
          <w:lang w:val="en-AU"/>
        </w:rPr>
        <w:t xml:space="preserve"> </w:t>
      </w:r>
      <w:r w:rsidR="003E6BC0" w:rsidRPr="001468A9">
        <w:rPr>
          <w:lang w:val="en-AU"/>
        </w:rPr>
        <w:t xml:space="preserve">can cause </w:t>
      </w:r>
      <w:r w:rsidR="00B656AC" w:rsidRPr="001468A9">
        <w:rPr>
          <w:lang w:val="en-AU"/>
        </w:rPr>
        <w:t xml:space="preserve">life-threatening </w:t>
      </w:r>
      <w:r w:rsidR="003E6BC0" w:rsidRPr="001468A9">
        <w:rPr>
          <w:lang w:val="en-AU"/>
        </w:rPr>
        <w:t>thrombocytopenia or may increase thrombocytopenia induced by concomitant therapy</w:t>
      </w:r>
      <w:r w:rsidR="00B656AC" w:rsidRPr="001468A9">
        <w:rPr>
          <w:lang w:val="en-AU"/>
        </w:rPr>
        <w:t>,</w:t>
      </w:r>
      <w:r w:rsidR="003E6BC0" w:rsidRPr="001468A9">
        <w:rPr>
          <w:lang w:val="en-AU"/>
        </w:rPr>
        <w:t xml:space="preserve"> leading to potentially fatal </w:t>
      </w:r>
      <w:r w:rsidR="00D62257" w:rsidRPr="001468A9">
        <w:rPr>
          <w:lang w:val="en-AU"/>
        </w:rPr>
        <w:t>haemorrhage</w:t>
      </w:r>
      <w:r w:rsidR="0076591D">
        <w:rPr>
          <w:lang w:val="en-AU"/>
        </w:rPr>
        <w:t xml:space="preserve"> </w:t>
      </w:r>
    </w:p>
    <w:p w14:paraId="10829770" w14:textId="48D9ED99" w:rsidR="0002378F" w:rsidRPr="001468A9" w:rsidRDefault="002B6F41" w:rsidP="0002378F">
      <w:pPr>
        <w:pStyle w:val="CommentText"/>
        <w:spacing w:before="120" w:after="120"/>
        <w:rPr>
          <w:rFonts w:ascii="Times New Roman" w:hAnsi="Times New Roman" w:cs="Times New Roman"/>
          <w:sz w:val="24"/>
          <w:szCs w:val="24"/>
        </w:rPr>
      </w:pPr>
      <w:r w:rsidRPr="001468A9">
        <w:rPr>
          <w:rFonts w:ascii="Times New Roman" w:hAnsi="Times New Roman" w:cs="Times New Roman"/>
          <w:sz w:val="24"/>
          <w:szCs w:val="24"/>
        </w:rPr>
        <w:t>Thrombocytopenia can be managed with dose interruptions, modifications, platelet transfusions, and/or other treatments as clinically indicated.</w:t>
      </w:r>
      <w:r w:rsidRPr="00876A93">
        <w:t xml:space="preserve"> </w:t>
      </w:r>
      <w:r w:rsidR="0002378F" w:rsidRPr="001468A9">
        <w:rPr>
          <w:rFonts w:ascii="Times New Roman" w:hAnsi="Times New Roman" w:cs="Times New Roman"/>
          <w:sz w:val="24"/>
          <w:szCs w:val="24"/>
        </w:rPr>
        <w:t xml:space="preserve">Monitor platelet counts at baseline, during treatment, and as clinically indicated. </w:t>
      </w:r>
      <w:r w:rsidR="0002378F" w:rsidRPr="001468A9">
        <w:rPr>
          <w:rFonts w:ascii="Times New Roman" w:eastAsia="Arial" w:hAnsi="Times New Roman" w:cs="Times New Roman"/>
          <w:sz w:val="24"/>
          <w:szCs w:val="24"/>
        </w:rPr>
        <w:t>Monitor more frequently during the first two months of treatment.</w:t>
      </w:r>
      <w:r w:rsidR="0002378F" w:rsidRPr="001468A9">
        <w:rPr>
          <w:rFonts w:ascii="Times New Roman" w:hAnsi="Times New Roman" w:cs="Times New Roman"/>
          <w:sz w:val="24"/>
          <w:szCs w:val="24"/>
        </w:rPr>
        <w:t xml:space="preserve"> </w:t>
      </w:r>
      <w:r w:rsidR="0002378F" w:rsidRPr="001468A9">
        <w:rPr>
          <w:rFonts w:ascii="Times New Roman" w:eastAsia="Arial" w:hAnsi="Times New Roman" w:cs="Times New Roman"/>
          <w:bCs/>
          <w:sz w:val="24"/>
          <w:szCs w:val="24"/>
        </w:rPr>
        <w:t>Institute platelet transfusion and/or other treatments as clinically indicated</w:t>
      </w:r>
      <w:r w:rsidR="0002378F" w:rsidRPr="001468A9">
        <w:rPr>
          <w:rFonts w:ascii="Times New Roman" w:hAnsi="Times New Roman" w:cs="Times New Roman"/>
          <w:sz w:val="24"/>
          <w:szCs w:val="24"/>
        </w:rPr>
        <w:t>. Monitor patients for signs and symptoms of bleeding and evaluate promptly. Interrupt and/or reduce dose, or permanently discontinue based on severity of adverse reaction</w:t>
      </w:r>
      <w:r w:rsidR="0002378F" w:rsidRPr="001468A9">
        <w:rPr>
          <w:rFonts w:ascii="Times New Roman" w:hAnsi="Times New Roman" w:cs="Times New Roman"/>
          <w:i/>
          <w:sz w:val="24"/>
          <w:szCs w:val="24"/>
        </w:rPr>
        <w:t xml:space="preserve"> </w:t>
      </w:r>
      <w:r w:rsidR="00DD4FDA">
        <w:rPr>
          <w:rFonts w:ascii="Times New Roman" w:hAnsi="Times New Roman" w:cs="Times New Roman"/>
          <w:iCs/>
          <w:sz w:val="24"/>
          <w:szCs w:val="24"/>
        </w:rPr>
        <w:t>(</w:t>
      </w:r>
      <w:r w:rsidR="0002378F" w:rsidRPr="0008588D">
        <w:rPr>
          <w:rFonts w:ascii="Times New Roman" w:hAnsi="Times New Roman" w:cs="Times New Roman"/>
          <w:iCs/>
          <w:sz w:val="24"/>
          <w:szCs w:val="24"/>
        </w:rPr>
        <w:t>see</w:t>
      </w:r>
      <w:r w:rsidR="00DD4FDA">
        <w:rPr>
          <w:rFonts w:ascii="Times New Roman" w:hAnsi="Times New Roman" w:cs="Times New Roman"/>
          <w:iCs/>
          <w:sz w:val="24"/>
          <w:szCs w:val="24"/>
        </w:rPr>
        <w:t xml:space="preserve"> </w:t>
      </w:r>
      <w:bookmarkStart w:id="13" w:name="_Hlk94178752"/>
      <w:r w:rsidR="00DD4FDA">
        <w:rPr>
          <w:rFonts w:ascii="Times New Roman" w:hAnsi="Times New Roman" w:cs="Times New Roman"/>
          <w:iCs/>
          <w:sz w:val="24"/>
          <w:szCs w:val="24"/>
        </w:rPr>
        <w:t xml:space="preserve">Section </w:t>
      </w:r>
      <w:r w:rsidR="00DD4FDA">
        <w:rPr>
          <w:rFonts w:ascii="Times New Roman" w:hAnsi="Times New Roman" w:cs="Times New Roman"/>
          <w:iCs/>
          <w:sz w:val="24"/>
          <w:szCs w:val="24"/>
        </w:rPr>
        <w:fldChar w:fldCharType="begin"/>
      </w:r>
      <w:r w:rsidR="00DD4FDA">
        <w:rPr>
          <w:rFonts w:ascii="Times New Roman" w:hAnsi="Times New Roman" w:cs="Times New Roman"/>
          <w:iCs/>
          <w:sz w:val="24"/>
          <w:szCs w:val="24"/>
        </w:rPr>
        <w:instrText xml:space="preserve"> REF _Ref511901540 \r \h </w:instrText>
      </w:r>
      <w:r w:rsidR="00DD4FDA">
        <w:rPr>
          <w:rFonts w:ascii="Times New Roman" w:hAnsi="Times New Roman" w:cs="Times New Roman"/>
          <w:iCs/>
          <w:sz w:val="24"/>
          <w:szCs w:val="24"/>
        </w:rPr>
      </w:r>
      <w:r w:rsidR="00DD4FDA">
        <w:rPr>
          <w:rFonts w:ascii="Times New Roman" w:hAnsi="Times New Roman" w:cs="Times New Roman"/>
          <w:iCs/>
          <w:sz w:val="24"/>
          <w:szCs w:val="24"/>
        </w:rPr>
        <w:fldChar w:fldCharType="separate"/>
      </w:r>
      <w:r w:rsidR="00F53F5F">
        <w:rPr>
          <w:rFonts w:ascii="Times New Roman" w:hAnsi="Times New Roman" w:cs="Times New Roman"/>
          <w:iCs/>
          <w:sz w:val="24"/>
          <w:szCs w:val="24"/>
        </w:rPr>
        <w:t>4.2</w:t>
      </w:r>
      <w:r w:rsidR="00DD4FDA">
        <w:rPr>
          <w:rFonts w:ascii="Times New Roman" w:hAnsi="Times New Roman" w:cs="Times New Roman"/>
          <w:iCs/>
          <w:sz w:val="24"/>
          <w:szCs w:val="24"/>
        </w:rPr>
        <w:fldChar w:fldCharType="end"/>
      </w:r>
      <w:r w:rsidR="00DD4FDA">
        <w:rPr>
          <w:rFonts w:ascii="Times New Roman" w:hAnsi="Times New Roman" w:cs="Times New Roman"/>
          <w:iCs/>
          <w:sz w:val="24"/>
          <w:szCs w:val="24"/>
        </w:rPr>
        <w:t xml:space="preserve"> </w:t>
      </w:r>
      <w:r w:rsidR="00DD4FDA" w:rsidRPr="00DD4FDA">
        <w:rPr>
          <w:rFonts w:ascii="Times New Roman" w:hAnsi="Times New Roman" w:cs="Times New Roman"/>
          <w:iCs/>
          <w:sz w:val="24"/>
          <w:szCs w:val="24"/>
        </w:rPr>
        <w:fldChar w:fldCharType="begin"/>
      </w:r>
      <w:r w:rsidR="00DD4FDA" w:rsidRPr="00DD4FDA">
        <w:rPr>
          <w:rFonts w:ascii="Times New Roman" w:hAnsi="Times New Roman" w:cs="Times New Roman"/>
          <w:iCs/>
          <w:sz w:val="24"/>
          <w:szCs w:val="24"/>
        </w:rPr>
        <w:instrText xml:space="preserve"> REF _Ref511901540 \h  \* MERGEFORMAT </w:instrText>
      </w:r>
      <w:r w:rsidR="00DD4FDA" w:rsidRPr="00DD4FDA">
        <w:rPr>
          <w:rFonts w:ascii="Times New Roman" w:hAnsi="Times New Roman" w:cs="Times New Roman"/>
          <w:iCs/>
          <w:sz w:val="24"/>
          <w:szCs w:val="24"/>
        </w:rPr>
      </w:r>
      <w:r w:rsidR="00DD4FDA" w:rsidRPr="00DD4FDA">
        <w:rPr>
          <w:rFonts w:ascii="Times New Roman" w:hAnsi="Times New Roman" w:cs="Times New Roman"/>
          <w:iCs/>
          <w:sz w:val="24"/>
          <w:szCs w:val="24"/>
        </w:rPr>
        <w:fldChar w:fldCharType="separate"/>
      </w:r>
      <w:r w:rsidR="00F53F5F" w:rsidRPr="00F53F5F">
        <w:rPr>
          <w:rFonts w:ascii="Times New Roman" w:hAnsi="Times New Roman" w:cs="Times New Roman"/>
          <w:sz w:val="24"/>
          <w:szCs w:val="24"/>
        </w:rPr>
        <w:t>DOSE AND METHOD OF ADMINISTRATION</w:t>
      </w:r>
      <w:r w:rsidR="00DD4FDA" w:rsidRPr="00DD4FDA">
        <w:rPr>
          <w:rFonts w:ascii="Times New Roman" w:hAnsi="Times New Roman" w:cs="Times New Roman"/>
          <w:iCs/>
          <w:sz w:val="24"/>
          <w:szCs w:val="24"/>
        </w:rPr>
        <w:fldChar w:fldCharType="end"/>
      </w:r>
      <w:bookmarkEnd w:id="13"/>
      <w:r w:rsidR="0002378F" w:rsidRPr="0008588D">
        <w:rPr>
          <w:rFonts w:ascii="Times New Roman" w:hAnsi="Times New Roman" w:cs="Times New Roman"/>
          <w:iCs/>
          <w:sz w:val="24"/>
          <w:szCs w:val="24"/>
        </w:rPr>
        <w:t xml:space="preserve"> and </w:t>
      </w:r>
      <w:r w:rsidR="002A3625">
        <w:rPr>
          <w:rFonts w:ascii="Times New Roman" w:hAnsi="Times New Roman" w:cs="Times New Roman"/>
          <w:iCs/>
          <w:sz w:val="24"/>
          <w:szCs w:val="24"/>
        </w:rPr>
        <w:t xml:space="preserve">Section </w:t>
      </w:r>
      <w:r w:rsidR="00DD4FDA">
        <w:rPr>
          <w:rFonts w:ascii="Times New Roman" w:hAnsi="Times New Roman" w:cs="Times New Roman"/>
          <w:iCs/>
          <w:sz w:val="24"/>
          <w:szCs w:val="24"/>
        </w:rPr>
        <w:fldChar w:fldCharType="begin"/>
      </w:r>
      <w:r w:rsidR="00DD4FDA">
        <w:rPr>
          <w:rFonts w:ascii="Times New Roman" w:hAnsi="Times New Roman" w:cs="Times New Roman"/>
          <w:iCs/>
          <w:sz w:val="24"/>
          <w:szCs w:val="24"/>
        </w:rPr>
        <w:instrText xml:space="preserve"> REF _Ref71120259 \r \h </w:instrText>
      </w:r>
      <w:r w:rsidR="00DD4FDA">
        <w:rPr>
          <w:rFonts w:ascii="Times New Roman" w:hAnsi="Times New Roman" w:cs="Times New Roman"/>
          <w:iCs/>
          <w:sz w:val="24"/>
          <w:szCs w:val="24"/>
        </w:rPr>
      </w:r>
      <w:r w:rsidR="00DD4FDA">
        <w:rPr>
          <w:rFonts w:ascii="Times New Roman" w:hAnsi="Times New Roman" w:cs="Times New Roman"/>
          <w:iCs/>
          <w:sz w:val="24"/>
          <w:szCs w:val="24"/>
        </w:rPr>
        <w:fldChar w:fldCharType="separate"/>
      </w:r>
      <w:r w:rsidR="00F53F5F">
        <w:rPr>
          <w:rFonts w:ascii="Times New Roman" w:hAnsi="Times New Roman" w:cs="Times New Roman"/>
          <w:iCs/>
          <w:sz w:val="24"/>
          <w:szCs w:val="24"/>
        </w:rPr>
        <w:t>4.8</w:t>
      </w:r>
      <w:r w:rsidR="00DD4FDA">
        <w:rPr>
          <w:rFonts w:ascii="Times New Roman" w:hAnsi="Times New Roman" w:cs="Times New Roman"/>
          <w:iCs/>
          <w:sz w:val="24"/>
          <w:szCs w:val="24"/>
        </w:rPr>
        <w:fldChar w:fldCharType="end"/>
      </w:r>
      <w:r w:rsidR="00DD4FDA">
        <w:rPr>
          <w:rFonts w:ascii="Times New Roman" w:hAnsi="Times New Roman" w:cs="Times New Roman"/>
          <w:iCs/>
          <w:sz w:val="24"/>
          <w:szCs w:val="24"/>
        </w:rPr>
        <w:t xml:space="preserve"> </w:t>
      </w:r>
      <w:r w:rsidR="00DD4FDA" w:rsidRPr="00DD4FDA">
        <w:rPr>
          <w:rFonts w:ascii="Times New Roman" w:hAnsi="Times New Roman" w:cs="Times New Roman"/>
          <w:iCs/>
          <w:sz w:val="24"/>
          <w:szCs w:val="24"/>
        </w:rPr>
        <w:fldChar w:fldCharType="begin"/>
      </w:r>
      <w:r w:rsidR="00DD4FDA" w:rsidRPr="00DD4FDA">
        <w:rPr>
          <w:rFonts w:ascii="Times New Roman" w:hAnsi="Times New Roman" w:cs="Times New Roman"/>
          <w:iCs/>
          <w:sz w:val="24"/>
          <w:szCs w:val="24"/>
        </w:rPr>
        <w:instrText xml:space="preserve"> REF _Ref71120259 \h  \* MERGEFORMAT </w:instrText>
      </w:r>
      <w:r w:rsidR="00DD4FDA" w:rsidRPr="00DD4FDA">
        <w:rPr>
          <w:rFonts w:ascii="Times New Roman" w:hAnsi="Times New Roman" w:cs="Times New Roman"/>
          <w:iCs/>
          <w:sz w:val="24"/>
          <w:szCs w:val="24"/>
        </w:rPr>
      </w:r>
      <w:r w:rsidR="00DD4FDA" w:rsidRPr="00DD4FDA">
        <w:rPr>
          <w:rFonts w:ascii="Times New Roman" w:hAnsi="Times New Roman" w:cs="Times New Roman"/>
          <w:iCs/>
          <w:sz w:val="24"/>
          <w:szCs w:val="24"/>
        </w:rPr>
        <w:fldChar w:fldCharType="separate"/>
      </w:r>
      <w:r w:rsidR="00F53F5F" w:rsidRPr="00F53F5F">
        <w:rPr>
          <w:rFonts w:ascii="Times New Roman" w:hAnsi="Times New Roman" w:cs="Times New Roman"/>
          <w:sz w:val="24"/>
          <w:szCs w:val="24"/>
        </w:rPr>
        <w:t>ADVERSE EFFECTS (UNDESIRABLE EFFECTS)</w:t>
      </w:r>
      <w:r w:rsidR="00DD4FDA" w:rsidRPr="00DD4FDA">
        <w:rPr>
          <w:rFonts w:ascii="Times New Roman" w:hAnsi="Times New Roman" w:cs="Times New Roman"/>
          <w:iCs/>
          <w:sz w:val="24"/>
          <w:szCs w:val="24"/>
        </w:rPr>
        <w:fldChar w:fldCharType="end"/>
      </w:r>
      <w:r w:rsidR="00DD4FDA">
        <w:rPr>
          <w:rFonts w:ascii="Times New Roman" w:hAnsi="Times New Roman" w:cs="Times New Roman"/>
          <w:iCs/>
          <w:sz w:val="24"/>
          <w:szCs w:val="24"/>
        </w:rPr>
        <w:t>)</w:t>
      </w:r>
      <w:r w:rsidR="0002378F" w:rsidRPr="0008588D">
        <w:rPr>
          <w:rFonts w:ascii="Times New Roman" w:hAnsi="Times New Roman" w:cs="Times New Roman"/>
          <w:iCs/>
          <w:sz w:val="24"/>
          <w:szCs w:val="24"/>
        </w:rPr>
        <w:t>.</w:t>
      </w:r>
      <w:r w:rsidRPr="002B6F41">
        <w:t xml:space="preserve"> </w:t>
      </w:r>
      <w:r w:rsidRPr="001468A9">
        <w:rPr>
          <w:rFonts w:ascii="Times New Roman" w:hAnsi="Times New Roman" w:cs="Times New Roman"/>
          <w:sz w:val="24"/>
          <w:szCs w:val="24"/>
        </w:rPr>
        <w:t xml:space="preserve">For dose modification guidelines refer to </w:t>
      </w:r>
      <w:r w:rsidRPr="001468A9">
        <w:rPr>
          <w:rFonts w:ascii="Times New Roman" w:hAnsi="Times New Roman" w:cs="Times New Roman"/>
          <w:sz w:val="24"/>
          <w:szCs w:val="24"/>
        </w:rPr>
        <w:fldChar w:fldCharType="begin"/>
      </w:r>
      <w:r w:rsidRPr="001468A9">
        <w:rPr>
          <w:rFonts w:ascii="Times New Roman" w:hAnsi="Times New Roman" w:cs="Times New Roman"/>
          <w:sz w:val="24"/>
          <w:szCs w:val="24"/>
        </w:rPr>
        <w:instrText xml:space="preserve"> REF _Ref45711620 \h  \* MERGEFORMAT </w:instrText>
      </w:r>
      <w:r w:rsidRPr="001468A9">
        <w:rPr>
          <w:rFonts w:ascii="Times New Roman" w:hAnsi="Times New Roman" w:cs="Times New Roman"/>
          <w:sz w:val="24"/>
          <w:szCs w:val="24"/>
        </w:rPr>
      </w:r>
      <w:r w:rsidRPr="001468A9">
        <w:rPr>
          <w:rFonts w:ascii="Times New Roman" w:hAnsi="Times New Roman" w:cs="Times New Roman"/>
          <w:sz w:val="24"/>
          <w:szCs w:val="24"/>
        </w:rPr>
        <w:fldChar w:fldCharType="separate"/>
      </w:r>
      <w:r w:rsidR="00F53F5F" w:rsidRPr="00F53F5F">
        <w:rPr>
          <w:rFonts w:ascii="Times New Roman" w:hAnsi="Times New Roman" w:cs="Times New Roman"/>
          <w:sz w:val="24"/>
          <w:szCs w:val="24"/>
        </w:rPr>
        <w:t>Table 1</w:t>
      </w:r>
      <w:r w:rsidRPr="001468A9">
        <w:rPr>
          <w:rFonts w:ascii="Times New Roman" w:hAnsi="Times New Roman" w:cs="Times New Roman"/>
          <w:sz w:val="24"/>
          <w:szCs w:val="24"/>
        </w:rPr>
        <w:fldChar w:fldCharType="end"/>
      </w:r>
      <w:r w:rsidRPr="001468A9">
        <w:rPr>
          <w:rFonts w:ascii="Times New Roman" w:hAnsi="Times New Roman" w:cs="Times New Roman"/>
          <w:sz w:val="24"/>
          <w:szCs w:val="24"/>
        </w:rPr>
        <w:t xml:space="preserve">, </w:t>
      </w:r>
      <w:r w:rsidRPr="001468A9">
        <w:rPr>
          <w:rFonts w:ascii="Times New Roman" w:hAnsi="Times New Roman" w:cs="Times New Roman"/>
          <w:sz w:val="24"/>
          <w:szCs w:val="24"/>
        </w:rPr>
        <w:fldChar w:fldCharType="begin"/>
      </w:r>
      <w:r w:rsidRPr="001468A9">
        <w:rPr>
          <w:rFonts w:ascii="Times New Roman" w:hAnsi="Times New Roman" w:cs="Times New Roman"/>
          <w:sz w:val="24"/>
          <w:szCs w:val="24"/>
        </w:rPr>
        <w:instrText xml:space="preserve"> REF _Ref45718180 \h  \* MERGEFORMAT </w:instrText>
      </w:r>
      <w:r w:rsidRPr="001468A9">
        <w:rPr>
          <w:rFonts w:ascii="Times New Roman" w:hAnsi="Times New Roman" w:cs="Times New Roman"/>
          <w:sz w:val="24"/>
          <w:szCs w:val="24"/>
        </w:rPr>
      </w:r>
      <w:r w:rsidRPr="001468A9">
        <w:rPr>
          <w:rFonts w:ascii="Times New Roman" w:hAnsi="Times New Roman" w:cs="Times New Roman"/>
          <w:sz w:val="24"/>
          <w:szCs w:val="24"/>
        </w:rPr>
        <w:fldChar w:fldCharType="separate"/>
      </w:r>
      <w:r w:rsidR="00F53F5F" w:rsidRPr="00F53F5F">
        <w:rPr>
          <w:rFonts w:ascii="Times New Roman" w:hAnsi="Times New Roman" w:cs="Times New Roman"/>
          <w:sz w:val="24"/>
          <w:szCs w:val="24"/>
        </w:rPr>
        <w:t>Table 2</w:t>
      </w:r>
      <w:r w:rsidRPr="001468A9">
        <w:rPr>
          <w:rFonts w:ascii="Times New Roman" w:hAnsi="Times New Roman" w:cs="Times New Roman"/>
          <w:sz w:val="24"/>
          <w:szCs w:val="24"/>
        </w:rPr>
        <w:fldChar w:fldCharType="end"/>
      </w:r>
      <w:r w:rsidRPr="001468A9">
        <w:rPr>
          <w:rFonts w:ascii="Times New Roman" w:hAnsi="Times New Roman" w:cs="Times New Roman"/>
          <w:sz w:val="24"/>
          <w:szCs w:val="24"/>
        </w:rPr>
        <w:t xml:space="preserve"> and </w:t>
      </w:r>
      <w:r w:rsidR="00BC2292" w:rsidRPr="00BC2292">
        <w:rPr>
          <w:rFonts w:ascii="Times New Roman" w:hAnsi="Times New Roman" w:cs="Times New Roman"/>
          <w:sz w:val="24"/>
          <w:szCs w:val="24"/>
        </w:rPr>
        <w:fldChar w:fldCharType="begin"/>
      </w:r>
      <w:r w:rsidR="00BC2292" w:rsidRPr="00BC2292">
        <w:rPr>
          <w:rFonts w:ascii="Times New Roman" w:hAnsi="Times New Roman" w:cs="Times New Roman"/>
          <w:sz w:val="24"/>
          <w:szCs w:val="24"/>
        </w:rPr>
        <w:instrText xml:space="preserve"> REF _Ref94169671 \h  \* MERGEFORMAT </w:instrText>
      </w:r>
      <w:r w:rsidR="00BC2292" w:rsidRPr="00BC2292">
        <w:rPr>
          <w:rFonts w:ascii="Times New Roman" w:hAnsi="Times New Roman" w:cs="Times New Roman"/>
          <w:sz w:val="24"/>
          <w:szCs w:val="24"/>
        </w:rPr>
      </w:r>
      <w:r w:rsidR="00BC2292" w:rsidRPr="00BC2292">
        <w:rPr>
          <w:rFonts w:ascii="Times New Roman" w:hAnsi="Times New Roman" w:cs="Times New Roman"/>
          <w:sz w:val="24"/>
          <w:szCs w:val="24"/>
        </w:rPr>
        <w:fldChar w:fldCharType="separate"/>
      </w:r>
      <w:r w:rsidR="00F53F5F" w:rsidRPr="00F53F5F">
        <w:rPr>
          <w:rFonts w:ascii="Times New Roman" w:hAnsi="Times New Roman" w:cs="Times New Roman"/>
          <w:sz w:val="24"/>
          <w:szCs w:val="24"/>
        </w:rPr>
        <w:t>Table 3</w:t>
      </w:r>
      <w:r w:rsidR="00BC2292" w:rsidRPr="00BC2292">
        <w:rPr>
          <w:rFonts w:ascii="Times New Roman" w:hAnsi="Times New Roman" w:cs="Times New Roman"/>
          <w:sz w:val="24"/>
          <w:szCs w:val="24"/>
        </w:rPr>
        <w:fldChar w:fldCharType="end"/>
      </w:r>
      <w:r w:rsidRPr="00BC2292">
        <w:rPr>
          <w:rFonts w:ascii="Times New Roman" w:hAnsi="Times New Roman" w:cs="Times New Roman"/>
          <w:sz w:val="24"/>
          <w:szCs w:val="24"/>
        </w:rPr>
        <w:fldChar w:fldCharType="begin"/>
      </w:r>
      <w:r w:rsidRPr="00BC2292">
        <w:rPr>
          <w:rFonts w:ascii="Times New Roman" w:hAnsi="Times New Roman" w:cs="Times New Roman"/>
          <w:sz w:val="24"/>
          <w:szCs w:val="24"/>
        </w:rPr>
        <w:instrText xml:space="preserve"> REF _Ref46993328 \h  \* MERGEFORMAT </w:instrText>
      </w:r>
      <w:r w:rsidRPr="00BC2292">
        <w:rPr>
          <w:rFonts w:ascii="Times New Roman" w:hAnsi="Times New Roman" w:cs="Times New Roman"/>
          <w:sz w:val="24"/>
          <w:szCs w:val="24"/>
        </w:rPr>
      </w:r>
      <w:r w:rsidRPr="00BC2292">
        <w:rPr>
          <w:rFonts w:ascii="Times New Roman" w:hAnsi="Times New Roman" w:cs="Times New Roman"/>
          <w:sz w:val="24"/>
          <w:szCs w:val="24"/>
        </w:rPr>
        <w:fldChar w:fldCharType="separate"/>
      </w:r>
      <w:r w:rsidR="00F53F5F">
        <w:rPr>
          <w:rFonts w:ascii="Times New Roman" w:hAnsi="Times New Roman" w:cs="Times New Roman"/>
          <w:b/>
          <w:bCs/>
          <w:sz w:val="24"/>
          <w:szCs w:val="24"/>
          <w:lang w:val="en-US"/>
        </w:rPr>
        <w:t>Error! Reference source not found.</w:t>
      </w:r>
      <w:r w:rsidRPr="00BC2292">
        <w:rPr>
          <w:rFonts w:ascii="Times New Roman" w:hAnsi="Times New Roman" w:cs="Times New Roman"/>
          <w:sz w:val="24"/>
          <w:szCs w:val="24"/>
        </w:rPr>
        <w:fldChar w:fldCharType="end"/>
      </w:r>
      <w:r w:rsidRPr="00BC2292">
        <w:rPr>
          <w:rFonts w:ascii="Times New Roman" w:hAnsi="Times New Roman" w:cs="Times New Roman"/>
          <w:sz w:val="24"/>
          <w:szCs w:val="24"/>
        </w:rPr>
        <w:t>.</w:t>
      </w:r>
    </w:p>
    <w:p w14:paraId="51A64154" w14:textId="1728E6C4" w:rsidR="00DD4618" w:rsidRPr="001468A9" w:rsidRDefault="00DD4618" w:rsidP="001468A9">
      <w:pPr>
        <w:pStyle w:val="Heading4"/>
        <w:numPr>
          <w:ilvl w:val="0"/>
          <w:numId w:val="0"/>
        </w:numPr>
        <w:rPr>
          <w:lang w:val="en-AU"/>
        </w:rPr>
      </w:pPr>
      <w:r w:rsidRPr="001468A9">
        <w:rPr>
          <w:lang w:val="en-AU"/>
        </w:rPr>
        <w:t xml:space="preserve">Neutropenia </w:t>
      </w:r>
    </w:p>
    <w:p w14:paraId="15DE94F9" w14:textId="30A3A18F" w:rsidR="00F50DEC" w:rsidRDefault="007F0C63" w:rsidP="00BC2DAD">
      <w:pPr>
        <w:rPr>
          <w:lang w:val="en-AU"/>
        </w:rPr>
      </w:pPr>
      <w:r>
        <w:rPr>
          <w:lang w:val="en-AU"/>
        </w:rPr>
        <w:t>XPOVIO</w:t>
      </w:r>
      <w:r w:rsidRPr="001468A9">
        <w:rPr>
          <w:lang w:val="en-AU"/>
        </w:rPr>
        <w:t xml:space="preserve"> </w:t>
      </w:r>
      <w:r w:rsidR="00D62257" w:rsidRPr="001468A9">
        <w:rPr>
          <w:lang w:val="en-AU"/>
        </w:rPr>
        <w:t xml:space="preserve">can cause </w:t>
      </w:r>
      <w:r w:rsidR="00B656AC" w:rsidRPr="001468A9">
        <w:rPr>
          <w:lang w:val="en-AU"/>
        </w:rPr>
        <w:t xml:space="preserve">life-threatening </w:t>
      </w:r>
      <w:r w:rsidR="00D62257" w:rsidRPr="001468A9">
        <w:rPr>
          <w:lang w:val="en-AU"/>
        </w:rPr>
        <w:t>neutropenia, potentially increasing the risk of infection.</w:t>
      </w:r>
      <w:r w:rsidR="00D62257" w:rsidRPr="0031188C">
        <w:rPr>
          <w:lang w:val="en-AU"/>
        </w:rPr>
        <w:t xml:space="preserve"> </w:t>
      </w:r>
    </w:p>
    <w:p w14:paraId="0397470F" w14:textId="1D4C2D95" w:rsidR="0002378F" w:rsidRPr="001468A9" w:rsidRDefault="0002378F" w:rsidP="00E04472">
      <w:pPr>
        <w:rPr>
          <w:iCs/>
        </w:rPr>
      </w:pPr>
      <w:r w:rsidRPr="001468A9">
        <w:t xml:space="preserve">Obtain </w:t>
      </w:r>
      <w:r w:rsidR="003E28BC">
        <w:t>white blood counts with differential at baseline and throughout</w:t>
      </w:r>
      <w:r w:rsidRPr="001468A9">
        <w:t xml:space="preserve">, and as clinically indicated. </w:t>
      </w:r>
      <w:r w:rsidRPr="001468A9">
        <w:rPr>
          <w:rFonts w:eastAsia="Arial"/>
        </w:rPr>
        <w:t xml:space="preserve">Monitor more frequently during the first </w:t>
      </w:r>
      <w:r w:rsidR="005B4887">
        <w:rPr>
          <w:rFonts w:eastAsia="Arial"/>
        </w:rPr>
        <w:t xml:space="preserve">three </w:t>
      </w:r>
      <w:r w:rsidRPr="001468A9">
        <w:rPr>
          <w:rFonts w:eastAsia="Arial"/>
        </w:rPr>
        <w:t xml:space="preserve">months of treatment. </w:t>
      </w:r>
      <w:r w:rsidRPr="001468A9">
        <w:t>Monitor patients for signs and symptoms of concomitant infection and evaluate promptly. Consider supportive measures including antimicrobials for signs of infection and use of growth factors (e.g., G-CSF). Interrupt and/or reduce dose, or permanently discontinue based on severity of adverse reaction</w:t>
      </w:r>
      <w:r w:rsidRPr="001468A9">
        <w:rPr>
          <w:i/>
        </w:rPr>
        <w:t xml:space="preserve"> </w:t>
      </w:r>
      <w:r w:rsidRPr="001468A9">
        <w:rPr>
          <w:iCs/>
        </w:rPr>
        <w:t xml:space="preserve">[see </w:t>
      </w:r>
      <w:bookmarkStart w:id="14" w:name="_Hlk94533309"/>
      <w:r w:rsidR="00E04472">
        <w:rPr>
          <w:iCs/>
        </w:rPr>
        <w:t xml:space="preserve">Section </w:t>
      </w:r>
      <w:r w:rsidR="00E04472">
        <w:rPr>
          <w:iCs/>
        </w:rPr>
        <w:fldChar w:fldCharType="begin"/>
      </w:r>
      <w:r w:rsidR="00E04472">
        <w:rPr>
          <w:iCs/>
        </w:rPr>
        <w:instrText xml:space="preserve"> REF _Ref511901540 \r \h </w:instrText>
      </w:r>
      <w:r w:rsidR="00E04472">
        <w:rPr>
          <w:iCs/>
        </w:rPr>
      </w:r>
      <w:r w:rsidR="00E04472">
        <w:rPr>
          <w:iCs/>
        </w:rPr>
        <w:fldChar w:fldCharType="separate"/>
      </w:r>
      <w:r w:rsidR="00F53F5F">
        <w:rPr>
          <w:iCs/>
        </w:rPr>
        <w:t>4.2</w:t>
      </w:r>
      <w:r w:rsidR="00E04472">
        <w:rPr>
          <w:iCs/>
        </w:rPr>
        <w:fldChar w:fldCharType="end"/>
      </w:r>
      <w:r w:rsidR="00E04472">
        <w:rPr>
          <w:iCs/>
        </w:rPr>
        <w:t xml:space="preserve"> </w:t>
      </w:r>
      <w:r w:rsidR="00E04472">
        <w:rPr>
          <w:iCs/>
        </w:rPr>
        <w:fldChar w:fldCharType="begin"/>
      </w:r>
      <w:r w:rsidR="00E04472">
        <w:rPr>
          <w:iCs/>
        </w:rPr>
        <w:instrText xml:space="preserve"> REF _Ref511901540 \h </w:instrText>
      </w:r>
      <w:r w:rsidR="00E04472">
        <w:rPr>
          <w:iCs/>
        </w:rPr>
      </w:r>
      <w:r w:rsidR="00E04472">
        <w:rPr>
          <w:iCs/>
        </w:rPr>
        <w:fldChar w:fldCharType="separate"/>
      </w:r>
      <w:r w:rsidR="00F53F5F" w:rsidRPr="00FA1502">
        <w:rPr>
          <w:lang w:val="en-AU"/>
        </w:rPr>
        <w:t>DOSE AND METHOD OF ADMINISTRATION</w:t>
      </w:r>
      <w:r w:rsidR="00E04472">
        <w:rPr>
          <w:iCs/>
        </w:rPr>
        <w:fldChar w:fldCharType="end"/>
      </w:r>
      <w:r w:rsidRPr="001468A9">
        <w:rPr>
          <w:iCs/>
        </w:rPr>
        <w:t xml:space="preserve"> </w:t>
      </w:r>
      <w:bookmarkEnd w:id="14"/>
      <w:r w:rsidRPr="001468A9">
        <w:rPr>
          <w:iCs/>
        </w:rPr>
        <w:t xml:space="preserve">and </w:t>
      </w:r>
      <w:r w:rsidR="00E04472">
        <w:rPr>
          <w:iCs/>
        </w:rPr>
        <w:fldChar w:fldCharType="begin"/>
      </w:r>
      <w:r w:rsidR="00E04472">
        <w:rPr>
          <w:iCs/>
        </w:rPr>
        <w:instrText xml:space="preserve"> REF _Ref71120259 \r \h </w:instrText>
      </w:r>
      <w:r w:rsidR="00E04472">
        <w:rPr>
          <w:iCs/>
        </w:rPr>
      </w:r>
      <w:r w:rsidR="00E04472">
        <w:rPr>
          <w:iCs/>
        </w:rPr>
        <w:fldChar w:fldCharType="separate"/>
      </w:r>
      <w:r w:rsidR="00F53F5F">
        <w:rPr>
          <w:iCs/>
        </w:rPr>
        <w:t>4.8</w:t>
      </w:r>
      <w:r w:rsidR="00E04472">
        <w:rPr>
          <w:iCs/>
        </w:rPr>
        <w:fldChar w:fldCharType="end"/>
      </w:r>
      <w:r w:rsidR="00E04472">
        <w:rPr>
          <w:iCs/>
        </w:rPr>
        <w:t xml:space="preserve"> </w:t>
      </w:r>
      <w:r w:rsidR="00E04472">
        <w:rPr>
          <w:iCs/>
        </w:rPr>
        <w:fldChar w:fldCharType="begin"/>
      </w:r>
      <w:r w:rsidR="00E04472">
        <w:rPr>
          <w:iCs/>
        </w:rPr>
        <w:instrText xml:space="preserve"> REF _Ref71120259 \h </w:instrText>
      </w:r>
      <w:r w:rsidR="00E04472">
        <w:rPr>
          <w:iCs/>
        </w:rPr>
      </w:r>
      <w:r w:rsidR="00E04472">
        <w:rPr>
          <w:iCs/>
        </w:rPr>
        <w:fldChar w:fldCharType="separate"/>
      </w:r>
      <w:r w:rsidR="00F53F5F" w:rsidRPr="00FA1502">
        <w:rPr>
          <w:lang w:val="en-AU"/>
        </w:rPr>
        <w:t>ADVERSE EFFECTS (UNDESIRABLE EFFECTS)</w:t>
      </w:r>
      <w:r w:rsidR="00E04472">
        <w:rPr>
          <w:iCs/>
        </w:rPr>
        <w:fldChar w:fldCharType="end"/>
      </w:r>
      <w:r w:rsidRPr="001468A9">
        <w:rPr>
          <w:iCs/>
        </w:rPr>
        <w:t>)].</w:t>
      </w:r>
    </w:p>
    <w:p w14:paraId="786CA512" w14:textId="77777777" w:rsidR="00555145" w:rsidRDefault="00B656AC" w:rsidP="00555145">
      <w:pPr>
        <w:pStyle w:val="Heading3"/>
        <w:numPr>
          <w:ilvl w:val="0"/>
          <w:numId w:val="0"/>
        </w:numPr>
        <w:ind w:left="680" w:hanging="680"/>
        <w:rPr>
          <w:lang w:val="en-AU"/>
        </w:rPr>
      </w:pPr>
      <w:r>
        <w:rPr>
          <w:lang w:val="en-AU"/>
        </w:rPr>
        <w:t>Gastrointestinal Toxicity</w:t>
      </w:r>
    </w:p>
    <w:p w14:paraId="43A0A137" w14:textId="2EC6719A" w:rsidR="00B656AC" w:rsidRDefault="00B656AC" w:rsidP="00BC2DAD">
      <w:pPr>
        <w:rPr>
          <w:sz w:val="23"/>
          <w:szCs w:val="23"/>
        </w:rPr>
      </w:pPr>
      <w:r>
        <w:rPr>
          <w:sz w:val="23"/>
          <w:szCs w:val="23"/>
        </w:rPr>
        <w:t>XPOVIO can cause severe gastrointestinal toxicities</w:t>
      </w:r>
      <w:r w:rsidRPr="00B656AC">
        <w:rPr>
          <w:sz w:val="23"/>
          <w:szCs w:val="23"/>
        </w:rPr>
        <w:t xml:space="preserve"> </w:t>
      </w:r>
      <w:r w:rsidR="00DD4FDA">
        <w:rPr>
          <w:sz w:val="23"/>
          <w:szCs w:val="23"/>
        </w:rPr>
        <w:t>(</w:t>
      </w:r>
      <w:r w:rsidRPr="001468A9">
        <w:rPr>
          <w:sz w:val="23"/>
          <w:szCs w:val="23"/>
        </w:rPr>
        <w:t xml:space="preserve">see </w:t>
      </w:r>
      <w:r w:rsidR="00DD4FDA">
        <w:rPr>
          <w:sz w:val="23"/>
          <w:szCs w:val="23"/>
        </w:rPr>
        <w:t xml:space="preserve">Section </w:t>
      </w:r>
      <w:r w:rsidR="00DD4FDA">
        <w:rPr>
          <w:sz w:val="23"/>
          <w:szCs w:val="23"/>
        </w:rPr>
        <w:fldChar w:fldCharType="begin"/>
      </w:r>
      <w:r w:rsidR="00DD4FDA">
        <w:rPr>
          <w:sz w:val="23"/>
          <w:szCs w:val="23"/>
        </w:rPr>
        <w:instrText xml:space="preserve"> REF _Ref71120259 \w \h </w:instrText>
      </w:r>
      <w:r w:rsidR="00DD4FDA">
        <w:rPr>
          <w:sz w:val="23"/>
          <w:szCs w:val="23"/>
        </w:rPr>
      </w:r>
      <w:r w:rsidR="00DD4FDA">
        <w:rPr>
          <w:sz w:val="23"/>
          <w:szCs w:val="23"/>
        </w:rPr>
        <w:fldChar w:fldCharType="separate"/>
      </w:r>
      <w:r w:rsidR="00F53F5F">
        <w:rPr>
          <w:sz w:val="23"/>
          <w:szCs w:val="23"/>
        </w:rPr>
        <w:t>4.8</w:t>
      </w:r>
      <w:r w:rsidR="00DD4FDA">
        <w:rPr>
          <w:sz w:val="23"/>
          <w:szCs w:val="23"/>
        </w:rPr>
        <w:fldChar w:fldCharType="end"/>
      </w:r>
      <w:r w:rsidR="00DD4FDA">
        <w:rPr>
          <w:sz w:val="23"/>
          <w:szCs w:val="23"/>
        </w:rPr>
        <w:t xml:space="preserve"> </w:t>
      </w:r>
      <w:r w:rsidR="00DD4FDA">
        <w:rPr>
          <w:sz w:val="23"/>
          <w:szCs w:val="23"/>
        </w:rPr>
        <w:fldChar w:fldCharType="begin"/>
      </w:r>
      <w:r w:rsidR="00DD4FDA">
        <w:rPr>
          <w:sz w:val="23"/>
          <w:szCs w:val="23"/>
        </w:rPr>
        <w:instrText xml:space="preserve"> REF _Ref71120259 \h </w:instrText>
      </w:r>
      <w:r w:rsidR="00DD4FDA">
        <w:rPr>
          <w:sz w:val="23"/>
          <w:szCs w:val="23"/>
        </w:rPr>
      </w:r>
      <w:r w:rsidR="00DD4FDA">
        <w:rPr>
          <w:sz w:val="23"/>
          <w:szCs w:val="23"/>
        </w:rPr>
        <w:fldChar w:fldCharType="separate"/>
      </w:r>
      <w:r w:rsidR="00F53F5F" w:rsidRPr="00FA1502">
        <w:rPr>
          <w:lang w:val="en-AU"/>
        </w:rPr>
        <w:t>ADVERSE EFFECTS (UNDESIRABLE EFFECTS)</w:t>
      </w:r>
      <w:r w:rsidR="00DD4FDA">
        <w:rPr>
          <w:sz w:val="23"/>
          <w:szCs w:val="23"/>
        </w:rPr>
        <w:fldChar w:fldCharType="end"/>
      </w:r>
      <w:r w:rsidR="00DD4FDA">
        <w:rPr>
          <w:sz w:val="23"/>
          <w:szCs w:val="23"/>
        </w:rPr>
        <w:t xml:space="preserve">. </w:t>
      </w:r>
    </w:p>
    <w:p w14:paraId="36F42A7A" w14:textId="323834CB" w:rsidR="00B656AC" w:rsidRDefault="00B656AC" w:rsidP="001468A9">
      <w:pPr>
        <w:pStyle w:val="Heading4"/>
        <w:numPr>
          <w:ilvl w:val="0"/>
          <w:numId w:val="0"/>
        </w:numPr>
      </w:pPr>
      <w:r>
        <w:t xml:space="preserve">Nausea/Vomiting </w:t>
      </w:r>
    </w:p>
    <w:p w14:paraId="524F2CFD" w14:textId="561775BE" w:rsidR="001B520D" w:rsidRDefault="001B520D" w:rsidP="001B520D">
      <w:pPr>
        <w:pStyle w:val="CommentText"/>
        <w:spacing w:before="120" w:after="120"/>
        <w:rPr>
          <w:rFonts w:ascii="Times New Roman" w:hAnsi="Times New Roman" w:cs="Times New Roman"/>
          <w:sz w:val="24"/>
          <w:szCs w:val="24"/>
        </w:rPr>
      </w:pPr>
      <w:r>
        <w:rPr>
          <w:rFonts w:ascii="Times New Roman" w:hAnsi="Times New Roman" w:cs="Times New Roman"/>
          <w:sz w:val="24"/>
          <w:szCs w:val="24"/>
        </w:rPr>
        <w:t xml:space="preserve">Grade 3 </w:t>
      </w:r>
      <w:r w:rsidR="00B60AA0">
        <w:rPr>
          <w:rFonts w:ascii="Times New Roman" w:hAnsi="Times New Roman" w:cs="Times New Roman"/>
          <w:sz w:val="24"/>
          <w:szCs w:val="24"/>
        </w:rPr>
        <w:t xml:space="preserve">or higher nausea/vomiting </w:t>
      </w:r>
      <w:r>
        <w:rPr>
          <w:rFonts w:ascii="Times New Roman" w:hAnsi="Times New Roman" w:cs="Times New Roman"/>
          <w:sz w:val="24"/>
          <w:szCs w:val="24"/>
        </w:rPr>
        <w:t>events have occurred and there have been events that resulted in permanent discontinuation.</w:t>
      </w:r>
    </w:p>
    <w:p w14:paraId="0DB8C5B5" w14:textId="3DCFAF50" w:rsidR="00B656AC" w:rsidRDefault="00B656AC" w:rsidP="00B656AC">
      <w:pPr>
        <w:pStyle w:val="CommentText"/>
        <w:spacing w:before="120" w:after="120"/>
        <w:rPr>
          <w:rFonts w:ascii="Times New Roman" w:hAnsi="Times New Roman" w:cs="Times New Roman"/>
          <w:sz w:val="24"/>
          <w:szCs w:val="24"/>
        </w:rPr>
      </w:pPr>
      <w:r w:rsidRPr="001468A9">
        <w:rPr>
          <w:rFonts w:ascii="Times New Roman" w:hAnsi="Times New Roman" w:cs="Times New Roman"/>
          <w:sz w:val="24"/>
          <w:szCs w:val="24"/>
        </w:rPr>
        <w:t xml:space="preserve">Provide prophylactic 5-HT3 antagonists and other anti-nausea agents, prior to and during treatment with XPOVIO. Manage nausea/vomiting by dose interruption, reduction, and/or discontinuation. Administer intravenous fluids and replace electrolytes to prevent dehydration in patients at risk. Use additional anti-nausea medications as clinically indicated </w:t>
      </w:r>
      <w:r w:rsidR="00DD4FDA">
        <w:rPr>
          <w:rFonts w:ascii="Times New Roman" w:hAnsi="Times New Roman" w:cs="Times New Roman"/>
          <w:sz w:val="24"/>
          <w:szCs w:val="24"/>
        </w:rPr>
        <w:t>(</w:t>
      </w:r>
      <w:r w:rsidRPr="001468A9">
        <w:rPr>
          <w:rFonts w:ascii="Times New Roman" w:hAnsi="Times New Roman" w:cs="Times New Roman"/>
          <w:sz w:val="24"/>
          <w:szCs w:val="24"/>
        </w:rPr>
        <w:t xml:space="preserve">see </w:t>
      </w:r>
      <w:r w:rsidR="00DD4FDA">
        <w:rPr>
          <w:rFonts w:ascii="Times New Roman" w:hAnsi="Times New Roman" w:cs="Times New Roman"/>
          <w:iCs/>
          <w:sz w:val="24"/>
          <w:szCs w:val="24"/>
        </w:rPr>
        <w:t xml:space="preserve">Section </w:t>
      </w:r>
      <w:r w:rsidR="00DD4FDA">
        <w:rPr>
          <w:rFonts w:ascii="Times New Roman" w:hAnsi="Times New Roman" w:cs="Times New Roman"/>
          <w:iCs/>
          <w:sz w:val="24"/>
          <w:szCs w:val="24"/>
        </w:rPr>
        <w:fldChar w:fldCharType="begin"/>
      </w:r>
      <w:r w:rsidR="00DD4FDA">
        <w:rPr>
          <w:rFonts w:ascii="Times New Roman" w:hAnsi="Times New Roman" w:cs="Times New Roman"/>
          <w:iCs/>
          <w:sz w:val="24"/>
          <w:szCs w:val="24"/>
        </w:rPr>
        <w:instrText xml:space="preserve"> REF _Ref511901540 \r \h </w:instrText>
      </w:r>
      <w:r w:rsidR="00DD4FDA">
        <w:rPr>
          <w:rFonts w:ascii="Times New Roman" w:hAnsi="Times New Roman" w:cs="Times New Roman"/>
          <w:iCs/>
          <w:sz w:val="24"/>
          <w:szCs w:val="24"/>
        </w:rPr>
      </w:r>
      <w:r w:rsidR="00DD4FDA">
        <w:rPr>
          <w:rFonts w:ascii="Times New Roman" w:hAnsi="Times New Roman" w:cs="Times New Roman"/>
          <w:iCs/>
          <w:sz w:val="24"/>
          <w:szCs w:val="24"/>
        </w:rPr>
        <w:fldChar w:fldCharType="separate"/>
      </w:r>
      <w:r w:rsidR="00F53F5F">
        <w:rPr>
          <w:rFonts w:ascii="Times New Roman" w:hAnsi="Times New Roman" w:cs="Times New Roman"/>
          <w:iCs/>
          <w:sz w:val="24"/>
          <w:szCs w:val="24"/>
        </w:rPr>
        <w:t>4.2</w:t>
      </w:r>
      <w:r w:rsidR="00DD4FDA">
        <w:rPr>
          <w:rFonts w:ascii="Times New Roman" w:hAnsi="Times New Roman" w:cs="Times New Roman"/>
          <w:iCs/>
          <w:sz w:val="24"/>
          <w:szCs w:val="24"/>
        </w:rPr>
        <w:fldChar w:fldCharType="end"/>
      </w:r>
      <w:r w:rsidR="00DD4FDA">
        <w:rPr>
          <w:rFonts w:ascii="Times New Roman" w:hAnsi="Times New Roman" w:cs="Times New Roman"/>
          <w:iCs/>
          <w:sz w:val="24"/>
          <w:szCs w:val="24"/>
        </w:rPr>
        <w:t xml:space="preserve"> </w:t>
      </w:r>
      <w:r w:rsidR="00DD4FDA" w:rsidRPr="00DD4FDA">
        <w:rPr>
          <w:rFonts w:ascii="Times New Roman" w:hAnsi="Times New Roman" w:cs="Times New Roman"/>
          <w:iCs/>
          <w:sz w:val="24"/>
          <w:szCs w:val="24"/>
        </w:rPr>
        <w:fldChar w:fldCharType="begin"/>
      </w:r>
      <w:r w:rsidR="00DD4FDA" w:rsidRPr="00DD4FDA">
        <w:rPr>
          <w:rFonts w:ascii="Times New Roman" w:hAnsi="Times New Roman" w:cs="Times New Roman"/>
          <w:iCs/>
          <w:sz w:val="24"/>
          <w:szCs w:val="24"/>
        </w:rPr>
        <w:instrText xml:space="preserve"> REF _Ref511901540 \h  \* MERGEFORMAT </w:instrText>
      </w:r>
      <w:r w:rsidR="00DD4FDA" w:rsidRPr="00DD4FDA">
        <w:rPr>
          <w:rFonts w:ascii="Times New Roman" w:hAnsi="Times New Roman" w:cs="Times New Roman"/>
          <w:iCs/>
          <w:sz w:val="24"/>
          <w:szCs w:val="24"/>
        </w:rPr>
      </w:r>
      <w:r w:rsidR="00DD4FDA" w:rsidRPr="00DD4FDA">
        <w:rPr>
          <w:rFonts w:ascii="Times New Roman" w:hAnsi="Times New Roman" w:cs="Times New Roman"/>
          <w:iCs/>
          <w:sz w:val="24"/>
          <w:szCs w:val="24"/>
        </w:rPr>
        <w:fldChar w:fldCharType="separate"/>
      </w:r>
      <w:r w:rsidR="00F53F5F" w:rsidRPr="00F53F5F">
        <w:rPr>
          <w:rFonts w:ascii="Times New Roman" w:hAnsi="Times New Roman" w:cs="Times New Roman"/>
          <w:sz w:val="24"/>
          <w:szCs w:val="24"/>
        </w:rPr>
        <w:t>DOSE AND METHOD OF ADMINISTRATION</w:t>
      </w:r>
      <w:r w:rsidR="00DD4FDA" w:rsidRPr="00DD4FDA">
        <w:rPr>
          <w:rFonts w:ascii="Times New Roman" w:hAnsi="Times New Roman" w:cs="Times New Roman"/>
          <w:iCs/>
          <w:sz w:val="24"/>
          <w:szCs w:val="24"/>
        </w:rPr>
        <w:fldChar w:fldCharType="end"/>
      </w:r>
      <w:r w:rsidR="00F200BA">
        <w:rPr>
          <w:rFonts w:ascii="Times New Roman" w:hAnsi="Times New Roman" w:cs="Times New Roman"/>
          <w:sz w:val="24"/>
          <w:szCs w:val="24"/>
        </w:rPr>
        <w:t>)</w:t>
      </w:r>
      <w:r w:rsidRPr="001468A9">
        <w:rPr>
          <w:rFonts w:ascii="Times New Roman" w:hAnsi="Times New Roman" w:cs="Times New Roman"/>
          <w:sz w:val="24"/>
          <w:szCs w:val="24"/>
        </w:rPr>
        <w:t>.</w:t>
      </w:r>
    </w:p>
    <w:p w14:paraId="6D7947D4" w14:textId="25C66122" w:rsidR="00B656AC" w:rsidRPr="001468A9" w:rsidRDefault="00F200BA" w:rsidP="001468A9">
      <w:pPr>
        <w:pStyle w:val="Heading4"/>
        <w:numPr>
          <w:ilvl w:val="0"/>
          <w:numId w:val="0"/>
        </w:numPr>
      </w:pPr>
      <w:proofErr w:type="spellStart"/>
      <w:r w:rsidRPr="001468A9">
        <w:t>Diarrh</w:t>
      </w:r>
      <w:r>
        <w:t>o</w:t>
      </w:r>
      <w:r w:rsidRPr="001468A9">
        <w:t>ea</w:t>
      </w:r>
      <w:proofErr w:type="spellEnd"/>
    </w:p>
    <w:p w14:paraId="4C6643AE" w14:textId="21B4716F" w:rsidR="00E43D63" w:rsidRDefault="00E43D63" w:rsidP="001468A9">
      <w:pPr>
        <w:pStyle w:val="CommentText"/>
        <w:spacing w:before="120" w:after="120"/>
        <w:rPr>
          <w:rFonts w:ascii="Times New Roman" w:hAnsi="Times New Roman" w:cs="Times New Roman"/>
          <w:sz w:val="24"/>
          <w:szCs w:val="24"/>
        </w:rPr>
      </w:pPr>
      <w:r>
        <w:rPr>
          <w:rFonts w:ascii="Times New Roman" w:hAnsi="Times New Roman" w:cs="Times New Roman"/>
          <w:sz w:val="24"/>
          <w:szCs w:val="24"/>
        </w:rPr>
        <w:t xml:space="preserve">Grade 3 </w:t>
      </w:r>
      <w:r w:rsidR="00B60AA0">
        <w:rPr>
          <w:rFonts w:ascii="Times New Roman" w:hAnsi="Times New Roman" w:cs="Times New Roman"/>
          <w:sz w:val="24"/>
          <w:szCs w:val="24"/>
        </w:rPr>
        <w:t xml:space="preserve">or higher diarrhoea </w:t>
      </w:r>
      <w:r>
        <w:rPr>
          <w:rFonts w:ascii="Times New Roman" w:hAnsi="Times New Roman" w:cs="Times New Roman"/>
          <w:sz w:val="24"/>
          <w:szCs w:val="24"/>
        </w:rPr>
        <w:t>events have occurred and there have been events that resulted in permanent discontinuation.</w:t>
      </w:r>
    </w:p>
    <w:p w14:paraId="3C0C99B0" w14:textId="6495F588" w:rsidR="00F200BA" w:rsidRPr="006B2C83" w:rsidRDefault="00F200BA" w:rsidP="001468A9">
      <w:pPr>
        <w:pStyle w:val="CommentText"/>
        <w:spacing w:before="120" w:after="120"/>
      </w:pPr>
      <w:r w:rsidRPr="001468A9">
        <w:rPr>
          <w:rFonts w:ascii="Times New Roman" w:hAnsi="Times New Roman" w:cs="Times New Roman"/>
          <w:sz w:val="24"/>
          <w:szCs w:val="24"/>
        </w:rPr>
        <w:lastRenderedPageBreak/>
        <w:t xml:space="preserve">Interrupt, reduce dose or </w:t>
      </w:r>
      <w:r w:rsidRPr="00E04472">
        <w:rPr>
          <w:rFonts w:ascii="Times New Roman" w:hAnsi="Times New Roman" w:cs="Times New Roman"/>
          <w:sz w:val="24"/>
          <w:szCs w:val="24"/>
        </w:rPr>
        <w:t xml:space="preserve">permanently discontinue based on severity of adverse reaction [see </w:t>
      </w:r>
      <w:bookmarkStart w:id="15" w:name="_Hlk94533378"/>
      <w:r w:rsidR="00E04472" w:rsidRPr="00E04472">
        <w:rPr>
          <w:rFonts w:ascii="Times New Roman" w:hAnsi="Times New Roman" w:cs="Times New Roman"/>
          <w:iCs/>
          <w:sz w:val="24"/>
          <w:szCs w:val="24"/>
        </w:rPr>
        <w:t xml:space="preserve">Section </w:t>
      </w:r>
      <w:r w:rsidR="00E04472" w:rsidRPr="00E04472">
        <w:rPr>
          <w:rFonts w:ascii="Times New Roman" w:hAnsi="Times New Roman" w:cs="Times New Roman"/>
          <w:iCs/>
          <w:sz w:val="24"/>
          <w:szCs w:val="24"/>
        </w:rPr>
        <w:fldChar w:fldCharType="begin"/>
      </w:r>
      <w:r w:rsidR="00E04472" w:rsidRPr="00E04472">
        <w:rPr>
          <w:rFonts w:ascii="Times New Roman" w:hAnsi="Times New Roman" w:cs="Times New Roman"/>
          <w:iCs/>
          <w:sz w:val="24"/>
          <w:szCs w:val="24"/>
        </w:rPr>
        <w:instrText xml:space="preserve"> REF _Ref511901540 \r \h </w:instrText>
      </w:r>
      <w:r w:rsidR="00E04472" w:rsidRPr="00F53F5F">
        <w:rPr>
          <w:rFonts w:ascii="Times New Roman" w:hAnsi="Times New Roman" w:cs="Times New Roman"/>
          <w:iCs/>
          <w:sz w:val="24"/>
          <w:szCs w:val="24"/>
        </w:rPr>
        <w:instrText xml:space="preserve"> \* MERGEFORMAT </w:instrText>
      </w:r>
      <w:r w:rsidR="00E04472" w:rsidRPr="00E04472">
        <w:rPr>
          <w:rFonts w:ascii="Times New Roman" w:hAnsi="Times New Roman" w:cs="Times New Roman"/>
          <w:iCs/>
          <w:sz w:val="24"/>
          <w:szCs w:val="24"/>
        </w:rPr>
      </w:r>
      <w:r w:rsidR="00E04472" w:rsidRPr="00E04472">
        <w:rPr>
          <w:rFonts w:ascii="Times New Roman" w:hAnsi="Times New Roman" w:cs="Times New Roman"/>
          <w:iCs/>
          <w:sz w:val="24"/>
          <w:szCs w:val="24"/>
        </w:rPr>
        <w:fldChar w:fldCharType="separate"/>
      </w:r>
      <w:r w:rsidR="00F53F5F">
        <w:rPr>
          <w:rFonts w:ascii="Times New Roman" w:hAnsi="Times New Roman" w:cs="Times New Roman"/>
          <w:iCs/>
          <w:sz w:val="24"/>
          <w:szCs w:val="24"/>
        </w:rPr>
        <w:t>4.2</w:t>
      </w:r>
      <w:r w:rsidR="00E04472" w:rsidRPr="00E04472">
        <w:rPr>
          <w:rFonts w:ascii="Times New Roman" w:hAnsi="Times New Roman" w:cs="Times New Roman"/>
          <w:iCs/>
          <w:sz w:val="24"/>
          <w:szCs w:val="24"/>
        </w:rPr>
        <w:fldChar w:fldCharType="end"/>
      </w:r>
      <w:r w:rsidR="00E04472" w:rsidRPr="00E04472">
        <w:rPr>
          <w:rFonts w:ascii="Times New Roman" w:hAnsi="Times New Roman" w:cs="Times New Roman"/>
          <w:iCs/>
          <w:sz w:val="24"/>
          <w:szCs w:val="24"/>
        </w:rPr>
        <w:t xml:space="preserve"> </w:t>
      </w:r>
      <w:r w:rsidR="00E04472" w:rsidRPr="00E04472">
        <w:rPr>
          <w:rFonts w:ascii="Times New Roman" w:hAnsi="Times New Roman" w:cs="Times New Roman"/>
          <w:iCs/>
          <w:sz w:val="24"/>
          <w:szCs w:val="24"/>
        </w:rPr>
        <w:fldChar w:fldCharType="begin"/>
      </w:r>
      <w:r w:rsidR="00E04472" w:rsidRPr="00E04472">
        <w:rPr>
          <w:rFonts w:ascii="Times New Roman" w:hAnsi="Times New Roman" w:cs="Times New Roman"/>
          <w:iCs/>
          <w:sz w:val="24"/>
          <w:szCs w:val="24"/>
        </w:rPr>
        <w:instrText xml:space="preserve"> REF _Ref511901540 \h </w:instrText>
      </w:r>
      <w:r w:rsidR="00E04472" w:rsidRPr="00F53F5F">
        <w:rPr>
          <w:rFonts w:ascii="Times New Roman" w:hAnsi="Times New Roman" w:cs="Times New Roman"/>
          <w:iCs/>
          <w:sz w:val="24"/>
          <w:szCs w:val="24"/>
        </w:rPr>
        <w:instrText xml:space="preserve"> \* MERGEFORMAT </w:instrText>
      </w:r>
      <w:r w:rsidR="00E04472" w:rsidRPr="00E04472">
        <w:rPr>
          <w:rFonts w:ascii="Times New Roman" w:hAnsi="Times New Roman" w:cs="Times New Roman"/>
          <w:iCs/>
          <w:sz w:val="24"/>
          <w:szCs w:val="24"/>
        </w:rPr>
      </w:r>
      <w:r w:rsidR="00E04472" w:rsidRPr="00E04472">
        <w:rPr>
          <w:rFonts w:ascii="Times New Roman" w:hAnsi="Times New Roman" w:cs="Times New Roman"/>
          <w:iCs/>
          <w:sz w:val="24"/>
          <w:szCs w:val="24"/>
        </w:rPr>
        <w:fldChar w:fldCharType="separate"/>
      </w:r>
      <w:r w:rsidR="00F53F5F" w:rsidRPr="00F53F5F">
        <w:rPr>
          <w:rFonts w:ascii="Times New Roman" w:hAnsi="Times New Roman" w:cs="Times New Roman"/>
          <w:sz w:val="24"/>
          <w:szCs w:val="24"/>
        </w:rPr>
        <w:t>DOSE AND METHOD OF ADMINISTRATION</w:t>
      </w:r>
      <w:r w:rsidR="00E04472" w:rsidRPr="00E04472">
        <w:rPr>
          <w:rFonts w:ascii="Times New Roman" w:hAnsi="Times New Roman" w:cs="Times New Roman"/>
          <w:iCs/>
          <w:sz w:val="24"/>
          <w:szCs w:val="24"/>
        </w:rPr>
        <w:fldChar w:fldCharType="end"/>
      </w:r>
      <w:bookmarkEnd w:id="15"/>
      <w:r w:rsidRPr="00E04472">
        <w:rPr>
          <w:rFonts w:ascii="Times New Roman" w:hAnsi="Times New Roman" w:cs="Times New Roman"/>
          <w:sz w:val="24"/>
          <w:szCs w:val="24"/>
        </w:rPr>
        <w:t>].</w:t>
      </w:r>
      <w:r w:rsidRPr="001468A9">
        <w:rPr>
          <w:rFonts w:ascii="Times New Roman" w:hAnsi="Times New Roman" w:cs="Times New Roman"/>
          <w:sz w:val="24"/>
          <w:szCs w:val="24"/>
        </w:rPr>
        <w:t xml:space="preserve"> Provide standard anti-diarrheal agents, administer intravenous fluids to prevent dehydration and replace electrolytes as clinically indicated</w:t>
      </w:r>
      <w:r>
        <w:rPr>
          <w:i/>
          <w:iCs/>
          <w:color w:val="000000"/>
          <w:sz w:val="23"/>
          <w:szCs w:val="23"/>
        </w:rPr>
        <w:t>.</w:t>
      </w:r>
    </w:p>
    <w:p w14:paraId="4C887C33" w14:textId="0F4A0CBC" w:rsidR="00BC2DAD" w:rsidRPr="00FA1502" w:rsidRDefault="00BC2DAD" w:rsidP="00BC2DAD">
      <w:pPr>
        <w:pStyle w:val="Heading3"/>
        <w:numPr>
          <w:ilvl w:val="0"/>
          <w:numId w:val="0"/>
        </w:numPr>
        <w:ind w:left="680" w:hanging="680"/>
        <w:rPr>
          <w:lang w:val="en-AU"/>
        </w:rPr>
      </w:pPr>
      <w:r w:rsidRPr="00FA1502">
        <w:rPr>
          <w:lang w:val="en-AU"/>
        </w:rPr>
        <w:t>Fatigue, weight loss and anorexia</w:t>
      </w:r>
    </w:p>
    <w:p w14:paraId="50AF3F6B" w14:textId="6B0B7915" w:rsidR="00E43D63" w:rsidRDefault="007B7880" w:rsidP="00E43D63">
      <w:pPr>
        <w:pStyle w:val="CommentText"/>
        <w:spacing w:before="120" w:after="120"/>
        <w:rPr>
          <w:rFonts w:ascii="Times New Roman" w:hAnsi="Times New Roman" w:cs="Times New Roman"/>
          <w:sz w:val="24"/>
          <w:szCs w:val="24"/>
        </w:rPr>
      </w:pPr>
      <w:r w:rsidRPr="00BB6FDA">
        <w:rPr>
          <w:rFonts w:ascii="Times New Roman" w:hAnsi="Times New Roman" w:cs="Times New Roman"/>
          <w:sz w:val="24"/>
          <w:szCs w:val="24"/>
        </w:rPr>
        <w:t>XPOVIO</w:t>
      </w:r>
      <w:r w:rsidR="00BC2DAD" w:rsidRPr="00BB6FDA">
        <w:rPr>
          <w:rFonts w:ascii="Times New Roman" w:hAnsi="Times New Roman" w:cs="Times New Roman"/>
          <w:sz w:val="24"/>
          <w:szCs w:val="24"/>
        </w:rPr>
        <w:t xml:space="preserve"> can cause fatigue, weight loss, and anorexia.</w:t>
      </w:r>
      <w:r w:rsidR="00BC2DAD" w:rsidRPr="001468A9">
        <w:t xml:space="preserve"> </w:t>
      </w:r>
      <w:r w:rsidR="00E43D63" w:rsidRPr="00E43D63">
        <w:t xml:space="preserve"> </w:t>
      </w:r>
      <w:r w:rsidR="00E43D63">
        <w:rPr>
          <w:rFonts w:ascii="Times New Roman" w:hAnsi="Times New Roman" w:cs="Times New Roman"/>
          <w:sz w:val="24"/>
          <w:szCs w:val="24"/>
        </w:rPr>
        <w:t xml:space="preserve">Grade 3 </w:t>
      </w:r>
      <w:r w:rsidR="00B60AA0">
        <w:rPr>
          <w:rFonts w:ascii="Times New Roman" w:hAnsi="Times New Roman" w:cs="Times New Roman"/>
          <w:sz w:val="24"/>
          <w:szCs w:val="24"/>
        </w:rPr>
        <w:t xml:space="preserve">fatigue, weight loss and anorexia </w:t>
      </w:r>
      <w:r w:rsidR="00E43D63">
        <w:rPr>
          <w:rFonts w:ascii="Times New Roman" w:hAnsi="Times New Roman" w:cs="Times New Roman"/>
          <w:sz w:val="24"/>
          <w:szCs w:val="24"/>
        </w:rPr>
        <w:t>events have occurred and there have been events that resulted in permanent discontinuation.</w:t>
      </w:r>
    </w:p>
    <w:p w14:paraId="6319E818" w14:textId="300881AD" w:rsidR="0031188C" w:rsidRPr="00FA1502" w:rsidRDefault="0031188C" w:rsidP="00C145B8">
      <w:pPr>
        <w:rPr>
          <w:lang w:val="en-AU"/>
        </w:rPr>
      </w:pPr>
      <w:r w:rsidRPr="001468A9">
        <w:t xml:space="preserve">Monitor patient </w:t>
      </w:r>
      <w:r w:rsidR="00E12BD8" w:rsidRPr="001468A9">
        <w:t>weight</w:t>
      </w:r>
      <w:r w:rsidR="00E12BD8">
        <w:t>, nutritional</w:t>
      </w:r>
      <w:r w:rsidR="003E28BC">
        <w:t xml:space="preserve"> </w:t>
      </w:r>
      <w:proofErr w:type="gramStart"/>
      <w:r w:rsidR="003E28BC">
        <w:t>status</w:t>
      </w:r>
      <w:proofErr w:type="gramEnd"/>
      <w:r w:rsidR="003E28BC">
        <w:t xml:space="preserve"> and volume status</w:t>
      </w:r>
      <w:r w:rsidR="0032289F">
        <w:t xml:space="preserve"> </w:t>
      </w:r>
      <w:r w:rsidRPr="001468A9">
        <w:t xml:space="preserve">at baseline, </w:t>
      </w:r>
      <w:r w:rsidR="003E28BC">
        <w:t>and throughout treatment</w:t>
      </w:r>
      <w:r w:rsidRPr="001468A9">
        <w:t xml:space="preserve"> and as clinically indicated. Monitor more frequently during the first</w:t>
      </w:r>
      <w:r w:rsidR="007B7880">
        <w:t xml:space="preserve"> three</w:t>
      </w:r>
      <w:r w:rsidRPr="001468A9">
        <w:t xml:space="preserve"> months of treatment. </w:t>
      </w:r>
      <w:r w:rsidR="003E28BC">
        <w:t>Interrupt, reduce dose or permanently discontinue based on severity of adverse reactions. Provide nutritional support, fluids and electrolyte repletion as clinically indicated.</w:t>
      </w:r>
      <w:r w:rsidRPr="001468A9">
        <w:t xml:space="preserve"> [see </w:t>
      </w:r>
      <w:r w:rsidR="00E04472" w:rsidRPr="00E04472">
        <w:rPr>
          <w:iCs/>
        </w:rPr>
        <w:t xml:space="preserve">Section </w:t>
      </w:r>
      <w:r w:rsidR="00E04472" w:rsidRPr="00E04472">
        <w:rPr>
          <w:iCs/>
        </w:rPr>
        <w:fldChar w:fldCharType="begin"/>
      </w:r>
      <w:r w:rsidR="00E04472" w:rsidRPr="00E04472">
        <w:rPr>
          <w:iCs/>
        </w:rPr>
        <w:instrText xml:space="preserve"> REF _Ref511901540 \r \h </w:instrText>
      </w:r>
      <w:r w:rsidR="00E04472" w:rsidRPr="009F7D45">
        <w:rPr>
          <w:iCs/>
        </w:rPr>
        <w:instrText xml:space="preserve"> \* MERGEFORMAT </w:instrText>
      </w:r>
      <w:r w:rsidR="00E04472" w:rsidRPr="00E04472">
        <w:rPr>
          <w:iCs/>
        </w:rPr>
      </w:r>
      <w:r w:rsidR="00E04472" w:rsidRPr="00E04472">
        <w:rPr>
          <w:iCs/>
        </w:rPr>
        <w:fldChar w:fldCharType="separate"/>
      </w:r>
      <w:r w:rsidR="00F53F5F">
        <w:rPr>
          <w:iCs/>
        </w:rPr>
        <w:t>4.2</w:t>
      </w:r>
      <w:r w:rsidR="00E04472" w:rsidRPr="00E04472">
        <w:rPr>
          <w:iCs/>
        </w:rPr>
        <w:fldChar w:fldCharType="end"/>
      </w:r>
      <w:r w:rsidR="00E04472" w:rsidRPr="00E04472">
        <w:rPr>
          <w:iCs/>
        </w:rPr>
        <w:t xml:space="preserve"> </w:t>
      </w:r>
      <w:r w:rsidR="00E04472" w:rsidRPr="00E04472">
        <w:rPr>
          <w:iCs/>
        </w:rPr>
        <w:fldChar w:fldCharType="begin"/>
      </w:r>
      <w:r w:rsidR="00E04472" w:rsidRPr="00E04472">
        <w:rPr>
          <w:iCs/>
        </w:rPr>
        <w:instrText xml:space="preserve"> REF _Ref511901540 \h </w:instrText>
      </w:r>
      <w:r w:rsidR="00E04472" w:rsidRPr="009F7D45">
        <w:rPr>
          <w:iCs/>
        </w:rPr>
        <w:instrText xml:space="preserve"> \* MERGEFORMAT </w:instrText>
      </w:r>
      <w:r w:rsidR="00E04472" w:rsidRPr="00E04472">
        <w:rPr>
          <w:iCs/>
        </w:rPr>
      </w:r>
      <w:r w:rsidR="00E04472" w:rsidRPr="00E04472">
        <w:rPr>
          <w:iCs/>
        </w:rPr>
        <w:fldChar w:fldCharType="separate"/>
      </w:r>
      <w:r w:rsidR="00F53F5F" w:rsidRPr="00FA1502">
        <w:rPr>
          <w:lang w:val="en-AU"/>
        </w:rPr>
        <w:t>DOSE AND METHOD OF ADMINISTRATION</w:t>
      </w:r>
      <w:r w:rsidR="00E04472" w:rsidRPr="00E04472">
        <w:rPr>
          <w:iCs/>
        </w:rPr>
        <w:fldChar w:fldCharType="end"/>
      </w:r>
      <w:r w:rsidRPr="001468A9">
        <w:t>].</w:t>
      </w:r>
      <w:r w:rsidRPr="0031188C">
        <w:rPr>
          <w:lang w:val="en-AU"/>
        </w:rPr>
        <w:t xml:space="preserve"> </w:t>
      </w:r>
      <w:r w:rsidRPr="007B0C25">
        <w:rPr>
          <w:lang w:val="en-AU"/>
        </w:rPr>
        <w:t xml:space="preserve">For dose modification guidelines refer to </w:t>
      </w:r>
      <w:r w:rsidRPr="007B0C25">
        <w:rPr>
          <w:lang w:val="en-AU"/>
        </w:rPr>
        <w:fldChar w:fldCharType="begin"/>
      </w:r>
      <w:r w:rsidRPr="007B0C25">
        <w:rPr>
          <w:lang w:val="en-AU"/>
        </w:rPr>
        <w:instrText xml:space="preserve"> REF _Ref45711620 \h  \* MERGEFORMAT </w:instrText>
      </w:r>
      <w:r w:rsidRPr="007B0C25">
        <w:rPr>
          <w:lang w:val="en-AU"/>
        </w:rPr>
      </w:r>
      <w:r w:rsidRPr="007B0C25">
        <w:rPr>
          <w:lang w:val="en-AU"/>
        </w:rPr>
        <w:fldChar w:fldCharType="separate"/>
      </w:r>
      <w:r w:rsidR="00F53F5F" w:rsidRPr="00FA1502">
        <w:rPr>
          <w:lang w:val="en-AU"/>
        </w:rPr>
        <w:t>Table</w:t>
      </w:r>
      <w:r w:rsidR="00F53F5F">
        <w:rPr>
          <w:lang w:val="en-AU"/>
        </w:rPr>
        <w:t> 1</w:t>
      </w:r>
      <w:r w:rsidRPr="007B0C25">
        <w:rPr>
          <w:lang w:val="en-AU"/>
        </w:rPr>
        <w:fldChar w:fldCharType="end"/>
      </w:r>
      <w:r w:rsidRPr="007B0C25">
        <w:rPr>
          <w:lang w:val="en-AU"/>
        </w:rPr>
        <w:t xml:space="preserve"> and </w:t>
      </w:r>
      <w:r w:rsidRPr="007B0C25">
        <w:rPr>
          <w:lang w:val="en-AU"/>
        </w:rPr>
        <w:fldChar w:fldCharType="begin"/>
      </w:r>
      <w:r w:rsidRPr="007B0C25">
        <w:rPr>
          <w:lang w:val="en-AU"/>
        </w:rPr>
        <w:instrText xml:space="preserve"> REF _Ref46993569 \h  \* MERGEFORMAT </w:instrText>
      </w:r>
      <w:r w:rsidRPr="007B0C25">
        <w:rPr>
          <w:lang w:val="en-AU"/>
        </w:rPr>
      </w:r>
      <w:r w:rsidRPr="007B0C25">
        <w:rPr>
          <w:lang w:val="en-AU"/>
        </w:rPr>
        <w:fldChar w:fldCharType="separate"/>
      </w:r>
      <w:r w:rsidR="00F53F5F" w:rsidRPr="00FA1502">
        <w:rPr>
          <w:lang w:val="en-AU"/>
        </w:rPr>
        <w:t>Table</w:t>
      </w:r>
      <w:r w:rsidR="00F53F5F">
        <w:rPr>
          <w:lang w:val="en-AU"/>
        </w:rPr>
        <w:t> 3</w:t>
      </w:r>
      <w:r w:rsidRPr="007B0C25">
        <w:rPr>
          <w:lang w:val="en-AU"/>
        </w:rPr>
        <w:fldChar w:fldCharType="end"/>
      </w:r>
      <w:r w:rsidRPr="007B0C25">
        <w:rPr>
          <w:lang w:val="en-AU"/>
        </w:rPr>
        <w:t xml:space="preserve">. Patients should be advised not to drive or operate heavy machinery (see Section </w:t>
      </w:r>
      <w:r w:rsidRPr="007B0C25">
        <w:rPr>
          <w:lang w:val="en-AU"/>
        </w:rPr>
        <w:fldChar w:fldCharType="begin"/>
      </w:r>
      <w:r w:rsidRPr="007B0C25">
        <w:rPr>
          <w:lang w:val="en-AU"/>
        </w:rPr>
        <w:instrText xml:space="preserve"> REF _Ref45718373 \r \h  \* MERGEFORMAT </w:instrText>
      </w:r>
      <w:r w:rsidRPr="007B0C25">
        <w:rPr>
          <w:lang w:val="en-AU"/>
        </w:rPr>
      </w:r>
      <w:r w:rsidRPr="007B0C25">
        <w:rPr>
          <w:lang w:val="en-AU"/>
        </w:rPr>
        <w:fldChar w:fldCharType="separate"/>
      </w:r>
      <w:r w:rsidR="00F53F5F">
        <w:rPr>
          <w:lang w:val="en-AU"/>
        </w:rPr>
        <w:t>4.7</w:t>
      </w:r>
      <w:r w:rsidRPr="007B0C25">
        <w:rPr>
          <w:lang w:val="en-AU"/>
        </w:rPr>
        <w:fldChar w:fldCharType="end"/>
      </w:r>
      <w:r w:rsidRPr="007B0C25">
        <w:rPr>
          <w:lang w:val="en-AU"/>
        </w:rPr>
        <w:t xml:space="preserve"> </w:t>
      </w:r>
      <w:r w:rsidRPr="007B0C25">
        <w:rPr>
          <w:lang w:val="en-AU"/>
        </w:rPr>
        <w:fldChar w:fldCharType="begin"/>
      </w:r>
      <w:r w:rsidRPr="007B0C25">
        <w:rPr>
          <w:lang w:val="en-AU"/>
        </w:rPr>
        <w:instrText xml:space="preserve"> REF _Ref45718373 \h  \* MERGEFORMAT </w:instrText>
      </w:r>
      <w:r w:rsidRPr="007B0C25">
        <w:rPr>
          <w:lang w:val="en-AU"/>
        </w:rPr>
      </w:r>
      <w:r w:rsidRPr="007B0C25">
        <w:rPr>
          <w:lang w:val="en-AU"/>
        </w:rPr>
        <w:fldChar w:fldCharType="separate"/>
      </w:r>
      <w:r w:rsidR="00F53F5F" w:rsidRPr="00FA1502">
        <w:rPr>
          <w:lang w:val="en-AU"/>
        </w:rPr>
        <w:t>EFFECTS ON ABILITY TO DRIVE AND USE MACHINES</w:t>
      </w:r>
      <w:r w:rsidRPr="007B0C25">
        <w:rPr>
          <w:lang w:val="en-AU"/>
        </w:rPr>
        <w:fldChar w:fldCharType="end"/>
      </w:r>
      <w:r w:rsidRPr="007B0C25">
        <w:rPr>
          <w:lang w:val="en-AU"/>
        </w:rPr>
        <w:t>).</w:t>
      </w:r>
    </w:p>
    <w:p w14:paraId="20FC5A26" w14:textId="5ABA7FDD" w:rsidR="002B3896" w:rsidRPr="002B3896" w:rsidRDefault="002B3896" w:rsidP="001468A9">
      <w:pPr>
        <w:pStyle w:val="Heading3"/>
        <w:numPr>
          <w:ilvl w:val="0"/>
          <w:numId w:val="0"/>
        </w:numPr>
        <w:ind w:left="680" w:hanging="680"/>
        <w:rPr>
          <w:lang w:val="en-AU"/>
        </w:rPr>
      </w:pPr>
      <w:r>
        <w:rPr>
          <w:lang w:val="en-AU"/>
        </w:rPr>
        <w:t>Neurological Toxicity</w:t>
      </w:r>
    </w:p>
    <w:p w14:paraId="10A8767A" w14:textId="429F945F" w:rsidR="00840662" w:rsidRDefault="00803B5A" w:rsidP="00BC2DAD">
      <w:pPr>
        <w:rPr>
          <w:sz w:val="23"/>
          <w:szCs w:val="23"/>
        </w:rPr>
      </w:pPr>
      <w:r>
        <w:rPr>
          <w:sz w:val="23"/>
          <w:szCs w:val="23"/>
        </w:rPr>
        <w:t xml:space="preserve">XPOVIO can cause life-threatening neurological toxicities </w:t>
      </w:r>
      <w:r w:rsidR="00840662">
        <w:rPr>
          <w:sz w:val="23"/>
          <w:szCs w:val="23"/>
        </w:rPr>
        <w:t xml:space="preserve">including </w:t>
      </w:r>
      <w:proofErr w:type="spellStart"/>
      <w:r w:rsidR="00840662">
        <w:rPr>
          <w:sz w:val="23"/>
          <w:szCs w:val="23"/>
        </w:rPr>
        <w:t>confusional</w:t>
      </w:r>
      <w:proofErr w:type="spellEnd"/>
      <w:r w:rsidR="00840662">
        <w:rPr>
          <w:sz w:val="23"/>
          <w:szCs w:val="23"/>
        </w:rPr>
        <w:t xml:space="preserve"> state and dizziness (see </w:t>
      </w:r>
      <w:r w:rsidR="00DD4FDA">
        <w:rPr>
          <w:sz w:val="23"/>
          <w:szCs w:val="23"/>
        </w:rPr>
        <w:t xml:space="preserve">Section </w:t>
      </w:r>
      <w:r w:rsidR="00DD4FDA">
        <w:rPr>
          <w:sz w:val="23"/>
          <w:szCs w:val="23"/>
        </w:rPr>
        <w:fldChar w:fldCharType="begin"/>
      </w:r>
      <w:r w:rsidR="00DD4FDA">
        <w:rPr>
          <w:sz w:val="23"/>
          <w:szCs w:val="23"/>
        </w:rPr>
        <w:instrText xml:space="preserve"> REF _Ref71120259 \r \h </w:instrText>
      </w:r>
      <w:r w:rsidR="00DD4FDA">
        <w:rPr>
          <w:sz w:val="23"/>
          <w:szCs w:val="23"/>
        </w:rPr>
      </w:r>
      <w:r w:rsidR="00DD4FDA">
        <w:rPr>
          <w:sz w:val="23"/>
          <w:szCs w:val="23"/>
        </w:rPr>
        <w:fldChar w:fldCharType="separate"/>
      </w:r>
      <w:r w:rsidR="00F53F5F">
        <w:rPr>
          <w:sz w:val="23"/>
          <w:szCs w:val="23"/>
        </w:rPr>
        <w:t>4.8</w:t>
      </w:r>
      <w:r w:rsidR="00DD4FDA">
        <w:rPr>
          <w:sz w:val="23"/>
          <w:szCs w:val="23"/>
        </w:rPr>
        <w:fldChar w:fldCharType="end"/>
      </w:r>
      <w:r w:rsidR="00DD4FDA">
        <w:rPr>
          <w:sz w:val="23"/>
          <w:szCs w:val="23"/>
        </w:rPr>
        <w:t xml:space="preserve"> </w:t>
      </w:r>
      <w:r w:rsidR="00DD4FDA">
        <w:rPr>
          <w:sz w:val="23"/>
          <w:szCs w:val="23"/>
        </w:rPr>
        <w:fldChar w:fldCharType="begin"/>
      </w:r>
      <w:r w:rsidR="00DD4FDA">
        <w:rPr>
          <w:sz w:val="23"/>
          <w:szCs w:val="23"/>
        </w:rPr>
        <w:instrText xml:space="preserve"> REF _Ref71120259 \h </w:instrText>
      </w:r>
      <w:r w:rsidR="00DD4FDA">
        <w:rPr>
          <w:sz w:val="23"/>
          <w:szCs w:val="23"/>
        </w:rPr>
      </w:r>
      <w:r w:rsidR="00DD4FDA">
        <w:rPr>
          <w:sz w:val="23"/>
          <w:szCs w:val="23"/>
        </w:rPr>
        <w:fldChar w:fldCharType="separate"/>
      </w:r>
      <w:r w:rsidR="00F53F5F" w:rsidRPr="00FA1502">
        <w:rPr>
          <w:lang w:val="en-AU"/>
        </w:rPr>
        <w:t>ADVERSE EFFECTS (UNDESIRABLE EFFECTS)</w:t>
      </w:r>
      <w:r w:rsidR="00DD4FDA">
        <w:rPr>
          <w:sz w:val="23"/>
          <w:szCs w:val="23"/>
        </w:rPr>
        <w:fldChar w:fldCharType="end"/>
      </w:r>
      <w:r w:rsidR="00840662">
        <w:rPr>
          <w:sz w:val="23"/>
          <w:szCs w:val="23"/>
        </w:rPr>
        <w:t>).</w:t>
      </w:r>
    </w:p>
    <w:p w14:paraId="0FE277DA" w14:textId="77777777" w:rsidR="0026457F" w:rsidRPr="008B3F91" w:rsidRDefault="0026457F" w:rsidP="008B3F91">
      <w:pPr>
        <w:pStyle w:val="Heading3"/>
        <w:numPr>
          <w:ilvl w:val="0"/>
          <w:numId w:val="0"/>
        </w:numPr>
        <w:ind w:left="680" w:hanging="680"/>
        <w:rPr>
          <w:lang w:val="en-AU"/>
        </w:rPr>
      </w:pPr>
      <w:r w:rsidRPr="008B3F91">
        <w:rPr>
          <w:lang w:val="en-AU"/>
        </w:rPr>
        <w:t>Dizziness</w:t>
      </w:r>
    </w:p>
    <w:p w14:paraId="4B1F1286" w14:textId="4D6DFF28" w:rsidR="00803B5A" w:rsidRDefault="00840662" w:rsidP="00BC2DAD">
      <w:pPr>
        <w:rPr>
          <w:sz w:val="23"/>
          <w:szCs w:val="23"/>
        </w:rPr>
      </w:pPr>
      <w:r>
        <w:rPr>
          <w:sz w:val="23"/>
          <w:szCs w:val="23"/>
        </w:rPr>
        <w:t>Coadministration of XPOVIO with other products that cause dizziness or mental status changes may increase the risk of neurological toxicity.</w:t>
      </w:r>
    </w:p>
    <w:p w14:paraId="7F32FA5C" w14:textId="3D6CCA82" w:rsidR="00840662" w:rsidRPr="001468A9" w:rsidRDefault="00840662" w:rsidP="00840662">
      <w:pPr>
        <w:pStyle w:val="CommentText"/>
        <w:spacing w:before="120" w:after="120"/>
        <w:rPr>
          <w:rFonts w:ascii="Times New Roman" w:hAnsi="Times New Roman" w:cs="Times New Roman"/>
          <w:sz w:val="24"/>
          <w:szCs w:val="24"/>
        </w:rPr>
      </w:pPr>
      <w:r w:rsidRPr="001468A9">
        <w:rPr>
          <w:rFonts w:ascii="Times New Roman" w:hAnsi="Times New Roman" w:cs="Times New Roman"/>
          <w:sz w:val="24"/>
          <w:szCs w:val="24"/>
        </w:rPr>
        <w:t>Optimise hydration status, haemoglobin level, and concomitant medications to avoid exacerbating dizziness or mental status changes. Institute fall precautions as appropriate.</w:t>
      </w:r>
    </w:p>
    <w:p w14:paraId="0922CCE8" w14:textId="347BFE24" w:rsidR="00BC2DAD" w:rsidRPr="00FA1502" w:rsidRDefault="00BC2DAD" w:rsidP="00BC2DAD">
      <w:pPr>
        <w:rPr>
          <w:lang w:val="en-AU"/>
        </w:rPr>
      </w:pPr>
      <w:r w:rsidRPr="001468A9">
        <w:rPr>
          <w:lang w:val="en-AU"/>
        </w:rPr>
        <w:t xml:space="preserve">Patients should be instructed to avoid situations where dizziness or </w:t>
      </w:r>
      <w:proofErr w:type="spellStart"/>
      <w:r w:rsidRPr="001468A9">
        <w:rPr>
          <w:lang w:val="en-AU"/>
        </w:rPr>
        <w:t>confusional</w:t>
      </w:r>
      <w:proofErr w:type="spellEnd"/>
      <w:r w:rsidRPr="001468A9">
        <w:rPr>
          <w:lang w:val="en-AU"/>
        </w:rPr>
        <w:t xml:space="preserve"> state may be a problem and to not take other medicinal products that may cause dizziness or </w:t>
      </w:r>
      <w:proofErr w:type="spellStart"/>
      <w:r w:rsidRPr="001468A9">
        <w:rPr>
          <w:lang w:val="en-AU"/>
        </w:rPr>
        <w:t>confusional</w:t>
      </w:r>
      <w:proofErr w:type="spellEnd"/>
      <w:r w:rsidRPr="001468A9">
        <w:rPr>
          <w:lang w:val="en-AU"/>
        </w:rPr>
        <w:t xml:space="preserve"> state without adequate medical</w:t>
      </w:r>
      <w:r w:rsidRPr="00FF7721">
        <w:rPr>
          <w:lang w:val="en-AU"/>
        </w:rPr>
        <w:t xml:space="preserve"> </w:t>
      </w:r>
      <w:r w:rsidRPr="001468A9">
        <w:rPr>
          <w:lang w:val="en-AU"/>
        </w:rPr>
        <w:t xml:space="preserve">advice. Patients should be advised not to drive or operate heavy machinery (see Section </w:t>
      </w:r>
      <w:r w:rsidRPr="001468A9">
        <w:rPr>
          <w:lang w:val="en-AU"/>
        </w:rPr>
        <w:fldChar w:fldCharType="begin"/>
      </w:r>
      <w:r w:rsidRPr="001468A9">
        <w:rPr>
          <w:lang w:val="en-AU"/>
        </w:rPr>
        <w:instrText xml:space="preserve"> REF _Ref45718373 \r \h </w:instrText>
      </w:r>
      <w:r w:rsidR="005E3646" w:rsidRPr="001468A9">
        <w:rPr>
          <w:lang w:val="en-AU"/>
        </w:rPr>
        <w:instrText xml:space="preserve"> \* MERGEFORMAT </w:instrText>
      </w:r>
      <w:r w:rsidRPr="001468A9">
        <w:rPr>
          <w:lang w:val="en-AU"/>
        </w:rPr>
      </w:r>
      <w:r w:rsidRPr="001468A9">
        <w:rPr>
          <w:lang w:val="en-AU"/>
        </w:rPr>
        <w:fldChar w:fldCharType="separate"/>
      </w:r>
      <w:r w:rsidR="00F53F5F">
        <w:rPr>
          <w:lang w:val="en-AU"/>
        </w:rPr>
        <w:t>4.7</w:t>
      </w:r>
      <w:r w:rsidRPr="001468A9">
        <w:rPr>
          <w:lang w:val="en-AU"/>
        </w:rPr>
        <w:fldChar w:fldCharType="end"/>
      </w:r>
      <w:r w:rsidRPr="001468A9">
        <w:rPr>
          <w:lang w:val="en-AU"/>
        </w:rPr>
        <w:t xml:space="preserve"> </w:t>
      </w:r>
      <w:r w:rsidRPr="001468A9">
        <w:rPr>
          <w:lang w:val="en-AU"/>
        </w:rPr>
        <w:fldChar w:fldCharType="begin"/>
      </w:r>
      <w:r w:rsidRPr="001468A9">
        <w:rPr>
          <w:lang w:val="en-AU"/>
        </w:rPr>
        <w:instrText xml:space="preserve"> REF _Ref45718373 \h </w:instrText>
      </w:r>
      <w:r w:rsidR="005E3646" w:rsidRPr="001468A9">
        <w:rPr>
          <w:lang w:val="en-AU"/>
        </w:rPr>
        <w:instrText xml:space="preserve"> \* MERGEFORMAT </w:instrText>
      </w:r>
      <w:r w:rsidRPr="001468A9">
        <w:rPr>
          <w:lang w:val="en-AU"/>
        </w:rPr>
      </w:r>
      <w:r w:rsidRPr="001468A9">
        <w:rPr>
          <w:lang w:val="en-AU"/>
        </w:rPr>
        <w:fldChar w:fldCharType="separate"/>
      </w:r>
      <w:r w:rsidR="00F53F5F" w:rsidRPr="00FA1502">
        <w:rPr>
          <w:lang w:val="en-AU"/>
        </w:rPr>
        <w:t>EFFECTS ON ABILITY TO DRIVE AND USE MACHINES</w:t>
      </w:r>
      <w:r w:rsidRPr="001468A9">
        <w:rPr>
          <w:lang w:val="en-AU"/>
        </w:rPr>
        <w:fldChar w:fldCharType="end"/>
      </w:r>
      <w:r w:rsidRPr="001468A9">
        <w:rPr>
          <w:lang w:val="en-AU"/>
        </w:rPr>
        <w:t>).</w:t>
      </w:r>
    </w:p>
    <w:p w14:paraId="00B0F552" w14:textId="5D92074B" w:rsidR="00BC2DAD" w:rsidRPr="00FA1502" w:rsidRDefault="00BC2DAD" w:rsidP="00BC2DAD">
      <w:pPr>
        <w:pStyle w:val="Heading3"/>
        <w:numPr>
          <w:ilvl w:val="0"/>
          <w:numId w:val="0"/>
        </w:numPr>
        <w:ind w:left="680" w:hanging="680"/>
        <w:rPr>
          <w:lang w:val="en-AU"/>
        </w:rPr>
      </w:pPr>
      <w:r w:rsidRPr="00FA1502">
        <w:rPr>
          <w:lang w:val="en-AU"/>
        </w:rPr>
        <w:t>Hyponatraemia</w:t>
      </w:r>
    </w:p>
    <w:p w14:paraId="3431D1EA" w14:textId="1DFCC556" w:rsidR="00FC013F" w:rsidRPr="00F60079" w:rsidRDefault="00F60079" w:rsidP="00BC2DAD">
      <w:pPr>
        <w:rPr>
          <w:lang w:val="en-AU"/>
        </w:rPr>
      </w:pPr>
      <w:r>
        <w:rPr>
          <w:lang w:val="en-AU"/>
        </w:rPr>
        <w:t>XPOVIO</w:t>
      </w:r>
      <w:r w:rsidR="00BC2DAD" w:rsidRPr="00F60079">
        <w:rPr>
          <w:lang w:val="en-AU"/>
        </w:rPr>
        <w:t xml:space="preserve"> can cause </w:t>
      </w:r>
      <w:r w:rsidR="00EE55A9" w:rsidRPr="00F60079">
        <w:rPr>
          <w:lang w:val="en-AU"/>
        </w:rPr>
        <w:t xml:space="preserve">severe or life-threatening </w:t>
      </w:r>
      <w:r w:rsidR="00BC2DAD" w:rsidRPr="00F60079">
        <w:rPr>
          <w:lang w:val="en-AU"/>
        </w:rPr>
        <w:t>hyponatraemia</w:t>
      </w:r>
      <w:r w:rsidR="00EE55A9" w:rsidRPr="00F60079">
        <w:rPr>
          <w:lang w:val="en-AU"/>
        </w:rPr>
        <w:t xml:space="preserve"> </w:t>
      </w:r>
      <w:r w:rsidR="00DD4FDA">
        <w:rPr>
          <w:lang w:val="en-AU"/>
        </w:rPr>
        <w:t>(</w:t>
      </w:r>
      <w:r w:rsidR="00EE55A9" w:rsidRPr="00F60079">
        <w:rPr>
          <w:lang w:val="en-AU"/>
        </w:rPr>
        <w:t xml:space="preserve">see </w:t>
      </w:r>
      <w:r w:rsidR="00DD4FDA">
        <w:rPr>
          <w:sz w:val="23"/>
          <w:szCs w:val="23"/>
        </w:rPr>
        <w:t xml:space="preserve">Section </w:t>
      </w:r>
      <w:r w:rsidR="00DD4FDA">
        <w:rPr>
          <w:sz w:val="23"/>
          <w:szCs w:val="23"/>
        </w:rPr>
        <w:fldChar w:fldCharType="begin"/>
      </w:r>
      <w:r w:rsidR="00DD4FDA">
        <w:rPr>
          <w:sz w:val="23"/>
          <w:szCs w:val="23"/>
        </w:rPr>
        <w:instrText xml:space="preserve"> REF _Ref71120259 \r \h </w:instrText>
      </w:r>
      <w:r w:rsidR="00DD4FDA">
        <w:rPr>
          <w:sz w:val="23"/>
          <w:szCs w:val="23"/>
        </w:rPr>
      </w:r>
      <w:r w:rsidR="00DD4FDA">
        <w:rPr>
          <w:sz w:val="23"/>
          <w:szCs w:val="23"/>
        </w:rPr>
        <w:fldChar w:fldCharType="separate"/>
      </w:r>
      <w:r w:rsidR="00F53F5F">
        <w:rPr>
          <w:sz w:val="23"/>
          <w:szCs w:val="23"/>
        </w:rPr>
        <w:t>4.8</w:t>
      </w:r>
      <w:r w:rsidR="00DD4FDA">
        <w:rPr>
          <w:sz w:val="23"/>
          <w:szCs w:val="23"/>
        </w:rPr>
        <w:fldChar w:fldCharType="end"/>
      </w:r>
      <w:r w:rsidR="00DD4FDA">
        <w:rPr>
          <w:sz w:val="23"/>
          <w:szCs w:val="23"/>
        </w:rPr>
        <w:t xml:space="preserve"> </w:t>
      </w:r>
      <w:r w:rsidR="00DD4FDA">
        <w:rPr>
          <w:sz w:val="23"/>
          <w:szCs w:val="23"/>
        </w:rPr>
        <w:fldChar w:fldCharType="begin"/>
      </w:r>
      <w:r w:rsidR="00DD4FDA">
        <w:rPr>
          <w:sz w:val="23"/>
          <w:szCs w:val="23"/>
        </w:rPr>
        <w:instrText xml:space="preserve"> REF _Ref71120259 \h </w:instrText>
      </w:r>
      <w:r w:rsidR="00DD4FDA">
        <w:rPr>
          <w:sz w:val="23"/>
          <w:szCs w:val="23"/>
        </w:rPr>
      </w:r>
      <w:r w:rsidR="00DD4FDA">
        <w:rPr>
          <w:sz w:val="23"/>
          <w:szCs w:val="23"/>
        </w:rPr>
        <w:fldChar w:fldCharType="separate"/>
      </w:r>
      <w:r w:rsidR="00F53F5F" w:rsidRPr="00FA1502">
        <w:rPr>
          <w:lang w:val="en-AU"/>
        </w:rPr>
        <w:t>ADVERSE EFFECTS (UNDESIRABLE EFFECTS)</w:t>
      </w:r>
      <w:r w:rsidR="00DD4FDA">
        <w:rPr>
          <w:sz w:val="23"/>
          <w:szCs w:val="23"/>
        </w:rPr>
        <w:fldChar w:fldCharType="end"/>
      </w:r>
      <w:r w:rsidR="00DD4FDA">
        <w:rPr>
          <w:sz w:val="23"/>
          <w:szCs w:val="23"/>
        </w:rPr>
        <w:t>).</w:t>
      </w:r>
    </w:p>
    <w:p w14:paraId="462EAB73" w14:textId="4C82D379" w:rsidR="00BC2DAD" w:rsidRPr="00FA1502" w:rsidRDefault="00FC013F" w:rsidP="00BC2DAD">
      <w:pPr>
        <w:rPr>
          <w:lang w:val="en-AU"/>
        </w:rPr>
      </w:pPr>
      <w:r w:rsidRPr="00F60079">
        <w:rPr>
          <w:lang w:val="en-AU"/>
        </w:rPr>
        <w:t>Monitor</w:t>
      </w:r>
      <w:r w:rsidR="00BC2DAD" w:rsidRPr="00F60079">
        <w:rPr>
          <w:lang w:val="en-AU"/>
        </w:rPr>
        <w:t xml:space="preserve"> sodium level at baseline, during treatment, and as clinically indicated. Monitor more frequent</w:t>
      </w:r>
      <w:r w:rsidRPr="00F60079">
        <w:rPr>
          <w:lang w:val="en-AU"/>
        </w:rPr>
        <w:t>ly</w:t>
      </w:r>
      <w:r w:rsidR="00BC2DAD" w:rsidRPr="00F60079">
        <w:rPr>
          <w:lang w:val="en-AU"/>
        </w:rPr>
        <w:t xml:space="preserve"> during the first two months of treatment. Correct sodium levels for concurrent hyperglycaemia (serum glucose &gt;150 mg/dL) and high serum paraprotein levels. Hyponatraemia should be treated as per </w:t>
      </w:r>
      <w:r w:rsidRPr="00F60079">
        <w:rPr>
          <w:lang w:val="en-AU"/>
        </w:rPr>
        <w:t xml:space="preserve">clinical </w:t>
      </w:r>
      <w:r w:rsidR="00BC2DAD" w:rsidRPr="00F60079">
        <w:rPr>
          <w:lang w:val="en-AU"/>
        </w:rPr>
        <w:t>guidelines (intravenous saline and/or salt tablets</w:t>
      </w:r>
      <w:r w:rsidR="00BC2DAD" w:rsidRPr="001468A9">
        <w:rPr>
          <w:lang w:val="en-AU"/>
        </w:rPr>
        <w:t xml:space="preserve">), including dietary review. Patients may require </w:t>
      </w:r>
      <w:r w:rsidR="0087503D">
        <w:rPr>
          <w:lang w:val="en-AU"/>
        </w:rPr>
        <w:t>XPOVIO</w:t>
      </w:r>
      <w:r w:rsidR="00BC2DAD" w:rsidRPr="001468A9">
        <w:rPr>
          <w:lang w:val="en-AU"/>
        </w:rPr>
        <w:t xml:space="preserve"> dose interruption and/or modification</w:t>
      </w:r>
      <w:r w:rsidRPr="001468A9">
        <w:rPr>
          <w:lang w:val="en-AU"/>
        </w:rPr>
        <w:t xml:space="preserve"> based on severity of adverse reaction </w:t>
      </w:r>
      <w:r w:rsidR="00F60079">
        <w:rPr>
          <w:lang w:val="en-AU"/>
        </w:rPr>
        <w:t>(</w:t>
      </w:r>
      <w:r w:rsidR="00DD4FDA">
        <w:rPr>
          <w:lang w:val="en-AU"/>
        </w:rPr>
        <w:t>s</w:t>
      </w:r>
      <w:r w:rsidRPr="001468A9">
        <w:rPr>
          <w:lang w:val="en-AU"/>
        </w:rPr>
        <w:t xml:space="preserve">ee Section </w:t>
      </w:r>
      <w:r w:rsidR="00DD4FDA">
        <w:rPr>
          <w:sz w:val="23"/>
          <w:szCs w:val="23"/>
        </w:rPr>
        <w:fldChar w:fldCharType="begin"/>
      </w:r>
      <w:r w:rsidR="00DD4FDA">
        <w:rPr>
          <w:sz w:val="23"/>
          <w:szCs w:val="23"/>
        </w:rPr>
        <w:instrText xml:space="preserve"> REF _Ref71120259 \r \h </w:instrText>
      </w:r>
      <w:r w:rsidR="00DD4FDA">
        <w:rPr>
          <w:sz w:val="23"/>
          <w:szCs w:val="23"/>
        </w:rPr>
      </w:r>
      <w:r w:rsidR="00DD4FDA">
        <w:rPr>
          <w:sz w:val="23"/>
          <w:szCs w:val="23"/>
        </w:rPr>
        <w:fldChar w:fldCharType="separate"/>
      </w:r>
      <w:r w:rsidR="00F53F5F">
        <w:rPr>
          <w:sz w:val="23"/>
          <w:szCs w:val="23"/>
        </w:rPr>
        <w:t>4.8</w:t>
      </w:r>
      <w:r w:rsidR="00DD4FDA">
        <w:rPr>
          <w:sz w:val="23"/>
          <w:szCs w:val="23"/>
        </w:rPr>
        <w:fldChar w:fldCharType="end"/>
      </w:r>
      <w:r w:rsidR="00DD4FDA">
        <w:rPr>
          <w:sz w:val="23"/>
          <w:szCs w:val="23"/>
        </w:rPr>
        <w:t xml:space="preserve"> </w:t>
      </w:r>
      <w:r w:rsidR="00DD4FDA">
        <w:rPr>
          <w:sz w:val="23"/>
          <w:szCs w:val="23"/>
        </w:rPr>
        <w:fldChar w:fldCharType="begin"/>
      </w:r>
      <w:r w:rsidR="00DD4FDA">
        <w:rPr>
          <w:sz w:val="23"/>
          <w:szCs w:val="23"/>
        </w:rPr>
        <w:instrText xml:space="preserve"> REF _Ref71120259 \h </w:instrText>
      </w:r>
      <w:r w:rsidR="00DD4FDA">
        <w:rPr>
          <w:sz w:val="23"/>
          <w:szCs w:val="23"/>
        </w:rPr>
      </w:r>
      <w:r w:rsidR="00DD4FDA">
        <w:rPr>
          <w:sz w:val="23"/>
          <w:szCs w:val="23"/>
        </w:rPr>
        <w:fldChar w:fldCharType="separate"/>
      </w:r>
      <w:r w:rsidR="00F53F5F" w:rsidRPr="00FA1502">
        <w:rPr>
          <w:lang w:val="en-AU"/>
        </w:rPr>
        <w:t>ADVERSE EFFECTS (UNDESIRABLE EFFECTS)</w:t>
      </w:r>
      <w:r w:rsidR="00DD4FDA">
        <w:rPr>
          <w:sz w:val="23"/>
          <w:szCs w:val="23"/>
        </w:rPr>
        <w:fldChar w:fldCharType="end"/>
      </w:r>
      <w:r w:rsidR="00F60079">
        <w:rPr>
          <w:lang w:val="en-AU"/>
        </w:rPr>
        <w:t>)</w:t>
      </w:r>
      <w:r w:rsidR="00BC2DAD" w:rsidRPr="001468A9">
        <w:rPr>
          <w:lang w:val="en-AU"/>
        </w:rPr>
        <w:t xml:space="preserve">. For dose modification guidelines refer to </w:t>
      </w:r>
      <w:r w:rsidR="00BC2DAD" w:rsidRPr="001468A9">
        <w:rPr>
          <w:lang w:val="en-AU"/>
        </w:rPr>
        <w:fldChar w:fldCharType="begin"/>
      </w:r>
      <w:r w:rsidR="00BC2DAD" w:rsidRPr="001468A9">
        <w:rPr>
          <w:lang w:val="en-AU"/>
        </w:rPr>
        <w:instrText xml:space="preserve"> REF _Ref45711620 \h </w:instrText>
      </w:r>
      <w:r w:rsidR="005E3646" w:rsidRPr="001468A9">
        <w:rPr>
          <w:lang w:val="en-AU"/>
        </w:rPr>
        <w:instrText xml:space="preserve"> \* MERGEFORMAT </w:instrText>
      </w:r>
      <w:r w:rsidR="00BC2DAD" w:rsidRPr="001468A9">
        <w:rPr>
          <w:lang w:val="en-AU"/>
        </w:rPr>
      </w:r>
      <w:r w:rsidR="00BC2DAD" w:rsidRPr="001468A9">
        <w:rPr>
          <w:lang w:val="en-AU"/>
        </w:rPr>
        <w:fldChar w:fldCharType="separate"/>
      </w:r>
      <w:r w:rsidR="00F53F5F" w:rsidRPr="00FA1502">
        <w:rPr>
          <w:lang w:val="en-AU"/>
        </w:rPr>
        <w:t>Table</w:t>
      </w:r>
      <w:r w:rsidR="00F53F5F">
        <w:rPr>
          <w:lang w:val="en-AU"/>
        </w:rPr>
        <w:t> 1</w:t>
      </w:r>
      <w:r w:rsidR="00BC2DAD" w:rsidRPr="001468A9">
        <w:rPr>
          <w:lang w:val="en-AU"/>
        </w:rPr>
        <w:fldChar w:fldCharType="end"/>
      </w:r>
      <w:r w:rsidR="00903C83" w:rsidRPr="001468A9">
        <w:rPr>
          <w:lang w:val="en-AU"/>
        </w:rPr>
        <w:t xml:space="preserve">, and </w:t>
      </w:r>
      <w:r w:rsidR="00903C83" w:rsidRPr="001468A9">
        <w:rPr>
          <w:lang w:val="en-AU"/>
        </w:rPr>
        <w:fldChar w:fldCharType="begin"/>
      </w:r>
      <w:r w:rsidR="00903C83" w:rsidRPr="001468A9">
        <w:rPr>
          <w:lang w:val="en-AU"/>
        </w:rPr>
        <w:instrText xml:space="preserve"> REF _Ref46993569 \h </w:instrText>
      </w:r>
      <w:r w:rsidR="005E3646" w:rsidRPr="001468A9">
        <w:rPr>
          <w:lang w:val="en-AU"/>
        </w:rPr>
        <w:instrText xml:space="preserve"> \* MERGEFORMAT </w:instrText>
      </w:r>
      <w:r w:rsidR="00903C83" w:rsidRPr="001468A9">
        <w:rPr>
          <w:lang w:val="en-AU"/>
        </w:rPr>
      </w:r>
      <w:r w:rsidR="00903C83" w:rsidRPr="001468A9">
        <w:rPr>
          <w:lang w:val="en-AU"/>
        </w:rPr>
        <w:fldChar w:fldCharType="separate"/>
      </w:r>
      <w:r w:rsidR="00F53F5F" w:rsidRPr="00FA1502">
        <w:rPr>
          <w:lang w:val="en-AU"/>
        </w:rPr>
        <w:t>Table</w:t>
      </w:r>
      <w:r w:rsidR="00F53F5F">
        <w:rPr>
          <w:lang w:val="en-AU"/>
        </w:rPr>
        <w:t> 3</w:t>
      </w:r>
      <w:r w:rsidR="00903C83" w:rsidRPr="001468A9">
        <w:rPr>
          <w:lang w:val="en-AU"/>
        </w:rPr>
        <w:fldChar w:fldCharType="end"/>
      </w:r>
      <w:r w:rsidR="00BC2DAD" w:rsidRPr="001468A9">
        <w:rPr>
          <w:lang w:val="en-AU"/>
        </w:rPr>
        <w:t>.</w:t>
      </w:r>
    </w:p>
    <w:p w14:paraId="332F213D" w14:textId="047A27E5" w:rsidR="00EE55A9" w:rsidRDefault="00EE55A9" w:rsidP="00BC2DAD">
      <w:pPr>
        <w:pStyle w:val="Heading3"/>
        <w:numPr>
          <w:ilvl w:val="0"/>
          <w:numId w:val="0"/>
        </w:numPr>
        <w:ind w:left="680" w:hanging="680"/>
        <w:rPr>
          <w:lang w:val="en-AU"/>
        </w:rPr>
      </w:pPr>
      <w:r>
        <w:rPr>
          <w:lang w:val="en-AU"/>
        </w:rPr>
        <w:lastRenderedPageBreak/>
        <w:t>Serious Infection</w:t>
      </w:r>
    </w:p>
    <w:p w14:paraId="792D7E2F" w14:textId="0282E409" w:rsidR="00EE55A9" w:rsidRPr="001468A9" w:rsidRDefault="00EE55A9" w:rsidP="001468A9">
      <w:pPr>
        <w:rPr>
          <w:sz w:val="23"/>
          <w:szCs w:val="23"/>
        </w:rPr>
      </w:pPr>
      <w:r>
        <w:rPr>
          <w:sz w:val="23"/>
          <w:szCs w:val="23"/>
        </w:rPr>
        <w:t>XPOVIO can cause serious and fatal infection</w:t>
      </w:r>
      <w:r w:rsidR="003A3839">
        <w:rPr>
          <w:sz w:val="23"/>
          <w:szCs w:val="23"/>
        </w:rPr>
        <w:t>s</w:t>
      </w:r>
      <w:r w:rsidR="00CB2140">
        <w:rPr>
          <w:sz w:val="23"/>
          <w:szCs w:val="23"/>
        </w:rPr>
        <w:t>. Most of these infections were not associated with Grade 3 or higher neutropenia</w:t>
      </w:r>
      <w:r w:rsidR="003A3839">
        <w:rPr>
          <w:sz w:val="23"/>
          <w:szCs w:val="23"/>
        </w:rPr>
        <w:t xml:space="preserve"> (</w:t>
      </w:r>
      <w:r w:rsidRPr="001468A9">
        <w:rPr>
          <w:sz w:val="23"/>
          <w:szCs w:val="23"/>
        </w:rPr>
        <w:t xml:space="preserve">see </w:t>
      </w:r>
      <w:r w:rsidR="00DD4FDA" w:rsidRPr="001468A9">
        <w:rPr>
          <w:lang w:val="en-AU"/>
        </w:rPr>
        <w:t xml:space="preserve">Section </w:t>
      </w:r>
      <w:r w:rsidR="00DD4FDA">
        <w:rPr>
          <w:sz w:val="23"/>
          <w:szCs w:val="23"/>
        </w:rPr>
        <w:fldChar w:fldCharType="begin"/>
      </w:r>
      <w:r w:rsidR="00DD4FDA">
        <w:rPr>
          <w:sz w:val="23"/>
          <w:szCs w:val="23"/>
        </w:rPr>
        <w:instrText xml:space="preserve"> REF _Ref71120259 \r \h </w:instrText>
      </w:r>
      <w:r w:rsidR="00DD4FDA">
        <w:rPr>
          <w:sz w:val="23"/>
          <w:szCs w:val="23"/>
        </w:rPr>
      </w:r>
      <w:r w:rsidR="00DD4FDA">
        <w:rPr>
          <w:sz w:val="23"/>
          <w:szCs w:val="23"/>
        </w:rPr>
        <w:fldChar w:fldCharType="separate"/>
      </w:r>
      <w:r w:rsidR="00F53F5F">
        <w:rPr>
          <w:sz w:val="23"/>
          <w:szCs w:val="23"/>
        </w:rPr>
        <w:t>4.8</w:t>
      </w:r>
      <w:r w:rsidR="00DD4FDA">
        <w:rPr>
          <w:sz w:val="23"/>
          <w:szCs w:val="23"/>
        </w:rPr>
        <w:fldChar w:fldCharType="end"/>
      </w:r>
      <w:r w:rsidR="00DD4FDA">
        <w:rPr>
          <w:sz w:val="23"/>
          <w:szCs w:val="23"/>
        </w:rPr>
        <w:t xml:space="preserve"> </w:t>
      </w:r>
      <w:r w:rsidR="00DD4FDA">
        <w:rPr>
          <w:sz w:val="23"/>
          <w:szCs w:val="23"/>
        </w:rPr>
        <w:fldChar w:fldCharType="begin"/>
      </w:r>
      <w:r w:rsidR="00DD4FDA">
        <w:rPr>
          <w:sz w:val="23"/>
          <w:szCs w:val="23"/>
        </w:rPr>
        <w:instrText xml:space="preserve"> REF _Ref71120259 \h </w:instrText>
      </w:r>
      <w:r w:rsidR="00DD4FDA">
        <w:rPr>
          <w:sz w:val="23"/>
          <w:szCs w:val="23"/>
        </w:rPr>
      </w:r>
      <w:r w:rsidR="00DD4FDA">
        <w:rPr>
          <w:sz w:val="23"/>
          <w:szCs w:val="23"/>
        </w:rPr>
        <w:fldChar w:fldCharType="separate"/>
      </w:r>
      <w:r w:rsidR="00F53F5F" w:rsidRPr="00FA1502">
        <w:rPr>
          <w:lang w:val="en-AU"/>
        </w:rPr>
        <w:t>ADVERSE EFFECTS (UNDESIRABLE EFFECTS)</w:t>
      </w:r>
      <w:r w:rsidR="00DD4FDA">
        <w:rPr>
          <w:sz w:val="23"/>
          <w:szCs w:val="23"/>
        </w:rPr>
        <w:fldChar w:fldCharType="end"/>
      </w:r>
      <w:r w:rsidRPr="001468A9">
        <w:rPr>
          <w:sz w:val="23"/>
          <w:szCs w:val="23"/>
        </w:rPr>
        <w:t>).</w:t>
      </w:r>
      <w:r w:rsidR="003A3839">
        <w:rPr>
          <w:sz w:val="23"/>
          <w:szCs w:val="23"/>
        </w:rPr>
        <w:t xml:space="preserve"> </w:t>
      </w:r>
      <w:r>
        <w:rPr>
          <w:sz w:val="23"/>
          <w:szCs w:val="23"/>
        </w:rPr>
        <w:t xml:space="preserve">Atypical infections reported after XPOVIO include, but are not limited to, fungal pneumonia and herpesvirus infection. Monitor for signs and symptoms of infection, </w:t>
      </w:r>
      <w:proofErr w:type="gramStart"/>
      <w:r>
        <w:rPr>
          <w:sz w:val="23"/>
          <w:szCs w:val="23"/>
        </w:rPr>
        <w:t>evaluate</w:t>
      </w:r>
      <w:proofErr w:type="gramEnd"/>
      <w:r>
        <w:rPr>
          <w:sz w:val="23"/>
          <w:szCs w:val="23"/>
        </w:rPr>
        <w:t xml:space="preserve"> and treat promptly.</w:t>
      </w:r>
    </w:p>
    <w:p w14:paraId="16622F0F" w14:textId="6131163E" w:rsidR="00F50DEC" w:rsidRDefault="00F50DEC" w:rsidP="00BC2DAD">
      <w:pPr>
        <w:pStyle w:val="Heading3"/>
        <w:numPr>
          <w:ilvl w:val="0"/>
          <w:numId w:val="0"/>
        </w:numPr>
        <w:ind w:left="680" w:hanging="680"/>
        <w:rPr>
          <w:lang w:val="en-AU"/>
        </w:rPr>
      </w:pPr>
      <w:r>
        <w:rPr>
          <w:lang w:val="en-AU"/>
        </w:rPr>
        <w:t>Cataracts</w:t>
      </w:r>
    </w:p>
    <w:p w14:paraId="45CBB00F" w14:textId="0B0F3508" w:rsidR="00F50DEC" w:rsidRPr="00C4446D" w:rsidRDefault="00F50DEC" w:rsidP="00C4446D">
      <w:r w:rsidRPr="001468A9">
        <w:t xml:space="preserve">New onset or exacerbation of cataract has occurred during </w:t>
      </w:r>
      <w:r w:rsidR="0087503D">
        <w:t>XPOVIO</w:t>
      </w:r>
      <w:r w:rsidRPr="001468A9">
        <w:t xml:space="preserve"> therapy</w:t>
      </w:r>
      <w:r w:rsidR="00084627" w:rsidRPr="001468A9">
        <w:t xml:space="preserve"> (see </w:t>
      </w:r>
      <w:r w:rsidR="00DD4FDA" w:rsidRPr="001468A9">
        <w:rPr>
          <w:lang w:val="en-AU"/>
        </w:rPr>
        <w:t xml:space="preserve">Section </w:t>
      </w:r>
      <w:r w:rsidR="00DD4FDA">
        <w:rPr>
          <w:sz w:val="23"/>
          <w:szCs w:val="23"/>
        </w:rPr>
        <w:fldChar w:fldCharType="begin"/>
      </w:r>
      <w:r w:rsidR="00DD4FDA">
        <w:rPr>
          <w:sz w:val="23"/>
          <w:szCs w:val="23"/>
        </w:rPr>
        <w:instrText xml:space="preserve"> REF _Ref71120259 \r \h </w:instrText>
      </w:r>
      <w:r w:rsidR="00DD4FDA">
        <w:rPr>
          <w:sz w:val="23"/>
          <w:szCs w:val="23"/>
        </w:rPr>
      </w:r>
      <w:r w:rsidR="00DD4FDA">
        <w:rPr>
          <w:sz w:val="23"/>
          <w:szCs w:val="23"/>
        </w:rPr>
        <w:fldChar w:fldCharType="separate"/>
      </w:r>
      <w:r w:rsidR="00F53F5F">
        <w:rPr>
          <w:sz w:val="23"/>
          <w:szCs w:val="23"/>
        </w:rPr>
        <w:t>4.8</w:t>
      </w:r>
      <w:r w:rsidR="00DD4FDA">
        <w:rPr>
          <w:sz w:val="23"/>
          <w:szCs w:val="23"/>
        </w:rPr>
        <w:fldChar w:fldCharType="end"/>
      </w:r>
      <w:r w:rsidR="00DD4FDA">
        <w:rPr>
          <w:sz w:val="23"/>
          <w:szCs w:val="23"/>
        </w:rPr>
        <w:t xml:space="preserve"> </w:t>
      </w:r>
      <w:r w:rsidR="00DD4FDA">
        <w:rPr>
          <w:sz w:val="23"/>
          <w:szCs w:val="23"/>
        </w:rPr>
        <w:fldChar w:fldCharType="begin"/>
      </w:r>
      <w:r w:rsidR="00DD4FDA">
        <w:rPr>
          <w:sz w:val="23"/>
          <w:szCs w:val="23"/>
        </w:rPr>
        <w:instrText xml:space="preserve"> REF _Ref71120259 \h </w:instrText>
      </w:r>
      <w:r w:rsidR="00DD4FDA">
        <w:rPr>
          <w:sz w:val="23"/>
          <w:szCs w:val="23"/>
        </w:rPr>
      </w:r>
      <w:r w:rsidR="00DD4FDA">
        <w:rPr>
          <w:sz w:val="23"/>
          <w:szCs w:val="23"/>
        </w:rPr>
        <w:fldChar w:fldCharType="separate"/>
      </w:r>
      <w:r w:rsidR="00F53F5F" w:rsidRPr="00FA1502">
        <w:rPr>
          <w:lang w:val="en-AU"/>
        </w:rPr>
        <w:t>ADVERSE EFFECTS (UNDESIRABLE EFFECTS)</w:t>
      </w:r>
      <w:r w:rsidR="00DD4FDA">
        <w:rPr>
          <w:sz w:val="23"/>
          <w:szCs w:val="23"/>
        </w:rPr>
        <w:fldChar w:fldCharType="end"/>
      </w:r>
      <w:r w:rsidR="00084627" w:rsidRPr="001468A9">
        <w:t>)</w:t>
      </w:r>
      <w:r w:rsidRPr="001468A9">
        <w:t>. Manage cataract</w:t>
      </w:r>
      <w:r w:rsidR="00C26A1B" w:rsidRPr="001468A9">
        <w:t>s per standard clinical guidelines.</w:t>
      </w:r>
      <w:r w:rsidR="00720609">
        <w:t xml:space="preserve"> Monitor for signs and symptoms of cataract, perform ophthalmic evaluation, reduce </w:t>
      </w:r>
      <w:proofErr w:type="gramStart"/>
      <w:r w:rsidR="00720609">
        <w:t>dose</w:t>
      </w:r>
      <w:proofErr w:type="gramEnd"/>
      <w:r w:rsidR="00720609">
        <w:t xml:space="preserve"> and monitor for progression. If surgery is warranted, hold </w:t>
      </w:r>
      <w:r w:rsidR="0008588D">
        <w:t>XPOVIO</w:t>
      </w:r>
      <w:r w:rsidR="00720609">
        <w:t xml:space="preserve"> dose 24 hours prior to cataract surgery and for 72 hours after surgery</w:t>
      </w:r>
      <w:r w:rsidR="00E12BD8">
        <w:t xml:space="preserve"> </w:t>
      </w:r>
      <w:r w:rsidR="00B75C0E">
        <w:t>(</w:t>
      </w:r>
      <w:r w:rsidR="00720609">
        <w:t xml:space="preserve">see </w:t>
      </w:r>
      <w:r w:rsidR="00B75C0E">
        <w:rPr>
          <w:iCs/>
        </w:rPr>
        <w:t xml:space="preserve">Section </w:t>
      </w:r>
      <w:r w:rsidR="00B75C0E">
        <w:rPr>
          <w:iCs/>
        </w:rPr>
        <w:fldChar w:fldCharType="begin"/>
      </w:r>
      <w:r w:rsidR="00B75C0E">
        <w:rPr>
          <w:iCs/>
        </w:rPr>
        <w:instrText xml:space="preserve"> REF _Ref511901540 \r \h </w:instrText>
      </w:r>
      <w:r w:rsidR="00B75C0E">
        <w:rPr>
          <w:iCs/>
        </w:rPr>
      </w:r>
      <w:r w:rsidR="00B75C0E">
        <w:rPr>
          <w:iCs/>
        </w:rPr>
        <w:fldChar w:fldCharType="separate"/>
      </w:r>
      <w:r w:rsidR="00F53F5F">
        <w:rPr>
          <w:iCs/>
        </w:rPr>
        <w:t>4.2</w:t>
      </w:r>
      <w:r w:rsidR="00B75C0E">
        <w:rPr>
          <w:iCs/>
        </w:rPr>
        <w:fldChar w:fldCharType="end"/>
      </w:r>
      <w:r w:rsidR="00B75C0E">
        <w:rPr>
          <w:iCs/>
        </w:rPr>
        <w:t xml:space="preserve"> </w:t>
      </w:r>
      <w:r w:rsidR="00B75C0E" w:rsidRPr="00DD4FDA">
        <w:rPr>
          <w:iCs/>
        </w:rPr>
        <w:fldChar w:fldCharType="begin"/>
      </w:r>
      <w:r w:rsidR="00B75C0E" w:rsidRPr="00DD4FDA">
        <w:rPr>
          <w:iCs/>
        </w:rPr>
        <w:instrText xml:space="preserve"> REF _Ref511901540 \h  \* MERGEFORMAT </w:instrText>
      </w:r>
      <w:r w:rsidR="00B75C0E" w:rsidRPr="00DD4FDA">
        <w:rPr>
          <w:iCs/>
        </w:rPr>
      </w:r>
      <w:r w:rsidR="00B75C0E" w:rsidRPr="00DD4FDA">
        <w:rPr>
          <w:iCs/>
        </w:rPr>
        <w:fldChar w:fldCharType="separate"/>
      </w:r>
      <w:r w:rsidR="00F53F5F" w:rsidRPr="00FA1502">
        <w:rPr>
          <w:lang w:val="en-AU"/>
        </w:rPr>
        <w:t>DOSE AND METHOD OF ADMINISTRATION</w:t>
      </w:r>
      <w:r w:rsidR="00B75C0E" w:rsidRPr="00DD4FDA">
        <w:rPr>
          <w:iCs/>
        </w:rPr>
        <w:fldChar w:fldCharType="end"/>
      </w:r>
      <w:r w:rsidR="00720609">
        <w:t>).</w:t>
      </w:r>
    </w:p>
    <w:p w14:paraId="033DB9A3" w14:textId="7881608E" w:rsidR="00BC2DAD" w:rsidRPr="00FA1502" w:rsidRDefault="00BC2DAD" w:rsidP="00BC2DAD">
      <w:pPr>
        <w:pStyle w:val="Heading3"/>
        <w:numPr>
          <w:ilvl w:val="0"/>
          <w:numId w:val="0"/>
        </w:numPr>
        <w:ind w:left="680" w:hanging="680"/>
        <w:rPr>
          <w:lang w:val="en-AU"/>
        </w:rPr>
      </w:pPr>
      <w:r w:rsidRPr="00FA1502">
        <w:rPr>
          <w:lang w:val="en-AU"/>
        </w:rPr>
        <w:t>Tumour lysis syndrome</w:t>
      </w:r>
    </w:p>
    <w:p w14:paraId="308DF684" w14:textId="27C6BB94" w:rsidR="00BC2DAD" w:rsidRPr="00FA1502" w:rsidRDefault="00BC2DAD" w:rsidP="00BC2DAD">
      <w:pPr>
        <w:rPr>
          <w:lang w:val="en-AU"/>
        </w:rPr>
      </w:pPr>
      <w:r w:rsidRPr="001468A9">
        <w:rPr>
          <w:lang w:val="en-AU"/>
        </w:rPr>
        <w:t xml:space="preserve">Tumour lysis syndrome (TLS) has been reported in patients receiving therapy with </w:t>
      </w:r>
      <w:r w:rsidR="0087503D">
        <w:rPr>
          <w:lang w:val="en-AU"/>
        </w:rPr>
        <w:t>XPOVIO</w:t>
      </w:r>
      <w:r w:rsidRPr="001468A9">
        <w:rPr>
          <w:lang w:val="en-AU"/>
        </w:rPr>
        <w:t xml:space="preserve">. Patients at a high risk for TLS should be monitored closely. Treat TLS promptly in accordance with </w:t>
      </w:r>
      <w:r w:rsidR="00524D00">
        <w:rPr>
          <w:lang w:val="en-AU"/>
        </w:rPr>
        <w:t>clinical</w:t>
      </w:r>
      <w:r w:rsidRPr="001468A9">
        <w:rPr>
          <w:lang w:val="en-AU"/>
        </w:rPr>
        <w:t xml:space="preserve"> guidelines.</w:t>
      </w:r>
    </w:p>
    <w:p w14:paraId="7A20AC8E" w14:textId="5729EEF1" w:rsidR="00FD1F94" w:rsidRPr="00FF7721" w:rsidRDefault="00FD1F94" w:rsidP="00B97A3A">
      <w:pPr>
        <w:pStyle w:val="Heading3"/>
        <w:numPr>
          <w:ilvl w:val="0"/>
          <w:numId w:val="0"/>
        </w:numPr>
        <w:rPr>
          <w:lang w:val="en-AU"/>
        </w:rPr>
      </w:pPr>
      <w:r w:rsidRPr="00FF7721">
        <w:rPr>
          <w:lang w:val="en-AU"/>
        </w:rPr>
        <w:t>Use in hepatic impairment</w:t>
      </w:r>
    </w:p>
    <w:p w14:paraId="4FB07E76" w14:textId="3E03A3C8" w:rsidR="00A5717D" w:rsidRDefault="00A5717D" w:rsidP="00BC2292">
      <w:pPr>
        <w:rPr>
          <w:lang w:val="en-AU"/>
        </w:rPr>
      </w:pPr>
      <w:r w:rsidRPr="001468A9">
        <w:rPr>
          <w:lang w:val="en-AU"/>
        </w:rPr>
        <w:t xml:space="preserve">No dose adjustment is needed in patients with mild to moderate hepatic impairment </w:t>
      </w:r>
      <w:r w:rsidR="004A1C63">
        <w:rPr>
          <w:lang w:val="en-AU"/>
        </w:rPr>
        <w:t>[</w:t>
      </w:r>
      <w:r w:rsidRPr="001468A9">
        <w:rPr>
          <w:lang w:val="en-AU"/>
        </w:rPr>
        <w:t xml:space="preserve">see </w:t>
      </w:r>
      <w:r w:rsidR="00F55528">
        <w:rPr>
          <w:iCs/>
        </w:rPr>
        <w:t xml:space="preserve">Sections </w:t>
      </w:r>
      <w:r w:rsidR="008B3F91">
        <w:rPr>
          <w:iCs/>
        </w:rPr>
        <w:fldChar w:fldCharType="begin"/>
      </w:r>
      <w:r w:rsidR="008B3F91">
        <w:rPr>
          <w:iCs/>
        </w:rPr>
        <w:instrText xml:space="preserve"> REF _Ref511901540 \r \h </w:instrText>
      </w:r>
      <w:r w:rsidR="008B3F91">
        <w:rPr>
          <w:iCs/>
        </w:rPr>
      </w:r>
      <w:r w:rsidR="008B3F91">
        <w:rPr>
          <w:iCs/>
        </w:rPr>
        <w:fldChar w:fldCharType="separate"/>
      </w:r>
      <w:r w:rsidR="00F53F5F">
        <w:rPr>
          <w:iCs/>
        </w:rPr>
        <w:t>4.2</w:t>
      </w:r>
      <w:r w:rsidR="008B3F91">
        <w:rPr>
          <w:iCs/>
        </w:rPr>
        <w:fldChar w:fldCharType="end"/>
      </w:r>
      <w:r w:rsidR="008B3F91">
        <w:rPr>
          <w:iCs/>
        </w:rPr>
        <w:t xml:space="preserve"> </w:t>
      </w:r>
      <w:r w:rsidR="003812A8">
        <w:rPr>
          <w:iCs/>
        </w:rPr>
        <w:fldChar w:fldCharType="begin"/>
      </w:r>
      <w:r w:rsidR="003812A8">
        <w:rPr>
          <w:iCs/>
        </w:rPr>
        <w:instrText xml:space="preserve"> REF _Ref511901540 \h </w:instrText>
      </w:r>
      <w:r w:rsidR="003812A8">
        <w:rPr>
          <w:iCs/>
        </w:rPr>
      </w:r>
      <w:r w:rsidR="003812A8">
        <w:rPr>
          <w:iCs/>
        </w:rPr>
        <w:fldChar w:fldCharType="separate"/>
      </w:r>
      <w:r w:rsidR="00F53F5F" w:rsidRPr="00FA1502">
        <w:rPr>
          <w:lang w:val="en-AU"/>
        </w:rPr>
        <w:t>DOSE AND METHOD OF ADMINISTRATION</w:t>
      </w:r>
      <w:r w:rsidR="003812A8">
        <w:rPr>
          <w:iCs/>
        </w:rPr>
        <w:fldChar w:fldCharType="end"/>
      </w:r>
      <w:r w:rsidR="003812A8">
        <w:rPr>
          <w:iCs/>
        </w:rPr>
        <w:t xml:space="preserve"> </w:t>
      </w:r>
      <w:r w:rsidR="00F55528">
        <w:rPr>
          <w:iCs/>
        </w:rPr>
        <w:t xml:space="preserve">and </w:t>
      </w:r>
      <w:r w:rsidRPr="001468A9">
        <w:rPr>
          <w:lang w:val="en-AU"/>
        </w:rPr>
        <w:fldChar w:fldCharType="begin"/>
      </w:r>
      <w:r w:rsidRPr="001468A9">
        <w:rPr>
          <w:lang w:val="en-AU"/>
        </w:rPr>
        <w:instrText xml:space="preserve"> REF _Ref48221633 \r \h </w:instrText>
      </w:r>
      <w:r w:rsidR="00126D18" w:rsidRPr="001468A9">
        <w:rPr>
          <w:lang w:val="en-AU"/>
        </w:rPr>
        <w:instrText xml:space="preserve"> \* MERGEFORMAT </w:instrText>
      </w:r>
      <w:r w:rsidRPr="001468A9">
        <w:rPr>
          <w:lang w:val="en-AU"/>
        </w:rPr>
      </w:r>
      <w:r w:rsidRPr="001468A9">
        <w:rPr>
          <w:lang w:val="en-AU"/>
        </w:rPr>
        <w:fldChar w:fldCharType="separate"/>
      </w:r>
      <w:r w:rsidR="00F53F5F">
        <w:rPr>
          <w:lang w:val="en-AU"/>
        </w:rPr>
        <w:t>5.2</w:t>
      </w:r>
      <w:r w:rsidRPr="001468A9">
        <w:rPr>
          <w:lang w:val="en-AU"/>
        </w:rPr>
        <w:fldChar w:fldCharType="end"/>
      </w:r>
      <w:r w:rsidRPr="001468A9">
        <w:rPr>
          <w:lang w:val="en-AU"/>
        </w:rPr>
        <w:t xml:space="preserve"> </w:t>
      </w:r>
      <w:r w:rsidRPr="001468A9">
        <w:rPr>
          <w:lang w:val="en-AU"/>
        </w:rPr>
        <w:fldChar w:fldCharType="begin"/>
      </w:r>
      <w:r w:rsidRPr="001468A9">
        <w:rPr>
          <w:lang w:val="en-AU"/>
        </w:rPr>
        <w:instrText xml:space="preserve"> REF _Ref48221633 \h </w:instrText>
      </w:r>
      <w:r w:rsidR="00126D18" w:rsidRPr="001468A9">
        <w:rPr>
          <w:lang w:val="en-AU"/>
        </w:rPr>
        <w:instrText xml:space="preserve"> \* MERGEFORMAT </w:instrText>
      </w:r>
      <w:r w:rsidRPr="001468A9">
        <w:rPr>
          <w:lang w:val="en-AU"/>
        </w:rPr>
      </w:r>
      <w:r w:rsidRPr="001468A9">
        <w:rPr>
          <w:lang w:val="en-AU"/>
        </w:rPr>
        <w:fldChar w:fldCharType="separate"/>
      </w:r>
      <w:r w:rsidR="00F53F5F" w:rsidRPr="00FA1502">
        <w:rPr>
          <w:lang w:val="en-AU"/>
        </w:rPr>
        <w:t>PHARMACOKINETIC PROPERTIES</w:t>
      </w:r>
      <w:r w:rsidRPr="001468A9">
        <w:rPr>
          <w:lang w:val="en-AU"/>
        </w:rPr>
        <w:fldChar w:fldCharType="end"/>
      </w:r>
      <w:r w:rsidRPr="001468A9">
        <w:rPr>
          <w:lang w:val="en-AU"/>
        </w:rPr>
        <w:t>)</w:t>
      </w:r>
      <w:r w:rsidR="00BC2292">
        <w:rPr>
          <w:lang w:val="en-AU"/>
        </w:rPr>
        <w:t>.</w:t>
      </w:r>
    </w:p>
    <w:p w14:paraId="4299051D" w14:textId="244540D5" w:rsidR="00FD1F94" w:rsidRPr="00FA1502" w:rsidRDefault="00FD1F94" w:rsidP="00B97A3A">
      <w:pPr>
        <w:pStyle w:val="Heading3"/>
        <w:numPr>
          <w:ilvl w:val="0"/>
          <w:numId w:val="0"/>
        </w:numPr>
        <w:rPr>
          <w:lang w:val="en-AU"/>
        </w:rPr>
      </w:pPr>
      <w:r w:rsidRPr="001468A9">
        <w:rPr>
          <w:lang w:val="en-AU"/>
        </w:rPr>
        <w:t>Use in renal impairment</w:t>
      </w:r>
    </w:p>
    <w:p w14:paraId="1FDCE000" w14:textId="33577D80" w:rsidR="00A229C1" w:rsidRDefault="00A229C1" w:rsidP="00A7374A">
      <w:pPr>
        <w:rPr>
          <w:lang w:val="en-AU"/>
        </w:rPr>
      </w:pPr>
      <w:r w:rsidRPr="001468A9">
        <w:rPr>
          <w:lang w:val="en-AU"/>
        </w:rPr>
        <w:t xml:space="preserve">No dosage adjustment of </w:t>
      </w:r>
      <w:r w:rsidR="00FE1C33">
        <w:rPr>
          <w:lang w:val="en-AU"/>
        </w:rPr>
        <w:t>XPOVIO</w:t>
      </w:r>
      <w:r w:rsidRPr="001468A9">
        <w:rPr>
          <w:lang w:val="en-AU"/>
        </w:rPr>
        <w:t xml:space="preserve"> is recommended for patients with mild, </w:t>
      </w:r>
      <w:proofErr w:type="gramStart"/>
      <w:r w:rsidRPr="001468A9">
        <w:rPr>
          <w:lang w:val="en-AU"/>
        </w:rPr>
        <w:t>moderate</w:t>
      </w:r>
      <w:proofErr w:type="gramEnd"/>
      <w:r w:rsidRPr="001468A9">
        <w:rPr>
          <w:lang w:val="en-AU"/>
        </w:rPr>
        <w:t xml:space="preserve"> or severe renal impairment. </w:t>
      </w:r>
      <w:r w:rsidR="00FE1C33">
        <w:rPr>
          <w:lang w:val="en-AU"/>
        </w:rPr>
        <w:t>XPOVIO</w:t>
      </w:r>
      <w:r w:rsidR="00FE1C33" w:rsidRPr="001468A9">
        <w:rPr>
          <w:lang w:val="en-AU"/>
        </w:rPr>
        <w:t xml:space="preserve"> </w:t>
      </w:r>
      <w:r w:rsidRPr="001468A9">
        <w:rPr>
          <w:lang w:val="en-AU"/>
        </w:rPr>
        <w:t>use in patients requiring dialysis has not been established</w:t>
      </w:r>
      <w:r w:rsidR="00D132F6" w:rsidRPr="001468A9">
        <w:rPr>
          <w:lang w:val="en-AU"/>
        </w:rPr>
        <w:t xml:space="preserve"> (see </w:t>
      </w:r>
      <w:r w:rsidR="00F55528">
        <w:rPr>
          <w:iCs/>
        </w:rPr>
        <w:t xml:space="preserve">Sections </w:t>
      </w:r>
      <w:r w:rsidR="008B3F91">
        <w:rPr>
          <w:iCs/>
        </w:rPr>
        <w:fldChar w:fldCharType="begin"/>
      </w:r>
      <w:r w:rsidR="008B3F91">
        <w:rPr>
          <w:iCs/>
        </w:rPr>
        <w:instrText xml:space="preserve"> REF _Ref511901540 \r \h </w:instrText>
      </w:r>
      <w:r w:rsidR="008B3F91">
        <w:rPr>
          <w:iCs/>
        </w:rPr>
      </w:r>
      <w:r w:rsidR="008B3F91">
        <w:rPr>
          <w:iCs/>
        </w:rPr>
        <w:fldChar w:fldCharType="separate"/>
      </w:r>
      <w:r w:rsidR="00F53F5F">
        <w:rPr>
          <w:iCs/>
        </w:rPr>
        <w:t>4.2</w:t>
      </w:r>
      <w:r w:rsidR="008B3F91">
        <w:rPr>
          <w:iCs/>
        </w:rPr>
        <w:fldChar w:fldCharType="end"/>
      </w:r>
      <w:r w:rsidR="008B3F91">
        <w:rPr>
          <w:iCs/>
        </w:rPr>
        <w:t xml:space="preserve"> </w:t>
      </w:r>
      <w:r w:rsidR="003812A8">
        <w:rPr>
          <w:iCs/>
        </w:rPr>
        <w:fldChar w:fldCharType="begin"/>
      </w:r>
      <w:r w:rsidR="003812A8">
        <w:rPr>
          <w:iCs/>
        </w:rPr>
        <w:instrText xml:space="preserve"> REF _Ref511901540 \h </w:instrText>
      </w:r>
      <w:r w:rsidR="003812A8">
        <w:rPr>
          <w:iCs/>
        </w:rPr>
      </w:r>
      <w:r w:rsidR="003812A8">
        <w:rPr>
          <w:iCs/>
        </w:rPr>
        <w:fldChar w:fldCharType="separate"/>
      </w:r>
      <w:r w:rsidR="00F53F5F" w:rsidRPr="00FA1502">
        <w:rPr>
          <w:lang w:val="en-AU"/>
        </w:rPr>
        <w:t>DOSE AND METHOD OF ADMINISTRATION</w:t>
      </w:r>
      <w:r w:rsidR="003812A8">
        <w:rPr>
          <w:iCs/>
        </w:rPr>
        <w:fldChar w:fldCharType="end"/>
      </w:r>
      <w:r w:rsidR="003812A8">
        <w:rPr>
          <w:iCs/>
        </w:rPr>
        <w:t xml:space="preserve"> </w:t>
      </w:r>
      <w:r w:rsidR="00F55528">
        <w:rPr>
          <w:iCs/>
        </w:rPr>
        <w:t xml:space="preserve">and </w:t>
      </w:r>
      <w:r w:rsidR="00D132F6" w:rsidRPr="001468A9">
        <w:rPr>
          <w:lang w:val="en-AU"/>
        </w:rPr>
        <w:t xml:space="preserve"> </w:t>
      </w:r>
      <w:r w:rsidR="00D132F6" w:rsidRPr="001468A9">
        <w:rPr>
          <w:lang w:val="en-AU"/>
        </w:rPr>
        <w:fldChar w:fldCharType="begin"/>
      </w:r>
      <w:r w:rsidR="00D132F6" w:rsidRPr="001468A9">
        <w:rPr>
          <w:lang w:val="en-AU"/>
        </w:rPr>
        <w:instrText xml:space="preserve"> REF _Ref48221633 \r \h </w:instrText>
      </w:r>
      <w:r w:rsidR="00126D18" w:rsidRPr="001468A9">
        <w:rPr>
          <w:lang w:val="en-AU"/>
        </w:rPr>
        <w:instrText xml:space="preserve"> \* MERGEFORMAT </w:instrText>
      </w:r>
      <w:r w:rsidR="00D132F6" w:rsidRPr="001468A9">
        <w:rPr>
          <w:lang w:val="en-AU"/>
        </w:rPr>
      </w:r>
      <w:r w:rsidR="00D132F6" w:rsidRPr="001468A9">
        <w:rPr>
          <w:lang w:val="en-AU"/>
        </w:rPr>
        <w:fldChar w:fldCharType="separate"/>
      </w:r>
      <w:r w:rsidR="00F53F5F">
        <w:rPr>
          <w:lang w:val="en-AU"/>
        </w:rPr>
        <w:t>5.2</w:t>
      </w:r>
      <w:r w:rsidR="00D132F6" w:rsidRPr="001468A9">
        <w:rPr>
          <w:lang w:val="en-AU"/>
        </w:rPr>
        <w:fldChar w:fldCharType="end"/>
      </w:r>
      <w:r w:rsidR="00D132F6" w:rsidRPr="001468A9">
        <w:rPr>
          <w:lang w:val="en-AU"/>
        </w:rPr>
        <w:t xml:space="preserve"> </w:t>
      </w:r>
      <w:r w:rsidR="00D132F6" w:rsidRPr="001468A9">
        <w:rPr>
          <w:lang w:val="en-AU"/>
        </w:rPr>
        <w:fldChar w:fldCharType="begin"/>
      </w:r>
      <w:r w:rsidR="00D132F6" w:rsidRPr="001468A9">
        <w:rPr>
          <w:lang w:val="en-AU"/>
        </w:rPr>
        <w:instrText xml:space="preserve"> REF _Ref48221633 \h </w:instrText>
      </w:r>
      <w:r w:rsidR="00126D18" w:rsidRPr="001468A9">
        <w:rPr>
          <w:lang w:val="en-AU"/>
        </w:rPr>
        <w:instrText xml:space="preserve"> \* MERGEFORMAT </w:instrText>
      </w:r>
      <w:r w:rsidR="00D132F6" w:rsidRPr="001468A9">
        <w:rPr>
          <w:lang w:val="en-AU"/>
        </w:rPr>
      </w:r>
      <w:r w:rsidR="00D132F6" w:rsidRPr="001468A9">
        <w:rPr>
          <w:lang w:val="en-AU"/>
        </w:rPr>
        <w:fldChar w:fldCharType="separate"/>
      </w:r>
      <w:r w:rsidR="00F53F5F" w:rsidRPr="00FA1502">
        <w:rPr>
          <w:lang w:val="en-AU"/>
        </w:rPr>
        <w:t>PHARMACOKINETIC PROPERTIES</w:t>
      </w:r>
      <w:r w:rsidR="00D132F6" w:rsidRPr="001468A9">
        <w:rPr>
          <w:lang w:val="en-AU"/>
        </w:rPr>
        <w:fldChar w:fldCharType="end"/>
      </w:r>
      <w:r w:rsidR="00D132F6" w:rsidRPr="001468A9">
        <w:rPr>
          <w:lang w:val="en-AU"/>
        </w:rPr>
        <w:t xml:space="preserve">, </w:t>
      </w:r>
      <w:r w:rsidR="00D132F6" w:rsidRPr="001468A9">
        <w:rPr>
          <w:lang w:val="en-AU"/>
        </w:rPr>
        <w:fldChar w:fldCharType="begin"/>
      </w:r>
      <w:r w:rsidR="00D132F6" w:rsidRPr="001468A9">
        <w:rPr>
          <w:lang w:val="en-AU"/>
        </w:rPr>
        <w:instrText xml:space="preserve"> REF _Ref48221898 \h </w:instrText>
      </w:r>
      <w:r w:rsidR="00126D18" w:rsidRPr="001468A9">
        <w:rPr>
          <w:lang w:val="en-AU"/>
        </w:rPr>
        <w:instrText xml:space="preserve"> \* MERGEFORMAT </w:instrText>
      </w:r>
      <w:r w:rsidR="00D132F6" w:rsidRPr="001468A9">
        <w:rPr>
          <w:lang w:val="en-AU"/>
        </w:rPr>
      </w:r>
      <w:r w:rsidR="00D132F6" w:rsidRPr="001468A9">
        <w:rPr>
          <w:lang w:val="en-AU"/>
        </w:rPr>
        <w:fldChar w:fldCharType="separate"/>
      </w:r>
      <w:r w:rsidR="00F53F5F">
        <w:rPr>
          <w:lang w:val="en-AU"/>
        </w:rPr>
        <w:t>Renal Impairment</w:t>
      </w:r>
      <w:r w:rsidR="00D132F6" w:rsidRPr="001468A9">
        <w:rPr>
          <w:lang w:val="en-AU"/>
        </w:rPr>
        <w:fldChar w:fldCharType="end"/>
      </w:r>
      <w:r w:rsidR="00D132F6" w:rsidRPr="001468A9">
        <w:rPr>
          <w:lang w:val="en-AU"/>
        </w:rPr>
        <w:t>)</w:t>
      </w:r>
      <w:r w:rsidRPr="001468A9">
        <w:rPr>
          <w:lang w:val="en-AU"/>
        </w:rPr>
        <w:t>.</w:t>
      </w:r>
    </w:p>
    <w:p w14:paraId="413F1D4A" w14:textId="77777777" w:rsidR="00FD1F94" w:rsidRPr="00FA1502" w:rsidRDefault="00FD1F94" w:rsidP="00B97A3A">
      <w:pPr>
        <w:pStyle w:val="Heading3"/>
        <w:numPr>
          <w:ilvl w:val="0"/>
          <w:numId w:val="0"/>
        </w:numPr>
        <w:rPr>
          <w:lang w:val="en-AU"/>
        </w:rPr>
      </w:pPr>
      <w:r w:rsidRPr="00FA1502">
        <w:rPr>
          <w:lang w:val="en-AU"/>
        </w:rPr>
        <w:t>Use in the elderly</w:t>
      </w:r>
    </w:p>
    <w:p w14:paraId="68D454D0" w14:textId="18DD9941" w:rsidR="00922B4D" w:rsidRDefault="00922B4D" w:rsidP="00922B4D">
      <w:pPr>
        <w:pStyle w:val="Heading4"/>
        <w:numPr>
          <w:ilvl w:val="0"/>
          <w:numId w:val="0"/>
        </w:numPr>
        <w:ind w:left="862" w:hanging="862"/>
        <w:rPr>
          <w:lang w:val="en-AU"/>
        </w:rPr>
      </w:pPr>
      <w:r>
        <w:rPr>
          <w:lang w:val="en-AU"/>
        </w:rPr>
        <w:t xml:space="preserve">Multiple </w:t>
      </w:r>
      <w:r w:rsidR="00A229C1">
        <w:rPr>
          <w:lang w:val="en-AU"/>
        </w:rPr>
        <w:t>myeloma</w:t>
      </w:r>
    </w:p>
    <w:p w14:paraId="084D2364" w14:textId="7456043C" w:rsidR="00A229C1" w:rsidRDefault="00A229C1" w:rsidP="00A229C1">
      <w:pPr>
        <w:rPr>
          <w:lang w:val="en-AU"/>
        </w:rPr>
      </w:pPr>
      <w:r w:rsidRPr="001468A9">
        <w:rPr>
          <w:lang w:val="en-AU"/>
        </w:rPr>
        <w:t>No overall difference in effectiveness was observed in patients over 65 years of age, including patients over 75 years of age, when compared with younger patients. When comparing patients 75 years of age and older to younger patients, older patients had a higher incidence of discontinuation due to an adverse reaction, a higher incidence of serious adverse reactions, and a higher incidence of fatal adverse reactions.</w:t>
      </w:r>
      <w:r w:rsidR="00A5717D">
        <w:rPr>
          <w:lang w:val="en-AU"/>
        </w:rPr>
        <w:t xml:space="preserve"> </w:t>
      </w:r>
      <w:r w:rsidR="00237F75">
        <w:rPr>
          <w:lang w:val="en-AU"/>
        </w:rPr>
        <w:t>See also</w:t>
      </w:r>
      <w:r w:rsidR="00A5717D">
        <w:rPr>
          <w:lang w:val="en-AU"/>
        </w:rPr>
        <w:t xml:space="preserve"> Section </w:t>
      </w:r>
      <w:r w:rsidR="00A5717D">
        <w:rPr>
          <w:lang w:val="en-AU"/>
        </w:rPr>
        <w:fldChar w:fldCharType="begin"/>
      </w:r>
      <w:r w:rsidR="00A5717D">
        <w:rPr>
          <w:lang w:val="en-AU"/>
        </w:rPr>
        <w:instrText xml:space="preserve"> REF _Ref48221633 \r \h </w:instrText>
      </w:r>
      <w:r w:rsidR="00A5717D">
        <w:rPr>
          <w:lang w:val="en-AU"/>
        </w:rPr>
      </w:r>
      <w:r w:rsidR="00A5717D">
        <w:rPr>
          <w:lang w:val="en-AU"/>
        </w:rPr>
        <w:fldChar w:fldCharType="separate"/>
      </w:r>
      <w:r w:rsidR="00F53F5F">
        <w:rPr>
          <w:lang w:val="en-AU"/>
        </w:rPr>
        <w:t>5.2</w:t>
      </w:r>
      <w:r w:rsidR="00A5717D">
        <w:rPr>
          <w:lang w:val="en-AU"/>
        </w:rPr>
        <w:fldChar w:fldCharType="end"/>
      </w:r>
      <w:r w:rsidR="00A5717D">
        <w:rPr>
          <w:lang w:val="en-AU"/>
        </w:rPr>
        <w:t xml:space="preserve"> </w:t>
      </w:r>
      <w:r w:rsidR="00A5717D">
        <w:rPr>
          <w:lang w:val="en-AU"/>
        </w:rPr>
        <w:fldChar w:fldCharType="begin"/>
      </w:r>
      <w:r w:rsidR="00A5717D">
        <w:rPr>
          <w:lang w:val="en-AU"/>
        </w:rPr>
        <w:instrText xml:space="preserve"> REF _Ref48221633 \h </w:instrText>
      </w:r>
      <w:r w:rsidR="00A5717D">
        <w:rPr>
          <w:lang w:val="en-AU"/>
        </w:rPr>
      </w:r>
      <w:r w:rsidR="00A5717D">
        <w:rPr>
          <w:lang w:val="en-AU"/>
        </w:rPr>
        <w:fldChar w:fldCharType="separate"/>
      </w:r>
      <w:r w:rsidR="00F53F5F" w:rsidRPr="00FA1502">
        <w:rPr>
          <w:lang w:val="en-AU"/>
        </w:rPr>
        <w:t>PHARMACOKINETIC PROPERTIES</w:t>
      </w:r>
      <w:r w:rsidR="00A5717D">
        <w:rPr>
          <w:lang w:val="en-AU"/>
        </w:rPr>
        <w:fldChar w:fldCharType="end"/>
      </w:r>
      <w:r w:rsidR="00A5717D">
        <w:rPr>
          <w:lang w:val="en-AU"/>
        </w:rPr>
        <w:t xml:space="preserve">, </w:t>
      </w:r>
      <w:r w:rsidR="00A5717D">
        <w:rPr>
          <w:lang w:val="en-AU"/>
        </w:rPr>
        <w:fldChar w:fldCharType="begin"/>
      </w:r>
      <w:r w:rsidR="00A5717D">
        <w:rPr>
          <w:lang w:val="en-AU"/>
        </w:rPr>
        <w:instrText xml:space="preserve"> REF _Ref48734692 \h </w:instrText>
      </w:r>
      <w:r w:rsidR="00A5717D">
        <w:rPr>
          <w:lang w:val="en-AU"/>
        </w:rPr>
      </w:r>
      <w:r w:rsidR="00A5717D">
        <w:rPr>
          <w:lang w:val="en-AU"/>
        </w:rPr>
        <w:fldChar w:fldCharType="separate"/>
      </w:r>
      <w:r w:rsidR="00F53F5F">
        <w:rPr>
          <w:lang w:val="en-AU"/>
        </w:rPr>
        <w:t>Age, Sex, Race</w:t>
      </w:r>
      <w:r w:rsidR="00A5717D">
        <w:rPr>
          <w:lang w:val="en-AU"/>
        </w:rPr>
        <w:fldChar w:fldCharType="end"/>
      </w:r>
      <w:r w:rsidR="00A5717D">
        <w:rPr>
          <w:lang w:val="en-AU"/>
        </w:rPr>
        <w:t>.</w:t>
      </w:r>
    </w:p>
    <w:p w14:paraId="10D3B016" w14:textId="008C3143" w:rsidR="00FD1F94" w:rsidRPr="00FA1502" w:rsidRDefault="00FD1F94" w:rsidP="00B97A3A">
      <w:pPr>
        <w:pStyle w:val="Heading3"/>
        <w:numPr>
          <w:ilvl w:val="0"/>
          <w:numId w:val="0"/>
        </w:numPr>
        <w:rPr>
          <w:lang w:val="en-AU"/>
        </w:rPr>
      </w:pPr>
      <w:bookmarkStart w:id="16" w:name="_Ref45713328"/>
      <w:r w:rsidRPr="00FA1502">
        <w:rPr>
          <w:lang w:val="en-AU"/>
        </w:rPr>
        <w:lastRenderedPageBreak/>
        <w:t>Paediatric use</w:t>
      </w:r>
      <w:bookmarkEnd w:id="16"/>
    </w:p>
    <w:p w14:paraId="5D50426D" w14:textId="7A3F8D01" w:rsidR="006D62E3" w:rsidRPr="00FA1502" w:rsidRDefault="006D62E3" w:rsidP="006D62E3">
      <w:pPr>
        <w:rPr>
          <w:lang w:val="en-AU"/>
        </w:rPr>
      </w:pPr>
      <w:r w:rsidRPr="00221539">
        <w:rPr>
          <w:lang w:val="en-AU"/>
        </w:rPr>
        <w:t>The safety and efficacy of XPOVIO in children below the age of 18 years of age have not been established. No data are available.</w:t>
      </w:r>
    </w:p>
    <w:p w14:paraId="5D3E7621" w14:textId="77777777" w:rsidR="00FD1F94" w:rsidRPr="00FA1502" w:rsidRDefault="00B97A3A" w:rsidP="00B97A3A">
      <w:pPr>
        <w:pStyle w:val="Heading3"/>
        <w:numPr>
          <w:ilvl w:val="0"/>
          <w:numId w:val="0"/>
        </w:numPr>
        <w:rPr>
          <w:lang w:val="en-AU"/>
        </w:rPr>
      </w:pPr>
      <w:r w:rsidRPr="00FA1502">
        <w:rPr>
          <w:lang w:val="en-AU"/>
        </w:rPr>
        <w:t>Effects</w:t>
      </w:r>
      <w:r w:rsidR="00FD1F94" w:rsidRPr="00FA1502">
        <w:rPr>
          <w:lang w:val="en-AU"/>
        </w:rPr>
        <w:t xml:space="preserve"> on laboratory tests</w:t>
      </w:r>
    </w:p>
    <w:p w14:paraId="72BA1281" w14:textId="48694790" w:rsidR="006A3FE5" w:rsidRPr="00FA1502" w:rsidRDefault="006A3FE5" w:rsidP="006A3FE5">
      <w:pPr>
        <w:rPr>
          <w:lang w:val="en-AU"/>
        </w:rPr>
      </w:pPr>
      <w:r w:rsidRPr="001468A9">
        <w:rPr>
          <w:lang w:val="en-AU"/>
        </w:rPr>
        <w:t>No data available</w:t>
      </w:r>
      <w:r w:rsidR="006D62E3" w:rsidRPr="001468A9">
        <w:rPr>
          <w:lang w:val="en-AU"/>
        </w:rPr>
        <w:t>.</w:t>
      </w:r>
    </w:p>
    <w:p w14:paraId="5686D6F2" w14:textId="77777777" w:rsidR="00FD1F94" w:rsidRPr="00FA1502" w:rsidRDefault="00FD1F94" w:rsidP="00124389">
      <w:pPr>
        <w:pStyle w:val="Heading2"/>
        <w:rPr>
          <w:lang w:val="en-AU"/>
        </w:rPr>
      </w:pPr>
      <w:bookmarkStart w:id="17" w:name="_Ref511902015"/>
      <w:r w:rsidRPr="00FA1502">
        <w:rPr>
          <w:lang w:val="en-AU"/>
        </w:rPr>
        <w:t>INTERACTIONS WITH OTHER MEDICINES AND OTHER FORMS OF INTERACTIONS</w:t>
      </w:r>
      <w:bookmarkEnd w:id="17"/>
    </w:p>
    <w:p w14:paraId="6803ED47" w14:textId="7786889C" w:rsidR="009B0113" w:rsidRPr="00FA1502" w:rsidRDefault="00EE3278" w:rsidP="00B97A3A">
      <w:pPr>
        <w:rPr>
          <w:lang w:val="en-AU"/>
        </w:rPr>
      </w:pPr>
      <w:r w:rsidRPr="00702A32">
        <w:rPr>
          <w:lang w:val="en-AU"/>
        </w:rPr>
        <w:t xml:space="preserve">Exposure of </w:t>
      </w:r>
      <w:r w:rsidR="0087503D">
        <w:rPr>
          <w:lang w:val="en-AU"/>
        </w:rPr>
        <w:t>XPOVIO</w:t>
      </w:r>
      <w:r w:rsidRPr="00702A32">
        <w:rPr>
          <w:lang w:val="en-AU"/>
        </w:rPr>
        <w:t xml:space="preserve"> was not affected by co-administration with paracetamol at a daily dose up to 1000 mg. </w:t>
      </w:r>
    </w:p>
    <w:p w14:paraId="0DF0DE4E" w14:textId="73E9F612" w:rsidR="00AA0E25" w:rsidRDefault="009B0113" w:rsidP="00B97A3A">
      <w:pPr>
        <w:rPr>
          <w:lang w:val="en-AU"/>
        </w:rPr>
      </w:pPr>
      <w:r>
        <w:rPr>
          <w:lang w:val="en-AU"/>
        </w:rPr>
        <w:t xml:space="preserve">Selinexor is a substrate of CYP3A4. </w:t>
      </w:r>
      <w:r w:rsidR="006D62E3" w:rsidRPr="00702A32">
        <w:rPr>
          <w:lang w:val="en-AU"/>
        </w:rPr>
        <w:t xml:space="preserve">Concomitant use of strong CYP3A4 inducer might lead to lower exposure of </w:t>
      </w:r>
      <w:r w:rsidR="0087503D">
        <w:rPr>
          <w:lang w:val="en-AU"/>
        </w:rPr>
        <w:t>XPOVIO</w:t>
      </w:r>
      <w:r w:rsidR="006D62E3" w:rsidRPr="00702A32">
        <w:rPr>
          <w:lang w:val="en-AU"/>
        </w:rPr>
        <w:t>.</w:t>
      </w:r>
      <w:r w:rsidR="006D62E3" w:rsidRPr="00FA1502">
        <w:rPr>
          <w:lang w:val="en-AU"/>
        </w:rPr>
        <w:t xml:space="preserve"> </w:t>
      </w:r>
    </w:p>
    <w:p w14:paraId="71920FB1" w14:textId="76A33EF5" w:rsidR="009B0113" w:rsidRPr="009B0113" w:rsidRDefault="009B0113" w:rsidP="00B97A3A">
      <w:pPr>
        <w:rPr>
          <w:lang w:val="en-AU"/>
        </w:rPr>
      </w:pPr>
      <w:r w:rsidRPr="001C1555">
        <w:rPr>
          <w:i/>
          <w:iCs/>
          <w:lang w:val="en-AU"/>
        </w:rPr>
        <w:t>In vitro</w:t>
      </w:r>
      <w:r w:rsidRPr="009B0113">
        <w:rPr>
          <w:lang w:val="en-AU"/>
        </w:rPr>
        <w:t xml:space="preserve">, </w:t>
      </w:r>
      <w:proofErr w:type="spellStart"/>
      <w:r w:rsidRPr="009B0113">
        <w:rPr>
          <w:lang w:val="en-AU"/>
        </w:rPr>
        <w:t>selinexor</w:t>
      </w:r>
      <w:proofErr w:type="spellEnd"/>
      <w:r w:rsidRPr="009B0113">
        <w:rPr>
          <w:lang w:val="en-AU"/>
        </w:rPr>
        <w:t xml:space="preserve"> was shown to not inhibit CYP1A2, 2B6, 2C8, 2C9, 2C19, 2D6 or 3A4/5, or UGT1A1, 1A3, 1A4, 1A6, 1A9 or 2B7, at clinically relevant concentrations. Selinexor is not an inducer of CYP1A2, 2B6 or 3A4, and is not a substrate of P-glycoprotein, BCRP, OATP1B1, OATP1B3, OAT1, OAT3, OCT1, OCT2, MATE1 or MATE2-K. Selinexor inhibits OATP1B3, but not OATP1B1, OAT1, OAT3, OCT2, MATE1 or MATE2-K, at clinically relevant concentrations.</w:t>
      </w:r>
    </w:p>
    <w:p w14:paraId="10C54F44" w14:textId="0D92B2F6" w:rsidR="00FD1F94" w:rsidRPr="00FA1502" w:rsidRDefault="00FD1F94" w:rsidP="00124389">
      <w:pPr>
        <w:pStyle w:val="Heading2"/>
        <w:rPr>
          <w:lang w:val="en-AU"/>
        </w:rPr>
      </w:pPr>
      <w:bookmarkStart w:id="18" w:name="_Ref45718876"/>
      <w:r w:rsidRPr="00FA1502">
        <w:rPr>
          <w:lang w:val="en-AU"/>
        </w:rPr>
        <w:t>FERTILITY, PREGNANCY AND LACTATION</w:t>
      </w:r>
      <w:bookmarkEnd w:id="18"/>
    </w:p>
    <w:p w14:paraId="3C667035" w14:textId="77777777" w:rsidR="00FD1F94" w:rsidRPr="00FA1502" w:rsidRDefault="00FD1F94" w:rsidP="00B97A3A">
      <w:pPr>
        <w:pStyle w:val="Heading3"/>
        <w:numPr>
          <w:ilvl w:val="0"/>
          <w:numId w:val="0"/>
        </w:numPr>
        <w:rPr>
          <w:lang w:val="en-AU"/>
        </w:rPr>
      </w:pPr>
      <w:r w:rsidRPr="00FA1502">
        <w:rPr>
          <w:lang w:val="en-AU"/>
        </w:rPr>
        <w:t>Effects on fertility</w:t>
      </w:r>
    </w:p>
    <w:p w14:paraId="1DC9FCBD" w14:textId="13FAF04D" w:rsidR="003A1904" w:rsidRDefault="009B0113" w:rsidP="009B0113">
      <w:pPr>
        <w:rPr>
          <w:lang w:val="en-AU"/>
        </w:rPr>
      </w:pPr>
      <w:r>
        <w:rPr>
          <w:lang w:val="en-AU"/>
        </w:rPr>
        <w:t xml:space="preserve">Based on findings in animals, </w:t>
      </w:r>
      <w:r w:rsidR="0087503D">
        <w:rPr>
          <w:lang w:val="en-AU"/>
        </w:rPr>
        <w:t>XPOVIO</w:t>
      </w:r>
      <w:r w:rsidR="00977EB2" w:rsidRPr="003A1904">
        <w:rPr>
          <w:lang w:val="en-AU"/>
        </w:rPr>
        <w:t xml:space="preserve"> may impair fertility in females and males.</w:t>
      </w:r>
      <w:r w:rsidR="00977EB2" w:rsidRPr="00FA1502">
        <w:rPr>
          <w:lang w:val="en-AU"/>
        </w:rPr>
        <w:t xml:space="preserve"> </w:t>
      </w:r>
    </w:p>
    <w:p w14:paraId="2B632518" w14:textId="77777777" w:rsidR="009B0113" w:rsidRPr="009B0113" w:rsidRDefault="009B0113" w:rsidP="009B0113">
      <w:pPr>
        <w:rPr>
          <w:lang w:val="en-AU"/>
        </w:rPr>
      </w:pPr>
      <w:r w:rsidRPr="009B0113">
        <w:rPr>
          <w:lang w:val="en-AU"/>
        </w:rPr>
        <w:t xml:space="preserve">No fertility studies have been conducted with </w:t>
      </w:r>
      <w:proofErr w:type="spellStart"/>
      <w:r w:rsidRPr="009B0113">
        <w:rPr>
          <w:lang w:val="en-AU"/>
        </w:rPr>
        <w:t>selinexor</w:t>
      </w:r>
      <w:proofErr w:type="spellEnd"/>
      <w:r w:rsidRPr="009B0113">
        <w:rPr>
          <w:lang w:val="en-AU"/>
        </w:rPr>
        <w:t xml:space="preserve"> in animals. Impairment of male and female fertility in patients is suggested by findings in general repeat-dose toxicity studies. Selinexor reduced sperm, </w:t>
      </w:r>
      <w:proofErr w:type="gramStart"/>
      <w:r w:rsidRPr="009B0113">
        <w:rPr>
          <w:lang w:val="en-AU"/>
        </w:rPr>
        <w:t>spermatids</w:t>
      </w:r>
      <w:proofErr w:type="gramEnd"/>
      <w:r w:rsidRPr="009B0113">
        <w:rPr>
          <w:lang w:val="en-AU"/>
        </w:rPr>
        <w:t xml:space="preserve"> and germ cells in the </w:t>
      </w:r>
      <w:proofErr w:type="spellStart"/>
      <w:r w:rsidRPr="009B0113">
        <w:rPr>
          <w:lang w:val="en-AU"/>
        </w:rPr>
        <w:t>epididymides</w:t>
      </w:r>
      <w:proofErr w:type="spellEnd"/>
      <w:r w:rsidRPr="009B0113">
        <w:rPr>
          <w:lang w:val="en-AU"/>
        </w:rPr>
        <w:t xml:space="preserve"> and testes in rats at oral doses ≥0.25 mg/kg, decreased ovarian follicles in rats at ≥2 mg/kg, and produced single cell necrosis in the testes of monkeys with treatment at ≥1.5 mg/kg. These doses resulted in systemic exposure (plasma AUC) well below that of patients at the maximum recommended human dose. Reversibility of the male reproductive tract findings was not demonstrated in animals.</w:t>
      </w:r>
    </w:p>
    <w:p w14:paraId="29ABDA52" w14:textId="77777777" w:rsidR="009B0113" w:rsidRPr="009B0113" w:rsidRDefault="009B0113" w:rsidP="009B0113">
      <w:pPr>
        <w:rPr>
          <w:rFonts w:ascii="Arial" w:hAnsi="Arial" w:cs="Arial"/>
          <w:b/>
          <w:bCs/>
          <w:sz w:val="22"/>
          <w:szCs w:val="22"/>
          <w:lang w:val="en-AU"/>
        </w:rPr>
      </w:pPr>
      <w:r w:rsidRPr="009B0113">
        <w:rPr>
          <w:rFonts w:ascii="Arial" w:hAnsi="Arial" w:cs="Arial"/>
          <w:b/>
          <w:bCs/>
          <w:sz w:val="22"/>
          <w:szCs w:val="22"/>
          <w:lang w:val="en-AU"/>
        </w:rPr>
        <w:t xml:space="preserve">Women of childbearing potential / Contraception in males and females </w:t>
      </w:r>
    </w:p>
    <w:p w14:paraId="431BE6A7" w14:textId="77777777" w:rsidR="001C1555" w:rsidRDefault="009B0113" w:rsidP="009B0113">
      <w:pPr>
        <w:rPr>
          <w:lang w:val="en-AU"/>
        </w:rPr>
      </w:pPr>
      <w:r w:rsidRPr="009B0113">
        <w:rPr>
          <w:lang w:val="en-AU"/>
        </w:rPr>
        <w:t xml:space="preserve">Women of childbearing potential should be advised to avoid becoming pregnant or abstain from sexual intercourse while being treated with XPOVIO and for at least 1 week following the last dose of XPOVIO. A pregnancy test is recommended for women of childbearing potential prior to initiating XPOVIO treatment. </w:t>
      </w:r>
    </w:p>
    <w:p w14:paraId="7F9FB355" w14:textId="737AA514" w:rsidR="009B0113" w:rsidRPr="00FA1502" w:rsidRDefault="009B0113" w:rsidP="009B0113">
      <w:pPr>
        <w:rPr>
          <w:lang w:val="en-AU"/>
        </w:rPr>
      </w:pPr>
      <w:r w:rsidRPr="009B0113">
        <w:rPr>
          <w:lang w:val="en-AU"/>
        </w:rPr>
        <w:t>Male patients of reproductive potential should be advised to use effective contraceptive measures or abstain from sexual activity to prevent pregnancy during treatment with XPOVIO and for at least 1 week following the last dose of XPOVIO.</w:t>
      </w:r>
    </w:p>
    <w:p w14:paraId="2193DF49" w14:textId="1CE16D27" w:rsidR="00FD1F94" w:rsidRDefault="00FD1F94" w:rsidP="00B97A3A">
      <w:pPr>
        <w:pStyle w:val="Heading3"/>
        <w:numPr>
          <w:ilvl w:val="0"/>
          <w:numId w:val="0"/>
        </w:numPr>
        <w:rPr>
          <w:lang w:val="en-AU"/>
        </w:rPr>
      </w:pPr>
      <w:r w:rsidRPr="00FA1502">
        <w:rPr>
          <w:lang w:val="en-AU"/>
        </w:rPr>
        <w:lastRenderedPageBreak/>
        <w:t xml:space="preserve">Use in </w:t>
      </w:r>
      <w:r w:rsidR="00082283" w:rsidRPr="00FA1502">
        <w:rPr>
          <w:lang w:val="en-AU"/>
        </w:rPr>
        <w:t xml:space="preserve">pregnancy –Category </w:t>
      </w:r>
      <w:r w:rsidR="00ED5570">
        <w:rPr>
          <w:lang w:val="en-AU"/>
        </w:rPr>
        <w:t>D</w:t>
      </w:r>
    </w:p>
    <w:p w14:paraId="458C3925" w14:textId="0863711C" w:rsidR="00DA0D9D" w:rsidRDefault="009A13E7" w:rsidP="006A27EE">
      <w:pPr>
        <w:pStyle w:val="CommentText"/>
        <w:rPr>
          <w:rFonts w:ascii="Times New Roman" w:hAnsi="Times New Roman" w:cs="Times New Roman"/>
          <w:sz w:val="24"/>
          <w:szCs w:val="24"/>
        </w:rPr>
      </w:pPr>
      <w:r w:rsidRPr="007404BD">
        <w:rPr>
          <w:rFonts w:ascii="Times New Roman" w:hAnsi="Times New Roman" w:cs="Times New Roman"/>
          <w:sz w:val="24"/>
          <w:szCs w:val="24"/>
        </w:rPr>
        <w:t xml:space="preserve">There are no data from the use of </w:t>
      </w:r>
      <w:r w:rsidR="00DA0D9D" w:rsidRPr="007404BD">
        <w:rPr>
          <w:rFonts w:ascii="Times New Roman" w:hAnsi="Times New Roman" w:cs="Times New Roman"/>
          <w:sz w:val="24"/>
          <w:szCs w:val="24"/>
        </w:rPr>
        <w:t xml:space="preserve">XPOVIO </w:t>
      </w:r>
      <w:r w:rsidRPr="007404BD">
        <w:rPr>
          <w:rFonts w:ascii="Times New Roman" w:hAnsi="Times New Roman" w:cs="Times New Roman"/>
          <w:sz w:val="24"/>
          <w:szCs w:val="24"/>
        </w:rPr>
        <w:t xml:space="preserve">in pregnant women. </w:t>
      </w:r>
      <w:r w:rsidR="00DA0D9D" w:rsidRPr="007404BD">
        <w:rPr>
          <w:rFonts w:ascii="Times New Roman" w:hAnsi="Times New Roman" w:cs="Times New Roman"/>
          <w:sz w:val="24"/>
          <w:szCs w:val="24"/>
        </w:rPr>
        <w:t xml:space="preserve">Based on findings in animal studies and its mechanism of </w:t>
      </w:r>
      <w:proofErr w:type="gramStart"/>
      <w:r w:rsidR="00DA0D9D" w:rsidRPr="007404BD">
        <w:rPr>
          <w:rFonts w:ascii="Times New Roman" w:hAnsi="Times New Roman" w:cs="Times New Roman"/>
          <w:sz w:val="24"/>
          <w:szCs w:val="24"/>
        </w:rPr>
        <w:t>action ,</w:t>
      </w:r>
      <w:proofErr w:type="gramEnd"/>
      <w:r w:rsidR="00DA0D9D" w:rsidRPr="007404BD">
        <w:rPr>
          <w:rFonts w:ascii="Times New Roman" w:hAnsi="Times New Roman" w:cs="Times New Roman"/>
          <w:sz w:val="24"/>
          <w:szCs w:val="24"/>
        </w:rPr>
        <w:t xml:space="preserve"> XPOVIO can cause </w:t>
      </w:r>
      <w:proofErr w:type="spellStart"/>
      <w:r w:rsidR="00E32968">
        <w:rPr>
          <w:rFonts w:ascii="Times New Roman" w:hAnsi="Times New Roman" w:cs="Times New Roman"/>
          <w:sz w:val="24"/>
          <w:szCs w:val="24"/>
        </w:rPr>
        <w:t>fetal</w:t>
      </w:r>
      <w:proofErr w:type="spellEnd"/>
      <w:r w:rsidR="00DA0D9D" w:rsidRPr="007404BD">
        <w:rPr>
          <w:rFonts w:ascii="Times New Roman" w:hAnsi="Times New Roman" w:cs="Times New Roman"/>
          <w:sz w:val="24"/>
          <w:szCs w:val="24"/>
        </w:rPr>
        <w:t xml:space="preserve"> harm when administered to a pregnant woman. </w:t>
      </w:r>
    </w:p>
    <w:p w14:paraId="6313EB2D" w14:textId="0E3205F3" w:rsidR="00E32968" w:rsidRDefault="00E32968" w:rsidP="006A27EE">
      <w:pPr>
        <w:pStyle w:val="CommentText"/>
        <w:rPr>
          <w:rFonts w:ascii="Times New Roman" w:hAnsi="Times New Roman" w:cs="Times New Roman"/>
          <w:sz w:val="24"/>
          <w:szCs w:val="24"/>
        </w:rPr>
      </w:pPr>
    </w:p>
    <w:p w14:paraId="301B04A2" w14:textId="7D255FC5" w:rsidR="00E32968" w:rsidRPr="007404BD" w:rsidRDefault="00E32968" w:rsidP="006A27EE">
      <w:pPr>
        <w:pStyle w:val="CommentText"/>
        <w:rPr>
          <w:rFonts w:ascii="Times New Roman" w:hAnsi="Times New Roman" w:cs="Times New Roman"/>
          <w:sz w:val="24"/>
          <w:szCs w:val="24"/>
        </w:rPr>
      </w:pPr>
      <w:r w:rsidRPr="00E32968">
        <w:rPr>
          <w:rFonts w:ascii="Times New Roman" w:hAnsi="Times New Roman" w:cs="Times New Roman"/>
          <w:sz w:val="24"/>
          <w:szCs w:val="24"/>
        </w:rPr>
        <w:t xml:space="preserve">Administration of </w:t>
      </w:r>
      <w:proofErr w:type="spellStart"/>
      <w:r w:rsidRPr="00E32968">
        <w:rPr>
          <w:rFonts w:ascii="Times New Roman" w:hAnsi="Times New Roman" w:cs="Times New Roman"/>
          <w:sz w:val="24"/>
          <w:szCs w:val="24"/>
        </w:rPr>
        <w:t>selinexor</w:t>
      </w:r>
      <w:proofErr w:type="spellEnd"/>
      <w:r w:rsidRPr="00E32968">
        <w:rPr>
          <w:rFonts w:ascii="Times New Roman" w:hAnsi="Times New Roman" w:cs="Times New Roman"/>
          <w:sz w:val="24"/>
          <w:szCs w:val="24"/>
        </w:rPr>
        <w:t xml:space="preserve"> to pregnant rats during organogenesis resulted in reduced </w:t>
      </w:r>
      <w:proofErr w:type="spellStart"/>
      <w:r w:rsidRPr="00E32968">
        <w:rPr>
          <w:rFonts w:ascii="Times New Roman" w:hAnsi="Times New Roman" w:cs="Times New Roman"/>
          <w:sz w:val="24"/>
          <w:szCs w:val="24"/>
        </w:rPr>
        <w:t>fetal</w:t>
      </w:r>
      <w:proofErr w:type="spellEnd"/>
      <w:r w:rsidRPr="00E32968">
        <w:rPr>
          <w:rFonts w:ascii="Times New Roman" w:hAnsi="Times New Roman" w:cs="Times New Roman"/>
          <w:sz w:val="24"/>
          <w:szCs w:val="24"/>
        </w:rPr>
        <w:t xml:space="preserve"> weight, impaired </w:t>
      </w:r>
      <w:proofErr w:type="gramStart"/>
      <w:r w:rsidRPr="00E32968">
        <w:rPr>
          <w:rFonts w:ascii="Times New Roman" w:hAnsi="Times New Roman" w:cs="Times New Roman"/>
          <w:sz w:val="24"/>
          <w:szCs w:val="24"/>
        </w:rPr>
        <w:t>ossification</w:t>
      </w:r>
      <w:proofErr w:type="gramEnd"/>
      <w:r w:rsidRPr="00E32968">
        <w:rPr>
          <w:rFonts w:ascii="Times New Roman" w:hAnsi="Times New Roman" w:cs="Times New Roman"/>
          <w:sz w:val="24"/>
          <w:szCs w:val="24"/>
        </w:rPr>
        <w:t xml:space="preserve"> and increased </w:t>
      </w:r>
      <w:proofErr w:type="spellStart"/>
      <w:r w:rsidRPr="00E32968">
        <w:rPr>
          <w:rFonts w:ascii="Times New Roman" w:hAnsi="Times New Roman" w:cs="Times New Roman"/>
          <w:sz w:val="24"/>
          <w:szCs w:val="24"/>
        </w:rPr>
        <w:t>fetal</w:t>
      </w:r>
      <w:proofErr w:type="spellEnd"/>
      <w:r w:rsidRPr="00E32968">
        <w:rPr>
          <w:rFonts w:ascii="Times New Roman" w:hAnsi="Times New Roman" w:cs="Times New Roman"/>
          <w:sz w:val="24"/>
          <w:szCs w:val="24"/>
        </w:rPr>
        <w:t xml:space="preserve"> skeletal variations at oral doses ≥0.75 mg/kg/day. Malformations (microphthalmia, </w:t>
      </w:r>
      <w:proofErr w:type="spellStart"/>
      <w:r w:rsidRPr="00E32968">
        <w:rPr>
          <w:rFonts w:ascii="Times New Roman" w:hAnsi="Times New Roman" w:cs="Times New Roman"/>
          <w:sz w:val="24"/>
          <w:szCs w:val="24"/>
        </w:rPr>
        <w:t>fetal</w:t>
      </w:r>
      <w:proofErr w:type="spellEnd"/>
      <w:r w:rsidRPr="00E32968">
        <w:rPr>
          <w:rFonts w:ascii="Times New Roman" w:hAnsi="Times New Roman" w:cs="Times New Roman"/>
          <w:sz w:val="24"/>
          <w:szCs w:val="24"/>
        </w:rPr>
        <w:t xml:space="preserve"> oedema, </w:t>
      </w:r>
      <w:proofErr w:type="spellStart"/>
      <w:r w:rsidRPr="00E32968">
        <w:rPr>
          <w:rFonts w:ascii="Times New Roman" w:hAnsi="Times New Roman" w:cs="Times New Roman"/>
          <w:sz w:val="24"/>
          <w:szCs w:val="24"/>
        </w:rPr>
        <w:t>malpositioned</w:t>
      </w:r>
      <w:proofErr w:type="spellEnd"/>
      <w:r w:rsidRPr="00E32968">
        <w:rPr>
          <w:rFonts w:ascii="Times New Roman" w:hAnsi="Times New Roman" w:cs="Times New Roman"/>
          <w:sz w:val="24"/>
          <w:szCs w:val="24"/>
        </w:rPr>
        <w:t xml:space="preserve"> kidney and persistent truncus arteriosus) were observed at 2 mg/kg/day. These doses yield systemic exposure well below that of patients at the maximum recommended clinical dose (4–16 times lower than the human AUC at 100 mg). At 5 mg/kg/day (estimated to yield 0.6 times the clinical AUC), </w:t>
      </w:r>
      <w:proofErr w:type="spellStart"/>
      <w:r w:rsidRPr="00E32968">
        <w:rPr>
          <w:rFonts w:ascii="Times New Roman" w:hAnsi="Times New Roman" w:cs="Times New Roman"/>
          <w:sz w:val="24"/>
          <w:szCs w:val="24"/>
        </w:rPr>
        <w:t>selinexor</w:t>
      </w:r>
      <w:proofErr w:type="spellEnd"/>
      <w:r w:rsidRPr="00E32968">
        <w:rPr>
          <w:rFonts w:ascii="Times New Roman" w:hAnsi="Times New Roman" w:cs="Times New Roman"/>
          <w:sz w:val="24"/>
          <w:szCs w:val="24"/>
        </w:rPr>
        <w:t xml:space="preserve"> was </w:t>
      </w:r>
      <w:proofErr w:type="spellStart"/>
      <w:r w:rsidRPr="00E32968">
        <w:rPr>
          <w:rFonts w:ascii="Times New Roman" w:hAnsi="Times New Roman" w:cs="Times New Roman"/>
          <w:sz w:val="24"/>
          <w:szCs w:val="24"/>
        </w:rPr>
        <w:t>embryolethal</w:t>
      </w:r>
      <w:proofErr w:type="spellEnd"/>
      <w:r w:rsidRPr="00E32968">
        <w:rPr>
          <w:rFonts w:ascii="Times New Roman" w:hAnsi="Times New Roman" w:cs="Times New Roman"/>
          <w:sz w:val="24"/>
          <w:szCs w:val="24"/>
        </w:rPr>
        <w:t xml:space="preserve"> in rats.</w:t>
      </w:r>
    </w:p>
    <w:p w14:paraId="255D1558" w14:textId="3B9CE1AA" w:rsidR="009A13E7" w:rsidRPr="003A1904" w:rsidRDefault="00DA0D9D" w:rsidP="009A13E7">
      <w:r w:rsidRPr="007404BD">
        <w:rPr>
          <w:lang w:val="en-AU"/>
        </w:rPr>
        <w:t>XPOVIO</w:t>
      </w:r>
      <w:r w:rsidR="009A13E7" w:rsidRPr="007404BD">
        <w:rPr>
          <w:lang w:val="en-AU"/>
        </w:rPr>
        <w:t xml:space="preserve"> is not recommended during pregnancy and in women of childbearing potential not using contraception.</w:t>
      </w:r>
      <w:r w:rsidR="00694C58" w:rsidRPr="007404BD">
        <w:rPr>
          <w:lang w:val="en-AU"/>
        </w:rPr>
        <w:t xml:space="preserve"> </w:t>
      </w:r>
      <w:r w:rsidR="00694C58" w:rsidRPr="007404BD">
        <w:t>Verify the pregnancy status of females of reproductive potential prior to initiating XPOVIO</w:t>
      </w:r>
      <w:r w:rsidRPr="007404BD">
        <w:t>.</w:t>
      </w:r>
    </w:p>
    <w:p w14:paraId="616197A8" w14:textId="438527EE" w:rsidR="006A3FE5" w:rsidRPr="00FA1502" w:rsidRDefault="00C145B8" w:rsidP="009A13E7">
      <w:pPr>
        <w:rPr>
          <w:lang w:val="en-AU"/>
        </w:rPr>
      </w:pPr>
      <w:r>
        <w:rPr>
          <w:lang w:val="en-AU"/>
        </w:rPr>
        <w:t xml:space="preserve">Advise pregnant women of the potential risk to a </w:t>
      </w:r>
      <w:proofErr w:type="spellStart"/>
      <w:r w:rsidR="00E32968">
        <w:rPr>
          <w:lang w:val="en-AU"/>
        </w:rPr>
        <w:t>fetus</w:t>
      </w:r>
      <w:proofErr w:type="spellEnd"/>
      <w:r>
        <w:rPr>
          <w:lang w:val="en-AU"/>
        </w:rPr>
        <w:t xml:space="preserve">. </w:t>
      </w:r>
      <w:r w:rsidR="009A13E7" w:rsidRPr="003A1904">
        <w:rPr>
          <w:lang w:val="en-AU"/>
        </w:rPr>
        <w:t xml:space="preserve">If the patient becomes pregnant while taking </w:t>
      </w:r>
      <w:r w:rsidR="00DA0D9D" w:rsidRPr="003A1904">
        <w:rPr>
          <w:lang w:val="en-AU"/>
        </w:rPr>
        <w:t>XPOVIO</w:t>
      </w:r>
      <w:r w:rsidR="009A13E7" w:rsidRPr="003A1904">
        <w:rPr>
          <w:lang w:val="en-AU"/>
        </w:rPr>
        <w:t xml:space="preserve">, </w:t>
      </w:r>
      <w:r w:rsidR="00DA0D9D" w:rsidRPr="003A1904">
        <w:rPr>
          <w:lang w:val="en-AU"/>
        </w:rPr>
        <w:t xml:space="preserve">treatment </w:t>
      </w:r>
      <w:r w:rsidR="009A13E7" w:rsidRPr="003A1904">
        <w:rPr>
          <w:lang w:val="en-AU"/>
        </w:rPr>
        <w:t xml:space="preserve">should be immediately discontinued, and the patient should be apprised of the potential hazard to the </w:t>
      </w:r>
      <w:proofErr w:type="spellStart"/>
      <w:r w:rsidR="00E32968">
        <w:rPr>
          <w:lang w:val="en-AU"/>
        </w:rPr>
        <w:t>fetus</w:t>
      </w:r>
      <w:proofErr w:type="spellEnd"/>
      <w:r w:rsidR="009A13E7" w:rsidRPr="003A1904">
        <w:rPr>
          <w:lang w:val="en-AU"/>
        </w:rPr>
        <w:t>.</w:t>
      </w:r>
    </w:p>
    <w:p w14:paraId="534FA3C6" w14:textId="77777777" w:rsidR="00FD1F94" w:rsidRPr="00FA1502" w:rsidRDefault="00FD1F94" w:rsidP="00B97A3A">
      <w:pPr>
        <w:pStyle w:val="Heading3"/>
        <w:numPr>
          <w:ilvl w:val="0"/>
          <w:numId w:val="0"/>
        </w:numPr>
        <w:rPr>
          <w:lang w:val="en-AU"/>
        </w:rPr>
      </w:pPr>
      <w:r w:rsidRPr="00FA1502">
        <w:rPr>
          <w:lang w:val="en-AU"/>
        </w:rPr>
        <w:t>Use in lactation</w:t>
      </w:r>
    </w:p>
    <w:p w14:paraId="1EF2F84E" w14:textId="3D866261" w:rsidR="00A7374A" w:rsidRDefault="009A13E7" w:rsidP="00A7374A">
      <w:pPr>
        <w:rPr>
          <w:lang w:val="en-AU"/>
        </w:rPr>
      </w:pPr>
      <w:r w:rsidRPr="003A1904">
        <w:rPr>
          <w:lang w:val="en-AU"/>
        </w:rPr>
        <w:t xml:space="preserve">It is unknown whether </w:t>
      </w:r>
      <w:r w:rsidR="0087503D">
        <w:rPr>
          <w:lang w:val="en-AU"/>
        </w:rPr>
        <w:t>XPOVIO</w:t>
      </w:r>
      <w:r w:rsidRPr="003A1904">
        <w:rPr>
          <w:lang w:val="en-AU"/>
        </w:rPr>
        <w:t xml:space="preserve"> or its metabolites are excreted in human milk</w:t>
      </w:r>
      <w:r w:rsidR="00B83BB0" w:rsidRPr="003A1904">
        <w:rPr>
          <w:sz w:val="23"/>
          <w:szCs w:val="23"/>
        </w:rPr>
        <w:t>, or their effects on the breastfed child or milk production</w:t>
      </w:r>
      <w:r w:rsidRPr="003A1904">
        <w:rPr>
          <w:lang w:val="en-AU"/>
        </w:rPr>
        <w:t>. A risk to breast</w:t>
      </w:r>
      <w:r w:rsidRPr="003A1904">
        <w:rPr>
          <w:lang w:val="en-AU"/>
        </w:rPr>
        <w:noBreakHyphen/>
        <w:t xml:space="preserve">fed children cannot be excluded. Breast-feeding should be discontinued during treatment with </w:t>
      </w:r>
      <w:r w:rsidR="0087503D">
        <w:rPr>
          <w:lang w:val="en-AU"/>
        </w:rPr>
        <w:t>XPOVIO</w:t>
      </w:r>
      <w:r w:rsidRPr="003A1904">
        <w:rPr>
          <w:lang w:val="en-AU"/>
        </w:rPr>
        <w:t xml:space="preserve"> and for 1 week after the last dose.</w:t>
      </w:r>
    </w:p>
    <w:p w14:paraId="6A2C883F" w14:textId="73E1BE85" w:rsidR="00FD1F94" w:rsidRPr="00FA1502" w:rsidRDefault="00FD1F94" w:rsidP="00124389">
      <w:pPr>
        <w:pStyle w:val="Heading2"/>
        <w:rPr>
          <w:lang w:val="en-AU"/>
        </w:rPr>
      </w:pPr>
      <w:bookmarkStart w:id="19" w:name="page4"/>
      <w:bookmarkStart w:id="20" w:name="_Ref45718373"/>
      <w:bookmarkEnd w:id="19"/>
      <w:r w:rsidRPr="00FA1502">
        <w:rPr>
          <w:lang w:val="en-AU"/>
        </w:rPr>
        <w:t>EFFECTS ON ABILITY TO DRIVE AND USE MACHINES</w:t>
      </w:r>
      <w:bookmarkEnd w:id="20"/>
    </w:p>
    <w:p w14:paraId="7C02FD08" w14:textId="7C211355" w:rsidR="00AA0E25" w:rsidRPr="00FA1502" w:rsidRDefault="0087503D" w:rsidP="00B97A3A">
      <w:pPr>
        <w:rPr>
          <w:color w:val="auto"/>
          <w:lang w:val="en-AU"/>
        </w:rPr>
      </w:pPr>
      <w:r>
        <w:rPr>
          <w:lang w:val="en-AU"/>
        </w:rPr>
        <w:t>XPOVIO</w:t>
      </w:r>
      <w:r w:rsidR="009A13E7" w:rsidRPr="001468A9">
        <w:rPr>
          <w:lang w:val="en-AU"/>
        </w:rPr>
        <w:t xml:space="preserve"> has the potential to have a major influence on the ability to drive and use machines. </w:t>
      </w:r>
      <w:r>
        <w:rPr>
          <w:lang w:val="en-AU"/>
        </w:rPr>
        <w:t>XPOVIO</w:t>
      </w:r>
      <w:r w:rsidR="009A13E7" w:rsidRPr="001468A9">
        <w:rPr>
          <w:lang w:val="en-AU"/>
        </w:rPr>
        <w:t xml:space="preserve"> can cause fatigue, </w:t>
      </w:r>
      <w:proofErr w:type="spellStart"/>
      <w:r w:rsidR="009A13E7" w:rsidRPr="001468A9">
        <w:rPr>
          <w:lang w:val="en-AU"/>
        </w:rPr>
        <w:t>confusional</w:t>
      </w:r>
      <w:proofErr w:type="spellEnd"/>
      <w:r w:rsidR="009A13E7" w:rsidRPr="001468A9">
        <w:rPr>
          <w:lang w:val="en-AU"/>
        </w:rPr>
        <w:t xml:space="preserve"> state and dizziness. Patients should be instructed to avoid situations where dizziness or </w:t>
      </w:r>
      <w:proofErr w:type="spellStart"/>
      <w:r w:rsidR="009A13E7" w:rsidRPr="001468A9">
        <w:rPr>
          <w:lang w:val="en-AU"/>
        </w:rPr>
        <w:t>confusional</w:t>
      </w:r>
      <w:proofErr w:type="spellEnd"/>
      <w:r w:rsidR="009A13E7" w:rsidRPr="001468A9">
        <w:rPr>
          <w:lang w:val="en-AU"/>
        </w:rPr>
        <w:t xml:space="preserve"> state may be a problem and to not take other medicinal products that may cause dizziness or </w:t>
      </w:r>
      <w:proofErr w:type="spellStart"/>
      <w:r w:rsidR="009A13E7" w:rsidRPr="001468A9">
        <w:rPr>
          <w:lang w:val="en-AU"/>
        </w:rPr>
        <w:t>confusional</w:t>
      </w:r>
      <w:proofErr w:type="spellEnd"/>
      <w:r w:rsidR="009A13E7" w:rsidRPr="001468A9">
        <w:rPr>
          <w:lang w:val="en-AU"/>
        </w:rPr>
        <w:t xml:space="preserve"> state without adequate medical advice. Patients should be advised not to drive or operate machines if they experience any of these symptoms.</w:t>
      </w:r>
    </w:p>
    <w:p w14:paraId="21C7BCEE" w14:textId="10957294" w:rsidR="00FD1F94" w:rsidRPr="00FA1502" w:rsidRDefault="00FD1F94" w:rsidP="00124389">
      <w:pPr>
        <w:pStyle w:val="Heading2"/>
        <w:rPr>
          <w:lang w:val="en-AU"/>
        </w:rPr>
      </w:pPr>
      <w:bookmarkStart w:id="21" w:name="_Ref71120259"/>
      <w:r w:rsidRPr="00FA1502">
        <w:rPr>
          <w:lang w:val="en-AU"/>
        </w:rPr>
        <w:t>ADVERSE EFFECTS (UNDESIRABLE EFFECTS)</w:t>
      </w:r>
      <w:bookmarkEnd w:id="21"/>
    </w:p>
    <w:p w14:paraId="505949F8" w14:textId="750B8B5F" w:rsidR="009878E2" w:rsidRDefault="009878E2" w:rsidP="009878E2">
      <w:pPr>
        <w:pStyle w:val="Heading3"/>
        <w:numPr>
          <w:ilvl w:val="0"/>
          <w:numId w:val="0"/>
        </w:numPr>
        <w:rPr>
          <w:lang w:val="en-AU"/>
        </w:rPr>
      </w:pPr>
      <w:r w:rsidRPr="00FA1502">
        <w:rPr>
          <w:lang w:val="en-AU"/>
        </w:rPr>
        <w:t>Summary of the safety profile</w:t>
      </w:r>
    </w:p>
    <w:p w14:paraId="56EEB3D9" w14:textId="1E766646" w:rsidR="00B921F2" w:rsidRPr="00B921F2" w:rsidRDefault="00B921F2" w:rsidP="00B921F2">
      <w:pPr>
        <w:rPr>
          <w:lang w:val="en-AU"/>
        </w:rPr>
      </w:pPr>
      <w:r w:rsidRPr="009F115F">
        <w:t xml:space="preserve">The safety data of </w:t>
      </w:r>
      <w:proofErr w:type="spellStart"/>
      <w:r w:rsidRPr="009F115F">
        <w:t>selinexor</w:t>
      </w:r>
      <w:proofErr w:type="spellEnd"/>
      <w:r w:rsidRPr="009F115F">
        <w:t xml:space="preserve"> have been assessed in patients with multiple myeloma treated with </w:t>
      </w:r>
      <w:proofErr w:type="spellStart"/>
      <w:r w:rsidRPr="009F115F">
        <w:t>selinexor</w:t>
      </w:r>
      <w:proofErr w:type="spellEnd"/>
      <w:r w:rsidRPr="009F115F">
        <w:t xml:space="preserve"> in combination with dexamethasone (2</w:t>
      </w:r>
      <w:r>
        <w:t>02</w:t>
      </w:r>
      <w:r w:rsidRPr="009F115F">
        <w:t xml:space="preserve"> patients-STORM trial) or </w:t>
      </w:r>
      <w:proofErr w:type="spellStart"/>
      <w:r w:rsidRPr="009F115F">
        <w:t>selinexor</w:t>
      </w:r>
      <w:proofErr w:type="spellEnd"/>
      <w:r w:rsidRPr="009F115F">
        <w:t xml:space="preserve"> in combination with bortezomib and dexamethasone (195 patients-BOSTON trial).</w:t>
      </w:r>
    </w:p>
    <w:p w14:paraId="5BB4A511" w14:textId="1304A93E" w:rsidR="00C26A1B" w:rsidRPr="001468A9" w:rsidRDefault="00C26A1B" w:rsidP="00F53F5F">
      <w:pPr>
        <w:pStyle w:val="Heading4"/>
        <w:numPr>
          <w:ilvl w:val="0"/>
          <w:numId w:val="0"/>
        </w:numPr>
        <w:ind w:left="862" w:hanging="862"/>
        <w:rPr>
          <w:lang w:val="en-AU"/>
        </w:rPr>
      </w:pPr>
      <w:r w:rsidRPr="001468A9">
        <w:rPr>
          <w:lang w:val="en-AU"/>
        </w:rPr>
        <w:t xml:space="preserve">In combination with </w:t>
      </w:r>
      <w:r w:rsidR="00ED7B57">
        <w:rPr>
          <w:lang w:val="en-AU"/>
        </w:rPr>
        <w:t>b</w:t>
      </w:r>
      <w:r w:rsidRPr="001468A9">
        <w:rPr>
          <w:lang w:val="en-AU"/>
        </w:rPr>
        <w:t xml:space="preserve">ortezomib and </w:t>
      </w:r>
      <w:r w:rsidR="00ED7B57">
        <w:rPr>
          <w:lang w:val="en-AU"/>
        </w:rPr>
        <w:t>d</w:t>
      </w:r>
      <w:r w:rsidRPr="001468A9">
        <w:rPr>
          <w:lang w:val="en-AU"/>
        </w:rPr>
        <w:t>examethasone</w:t>
      </w:r>
      <w:r w:rsidR="00ED7B57">
        <w:rPr>
          <w:lang w:val="en-AU"/>
        </w:rPr>
        <w:t xml:space="preserve"> (</w:t>
      </w:r>
      <w:proofErr w:type="spellStart"/>
      <w:r w:rsidR="00ED7B57">
        <w:rPr>
          <w:lang w:val="en-AU"/>
        </w:rPr>
        <w:t>SVd</w:t>
      </w:r>
      <w:proofErr w:type="spellEnd"/>
      <w:r w:rsidR="00ED7B57">
        <w:rPr>
          <w:lang w:val="en-AU"/>
        </w:rPr>
        <w:t>, BOSTON Trial)</w:t>
      </w:r>
    </w:p>
    <w:p w14:paraId="2BFE19EB" w14:textId="16037DD9" w:rsidR="001D2D8F" w:rsidRPr="002A3625" w:rsidRDefault="001D2D8F" w:rsidP="001D2D8F">
      <w:pPr>
        <w:pStyle w:val="C-BodyText"/>
      </w:pPr>
      <w:r w:rsidRPr="001468A9">
        <w:t xml:space="preserve">The safety data described are based on the BOSTON study, a global, </w:t>
      </w:r>
      <w:proofErr w:type="spellStart"/>
      <w:r w:rsidRPr="001468A9">
        <w:t>randomi</w:t>
      </w:r>
      <w:r>
        <w:t>s</w:t>
      </w:r>
      <w:r w:rsidRPr="001468A9">
        <w:t>ed</w:t>
      </w:r>
      <w:proofErr w:type="spellEnd"/>
      <w:r w:rsidRPr="001468A9">
        <w:t>, open-label clinical trial in patients with previously treated multiple myeloma (</w:t>
      </w:r>
      <w:r>
        <w:t>n</w:t>
      </w:r>
      <w:r w:rsidRPr="001468A9">
        <w:t>=399). In BOSTON, once-weekly XPOVIO 100 mg was administered with once-weekly bortezomib 1.3 mg/m</w:t>
      </w:r>
      <w:r w:rsidRPr="001468A9">
        <w:rPr>
          <w:vertAlign w:val="superscript"/>
        </w:rPr>
        <w:t>2</w:t>
      </w:r>
      <w:r w:rsidRPr="001468A9">
        <w:t xml:space="preserve"> and </w:t>
      </w:r>
      <w:r w:rsidRPr="001468A9">
        <w:lastRenderedPageBreak/>
        <w:t>twice-weekly oral dexamethasone 20 mg (</w:t>
      </w:r>
      <w:proofErr w:type="spellStart"/>
      <w:r w:rsidRPr="001468A9">
        <w:t>SVd</w:t>
      </w:r>
      <w:proofErr w:type="spellEnd"/>
      <w:r w:rsidRPr="001468A9">
        <w:t>) and compared to twice-weekly bortezomib 1.3mg/m</w:t>
      </w:r>
      <w:r w:rsidRPr="001468A9">
        <w:rPr>
          <w:vertAlign w:val="superscript"/>
        </w:rPr>
        <w:t>2</w:t>
      </w:r>
      <w:r w:rsidRPr="001468A9">
        <w:t xml:space="preserve"> with twice-weekly dexamethasone 20 mg (</w:t>
      </w:r>
      <w:proofErr w:type="spellStart"/>
      <w:r w:rsidRPr="001468A9">
        <w:t>Vd</w:t>
      </w:r>
      <w:proofErr w:type="spellEnd"/>
      <w:r w:rsidRPr="001468A9">
        <w:t xml:space="preserve">) </w:t>
      </w:r>
      <w:r w:rsidR="00B75C0E" w:rsidRPr="002A3625">
        <w:t>(</w:t>
      </w:r>
      <w:r w:rsidRPr="002A3625">
        <w:t>see</w:t>
      </w:r>
      <w:r w:rsidR="00B75C0E" w:rsidRPr="002A3625">
        <w:t xml:space="preserve"> Section</w:t>
      </w:r>
      <w:r w:rsidRPr="002A3625">
        <w:t xml:space="preserve"> </w:t>
      </w:r>
      <w:r w:rsidR="00B75C0E" w:rsidRPr="002A3625">
        <w:fldChar w:fldCharType="begin"/>
      </w:r>
      <w:r w:rsidR="00B75C0E" w:rsidRPr="002A3625">
        <w:instrText xml:space="preserve"> REF _Ref71121937 \r \h </w:instrText>
      </w:r>
      <w:r w:rsidR="002A3625" w:rsidRPr="002A3625">
        <w:instrText xml:space="preserve"> \* MERGEFORMAT </w:instrText>
      </w:r>
      <w:r w:rsidR="00B75C0E" w:rsidRPr="002A3625">
        <w:fldChar w:fldCharType="separate"/>
      </w:r>
      <w:r w:rsidR="00F53F5F">
        <w:t>5.1</w:t>
      </w:r>
      <w:r w:rsidR="00B75C0E" w:rsidRPr="002A3625">
        <w:fldChar w:fldCharType="end"/>
      </w:r>
      <w:r w:rsidR="00B75C0E" w:rsidRPr="002A3625">
        <w:t xml:space="preserve"> </w:t>
      </w:r>
      <w:r w:rsidR="00B75C0E" w:rsidRPr="002A3625">
        <w:fldChar w:fldCharType="begin"/>
      </w:r>
      <w:r w:rsidR="00B75C0E" w:rsidRPr="002A3625">
        <w:instrText xml:space="preserve"> REF _Ref71121937 \h </w:instrText>
      </w:r>
      <w:r w:rsidR="002A3625" w:rsidRPr="002A3625">
        <w:instrText xml:space="preserve"> \* MERGEFORMAT </w:instrText>
      </w:r>
      <w:r w:rsidR="00B75C0E" w:rsidRPr="002A3625">
        <w:fldChar w:fldCharType="separate"/>
      </w:r>
      <w:r w:rsidR="00F53F5F" w:rsidRPr="00FA1502">
        <w:rPr>
          <w:lang w:val="en-AU"/>
        </w:rPr>
        <w:t>PHARMACODYNAMIC PROPERTIES</w:t>
      </w:r>
      <w:r w:rsidR="00B75C0E" w:rsidRPr="002A3625">
        <w:fldChar w:fldCharType="end"/>
      </w:r>
      <w:r w:rsidR="002A3625">
        <w:t>,</w:t>
      </w:r>
      <w:r w:rsidR="00B75C0E" w:rsidRPr="002A3625">
        <w:t xml:space="preserve"> </w:t>
      </w:r>
      <w:r w:rsidR="00B75C0E" w:rsidRPr="002A3625">
        <w:fldChar w:fldCharType="begin"/>
      </w:r>
      <w:r w:rsidR="00B75C0E" w:rsidRPr="002A3625">
        <w:instrText xml:space="preserve"> REF _Ref71121968 \h </w:instrText>
      </w:r>
      <w:r w:rsidR="002A3625" w:rsidRPr="002A3625">
        <w:instrText xml:space="preserve"> \* MERGEFORMAT </w:instrText>
      </w:r>
      <w:r w:rsidR="00B75C0E" w:rsidRPr="002A3625">
        <w:fldChar w:fldCharType="separate"/>
      </w:r>
      <w:r w:rsidR="00F53F5F" w:rsidRPr="00FA1502">
        <w:rPr>
          <w:lang w:val="en-AU"/>
        </w:rPr>
        <w:t>Clinical trials</w:t>
      </w:r>
      <w:r w:rsidR="00B75C0E" w:rsidRPr="002A3625">
        <w:fldChar w:fldCharType="end"/>
      </w:r>
      <w:r w:rsidR="00B75C0E" w:rsidRPr="002A3625">
        <w:t xml:space="preserve"> </w:t>
      </w:r>
      <w:r w:rsidRPr="00F53F5F">
        <w:t>and</w:t>
      </w:r>
      <w:r w:rsidRPr="002A3625">
        <w:t xml:space="preserve"> </w:t>
      </w:r>
      <w:r w:rsidR="00B75C0E" w:rsidRPr="002A3625">
        <w:t xml:space="preserve">Section </w:t>
      </w:r>
      <w:r w:rsidR="00B75C0E" w:rsidRPr="002A3625">
        <w:fldChar w:fldCharType="begin"/>
      </w:r>
      <w:r w:rsidR="00B75C0E" w:rsidRPr="002A3625">
        <w:instrText xml:space="preserve"> REF _Ref511901540 \r \h </w:instrText>
      </w:r>
      <w:r w:rsidR="002A3625" w:rsidRPr="002A3625">
        <w:instrText xml:space="preserve"> \* MERGEFORMAT </w:instrText>
      </w:r>
      <w:r w:rsidR="00B75C0E" w:rsidRPr="002A3625">
        <w:fldChar w:fldCharType="separate"/>
      </w:r>
      <w:r w:rsidR="00F53F5F">
        <w:t>4.2</w:t>
      </w:r>
      <w:r w:rsidR="00B75C0E" w:rsidRPr="002A3625">
        <w:fldChar w:fldCharType="end"/>
      </w:r>
      <w:r w:rsidR="00B75C0E" w:rsidRPr="002A3625">
        <w:t xml:space="preserve"> </w:t>
      </w:r>
      <w:r w:rsidR="00B75C0E" w:rsidRPr="002A3625">
        <w:fldChar w:fldCharType="begin"/>
      </w:r>
      <w:r w:rsidR="00B75C0E" w:rsidRPr="002A3625">
        <w:instrText xml:space="preserve"> REF _Ref511901540 \h </w:instrText>
      </w:r>
      <w:r w:rsidR="002A3625" w:rsidRPr="002A3625">
        <w:instrText xml:space="preserve"> \* MERGEFORMAT </w:instrText>
      </w:r>
      <w:r w:rsidR="00B75C0E" w:rsidRPr="002A3625">
        <w:fldChar w:fldCharType="separate"/>
      </w:r>
      <w:r w:rsidR="00F53F5F" w:rsidRPr="00FA1502">
        <w:rPr>
          <w:lang w:val="en-AU"/>
        </w:rPr>
        <w:t>DOSE AND METHOD OF ADMINISTRATION</w:t>
      </w:r>
      <w:r w:rsidR="00B75C0E" w:rsidRPr="002A3625">
        <w:fldChar w:fldCharType="end"/>
      </w:r>
      <w:r w:rsidR="00E65C80">
        <w:t xml:space="preserve"> </w:t>
      </w:r>
      <w:r w:rsidR="00B75C0E" w:rsidRPr="002A3625">
        <w:t>)</w:t>
      </w:r>
      <w:r w:rsidRPr="002A3625">
        <w:t xml:space="preserve">. </w:t>
      </w:r>
    </w:p>
    <w:p w14:paraId="4F1EC8C2" w14:textId="3EC832C1" w:rsidR="00BC29B1" w:rsidRPr="00BC29B1" w:rsidRDefault="00ED1FEB" w:rsidP="00BC29B1">
      <w:pPr>
        <w:pStyle w:val="C-BodyText"/>
      </w:pPr>
      <w:r>
        <w:t xml:space="preserve">Adverse Events </w:t>
      </w:r>
      <w:r w:rsidR="00F531E4">
        <w:t xml:space="preserve">(AEs) </w:t>
      </w:r>
      <w:r w:rsidR="00BC29B1" w:rsidRPr="00BC29B1">
        <w:t xml:space="preserve">and Laboratory Abnormalities described in </w:t>
      </w:r>
      <w:r w:rsidR="00BC29B1">
        <w:fldChar w:fldCharType="begin"/>
      </w:r>
      <w:r w:rsidR="00BC29B1">
        <w:instrText xml:space="preserve"> REF _Ref52179238 \h </w:instrText>
      </w:r>
      <w:r w:rsidR="00BC29B1">
        <w:fldChar w:fldCharType="separate"/>
      </w:r>
      <w:r w:rsidR="00F53F5F">
        <w:t xml:space="preserve">Table </w:t>
      </w:r>
      <w:r w:rsidR="00F53F5F">
        <w:rPr>
          <w:noProof/>
        </w:rPr>
        <w:t>4</w:t>
      </w:r>
      <w:r w:rsidR="00BC29B1">
        <w:fldChar w:fldCharType="end"/>
      </w:r>
      <w:r w:rsidR="00BC29B1" w:rsidRPr="00BC29B1">
        <w:t xml:space="preserve"> and </w:t>
      </w:r>
      <w:r w:rsidR="00BC29B1">
        <w:fldChar w:fldCharType="begin"/>
      </w:r>
      <w:r w:rsidR="00BC29B1">
        <w:instrText xml:space="preserve"> REF _Ref52179286 \h </w:instrText>
      </w:r>
      <w:r w:rsidR="00BC29B1">
        <w:fldChar w:fldCharType="separate"/>
      </w:r>
      <w:r w:rsidR="00F53F5F">
        <w:t xml:space="preserve">Table </w:t>
      </w:r>
      <w:r w:rsidR="00F53F5F">
        <w:rPr>
          <w:noProof/>
        </w:rPr>
        <w:t>5</w:t>
      </w:r>
      <w:r w:rsidR="00BC29B1">
        <w:fldChar w:fldCharType="end"/>
      </w:r>
      <w:r w:rsidR="00BC29B1">
        <w:t xml:space="preserve"> </w:t>
      </w:r>
      <w:r w:rsidR="00BC29B1" w:rsidRPr="00BC29B1">
        <w:t xml:space="preserve">below reflect exposure to XPOVIO for a median treatment duration of 30 weeks (range: 1 to 120 weeks) and median dose of 80 mg/week (range: 30 to 137) for the </w:t>
      </w:r>
      <w:proofErr w:type="spellStart"/>
      <w:r w:rsidR="00BC29B1" w:rsidRPr="00BC29B1">
        <w:t>SVd</w:t>
      </w:r>
      <w:proofErr w:type="spellEnd"/>
      <w:r w:rsidR="00BC29B1" w:rsidRPr="00BC29B1">
        <w:t xml:space="preserve"> patient group (n=195) and median treatment duration of 32 weeks (range: 1 to 122 weeks) for the </w:t>
      </w:r>
      <w:proofErr w:type="spellStart"/>
      <w:r w:rsidR="00BC29B1" w:rsidRPr="00BC29B1">
        <w:t>Vd</w:t>
      </w:r>
      <w:proofErr w:type="spellEnd"/>
      <w:r w:rsidR="00BC29B1" w:rsidRPr="00BC29B1">
        <w:t xml:space="preserve"> patient group (n=204).</w:t>
      </w:r>
    </w:p>
    <w:p w14:paraId="68851E2B" w14:textId="22B406DC" w:rsidR="00C26A1B" w:rsidRDefault="00C26A1B" w:rsidP="00C26A1B">
      <w:pPr>
        <w:rPr>
          <w:lang w:val="en-AU"/>
        </w:rPr>
      </w:pPr>
      <w:r w:rsidRPr="001468A9">
        <w:rPr>
          <w:lang w:val="en-AU"/>
        </w:rPr>
        <w:t xml:space="preserve">The most frequent (≥20%) </w:t>
      </w:r>
      <w:r w:rsidR="006F5CD9">
        <w:rPr>
          <w:lang w:val="en-AU"/>
        </w:rPr>
        <w:t>non-hematologic</w:t>
      </w:r>
      <w:r w:rsidR="00615647">
        <w:rPr>
          <w:lang w:val="en-AU"/>
        </w:rPr>
        <w:t xml:space="preserve"> </w:t>
      </w:r>
      <w:r w:rsidR="00642472">
        <w:rPr>
          <w:lang w:val="en-AU"/>
        </w:rPr>
        <w:t xml:space="preserve">AEs </w:t>
      </w:r>
      <w:r w:rsidRPr="001468A9">
        <w:rPr>
          <w:lang w:val="en-AU"/>
        </w:rPr>
        <w:t xml:space="preserve">with a 5% greater incidence in the </w:t>
      </w:r>
      <w:proofErr w:type="spellStart"/>
      <w:r w:rsidRPr="001468A9">
        <w:rPr>
          <w:lang w:val="en-AU"/>
        </w:rPr>
        <w:t>SVd</w:t>
      </w:r>
      <w:proofErr w:type="spellEnd"/>
      <w:r w:rsidRPr="001468A9">
        <w:rPr>
          <w:lang w:val="en-AU"/>
        </w:rPr>
        <w:t xml:space="preserve"> arm compared to the </w:t>
      </w:r>
      <w:proofErr w:type="spellStart"/>
      <w:r w:rsidRPr="001468A9">
        <w:rPr>
          <w:lang w:val="en-AU"/>
        </w:rPr>
        <w:t>Vd</w:t>
      </w:r>
      <w:proofErr w:type="spellEnd"/>
      <w:r w:rsidRPr="001468A9">
        <w:rPr>
          <w:lang w:val="en-AU"/>
        </w:rPr>
        <w:t xml:space="preserve"> arm were nausea, fatigue, decreased appetite, diarrhea, upper respiratory tract infection, weight decreased, asthenia, cataract, and vomiting. Serious </w:t>
      </w:r>
      <w:r w:rsidR="009D6BA6">
        <w:rPr>
          <w:lang w:val="en-AU"/>
        </w:rPr>
        <w:t xml:space="preserve">AEs </w:t>
      </w:r>
      <w:r w:rsidRPr="001468A9">
        <w:rPr>
          <w:lang w:val="en-AU"/>
        </w:rPr>
        <w:t xml:space="preserve">were reported in 52% and 38% of </w:t>
      </w:r>
      <w:proofErr w:type="spellStart"/>
      <w:r w:rsidRPr="001468A9">
        <w:rPr>
          <w:lang w:val="en-AU"/>
        </w:rPr>
        <w:t>SVd</w:t>
      </w:r>
      <w:proofErr w:type="spellEnd"/>
      <w:r w:rsidRPr="001468A9">
        <w:rPr>
          <w:lang w:val="en-AU"/>
        </w:rPr>
        <w:t xml:space="preserve">- and </w:t>
      </w:r>
      <w:proofErr w:type="spellStart"/>
      <w:r w:rsidRPr="001468A9">
        <w:rPr>
          <w:lang w:val="en-AU"/>
        </w:rPr>
        <w:t>Vd</w:t>
      </w:r>
      <w:proofErr w:type="spellEnd"/>
      <w:r w:rsidRPr="001468A9">
        <w:rPr>
          <w:lang w:val="en-AU"/>
        </w:rPr>
        <w:t>-treated patients, respectively.</w:t>
      </w:r>
    </w:p>
    <w:p w14:paraId="4D464389" w14:textId="4A84E164" w:rsidR="005E05F4" w:rsidRPr="006A27EE" w:rsidRDefault="005E05F4" w:rsidP="005E05F4">
      <w:pPr>
        <w:rPr>
          <w:rFonts w:eastAsia="Times New Roman"/>
        </w:rPr>
      </w:pPr>
      <w:r w:rsidRPr="006A27EE">
        <w:rPr>
          <w:rFonts w:eastAsia="Times New Roman"/>
        </w:rPr>
        <w:t xml:space="preserve">There was a similar number of fatal </w:t>
      </w:r>
      <w:r w:rsidR="00AE1274">
        <w:rPr>
          <w:rFonts w:eastAsia="Times New Roman"/>
        </w:rPr>
        <w:t xml:space="preserve">AEs </w:t>
      </w:r>
      <w:r w:rsidRPr="006A27EE">
        <w:rPr>
          <w:rFonts w:eastAsia="Times New Roman"/>
        </w:rPr>
        <w:t xml:space="preserve">in the </w:t>
      </w:r>
      <w:proofErr w:type="spellStart"/>
      <w:r w:rsidRPr="006A27EE">
        <w:rPr>
          <w:rFonts w:eastAsia="Times New Roman"/>
        </w:rPr>
        <w:t>SVd</w:t>
      </w:r>
      <w:proofErr w:type="spellEnd"/>
      <w:r w:rsidRPr="006A27EE">
        <w:rPr>
          <w:rFonts w:eastAsia="Times New Roman"/>
        </w:rPr>
        <w:t xml:space="preserve"> (12 patients) and in the </w:t>
      </w:r>
      <w:proofErr w:type="spellStart"/>
      <w:r w:rsidRPr="006A27EE">
        <w:rPr>
          <w:rFonts w:eastAsia="Times New Roman"/>
        </w:rPr>
        <w:t>Vd</w:t>
      </w:r>
      <w:proofErr w:type="spellEnd"/>
      <w:r w:rsidRPr="006A27EE">
        <w:rPr>
          <w:rFonts w:eastAsia="Times New Roman"/>
        </w:rPr>
        <w:t xml:space="preserve"> (11 patients) arms, within 30 days of last treatment. Fatal </w:t>
      </w:r>
      <w:r w:rsidR="007B6080">
        <w:rPr>
          <w:rFonts w:eastAsia="Times New Roman"/>
        </w:rPr>
        <w:t>AEs</w:t>
      </w:r>
      <w:r w:rsidRPr="006A27EE">
        <w:rPr>
          <w:rFonts w:eastAsia="Times New Roman"/>
        </w:rPr>
        <w:t xml:space="preserve"> occurred in 12 patients in both the </w:t>
      </w:r>
      <w:proofErr w:type="spellStart"/>
      <w:r w:rsidRPr="006A27EE">
        <w:rPr>
          <w:rFonts w:eastAsia="Times New Roman"/>
        </w:rPr>
        <w:t>SVd</w:t>
      </w:r>
      <w:proofErr w:type="spellEnd"/>
      <w:r w:rsidRPr="006A27EE">
        <w:rPr>
          <w:rFonts w:eastAsia="Times New Roman"/>
        </w:rPr>
        <w:t xml:space="preserve"> and </w:t>
      </w:r>
      <w:proofErr w:type="spellStart"/>
      <w:r w:rsidRPr="006A27EE">
        <w:rPr>
          <w:rFonts w:eastAsia="Times New Roman"/>
        </w:rPr>
        <w:t>Vd</w:t>
      </w:r>
      <w:proofErr w:type="spellEnd"/>
      <w:r w:rsidRPr="006A27EE">
        <w:rPr>
          <w:rFonts w:eastAsia="Times New Roman"/>
        </w:rPr>
        <w:t xml:space="preserve"> arms, within 60 days of last treatment. The most frequent fatal </w:t>
      </w:r>
      <w:r w:rsidR="00E65C80">
        <w:rPr>
          <w:rFonts w:eastAsia="Times New Roman"/>
        </w:rPr>
        <w:t>AEs</w:t>
      </w:r>
      <w:r w:rsidRPr="006A27EE">
        <w:rPr>
          <w:rFonts w:eastAsia="Times New Roman"/>
        </w:rPr>
        <w:t xml:space="preserve"> in </w:t>
      </w:r>
      <w:proofErr w:type="spellStart"/>
      <w:r w:rsidRPr="006A27EE">
        <w:rPr>
          <w:rFonts w:eastAsia="Times New Roman"/>
        </w:rPr>
        <w:t>SVd</w:t>
      </w:r>
      <w:proofErr w:type="spellEnd"/>
      <w:r w:rsidRPr="006A27EE">
        <w:rPr>
          <w:rFonts w:eastAsia="Times New Roman"/>
        </w:rPr>
        <w:t>-treated patients were pneumonia and sep</w:t>
      </w:r>
      <w:r w:rsidR="00F531E4">
        <w:rPr>
          <w:rFonts w:eastAsia="Times New Roman"/>
        </w:rPr>
        <w:t>tic shock</w:t>
      </w:r>
      <w:r w:rsidRPr="006A27EE">
        <w:rPr>
          <w:rFonts w:eastAsia="Times New Roman"/>
        </w:rPr>
        <w:t xml:space="preserve"> (n=3 each) and it was pneumonia (n=3) in </w:t>
      </w:r>
      <w:proofErr w:type="spellStart"/>
      <w:r w:rsidRPr="006A27EE">
        <w:rPr>
          <w:rFonts w:eastAsia="Times New Roman"/>
        </w:rPr>
        <w:t>Vd</w:t>
      </w:r>
      <w:proofErr w:type="spellEnd"/>
      <w:r w:rsidRPr="006A27EE">
        <w:rPr>
          <w:rFonts w:eastAsia="Times New Roman"/>
        </w:rPr>
        <w:t>-treated patients.</w:t>
      </w:r>
    </w:p>
    <w:p w14:paraId="55E340AB" w14:textId="577FD7E2" w:rsidR="00C26A1B" w:rsidRPr="001468A9" w:rsidRDefault="00C26A1B" w:rsidP="00C26A1B">
      <w:pPr>
        <w:rPr>
          <w:lang w:val="en-AU"/>
        </w:rPr>
      </w:pPr>
      <w:r w:rsidRPr="001468A9">
        <w:rPr>
          <w:lang w:val="en-AU"/>
        </w:rPr>
        <w:t xml:space="preserve">There were no serious </w:t>
      </w:r>
      <w:r w:rsidR="00EB517E">
        <w:rPr>
          <w:lang w:val="en-AU"/>
        </w:rPr>
        <w:t>AEs</w:t>
      </w:r>
      <w:r w:rsidRPr="001468A9">
        <w:rPr>
          <w:lang w:val="en-AU"/>
        </w:rPr>
        <w:t xml:space="preserve"> with a 5% greater incidence in the </w:t>
      </w:r>
      <w:proofErr w:type="spellStart"/>
      <w:r w:rsidRPr="001468A9">
        <w:rPr>
          <w:lang w:val="en-AU"/>
        </w:rPr>
        <w:t>SVd</w:t>
      </w:r>
      <w:proofErr w:type="spellEnd"/>
      <w:r w:rsidRPr="001468A9">
        <w:rPr>
          <w:lang w:val="en-AU"/>
        </w:rPr>
        <w:t xml:space="preserve"> arm compared to the </w:t>
      </w:r>
      <w:proofErr w:type="spellStart"/>
      <w:r w:rsidRPr="001468A9">
        <w:rPr>
          <w:lang w:val="en-AU"/>
        </w:rPr>
        <w:t>Vd</w:t>
      </w:r>
      <w:proofErr w:type="spellEnd"/>
      <w:r w:rsidRPr="001468A9">
        <w:rPr>
          <w:lang w:val="en-AU"/>
        </w:rPr>
        <w:t xml:space="preserve"> arm.  Serious </w:t>
      </w:r>
      <w:r w:rsidR="00DE1F33">
        <w:rPr>
          <w:lang w:val="en-AU"/>
        </w:rPr>
        <w:t>AEs</w:t>
      </w:r>
      <w:r w:rsidRPr="001468A9">
        <w:rPr>
          <w:lang w:val="en-AU"/>
        </w:rPr>
        <w:t xml:space="preserve"> with a 2% greater incidence in the </w:t>
      </w:r>
      <w:proofErr w:type="spellStart"/>
      <w:r w:rsidRPr="001468A9">
        <w:rPr>
          <w:lang w:val="en-AU"/>
        </w:rPr>
        <w:t>SVd</w:t>
      </w:r>
      <w:proofErr w:type="spellEnd"/>
      <w:r w:rsidRPr="001468A9">
        <w:rPr>
          <w:lang w:val="en-AU"/>
        </w:rPr>
        <w:t xml:space="preserve"> arm compared to the </w:t>
      </w:r>
      <w:proofErr w:type="spellStart"/>
      <w:r w:rsidRPr="001468A9">
        <w:rPr>
          <w:lang w:val="en-AU"/>
        </w:rPr>
        <w:t>Vd</w:t>
      </w:r>
      <w:proofErr w:type="spellEnd"/>
      <w:r w:rsidRPr="001468A9">
        <w:rPr>
          <w:lang w:val="en-AU"/>
        </w:rPr>
        <w:t xml:space="preserve"> arm were diarrhea (</w:t>
      </w:r>
      <w:proofErr w:type="spellStart"/>
      <w:r w:rsidRPr="001468A9">
        <w:rPr>
          <w:lang w:val="en-AU"/>
        </w:rPr>
        <w:t>SVd</w:t>
      </w:r>
      <w:proofErr w:type="spellEnd"/>
      <w:r w:rsidRPr="001468A9">
        <w:rPr>
          <w:lang w:val="en-AU"/>
        </w:rPr>
        <w:t xml:space="preserve"> 4% vs </w:t>
      </w:r>
      <w:proofErr w:type="spellStart"/>
      <w:r w:rsidRPr="001468A9">
        <w:rPr>
          <w:lang w:val="en-AU"/>
        </w:rPr>
        <w:t>Vd</w:t>
      </w:r>
      <w:proofErr w:type="spellEnd"/>
      <w:r w:rsidRPr="001468A9">
        <w:rPr>
          <w:lang w:val="en-AU"/>
        </w:rPr>
        <w:t xml:space="preserve"> 0%), vomiting (</w:t>
      </w:r>
      <w:proofErr w:type="spellStart"/>
      <w:r w:rsidRPr="001468A9">
        <w:rPr>
          <w:lang w:val="en-AU"/>
        </w:rPr>
        <w:t>SVd</w:t>
      </w:r>
      <w:proofErr w:type="spellEnd"/>
      <w:r w:rsidRPr="001468A9">
        <w:rPr>
          <w:lang w:val="en-AU"/>
        </w:rPr>
        <w:t xml:space="preserve"> 4% vs </w:t>
      </w:r>
      <w:proofErr w:type="spellStart"/>
      <w:r w:rsidRPr="001468A9">
        <w:rPr>
          <w:lang w:val="en-AU"/>
        </w:rPr>
        <w:t>Vd</w:t>
      </w:r>
      <w:proofErr w:type="spellEnd"/>
      <w:r w:rsidRPr="001468A9">
        <w:rPr>
          <w:lang w:val="en-AU"/>
        </w:rPr>
        <w:t xml:space="preserve"> 0%), cataract (</w:t>
      </w:r>
      <w:proofErr w:type="spellStart"/>
      <w:r w:rsidRPr="001468A9">
        <w:rPr>
          <w:lang w:val="en-AU"/>
        </w:rPr>
        <w:t>SVd</w:t>
      </w:r>
      <w:proofErr w:type="spellEnd"/>
      <w:r w:rsidRPr="001468A9">
        <w:rPr>
          <w:lang w:val="en-AU"/>
        </w:rPr>
        <w:t xml:space="preserve"> 2% vs </w:t>
      </w:r>
      <w:proofErr w:type="spellStart"/>
      <w:r w:rsidRPr="001468A9">
        <w:rPr>
          <w:lang w:val="en-AU"/>
        </w:rPr>
        <w:t>Vd</w:t>
      </w:r>
      <w:proofErr w:type="spellEnd"/>
      <w:r w:rsidRPr="001468A9">
        <w:rPr>
          <w:lang w:val="en-AU"/>
        </w:rPr>
        <w:t xml:space="preserve"> 0%), nausea (</w:t>
      </w:r>
      <w:proofErr w:type="spellStart"/>
      <w:r w:rsidRPr="001468A9">
        <w:rPr>
          <w:lang w:val="en-AU"/>
        </w:rPr>
        <w:t>SVd</w:t>
      </w:r>
      <w:proofErr w:type="spellEnd"/>
      <w:r w:rsidRPr="001468A9">
        <w:rPr>
          <w:lang w:val="en-AU"/>
        </w:rPr>
        <w:t xml:space="preserve"> 2%, </w:t>
      </w:r>
      <w:proofErr w:type="spellStart"/>
      <w:r w:rsidRPr="001468A9">
        <w:rPr>
          <w:lang w:val="en-AU"/>
        </w:rPr>
        <w:t>Vd</w:t>
      </w:r>
      <w:proofErr w:type="spellEnd"/>
      <w:r w:rsidRPr="001468A9">
        <w:rPr>
          <w:lang w:val="en-AU"/>
        </w:rPr>
        <w:t xml:space="preserve"> 0%), urinary tract infection (</w:t>
      </w:r>
      <w:proofErr w:type="spellStart"/>
      <w:r w:rsidRPr="001468A9">
        <w:rPr>
          <w:lang w:val="en-AU"/>
        </w:rPr>
        <w:t>SVd</w:t>
      </w:r>
      <w:proofErr w:type="spellEnd"/>
      <w:r w:rsidRPr="001468A9">
        <w:rPr>
          <w:lang w:val="en-AU"/>
        </w:rPr>
        <w:t xml:space="preserve"> 2%, </w:t>
      </w:r>
      <w:proofErr w:type="spellStart"/>
      <w:r w:rsidRPr="001468A9">
        <w:rPr>
          <w:lang w:val="en-AU"/>
        </w:rPr>
        <w:t>Vd</w:t>
      </w:r>
      <w:proofErr w:type="spellEnd"/>
      <w:r w:rsidRPr="001468A9">
        <w:rPr>
          <w:lang w:val="en-AU"/>
        </w:rPr>
        <w:t xml:space="preserve"> 0%), and septic shock (</w:t>
      </w:r>
      <w:proofErr w:type="spellStart"/>
      <w:r w:rsidRPr="001468A9">
        <w:rPr>
          <w:lang w:val="en-AU"/>
        </w:rPr>
        <w:t>SVd</w:t>
      </w:r>
      <w:proofErr w:type="spellEnd"/>
      <w:r w:rsidRPr="001468A9">
        <w:rPr>
          <w:lang w:val="en-AU"/>
        </w:rPr>
        <w:t xml:space="preserve"> 2%, </w:t>
      </w:r>
      <w:proofErr w:type="spellStart"/>
      <w:r w:rsidRPr="001468A9">
        <w:rPr>
          <w:lang w:val="en-AU"/>
        </w:rPr>
        <w:t>Vd</w:t>
      </w:r>
      <w:proofErr w:type="spellEnd"/>
      <w:r w:rsidRPr="001468A9">
        <w:rPr>
          <w:lang w:val="en-AU"/>
        </w:rPr>
        <w:t xml:space="preserve"> 0%).</w:t>
      </w:r>
    </w:p>
    <w:p w14:paraId="0A34D34A" w14:textId="5E89CDD8" w:rsidR="00C26A1B" w:rsidRPr="001468A9" w:rsidRDefault="00C26A1B" w:rsidP="00C26A1B">
      <w:pPr>
        <w:rPr>
          <w:lang w:val="en-AU"/>
        </w:rPr>
      </w:pPr>
      <w:r w:rsidRPr="001468A9">
        <w:rPr>
          <w:lang w:val="en-AU"/>
        </w:rPr>
        <w:t xml:space="preserve">A statistically significant reduction in All Grades and Grade≥2 peripheral neuropathy was noted in patients receiving </w:t>
      </w:r>
      <w:proofErr w:type="spellStart"/>
      <w:r w:rsidRPr="001468A9">
        <w:rPr>
          <w:lang w:val="en-AU"/>
        </w:rPr>
        <w:t>SVd</w:t>
      </w:r>
      <w:proofErr w:type="spellEnd"/>
      <w:r w:rsidRPr="001468A9">
        <w:rPr>
          <w:lang w:val="en-AU"/>
        </w:rPr>
        <w:t xml:space="preserve"> (32% and 21%) compared with patients receiving </w:t>
      </w:r>
      <w:proofErr w:type="spellStart"/>
      <w:r w:rsidRPr="001468A9">
        <w:rPr>
          <w:lang w:val="en-AU"/>
        </w:rPr>
        <w:t>Vd</w:t>
      </w:r>
      <w:proofErr w:type="spellEnd"/>
      <w:r w:rsidRPr="001468A9">
        <w:rPr>
          <w:lang w:val="en-AU"/>
        </w:rPr>
        <w:t xml:space="preserve"> (47% and 34%) [odds ratio 0.52 and 0.50,</w:t>
      </w:r>
      <w:r w:rsidR="00F5205B">
        <w:rPr>
          <w:lang w:val="en-AU"/>
        </w:rPr>
        <w:t xml:space="preserve"> respectively</w:t>
      </w:r>
      <w:r w:rsidR="008B22FD">
        <w:rPr>
          <w:lang w:val="en-AU"/>
        </w:rPr>
        <w:t xml:space="preserve">, </w:t>
      </w:r>
      <w:r w:rsidRPr="001468A9">
        <w:rPr>
          <w:lang w:val="en-AU"/>
        </w:rPr>
        <w:t>one-sided p</w:t>
      </w:r>
      <w:r w:rsidR="00BD10B5">
        <w:rPr>
          <w:lang w:val="en-AU"/>
        </w:rPr>
        <w:t>=</w:t>
      </w:r>
      <w:r w:rsidRPr="001468A9">
        <w:rPr>
          <w:lang w:val="en-AU"/>
        </w:rPr>
        <w:t xml:space="preserve">0.0013]. A nominal reduction in severe neuropathy (Grade≥3) was also observed in </w:t>
      </w:r>
      <w:proofErr w:type="spellStart"/>
      <w:r w:rsidRPr="001468A9">
        <w:rPr>
          <w:lang w:val="en-AU"/>
        </w:rPr>
        <w:t>SVd</w:t>
      </w:r>
      <w:proofErr w:type="spellEnd"/>
      <w:r w:rsidRPr="001468A9">
        <w:rPr>
          <w:lang w:val="en-AU"/>
        </w:rPr>
        <w:t xml:space="preserve"> treated patients (5% </w:t>
      </w:r>
      <w:proofErr w:type="spellStart"/>
      <w:r w:rsidRPr="001468A9">
        <w:rPr>
          <w:lang w:val="en-AU"/>
        </w:rPr>
        <w:t>SVd</w:t>
      </w:r>
      <w:proofErr w:type="spellEnd"/>
      <w:r w:rsidRPr="001468A9">
        <w:rPr>
          <w:lang w:val="en-AU"/>
        </w:rPr>
        <w:t xml:space="preserve"> vs. 9% </w:t>
      </w:r>
      <w:proofErr w:type="spellStart"/>
      <w:r w:rsidRPr="001468A9">
        <w:rPr>
          <w:lang w:val="en-AU"/>
        </w:rPr>
        <w:t>Vd</w:t>
      </w:r>
      <w:proofErr w:type="spellEnd"/>
      <w:r w:rsidRPr="001468A9">
        <w:rPr>
          <w:lang w:val="en-AU"/>
        </w:rPr>
        <w:t xml:space="preserve">). </w:t>
      </w:r>
    </w:p>
    <w:p w14:paraId="279A7854" w14:textId="6E9F475C" w:rsidR="00C30087" w:rsidRDefault="00C26A1B" w:rsidP="00C26A1B">
      <w:pPr>
        <w:rPr>
          <w:lang w:val="en-AU"/>
        </w:rPr>
      </w:pPr>
      <w:r w:rsidRPr="001468A9">
        <w:rPr>
          <w:lang w:val="en-AU"/>
        </w:rPr>
        <w:t xml:space="preserve">The proportion of patients who discontinued any component of the treatment regimen due to </w:t>
      </w:r>
      <w:r w:rsidR="00F531E4">
        <w:rPr>
          <w:lang w:val="en-AU"/>
        </w:rPr>
        <w:t>AEs</w:t>
      </w:r>
      <w:r w:rsidR="00AD6883">
        <w:rPr>
          <w:lang w:val="en-AU"/>
        </w:rPr>
        <w:t xml:space="preserve"> </w:t>
      </w:r>
      <w:r w:rsidRPr="001468A9">
        <w:rPr>
          <w:lang w:val="en-AU"/>
        </w:rPr>
        <w:t xml:space="preserve">was 21% in the </w:t>
      </w:r>
      <w:proofErr w:type="spellStart"/>
      <w:r w:rsidRPr="001468A9">
        <w:rPr>
          <w:lang w:val="en-AU"/>
        </w:rPr>
        <w:t>SVd</w:t>
      </w:r>
      <w:proofErr w:type="spellEnd"/>
      <w:r w:rsidRPr="001468A9">
        <w:rPr>
          <w:lang w:val="en-AU"/>
        </w:rPr>
        <w:t xml:space="preserve"> arm and 16% in the </w:t>
      </w:r>
      <w:proofErr w:type="spellStart"/>
      <w:r w:rsidRPr="001468A9">
        <w:rPr>
          <w:lang w:val="en-AU"/>
        </w:rPr>
        <w:t>Vd</w:t>
      </w:r>
      <w:proofErr w:type="spellEnd"/>
      <w:r w:rsidRPr="001468A9">
        <w:rPr>
          <w:lang w:val="en-AU"/>
        </w:rPr>
        <w:t xml:space="preserve"> arm. XPOVIO dose reductions and interruption occurred in 65% and 87% of </w:t>
      </w:r>
      <w:proofErr w:type="spellStart"/>
      <w:r w:rsidRPr="001468A9">
        <w:rPr>
          <w:lang w:val="en-AU"/>
        </w:rPr>
        <w:t>SVd</w:t>
      </w:r>
      <w:proofErr w:type="spellEnd"/>
      <w:r w:rsidRPr="001468A9">
        <w:rPr>
          <w:lang w:val="en-AU"/>
        </w:rPr>
        <w:t xml:space="preserve">-treated patients. Bortezomib dose reduction and interruption occurred in 43% and 82% of the </w:t>
      </w:r>
      <w:proofErr w:type="spellStart"/>
      <w:r w:rsidRPr="001468A9">
        <w:rPr>
          <w:lang w:val="en-AU"/>
        </w:rPr>
        <w:t>SVd</w:t>
      </w:r>
      <w:proofErr w:type="spellEnd"/>
      <w:r w:rsidRPr="001468A9">
        <w:rPr>
          <w:lang w:val="en-AU"/>
        </w:rPr>
        <w:t xml:space="preserve">-patient group and 45% and 74% of the </w:t>
      </w:r>
      <w:proofErr w:type="spellStart"/>
      <w:r w:rsidRPr="001468A9">
        <w:rPr>
          <w:lang w:val="en-AU"/>
        </w:rPr>
        <w:t>Vd</w:t>
      </w:r>
      <w:proofErr w:type="spellEnd"/>
      <w:r w:rsidRPr="001468A9">
        <w:rPr>
          <w:lang w:val="en-AU"/>
        </w:rPr>
        <w:t xml:space="preserve">-patient group. Dexamethasone dose reduction and interruption occurred in 27% and 80% of the </w:t>
      </w:r>
      <w:proofErr w:type="spellStart"/>
      <w:r w:rsidRPr="001468A9">
        <w:rPr>
          <w:lang w:val="en-AU"/>
        </w:rPr>
        <w:t>SVd</w:t>
      </w:r>
      <w:proofErr w:type="spellEnd"/>
      <w:r w:rsidRPr="001468A9">
        <w:rPr>
          <w:lang w:val="en-AU"/>
        </w:rPr>
        <w:t xml:space="preserve">-patient group and 36% and 73% of the </w:t>
      </w:r>
      <w:proofErr w:type="spellStart"/>
      <w:r w:rsidRPr="001468A9">
        <w:rPr>
          <w:lang w:val="en-AU"/>
        </w:rPr>
        <w:t>Vd</w:t>
      </w:r>
      <w:proofErr w:type="spellEnd"/>
      <w:r w:rsidRPr="001468A9">
        <w:rPr>
          <w:lang w:val="en-AU"/>
        </w:rPr>
        <w:t>-patient group.</w:t>
      </w:r>
    </w:p>
    <w:p w14:paraId="26EFB435" w14:textId="753D3CAD" w:rsidR="00C26A1B" w:rsidRPr="001468A9" w:rsidRDefault="00BC29B1" w:rsidP="00BC29B1">
      <w:pPr>
        <w:pStyle w:val="Caption"/>
        <w:rPr>
          <w:lang w:val="en-AU"/>
        </w:rPr>
      </w:pPr>
      <w:bookmarkStart w:id="22" w:name="_Ref52179238"/>
      <w:r>
        <w:t xml:space="preserve">Table </w:t>
      </w:r>
      <w:r>
        <w:fldChar w:fldCharType="begin"/>
      </w:r>
      <w:r>
        <w:instrText xml:space="preserve"> SEQ Table \* ARABIC </w:instrText>
      </w:r>
      <w:r>
        <w:fldChar w:fldCharType="separate"/>
      </w:r>
      <w:r w:rsidR="00F53F5F">
        <w:rPr>
          <w:noProof/>
        </w:rPr>
        <w:t>4</w:t>
      </w:r>
      <w:r>
        <w:fldChar w:fldCharType="end"/>
      </w:r>
      <w:bookmarkEnd w:id="22"/>
      <w:r>
        <w:t xml:space="preserve">: </w:t>
      </w:r>
      <w:r w:rsidR="00B706A0">
        <w:t xml:space="preserve">Adverse Events </w:t>
      </w:r>
      <w:r w:rsidRPr="00BC29B1">
        <w:t xml:space="preserve">Reported in ≥10% of Patients and With at Least a 5% Greater Difference in Frequency between </w:t>
      </w:r>
      <w:proofErr w:type="spellStart"/>
      <w:r w:rsidRPr="00BC29B1">
        <w:t>SVd</w:t>
      </w:r>
      <w:proofErr w:type="spellEnd"/>
      <w:r w:rsidRPr="00BC29B1">
        <w:t xml:space="preserve"> and </w:t>
      </w:r>
      <w:proofErr w:type="spellStart"/>
      <w:r w:rsidRPr="00BC29B1">
        <w:t>Vd</w:t>
      </w:r>
      <w:proofErr w:type="spellEnd"/>
      <w:r w:rsidRPr="00BC29B1">
        <w:t xml:space="preserve"> Treated Patients in the BOSTON </w:t>
      </w:r>
      <w:r w:rsidR="00D47838">
        <w:t>T</w:t>
      </w:r>
      <w:r w:rsidRPr="00BC29B1">
        <w:t>ria</w:t>
      </w:r>
      <w:r>
        <w:t>l</w:t>
      </w:r>
      <w:r w:rsidR="00AB648C">
        <w:t xml:space="preserve"> </w:t>
      </w:r>
      <w:r w:rsidR="00D47838">
        <w:t>(</w:t>
      </w:r>
      <w:r w:rsidR="00AB648C">
        <w:t>Safety Population</w:t>
      </w:r>
      <w:r w:rsidR="00D47838">
        <w:t>)</w:t>
      </w:r>
    </w:p>
    <w:tbl>
      <w:tblPr>
        <w:tblStyle w:val="TableGridNoLine1"/>
        <w:tblW w:w="10008" w:type="dxa"/>
        <w:tblInd w:w="-113"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108"/>
        <w:gridCol w:w="3690"/>
        <w:gridCol w:w="1552"/>
        <w:gridCol w:w="1553"/>
        <w:gridCol w:w="1552"/>
        <w:gridCol w:w="1553"/>
      </w:tblGrid>
      <w:tr w:rsidR="007107B1" w:rsidRPr="00C30087" w14:paraId="727721AD" w14:textId="77777777" w:rsidTr="007E1216">
        <w:trPr>
          <w:gridBefore w:val="1"/>
          <w:wBefore w:w="108" w:type="dxa"/>
          <w:cantSplit/>
        </w:trPr>
        <w:tc>
          <w:tcPr>
            <w:tcW w:w="3690" w:type="dxa"/>
            <w:vMerge w:val="restart"/>
            <w:tcBorders>
              <w:bottom w:val="single" w:sz="4" w:space="0" w:color="auto"/>
            </w:tcBorders>
            <w:vAlign w:val="bottom"/>
          </w:tcPr>
          <w:p w14:paraId="2D15EEEF" w14:textId="6FF6B75E" w:rsidR="007107B1" w:rsidRPr="00C30087" w:rsidRDefault="00B706A0" w:rsidP="00C30087">
            <w:pPr>
              <w:widowControl w:val="0"/>
              <w:spacing w:before="0"/>
              <w:rPr>
                <w:bCs/>
                <w:sz w:val="20"/>
                <w:szCs w:val="20"/>
              </w:rPr>
            </w:pPr>
            <w:r>
              <w:rPr>
                <w:b/>
                <w:bCs/>
                <w:sz w:val="20"/>
                <w:szCs w:val="20"/>
              </w:rPr>
              <w:t>Adverse Event</w:t>
            </w:r>
          </w:p>
        </w:tc>
        <w:tc>
          <w:tcPr>
            <w:tcW w:w="3105" w:type="dxa"/>
            <w:gridSpan w:val="2"/>
            <w:tcBorders>
              <w:top w:val="single" w:sz="4" w:space="0" w:color="auto"/>
              <w:bottom w:val="single" w:sz="4" w:space="0" w:color="auto"/>
            </w:tcBorders>
          </w:tcPr>
          <w:p w14:paraId="3D7C1041" w14:textId="77777777" w:rsidR="007107B1" w:rsidRPr="00C30087" w:rsidRDefault="007107B1" w:rsidP="00C30087">
            <w:pPr>
              <w:pStyle w:val="C-BodyText"/>
              <w:spacing w:before="0" w:after="0" w:line="240" w:lineRule="auto"/>
              <w:jc w:val="center"/>
              <w:rPr>
                <w:b/>
                <w:bCs/>
                <w:sz w:val="20"/>
                <w:szCs w:val="20"/>
              </w:rPr>
            </w:pPr>
            <w:r w:rsidRPr="00C30087">
              <w:rPr>
                <w:b/>
                <w:bCs/>
                <w:sz w:val="20"/>
                <w:szCs w:val="20"/>
              </w:rPr>
              <w:t xml:space="preserve">Weekly </w:t>
            </w:r>
            <w:proofErr w:type="spellStart"/>
            <w:r w:rsidRPr="00C30087">
              <w:rPr>
                <w:b/>
                <w:bCs/>
                <w:sz w:val="20"/>
                <w:szCs w:val="20"/>
              </w:rPr>
              <w:t>SVd</w:t>
            </w:r>
            <w:proofErr w:type="spellEnd"/>
            <w:r w:rsidRPr="00C30087">
              <w:rPr>
                <w:b/>
                <w:bCs/>
                <w:sz w:val="20"/>
                <w:szCs w:val="20"/>
              </w:rPr>
              <w:t xml:space="preserve"> </w:t>
            </w:r>
          </w:p>
          <w:p w14:paraId="5B8867C0" w14:textId="0BB53342" w:rsidR="007107B1" w:rsidRPr="00C30087" w:rsidRDefault="007107B1" w:rsidP="00C30087">
            <w:pPr>
              <w:widowControl w:val="0"/>
              <w:spacing w:before="0"/>
              <w:jc w:val="center"/>
              <w:rPr>
                <w:b/>
                <w:sz w:val="20"/>
                <w:szCs w:val="20"/>
              </w:rPr>
            </w:pPr>
            <w:r w:rsidRPr="00C30087">
              <w:rPr>
                <w:b/>
                <w:bCs/>
                <w:sz w:val="20"/>
                <w:szCs w:val="20"/>
              </w:rPr>
              <w:t>(</w:t>
            </w:r>
            <w:r w:rsidR="00F96773">
              <w:rPr>
                <w:b/>
                <w:bCs/>
                <w:sz w:val="20"/>
                <w:szCs w:val="20"/>
              </w:rPr>
              <w:t>N</w:t>
            </w:r>
            <w:r w:rsidRPr="00C30087">
              <w:rPr>
                <w:b/>
                <w:bCs/>
                <w:sz w:val="20"/>
                <w:szCs w:val="20"/>
              </w:rPr>
              <w:t>=195)</w:t>
            </w:r>
          </w:p>
        </w:tc>
        <w:tc>
          <w:tcPr>
            <w:tcW w:w="3105" w:type="dxa"/>
            <w:gridSpan w:val="2"/>
            <w:tcBorders>
              <w:top w:val="single" w:sz="4" w:space="0" w:color="auto"/>
              <w:bottom w:val="single" w:sz="4" w:space="0" w:color="auto"/>
              <w:right w:val="single" w:sz="4" w:space="0" w:color="auto"/>
            </w:tcBorders>
            <w:tcMar>
              <w:left w:w="43" w:type="dxa"/>
              <w:right w:w="43" w:type="dxa"/>
            </w:tcMar>
          </w:tcPr>
          <w:p w14:paraId="1B011E4C" w14:textId="77777777" w:rsidR="007107B1" w:rsidRPr="00C30087" w:rsidRDefault="007107B1" w:rsidP="00C30087">
            <w:pPr>
              <w:pStyle w:val="C-BodyText"/>
              <w:spacing w:before="0" w:after="0" w:line="240" w:lineRule="auto"/>
              <w:jc w:val="center"/>
              <w:rPr>
                <w:b/>
                <w:bCs/>
                <w:sz w:val="20"/>
                <w:szCs w:val="20"/>
              </w:rPr>
            </w:pPr>
            <w:r w:rsidRPr="00C30087">
              <w:rPr>
                <w:b/>
                <w:bCs/>
                <w:sz w:val="20"/>
                <w:szCs w:val="20"/>
              </w:rPr>
              <w:t xml:space="preserve">Twice Weekly </w:t>
            </w:r>
            <w:proofErr w:type="spellStart"/>
            <w:r w:rsidRPr="00C30087">
              <w:rPr>
                <w:b/>
                <w:bCs/>
                <w:sz w:val="20"/>
                <w:szCs w:val="20"/>
              </w:rPr>
              <w:t>Vd</w:t>
            </w:r>
            <w:proofErr w:type="spellEnd"/>
            <w:r w:rsidRPr="00C30087">
              <w:rPr>
                <w:b/>
                <w:bCs/>
                <w:sz w:val="20"/>
                <w:szCs w:val="20"/>
              </w:rPr>
              <w:t xml:space="preserve"> </w:t>
            </w:r>
          </w:p>
          <w:p w14:paraId="14F41284" w14:textId="417C1E27" w:rsidR="007107B1" w:rsidRPr="00C30087" w:rsidRDefault="007107B1" w:rsidP="00C30087">
            <w:pPr>
              <w:widowControl w:val="0"/>
              <w:spacing w:before="0"/>
              <w:jc w:val="center"/>
              <w:rPr>
                <w:b/>
                <w:sz w:val="20"/>
                <w:szCs w:val="20"/>
              </w:rPr>
            </w:pPr>
            <w:r w:rsidRPr="00C30087">
              <w:rPr>
                <w:b/>
                <w:bCs/>
                <w:sz w:val="20"/>
                <w:szCs w:val="20"/>
              </w:rPr>
              <w:t>(</w:t>
            </w:r>
            <w:r w:rsidR="00F96773">
              <w:rPr>
                <w:b/>
                <w:bCs/>
                <w:sz w:val="20"/>
                <w:szCs w:val="20"/>
              </w:rPr>
              <w:t>N</w:t>
            </w:r>
            <w:r w:rsidRPr="00C30087">
              <w:rPr>
                <w:b/>
                <w:bCs/>
                <w:sz w:val="20"/>
                <w:szCs w:val="20"/>
              </w:rPr>
              <w:t>=204)</w:t>
            </w:r>
          </w:p>
        </w:tc>
      </w:tr>
      <w:tr w:rsidR="007107B1" w:rsidRPr="00C30087" w14:paraId="7B333844" w14:textId="77777777" w:rsidTr="007E1216">
        <w:trPr>
          <w:gridBefore w:val="1"/>
          <w:wBefore w:w="108" w:type="dxa"/>
          <w:cantSplit/>
        </w:trPr>
        <w:tc>
          <w:tcPr>
            <w:tcW w:w="3690" w:type="dxa"/>
            <w:vMerge/>
            <w:tcBorders>
              <w:bottom w:val="single" w:sz="4" w:space="0" w:color="auto"/>
            </w:tcBorders>
          </w:tcPr>
          <w:p w14:paraId="5F53CDE0" w14:textId="77777777" w:rsidR="007107B1" w:rsidRPr="00C30087" w:rsidRDefault="007107B1" w:rsidP="00C30087">
            <w:pPr>
              <w:widowControl w:val="0"/>
              <w:spacing w:before="0"/>
              <w:rPr>
                <w:bCs/>
                <w:sz w:val="20"/>
                <w:szCs w:val="20"/>
              </w:rPr>
            </w:pPr>
          </w:p>
        </w:tc>
        <w:tc>
          <w:tcPr>
            <w:tcW w:w="1552" w:type="dxa"/>
            <w:tcBorders>
              <w:top w:val="single" w:sz="4" w:space="0" w:color="auto"/>
              <w:bottom w:val="single" w:sz="4" w:space="0" w:color="auto"/>
            </w:tcBorders>
          </w:tcPr>
          <w:p w14:paraId="2D0DF719" w14:textId="77777777" w:rsidR="007107B1" w:rsidRPr="00C30087" w:rsidRDefault="007107B1" w:rsidP="00C30087">
            <w:pPr>
              <w:widowControl w:val="0"/>
              <w:spacing w:before="0"/>
              <w:jc w:val="center"/>
              <w:rPr>
                <w:b/>
                <w:sz w:val="20"/>
                <w:szCs w:val="20"/>
              </w:rPr>
            </w:pPr>
            <w:r w:rsidRPr="00C30087">
              <w:rPr>
                <w:b/>
                <w:sz w:val="20"/>
                <w:szCs w:val="20"/>
              </w:rPr>
              <w:t>Any Grade</w:t>
            </w:r>
          </w:p>
          <w:p w14:paraId="0BCD4311" w14:textId="77777777" w:rsidR="007107B1" w:rsidRPr="00C30087" w:rsidRDefault="007107B1" w:rsidP="00C30087">
            <w:pPr>
              <w:widowControl w:val="0"/>
              <w:spacing w:before="0"/>
              <w:jc w:val="center"/>
              <w:rPr>
                <w:b/>
                <w:sz w:val="20"/>
                <w:szCs w:val="20"/>
              </w:rPr>
            </w:pPr>
            <w:r w:rsidRPr="00C30087">
              <w:rPr>
                <w:b/>
                <w:sz w:val="20"/>
                <w:szCs w:val="20"/>
              </w:rPr>
              <w:t>(%)</w:t>
            </w:r>
          </w:p>
        </w:tc>
        <w:tc>
          <w:tcPr>
            <w:tcW w:w="1553" w:type="dxa"/>
            <w:tcBorders>
              <w:top w:val="single" w:sz="4" w:space="0" w:color="auto"/>
              <w:bottom w:val="single" w:sz="4" w:space="0" w:color="auto"/>
            </w:tcBorders>
          </w:tcPr>
          <w:p w14:paraId="5C929381" w14:textId="77777777" w:rsidR="007107B1" w:rsidRPr="00C30087" w:rsidRDefault="007107B1" w:rsidP="00C30087">
            <w:pPr>
              <w:widowControl w:val="0"/>
              <w:spacing w:before="0"/>
              <w:jc w:val="center"/>
              <w:rPr>
                <w:b/>
                <w:sz w:val="20"/>
                <w:szCs w:val="20"/>
              </w:rPr>
            </w:pPr>
            <w:r w:rsidRPr="00C30087">
              <w:rPr>
                <w:b/>
                <w:sz w:val="20"/>
                <w:szCs w:val="20"/>
              </w:rPr>
              <w:t>Grade 3 or 4</w:t>
            </w:r>
          </w:p>
          <w:p w14:paraId="7E319BC5" w14:textId="77777777" w:rsidR="007107B1" w:rsidRPr="00C30087" w:rsidRDefault="007107B1" w:rsidP="00C30087">
            <w:pPr>
              <w:widowControl w:val="0"/>
              <w:spacing w:before="0"/>
              <w:jc w:val="center"/>
              <w:rPr>
                <w:b/>
                <w:sz w:val="20"/>
                <w:szCs w:val="20"/>
              </w:rPr>
            </w:pPr>
            <w:r w:rsidRPr="00C30087">
              <w:rPr>
                <w:b/>
                <w:sz w:val="20"/>
                <w:szCs w:val="20"/>
              </w:rPr>
              <w:t>(%)</w:t>
            </w:r>
          </w:p>
        </w:tc>
        <w:tc>
          <w:tcPr>
            <w:tcW w:w="1552" w:type="dxa"/>
            <w:tcBorders>
              <w:top w:val="single" w:sz="4" w:space="0" w:color="auto"/>
              <w:bottom w:val="single" w:sz="4" w:space="0" w:color="auto"/>
            </w:tcBorders>
            <w:tcMar>
              <w:left w:w="43" w:type="dxa"/>
              <w:right w:w="43" w:type="dxa"/>
            </w:tcMar>
          </w:tcPr>
          <w:p w14:paraId="5031C196" w14:textId="77777777" w:rsidR="007107B1" w:rsidRPr="00C30087" w:rsidRDefault="007107B1" w:rsidP="00C30087">
            <w:pPr>
              <w:widowControl w:val="0"/>
              <w:spacing w:before="0"/>
              <w:jc w:val="center"/>
              <w:rPr>
                <w:b/>
                <w:sz w:val="20"/>
                <w:szCs w:val="20"/>
              </w:rPr>
            </w:pPr>
            <w:r w:rsidRPr="00C30087">
              <w:rPr>
                <w:b/>
                <w:sz w:val="20"/>
                <w:szCs w:val="20"/>
              </w:rPr>
              <w:t>Any Grade</w:t>
            </w:r>
          </w:p>
          <w:p w14:paraId="1FDC7C6C" w14:textId="77777777" w:rsidR="007107B1" w:rsidRPr="00C30087" w:rsidRDefault="007107B1" w:rsidP="00C30087">
            <w:pPr>
              <w:widowControl w:val="0"/>
              <w:spacing w:before="0"/>
              <w:jc w:val="center"/>
              <w:rPr>
                <w:b/>
                <w:sz w:val="20"/>
                <w:szCs w:val="20"/>
              </w:rPr>
            </w:pPr>
            <w:r w:rsidRPr="00C30087">
              <w:rPr>
                <w:b/>
                <w:sz w:val="20"/>
                <w:szCs w:val="20"/>
              </w:rPr>
              <w:t>(%)</w:t>
            </w:r>
          </w:p>
        </w:tc>
        <w:tc>
          <w:tcPr>
            <w:tcW w:w="1553" w:type="dxa"/>
            <w:tcBorders>
              <w:top w:val="single" w:sz="4" w:space="0" w:color="auto"/>
              <w:bottom w:val="single" w:sz="4" w:space="0" w:color="auto"/>
              <w:right w:val="single" w:sz="4" w:space="0" w:color="auto"/>
            </w:tcBorders>
            <w:tcMar>
              <w:left w:w="43" w:type="dxa"/>
              <w:right w:w="43" w:type="dxa"/>
            </w:tcMar>
          </w:tcPr>
          <w:p w14:paraId="689E0869" w14:textId="77777777" w:rsidR="007107B1" w:rsidRPr="00C30087" w:rsidRDefault="007107B1" w:rsidP="00C30087">
            <w:pPr>
              <w:widowControl w:val="0"/>
              <w:spacing w:before="0"/>
              <w:jc w:val="center"/>
              <w:rPr>
                <w:b/>
                <w:sz w:val="20"/>
                <w:szCs w:val="20"/>
              </w:rPr>
            </w:pPr>
            <w:r w:rsidRPr="00C30087">
              <w:rPr>
                <w:b/>
                <w:sz w:val="20"/>
                <w:szCs w:val="20"/>
              </w:rPr>
              <w:t>Grade 3 or 4</w:t>
            </w:r>
          </w:p>
          <w:p w14:paraId="11B5816F" w14:textId="77777777" w:rsidR="007107B1" w:rsidRPr="00C30087" w:rsidRDefault="007107B1" w:rsidP="00C30087">
            <w:pPr>
              <w:widowControl w:val="0"/>
              <w:spacing w:before="0"/>
              <w:jc w:val="center"/>
              <w:rPr>
                <w:b/>
                <w:sz w:val="20"/>
                <w:szCs w:val="20"/>
              </w:rPr>
            </w:pPr>
            <w:r w:rsidRPr="00C30087">
              <w:rPr>
                <w:b/>
                <w:sz w:val="20"/>
                <w:szCs w:val="20"/>
              </w:rPr>
              <w:t>(%)</w:t>
            </w:r>
          </w:p>
        </w:tc>
      </w:tr>
      <w:tr w:rsidR="007107B1" w:rsidRPr="00C30087" w14:paraId="3072811D" w14:textId="77777777" w:rsidTr="007E1216">
        <w:trPr>
          <w:gridBefore w:val="1"/>
          <w:wBefore w:w="108" w:type="dxa"/>
          <w:cantSplit/>
        </w:trPr>
        <w:tc>
          <w:tcPr>
            <w:tcW w:w="3690" w:type="dxa"/>
            <w:tcBorders>
              <w:top w:val="single" w:sz="4" w:space="0" w:color="auto"/>
            </w:tcBorders>
          </w:tcPr>
          <w:p w14:paraId="77028AB3" w14:textId="77777777" w:rsidR="007107B1" w:rsidRPr="00C30087" w:rsidRDefault="007107B1" w:rsidP="00C30087">
            <w:pPr>
              <w:widowControl w:val="0"/>
              <w:spacing w:before="0"/>
              <w:rPr>
                <w:b/>
                <w:bCs/>
                <w:sz w:val="20"/>
                <w:szCs w:val="20"/>
              </w:rPr>
            </w:pPr>
            <w:r w:rsidRPr="00C30087">
              <w:rPr>
                <w:b/>
                <w:bCs/>
                <w:sz w:val="20"/>
                <w:szCs w:val="20"/>
              </w:rPr>
              <w:t>Gastrointestinal</w:t>
            </w:r>
          </w:p>
        </w:tc>
        <w:tc>
          <w:tcPr>
            <w:tcW w:w="1552" w:type="dxa"/>
            <w:tcBorders>
              <w:top w:val="single" w:sz="4" w:space="0" w:color="auto"/>
            </w:tcBorders>
          </w:tcPr>
          <w:p w14:paraId="378FFAED" w14:textId="77777777" w:rsidR="007107B1" w:rsidRPr="00C30087" w:rsidRDefault="007107B1" w:rsidP="00C30087">
            <w:pPr>
              <w:widowControl w:val="0"/>
              <w:spacing w:before="0"/>
              <w:jc w:val="center"/>
              <w:rPr>
                <w:sz w:val="20"/>
                <w:szCs w:val="20"/>
              </w:rPr>
            </w:pPr>
          </w:p>
        </w:tc>
        <w:tc>
          <w:tcPr>
            <w:tcW w:w="1553" w:type="dxa"/>
            <w:tcBorders>
              <w:top w:val="single" w:sz="4" w:space="0" w:color="auto"/>
            </w:tcBorders>
          </w:tcPr>
          <w:p w14:paraId="299A205A" w14:textId="77777777" w:rsidR="007107B1" w:rsidRPr="00C30087" w:rsidRDefault="007107B1" w:rsidP="00C30087">
            <w:pPr>
              <w:widowControl w:val="0"/>
              <w:spacing w:before="0"/>
              <w:jc w:val="center"/>
              <w:rPr>
                <w:sz w:val="20"/>
                <w:szCs w:val="20"/>
              </w:rPr>
            </w:pPr>
          </w:p>
        </w:tc>
        <w:tc>
          <w:tcPr>
            <w:tcW w:w="1552" w:type="dxa"/>
            <w:tcBorders>
              <w:top w:val="single" w:sz="4" w:space="0" w:color="auto"/>
            </w:tcBorders>
          </w:tcPr>
          <w:p w14:paraId="18D7F6C3" w14:textId="77777777" w:rsidR="007107B1" w:rsidRPr="00C30087" w:rsidRDefault="007107B1" w:rsidP="00C30087">
            <w:pPr>
              <w:widowControl w:val="0"/>
              <w:spacing w:before="0"/>
              <w:jc w:val="center"/>
              <w:rPr>
                <w:sz w:val="20"/>
                <w:szCs w:val="20"/>
              </w:rPr>
            </w:pPr>
          </w:p>
        </w:tc>
        <w:tc>
          <w:tcPr>
            <w:tcW w:w="1553" w:type="dxa"/>
            <w:tcBorders>
              <w:top w:val="single" w:sz="4" w:space="0" w:color="auto"/>
              <w:right w:val="single" w:sz="4" w:space="0" w:color="auto"/>
            </w:tcBorders>
          </w:tcPr>
          <w:p w14:paraId="3022570E" w14:textId="77777777" w:rsidR="007107B1" w:rsidRPr="00C30087" w:rsidRDefault="007107B1" w:rsidP="00C30087">
            <w:pPr>
              <w:widowControl w:val="0"/>
              <w:spacing w:before="0"/>
              <w:jc w:val="center"/>
              <w:rPr>
                <w:sz w:val="20"/>
                <w:szCs w:val="20"/>
              </w:rPr>
            </w:pPr>
          </w:p>
        </w:tc>
      </w:tr>
      <w:tr w:rsidR="007107B1" w:rsidRPr="00C30087" w14:paraId="5B9819FA" w14:textId="77777777" w:rsidTr="007E1216">
        <w:trPr>
          <w:gridBefore w:val="1"/>
          <w:wBefore w:w="108" w:type="dxa"/>
          <w:cantSplit/>
        </w:trPr>
        <w:tc>
          <w:tcPr>
            <w:tcW w:w="3690" w:type="dxa"/>
          </w:tcPr>
          <w:p w14:paraId="33D004E3" w14:textId="77777777" w:rsidR="007107B1" w:rsidRPr="00C30087" w:rsidRDefault="007107B1" w:rsidP="00C30087">
            <w:pPr>
              <w:widowControl w:val="0"/>
              <w:spacing w:before="0"/>
              <w:ind w:left="341"/>
              <w:rPr>
                <w:sz w:val="20"/>
                <w:szCs w:val="20"/>
              </w:rPr>
            </w:pPr>
            <w:r w:rsidRPr="00C30087">
              <w:rPr>
                <w:sz w:val="20"/>
                <w:szCs w:val="20"/>
              </w:rPr>
              <w:t>Nausea</w:t>
            </w:r>
          </w:p>
        </w:tc>
        <w:tc>
          <w:tcPr>
            <w:tcW w:w="1552" w:type="dxa"/>
          </w:tcPr>
          <w:p w14:paraId="4E5839A7" w14:textId="77777777" w:rsidR="007107B1" w:rsidRPr="00C30087" w:rsidRDefault="007107B1" w:rsidP="00C30087">
            <w:pPr>
              <w:widowControl w:val="0"/>
              <w:spacing w:before="0"/>
              <w:jc w:val="center"/>
              <w:rPr>
                <w:sz w:val="20"/>
                <w:szCs w:val="20"/>
              </w:rPr>
            </w:pPr>
            <w:r w:rsidRPr="00C30087">
              <w:rPr>
                <w:sz w:val="20"/>
                <w:szCs w:val="20"/>
              </w:rPr>
              <w:t>50</w:t>
            </w:r>
          </w:p>
        </w:tc>
        <w:tc>
          <w:tcPr>
            <w:tcW w:w="1553" w:type="dxa"/>
          </w:tcPr>
          <w:p w14:paraId="29A8968F" w14:textId="77777777" w:rsidR="007107B1" w:rsidRPr="00C30087" w:rsidRDefault="007107B1" w:rsidP="00C30087">
            <w:pPr>
              <w:widowControl w:val="0"/>
              <w:spacing w:before="0"/>
              <w:jc w:val="center"/>
              <w:rPr>
                <w:sz w:val="20"/>
                <w:szCs w:val="20"/>
              </w:rPr>
            </w:pPr>
            <w:r w:rsidRPr="00C30087">
              <w:rPr>
                <w:sz w:val="20"/>
                <w:szCs w:val="20"/>
              </w:rPr>
              <w:t>8</w:t>
            </w:r>
          </w:p>
        </w:tc>
        <w:tc>
          <w:tcPr>
            <w:tcW w:w="1552" w:type="dxa"/>
          </w:tcPr>
          <w:p w14:paraId="43A4AC17" w14:textId="77777777" w:rsidR="007107B1" w:rsidRPr="00C30087" w:rsidRDefault="007107B1" w:rsidP="00C30087">
            <w:pPr>
              <w:widowControl w:val="0"/>
              <w:spacing w:before="0"/>
              <w:jc w:val="center"/>
              <w:rPr>
                <w:sz w:val="20"/>
                <w:szCs w:val="20"/>
              </w:rPr>
            </w:pPr>
            <w:r w:rsidRPr="00C30087">
              <w:rPr>
                <w:sz w:val="20"/>
                <w:szCs w:val="20"/>
              </w:rPr>
              <w:t>10</w:t>
            </w:r>
          </w:p>
        </w:tc>
        <w:tc>
          <w:tcPr>
            <w:tcW w:w="1553" w:type="dxa"/>
            <w:tcBorders>
              <w:right w:val="single" w:sz="4" w:space="0" w:color="auto"/>
            </w:tcBorders>
          </w:tcPr>
          <w:p w14:paraId="1F6AB46A" w14:textId="77777777" w:rsidR="007107B1" w:rsidRPr="00C30087" w:rsidRDefault="007107B1" w:rsidP="00C30087">
            <w:pPr>
              <w:widowControl w:val="0"/>
              <w:spacing w:before="0"/>
              <w:jc w:val="center"/>
              <w:rPr>
                <w:sz w:val="20"/>
                <w:szCs w:val="20"/>
              </w:rPr>
            </w:pPr>
            <w:r w:rsidRPr="00C30087">
              <w:rPr>
                <w:sz w:val="20"/>
                <w:szCs w:val="20"/>
              </w:rPr>
              <w:t>0</w:t>
            </w:r>
          </w:p>
        </w:tc>
      </w:tr>
      <w:tr w:rsidR="007107B1" w:rsidRPr="00C30087" w14:paraId="144FB3E3" w14:textId="77777777" w:rsidTr="007E1216">
        <w:trPr>
          <w:gridBefore w:val="1"/>
          <w:wBefore w:w="108" w:type="dxa"/>
          <w:cantSplit/>
        </w:trPr>
        <w:tc>
          <w:tcPr>
            <w:tcW w:w="3690" w:type="dxa"/>
            <w:tcBorders>
              <w:bottom w:val="nil"/>
            </w:tcBorders>
          </w:tcPr>
          <w:p w14:paraId="752972FE" w14:textId="77777777" w:rsidR="007107B1" w:rsidRPr="00C30087" w:rsidRDefault="007107B1" w:rsidP="00C30087">
            <w:pPr>
              <w:widowControl w:val="0"/>
              <w:spacing w:before="0"/>
              <w:ind w:left="341"/>
              <w:rPr>
                <w:sz w:val="20"/>
                <w:szCs w:val="20"/>
              </w:rPr>
            </w:pPr>
            <w:r w:rsidRPr="00C30087">
              <w:rPr>
                <w:sz w:val="20"/>
                <w:szCs w:val="20"/>
              </w:rPr>
              <w:t>Diarrhea</w:t>
            </w:r>
          </w:p>
        </w:tc>
        <w:tc>
          <w:tcPr>
            <w:tcW w:w="1552" w:type="dxa"/>
            <w:tcBorders>
              <w:bottom w:val="nil"/>
            </w:tcBorders>
          </w:tcPr>
          <w:p w14:paraId="522D7F0C" w14:textId="77777777" w:rsidR="007107B1" w:rsidRPr="00C30087" w:rsidRDefault="007107B1" w:rsidP="00C30087">
            <w:pPr>
              <w:widowControl w:val="0"/>
              <w:spacing w:before="0"/>
              <w:jc w:val="center"/>
              <w:rPr>
                <w:sz w:val="20"/>
                <w:szCs w:val="20"/>
              </w:rPr>
            </w:pPr>
            <w:r w:rsidRPr="00C30087">
              <w:rPr>
                <w:sz w:val="20"/>
                <w:szCs w:val="20"/>
              </w:rPr>
              <w:t>32</w:t>
            </w:r>
          </w:p>
        </w:tc>
        <w:tc>
          <w:tcPr>
            <w:tcW w:w="1553" w:type="dxa"/>
            <w:tcBorders>
              <w:bottom w:val="nil"/>
            </w:tcBorders>
          </w:tcPr>
          <w:p w14:paraId="366FC41B" w14:textId="77777777" w:rsidR="007107B1" w:rsidRPr="00C30087" w:rsidRDefault="007107B1" w:rsidP="00C30087">
            <w:pPr>
              <w:widowControl w:val="0"/>
              <w:spacing w:before="0"/>
              <w:jc w:val="center"/>
              <w:rPr>
                <w:sz w:val="20"/>
                <w:szCs w:val="20"/>
              </w:rPr>
            </w:pPr>
            <w:r w:rsidRPr="00C30087">
              <w:rPr>
                <w:sz w:val="20"/>
                <w:szCs w:val="20"/>
              </w:rPr>
              <w:t>6</w:t>
            </w:r>
          </w:p>
        </w:tc>
        <w:tc>
          <w:tcPr>
            <w:tcW w:w="1552" w:type="dxa"/>
            <w:tcBorders>
              <w:bottom w:val="nil"/>
            </w:tcBorders>
          </w:tcPr>
          <w:p w14:paraId="78C303FD" w14:textId="77777777" w:rsidR="007107B1" w:rsidRPr="00C30087" w:rsidRDefault="007107B1" w:rsidP="00C30087">
            <w:pPr>
              <w:widowControl w:val="0"/>
              <w:spacing w:before="0"/>
              <w:jc w:val="center"/>
              <w:rPr>
                <w:sz w:val="20"/>
                <w:szCs w:val="20"/>
              </w:rPr>
            </w:pPr>
            <w:r w:rsidRPr="00C30087">
              <w:rPr>
                <w:sz w:val="20"/>
                <w:szCs w:val="20"/>
              </w:rPr>
              <w:t>25</w:t>
            </w:r>
          </w:p>
        </w:tc>
        <w:tc>
          <w:tcPr>
            <w:tcW w:w="1553" w:type="dxa"/>
            <w:tcBorders>
              <w:bottom w:val="nil"/>
              <w:right w:val="single" w:sz="4" w:space="0" w:color="auto"/>
            </w:tcBorders>
          </w:tcPr>
          <w:p w14:paraId="6C7D0C59" w14:textId="77777777" w:rsidR="007107B1" w:rsidRPr="00C30087" w:rsidRDefault="007107B1" w:rsidP="00C30087">
            <w:pPr>
              <w:widowControl w:val="0"/>
              <w:spacing w:before="0"/>
              <w:jc w:val="center"/>
              <w:rPr>
                <w:sz w:val="20"/>
                <w:szCs w:val="20"/>
              </w:rPr>
            </w:pPr>
            <w:r w:rsidRPr="00C30087">
              <w:rPr>
                <w:sz w:val="20"/>
                <w:szCs w:val="20"/>
              </w:rPr>
              <w:t>&lt;1</w:t>
            </w:r>
          </w:p>
        </w:tc>
      </w:tr>
      <w:tr w:rsidR="007107B1" w:rsidRPr="00C30087" w14:paraId="45B38D50" w14:textId="77777777" w:rsidTr="007E1216">
        <w:trPr>
          <w:gridBefore w:val="1"/>
          <w:wBefore w:w="108" w:type="dxa"/>
          <w:cantSplit/>
        </w:trPr>
        <w:tc>
          <w:tcPr>
            <w:tcW w:w="3690" w:type="dxa"/>
            <w:tcBorders>
              <w:top w:val="nil"/>
              <w:bottom w:val="nil"/>
            </w:tcBorders>
          </w:tcPr>
          <w:p w14:paraId="50B4C130" w14:textId="77777777" w:rsidR="007107B1" w:rsidRPr="00C30087" w:rsidRDefault="007107B1" w:rsidP="00C30087">
            <w:pPr>
              <w:widowControl w:val="0"/>
              <w:spacing w:before="0"/>
              <w:ind w:left="341"/>
              <w:rPr>
                <w:sz w:val="20"/>
                <w:szCs w:val="20"/>
              </w:rPr>
            </w:pPr>
            <w:r w:rsidRPr="00C30087">
              <w:rPr>
                <w:sz w:val="20"/>
                <w:szCs w:val="20"/>
              </w:rPr>
              <w:t>Vomiting</w:t>
            </w:r>
          </w:p>
        </w:tc>
        <w:tc>
          <w:tcPr>
            <w:tcW w:w="1552" w:type="dxa"/>
            <w:tcBorders>
              <w:top w:val="nil"/>
              <w:bottom w:val="nil"/>
            </w:tcBorders>
          </w:tcPr>
          <w:p w14:paraId="41643158" w14:textId="77777777" w:rsidR="007107B1" w:rsidRPr="00C30087" w:rsidRDefault="007107B1" w:rsidP="00C30087">
            <w:pPr>
              <w:widowControl w:val="0"/>
              <w:spacing w:before="0"/>
              <w:jc w:val="center"/>
              <w:rPr>
                <w:sz w:val="20"/>
                <w:szCs w:val="20"/>
              </w:rPr>
            </w:pPr>
            <w:r w:rsidRPr="00C30087">
              <w:rPr>
                <w:sz w:val="20"/>
                <w:szCs w:val="20"/>
              </w:rPr>
              <w:t>21</w:t>
            </w:r>
          </w:p>
        </w:tc>
        <w:tc>
          <w:tcPr>
            <w:tcW w:w="1553" w:type="dxa"/>
            <w:tcBorders>
              <w:top w:val="nil"/>
              <w:bottom w:val="nil"/>
            </w:tcBorders>
          </w:tcPr>
          <w:p w14:paraId="3BC5CDD1" w14:textId="77777777" w:rsidR="007107B1" w:rsidRPr="00C30087" w:rsidRDefault="007107B1" w:rsidP="00C30087">
            <w:pPr>
              <w:widowControl w:val="0"/>
              <w:spacing w:before="0"/>
              <w:jc w:val="center"/>
              <w:rPr>
                <w:sz w:val="20"/>
                <w:szCs w:val="20"/>
              </w:rPr>
            </w:pPr>
            <w:r w:rsidRPr="00C30087">
              <w:rPr>
                <w:sz w:val="20"/>
                <w:szCs w:val="20"/>
              </w:rPr>
              <w:t>4.1</w:t>
            </w:r>
          </w:p>
        </w:tc>
        <w:tc>
          <w:tcPr>
            <w:tcW w:w="1552" w:type="dxa"/>
            <w:tcBorders>
              <w:top w:val="nil"/>
              <w:bottom w:val="nil"/>
            </w:tcBorders>
          </w:tcPr>
          <w:p w14:paraId="2E75A464" w14:textId="77777777" w:rsidR="007107B1" w:rsidRPr="00C30087" w:rsidRDefault="007107B1" w:rsidP="00C30087">
            <w:pPr>
              <w:widowControl w:val="0"/>
              <w:spacing w:before="0"/>
              <w:jc w:val="center"/>
              <w:rPr>
                <w:sz w:val="20"/>
                <w:szCs w:val="20"/>
              </w:rPr>
            </w:pPr>
            <w:r w:rsidRPr="00C30087">
              <w:rPr>
                <w:sz w:val="20"/>
                <w:szCs w:val="20"/>
              </w:rPr>
              <w:t>4.4</w:t>
            </w:r>
          </w:p>
        </w:tc>
        <w:tc>
          <w:tcPr>
            <w:tcW w:w="1553" w:type="dxa"/>
            <w:tcBorders>
              <w:top w:val="nil"/>
              <w:bottom w:val="nil"/>
              <w:right w:val="single" w:sz="4" w:space="0" w:color="auto"/>
            </w:tcBorders>
          </w:tcPr>
          <w:p w14:paraId="72306585" w14:textId="77777777" w:rsidR="007107B1" w:rsidRPr="00C30087" w:rsidRDefault="007107B1" w:rsidP="00C30087">
            <w:pPr>
              <w:widowControl w:val="0"/>
              <w:spacing w:before="0"/>
              <w:jc w:val="center"/>
              <w:rPr>
                <w:sz w:val="20"/>
                <w:szCs w:val="20"/>
              </w:rPr>
            </w:pPr>
            <w:r w:rsidRPr="00C30087">
              <w:rPr>
                <w:sz w:val="20"/>
                <w:szCs w:val="20"/>
              </w:rPr>
              <w:t>0</w:t>
            </w:r>
          </w:p>
        </w:tc>
      </w:tr>
      <w:tr w:rsidR="007107B1" w:rsidRPr="00C30087" w14:paraId="736046B3" w14:textId="77777777" w:rsidTr="007E1216">
        <w:trPr>
          <w:gridBefore w:val="1"/>
          <w:wBefore w:w="108" w:type="dxa"/>
          <w:cantSplit/>
        </w:trPr>
        <w:tc>
          <w:tcPr>
            <w:tcW w:w="3690" w:type="dxa"/>
            <w:tcBorders>
              <w:top w:val="single" w:sz="4" w:space="0" w:color="auto"/>
              <w:bottom w:val="nil"/>
            </w:tcBorders>
          </w:tcPr>
          <w:p w14:paraId="1441026B" w14:textId="77777777" w:rsidR="007107B1" w:rsidRPr="00C30087" w:rsidRDefault="007107B1" w:rsidP="00C30087">
            <w:pPr>
              <w:widowControl w:val="0"/>
              <w:spacing w:before="0"/>
              <w:rPr>
                <w:sz w:val="20"/>
                <w:szCs w:val="20"/>
              </w:rPr>
            </w:pPr>
            <w:r w:rsidRPr="00C30087">
              <w:rPr>
                <w:b/>
                <w:bCs/>
                <w:sz w:val="20"/>
                <w:szCs w:val="20"/>
              </w:rPr>
              <w:t>General Conditions</w:t>
            </w:r>
          </w:p>
        </w:tc>
        <w:tc>
          <w:tcPr>
            <w:tcW w:w="1552" w:type="dxa"/>
            <w:tcBorders>
              <w:top w:val="single" w:sz="4" w:space="0" w:color="auto"/>
              <w:bottom w:val="nil"/>
            </w:tcBorders>
          </w:tcPr>
          <w:p w14:paraId="1D0679DF" w14:textId="77777777" w:rsidR="007107B1" w:rsidRPr="00C30087" w:rsidRDefault="007107B1" w:rsidP="00C30087">
            <w:pPr>
              <w:widowControl w:val="0"/>
              <w:spacing w:before="0"/>
              <w:jc w:val="center"/>
              <w:rPr>
                <w:sz w:val="20"/>
                <w:szCs w:val="20"/>
              </w:rPr>
            </w:pPr>
          </w:p>
        </w:tc>
        <w:tc>
          <w:tcPr>
            <w:tcW w:w="1553" w:type="dxa"/>
            <w:tcBorders>
              <w:top w:val="single" w:sz="4" w:space="0" w:color="auto"/>
              <w:bottom w:val="nil"/>
            </w:tcBorders>
          </w:tcPr>
          <w:p w14:paraId="1C7E1FEE" w14:textId="77777777" w:rsidR="007107B1" w:rsidRPr="00C30087" w:rsidRDefault="007107B1" w:rsidP="00C30087">
            <w:pPr>
              <w:widowControl w:val="0"/>
              <w:spacing w:before="0"/>
              <w:jc w:val="center"/>
              <w:rPr>
                <w:sz w:val="20"/>
                <w:szCs w:val="20"/>
              </w:rPr>
            </w:pPr>
          </w:p>
        </w:tc>
        <w:tc>
          <w:tcPr>
            <w:tcW w:w="1552" w:type="dxa"/>
            <w:tcBorders>
              <w:top w:val="single" w:sz="4" w:space="0" w:color="auto"/>
              <w:bottom w:val="nil"/>
            </w:tcBorders>
          </w:tcPr>
          <w:p w14:paraId="2D9B9E9E" w14:textId="77777777" w:rsidR="007107B1" w:rsidRPr="00C30087" w:rsidRDefault="007107B1" w:rsidP="00C30087">
            <w:pPr>
              <w:widowControl w:val="0"/>
              <w:spacing w:before="0"/>
              <w:jc w:val="center"/>
              <w:rPr>
                <w:sz w:val="20"/>
                <w:szCs w:val="20"/>
              </w:rPr>
            </w:pPr>
          </w:p>
        </w:tc>
        <w:tc>
          <w:tcPr>
            <w:tcW w:w="1553" w:type="dxa"/>
            <w:tcBorders>
              <w:top w:val="single" w:sz="4" w:space="0" w:color="auto"/>
              <w:bottom w:val="nil"/>
              <w:right w:val="single" w:sz="4" w:space="0" w:color="auto"/>
            </w:tcBorders>
          </w:tcPr>
          <w:p w14:paraId="4620CCDE" w14:textId="77777777" w:rsidR="007107B1" w:rsidRPr="00C30087" w:rsidRDefault="007107B1" w:rsidP="00C30087">
            <w:pPr>
              <w:widowControl w:val="0"/>
              <w:spacing w:before="0"/>
              <w:jc w:val="center"/>
              <w:rPr>
                <w:sz w:val="20"/>
                <w:szCs w:val="20"/>
              </w:rPr>
            </w:pPr>
          </w:p>
        </w:tc>
      </w:tr>
      <w:tr w:rsidR="007107B1" w:rsidRPr="00C30087" w14:paraId="03895EF3" w14:textId="77777777" w:rsidTr="007E1216">
        <w:trPr>
          <w:gridBefore w:val="1"/>
          <w:wBefore w:w="108" w:type="dxa"/>
          <w:cantSplit/>
        </w:trPr>
        <w:tc>
          <w:tcPr>
            <w:tcW w:w="3690" w:type="dxa"/>
            <w:tcBorders>
              <w:top w:val="nil"/>
              <w:bottom w:val="nil"/>
            </w:tcBorders>
          </w:tcPr>
          <w:p w14:paraId="4F852A00" w14:textId="77777777" w:rsidR="007107B1" w:rsidRPr="00C30087" w:rsidRDefault="007107B1" w:rsidP="00C30087">
            <w:pPr>
              <w:widowControl w:val="0"/>
              <w:spacing w:before="0"/>
              <w:ind w:left="341"/>
              <w:rPr>
                <w:sz w:val="20"/>
                <w:szCs w:val="20"/>
              </w:rPr>
            </w:pPr>
            <w:r w:rsidRPr="00C30087">
              <w:rPr>
                <w:sz w:val="20"/>
                <w:szCs w:val="20"/>
              </w:rPr>
              <w:t>Fatigue</w:t>
            </w:r>
          </w:p>
        </w:tc>
        <w:tc>
          <w:tcPr>
            <w:tcW w:w="1552" w:type="dxa"/>
            <w:tcBorders>
              <w:top w:val="nil"/>
              <w:bottom w:val="nil"/>
            </w:tcBorders>
          </w:tcPr>
          <w:p w14:paraId="42A92E46" w14:textId="77777777" w:rsidR="007107B1" w:rsidRPr="00C30087" w:rsidRDefault="007107B1" w:rsidP="00C30087">
            <w:pPr>
              <w:widowControl w:val="0"/>
              <w:spacing w:before="0"/>
              <w:jc w:val="center"/>
              <w:rPr>
                <w:sz w:val="20"/>
                <w:szCs w:val="20"/>
              </w:rPr>
            </w:pPr>
            <w:r w:rsidRPr="00C30087">
              <w:rPr>
                <w:sz w:val="20"/>
                <w:szCs w:val="20"/>
              </w:rPr>
              <w:t>42</w:t>
            </w:r>
          </w:p>
        </w:tc>
        <w:tc>
          <w:tcPr>
            <w:tcW w:w="1553" w:type="dxa"/>
            <w:tcBorders>
              <w:top w:val="nil"/>
              <w:bottom w:val="nil"/>
            </w:tcBorders>
          </w:tcPr>
          <w:p w14:paraId="6F60F8F6" w14:textId="77777777" w:rsidR="007107B1" w:rsidRPr="00C30087" w:rsidRDefault="007107B1" w:rsidP="00C30087">
            <w:pPr>
              <w:widowControl w:val="0"/>
              <w:spacing w:before="0"/>
              <w:jc w:val="center"/>
              <w:rPr>
                <w:sz w:val="20"/>
                <w:szCs w:val="20"/>
              </w:rPr>
            </w:pPr>
            <w:r w:rsidRPr="00C30087">
              <w:rPr>
                <w:sz w:val="20"/>
                <w:szCs w:val="20"/>
              </w:rPr>
              <w:t>13</w:t>
            </w:r>
          </w:p>
        </w:tc>
        <w:tc>
          <w:tcPr>
            <w:tcW w:w="1552" w:type="dxa"/>
            <w:tcBorders>
              <w:top w:val="nil"/>
              <w:bottom w:val="nil"/>
            </w:tcBorders>
          </w:tcPr>
          <w:p w14:paraId="763BE4C8" w14:textId="77777777" w:rsidR="007107B1" w:rsidRPr="00C30087" w:rsidRDefault="007107B1" w:rsidP="00C30087">
            <w:pPr>
              <w:widowControl w:val="0"/>
              <w:spacing w:before="0"/>
              <w:jc w:val="center"/>
              <w:rPr>
                <w:sz w:val="20"/>
                <w:szCs w:val="20"/>
              </w:rPr>
            </w:pPr>
            <w:r w:rsidRPr="00C30087">
              <w:rPr>
                <w:sz w:val="20"/>
                <w:szCs w:val="20"/>
              </w:rPr>
              <w:t>18</w:t>
            </w:r>
          </w:p>
        </w:tc>
        <w:tc>
          <w:tcPr>
            <w:tcW w:w="1553" w:type="dxa"/>
            <w:tcBorders>
              <w:top w:val="nil"/>
              <w:bottom w:val="nil"/>
              <w:right w:val="single" w:sz="4" w:space="0" w:color="auto"/>
            </w:tcBorders>
          </w:tcPr>
          <w:p w14:paraId="72C4D0C1" w14:textId="77777777" w:rsidR="007107B1" w:rsidRPr="00C30087" w:rsidRDefault="007107B1" w:rsidP="00C30087">
            <w:pPr>
              <w:widowControl w:val="0"/>
              <w:spacing w:before="0"/>
              <w:jc w:val="center"/>
              <w:rPr>
                <w:sz w:val="20"/>
                <w:szCs w:val="20"/>
              </w:rPr>
            </w:pPr>
            <w:r w:rsidRPr="00C30087">
              <w:rPr>
                <w:sz w:val="20"/>
                <w:szCs w:val="20"/>
              </w:rPr>
              <w:t>1</w:t>
            </w:r>
          </w:p>
        </w:tc>
      </w:tr>
      <w:tr w:rsidR="007107B1" w:rsidRPr="00C30087" w14:paraId="2BF70297" w14:textId="77777777" w:rsidTr="007E1216">
        <w:trPr>
          <w:gridBefore w:val="1"/>
          <w:wBefore w:w="108" w:type="dxa"/>
          <w:cantSplit/>
        </w:trPr>
        <w:tc>
          <w:tcPr>
            <w:tcW w:w="3690" w:type="dxa"/>
            <w:tcBorders>
              <w:top w:val="nil"/>
              <w:bottom w:val="nil"/>
            </w:tcBorders>
          </w:tcPr>
          <w:p w14:paraId="480C33DE" w14:textId="77777777" w:rsidR="007107B1" w:rsidRPr="00C30087" w:rsidRDefault="007107B1" w:rsidP="00C30087">
            <w:pPr>
              <w:widowControl w:val="0"/>
              <w:spacing w:before="0"/>
              <w:ind w:left="341"/>
              <w:rPr>
                <w:sz w:val="20"/>
                <w:szCs w:val="20"/>
              </w:rPr>
            </w:pPr>
            <w:r w:rsidRPr="00C30087">
              <w:rPr>
                <w:sz w:val="20"/>
                <w:szCs w:val="20"/>
              </w:rPr>
              <w:t>Asthenia</w:t>
            </w:r>
          </w:p>
        </w:tc>
        <w:tc>
          <w:tcPr>
            <w:tcW w:w="1552" w:type="dxa"/>
            <w:tcBorders>
              <w:top w:val="nil"/>
              <w:bottom w:val="nil"/>
            </w:tcBorders>
          </w:tcPr>
          <w:p w14:paraId="172EB034" w14:textId="77777777" w:rsidR="007107B1" w:rsidRPr="00C30087" w:rsidRDefault="007107B1" w:rsidP="00C30087">
            <w:pPr>
              <w:widowControl w:val="0"/>
              <w:spacing w:before="0"/>
              <w:jc w:val="center"/>
              <w:rPr>
                <w:sz w:val="20"/>
                <w:szCs w:val="20"/>
              </w:rPr>
            </w:pPr>
            <w:r w:rsidRPr="00C30087">
              <w:rPr>
                <w:sz w:val="20"/>
                <w:szCs w:val="20"/>
              </w:rPr>
              <w:t>25</w:t>
            </w:r>
          </w:p>
        </w:tc>
        <w:tc>
          <w:tcPr>
            <w:tcW w:w="1553" w:type="dxa"/>
            <w:tcBorders>
              <w:top w:val="nil"/>
              <w:bottom w:val="nil"/>
            </w:tcBorders>
          </w:tcPr>
          <w:p w14:paraId="752A8B96" w14:textId="77777777" w:rsidR="007107B1" w:rsidRPr="00C30087" w:rsidRDefault="007107B1" w:rsidP="00C30087">
            <w:pPr>
              <w:widowControl w:val="0"/>
              <w:spacing w:before="0"/>
              <w:jc w:val="center"/>
              <w:rPr>
                <w:sz w:val="20"/>
                <w:szCs w:val="20"/>
              </w:rPr>
            </w:pPr>
            <w:r w:rsidRPr="00C30087">
              <w:rPr>
                <w:sz w:val="20"/>
                <w:szCs w:val="20"/>
              </w:rPr>
              <w:t>8</w:t>
            </w:r>
          </w:p>
        </w:tc>
        <w:tc>
          <w:tcPr>
            <w:tcW w:w="1552" w:type="dxa"/>
            <w:tcBorders>
              <w:top w:val="nil"/>
              <w:bottom w:val="nil"/>
            </w:tcBorders>
          </w:tcPr>
          <w:p w14:paraId="7C39EB61" w14:textId="77777777" w:rsidR="007107B1" w:rsidRPr="00C30087" w:rsidRDefault="007107B1" w:rsidP="00C30087">
            <w:pPr>
              <w:widowControl w:val="0"/>
              <w:spacing w:before="0"/>
              <w:jc w:val="center"/>
              <w:rPr>
                <w:sz w:val="20"/>
                <w:szCs w:val="20"/>
              </w:rPr>
            </w:pPr>
            <w:r w:rsidRPr="00C30087">
              <w:rPr>
                <w:sz w:val="20"/>
                <w:szCs w:val="20"/>
              </w:rPr>
              <w:t>13</w:t>
            </w:r>
          </w:p>
        </w:tc>
        <w:tc>
          <w:tcPr>
            <w:tcW w:w="1553" w:type="dxa"/>
            <w:tcBorders>
              <w:top w:val="nil"/>
              <w:bottom w:val="nil"/>
              <w:right w:val="single" w:sz="4" w:space="0" w:color="auto"/>
            </w:tcBorders>
          </w:tcPr>
          <w:p w14:paraId="5507EC09" w14:textId="77777777" w:rsidR="007107B1" w:rsidRPr="00C30087" w:rsidRDefault="007107B1" w:rsidP="00C30087">
            <w:pPr>
              <w:widowControl w:val="0"/>
              <w:spacing w:before="0"/>
              <w:jc w:val="center"/>
              <w:rPr>
                <w:sz w:val="20"/>
                <w:szCs w:val="20"/>
              </w:rPr>
            </w:pPr>
            <w:r w:rsidRPr="00C30087">
              <w:rPr>
                <w:sz w:val="20"/>
                <w:szCs w:val="20"/>
              </w:rPr>
              <w:t>4.4</w:t>
            </w:r>
          </w:p>
        </w:tc>
      </w:tr>
      <w:tr w:rsidR="007107B1" w:rsidRPr="00C30087" w14:paraId="23D64A24" w14:textId="77777777" w:rsidTr="007E1216">
        <w:trPr>
          <w:gridBefore w:val="1"/>
          <w:wBefore w:w="108" w:type="dxa"/>
          <w:cantSplit/>
        </w:trPr>
        <w:tc>
          <w:tcPr>
            <w:tcW w:w="3690" w:type="dxa"/>
            <w:tcBorders>
              <w:top w:val="nil"/>
              <w:bottom w:val="nil"/>
            </w:tcBorders>
          </w:tcPr>
          <w:p w14:paraId="3E2B3538" w14:textId="77777777" w:rsidR="007107B1" w:rsidRPr="00C30087" w:rsidRDefault="007107B1" w:rsidP="00C30087">
            <w:pPr>
              <w:widowControl w:val="0"/>
              <w:spacing w:before="0"/>
              <w:ind w:left="341"/>
              <w:rPr>
                <w:sz w:val="20"/>
                <w:szCs w:val="20"/>
              </w:rPr>
            </w:pPr>
            <w:r w:rsidRPr="00C30087">
              <w:rPr>
                <w:sz w:val="20"/>
                <w:szCs w:val="20"/>
              </w:rPr>
              <w:lastRenderedPageBreak/>
              <w:t>Pyrexia</w:t>
            </w:r>
          </w:p>
        </w:tc>
        <w:tc>
          <w:tcPr>
            <w:tcW w:w="1552" w:type="dxa"/>
            <w:tcBorders>
              <w:top w:val="nil"/>
              <w:bottom w:val="nil"/>
            </w:tcBorders>
          </w:tcPr>
          <w:p w14:paraId="1AA5816F" w14:textId="77777777" w:rsidR="007107B1" w:rsidRPr="00C30087" w:rsidRDefault="007107B1" w:rsidP="00C30087">
            <w:pPr>
              <w:widowControl w:val="0"/>
              <w:spacing w:before="0"/>
              <w:jc w:val="center"/>
              <w:rPr>
                <w:sz w:val="20"/>
                <w:szCs w:val="20"/>
              </w:rPr>
            </w:pPr>
            <w:r w:rsidRPr="00C30087">
              <w:rPr>
                <w:sz w:val="20"/>
                <w:szCs w:val="20"/>
              </w:rPr>
              <w:t>15</w:t>
            </w:r>
          </w:p>
        </w:tc>
        <w:tc>
          <w:tcPr>
            <w:tcW w:w="1553" w:type="dxa"/>
            <w:tcBorders>
              <w:top w:val="nil"/>
              <w:bottom w:val="nil"/>
            </w:tcBorders>
          </w:tcPr>
          <w:p w14:paraId="5A633BDD" w14:textId="77777777" w:rsidR="007107B1" w:rsidRPr="00C30087" w:rsidRDefault="007107B1" w:rsidP="00C30087">
            <w:pPr>
              <w:widowControl w:val="0"/>
              <w:spacing w:before="0"/>
              <w:jc w:val="center"/>
              <w:rPr>
                <w:sz w:val="20"/>
                <w:szCs w:val="20"/>
              </w:rPr>
            </w:pPr>
            <w:r w:rsidRPr="00C30087">
              <w:rPr>
                <w:sz w:val="20"/>
                <w:szCs w:val="20"/>
              </w:rPr>
              <w:t>1.5</w:t>
            </w:r>
          </w:p>
        </w:tc>
        <w:tc>
          <w:tcPr>
            <w:tcW w:w="1552" w:type="dxa"/>
            <w:tcBorders>
              <w:top w:val="nil"/>
              <w:bottom w:val="nil"/>
            </w:tcBorders>
          </w:tcPr>
          <w:p w14:paraId="2BFC847F" w14:textId="77777777" w:rsidR="007107B1" w:rsidRPr="00C30087" w:rsidRDefault="007107B1" w:rsidP="00C30087">
            <w:pPr>
              <w:widowControl w:val="0"/>
              <w:spacing w:before="0"/>
              <w:jc w:val="center"/>
              <w:rPr>
                <w:sz w:val="20"/>
                <w:szCs w:val="20"/>
              </w:rPr>
            </w:pPr>
            <w:r w:rsidRPr="00C30087">
              <w:rPr>
                <w:sz w:val="20"/>
                <w:szCs w:val="20"/>
              </w:rPr>
              <w:t>11</w:t>
            </w:r>
          </w:p>
        </w:tc>
        <w:tc>
          <w:tcPr>
            <w:tcW w:w="1553" w:type="dxa"/>
            <w:tcBorders>
              <w:top w:val="nil"/>
              <w:bottom w:val="nil"/>
              <w:right w:val="single" w:sz="4" w:space="0" w:color="auto"/>
            </w:tcBorders>
          </w:tcPr>
          <w:p w14:paraId="1173D59B" w14:textId="77777777" w:rsidR="007107B1" w:rsidRPr="00C30087" w:rsidRDefault="007107B1" w:rsidP="00C30087">
            <w:pPr>
              <w:widowControl w:val="0"/>
              <w:spacing w:before="0"/>
              <w:jc w:val="center"/>
              <w:rPr>
                <w:sz w:val="20"/>
                <w:szCs w:val="20"/>
              </w:rPr>
            </w:pPr>
            <w:r w:rsidRPr="00C30087">
              <w:rPr>
                <w:sz w:val="20"/>
                <w:szCs w:val="20"/>
              </w:rPr>
              <w:t>1</w:t>
            </w:r>
          </w:p>
        </w:tc>
      </w:tr>
      <w:tr w:rsidR="007107B1" w:rsidRPr="00C30087" w14:paraId="1A76D081" w14:textId="77777777" w:rsidTr="007E1216">
        <w:trPr>
          <w:gridBefore w:val="1"/>
          <w:wBefore w:w="108" w:type="dxa"/>
          <w:cantSplit/>
        </w:trPr>
        <w:tc>
          <w:tcPr>
            <w:tcW w:w="3690" w:type="dxa"/>
            <w:tcBorders>
              <w:top w:val="single" w:sz="4" w:space="0" w:color="auto"/>
              <w:left w:val="single" w:sz="4" w:space="0" w:color="auto"/>
              <w:bottom w:val="nil"/>
              <w:right w:val="single" w:sz="4" w:space="0" w:color="auto"/>
            </w:tcBorders>
          </w:tcPr>
          <w:p w14:paraId="6EE70EB5" w14:textId="77777777" w:rsidR="007107B1" w:rsidRPr="00C30087" w:rsidRDefault="007107B1" w:rsidP="00C30087">
            <w:pPr>
              <w:widowControl w:val="0"/>
              <w:spacing w:before="0"/>
              <w:rPr>
                <w:b/>
                <w:bCs/>
                <w:sz w:val="20"/>
                <w:szCs w:val="20"/>
              </w:rPr>
            </w:pPr>
            <w:r w:rsidRPr="00C30087">
              <w:rPr>
                <w:b/>
                <w:bCs/>
                <w:sz w:val="20"/>
                <w:szCs w:val="20"/>
              </w:rPr>
              <w:t>Metabolism and Nutrition</w:t>
            </w:r>
          </w:p>
        </w:tc>
        <w:tc>
          <w:tcPr>
            <w:tcW w:w="1552" w:type="dxa"/>
            <w:tcBorders>
              <w:top w:val="single" w:sz="4" w:space="0" w:color="auto"/>
              <w:left w:val="single" w:sz="4" w:space="0" w:color="auto"/>
              <w:bottom w:val="nil"/>
              <w:right w:val="single" w:sz="4" w:space="0" w:color="auto"/>
            </w:tcBorders>
          </w:tcPr>
          <w:p w14:paraId="312C2878" w14:textId="77777777" w:rsidR="007107B1" w:rsidRPr="00C30087" w:rsidRDefault="007107B1" w:rsidP="00C30087">
            <w:pPr>
              <w:widowControl w:val="0"/>
              <w:spacing w:before="0"/>
              <w:jc w:val="center"/>
              <w:rPr>
                <w:sz w:val="20"/>
                <w:szCs w:val="20"/>
              </w:rPr>
            </w:pPr>
          </w:p>
        </w:tc>
        <w:tc>
          <w:tcPr>
            <w:tcW w:w="1553" w:type="dxa"/>
            <w:tcBorders>
              <w:top w:val="single" w:sz="4" w:space="0" w:color="auto"/>
              <w:left w:val="single" w:sz="4" w:space="0" w:color="auto"/>
              <w:bottom w:val="nil"/>
              <w:right w:val="single" w:sz="4" w:space="0" w:color="auto"/>
            </w:tcBorders>
          </w:tcPr>
          <w:p w14:paraId="06196108" w14:textId="77777777" w:rsidR="007107B1" w:rsidRPr="00C30087" w:rsidRDefault="007107B1" w:rsidP="00C30087">
            <w:pPr>
              <w:widowControl w:val="0"/>
              <w:spacing w:before="0"/>
              <w:jc w:val="center"/>
              <w:rPr>
                <w:sz w:val="20"/>
                <w:szCs w:val="20"/>
              </w:rPr>
            </w:pPr>
          </w:p>
        </w:tc>
        <w:tc>
          <w:tcPr>
            <w:tcW w:w="1552" w:type="dxa"/>
            <w:tcBorders>
              <w:top w:val="single" w:sz="4" w:space="0" w:color="auto"/>
              <w:left w:val="single" w:sz="4" w:space="0" w:color="auto"/>
              <w:bottom w:val="nil"/>
              <w:right w:val="single" w:sz="4" w:space="0" w:color="auto"/>
            </w:tcBorders>
          </w:tcPr>
          <w:p w14:paraId="16AC36CB" w14:textId="77777777" w:rsidR="007107B1" w:rsidRPr="00C30087" w:rsidRDefault="007107B1" w:rsidP="00C30087">
            <w:pPr>
              <w:widowControl w:val="0"/>
              <w:spacing w:before="0"/>
              <w:jc w:val="center"/>
              <w:rPr>
                <w:sz w:val="20"/>
                <w:szCs w:val="20"/>
              </w:rPr>
            </w:pPr>
          </w:p>
        </w:tc>
        <w:tc>
          <w:tcPr>
            <w:tcW w:w="1553" w:type="dxa"/>
            <w:tcBorders>
              <w:top w:val="single" w:sz="4" w:space="0" w:color="auto"/>
              <w:left w:val="single" w:sz="4" w:space="0" w:color="auto"/>
              <w:bottom w:val="nil"/>
              <w:right w:val="single" w:sz="4" w:space="0" w:color="auto"/>
            </w:tcBorders>
          </w:tcPr>
          <w:p w14:paraId="67BEB6C7" w14:textId="77777777" w:rsidR="007107B1" w:rsidRPr="00C30087" w:rsidRDefault="007107B1" w:rsidP="00C30087">
            <w:pPr>
              <w:widowControl w:val="0"/>
              <w:spacing w:before="0"/>
              <w:jc w:val="center"/>
              <w:rPr>
                <w:sz w:val="20"/>
                <w:szCs w:val="20"/>
              </w:rPr>
            </w:pPr>
          </w:p>
        </w:tc>
      </w:tr>
      <w:tr w:rsidR="007107B1" w:rsidRPr="00C30087" w14:paraId="3F3632B2" w14:textId="77777777" w:rsidTr="007E1216">
        <w:trPr>
          <w:gridBefore w:val="1"/>
          <w:wBefore w:w="108" w:type="dxa"/>
          <w:cantSplit/>
        </w:trPr>
        <w:tc>
          <w:tcPr>
            <w:tcW w:w="3690" w:type="dxa"/>
            <w:tcBorders>
              <w:top w:val="nil"/>
              <w:left w:val="single" w:sz="4" w:space="0" w:color="auto"/>
              <w:bottom w:val="nil"/>
              <w:right w:val="single" w:sz="4" w:space="0" w:color="auto"/>
            </w:tcBorders>
          </w:tcPr>
          <w:p w14:paraId="5B29A108" w14:textId="77777777" w:rsidR="007107B1" w:rsidRPr="00C30087" w:rsidRDefault="007107B1" w:rsidP="00C30087">
            <w:pPr>
              <w:widowControl w:val="0"/>
              <w:spacing w:before="0"/>
              <w:ind w:left="341"/>
              <w:rPr>
                <w:sz w:val="20"/>
                <w:szCs w:val="20"/>
              </w:rPr>
            </w:pPr>
            <w:r w:rsidRPr="00C30087">
              <w:rPr>
                <w:sz w:val="20"/>
                <w:szCs w:val="20"/>
              </w:rPr>
              <w:t>Appetite decrease</w:t>
            </w:r>
          </w:p>
        </w:tc>
        <w:tc>
          <w:tcPr>
            <w:tcW w:w="1552" w:type="dxa"/>
            <w:tcBorders>
              <w:top w:val="nil"/>
              <w:left w:val="single" w:sz="4" w:space="0" w:color="auto"/>
              <w:bottom w:val="nil"/>
              <w:right w:val="single" w:sz="4" w:space="0" w:color="auto"/>
            </w:tcBorders>
          </w:tcPr>
          <w:p w14:paraId="67138446" w14:textId="77777777" w:rsidR="007107B1" w:rsidRPr="00C30087" w:rsidRDefault="007107B1" w:rsidP="00C30087">
            <w:pPr>
              <w:widowControl w:val="0"/>
              <w:spacing w:before="0"/>
              <w:jc w:val="center"/>
              <w:rPr>
                <w:sz w:val="20"/>
                <w:szCs w:val="20"/>
              </w:rPr>
            </w:pPr>
            <w:r w:rsidRPr="00C30087">
              <w:rPr>
                <w:sz w:val="20"/>
                <w:szCs w:val="20"/>
              </w:rPr>
              <w:t>35</w:t>
            </w:r>
          </w:p>
        </w:tc>
        <w:tc>
          <w:tcPr>
            <w:tcW w:w="1553" w:type="dxa"/>
            <w:tcBorders>
              <w:top w:val="nil"/>
              <w:left w:val="single" w:sz="4" w:space="0" w:color="auto"/>
              <w:bottom w:val="nil"/>
              <w:right w:val="single" w:sz="4" w:space="0" w:color="auto"/>
            </w:tcBorders>
          </w:tcPr>
          <w:p w14:paraId="72C65F7F" w14:textId="77777777" w:rsidR="007107B1" w:rsidRPr="00C30087" w:rsidRDefault="007107B1" w:rsidP="00C30087">
            <w:pPr>
              <w:widowControl w:val="0"/>
              <w:spacing w:before="0"/>
              <w:jc w:val="center"/>
              <w:rPr>
                <w:sz w:val="20"/>
                <w:szCs w:val="20"/>
              </w:rPr>
            </w:pPr>
            <w:r w:rsidRPr="00C30087">
              <w:rPr>
                <w:sz w:val="20"/>
                <w:szCs w:val="20"/>
              </w:rPr>
              <w:t>3.6</w:t>
            </w:r>
          </w:p>
        </w:tc>
        <w:tc>
          <w:tcPr>
            <w:tcW w:w="1552" w:type="dxa"/>
            <w:tcBorders>
              <w:top w:val="nil"/>
              <w:left w:val="single" w:sz="4" w:space="0" w:color="auto"/>
              <w:bottom w:val="nil"/>
              <w:right w:val="single" w:sz="4" w:space="0" w:color="auto"/>
            </w:tcBorders>
          </w:tcPr>
          <w:p w14:paraId="3F4A84D2" w14:textId="77777777" w:rsidR="007107B1" w:rsidRPr="00C30087" w:rsidRDefault="007107B1" w:rsidP="00C30087">
            <w:pPr>
              <w:widowControl w:val="0"/>
              <w:spacing w:before="0"/>
              <w:jc w:val="center"/>
              <w:rPr>
                <w:sz w:val="20"/>
                <w:szCs w:val="20"/>
              </w:rPr>
            </w:pPr>
            <w:r w:rsidRPr="00C30087">
              <w:rPr>
                <w:sz w:val="20"/>
                <w:szCs w:val="20"/>
              </w:rPr>
              <w:t>5</w:t>
            </w:r>
          </w:p>
        </w:tc>
        <w:tc>
          <w:tcPr>
            <w:tcW w:w="1553" w:type="dxa"/>
            <w:tcBorders>
              <w:top w:val="nil"/>
              <w:left w:val="single" w:sz="4" w:space="0" w:color="auto"/>
              <w:bottom w:val="nil"/>
              <w:right w:val="single" w:sz="4" w:space="0" w:color="auto"/>
            </w:tcBorders>
          </w:tcPr>
          <w:p w14:paraId="28D64588" w14:textId="77777777" w:rsidR="007107B1" w:rsidRPr="00C30087" w:rsidRDefault="007107B1" w:rsidP="00C30087">
            <w:pPr>
              <w:widowControl w:val="0"/>
              <w:spacing w:before="0"/>
              <w:jc w:val="center"/>
              <w:rPr>
                <w:sz w:val="20"/>
                <w:szCs w:val="20"/>
              </w:rPr>
            </w:pPr>
            <w:r w:rsidRPr="00C30087">
              <w:rPr>
                <w:sz w:val="20"/>
                <w:szCs w:val="20"/>
              </w:rPr>
              <w:t>0</w:t>
            </w:r>
          </w:p>
        </w:tc>
      </w:tr>
      <w:tr w:rsidR="007107B1" w:rsidRPr="00C30087" w14:paraId="542AB5BA" w14:textId="77777777" w:rsidTr="007E1216">
        <w:trPr>
          <w:gridBefore w:val="1"/>
          <w:wBefore w:w="108" w:type="dxa"/>
          <w:cantSplit/>
        </w:trPr>
        <w:tc>
          <w:tcPr>
            <w:tcW w:w="3690" w:type="dxa"/>
            <w:tcBorders>
              <w:top w:val="nil"/>
              <w:left w:val="single" w:sz="4" w:space="0" w:color="auto"/>
              <w:bottom w:val="nil"/>
              <w:right w:val="single" w:sz="4" w:space="0" w:color="auto"/>
            </w:tcBorders>
          </w:tcPr>
          <w:p w14:paraId="1D43AAA9" w14:textId="77777777" w:rsidR="007107B1" w:rsidRPr="00C30087" w:rsidRDefault="007107B1" w:rsidP="00C30087">
            <w:pPr>
              <w:widowControl w:val="0"/>
              <w:spacing w:before="0"/>
              <w:ind w:left="341"/>
              <w:rPr>
                <w:sz w:val="20"/>
                <w:szCs w:val="20"/>
              </w:rPr>
            </w:pPr>
            <w:r w:rsidRPr="00C30087">
              <w:rPr>
                <w:sz w:val="20"/>
                <w:szCs w:val="20"/>
              </w:rPr>
              <w:t>Weight decrease</w:t>
            </w:r>
          </w:p>
        </w:tc>
        <w:tc>
          <w:tcPr>
            <w:tcW w:w="1552" w:type="dxa"/>
            <w:tcBorders>
              <w:top w:val="nil"/>
              <w:left w:val="single" w:sz="4" w:space="0" w:color="auto"/>
              <w:bottom w:val="nil"/>
              <w:right w:val="single" w:sz="4" w:space="0" w:color="auto"/>
            </w:tcBorders>
          </w:tcPr>
          <w:p w14:paraId="47F6E09F" w14:textId="77777777" w:rsidR="007107B1" w:rsidRPr="00C30087" w:rsidRDefault="007107B1" w:rsidP="00C30087">
            <w:pPr>
              <w:widowControl w:val="0"/>
              <w:spacing w:before="0"/>
              <w:jc w:val="center"/>
              <w:rPr>
                <w:sz w:val="20"/>
                <w:szCs w:val="20"/>
              </w:rPr>
            </w:pPr>
            <w:r w:rsidRPr="00C30087">
              <w:rPr>
                <w:sz w:val="20"/>
                <w:szCs w:val="20"/>
              </w:rPr>
              <w:t>26</w:t>
            </w:r>
          </w:p>
        </w:tc>
        <w:tc>
          <w:tcPr>
            <w:tcW w:w="1553" w:type="dxa"/>
            <w:tcBorders>
              <w:top w:val="nil"/>
              <w:left w:val="single" w:sz="4" w:space="0" w:color="auto"/>
              <w:bottom w:val="nil"/>
              <w:right w:val="single" w:sz="4" w:space="0" w:color="auto"/>
            </w:tcBorders>
          </w:tcPr>
          <w:p w14:paraId="65141BAF" w14:textId="77777777" w:rsidR="007107B1" w:rsidRPr="00C30087" w:rsidRDefault="007107B1" w:rsidP="00C30087">
            <w:pPr>
              <w:widowControl w:val="0"/>
              <w:spacing w:before="0"/>
              <w:jc w:val="center"/>
              <w:rPr>
                <w:sz w:val="20"/>
                <w:szCs w:val="20"/>
              </w:rPr>
            </w:pPr>
            <w:r w:rsidRPr="00C30087">
              <w:rPr>
                <w:sz w:val="20"/>
                <w:szCs w:val="20"/>
              </w:rPr>
              <w:t>2.1</w:t>
            </w:r>
          </w:p>
        </w:tc>
        <w:tc>
          <w:tcPr>
            <w:tcW w:w="1552" w:type="dxa"/>
            <w:tcBorders>
              <w:top w:val="nil"/>
              <w:left w:val="single" w:sz="4" w:space="0" w:color="auto"/>
              <w:bottom w:val="nil"/>
              <w:right w:val="single" w:sz="4" w:space="0" w:color="auto"/>
            </w:tcBorders>
          </w:tcPr>
          <w:p w14:paraId="4F77064E" w14:textId="77777777" w:rsidR="007107B1" w:rsidRPr="00C30087" w:rsidRDefault="007107B1" w:rsidP="00C30087">
            <w:pPr>
              <w:widowControl w:val="0"/>
              <w:spacing w:before="0"/>
              <w:jc w:val="center"/>
              <w:rPr>
                <w:sz w:val="20"/>
                <w:szCs w:val="20"/>
              </w:rPr>
            </w:pPr>
            <w:r w:rsidRPr="00C30087">
              <w:rPr>
                <w:sz w:val="20"/>
                <w:szCs w:val="20"/>
              </w:rPr>
              <w:t>12</w:t>
            </w:r>
          </w:p>
        </w:tc>
        <w:tc>
          <w:tcPr>
            <w:tcW w:w="1553" w:type="dxa"/>
            <w:tcBorders>
              <w:top w:val="nil"/>
              <w:left w:val="single" w:sz="4" w:space="0" w:color="auto"/>
              <w:bottom w:val="nil"/>
              <w:right w:val="single" w:sz="4" w:space="0" w:color="auto"/>
            </w:tcBorders>
          </w:tcPr>
          <w:p w14:paraId="2439B03C" w14:textId="77777777" w:rsidR="007107B1" w:rsidRPr="00C30087" w:rsidRDefault="007107B1" w:rsidP="00C30087">
            <w:pPr>
              <w:widowControl w:val="0"/>
              <w:spacing w:before="0"/>
              <w:jc w:val="center"/>
              <w:rPr>
                <w:sz w:val="20"/>
                <w:szCs w:val="20"/>
              </w:rPr>
            </w:pPr>
            <w:r w:rsidRPr="00C30087">
              <w:rPr>
                <w:sz w:val="20"/>
                <w:szCs w:val="20"/>
              </w:rPr>
              <w:t>1</w:t>
            </w:r>
          </w:p>
        </w:tc>
      </w:tr>
      <w:tr w:rsidR="007107B1" w:rsidRPr="00C30087" w14:paraId="5984A940" w14:textId="77777777" w:rsidTr="007E1216">
        <w:trPr>
          <w:gridBefore w:val="1"/>
          <w:wBefore w:w="108" w:type="dxa"/>
          <w:cantSplit/>
        </w:trPr>
        <w:tc>
          <w:tcPr>
            <w:tcW w:w="3690" w:type="dxa"/>
            <w:tcBorders>
              <w:top w:val="single" w:sz="4" w:space="0" w:color="auto"/>
              <w:bottom w:val="nil"/>
            </w:tcBorders>
          </w:tcPr>
          <w:p w14:paraId="058A88CD" w14:textId="77777777" w:rsidR="007107B1" w:rsidRPr="00C30087" w:rsidRDefault="007107B1" w:rsidP="00C30087">
            <w:pPr>
              <w:widowControl w:val="0"/>
              <w:spacing w:before="0"/>
              <w:rPr>
                <w:b/>
                <w:bCs/>
                <w:sz w:val="20"/>
                <w:szCs w:val="20"/>
              </w:rPr>
            </w:pPr>
            <w:r w:rsidRPr="00C30087">
              <w:rPr>
                <w:b/>
                <w:bCs/>
                <w:sz w:val="20"/>
                <w:szCs w:val="20"/>
              </w:rPr>
              <w:t xml:space="preserve">Nervous System </w:t>
            </w:r>
          </w:p>
        </w:tc>
        <w:tc>
          <w:tcPr>
            <w:tcW w:w="1552" w:type="dxa"/>
            <w:tcBorders>
              <w:top w:val="single" w:sz="4" w:space="0" w:color="auto"/>
              <w:bottom w:val="nil"/>
            </w:tcBorders>
          </w:tcPr>
          <w:p w14:paraId="2EAEC6FD" w14:textId="77777777" w:rsidR="007107B1" w:rsidRPr="00C30087" w:rsidRDefault="007107B1" w:rsidP="00C30087">
            <w:pPr>
              <w:widowControl w:val="0"/>
              <w:spacing w:before="0"/>
              <w:jc w:val="center"/>
              <w:rPr>
                <w:sz w:val="20"/>
                <w:szCs w:val="20"/>
              </w:rPr>
            </w:pPr>
          </w:p>
        </w:tc>
        <w:tc>
          <w:tcPr>
            <w:tcW w:w="1553" w:type="dxa"/>
            <w:tcBorders>
              <w:top w:val="single" w:sz="4" w:space="0" w:color="auto"/>
              <w:bottom w:val="nil"/>
            </w:tcBorders>
          </w:tcPr>
          <w:p w14:paraId="02149954" w14:textId="77777777" w:rsidR="007107B1" w:rsidRPr="00C30087" w:rsidRDefault="007107B1" w:rsidP="00C30087">
            <w:pPr>
              <w:widowControl w:val="0"/>
              <w:spacing w:before="0"/>
              <w:jc w:val="center"/>
              <w:rPr>
                <w:sz w:val="20"/>
                <w:szCs w:val="20"/>
              </w:rPr>
            </w:pPr>
          </w:p>
        </w:tc>
        <w:tc>
          <w:tcPr>
            <w:tcW w:w="1552" w:type="dxa"/>
            <w:tcBorders>
              <w:top w:val="single" w:sz="4" w:space="0" w:color="auto"/>
              <w:bottom w:val="nil"/>
            </w:tcBorders>
          </w:tcPr>
          <w:p w14:paraId="6B4ACE94" w14:textId="77777777" w:rsidR="007107B1" w:rsidRPr="00C30087" w:rsidRDefault="007107B1" w:rsidP="00C30087">
            <w:pPr>
              <w:widowControl w:val="0"/>
              <w:spacing w:before="0"/>
              <w:jc w:val="center"/>
              <w:rPr>
                <w:sz w:val="20"/>
                <w:szCs w:val="20"/>
              </w:rPr>
            </w:pPr>
          </w:p>
        </w:tc>
        <w:tc>
          <w:tcPr>
            <w:tcW w:w="1553" w:type="dxa"/>
            <w:tcBorders>
              <w:top w:val="single" w:sz="4" w:space="0" w:color="auto"/>
              <w:bottom w:val="nil"/>
              <w:right w:val="single" w:sz="4" w:space="0" w:color="auto"/>
            </w:tcBorders>
          </w:tcPr>
          <w:p w14:paraId="2FE40445" w14:textId="77777777" w:rsidR="007107B1" w:rsidRPr="00C30087" w:rsidRDefault="007107B1" w:rsidP="00C30087">
            <w:pPr>
              <w:widowControl w:val="0"/>
              <w:spacing w:before="0"/>
              <w:jc w:val="center"/>
              <w:rPr>
                <w:sz w:val="20"/>
                <w:szCs w:val="20"/>
              </w:rPr>
            </w:pPr>
          </w:p>
        </w:tc>
      </w:tr>
      <w:tr w:rsidR="007107B1" w:rsidRPr="00C30087" w14:paraId="1EFF2BDD" w14:textId="77777777" w:rsidTr="007E1216">
        <w:trPr>
          <w:gridBefore w:val="1"/>
          <w:wBefore w:w="108" w:type="dxa"/>
          <w:cantSplit/>
        </w:trPr>
        <w:tc>
          <w:tcPr>
            <w:tcW w:w="3690" w:type="dxa"/>
            <w:tcBorders>
              <w:top w:val="nil"/>
            </w:tcBorders>
          </w:tcPr>
          <w:p w14:paraId="515DE274" w14:textId="77777777" w:rsidR="007107B1" w:rsidRPr="00C30087" w:rsidRDefault="007107B1" w:rsidP="00C30087">
            <w:pPr>
              <w:widowControl w:val="0"/>
              <w:spacing w:before="0"/>
              <w:ind w:left="341"/>
              <w:rPr>
                <w:sz w:val="20"/>
                <w:szCs w:val="20"/>
              </w:rPr>
            </w:pPr>
            <w:r w:rsidRPr="00C30087">
              <w:rPr>
                <w:sz w:val="20"/>
                <w:szCs w:val="20"/>
              </w:rPr>
              <w:t xml:space="preserve">Peripheral neuropathy, </w:t>
            </w:r>
            <w:proofErr w:type="spellStart"/>
            <w:r w:rsidRPr="00C30087">
              <w:rPr>
                <w:sz w:val="20"/>
                <w:szCs w:val="20"/>
              </w:rPr>
              <w:t>sensory</w:t>
            </w:r>
            <w:r w:rsidRPr="00C30087">
              <w:rPr>
                <w:sz w:val="20"/>
                <w:szCs w:val="20"/>
                <w:vertAlign w:val="superscript"/>
              </w:rPr>
              <w:t>a</w:t>
            </w:r>
            <w:proofErr w:type="spellEnd"/>
          </w:p>
        </w:tc>
        <w:tc>
          <w:tcPr>
            <w:tcW w:w="1552" w:type="dxa"/>
            <w:tcBorders>
              <w:top w:val="nil"/>
            </w:tcBorders>
          </w:tcPr>
          <w:p w14:paraId="19C54CB1" w14:textId="77777777" w:rsidR="007107B1" w:rsidRPr="00C30087" w:rsidRDefault="007107B1" w:rsidP="00C30087">
            <w:pPr>
              <w:widowControl w:val="0"/>
              <w:spacing w:before="0"/>
              <w:jc w:val="center"/>
              <w:rPr>
                <w:sz w:val="20"/>
                <w:szCs w:val="20"/>
              </w:rPr>
            </w:pPr>
            <w:r w:rsidRPr="00C30087">
              <w:rPr>
                <w:sz w:val="20"/>
                <w:szCs w:val="20"/>
              </w:rPr>
              <w:t>32</w:t>
            </w:r>
          </w:p>
        </w:tc>
        <w:tc>
          <w:tcPr>
            <w:tcW w:w="1553" w:type="dxa"/>
            <w:tcBorders>
              <w:top w:val="nil"/>
            </w:tcBorders>
          </w:tcPr>
          <w:p w14:paraId="411BDFE4" w14:textId="77777777" w:rsidR="007107B1" w:rsidRPr="00C30087" w:rsidRDefault="007107B1" w:rsidP="00C30087">
            <w:pPr>
              <w:widowControl w:val="0"/>
              <w:spacing w:before="0"/>
              <w:jc w:val="center"/>
              <w:rPr>
                <w:sz w:val="20"/>
                <w:szCs w:val="20"/>
              </w:rPr>
            </w:pPr>
            <w:r w:rsidRPr="00C30087">
              <w:rPr>
                <w:sz w:val="20"/>
                <w:szCs w:val="20"/>
              </w:rPr>
              <w:t>4.6</w:t>
            </w:r>
          </w:p>
        </w:tc>
        <w:tc>
          <w:tcPr>
            <w:tcW w:w="1552" w:type="dxa"/>
            <w:tcBorders>
              <w:top w:val="nil"/>
            </w:tcBorders>
          </w:tcPr>
          <w:p w14:paraId="65691381" w14:textId="77777777" w:rsidR="007107B1" w:rsidRPr="00C30087" w:rsidRDefault="007107B1" w:rsidP="00C30087">
            <w:pPr>
              <w:widowControl w:val="0"/>
              <w:spacing w:before="0"/>
              <w:jc w:val="center"/>
              <w:rPr>
                <w:sz w:val="20"/>
                <w:szCs w:val="20"/>
              </w:rPr>
            </w:pPr>
            <w:r w:rsidRPr="00C30087">
              <w:rPr>
                <w:sz w:val="20"/>
                <w:szCs w:val="20"/>
              </w:rPr>
              <w:t>47</w:t>
            </w:r>
          </w:p>
        </w:tc>
        <w:tc>
          <w:tcPr>
            <w:tcW w:w="1553" w:type="dxa"/>
            <w:tcBorders>
              <w:top w:val="nil"/>
              <w:right w:val="single" w:sz="4" w:space="0" w:color="auto"/>
            </w:tcBorders>
          </w:tcPr>
          <w:p w14:paraId="0B1E285D" w14:textId="77777777" w:rsidR="007107B1" w:rsidRPr="00C30087" w:rsidRDefault="007107B1" w:rsidP="00C30087">
            <w:pPr>
              <w:widowControl w:val="0"/>
              <w:spacing w:before="0"/>
              <w:jc w:val="center"/>
              <w:rPr>
                <w:sz w:val="20"/>
                <w:szCs w:val="20"/>
              </w:rPr>
            </w:pPr>
            <w:r w:rsidRPr="00C30087">
              <w:rPr>
                <w:sz w:val="20"/>
                <w:szCs w:val="20"/>
              </w:rPr>
              <w:t>9</w:t>
            </w:r>
          </w:p>
        </w:tc>
      </w:tr>
      <w:tr w:rsidR="007107B1" w:rsidRPr="00C30087" w14:paraId="3C59B306" w14:textId="77777777" w:rsidTr="007E1216">
        <w:trPr>
          <w:gridBefore w:val="1"/>
          <w:wBefore w:w="108" w:type="dxa"/>
          <w:cantSplit/>
        </w:trPr>
        <w:tc>
          <w:tcPr>
            <w:tcW w:w="3690" w:type="dxa"/>
            <w:tcBorders>
              <w:top w:val="nil"/>
            </w:tcBorders>
          </w:tcPr>
          <w:p w14:paraId="3E4279FA" w14:textId="77777777" w:rsidR="007107B1" w:rsidRPr="00C30087" w:rsidRDefault="007107B1" w:rsidP="00C30087">
            <w:pPr>
              <w:widowControl w:val="0"/>
              <w:spacing w:before="0"/>
              <w:ind w:left="341"/>
              <w:rPr>
                <w:sz w:val="20"/>
                <w:szCs w:val="20"/>
              </w:rPr>
            </w:pPr>
            <w:r w:rsidRPr="00C30087">
              <w:rPr>
                <w:sz w:val="20"/>
                <w:szCs w:val="20"/>
              </w:rPr>
              <w:t>Dizziness</w:t>
            </w:r>
          </w:p>
        </w:tc>
        <w:tc>
          <w:tcPr>
            <w:tcW w:w="1552" w:type="dxa"/>
            <w:tcBorders>
              <w:top w:val="nil"/>
            </w:tcBorders>
          </w:tcPr>
          <w:p w14:paraId="174E4A9B" w14:textId="77777777" w:rsidR="007107B1" w:rsidRPr="00C30087" w:rsidRDefault="007107B1" w:rsidP="00C30087">
            <w:pPr>
              <w:widowControl w:val="0"/>
              <w:spacing w:before="0"/>
              <w:jc w:val="center"/>
              <w:rPr>
                <w:sz w:val="20"/>
                <w:szCs w:val="20"/>
              </w:rPr>
            </w:pPr>
            <w:r w:rsidRPr="00C30087">
              <w:rPr>
                <w:sz w:val="20"/>
                <w:szCs w:val="20"/>
              </w:rPr>
              <w:t>12</w:t>
            </w:r>
          </w:p>
        </w:tc>
        <w:tc>
          <w:tcPr>
            <w:tcW w:w="1553" w:type="dxa"/>
            <w:tcBorders>
              <w:top w:val="nil"/>
            </w:tcBorders>
          </w:tcPr>
          <w:p w14:paraId="3190ED88" w14:textId="77777777" w:rsidR="007107B1" w:rsidRPr="00C30087" w:rsidRDefault="007107B1" w:rsidP="00C30087">
            <w:pPr>
              <w:widowControl w:val="0"/>
              <w:spacing w:before="0"/>
              <w:jc w:val="center"/>
              <w:rPr>
                <w:sz w:val="20"/>
                <w:szCs w:val="20"/>
              </w:rPr>
            </w:pPr>
            <w:r w:rsidRPr="00C30087">
              <w:rPr>
                <w:sz w:val="20"/>
                <w:szCs w:val="20"/>
              </w:rPr>
              <w:t>&lt;1</w:t>
            </w:r>
          </w:p>
        </w:tc>
        <w:tc>
          <w:tcPr>
            <w:tcW w:w="1552" w:type="dxa"/>
            <w:tcBorders>
              <w:top w:val="nil"/>
            </w:tcBorders>
          </w:tcPr>
          <w:p w14:paraId="1FF5505A" w14:textId="77777777" w:rsidR="007107B1" w:rsidRPr="00C30087" w:rsidRDefault="007107B1" w:rsidP="00C30087">
            <w:pPr>
              <w:widowControl w:val="0"/>
              <w:spacing w:before="0"/>
              <w:jc w:val="center"/>
              <w:rPr>
                <w:sz w:val="20"/>
                <w:szCs w:val="20"/>
              </w:rPr>
            </w:pPr>
            <w:r w:rsidRPr="00C30087">
              <w:rPr>
                <w:sz w:val="20"/>
                <w:szCs w:val="20"/>
              </w:rPr>
              <w:t>3.9</w:t>
            </w:r>
          </w:p>
        </w:tc>
        <w:tc>
          <w:tcPr>
            <w:tcW w:w="1553" w:type="dxa"/>
            <w:tcBorders>
              <w:top w:val="nil"/>
              <w:right w:val="single" w:sz="4" w:space="0" w:color="auto"/>
            </w:tcBorders>
          </w:tcPr>
          <w:p w14:paraId="21184D49" w14:textId="77777777" w:rsidR="007107B1" w:rsidRPr="00C30087" w:rsidRDefault="007107B1" w:rsidP="00C30087">
            <w:pPr>
              <w:widowControl w:val="0"/>
              <w:spacing w:before="0"/>
              <w:jc w:val="center"/>
              <w:rPr>
                <w:sz w:val="20"/>
                <w:szCs w:val="20"/>
              </w:rPr>
            </w:pPr>
            <w:r w:rsidRPr="00C30087">
              <w:rPr>
                <w:sz w:val="20"/>
                <w:szCs w:val="20"/>
              </w:rPr>
              <w:t>0</w:t>
            </w:r>
          </w:p>
        </w:tc>
      </w:tr>
      <w:tr w:rsidR="007107B1" w:rsidRPr="00C30087" w14:paraId="7E723A8E" w14:textId="77777777" w:rsidTr="007E1216">
        <w:trPr>
          <w:gridBefore w:val="1"/>
          <w:wBefore w:w="108" w:type="dxa"/>
          <w:cantSplit/>
        </w:trPr>
        <w:tc>
          <w:tcPr>
            <w:tcW w:w="3690" w:type="dxa"/>
            <w:tcBorders>
              <w:top w:val="single" w:sz="4" w:space="0" w:color="auto"/>
              <w:bottom w:val="nil"/>
            </w:tcBorders>
          </w:tcPr>
          <w:p w14:paraId="5835CE49" w14:textId="77777777" w:rsidR="007107B1" w:rsidRPr="00C30087" w:rsidRDefault="007107B1" w:rsidP="00C30087">
            <w:pPr>
              <w:widowControl w:val="0"/>
              <w:spacing w:before="0"/>
              <w:rPr>
                <w:b/>
                <w:bCs/>
                <w:sz w:val="20"/>
                <w:szCs w:val="20"/>
              </w:rPr>
            </w:pPr>
            <w:r w:rsidRPr="00C30087">
              <w:rPr>
                <w:b/>
                <w:bCs/>
                <w:sz w:val="20"/>
                <w:szCs w:val="20"/>
              </w:rPr>
              <w:t>Infections</w:t>
            </w:r>
          </w:p>
        </w:tc>
        <w:tc>
          <w:tcPr>
            <w:tcW w:w="1552" w:type="dxa"/>
            <w:tcBorders>
              <w:top w:val="single" w:sz="4" w:space="0" w:color="auto"/>
              <w:bottom w:val="nil"/>
            </w:tcBorders>
          </w:tcPr>
          <w:p w14:paraId="2337AFF2" w14:textId="77777777" w:rsidR="007107B1" w:rsidRPr="00C30087" w:rsidRDefault="007107B1" w:rsidP="00C30087">
            <w:pPr>
              <w:widowControl w:val="0"/>
              <w:spacing w:before="0"/>
              <w:jc w:val="center"/>
              <w:rPr>
                <w:bCs/>
                <w:sz w:val="20"/>
                <w:szCs w:val="20"/>
              </w:rPr>
            </w:pPr>
          </w:p>
        </w:tc>
        <w:tc>
          <w:tcPr>
            <w:tcW w:w="1553" w:type="dxa"/>
            <w:tcBorders>
              <w:top w:val="single" w:sz="4" w:space="0" w:color="auto"/>
              <w:bottom w:val="nil"/>
            </w:tcBorders>
          </w:tcPr>
          <w:p w14:paraId="2A65A032" w14:textId="77777777" w:rsidR="007107B1" w:rsidRPr="00C30087" w:rsidRDefault="007107B1" w:rsidP="00C30087">
            <w:pPr>
              <w:widowControl w:val="0"/>
              <w:spacing w:before="0"/>
              <w:jc w:val="center"/>
              <w:rPr>
                <w:bCs/>
                <w:sz w:val="20"/>
                <w:szCs w:val="20"/>
              </w:rPr>
            </w:pPr>
          </w:p>
        </w:tc>
        <w:tc>
          <w:tcPr>
            <w:tcW w:w="1552" w:type="dxa"/>
            <w:tcBorders>
              <w:top w:val="single" w:sz="4" w:space="0" w:color="auto"/>
              <w:bottom w:val="nil"/>
            </w:tcBorders>
          </w:tcPr>
          <w:p w14:paraId="17BF6A5E" w14:textId="77777777" w:rsidR="007107B1" w:rsidRPr="00C30087" w:rsidRDefault="007107B1" w:rsidP="00C30087">
            <w:pPr>
              <w:widowControl w:val="0"/>
              <w:spacing w:before="0"/>
              <w:jc w:val="center"/>
              <w:rPr>
                <w:bCs/>
                <w:sz w:val="20"/>
                <w:szCs w:val="20"/>
              </w:rPr>
            </w:pPr>
          </w:p>
        </w:tc>
        <w:tc>
          <w:tcPr>
            <w:tcW w:w="1553" w:type="dxa"/>
            <w:tcBorders>
              <w:top w:val="single" w:sz="4" w:space="0" w:color="auto"/>
              <w:bottom w:val="nil"/>
              <w:right w:val="single" w:sz="4" w:space="0" w:color="auto"/>
            </w:tcBorders>
          </w:tcPr>
          <w:p w14:paraId="25606793" w14:textId="77777777" w:rsidR="007107B1" w:rsidRPr="00C30087" w:rsidRDefault="007107B1" w:rsidP="00C30087">
            <w:pPr>
              <w:widowControl w:val="0"/>
              <w:spacing w:before="0"/>
              <w:jc w:val="center"/>
              <w:rPr>
                <w:bCs/>
                <w:sz w:val="20"/>
                <w:szCs w:val="20"/>
              </w:rPr>
            </w:pPr>
          </w:p>
        </w:tc>
      </w:tr>
      <w:tr w:rsidR="007107B1" w:rsidRPr="00C30087" w14:paraId="6ED81EAD" w14:textId="77777777" w:rsidTr="007E1216">
        <w:trPr>
          <w:gridBefore w:val="1"/>
          <w:wBefore w:w="108" w:type="dxa"/>
          <w:cantSplit/>
        </w:trPr>
        <w:tc>
          <w:tcPr>
            <w:tcW w:w="3690" w:type="dxa"/>
            <w:tcBorders>
              <w:top w:val="nil"/>
              <w:bottom w:val="nil"/>
            </w:tcBorders>
          </w:tcPr>
          <w:p w14:paraId="7F3D56B6" w14:textId="77777777" w:rsidR="007107B1" w:rsidRPr="00C30087" w:rsidRDefault="007107B1" w:rsidP="00C30087">
            <w:pPr>
              <w:widowControl w:val="0"/>
              <w:spacing w:before="0"/>
              <w:ind w:left="341"/>
              <w:rPr>
                <w:sz w:val="20"/>
                <w:szCs w:val="20"/>
              </w:rPr>
            </w:pPr>
            <w:r w:rsidRPr="00C30087">
              <w:rPr>
                <w:sz w:val="20"/>
                <w:szCs w:val="20"/>
              </w:rPr>
              <w:t xml:space="preserve">Upper respiratory tract </w:t>
            </w:r>
            <w:proofErr w:type="spellStart"/>
            <w:r w:rsidRPr="00C30087">
              <w:rPr>
                <w:sz w:val="20"/>
                <w:szCs w:val="20"/>
              </w:rPr>
              <w:t>infection</w:t>
            </w:r>
            <w:r w:rsidRPr="00C30087">
              <w:rPr>
                <w:sz w:val="20"/>
                <w:szCs w:val="20"/>
                <w:vertAlign w:val="superscript"/>
              </w:rPr>
              <w:t>b</w:t>
            </w:r>
            <w:proofErr w:type="spellEnd"/>
          </w:p>
        </w:tc>
        <w:tc>
          <w:tcPr>
            <w:tcW w:w="1552" w:type="dxa"/>
            <w:tcBorders>
              <w:top w:val="nil"/>
              <w:bottom w:val="nil"/>
            </w:tcBorders>
          </w:tcPr>
          <w:p w14:paraId="6F349181" w14:textId="77777777" w:rsidR="007107B1" w:rsidRPr="00C30087" w:rsidRDefault="007107B1" w:rsidP="00C30087">
            <w:pPr>
              <w:widowControl w:val="0"/>
              <w:spacing w:before="0"/>
              <w:jc w:val="center"/>
              <w:rPr>
                <w:sz w:val="20"/>
                <w:szCs w:val="20"/>
              </w:rPr>
            </w:pPr>
            <w:r w:rsidRPr="00C30087">
              <w:rPr>
                <w:sz w:val="20"/>
                <w:szCs w:val="20"/>
              </w:rPr>
              <w:t>29</w:t>
            </w:r>
          </w:p>
        </w:tc>
        <w:tc>
          <w:tcPr>
            <w:tcW w:w="1553" w:type="dxa"/>
            <w:tcBorders>
              <w:top w:val="nil"/>
              <w:bottom w:val="nil"/>
            </w:tcBorders>
          </w:tcPr>
          <w:p w14:paraId="4EBEF8C6" w14:textId="77777777" w:rsidR="007107B1" w:rsidRPr="00C30087" w:rsidRDefault="007107B1" w:rsidP="00C30087">
            <w:pPr>
              <w:widowControl w:val="0"/>
              <w:spacing w:before="0"/>
              <w:jc w:val="center"/>
              <w:rPr>
                <w:sz w:val="20"/>
                <w:szCs w:val="20"/>
              </w:rPr>
            </w:pPr>
            <w:r w:rsidRPr="00C30087">
              <w:rPr>
                <w:sz w:val="20"/>
                <w:szCs w:val="20"/>
              </w:rPr>
              <w:t>3.6</w:t>
            </w:r>
          </w:p>
        </w:tc>
        <w:tc>
          <w:tcPr>
            <w:tcW w:w="1552" w:type="dxa"/>
            <w:tcBorders>
              <w:top w:val="nil"/>
              <w:bottom w:val="nil"/>
            </w:tcBorders>
          </w:tcPr>
          <w:p w14:paraId="0F5AA7F6" w14:textId="77777777" w:rsidR="007107B1" w:rsidRPr="00C30087" w:rsidRDefault="007107B1" w:rsidP="00C30087">
            <w:pPr>
              <w:widowControl w:val="0"/>
              <w:spacing w:before="0"/>
              <w:jc w:val="center"/>
              <w:rPr>
                <w:sz w:val="20"/>
                <w:szCs w:val="20"/>
              </w:rPr>
            </w:pPr>
            <w:r w:rsidRPr="00C30087">
              <w:rPr>
                <w:sz w:val="20"/>
                <w:szCs w:val="20"/>
              </w:rPr>
              <w:t>22</w:t>
            </w:r>
          </w:p>
        </w:tc>
        <w:tc>
          <w:tcPr>
            <w:tcW w:w="1553" w:type="dxa"/>
            <w:tcBorders>
              <w:top w:val="nil"/>
              <w:bottom w:val="nil"/>
              <w:right w:val="single" w:sz="4" w:space="0" w:color="auto"/>
            </w:tcBorders>
          </w:tcPr>
          <w:p w14:paraId="23EA4EA7" w14:textId="77777777" w:rsidR="007107B1" w:rsidRPr="00C30087" w:rsidRDefault="007107B1" w:rsidP="00C30087">
            <w:pPr>
              <w:widowControl w:val="0"/>
              <w:spacing w:before="0"/>
              <w:jc w:val="center"/>
              <w:rPr>
                <w:sz w:val="20"/>
                <w:szCs w:val="20"/>
              </w:rPr>
            </w:pPr>
            <w:r w:rsidRPr="00C30087">
              <w:rPr>
                <w:sz w:val="20"/>
                <w:szCs w:val="20"/>
              </w:rPr>
              <w:t>1.5</w:t>
            </w:r>
          </w:p>
        </w:tc>
      </w:tr>
      <w:tr w:rsidR="007107B1" w:rsidRPr="00C30087" w14:paraId="34499A07" w14:textId="77777777" w:rsidTr="007E1216">
        <w:trPr>
          <w:gridBefore w:val="1"/>
          <w:wBefore w:w="108" w:type="dxa"/>
          <w:cantSplit/>
        </w:trPr>
        <w:tc>
          <w:tcPr>
            <w:tcW w:w="3690" w:type="dxa"/>
            <w:tcBorders>
              <w:top w:val="single" w:sz="4" w:space="0" w:color="auto"/>
              <w:left w:val="single" w:sz="4" w:space="0" w:color="auto"/>
              <w:bottom w:val="nil"/>
              <w:right w:val="single" w:sz="4" w:space="0" w:color="auto"/>
            </w:tcBorders>
          </w:tcPr>
          <w:p w14:paraId="741DD405" w14:textId="77777777" w:rsidR="007107B1" w:rsidRPr="00C30087" w:rsidRDefault="007107B1" w:rsidP="00C30087">
            <w:pPr>
              <w:widowControl w:val="0"/>
              <w:spacing w:before="0"/>
              <w:rPr>
                <w:b/>
                <w:bCs/>
                <w:sz w:val="20"/>
                <w:szCs w:val="20"/>
              </w:rPr>
            </w:pPr>
            <w:r w:rsidRPr="00C30087">
              <w:rPr>
                <w:b/>
                <w:bCs/>
                <w:sz w:val="20"/>
                <w:szCs w:val="20"/>
              </w:rPr>
              <w:t>Eye Disorders</w:t>
            </w:r>
          </w:p>
        </w:tc>
        <w:tc>
          <w:tcPr>
            <w:tcW w:w="1552" w:type="dxa"/>
            <w:tcBorders>
              <w:top w:val="single" w:sz="4" w:space="0" w:color="auto"/>
              <w:left w:val="single" w:sz="4" w:space="0" w:color="auto"/>
              <w:bottom w:val="nil"/>
              <w:right w:val="single" w:sz="4" w:space="0" w:color="auto"/>
            </w:tcBorders>
          </w:tcPr>
          <w:p w14:paraId="375BC9B7" w14:textId="77777777" w:rsidR="007107B1" w:rsidRPr="00C30087" w:rsidRDefault="007107B1" w:rsidP="00C30087">
            <w:pPr>
              <w:widowControl w:val="0"/>
              <w:spacing w:before="0"/>
              <w:jc w:val="center"/>
              <w:rPr>
                <w:sz w:val="20"/>
                <w:szCs w:val="20"/>
              </w:rPr>
            </w:pPr>
          </w:p>
        </w:tc>
        <w:tc>
          <w:tcPr>
            <w:tcW w:w="1553" w:type="dxa"/>
            <w:tcBorders>
              <w:top w:val="single" w:sz="4" w:space="0" w:color="auto"/>
              <w:left w:val="single" w:sz="4" w:space="0" w:color="auto"/>
              <w:bottom w:val="nil"/>
              <w:right w:val="single" w:sz="4" w:space="0" w:color="auto"/>
            </w:tcBorders>
          </w:tcPr>
          <w:p w14:paraId="57563BBC" w14:textId="77777777" w:rsidR="007107B1" w:rsidRPr="00C30087" w:rsidRDefault="007107B1" w:rsidP="00C30087">
            <w:pPr>
              <w:widowControl w:val="0"/>
              <w:spacing w:before="0"/>
              <w:jc w:val="center"/>
              <w:rPr>
                <w:sz w:val="20"/>
                <w:szCs w:val="20"/>
              </w:rPr>
            </w:pPr>
          </w:p>
        </w:tc>
        <w:tc>
          <w:tcPr>
            <w:tcW w:w="1552" w:type="dxa"/>
            <w:tcBorders>
              <w:top w:val="single" w:sz="4" w:space="0" w:color="auto"/>
              <w:left w:val="single" w:sz="4" w:space="0" w:color="auto"/>
              <w:bottom w:val="nil"/>
              <w:right w:val="single" w:sz="4" w:space="0" w:color="auto"/>
            </w:tcBorders>
          </w:tcPr>
          <w:p w14:paraId="223E755D" w14:textId="77777777" w:rsidR="007107B1" w:rsidRPr="00C30087" w:rsidRDefault="007107B1" w:rsidP="00C30087">
            <w:pPr>
              <w:widowControl w:val="0"/>
              <w:spacing w:before="0"/>
              <w:jc w:val="center"/>
              <w:rPr>
                <w:sz w:val="20"/>
                <w:szCs w:val="20"/>
              </w:rPr>
            </w:pPr>
          </w:p>
        </w:tc>
        <w:tc>
          <w:tcPr>
            <w:tcW w:w="1553" w:type="dxa"/>
            <w:tcBorders>
              <w:top w:val="single" w:sz="4" w:space="0" w:color="auto"/>
              <w:left w:val="single" w:sz="4" w:space="0" w:color="auto"/>
              <w:bottom w:val="nil"/>
              <w:right w:val="single" w:sz="4" w:space="0" w:color="auto"/>
            </w:tcBorders>
          </w:tcPr>
          <w:p w14:paraId="512930FF" w14:textId="77777777" w:rsidR="007107B1" w:rsidRPr="00C30087" w:rsidRDefault="007107B1" w:rsidP="00C30087">
            <w:pPr>
              <w:widowControl w:val="0"/>
              <w:spacing w:before="0"/>
              <w:jc w:val="center"/>
              <w:rPr>
                <w:sz w:val="20"/>
                <w:szCs w:val="20"/>
              </w:rPr>
            </w:pPr>
          </w:p>
        </w:tc>
      </w:tr>
      <w:tr w:rsidR="007107B1" w:rsidRPr="00C30087" w14:paraId="6969A8E7" w14:textId="77777777" w:rsidTr="007E1216">
        <w:trPr>
          <w:gridBefore w:val="1"/>
          <w:wBefore w:w="108" w:type="dxa"/>
          <w:cantSplit/>
        </w:trPr>
        <w:tc>
          <w:tcPr>
            <w:tcW w:w="3690" w:type="dxa"/>
            <w:tcBorders>
              <w:top w:val="nil"/>
              <w:left w:val="single" w:sz="4" w:space="0" w:color="auto"/>
              <w:bottom w:val="nil"/>
              <w:right w:val="single" w:sz="4" w:space="0" w:color="auto"/>
            </w:tcBorders>
          </w:tcPr>
          <w:p w14:paraId="06A6CDE5" w14:textId="77777777" w:rsidR="007107B1" w:rsidRPr="00C30087" w:rsidRDefault="007107B1" w:rsidP="00C30087">
            <w:pPr>
              <w:widowControl w:val="0"/>
              <w:spacing w:before="0"/>
              <w:ind w:left="341"/>
              <w:rPr>
                <w:sz w:val="20"/>
                <w:szCs w:val="20"/>
              </w:rPr>
            </w:pPr>
            <w:r w:rsidRPr="00C30087">
              <w:rPr>
                <w:sz w:val="20"/>
                <w:szCs w:val="20"/>
              </w:rPr>
              <w:t>Cataract</w:t>
            </w:r>
          </w:p>
        </w:tc>
        <w:tc>
          <w:tcPr>
            <w:tcW w:w="1552" w:type="dxa"/>
            <w:tcBorders>
              <w:top w:val="nil"/>
              <w:left w:val="single" w:sz="4" w:space="0" w:color="auto"/>
              <w:bottom w:val="nil"/>
              <w:right w:val="single" w:sz="4" w:space="0" w:color="auto"/>
            </w:tcBorders>
          </w:tcPr>
          <w:p w14:paraId="48358B61" w14:textId="77777777" w:rsidR="007107B1" w:rsidRPr="00C30087" w:rsidRDefault="007107B1" w:rsidP="00C30087">
            <w:pPr>
              <w:widowControl w:val="0"/>
              <w:spacing w:before="0"/>
              <w:jc w:val="center"/>
              <w:rPr>
                <w:sz w:val="20"/>
                <w:szCs w:val="20"/>
              </w:rPr>
            </w:pPr>
            <w:r w:rsidRPr="00C30087">
              <w:rPr>
                <w:sz w:val="20"/>
                <w:szCs w:val="20"/>
              </w:rPr>
              <w:t>22</w:t>
            </w:r>
          </w:p>
        </w:tc>
        <w:tc>
          <w:tcPr>
            <w:tcW w:w="1553" w:type="dxa"/>
            <w:tcBorders>
              <w:top w:val="nil"/>
              <w:left w:val="single" w:sz="4" w:space="0" w:color="auto"/>
              <w:bottom w:val="nil"/>
              <w:right w:val="single" w:sz="4" w:space="0" w:color="auto"/>
            </w:tcBorders>
          </w:tcPr>
          <w:p w14:paraId="4930E320" w14:textId="77777777" w:rsidR="007107B1" w:rsidRPr="00C30087" w:rsidRDefault="007107B1" w:rsidP="00C30087">
            <w:pPr>
              <w:widowControl w:val="0"/>
              <w:spacing w:before="0"/>
              <w:jc w:val="center"/>
              <w:rPr>
                <w:sz w:val="20"/>
                <w:szCs w:val="20"/>
              </w:rPr>
            </w:pPr>
            <w:r w:rsidRPr="00C30087">
              <w:rPr>
                <w:sz w:val="20"/>
                <w:szCs w:val="20"/>
              </w:rPr>
              <w:t>9</w:t>
            </w:r>
          </w:p>
        </w:tc>
        <w:tc>
          <w:tcPr>
            <w:tcW w:w="1552" w:type="dxa"/>
            <w:tcBorders>
              <w:top w:val="nil"/>
              <w:left w:val="single" w:sz="4" w:space="0" w:color="auto"/>
              <w:bottom w:val="nil"/>
              <w:right w:val="single" w:sz="4" w:space="0" w:color="auto"/>
            </w:tcBorders>
          </w:tcPr>
          <w:p w14:paraId="73862920" w14:textId="77777777" w:rsidR="007107B1" w:rsidRPr="00C30087" w:rsidRDefault="007107B1" w:rsidP="00C30087">
            <w:pPr>
              <w:widowControl w:val="0"/>
              <w:spacing w:before="0"/>
              <w:jc w:val="center"/>
              <w:rPr>
                <w:sz w:val="20"/>
                <w:szCs w:val="20"/>
              </w:rPr>
            </w:pPr>
            <w:r w:rsidRPr="00C30087">
              <w:rPr>
                <w:sz w:val="20"/>
                <w:szCs w:val="20"/>
              </w:rPr>
              <w:t>6</w:t>
            </w:r>
          </w:p>
        </w:tc>
        <w:tc>
          <w:tcPr>
            <w:tcW w:w="1553" w:type="dxa"/>
            <w:tcBorders>
              <w:top w:val="nil"/>
              <w:left w:val="single" w:sz="4" w:space="0" w:color="auto"/>
              <w:bottom w:val="nil"/>
              <w:right w:val="single" w:sz="4" w:space="0" w:color="auto"/>
            </w:tcBorders>
          </w:tcPr>
          <w:p w14:paraId="7CE49D0B" w14:textId="77777777" w:rsidR="007107B1" w:rsidRPr="00C30087" w:rsidRDefault="007107B1" w:rsidP="00C30087">
            <w:pPr>
              <w:widowControl w:val="0"/>
              <w:spacing w:before="0"/>
              <w:jc w:val="center"/>
              <w:rPr>
                <w:sz w:val="20"/>
                <w:szCs w:val="20"/>
              </w:rPr>
            </w:pPr>
            <w:r w:rsidRPr="00C30087">
              <w:rPr>
                <w:sz w:val="20"/>
                <w:szCs w:val="20"/>
              </w:rPr>
              <w:t>1.5</w:t>
            </w:r>
          </w:p>
        </w:tc>
      </w:tr>
      <w:tr w:rsidR="007107B1" w:rsidRPr="00C30087" w14:paraId="6494CA28" w14:textId="77777777" w:rsidTr="007E1216">
        <w:trPr>
          <w:gridBefore w:val="1"/>
          <w:wBefore w:w="108" w:type="dxa"/>
          <w:cantSplit/>
        </w:trPr>
        <w:tc>
          <w:tcPr>
            <w:tcW w:w="3690" w:type="dxa"/>
            <w:tcBorders>
              <w:top w:val="nil"/>
              <w:left w:val="single" w:sz="4" w:space="0" w:color="auto"/>
              <w:bottom w:val="single" w:sz="4" w:space="0" w:color="auto"/>
              <w:right w:val="single" w:sz="4" w:space="0" w:color="auto"/>
            </w:tcBorders>
          </w:tcPr>
          <w:p w14:paraId="15819424" w14:textId="77777777" w:rsidR="007107B1" w:rsidRPr="00C30087" w:rsidRDefault="007107B1" w:rsidP="00C30087">
            <w:pPr>
              <w:widowControl w:val="0"/>
              <w:spacing w:before="0"/>
              <w:ind w:left="341"/>
              <w:rPr>
                <w:sz w:val="20"/>
                <w:szCs w:val="20"/>
              </w:rPr>
            </w:pPr>
            <w:r w:rsidRPr="00C30087">
              <w:rPr>
                <w:sz w:val="20"/>
                <w:szCs w:val="20"/>
              </w:rPr>
              <w:t xml:space="preserve">Vision </w:t>
            </w:r>
            <w:proofErr w:type="spellStart"/>
            <w:r w:rsidRPr="00C30087">
              <w:rPr>
                <w:sz w:val="20"/>
                <w:szCs w:val="20"/>
              </w:rPr>
              <w:t>blurred</w:t>
            </w:r>
            <w:r w:rsidRPr="00C30087">
              <w:rPr>
                <w:sz w:val="20"/>
                <w:szCs w:val="20"/>
                <w:vertAlign w:val="superscript"/>
              </w:rPr>
              <w:t>c</w:t>
            </w:r>
            <w:proofErr w:type="spellEnd"/>
          </w:p>
        </w:tc>
        <w:tc>
          <w:tcPr>
            <w:tcW w:w="1552" w:type="dxa"/>
            <w:tcBorders>
              <w:top w:val="nil"/>
              <w:left w:val="single" w:sz="4" w:space="0" w:color="auto"/>
              <w:bottom w:val="single" w:sz="4" w:space="0" w:color="auto"/>
              <w:right w:val="single" w:sz="4" w:space="0" w:color="auto"/>
            </w:tcBorders>
          </w:tcPr>
          <w:p w14:paraId="271CE3F9" w14:textId="77777777" w:rsidR="007107B1" w:rsidRPr="00C30087" w:rsidRDefault="007107B1" w:rsidP="00C30087">
            <w:pPr>
              <w:widowControl w:val="0"/>
              <w:spacing w:before="0"/>
              <w:jc w:val="center"/>
              <w:rPr>
                <w:sz w:val="20"/>
                <w:szCs w:val="20"/>
              </w:rPr>
            </w:pPr>
            <w:r w:rsidRPr="00C30087">
              <w:rPr>
                <w:sz w:val="20"/>
                <w:szCs w:val="20"/>
              </w:rPr>
              <w:t>13</w:t>
            </w:r>
          </w:p>
        </w:tc>
        <w:tc>
          <w:tcPr>
            <w:tcW w:w="1553" w:type="dxa"/>
            <w:tcBorders>
              <w:top w:val="nil"/>
              <w:left w:val="single" w:sz="4" w:space="0" w:color="auto"/>
              <w:bottom w:val="single" w:sz="4" w:space="0" w:color="auto"/>
              <w:right w:val="single" w:sz="4" w:space="0" w:color="auto"/>
            </w:tcBorders>
          </w:tcPr>
          <w:p w14:paraId="1A629875" w14:textId="77777777" w:rsidR="007107B1" w:rsidRPr="00C30087" w:rsidRDefault="007107B1" w:rsidP="00C30087">
            <w:pPr>
              <w:widowControl w:val="0"/>
              <w:spacing w:before="0"/>
              <w:jc w:val="center"/>
              <w:rPr>
                <w:sz w:val="20"/>
                <w:szCs w:val="20"/>
              </w:rPr>
            </w:pPr>
            <w:r w:rsidRPr="00C30087">
              <w:rPr>
                <w:sz w:val="20"/>
                <w:szCs w:val="20"/>
              </w:rPr>
              <w:t>&lt;1</w:t>
            </w:r>
          </w:p>
        </w:tc>
        <w:tc>
          <w:tcPr>
            <w:tcW w:w="1552" w:type="dxa"/>
            <w:tcBorders>
              <w:top w:val="nil"/>
              <w:left w:val="single" w:sz="4" w:space="0" w:color="auto"/>
              <w:bottom w:val="single" w:sz="4" w:space="0" w:color="auto"/>
              <w:right w:val="single" w:sz="4" w:space="0" w:color="auto"/>
            </w:tcBorders>
          </w:tcPr>
          <w:p w14:paraId="537F818A" w14:textId="77777777" w:rsidR="007107B1" w:rsidRPr="00C30087" w:rsidRDefault="007107B1" w:rsidP="00C30087">
            <w:pPr>
              <w:widowControl w:val="0"/>
              <w:spacing w:before="0"/>
              <w:jc w:val="center"/>
              <w:rPr>
                <w:sz w:val="20"/>
                <w:szCs w:val="20"/>
              </w:rPr>
            </w:pPr>
            <w:r w:rsidRPr="00C30087">
              <w:rPr>
                <w:sz w:val="20"/>
                <w:szCs w:val="20"/>
              </w:rPr>
              <w:t>6</w:t>
            </w:r>
          </w:p>
        </w:tc>
        <w:tc>
          <w:tcPr>
            <w:tcW w:w="1553" w:type="dxa"/>
            <w:tcBorders>
              <w:top w:val="nil"/>
              <w:left w:val="single" w:sz="4" w:space="0" w:color="auto"/>
              <w:bottom w:val="single" w:sz="4" w:space="0" w:color="auto"/>
              <w:right w:val="single" w:sz="4" w:space="0" w:color="auto"/>
            </w:tcBorders>
          </w:tcPr>
          <w:p w14:paraId="5D997E72" w14:textId="77777777" w:rsidR="007107B1" w:rsidRPr="00C30087" w:rsidRDefault="007107B1" w:rsidP="00C30087">
            <w:pPr>
              <w:widowControl w:val="0"/>
              <w:spacing w:before="0"/>
              <w:jc w:val="center"/>
              <w:rPr>
                <w:sz w:val="20"/>
                <w:szCs w:val="20"/>
              </w:rPr>
            </w:pPr>
            <w:r w:rsidRPr="00C30087">
              <w:rPr>
                <w:sz w:val="20"/>
                <w:szCs w:val="20"/>
              </w:rPr>
              <w:t>0</w:t>
            </w:r>
          </w:p>
        </w:tc>
      </w:tr>
      <w:tr w:rsidR="007107B1" w:rsidRPr="00C30087" w14:paraId="4AC46914" w14:textId="77777777" w:rsidTr="007E1216">
        <w:trPr>
          <w:cantSplit/>
        </w:trPr>
        <w:tc>
          <w:tcPr>
            <w:tcW w:w="10008" w:type="dxa"/>
            <w:gridSpan w:val="6"/>
            <w:tcBorders>
              <w:top w:val="nil"/>
              <w:left w:val="nil"/>
              <w:bottom w:val="nil"/>
              <w:right w:val="nil"/>
            </w:tcBorders>
          </w:tcPr>
          <w:p w14:paraId="3B1C4C34" w14:textId="77777777" w:rsidR="007107B1" w:rsidRPr="00C30087" w:rsidRDefault="007107B1" w:rsidP="00C30087">
            <w:pPr>
              <w:pStyle w:val="C-Footnote"/>
              <w:tabs>
                <w:tab w:val="clear" w:pos="144"/>
                <w:tab w:val="left" w:pos="180"/>
              </w:tabs>
              <w:ind w:left="180" w:hanging="180"/>
              <w:rPr>
                <w:rFonts w:cs="Times New Roman"/>
              </w:rPr>
            </w:pPr>
            <w:r w:rsidRPr="00C30087">
              <w:rPr>
                <w:rFonts w:cs="Times New Roman"/>
              </w:rPr>
              <w:t>Key: S=</w:t>
            </w:r>
            <w:proofErr w:type="spellStart"/>
            <w:r w:rsidRPr="00C30087">
              <w:rPr>
                <w:rFonts w:cs="Times New Roman"/>
              </w:rPr>
              <w:t>selinexor</w:t>
            </w:r>
            <w:proofErr w:type="spellEnd"/>
            <w:r w:rsidRPr="00C30087">
              <w:rPr>
                <w:rFonts w:cs="Times New Roman"/>
              </w:rPr>
              <w:t xml:space="preserve">, </w:t>
            </w:r>
            <w:proofErr w:type="spellStart"/>
            <w:r w:rsidRPr="00C30087">
              <w:rPr>
                <w:rFonts w:cs="Times New Roman"/>
              </w:rPr>
              <w:t>Vd</w:t>
            </w:r>
            <w:proofErr w:type="spellEnd"/>
            <w:r w:rsidRPr="00C30087">
              <w:rPr>
                <w:rFonts w:cs="Times New Roman"/>
              </w:rPr>
              <w:t>=bortezomib-dexamethasone</w:t>
            </w:r>
          </w:p>
          <w:p w14:paraId="47A44167" w14:textId="77777777" w:rsidR="007107B1" w:rsidRPr="00C30087" w:rsidRDefault="007107B1" w:rsidP="003812A8">
            <w:pPr>
              <w:pStyle w:val="ListParagraph"/>
              <w:widowControl w:val="0"/>
              <w:numPr>
                <w:ilvl w:val="0"/>
                <w:numId w:val="14"/>
              </w:numPr>
              <w:spacing w:before="0"/>
              <w:ind w:left="343" w:hanging="343"/>
              <w:rPr>
                <w:sz w:val="20"/>
                <w:szCs w:val="20"/>
              </w:rPr>
            </w:pPr>
            <w:r w:rsidRPr="00C30087">
              <w:rPr>
                <w:b/>
                <w:bCs/>
                <w:sz w:val="20"/>
                <w:szCs w:val="20"/>
              </w:rPr>
              <w:t>Peripheral neuropathy</w:t>
            </w:r>
            <w:r w:rsidRPr="00C30087">
              <w:rPr>
                <w:rFonts w:eastAsia="Calibri"/>
                <w:sz w:val="20"/>
                <w:szCs w:val="20"/>
              </w:rPr>
              <w:t xml:space="preserve"> represents high level term peripheral neuropathies NEC.</w:t>
            </w:r>
            <w:r w:rsidRPr="00C30087">
              <w:rPr>
                <w:sz w:val="20"/>
                <w:szCs w:val="20"/>
              </w:rPr>
              <w:t xml:space="preserve">   </w:t>
            </w:r>
          </w:p>
          <w:p w14:paraId="036DF672" w14:textId="77777777" w:rsidR="007107B1" w:rsidRPr="00C30087" w:rsidRDefault="007107B1" w:rsidP="003812A8">
            <w:pPr>
              <w:pStyle w:val="ListParagraph"/>
              <w:numPr>
                <w:ilvl w:val="0"/>
                <w:numId w:val="14"/>
              </w:numPr>
              <w:spacing w:before="0"/>
              <w:ind w:left="343" w:hanging="343"/>
              <w:rPr>
                <w:sz w:val="20"/>
                <w:szCs w:val="20"/>
              </w:rPr>
            </w:pPr>
            <w:r w:rsidRPr="00C30087">
              <w:rPr>
                <w:b/>
                <w:bCs/>
                <w:sz w:val="20"/>
                <w:szCs w:val="20"/>
              </w:rPr>
              <w:t>Upper respiratory tract infection</w:t>
            </w:r>
            <w:r w:rsidRPr="00C30087">
              <w:rPr>
                <w:sz w:val="20"/>
                <w:szCs w:val="20"/>
              </w:rPr>
              <w:t xml:space="preserve"> includes upper respiratory infection, nasopharyngitis, pharyngitis, respiratory syncytial virus infection, respiratory tract infection, rhinitis, and viral upper respiratory tract infection.  </w:t>
            </w:r>
          </w:p>
          <w:p w14:paraId="2C9427B7" w14:textId="77777777" w:rsidR="007107B1" w:rsidRPr="00C30087" w:rsidDel="00E861DB" w:rsidRDefault="007107B1" w:rsidP="003812A8">
            <w:pPr>
              <w:pStyle w:val="ListParagraph"/>
              <w:widowControl w:val="0"/>
              <w:numPr>
                <w:ilvl w:val="0"/>
                <w:numId w:val="14"/>
              </w:numPr>
              <w:spacing w:before="0"/>
              <w:ind w:left="343" w:hanging="343"/>
              <w:rPr>
                <w:bCs/>
                <w:sz w:val="20"/>
                <w:szCs w:val="20"/>
              </w:rPr>
            </w:pPr>
            <w:r w:rsidRPr="00C30087">
              <w:rPr>
                <w:b/>
                <w:bCs/>
                <w:sz w:val="20"/>
                <w:szCs w:val="20"/>
              </w:rPr>
              <w:t>Vision blurred</w:t>
            </w:r>
            <w:r w:rsidRPr="00C30087">
              <w:rPr>
                <w:sz w:val="20"/>
                <w:szCs w:val="20"/>
              </w:rPr>
              <w:t xml:space="preserve"> includes blurred vision, visual acuity reduced and visual impairment. </w:t>
            </w:r>
          </w:p>
        </w:tc>
      </w:tr>
    </w:tbl>
    <w:p w14:paraId="55A79048" w14:textId="0C2927EF" w:rsidR="007107B1" w:rsidRPr="00C30087" w:rsidRDefault="007107B1" w:rsidP="007107B1">
      <w:r w:rsidRPr="00C30087">
        <w:t xml:space="preserve">Clinically relevant </w:t>
      </w:r>
      <w:r w:rsidR="00BD099D">
        <w:t xml:space="preserve">AEs </w:t>
      </w:r>
      <w:r w:rsidRPr="00C30087">
        <w:t>in &lt;10% of patients who received XPOVIO in combination with bortezomib and dexamethasone included:</w:t>
      </w:r>
    </w:p>
    <w:p w14:paraId="18570BFA" w14:textId="7BBA4CA3" w:rsidR="007107B1" w:rsidRPr="00C30087" w:rsidRDefault="007107B1" w:rsidP="003812A8">
      <w:pPr>
        <w:pStyle w:val="ListParagraph"/>
        <w:numPr>
          <w:ilvl w:val="0"/>
          <w:numId w:val="13"/>
        </w:numPr>
        <w:spacing w:before="0"/>
      </w:pPr>
      <w:r w:rsidRPr="00C30087">
        <w:rPr>
          <w:b/>
        </w:rPr>
        <w:t>Neurologic disorders:</w:t>
      </w:r>
      <w:r w:rsidRPr="00C30087">
        <w:t xml:space="preserve"> mental status changes</w:t>
      </w:r>
      <w:r w:rsidR="007F7A2B" w:rsidRPr="007F7A2B">
        <w:t xml:space="preserve"> </w:t>
      </w:r>
      <w:r w:rsidR="007F7A2B">
        <w:t xml:space="preserve">consisting of </w:t>
      </w:r>
      <w:proofErr w:type="spellStart"/>
      <w:r w:rsidR="007F7A2B">
        <w:t>confusional</w:t>
      </w:r>
      <w:proofErr w:type="spellEnd"/>
      <w:r w:rsidR="007F7A2B">
        <w:t xml:space="preserve"> state and delirium</w:t>
      </w:r>
      <w:r w:rsidRPr="00C30087">
        <w:t xml:space="preserve"> (9%) and syncope (3.6%)</w:t>
      </w:r>
    </w:p>
    <w:p w14:paraId="5E7325EC" w14:textId="148D905A" w:rsidR="007107B1" w:rsidRPr="00C30087" w:rsidRDefault="00BC29B1" w:rsidP="007107B1">
      <w:pPr>
        <w:spacing w:before="120" w:after="120"/>
      </w:pPr>
      <w:r>
        <w:fldChar w:fldCharType="begin"/>
      </w:r>
      <w:r>
        <w:instrText xml:space="preserve"> REF _Ref52179286 \h </w:instrText>
      </w:r>
      <w:r>
        <w:fldChar w:fldCharType="separate"/>
      </w:r>
      <w:r w:rsidR="00F53F5F">
        <w:t xml:space="preserve">Table </w:t>
      </w:r>
      <w:r w:rsidR="00F53F5F">
        <w:rPr>
          <w:noProof/>
        </w:rPr>
        <w:t>5</w:t>
      </w:r>
      <w:r>
        <w:fldChar w:fldCharType="end"/>
      </w:r>
      <w:r>
        <w:t xml:space="preserve"> </w:t>
      </w:r>
      <w:proofErr w:type="spellStart"/>
      <w:r w:rsidR="007107B1" w:rsidRPr="00C30087">
        <w:t>summari</w:t>
      </w:r>
      <w:r w:rsidR="00C30087" w:rsidRPr="00C30087">
        <w:t>s</w:t>
      </w:r>
      <w:r w:rsidR="007107B1" w:rsidRPr="00C30087">
        <w:t>es</w:t>
      </w:r>
      <w:proofErr w:type="spellEnd"/>
      <w:r w:rsidR="007107B1" w:rsidRPr="00C30087">
        <w:t xml:space="preserve"> selected new or worsening laboratory abnormalities in the BOSTON trial. Grade 3-4 laboratory abnormalities in ≥15% in the XPOVIO combination with bortezomib and dexamethasone (</w:t>
      </w:r>
      <w:proofErr w:type="spellStart"/>
      <w:r w:rsidR="007107B1" w:rsidRPr="00C30087">
        <w:t>SVd</w:t>
      </w:r>
      <w:proofErr w:type="spellEnd"/>
      <w:r w:rsidR="007107B1" w:rsidRPr="00C30087">
        <w:t>) arm included thrombocytopenia, lymphopenia, anemia, and hypophosphatemia. Grade 4 laboratory abnormalities in ≥5% were thrombocytopenia (13%), and lymphopenia (7%).</w:t>
      </w:r>
    </w:p>
    <w:p w14:paraId="7DF3DC38" w14:textId="2461A849" w:rsidR="00BC29B1" w:rsidRDefault="00BC29B1" w:rsidP="00BC29B1">
      <w:pPr>
        <w:pStyle w:val="Caption"/>
        <w:rPr>
          <w:b w:val="0"/>
          <w:color w:val="000000" w:themeColor="text1"/>
        </w:rPr>
      </w:pPr>
      <w:bookmarkStart w:id="23" w:name="_Ref52179286"/>
      <w:r>
        <w:lastRenderedPageBreak/>
        <w:t xml:space="preserve">Table </w:t>
      </w:r>
      <w:r>
        <w:fldChar w:fldCharType="begin"/>
      </w:r>
      <w:r>
        <w:instrText xml:space="preserve"> SEQ Table \* ARABIC </w:instrText>
      </w:r>
      <w:r>
        <w:fldChar w:fldCharType="separate"/>
      </w:r>
      <w:r w:rsidR="00F53F5F">
        <w:rPr>
          <w:noProof/>
        </w:rPr>
        <w:t>5</w:t>
      </w:r>
      <w:r>
        <w:fldChar w:fldCharType="end"/>
      </w:r>
      <w:bookmarkEnd w:id="23"/>
      <w:r>
        <w:t>:</w:t>
      </w:r>
      <w:r w:rsidRPr="00BC29B1">
        <w:rPr>
          <w:bCs w:val="0"/>
        </w:rPr>
        <w:t xml:space="preserve"> Select Laboratory Abnormalities (≥15%) Worsening from Baseline in Patients with Multiple Myeloma Receiving </w:t>
      </w:r>
      <w:proofErr w:type="spellStart"/>
      <w:r w:rsidRPr="00BC29B1">
        <w:rPr>
          <w:bCs w:val="0"/>
        </w:rPr>
        <w:t>SVd</w:t>
      </w:r>
      <w:proofErr w:type="spellEnd"/>
      <w:r w:rsidRPr="00BC29B1">
        <w:rPr>
          <w:bCs w:val="0"/>
        </w:rPr>
        <w:t xml:space="preserve"> or </w:t>
      </w:r>
      <w:proofErr w:type="spellStart"/>
      <w:r w:rsidRPr="00BC29B1">
        <w:rPr>
          <w:bCs w:val="0"/>
        </w:rPr>
        <w:t>Vd</w:t>
      </w:r>
      <w:proofErr w:type="spellEnd"/>
      <w:r w:rsidRPr="00BC29B1">
        <w:rPr>
          <w:bCs w:val="0"/>
        </w:rPr>
        <w:t xml:space="preserve"> in the BOSTON trial</w:t>
      </w:r>
      <w:r w:rsidR="00AB648C">
        <w:rPr>
          <w:bCs w:val="0"/>
        </w:rPr>
        <w:t xml:space="preserve"> </w:t>
      </w:r>
      <w:r w:rsidR="00D47838">
        <w:rPr>
          <w:bCs w:val="0"/>
        </w:rPr>
        <w:t>(</w:t>
      </w:r>
      <w:r w:rsidR="00AB648C">
        <w:rPr>
          <w:bCs w:val="0"/>
        </w:rPr>
        <w:t>Safety Population</w:t>
      </w:r>
      <w:r w:rsidR="00D47838">
        <w:rPr>
          <w:bCs w:val="0"/>
        </w:rPr>
        <w:t>)</w:t>
      </w:r>
    </w:p>
    <w:tbl>
      <w:tblPr>
        <w:tblStyle w:val="TableGrid"/>
        <w:tblW w:w="9450" w:type="dxa"/>
        <w:tblInd w:w="-5" w:type="dxa"/>
        <w:tblLook w:val="04A0" w:firstRow="1" w:lastRow="0" w:firstColumn="1" w:lastColumn="0" w:noHBand="0" w:noVBand="1"/>
      </w:tblPr>
      <w:tblGrid>
        <w:gridCol w:w="2970"/>
        <w:gridCol w:w="1620"/>
        <w:gridCol w:w="1620"/>
        <w:gridCol w:w="1620"/>
        <w:gridCol w:w="1620"/>
      </w:tblGrid>
      <w:tr w:rsidR="007107B1" w:rsidRPr="00C30087" w14:paraId="076DB5E0" w14:textId="77777777" w:rsidTr="007E1216">
        <w:trPr>
          <w:cantSplit/>
          <w:trHeight w:val="260"/>
          <w:tblHeader/>
        </w:trPr>
        <w:tc>
          <w:tcPr>
            <w:tcW w:w="2970" w:type="dxa"/>
            <w:vMerge w:val="restart"/>
            <w:vAlign w:val="bottom"/>
          </w:tcPr>
          <w:p w14:paraId="6D107877" w14:textId="77777777" w:rsidR="007107B1" w:rsidRPr="00C30087" w:rsidRDefault="007107B1" w:rsidP="00C30087">
            <w:pPr>
              <w:keepNext/>
              <w:keepLines/>
              <w:widowControl w:val="0"/>
              <w:spacing w:before="0"/>
              <w:rPr>
                <w:b/>
                <w:sz w:val="20"/>
                <w:szCs w:val="20"/>
              </w:rPr>
            </w:pPr>
            <w:r w:rsidRPr="00C30087">
              <w:rPr>
                <w:b/>
                <w:sz w:val="20"/>
                <w:szCs w:val="20"/>
              </w:rPr>
              <w:t xml:space="preserve">Laboratory Abnormality </w:t>
            </w:r>
          </w:p>
        </w:tc>
        <w:tc>
          <w:tcPr>
            <w:tcW w:w="3240" w:type="dxa"/>
            <w:gridSpan w:val="2"/>
          </w:tcPr>
          <w:p w14:paraId="2BEA50F7" w14:textId="40CA0C6B" w:rsidR="007107B1" w:rsidRPr="00C30087" w:rsidRDefault="007107B1" w:rsidP="00C30087">
            <w:pPr>
              <w:pStyle w:val="C-BodyText"/>
              <w:spacing w:before="0" w:after="0" w:line="240" w:lineRule="auto"/>
              <w:jc w:val="center"/>
              <w:rPr>
                <w:b/>
                <w:bCs/>
                <w:sz w:val="20"/>
              </w:rPr>
            </w:pPr>
            <w:r w:rsidRPr="00C30087">
              <w:rPr>
                <w:b/>
                <w:bCs/>
                <w:sz w:val="20"/>
              </w:rPr>
              <w:t xml:space="preserve">Weekly </w:t>
            </w:r>
            <w:proofErr w:type="spellStart"/>
            <w:r w:rsidRPr="00C30087">
              <w:rPr>
                <w:b/>
                <w:bCs/>
                <w:sz w:val="20"/>
              </w:rPr>
              <w:t>SVd</w:t>
            </w:r>
            <w:proofErr w:type="spellEnd"/>
            <w:r w:rsidR="00F96773">
              <w:rPr>
                <w:b/>
                <w:bCs/>
                <w:sz w:val="20"/>
              </w:rPr>
              <w:t xml:space="preserve"> (N</w:t>
            </w:r>
            <w:r w:rsidR="00F96773" w:rsidRPr="00C30087">
              <w:rPr>
                <w:b/>
                <w:bCs/>
                <w:sz w:val="20"/>
              </w:rPr>
              <w:t>=195)</w:t>
            </w:r>
          </w:p>
        </w:tc>
        <w:tc>
          <w:tcPr>
            <w:tcW w:w="3240" w:type="dxa"/>
            <w:gridSpan w:val="2"/>
          </w:tcPr>
          <w:p w14:paraId="5730D524" w14:textId="7D0C47CF" w:rsidR="007107B1" w:rsidRPr="00C30087" w:rsidRDefault="007107B1" w:rsidP="00C30087">
            <w:pPr>
              <w:keepNext/>
              <w:keepLines/>
              <w:widowControl w:val="0"/>
              <w:spacing w:before="0"/>
              <w:jc w:val="center"/>
              <w:rPr>
                <w:b/>
                <w:sz w:val="20"/>
                <w:szCs w:val="20"/>
              </w:rPr>
            </w:pPr>
            <w:r w:rsidRPr="00C30087">
              <w:rPr>
                <w:b/>
                <w:bCs/>
                <w:sz w:val="20"/>
                <w:szCs w:val="20"/>
              </w:rPr>
              <w:t xml:space="preserve">Twice Weekly </w:t>
            </w:r>
            <w:proofErr w:type="spellStart"/>
            <w:r w:rsidRPr="00C30087">
              <w:rPr>
                <w:b/>
                <w:bCs/>
                <w:sz w:val="20"/>
                <w:szCs w:val="20"/>
              </w:rPr>
              <w:t>Vd</w:t>
            </w:r>
            <w:proofErr w:type="spellEnd"/>
            <w:r w:rsidR="00F96773">
              <w:rPr>
                <w:b/>
                <w:bCs/>
                <w:sz w:val="20"/>
                <w:szCs w:val="20"/>
              </w:rPr>
              <w:t xml:space="preserve"> </w:t>
            </w:r>
            <w:r w:rsidR="00F96773" w:rsidRPr="00C30087">
              <w:rPr>
                <w:b/>
                <w:bCs/>
                <w:sz w:val="20"/>
                <w:szCs w:val="20"/>
              </w:rPr>
              <w:t>(</w:t>
            </w:r>
            <w:r w:rsidR="00F96773">
              <w:rPr>
                <w:b/>
                <w:bCs/>
                <w:sz w:val="20"/>
                <w:szCs w:val="20"/>
              </w:rPr>
              <w:t>N</w:t>
            </w:r>
            <w:r w:rsidR="00F96773" w:rsidRPr="00C30087">
              <w:rPr>
                <w:b/>
                <w:bCs/>
                <w:sz w:val="20"/>
                <w:szCs w:val="20"/>
              </w:rPr>
              <w:t>=</w:t>
            </w:r>
            <w:r w:rsidR="00F96773">
              <w:rPr>
                <w:b/>
                <w:bCs/>
                <w:sz w:val="20"/>
                <w:szCs w:val="20"/>
              </w:rPr>
              <w:t>20</w:t>
            </w:r>
            <w:r w:rsidR="00357194">
              <w:rPr>
                <w:b/>
                <w:bCs/>
                <w:sz w:val="20"/>
                <w:szCs w:val="20"/>
              </w:rPr>
              <w:t>4</w:t>
            </w:r>
            <w:r w:rsidR="00F96773" w:rsidRPr="00C30087">
              <w:rPr>
                <w:b/>
                <w:bCs/>
                <w:sz w:val="20"/>
                <w:szCs w:val="20"/>
              </w:rPr>
              <w:t>)</w:t>
            </w:r>
          </w:p>
        </w:tc>
      </w:tr>
      <w:tr w:rsidR="007107B1" w:rsidRPr="00C30087" w14:paraId="4C4B726E" w14:textId="77777777" w:rsidTr="002B5FD1">
        <w:trPr>
          <w:cantSplit/>
          <w:trHeight w:val="889"/>
          <w:tblHeader/>
        </w:trPr>
        <w:tc>
          <w:tcPr>
            <w:tcW w:w="2970" w:type="dxa"/>
            <w:vMerge/>
            <w:tcBorders>
              <w:bottom w:val="single" w:sz="4" w:space="0" w:color="auto"/>
            </w:tcBorders>
          </w:tcPr>
          <w:p w14:paraId="16E70627" w14:textId="77777777" w:rsidR="007107B1" w:rsidRPr="00C30087" w:rsidRDefault="007107B1" w:rsidP="00C30087">
            <w:pPr>
              <w:keepNext/>
              <w:keepLines/>
              <w:widowControl w:val="0"/>
              <w:spacing w:before="0"/>
              <w:rPr>
                <w:sz w:val="20"/>
                <w:szCs w:val="20"/>
              </w:rPr>
            </w:pPr>
          </w:p>
        </w:tc>
        <w:tc>
          <w:tcPr>
            <w:tcW w:w="1620" w:type="dxa"/>
            <w:tcBorders>
              <w:bottom w:val="single" w:sz="4" w:space="0" w:color="auto"/>
            </w:tcBorders>
          </w:tcPr>
          <w:p w14:paraId="37E3CD5A" w14:textId="77777777" w:rsidR="007107B1" w:rsidRPr="00C30087" w:rsidRDefault="007107B1" w:rsidP="00C30087">
            <w:pPr>
              <w:keepNext/>
              <w:keepLines/>
              <w:widowControl w:val="0"/>
              <w:spacing w:before="0"/>
              <w:jc w:val="center"/>
              <w:rPr>
                <w:b/>
                <w:sz w:val="20"/>
                <w:szCs w:val="20"/>
              </w:rPr>
            </w:pPr>
            <w:r w:rsidRPr="00C30087">
              <w:rPr>
                <w:b/>
                <w:sz w:val="20"/>
                <w:szCs w:val="20"/>
              </w:rPr>
              <w:t>All Grades</w:t>
            </w:r>
          </w:p>
          <w:p w14:paraId="3949BE9A" w14:textId="77777777" w:rsidR="007107B1" w:rsidRPr="00C30087" w:rsidRDefault="007107B1" w:rsidP="00C30087">
            <w:pPr>
              <w:keepNext/>
              <w:keepLines/>
              <w:widowControl w:val="0"/>
              <w:spacing w:before="0"/>
              <w:jc w:val="center"/>
              <w:rPr>
                <w:b/>
                <w:sz w:val="20"/>
                <w:szCs w:val="20"/>
              </w:rPr>
            </w:pPr>
            <w:r w:rsidRPr="00C30087">
              <w:rPr>
                <w:b/>
                <w:sz w:val="20"/>
                <w:szCs w:val="20"/>
              </w:rPr>
              <w:t>(%)</w:t>
            </w:r>
          </w:p>
        </w:tc>
        <w:tc>
          <w:tcPr>
            <w:tcW w:w="1620" w:type="dxa"/>
            <w:tcBorders>
              <w:bottom w:val="single" w:sz="4" w:space="0" w:color="auto"/>
            </w:tcBorders>
          </w:tcPr>
          <w:p w14:paraId="5D21E9AB" w14:textId="77777777" w:rsidR="007107B1" w:rsidRPr="00C30087" w:rsidRDefault="007107B1" w:rsidP="00C30087">
            <w:pPr>
              <w:keepNext/>
              <w:keepLines/>
              <w:widowControl w:val="0"/>
              <w:spacing w:before="0"/>
              <w:jc w:val="center"/>
              <w:rPr>
                <w:b/>
                <w:sz w:val="20"/>
                <w:szCs w:val="20"/>
              </w:rPr>
            </w:pPr>
            <w:r w:rsidRPr="00C30087">
              <w:rPr>
                <w:b/>
                <w:sz w:val="20"/>
                <w:szCs w:val="20"/>
              </w:rPr>
              <w:t>Grade 3 or 4</w:t>
            </w:r>
          </w:p>
          <w:p w14:paraId="790E2926" w14:textId="77777777" w:rsidR="007107B1" w:rsidRPr="00C30087" w:rsidRDefault="007107B1" w:rsidP="00C30087">
            <w:pPr>
              <w:keepNext/>
              <w:keepLines/>
              <w:widowControl w:val="0"/>
              <w:spacing w:before="0"/>
              <w:jc w:val="center"/>
              <w:rPr>
                <w:b/>
                <w:sz w:val="20"/>
                <w:szCs w:val="20"/>
              </w:rPr>
            </w:pPr>
            <w:r w:rsidRPr="00C30087">
              <w:rPr>
                <w:b/>
                <w:sz w:val="20"/>
                <w:szCs w:val="20"/>
              </w:rPr>
              <w:t xml:space="preserve"> (%)</w:t>
            </w:r>
          </w:p>
        </w:tc>
        <w:tc>
          <w:tcPr>
            <w:tcW w:w="1620" w:type="dxa"/>
            <w:tcBorders>
              <w:bottom w:val="single" w:sz="4" w:space="0" w:color="auto"/>
            </w:tcBorders>
          </w:tcPr>
          <w:p w14:paraId="2F4D8374" w14:textId="77777777" w:rsidR="007107B1" w:rsidRPr="00C30087" w:rsidRDefault="007107B1" w:rsidP="00C30087">
            <w:pPr>
              <w:keepNext/>
              <w:keepLines/>
              <w:widowControl w:val="0"/>
              <w:spacing w:before="0"/>
              <w:jc w:val="center"/>
              <w:rPr>
                <w:b/>
                <w:sz w:val="20"/>
                <w:szCs w:val="20"/>
              </w:rPr>
            </w:pPr>
            <w:r w:rsidRPr="00C30087">
              <w:rPr>
                <w:b/>
                <w:sz w:val="20"/>
                <w:szCs w:val="20"/>
              </w:rPr>
              <w:t>All Grades</w:t>
            </w:r>
          </w:p>
          <w:p w14:paraId="4BB8BB4D" w14:textId="77777777" w:rsidR="007107B1" w:rsidRPr="00C30087" w:rsidRDefault="007107B1" w:rsidP="00C30087">
            <w:pPr>
              <w:keepNext/>
              <w:keepLines/>
              <w:widowControl w:val="0"/>
              <w:spacing w:before="0"/>
              <w:jc w:val="center"/>
              <w:rPr>
                <w:b/>
                <w:sz w:val="20"/>
                <w:szCs w:val="20"/>
              </w:rPr>
            </w:pPr>
            <w:r w:rsidRPr="00C30087">
              <w:rPr>
                <w:b/>
                <w:sz w:val="20"/>
                <w:szCs w:val="20"/>
              </w:rPr>
              <w:t>(%)</w:t>
            </w:r>
          </w:p>
        </w:tc>
        <w:tc>
          <w:tcPr>
            <w:tcW w:w="1620" w:type="dxa"/>
            <w:tcBorders>
              <w:bottom w:val="single" w:sz="4" w:space="0" w:color="auto"/>
            </w:tcBorders>
          </w:tcPr>
          <w:p w14:paraId="08F661BA" w14:textId="77777777" w:rsidR="007107B1" w:rsidRPr="00C30087" w:rsidRDefault="007107B1" w:rsidP="00C30087">
            <w:pPr>
              <w:keepNext/>
              <w:keepLines/>
              <w:widowControl w:val="0"/>
              <w:spacing w:before="0"/>
              <w:jc w:val="center"/>
              <w:rPr>
                <w:b/>
                <w:sz w:val="20"/>
                <w:szCs w:val="20"/>
              </w:rPr>
            </w:pPr>
            <w:r w:rsidRPr="00C30087">
              <w:rPr>
                <w:b/>
                <w:sz w:val="20"/>
                <w:szCs w:val="20"/>
              </w:rPr>
              <w:t>Grade 3 or 4</w:t>
            </w:r>
          </w:p>
          <w:p w14:paraId="6F0FCD7F" w14:textId="77777777" w:rsidR="007107B1" w:rsidRPr="00C30087" w:rsidDel="00D9687F" w:rsidRDefault="007107B1" w:rsidP="00C30087">
            <w:pPr>
              <w:keepNext/>
              <w:keepLines/>
              <w:widowControl w:val="0"/>
              <w:spacing w:before="0"/>
              <w:jc w:val="center"/>
              <w:rPr>
                <w:b/>
                <w:sz w:val="20"/>
                <w:szCs w:val="20"/>
              </w:rPr>
            </w:pPr>
            <w:r w:rsidRPr="00C30087">
              <w:rPr>
                <w:b/>
                <w:sz w:val="20"/>
                <w:szCs w:val="20"/>
              </w:rPr>
              <w:t xml:space="preserve"> (%)</w:t>
            </w:r>
          </w:p>
        </w:tc>
      </w:tr>
      <w:tr w:rsidR="007107B1" w:rsidRPr="00C30087" w14:paraId="3FA444C4" w14:textId="77777777" w:rsidTr="007E1216">
        <w:tc>
          <w:tcPr>
            <w:tcW w:w="2970" w:type="dxa"/>
            <w:tcBorders>
              <w:bottom w:val="nil"/>
            </w:tcBorders>
          </w:tcPr>
          <w:p w14:paraId="0571B204" w14:textId="77777777" w:rsidR="007107B1" w:rsidRPr="00C30087" w:rsidRDefault="007107B1" w:rsidP="00C30087">
            <w:pPr>
              <w:keepNext/>
              <w:keepLines/>
              <w:widowControl w:val="0"/>
              <w:spacing w:before="0"/>
              <w:rPr>
                <w:b/>
                <w:sz w:val="20"/>
                <w:szCs w:val="20"/>
              </w:rPr>
            </w:pPr>
            <w:r w:rsidRPr="00C30087">
              <w:rPr>
                <w:b/>
                <w:sz w:val="20"/>
                <w:szCs w:val="20"/>
              </w:rPr>
              <w:t>Hematologic</w:t>
            </w:r>
          </w:p>
        </w:tc>
        <w:tc>
          <w:tcPr>
            <w:tcW w:w="1620" w:type="dxa"/>
            <w:tcBorders>
              <w:bottom w:val="nil"/>
            </w:tcBorders>
          </w:tcPr>
          <w:p w14:paraId="75C704F0" w14:textId="77777777" w:rsidR="007107B1" w:rsidRPr="00C30087" w:rsidRDefault="007107B1" w:rsidP="00C30087">
            <w:pPr>
              <w:keepNext/>
              <w:keepLines/>
              <w:widowControl w:val="0"/>
              <w:spacing w:before="0"/>
              <w:rPr>
                <w:sz w:val="20"/>
                <w:szCs w:val="20"/>
              </w:rPr>
            </w:pPr>
          </w:p>
        </w:tc>
        <w:tc>
          <w:tcPr>
            <w:tcW w:w="1620" w:type="dxa"/>
            <w:tcBorders>
              <w:bottom w:val="nil"/>
            </w:tcBorders>
          </w:tcPr>
          <w:p w14:paraId="6F1561F2" w14:textId="77777777" w:rsidR="007107B1" w:rsidRPr="00C30087" w:rsidRDefault="007107B1" w:rsidP="00C30087">
            <w:pPr>
              <w:keepNext/>
              <w:keepLines/>
              <w:widowControl w:val="0"/>
              <w:spacing w:before="0"/>
              <w:rPr>
                <w:sz w:val="20"/>
                <w:szCs w:val="20"/>
              </w:rPr>
            </w:pPr>
          </w:p>
        </w:tc>
        <w:tc>
          <w:tcPr>
            <w:tcW w:w="1620" w:type="dxa"/>
            <w:tcBorders>
              <w:bottom w:val="nil"/>
            </w:tcBorders>
          </w:tcPr>
          <w:p w14:paraId="225B7D5F" w14:textId="77777777" w:rsidR="007107B1" w:rsidRPr="00C30087" w:rsidRDefault="007107B1" w:rsidP="00C30087">
            <w:pPr>
              <w:keepNext/>
              <w:keepLines/>
              <w:widowControl w:val="0"/>
              <w:spacing w:before="0"/>
              <w:rPr>
                <w:sz w:val="20"/>
                <w:szCs w:val="20"/>
              </w:rPr>
            </w:pPr>
          </w:p>
        </w:tc>
        <w:tc>
          <w:tcPr>
            <w:tcW w:w="1620" w:type="dxa"/>
            <w:tcBorders>
              <w:bottom w:val="nil"/>
            </w:tcBorders>
          </w:tcPr>
          <w:p w14:paraId="2AE5741D" w14:textId="77777777" w:rsidR="007107B1" w:rsidRPr="00C30087" w:rsidRDefault="007107B1" w:rsidP="00C30087">
            <w:pPr>
              <w:keepNext/>
              <w:keepLines/>
              <w:widowControl w:val="0"/>
              <w:spacing w:before="0"/>
              <w:rPr>
                <w:sz w:val="20"/>
                <w:szCs w:val="20"/>
              </w:rPr>
            </w:pPr>
          </w:p>
        </w:tc>
      </w:tr>
      <w:tr w:rsidR="007107B1" w:rsidRPr="00C30087" w14:paraId="4CE11353" w14:textId="77777777" w:rsidTr="007E1216">
        <w:tc>
          <w:tcPr>
            <w:tcW w:w="2970" w:type="dxa"/>
            <w:tcBorders>
              <w:top w:val="nil"/>
              <w:bottom w:val="nil"/>
            </w:tcBorders>
          </w:tcPr>
          <w:p w14:paraId="1BEEF0F1" w14:textId="77777777" w:rsidR="007107B1" w:rsidRPr="00C30087" w:rsidRDefault="007107B1" w:rsidP="00C30087">
            <w:pPr>
              <w:keepNext/>
              <w:keepLines/>
              <w:widowControl w:val="0"/>
              <w:spacing w:before="0"/>
              <w:ind w:left="166"/>
              <w:rPr>
                <w:sz w:val="20"/>
                <w:szCs w:val="20"/>
              </w:rPr>
            </w:pPr>
            <w:r w:rsidRPr="00C30087">
              <w:rPr>
                <w:sz w:val="20"/>
                <w:szCs w:val="20"/>
              </w:rPr>
              <w:t>Platelet count decrease</w:t>
            </w:r>
          </w:p>
        </w:tc>
        <w:tc>
          <w:tcPr>
            <w:tcW w:w="1620" w:type="dxa"/>
            <w:tcBorders>
              <w:top w:val="nil"/>
              <w:bottom w:val="nil"/>
            </w:tcBorders>
          </w:tcPr>
          <w:p w14:paraId="389E09F2" w14:textId="77777777" w:rsidR="007107B1" w:rsidRPr="00C30087" w:rsidRDefault="007107B1" w:rsidP="00C30087">
            <w:pPr>
              <w:keepNext/>
              <w:keepLines/>
              <w:widowControl w:val="0"/>
              <w:spacing w:before="0"/>
              <w:jc w:val="center"/>
              <w:rPr>
                <w:sz w:val="20"/>
                <w:szCs w:val="20"/>
              </w:rPr>
            </w:pPr>
            <w:r w:rsidRPr="00C30087">
              <w:rPr>
                <w:sz w:val="20"/>
                <w:szCs w:val="20"/>
              </w:rPr>
              <w:t>92</w:t>
            </w:r>
          </w:p>
        </w:tc>
        <w:tc>
          <w:tcPr>
            <w:tcW w:w="1620" w:type="dxa"/>
            <w:tcBorders>
              <w:top w:val="nil"/>
              <w:bottom w:val="nil"/>
            </w:tcBorders>
          </w:tcPr>
          <w:p w14:paraId="21F04BD4" w14:textId="77777777" w:rsidR="007107B1" w:rsidRPr="00C30087" w:rsidRDefault="007107B1" w:rsidP="00C30087">
            <w:pPr>
              <w:keepNext/>
              <w:keepLines/>
              <w:widowControl w:val="0"/>
              <w:spacing w:before="0"/>
              <w:jc w:val="center"/>
              <w:rPr>
                <w:sz w:val="20"/>
                <w:szCs w:val="20"/>
              </w:rPr>
            </w:pPr>
            <w:r w:rsidRPr="00C30087">
              <w:rPr>
                <w:sz w:val="20"/>
                <w:szCs w:val="20"/>
              </w:rPr>
              <w:t>43</w:t>
            </w:r>
          </w:p>
        </w:tc>
        <w:tc>
          <w:tcPr>
            <w:tcW w:w="1620" w:type="dxa"/>
            <w:tcBorders>
              <w:top w:val="nil"/>
              <w:bottom w:val="nil"/>
            </w:tcBorders>
          </w:tcPr>
          <w:p w14:paraId="1A99BF5D" w14:textId="77777777" w:rsidR="007107B1" w:rsidRPr="00C30087" w:rsidRDefault="007107B1" w:rsidP="00C30087">
            <w:pPr>
              <w:keepNext/>
              <w:keepLines/>
              <w:widowControl w:val="0"/>
              <w:spacing w:before="0"/>
              <w:jc w:val="center"/>
              <w:rPr>
                <w:sz w:val="20"/>
                <w:szCs w:val="20"/>
              </w:rPr>
            </w:pPr>
            <w:r w:rsidRPr="00C30087">
              <w:rPr>
                <w:sz w:val="20"/>
                <w:szCs w:val="20"/>
              </w:rPr>
              <w:t>51</w:t>
            </w:r>
          </w:p>
        </w:tc>
        <w:tc>
          <w:tcPr>
            <w:tcW w:w="1620" w:type="dxa"/>
            <w:tcBorders>
              <w:top w:val="nil"/>
              <w:bottom w:val="nil"/>
            </w:tcBorders>
          </w:tcPr>
          <w:p w14:paraId="174F00DE" w14:textId="77777777" w:rsidR="007107B1" w:rsidRPr="00C30087" w:rsidDel="00D9687F" w:rsidRDefault="007107B1" w:rsidP="00C30087">
            <w:pPr>
              <w:keepNext/>
              <w:keepLines/>
              <w:widowControl w:val="0"/>
              <w:spacing w:before="0"/>
              <w:jc w:val="center"/>
              <w:rPr>
                <w:sz w:val="20"/>
                <w:szCs w:val="20"/>
              </w:rPr>
            </w:pPr>
            <w:r w:rsidRPr="00C30087">
              <w:rPr>
                <w:sz w:val="20"/>
                <w:szCs w:val="20"/>
              </w:rPr>
              <w:t>19</w:t>
            </w:r>
          </w:p>
        </w:tc>
      </w:tr>
      <w:tr w:rsidR="007107B1" w:rsidRPr="00C30087" w:rsidDel="00D9687F" w14:paraId="6671BB70" w14:textId="77777777" w:rsidTr="007E1216">
        <w:tc>
          <w:tcPr>
            <w:tcW w:w="2970" w:type="dxa"/>
            <w:tcBorders>
              <w:top w:val="nil"/>
              <w:bottom w:val="nil"/>
            </w:tcBorders>
          </w:tcPr>
          <w:p w14:paraId="71AF2659" w14:textId="77777777" w:rsidR="007107B1" w:rsidRPr="00C30087" w:rsidRDefault="007107B1" w:rsidP="00C30087">
            <w:pPr>
              <w:keepNext/>
              <w:keepLines/>
              <w:widowControl w:val="0"/>
              <w:spacing w:before="0"/>
              <w:ind w:left="166"/>
              <w:rPr>
                <w:sz w:val="20"/>
                <w:szCs w:val="20"/>
              </w:rPr>
            </w:pPr>
            <w:r w:rsidRPr="00C30087">
              <w:rPr>
                <w:sz w:val="20"/>
                <w:szCs w:val="20"/>
              </w:rPr>
              <w:t>Lymphocyte count decrease</w:t>
            </w:r>
          </w:p>
        </w:tc>
        <w:tc>
          <w:tcPr>
            <w:tcW w:w="1620" w:type="dxa"/>
            <w:tcBorders>
              <w:top w:val="nil"/>
              <w:bottom w:val="nil"/>
            </w:tcBorders>
          </w:tcPr>
          <w:p w14:paraId="675F244F" w14:textId="77777777" w:rsidR="007107B1" w:rsidRPr="00C30087" w:rsidRDefault="007107B1" w:rsidP="00C30087">
            <w:pPr>
              <w:keepNext/>
              <w:keepLines/>
              <w:widowControl w:val="0"/>
              <w:spacing w:before="0"/>
              <w:jc w:val="center"/>
              <w:rPr>
                <w:sz w:val="20"/>
                <w:szCs w:val="20"/>
              </w:rPr>
            </w:pPr>
            <w:r w:rsidRPr="00C30087">
              <w:rPr>
                <w:sz w:val="20"/>
                <w:szCs w:val="20"/>
              </w:rPr>
              <w:t>77</w:t>
            </w:r>
          </w:p>
        </w:tc>
        <w:tc>
          <w:tcPr>
            <w:tcW w:w="1620" w:type="dxa"/>
            <w:tcBorders>
              <w:top w:val="nil"/>
              <w:bottom w:val="nil"/>
            </w:tcBorders>
          </w:tcPr>
          <w:p w14:paraId="4800CDD4" w14:textId="77777777" w:rsidR="007107B1" w:rsidRPr="00C30087" w:rsidRDefault="007107B1" w:rsidP="00C30087">
            <w:pPr>
              <w:keepNext/>
              <w:keepLines/>
              <w:widowControl w:val="0"/>
              <w:spacing w:before="0"/>
              <w:jc w:val="center"/>
              <w:rPr>
                <w:sz w:val="20"/>
                <w:szCs w:val="20"/>
              </w:rPr>
            </w:pPr>
            <w:r w:rsidRPr="00C30087">
              <w:rPr>
                <w:sz w:val="20"/>
                <w:szCs w:val="20"/>
              </w:rPr>
              <w:t>38</w:t>
            </w:r>
          </w:p>
        </w:tc>
        <w:tc>
          <w:tcPr>
            <w:tcW w:w="1620" w:type="dxa"/>
            <w:tcBorders>
              <w:top w:val="nil"/>
              <w:bottom w:val="nil"/>
            </w:tcBorders>
          </w:tcPr>
          <w:p w14:paraId="61E523C4" w14:textId="77777777" w:rsidR="007107B1" w:rsidRPr="00C30087" w:rsidRDefault="007107B1" w:rsidP="00C30087">
            <w:pPr>
              <w:keepNext/>
              <w:keepLines/>
              <w:widowControl w:val="0"/>
              <w:spacing w:before="0"/>
              <w:jc w:val="center"/>
              <w:rPr>
                <w:sz w:val="20"/>
                <w:szCs w:val="20"/>
              </w:rPr>
            </w:pPr>
            <w:r w:rsidRPr="00C30087">
              <w:rPr>
                <w:sz w:val="20"/>
                <w:szCs w:val="20"/>
              </w:rPr>
              <w:t>70</w:t>
            </w:r>
          </w:p>
        </w:tc>
        <w:tc>
          <w:tcPr>
            <w:tcW w:w="1620" w:type="dxa"/>
            <w:tcBorders>
              <w:top w:val="nil"/>
              <w:bottom w:val="nil"/>
            </w:tcBorders>
          </w:tcPr>
          <w:p w14:paraId="2E9A09AB" w14:textId="77777777" w:rsidR="007107B1" w:rsidRPr="00C30087" w:rsidDel="00D9687F" w:rsidRDefault="007107B1" w:rsidP="00C30087">
            <w:pPr>
              <w:keepNext/>
              <w:keepLines/>
              <w:widowControl w:val="0"/>
              <w:spacing w:before="0"/>
              <w:jc w:val="center"/>
              <w:rPr>
                <w:sz w:val="20"/>
                <w:szCs w:val="20"/>
              </w:rPr>
            </w:pPr>
            <w:r w:rsidRPr="00C30087">
              <w:rPr>
                <w:sz w:val="20"/>
                <w:szCs w:val="20"/>
              </w:rPr>
              <w:t>27</w:t>
            </w:r>
          </w:p>
        </w:tc>
      </w:tr>
      <w:tr w:rsidR="007107B1" w:rsidRPr="00C30087" w14:paraId="3D154703" w14:textId="77777777" w:rsidTr="007E1216">
        <w:tc>
          <w:tcPr>
            <w:tcW w:w="2970" w:type="dxa"/>
            <w:tcBorders>
              <w:top w:val="nil"/>
              <w:bottom w:val="nil"/>
            </w:tcBorders>
          </w:tcPr>
          <w:p w14:paraId="34309B1E" w14:textId="77777777" w:rsidR="007107B1" w:rsidRPr="00C30087" w:rsidRDefault="007107B1" w:rsidP="00C30087">
            <w:pPr>
              <w:keepNext/>
              <w:keepLines/>
              <w:widowControl w:val="0"/>
              <w:spacing w:before="0"/>
              <w:ind w:left="166"/>
              <w:rPr>
                <w:sz w:val="20"/>
                <w:szCs w:val="20"/>
              </w:rPr>
            </w:pPr>
            <w:r w:rsidRPr="00C30087">
              <w:rPr>
                <w:sz w:val="20"/>
                <w:szCs w:val="20"/>
              </w:rPr>
              <w:t>Hemoglobin decrease</w:t>
            </w:r>
          </w:p>
        </w:tc>
        <w:tc>
          <w:tcPr>
            <w:tcW w:w="1620" w:type="dxa"/>
            <w:tcBorders>
              <w:top w:val="nil"/>
              <w:bottom w:val="nil"/>
            </w:tcBorders>
          </w:tcPr>
          <w:p w14:paraId="47BBA929" w14:textId="77777777" w:rsidR="007107B1" w:rsidRPr="00C30087" w:rsidRDefault="007107B1" w:rsidP="00C30087">
            <w:pPr>
              <w:keepNext/>
              <w:keepLines/>
              <w:widowControl w:val="0"/>
              <w:spacing w:before="0"/>
              <w:jc w:val="center"/>
              <w:rPr>
                <w:sz w:val="20"/>
                <w:szCs w:val="20"/>
              </w:rPr>
            </w:pPr>
            <w:r w:rsidRPr="00C30087">
              <w:rPr>
                <w:sz w:val="20"/>
                <w:szCs w:val="20"/>
              </w:rPr>
              <w:t>71</w:t>
            </w:r>
          </w:p>
        </w:tc>
        <w:tc>
          <w:tcPr>
            <w:tcW w:w="1620" w:type="dxa"/>
            <w:tcBorders>
              <w:top w:val="nil"/>
              <w:bottom w:val="nil"/>
            </w:tcBorders>
          </w:tcPr>
          <w:p w14:paraId="05556CE1" w14:textId="77777777" w:rsidR="007107B1" w:rsidRPr="00C30087" w:rsidRDefault="007107B1" w:rsidP="00C30087">
            <w:pPr>
              <w:keepNext/>
              <w:keepLines/>
              <w:widowControl w:val="0"/>
              <w:spacing w:before="0"/>
              <w:jc w:val="center"/>
              <w:rPr>
                <w:sz w:val="20"/>
                <w:szCs w:val="20"/>
              </w:rPr>
            </w:pPr>
            <w:r w:rsidRPr="00C30087">
              <w:rPr>
                <w:sz w:val="20"/>
                <w:szCs w:val="20"/>
              </w:rPr>
              <w:t>17</w:t>
            </w:r>
          </w:p>
        </w:tc>
        <w:tc>
          <w:tcPr>
            <w:tcW w:w="1620" w:type="dxa"/>
            <w:tcBorders>
              <w:top w:val="nil"/>
              <w:bottom w:val="nil"/>
            </w:tcBorders>
          </w:tcPr>
          <w:p w14:paraId="393EA531" w14:textId="77777777" w:rsidR="007107B1" w:rsidRPr="00C30087" w:rsidRDefault="007107B1" w:rsidP="00C30087">
            <w:pPr>
              <w:keepNext/>
              <w:keepLines/>
              <w:widowControl w:val="0"/>
              <w:spacing w:before="0"/>
              <w:jc w:val="center"/>
              <w:rPr>
                <w:sz w:val="20"/>
                <w:szCs w:val="20"/>
                <w:vertAlign w:val="superscript"/>
              </w:rPr>
            </w:pPr>
            <w:r w:rsidRPr="00C30087">
              <w:rPr>
                <w:sz w:val="20"/>
                <w:szCs w:val="20"/>
              </w:rPr>
              <w:t>51</w:t>
            </w:r>
            <w:r w:rsidRPr="00C30087">
              <w:rPr>
                <w:sz w:val="20"/>
                <w:szCs w:val="20"/>
                <w:vertAlign w:val="superscript"/>
              </w:rPr>
              <w:t>a</w:t>
            </w:r>
          </w:p>
        </w:tc>
        <w:tc>
          <w:tcPr>
            <w:tcW w:w="1620" w:type="dxa"/>
            <w:tcBorders>
              <w:top w:val="nil"/>
              <w:bottom w:val="nil"/>
            </w:tcBorders>
          </w:tcPr>
          <w:p w14:paraId="33541E25" w14:textId="77777777" w:rsidR="007107B1" w:rsidRPr="00C30087" w:rsidDel="00D9687F" w:rsidRDefault="007107B1" w:rsidP="00C30087">
            <w:pPr>
              <w:keepNext/>
              <w:keepLines/>
              <w:widowControl w:val="0"/>
              <w:spacing w:before="0"/>
              <w:jc w:val="center"/>
              <w:rPr>
                <w:sz w:val="20"/>
                <w:szCs w:val="20"/>
              </w:rPr>
            </w:pPr>
            <w:r w:rsidRPr="00C30087">
              <w:rPr>
                <w:sz w:val="20"/>
                <w:szCs w:val="20"/>
              </w:rPr>
              <w:t>12</w:t>
            </w:r>
          </w:p>
        </w:tc>
      </w:tr>
      <w:tr w:rsidR="007107B1" w:rsidRPr="00C30087" w14:paraId="04DB197A" w14:textId="77777777" w:rsidTr="007E1216">
        <w:tc>
          <w:tcPr>
            <w:tcW w:w="2970" w:type="dxa"/>
            <w:tcBorders>
              <w:top w:val="nil"/>
              <w:bottom w:val="single" w:sz="4" w:space="0" w:color="auto"/>
            </w:tcBorders>
          </w:tcPr>
          <w:p w14:paraId="74520232" w14:textId="77777777" w:rsidR="007107B1" w:rsidRPr="00C30087" w:rsidRDefault="007107B1" w:rsidP="00C30087">
            <w:pPr>
              <w:keepNext/>
              <w:keepLines/>
              <w:widowControl w:val="0"/>
              <w:spacing w:before="0"/>
              <w:ind w:left="166"/>
              <w:rPr>
                <w:sz w:val="20"/>
                <w:szCs w:val="20"/>
              </w:rPr>
            </w:pPr>
            <w:r w:rsidRPr="00C30087">
              <w:rPr>
                <w:sz w:val="20"/>
                <w:szCs w:val="20"/>
              </w:rPr>
              <w:t>Neutrophil count decrease</w:t>
            </w:r>
          </w:p>
        </w:tc>
        <w:tc>
          <w:tcPr>
            <w:tcW w:w="1620" w:type="dxa"/>
            <w:tcBorders>
              <w:top w:val="nil"/>
              <w:bottom w:val="single" w:sz="4" w:space="0" w:color="auto"/>
            </w:tcBorders>
          </w:tcPr>
          <w:p w14:paraId="092B3CA4" w14:textId="77777777" w:rsidR="007107B1" w:rsidRPr="00C30087" w:rsidRDefault="007107B1" w:rsidP="00C30087">
            <w:pPr>
              <w:keepNext/>
              <w:keepLines/>
              <w:widowControl w:val="0"/>
              <w:spacing w:before="0"/>
              <w:jc w:val="center"/>
              <w:rPr>
                <w:sz w:val="20"/>
                <w:szCs w:val="20"/>
              </w:rPr>
            </w:pPr>
            <w:r w:rsidRPr="00C30087">
              <w:rPr>
                <w:sz w:val="20"/>
                <w:szCs w:val="20"/>
              </w:rPr>
              <w:t>48</w:t>
            </w:r>
          </w:p>
        </w:tc>
        <w:tc>
          <w:tcPr>
            <w:tcW w:w="1620" w:type="dxa"/>
            <w:tcBorders>
              <w:top w:val="nil"/>
              <w:bottom w:val="single" w:sz="4" w:space="0" w:color="auto"/>
            </w:tcBorders>
          </w:tcPr>
          <w:p w14:paraId="5AC21873" w14:textId="77777777" w:rsidR="007107B1" w:rsidRPr="00C30087" w:rsidRDefault="007107B1" w:rsidP="00C30087">
            <w:pPr>
              <w:keepNext/>
              <w:keepLines/>
              <w:widowControl w:val="0"/>
              <w:spacing w:before="0"/>
              <w:jc w:val="center"/>
              <w:rPr>
                <w:sz w:val="20"/>
                <w:szCs w:val="20"/>
              </w:rPr>
            </w:pPr>
            <w:r w:rsidRPr="00C30087">
              <w:rPr>
                <w:sz w:val="20"/>
                <w:szCs w:val="20"/>
              </w:rPr>
              <w:t>12</w:t>
            </w:r>
          </w:p>
        </w:tc>
        <w:tc>
          <w:tcPr>
            <w:tcW w:w="1620" w:type="dxa"/>
            <w:tcBorders>
              <w:top w:val="nil"/>
              <w:bottom w:val="single" w:sz="4" w:space="0" w:color="auto"/>
            </w:tcBorders>
          </w:tcPr>
          <w:p w14:paraId="6330C872" w14:textId="77777777" w:rsidR="007107B1" w:rsidRPr="00C30087" w:rsidRDefault="007107B1" w:rsidP="00C30087">
            <w:pPr>
              <w:keepNext/>
              <w:keepLines/>
              <w:widowControl w:val="0"/>
              <w:spacing w:before="0"/>
              <w:jc w:val="center"/>
              <w:rPr>
                <w:sz w:val="20"/>
                <w:szCs w:val="20"/>
              </w:rPr>
            </w:pPr>
            <w:r w:rsidRPr="00C30087">
              <w:rPr>
                <w:sz w:val="20"/>
                <w:szCs w:val="20"/>
              </w:rPr>
              <w:t>19</w:t>
            </w:r>
          </w:p>
        </w:tc>
        <w:tc>
          <w:tcPr>
            <w:tcW w:w="1620" w:type="dxa"/>
            <w:tcBorders>
              <w:top w:val="nil"/>
              <w:bottom w:val="single" w:sz="4" w:space="0" w:color="auto"/>
            </w:tcBorders>
          </w:tcPr>
          <w:p w14:paraId="6186A0FE" w14:textId="77777777" w:rsidR="007107B1" w:rsidRPr="00C30087" w:rsidDel="00D9687F" w:rsidRDefault="007107B1" w:rsidP="00C30087">
            <w:pPr>
              <w:keepNext/>
              <w:keepLines/>
              <w:widowControl w:val="0"/>
              <w:spacing w:before="0"/>
              <w:jc w:val="center"/>
              <w:rPr>
                <w:sz w:val="20"/>
                <w:szCs w:val="20"/>
              </w:rPr>
            </w:pPr>
            <w:r w:rsidRPr="00C30087">
              <w:rPr>
                <w:sz w:val="20"/>
                <w:szCs w:val="20"/>
              </w:rPr>
              <w:t>7</w:t>
            </w:r>
          </w:p>
        </w:tc>
      </w:tr>
      <w:tr w:rsidR="007107B1" w:rsidRPr="00C30087" w14:paraId="0A1D74BF" w14:textId="77777777" w:rsidTr="007E1216">
        <w:tc>
          <w:tcPr>
            <w:tcW w:w="2970" w:type="dxa"/>
            <w:tcBorders>
              <w:top w:val="nil"/>
              <w:bottom w:val="nil"/>
            </w:tcBorders>
          </w:tcPr>
          <w:p w14:paraId="646D11B1" w14:textId="77777777" w:rsidR="007107B1" w:rsidRPr="00C30087" w:rsidRDefault="007107B1" w:rsidP="00C30087">
            <w:pPr>
              <w:keepNext/>
              <w:keepLines/>
              <w:spacing w:before="0"/>
              <w:rPr>
                <w:b/>
                <w:sz w:val="20"/>
                <w:szCs w:val="20"/>
              </w:rPr>
            </w:pPr>
            <w:r w:rsidRPr="00C30087">
              <w:rPr>
                <w:b/>
                <w:sz w:val="20"/>
                <w:szCs w:val="20"/>
              </w:rPr>
              <w:t>Chemistry</w:t>
            </w:r>
          </w:p>
        </w:tc>
        <w:tc>
          <w:tcPr>
            <w:tcW w:w="1620" w:type="dxa"/>
            <w:tcBorders>
              <w:top w:val="nil"/>
              <w:bottom w:val="nil"/>
            </w:tcBorders>
          </w:tcPr>
          <w:p w14:paraId="474CB23B" w14:textId="77777777" w:rsidR="007107B1" w:rsidRPr="00C30087" w:rsidRDefault="007107B1" w:rsidP="00C30087">
            <w:pPr>
              <w:keepNext/>
              <w:keepLines/>
              <w:spacing w:before="0"/>
              <w:jc w:val="center"/>
              <w:rPr>
                <w:sz w:val="20"/>
                <w:szCs w:val="20"/>
              </w:rPr>
            </w:pPr>
          </w:p>
        </w:tc>
        <w:tc>
          <w:tcPr>
            <w:tcW w:w="1620" w:type="dxa"/>
            <w:tcBorders>
              <w:top w:val="nil"/>
              <w:bottom w:val="nil"/>
            </w:tcBorders>
          </w:tcPr>
          <w:p w14:paraId="645E4FBB" w14:textId="77777777" w:rsidR="007107B1" w:rsidRPr="00C30087" w:rsidRDefault="007107B1" w:rsidP="00C30087">
            <w:pPr>
              <w:keepNext/>
              <w:keepLines/>
              <w:spacing w:before="0"/>
              <w:jc w:val="center"/>
              <w:rPr>
                <w:sz w:val="20"/>
                <w:szCs w:val="20"/>
              </w:rPr>
            </w:pPr>
          </w:p>
        </w:tc>
        <w:tc>
          <w:tcPr>
            <w:tcW w:w="1620" w:type="dxa"/>
            <w:tcBorders>
              <w:top w:val="nil"/>
              <w:bottom w:val="nil"/>
            </w:tcBorders>
          </w:tcPr>
          <w:p w14:paraId="1125B205" w14:textId="77777777" w:rsidR="007107B1" w:rsidRPr="00C30087" w:rsidRDefault="007107B1" w:rsidP="00C30087">
            <w:pPr>
              <w:keepNext/>
              <w:keepLines/>
              <w:spacing w:before="0"/>
              <w:jc w:val="center"/>
              <w:rPr>
                <w:sz w:val="20"/>
                <w:szCs w:val="20"/>
              </w:rPr>
            </w:pPr>
          </w:p>
        </w:tc>
        <w:tc>
          <w:tcPr>
            <w:tcW w:w="1620" w:type="dxa"/>
            <w:tcBorders>
              <w:top w:val="nil"/>
              <w:bottom w:val="nil"/>
            </w:tcBorders>
          </w:tcPr>
          <w:p w14:paraId="6E2B31AC" w14:textId="77777777" w:rsidR="007107B1" w:rsidRPr="00C30087" w:rsidRDefault="007107B1" w:rsidP="00C30087">
            <w:pPr>
              <w:keepNext/>
              <w:keepLines/>
              <w:spacing w:before="0"/>
              <w:jc w:val="center"/>
              <w:rPr>
                <w:sz w:val="20"/>
                <w:szCs w:val="20"/>
              </w:rPr>
            </w:pPr>
          </w:p>
        </w:tc>
      </w:tr>
      <w:tr w:rsidR="007107B1" w:rsidRPr="00C30087" w:rsidDel="00D9687F" w14:paraId="2B77FA88" w14:textId="77777777" w:rsidTr="007E1216">
        <w:tc>
          <w:tcPr>
            <w:tcW w:w="2970" w:type="dxa"/>
            <w:tcBorders>
              <w:top w:val="nil"/>
              <w:bottom w:val="nil"/>
            </w:tcBorders>
          </w:tcPr>
          <w:p w14:paraId="27146E2C" w14:textId="77777777" w:rsidR="007107B1" w:rsidRPr="00C30087" w:rsidRDefault="007107B1" w:rsidP="00C30087">
            <w:pPr>
              <w:keepNext/>
              <w:keepLines/>
              <w:spacing w:before="0"/>
              <w:ind w:left="166"/>
              <w:rPr>
                <w:sz w:val="20"/>
                <w:szCs w:val="20"/>
              </w:rPr>
            </w:pPr>
            <w:r w:rsidRPr="00C30087">
              <w:rPr>
                <w:sz w:val="20"/>
                <w:szCs w:val="20"/>
              </w:rPr>
              <w:t>Glucose increase</w:t>
            </w:r>
          </w:p>
        </w:tc>
        <w:tc>
          <w:tcPr>
            <w:tcW w:w="1620" w:type="dxa"/>
            <w:tcBorders>
              <w:top w:val="nil"/>
              <w:bottom w:val="nil"/>
            </w:tcBorders>
          </w:tcPr>
          <w:p w14:paraId="55D35CF5" w14:textId="77777777" w:rsidR="007107B1" w:rsidRPr="00C30087" w:rsidRDefault="007107B1" w:rsidP="00C30087">
            <w:pPr>
              <w:keepNext/>
              <w:keepLines/>
              <w:spacing w:before="0"/>
              <w:jc w:val="center"/>
              <w:rPr>
                <w:sz w:val="20"/>
                <w:szCs w:val="20"/>
              </w:rPr>
            </w:pPr>
            <w:r w:rsidRPr="00C30087">
              <w:rPr>
                <w:sz w:val="20"/>
                <w:szCs w:val="20"/>
              </w:rPr>
              <w:t>62</w:t>
            </w:r>
          </w:p>
        </w:tc>
        <w:tc>
          <w:tcPr>
            <w:tcW w:w="1620" w:type="dxa"/>
            <w:tcBorders>
              <w:top w:val="nil"/>
              <w:bottom w:val="nil"/>
            </w:tcBorders>
          </w:tcPr>
          <w:p w14:paraId="28A20E14" w14:textId="77777777" w:rsidR="007107B1" w:rsidRPr="00C30087" w:rsidRDefault="007107B1" w:rsidP="00C30087">
            <w:pPr>
              <w:keepNext/>
              <w:keepLines/>
              <w:spacing w:before="0"/>
              <w:jc w:val="center"/>
              <w:rPr>
                <w:sz w:val="20"/>
                <w:szCs w:val="20"/>
              </w:rPr>
            </w:pPr>
            <w:r w:rsidRPr="00C30087">
              <w:rPr>
                <w:sz w:val="20"/>
                <w:szCs w:val="20"/>
              </w:rPr>
              <w:t>3.8</w:t>
            </w:r>
          </w:p>
        </w:tc>
        <w:tc>
          <w:tcPr>
            <w:tcW w:w="1620" w:type="dxa"/>
            <w:tcBorders>
              <w:top w:val="nil"/>
              <w:bottom w:val="nil"/>
            </w:tcBorders>
          </w:tcPr>
          <w:p w14:paraId="6C02DE65" w14:textId="77777777" w:rsidR="007107B1" w:rsidRPr="00C30087" w:rsidRDefault="007107B1" w:rsidP="00C30087">
            <w:pPr>
              <w:keepNext/>
              <w:keepLines/>
              <w:spacing w:before="0"/>
              <w:jc w:val="center"/>
              <w:rPr>
                <w:sz w:val="20"/>
                <w:szCs w:val="20"/>
              </w:rPr>
            </w:pPr>
            <w:r w:rsidRPr="00C30087">
              <w:rPr>
                <w:sz w:val="20"/>
                <w:szCs w:val="20"/>
              </w:rPr>
              <w:t>47</w:t>
            </w:r>
          </w:p>
        </w:tc>
        <w:tc>
          <w:tcPr>
            <w:tcW w:w="1620" w:type="dxa"/>
            <w:tcBorders>
              <w:top w:val="nil"/>
              <w:bottom w:val="nil"/>
            </w:tcBorders>
          </w:tcPr>
          <w:p w14:paraId="451AAD52" w14:textId="77777777" w:rsidR="007107B1" w:rsidRPr="00C30087" w:rsidDel="00D9687F" w:rsidRDefault="007107B1" w:rsidP="00C30087">
            <w:pPr>
              <w:keepNext/>
              <w:keepLines/>
              <w:spacing w:before="0"/>
              <w:jc w:val="center"/>
              <w:rPr>
                <w:sz w:val="20"/>
                <w:szCs w:val="20"/>
              </w:rPr>
            </w:pPr>
            <w:r w:rsidRPr="00C30087">
              <w:rPr>
                <w:sz w:val="20"/>
                <w:szCs w:val="20"/>
              </w:rPr>
              <w:t>4.1</w:t>
            </w:r>
          </w:p>
        </w:tc>
      </w:tr>
      <w:tr w:rsidR="007107B1" w:rsidRPr="00C30087" w:rsidDel="00D9687F" w14:paraId="7D2D7FA4" w14:textId="77777777" w:rsidTr="007E1216">
        <w:tc>
          <w:tcPr>
            <w:tcW w:w="2970" w:type="dxa"/>
            <w:tcBorders>
              <w:top w:val="nil"/>
              <w:bottom w:val="nil"/>
            </w:tcBorders>
          </w:tcPr>
          <w:p w14:paraId="34D301C8" w14:textId="77777777" w:rsidR="007107B1" w:rsidRPr="00C30087" w:rsidRDefault="007107B1" w:rsidP="00C30087">
            <w:pPr>
              <w:keepNext/>
              <w:keepLines/>
              <w:spacing w:before="0"/>
              <w:ind w:left="166"/>
              <w:rPr>
                <w:sz w:val="20"/>
                <w:szCs w:val="20"/>
              </w:rPr>
            </w:pPr>
            <w:r w:rsidRPr="00C30087">
              <w:rPr>
                <w:sz w:val="20"/>
                <w:szCs w:val="20"/>
              </w:rPr>
              <w:t>Phosphate decrease</w:t>
            </w:r>
          </w:p>
        </w:tc>
        <w:tc>
          <w:tcPr>
            <w:tcW w:w="1620" w:type="dxa"/>
            <w:tcBorders>
              <w:top w:val="nil"/>
              <w:bottom w:val="nil"/>
            </w:tcBorders>
          </w:tcPr>
          <w:p w14:paraId="1DF82F59" w14:textId="77777777" w:rsidR="007107B1" w:rsidRPr="00C30087" w:rsidRDefault="007107B1" w:rsidP="00C30087">
            <w:pPr>
              <w:keepNext/>
              <w:keepLines/>
              <w:spacing w:before="0"/>
              <w:jc w:val="center"/>
              <w:rPr>
                <w:sz w:val="20"/>
                <w:szCs w:val="20"/>
              </w:rPr>
            </w:pPr>
            <w:r w:rsidRPr="00C30087">
              <w:rPr>
                <w:sz w:val="20"/>
                <w:szCs w:val="20"/>
              </w:rPr>
              <w:t>61</w:t>
            </w:r>
          </w:p>
        </w:tc>
        <w:tc>
          <w:tcPr>
            <w:tcW w:w="1620" w:type="dxa"/>
            <w:tcBorders>
              <w:top w:val="nil"/>
              <w:bottom w:val="nil"/>
            </w:tcBorders>
          </w:tcPr>
          <w:p w14:paraId="553D2D11" w14:textId="77777777" w:rsidR="007107B1" w:rsidRPr="00C30087" w:rsidRDefault="007107B1" w:rsidP="00C30087">
            <w:pPr>
              <w:keepNext/>
              <w:keepLines/>
              <w:spacing w:before="0"/>
              <w:jc w:val="center"/>
              <w:rPr>
                <w:sz w:val="20"/>
                <w:szCs w:val="20"/>
              </w:rPr>
            </w:pPr>
            <w:r w:rsidRPr="00C30087">
              <w:rPr>
                <w:sz w:val="20"/>
                <w:szCs w:val="20"/>
              </w:rPr>
              <w:t>23</w:t>
            </w:r>
          </w:p>
        </w:tc>
        <w:tc>
          <w:tcPr>
            <w:tcW w:w="1620" w:type="dxa"/>
            <w:tcBorders>
              <w:top w:val="nil"/>
              <w:bottom w:val="nil"/>
            </w:tcBorders>
          </w:tcPr>
          <w:p w14:paraId="26F6C6CF" w14:textId="77777777" w:rsidR="007107B1" w:rsidRPr="00C30087" w:rsidRDefault="007107B1" w:rsidP="00C30087">
            <w:pPr>
              <w:keepNext/>
              <w:keepLines/>
              <w:spacing w:before="0"/>
              <w:jc w:val="center"/>
              <w:rPr>
                <w:sz w:val="20"/>
                <w:szCs w:val="20"/>
              </w:rPr>
            </w:pPr>
            <w:r w:rsidRPr="00C30087">
              <w:rPr>
                <w:sz w:val="20"/>
                <w:szCs w:val="20"/>
              </w:rPr>
              <w:t>42</w:t>
            </w:r>
          </w:p>
        </w:tc>
        <w:tc>
          <w:tcPr>
            <w:tcW w:w="1620" w:type="dxa"/>
            <w:tcBorders>
              <w:top w:val="nil"/>
              <w:bottom w:val="nil"/>
            </w:tcBorders>
          </w:tcPr>
          <w:p w14:paraId="6435C0AC" w14:textId="77777777" w:rsidR="007107B1" w:rsidRPr="00C30087" w:rsidDel="00D9687F" w:rsidRDefault="007107B1" w:rsidP="00C30087">
            <w:pPr>
              <w:keepNext/>
              <w:keepLines/>
              <w:spacing w:before="0"/>
              <w:jc w:val="center"/>
              <w:rPr>
                <w:sz w:val="20"/>
                <w:szCs w:val="20"/>
              </w:rPr>
            </w:pPr>
            <w:r w:rsidRPr="00C30087">
              <w:rPr>
                <w:sz w:val="20"/>
                <w:szCs w:val="20"/>
              </w:rPr>
              <w:t>11</w:t>
            </w:r>
          </w:p>
        </w:tc>
      </w:tr>
      <w:tr w:rsidR="007107B1" w:rsidRPr="00C30087" w14:paraId="6A85A0E9" w14:textId="77777777" w:rsidTr="007E1216">
        <w:tc>
          <w:tcPr>
            <w:tcW w:w="2970" w:type="dxa"/>
            <w:tcBorders>
              <w:top w:val="nil"/>
              <w:bottom w:val="nil"/>
            </w:tcBorders>
          </w:tcPr>
          <w:p w14:paraId="5586ABC4" w14:textId="77777777" w:rsidR="007107B1" w:rsidRPr="00C30087" w:rsidRDefault="007107B1" w:rsidP="00C30087">
            <w:pPr>
              <w:keepNext/>
              <w:keepLines/>
              <w:spacing w:before="0"/>
              <w:ind w:left="166"/>
              <w:rPr>
                <w:sz w:val="20"/>
                <w:szCs w:val="20"/>
              </w:rPr>
            </w:pPr>
            <w:r w:rsidRPr="00C30087">
              <w:rPr>
                <w:sz w:val="20"/>
                <w:szCs w:val="20"/>
              </w:rPr>
              <w:t>Sodium decrease</w:t>
            </w:r>
          </w:p>
        </w:tc>
        <w:tc>
          <w:tcPr>
            <w:tcW w:w="1620" w:type="dxa"/>
            <w:tcBorders>
              <w:top w:val="nil"/>
              <w:bottom w:val="nil"/>
            </w:tcBorders>
          </w:tcPr>
          <w:p w14:paraId="2A785B57" w14:textId="77777777" w:rsidR="007107B1" w:rsidRPr="00C30087" w:rsidRDefault="007107B1" w:rsidP="00C30087">
            <w:pPr>
              <w:keepNext/>
              <w:keepLines/>
              <w:spacing w:before="0"/>
              <w:jc w:val="center"/>
              <w:rPr>
                <w:sz w:val="20"/>
                <w:szCs w:val="20"/>
              </w:rPr>
            </w:pPr>
            <w:r w:rsidRPr="00C30087">
              <w:rPr>
                <w:sz w:val="20"/>
                <w:szCs w:val="20"/>
              </w:rPr>
              <w:t>58</w:t>
            </w:r>
          </w:p>
        </w:tc>
        <w:tc>
          <w:tcPr>
            <w:tcW w:w="1620" w:type="dxa"/>
            <w:tcBorders>
              <w:top w:val="nil"/>
              <w:bottom w:val="nil"/>
            </w:tcBorders>
          </w:tcPr>
          <w:p w14:paraId="6654E9FA" w14:textId="77777777" w:rsidR="007107B1" w:rsidRPr="00C30087" w:rsidRDefault="007107B1" w:rsidP="00C30087">
            <w:pPr>
              <w:keepNext/>
              <w:keepLines/>
              <w:spacing w:before="0"/>
              <w:jc w:val="center"/>
              <w:rPr>
                <w:sz w:val="20"/>
                <w:szCs w:val="20"/>
              </w:rPr>
            </w:pPr>
            <w:r w:rsidRPr="00C30087">
              <w:rPr>
                <w:sz w:val="20"/>
                <w:szCs w:val="20"/>
              </w:rPr>
              <w:t>14</w:t>
            </w:r>
          </w:p>
        </w:tc>
        <w:tc>
          <w:tcPr>
            <w:tcW w:w="1620" w:type="dxa"/>
            <w:tcBorders>
              <w:top w:val="nil"/>
              <w:bottom w:val="nil"/>
            </w:tcBorders>
          </w:tcPr>
          <w:p w14:paraId="62A0FFB3" w14:textId="77777777" w:rsidR="007107B1" w:rsidRPr="00C30087" w:rsidRDefault="007107B1" w:rsidP="00C30087">
            <w:pPr>
              <w:keepNext/>
              <w:keepLines/>
              <w:spacing w:before="0"/>
              <w:jc w:val="center"/>
              <w:rPr>
                <w:sz w:val="20"/>
                <w:szCs w:val="20"/>
              </w:rPr>
            </w:pPr>
            <w:r w:rsidRPr="00C30087">
              <w:rPr>
                <w:sz w:val="20"/>
                <w:szCs w:val="20"/>
              </w:rPr>
              <w:t>25</w:t>
            </w:r>
          </w:p>
        </w:tc>
        <w:tc>
          <w:tcPr>
            <w:tcW w:w="1620" w:type="dxa"/>
            <w:tcBorders>
              <w:top w:val="nil"/>
              <w:bottom w:val="nil"/>
            </w:tcBorders>
          </w:tcPr>
          <w:p w14:paraId="557E54BC" w14:textId="77777777" w:rsidR="007107B1" w:rsidRPr="00C30087" w:rsidDel="00D9687F" w:rsidRDefault="007107B1" w:rsidP="00C30087">
            <w:pPr>
              <w:keepNext/>
              <w:keepLines/>
              <w:spacing w:before="0"/>
              <w:jc w:val="center"/>
              <w:rPr>
                <w:sz w:val="20"/>
                <w:szCs w:val="20"/>
              </w:rPr>
            </w:pPr>
            <w:r w:rsidRPr="00C30087">
              <w:rPr>
                <w:sz w:val="20"/>
                <w:szCs w:val="20"/>
              </w:rPr>
              <w:t>3</w:t>
            </w:r>
          </w:p>
        </w:tc>
      </w:tr>
      <w:tr w:rsidR="007107B1" w:rsidRPr="00C30087" w:rsidDel="00D9687F" w14:paraId="63ED249E" w14:textId="77777777" w:rsidTr="007E1216">
        <w:tc>
          <w:tcPr>
            <w:tcW w:w="2970" w:type="dxa"/>
            <w:tcBorders>
              <w:top w:val="nil"/>
              <w:bottom w:val="nil"/>
            </w:tcBorders>
          </w:tcPr>
          <w:p w14:paraId="237B0B13" w14:textId="77777777" w:rsidR="007107B1" w:rsidRPr="00C30087" w:rsidRDefault="007107B1" w:rsidP="00C30087">
            <w:pPr>
              <w:keepNext/>
              <w:keepLines/>
              <w:spacing w:before="0"/>
              <w:ind w:left="166"/>
              <w:rPr>
                <w:sz w:val="20"/>
                <w:szCs w:val="20"/>
              </w:rPr>
            </w:pPr>
            <w:r w:rsidRPr="00C30087">
              <w:rPr>
                <w:sz w:val="20"/>
                <w:szCs w:val="20"/>
              </w:rPr>
              <w:t>Calcium decrease</w:t>
            </w:r>
          </w:p>
        </w:tc>
        <w:tc>
          <w:tcPr>
            <w:tcW w:w="1620" w:type="dxa"/>
            <w:tcBorders>
              <w:top w:val="nil"/>
              <w:bottom w:val="nil"/>
            </w:tcBorders>
          </w:tcPr>
          <w:p w14:paraId="4264981E" w14:textId="77777777" w:rsidR="007107B1" w:rsidRPr="00C30087" w:rsidRDefault="007107B1" w:rsidP="00C30087">
            <w:pPr>
              <w:keepNext/>
              <w:keepLines/>
              <w:spacing w:before="0"/>
              <w:jc w:val="center"/>
              <w:rPr>
                <w:sz w:val="20"/>
                <w:szCs w:val="20"/>
              </w:rPr>
            </w:pPr>
            <w:r w:rsidRPr="00C30087">
              <w:rPr>
                <w:sz w:val="20"/>
                <w:szCs w:val="20"/>
              </w:rPr>
              <w:t>55</w:t>
            </w:r>
          </w:p>
        </w:tc>
        <w:tc>
          <w:tcPr>
            <w:tcW w:w="1620" w:type="dxa"/>
            <w:tcBorders>
              <w:top w:val="nil"/>
              <w:bottom w:val="nil"/>
            </w:tcBorders>
          </w:tcPr>
          <w:p w14:paraId="282C83ED" w14:textId="77777777" w:rsidR="007107B1" w:rsidRPr="00C30087" w:rsidRDefault="007107B1" w:rsidP="00C30087">
            <w:pPr>
              <w:keepNext/>
              <w:keepLines/>
              <w:spacing w:before="0"/>
              <w:jc w:val="center"/>
              <w:rPr>
                <w:sz w:val="20"/>
                <w:szCs w:val="20"/>
              </w:rPr>
            </w:pPr>
            <w:r w:rsidRPr="00C30087">
              <w:rPr>
                <w:sz w:val="20"/>
                <w:szCs w:val="20"/>
              </w:rPr>
              <w:t>2.1</w:t>
            </w:r>
          </w:p>
        </w:tc>
        <w:tc>
          <w:tcPr>
            <w:tcW w:w="1620" w:type="dxa"/>
            <w:tcBorders>
              <w:top w:val="nil"/>
              <w:bottom w:val="nil"/>
            </w:tcBorders>
          </w:tcPr>
          <w:p w14:paraId="4ECDEA72" w14:textId="77777777" w:rsidR="007107B1" w:rsidRPr="00C30087" w:rsidRDefault="007107B1" w:rsidP="00C30087">
            <w:pPr>
              <w:keepNext/>
              <w:keepLines/>
              <w:spacing w:before="0"/>
              <w:jc w:val="center"/>
              <w:rPr>
                <w:sz w:val="20"/>
                <w:szCs w:val="20"/>
              </w:rPr>
            </w:pPr>
            <w:r w:rsidRPr="00C30087">
              <w:rPr>
                <w:sz w:val="20"/>
                <w:szCs w:val="20"/>
              </w:rPr>
              <w:t>47</w:t>
            </w:r>
          </w:p>
        </w:tc>
        <w:tc>
          <w:tcPr>
            <w:tcW w:w="1620" w:type="dxa"/>
            <w:tcBorders>
              <w:top w:val="nil"/>
              <w:bottom w:val="nil"/>
            </w:tcBorders>
          </w:tcPr>
          <w:p w14:paraId="4CA7FEF7" w14:textId="77777777" w:rsidR="007107B1" w:rsidRPr="00C30087" w:rsidDel="00D9687F" w:rsidRDefault="007107B1" w:rsidP="00C30087">
            <w:pPr>
              <w:keepNext/>
              <w:keepLines/>
              <w:spacing w:before="0"/>
              <w:jc w:val="center"/>
              <w:rPr>
                <w:sz w:val="20"/>
                <w:szCs w:val="20"/>
              </w:rPr>
            </w:pPr>
            <w:r w:rsidRPr="00C30087">
              <w:rPr>
                <w:sz w:val="20"/>
                <w:szCs w:val="20"/>
              </w:rPr>
              <w:t>1</w:t>
            </w:r>
          </w:p>
        </w:tc>
      </w:tr>
      <w:tr w:rsidR="007107B1" w:rsidRPr="00C30087" w14:paraId="28DEA3AB" w14:textId="77777777" w:rsidTr="007E1216">
        <w:tc>
          <w:tcPr>
            <w:tcW w:w="2970" w:type="dxa"/>
            <w:tcBorders>
              <w:top w:val="nil"/>
              <w:bottom w:val="nil"/>
            </w:tcBorders>
          </w:tcPr>
          <w:p w14:paraId="1BA2A7E7" w14:textId="77777777" w:rsidR="007107B1" w:rsidRPr="00C30087" w:rsidRDefault="007107B1" w:rsidP="00C30087">
            <w:pPr>
              <w:keepNext/>
              <w:keepLines/>
              <w:spacing w:before="0"/>
              <w:ind w:left="166"/>
              <w:rPr>
                <w:sz w:val="20"/>
                <w:szCs w:val="20"/>
              </w:rPr>
            </w:pPr>
            <w:r w:rsidRPr="00C30087">
              <w:rPr>
                <w:sz w:val="20"/>
                <w:szCs w:val="20"/>
              </w:rPr>
              <w:t>Blood urea nitrogen increase</w:t>
            </w:r>
          </w:p>
        </w:tc>
        <w:tc>
          <w:tcPr>
            <w:tcW w:w="1620" w:type="dxa"/>
            <w:tcBorders>
              <w:top w:val="nil"/>
              <w:bottom w:val="nil"/>
            </w:tcBorders>
          </w:tcPr>
          <w:p w14:paraId="4A100EFA" w14:textId="77777777" w:rsidR="007107B1" w:rsidRPr="00C30087" w:rsidRDefault="007107B1" w:rsidP="00C30087">
            <w:pPr>
              <w:keepNext/>
              <w:keepLines/>
              <w:spacing w:before="0"/>
              <w:jc w:val="center"/>
              <w:rPr>
                <w:sz w:val="20"/>
                <w:szCs w:val="20"/>
              </w:rPr>
            </w:pPr>
            <w:r w:rsidRPr="00C30087">
              <w:rPr>
                <w:sz w:val="20"/>
                <w:szCs w:val="20"/>
              </w:rPr>
              <w:t>41</w:t>
            </w:r>
          </w:p>
        </w:tc>
        <w:tc>
          <w:tcPr>
            <w:tcW w:w="1620" w:type="dxa"/>
            <w:tcBorders>
              <w:top w:val="nil"/>
              <w:bottom w:val="nil"/>
            </w:tcBorders>
          </w:tcPr>
          <w:p w14:paraId="651B604A" w14:textId="77777777" w:rsidR="007107B1" w:rsidRPr="00C30087" w:rsidRDefault="007107B1" w:rsidP="00C30087">
            <w:pPr>
              <w:keepNext/>
              <w:keepLines/>
              <w:spacing w:before="0"/>
              <w:jc w:val="center"/>
              <w:rPr>
                <w:sz w:val="20"/>
                <w:szCs w:val="20"/>
              </w:rPr>
            </w:pPr>
            <w:r w:rsidRPr="00C30087">
              <w:rPr>
                <w:sz w:val="20"/>
                <w:szCs w:val="20"/>
              </w:rPr>
              <w:t>5</w:t>
            </w:r>
          </w:p>
        </w:tc>
        <w:tc>
          <w:tcPr>
            <w:tcW w:w="1620" w:type="dxa"/>
            <w:tcBorders>
              <w:top w:val="nil"/>
              <w:bottom w:val="nil"/>
            </w:tcBorders>
          </w:tcPr>
          <w:p w14:paraId="6649DE0F" w14:textId="77777777" w:rsidR="007107B1" w:rsidRPr="00C30087" w:rsidRDefault="007107B1" w:rsidP="00C30087">
            <w:pPr>
              <w:keepNext/>
              <w:keepLines/>
              <w:spacing w:before="0"/>
              <w:jc w:val="center"/>
              <w:rPr>
                <w:sz w:val="20"/>
                <w:szCs w:val="20"/>
              </w:rPr>
            </w:pPr>
            <w:r w:rsidRPr="00C30087">
              <w:rPr>
                <w:sz w:val="20"/>
                <w:szCs w:val="20"/>
              </w:rPr>
              <w:t>40</w:t>
            </w:r>
          </w:p>
        </w:tc>
        <w:tc>
          <w:tcPr>
            <w:tcW w:w="1620" w:type="dxa"/>
            <w:tcBorders>
              <w:top w:val="nil"/>
              <w:bottom w:val="nil"/>
            </w:tcBorders>
          </w:tcPr>
          <w:p w14:paraId="3AD8C3DC" w14:textId="77777777" w:rsidR="007107B1" w:rsidRPr="00C30087" w:rsidRDefault="007107B1" w:rsidP="00C30087">
            <w:pPr>
              <w:keepNext/>
              <w:keepLines/>
              <w:spacing w:before="0"/>
              <w:jc w:val="center"/>
              <w:rPr>
                <w:sz w:val="20"/>
                <w:szCs w:val="20"/>
              </w:rPr>
            </w:pPr>
            <w:r w:rsidRPr="00C30087">
              <w:rPr>
                <w:sz w:val="20"/>
                <w:szCs w:val="20"/>
              </w:rPr>
              <w:t>5</w:t>
            </w:r>
          </w:p>
        </w:tc>
      </w:tr>
      <w:tr w:rsidR="007107B1" w:rsidRPr="00C30087" w14:paraId="274E33AA" w14:textId="77777777" w:rsidTr="007E1216">
        <w:tc>
          <w:tcPr>
            <w:tcW w:w="2970" w:type="dxa"/>
            <w:tcBorders>
              <w:top w:val="nil"/>
              <w:bottom w:val="nil"/>
            </w:tcBorders>
          </w:tcPr>
          <w:p w14:paraId="00399B4F" w14:textId="77777777" w:rsidR="007107B1" w:rsidRPr="00C30087" w:rsidRDefault="007107B1" w:rsidP="00C30087">
            <w:pPr>
              <w:keepNext/>
              <w:keepLines/>
              <w:spacing w:before="0"/>
              <w:ind w:left="166"/>
              <w:rPr>
                <w:sz w:val="20"/>
                <w:szCs w:val="20"/>
              </w:rPr>
            </w:pPr>
            <w:r w:rsidRPr="00C30087">
              <w:rPr>
                <w:sz w:val="20"/>
                <w:szCs w:val="20"/>
              </w:rPr>
              <w:t>Creatinine increase</w:t>
            </w:r>
          </w:p>
        </w:tc>
        <w:tc>
          <w:tcPr>
            <w:tcW w:w="1620" w:type="dxa"/>
            <w:tcBorders>
              <w:top w:val="nil"/>
              <w:bottom w:val="nil"/>
            </w:tcBorders>
          </w:tcPr>
          <w:p w14:paraId="3D07E46A" w14:textId="77777777" w:rsidR="007107B1" w:rsidRPr="00C30087" w:rsidRDefault="007107B1" w:rsidP="00C30087">
            <w:pPr>
              <w:keepNext/>
              <w:keepLines/>
              <w:spacing w:before="0"/>
              <w:jc w:val="center"/>
              <w:rPr>
                <w:sz w:val="20"/>
                <w:szCs w:val="20"/>
              </w:rPr>
            </w:pPr>
            <w:r w:rsidRPr="00C30087">
              <w:rPr>
                <w:sz w:val="20"/>
                <w:szCs w:val="20"/>
              </w:rPr>
              <w:t>28</w:t>
            </w:r>
          </w:p>
        </w:tc>
        <w:tc>
          <w:tcPr>
            <w:tcW w:w="1620" w:type="dxa"/>
            <w:tcBorders>
              <w:top w:val="nil"/>
              <w:bottom w:val="nil"/>
            </w:tcBorders>
          </w:tcPr>
          <w:p w14:paraId="72D2919F" w14:textId="77777777" w:rsidR="007107B1" w:rsidRPr="00C30087" w:rsidRDefault="007107B1" w:rsidP="00C30087">
            <w:pPr>
              <w:keepNext/>
              <w:keepLines/>
              <w:spacing w:before="0"/>
              <w:jc w:val="center"/>
              <w:rPr>
                <w:sz w:val="20"/>
                <w:szCs w:val="20"/>
              </w:rPr>
            </w:pPr>
            <w:r w:rsidRPr="00C30087">
              <w:rPr>
                <w:sz w:val="20"/>
                <w:szCs w:val="20"/>
              </w:rPr>
              <w:t>3.6</w:t>
            </w:r>
          </w:p>
        </w:tc>
        <w:tc>
          <w:tcPr>
            <w:tcW w:w="1620" w:type="dxa"/>
            <w:tcBorders>
              <w:top w:val="nil"/>
              <w:bottom w:val="nil"/>
            </w:tcBorders>
          </w:tcPr>
          <w:p w14:paraId="13296432" w14:textId="77777777" w:rsidR="007107B1" w:rsidRPr="00C30087" w:rsidRDefault="007107B1" w:rsidP="00C30087">
            <w:pPr>
              <w:keepNext/>
              <w:keepLines/>
              <w:spacing w:before="0"/>
              <w:jc w:val="center"/>
              <w:rPr>
                <w:sz w:val="20"/>
                <w:szCs w:val="20"/>
              </w:rPr>
            </w:pPr>
            <w:r w:rsidRPr="00C30087">
              <w:rPr>
                <w:sz w:val="20"/>
                <w:szCs w:val="20"/>
              </w:rPr>
              <w:t>24</w:t>
            </w:r>
          </w:p>
        </w:tc>
        <w:tc>
          <w:tcPr>
            <w:tcW w:w="1620" w:type="dxa"/>
            <w:tcBorders>
              <w:top w:val="nil"/>
              <w:bottom w:val="nil"/>
            </w:tcBorders>
          </w:tcPr>
          <w:p w14:paraId="35F58724" w14:textId="77777777" w:rsidR="007107B1" w:rsidRPr="00C30087" w:rsidDel="00D9687F" w:rsidRDefault="007107B1" w:rsidP="00C30087">
            <w:pPr>
              <w:keepNext/>
              <w:keepLines/>
              <w:spacing w:before="0"/>
              <w:jc w:val="center"/>
              <w:rPr>
                <w:sz w:val="20"/>
                <w:szCs w:val="20"/>
              </w:rPr>
            </w:pPr>
            <w:r w:rsidRPr="00C30087">
              <w:rPr>
                <w:sz w:val="20"/>
                <w:szCs w:val="20"/>
              </w:rPr>
              <w:t>1.5</w:t>
            </w:r>
          </w:p>
        </w:tc>
      </w:tr>
      <w:tr w:rsidR="007107B1" w:rsidRPr="00C30087" w:rsidDel="00D9687F" w14:paraId="7E8B4251" w14:textId="77777777" w:rsidTr="007E1216">
        <w:tc>
          <w:tcPr>
            <w:tcW w:w="2970" w:type="dxa"/>
            <w:tcBorders>
              <w:top w:val="nil"/>
              <w:bottom w:val="nil"/>
            </w:tcBorders>
          </w:tcPr>
          <w:p w14:paraId="7E20D473" w14:textId="77777777" w:rsidR="007107B1" w:rsidRPr="00C30087" w:rsidRDefault="007107B1" w:rsidP="00C30087">
            <w:pPr>
              <w:keepNext/>
              <w:keepLines/>
              <w:spacing w:before="0"/>
              <w:ind w:left="166"/>
              <w:rPr>
                <w:sz w:val="20"/>
                <w:szCs w:val="20"/>
              </w:rPr>
            </w:pPr>
            <w:r w:rsidRPr="00C30087">
              <w:rPr>
                <w:sz w:val="20"/>
                <w:szCs w:val="20"/>
              </w:rPr>
              <w:t>Potassium decrease</w:t>
            </w:r>
          </w:p>
        </w:tc>
        <w:tc>
          <w:tcPr>
            <w:tcW w:w="1620" w:type="dxa"/>
            <w:tcBorders>
              <w:top w:val="nil"/>
              <w:bottom w:val="nil"/>
            </w:tcBorders>
          </w:tcPr>
          <w:p w14:paraId="4C833BDC" w14:textId="77777777" w:rsidR="007107B1" w:rsidRPr="00C30087" w:rsidRDefault="007107B1" w:rsidP="00C30087">
            <w:pPr>
              <w:keepNext/>
              <w:keepLines/>
              <w:spacing w:before="0"/>
              <w:jc w:val="center"/>
              <w:rPr>
                <w:sz w:val="20"/>
                <w:szCs w:val="20"/>
              </w:rPr>
            </w:pPr>
            <w:r w:rsidRPr="00C30087">
              <w:rPr>
                <w:sz w:val="20"/>
                <w:szCs w:val="20"/>
              </w:rPr>
              <w:t>27</w:t>
            </w:r>
          </w:p>
        </w:tc>
        <w:tc>
          <w:tcPr>
            <w:tcW w:w="1620" w:type="dxa"/>
            <w:tcBorders>
              <w:top w:val="nil"/>
              <w:bottom w:val="nil"/>
            </w:tcBorders>
          </w:tcPr>
          <w:p w14:paraId="619C38F7" w14:textId="77777777" w:rsidR="007107B1" w:rsidRPr="00C30087" w:rsidRDefault="007107B1" w:rsidP="00C30087">
            <w:pPr>
              <w:keepNext/>
              <w:keepLines/>
              <w:spacing w:before="0"/>
              <w:jc w:val="center"/>
              <w:rPr>
                <w:sz w:val="20"/>
                <w:szCs w:val="20"/>
              </w:rPr>
            </w:pPr>
            <w:r w:rsidRPr="00C30087">
              <w:rPr>
                <w:sz w:val="20"/>
                <w:szCs w:val="20"/>
              </w:rPr>
              <w:t>6</w:t>
            </w:r>
          </w:p>
        </w:tc>
        <w:tc>
          <w:tcPr>
            <w:tcW w:w="1620" w:type="dxa"/>
            <w:tcBorders>
              <w:top w:val="nil"/>
              <w:bottom w:val="nil"/>
            </w:tcBorders>
          </w:tcPr>
          <w:p w14:paraId="414257F6" w14:textId="77777777" w:rsidR="007107B1" w:rsidRPr="00C30087" w:rsidRDefault="007107B1" w:rsidP="00C30087">
            <w:pPr>
              <w:keepNext/>
              <w:keepLines/>
              <w:spacing w:before="0"/>
              <w:jc w:val="center"/>
              <w:rPr>
                <w:sz w:val="20"/>
                <w:szCs w:val="20"/>
              </w:rPr>
            </w:pPr>
            <w:r w:rsidRPr="00C30087">
              <w:rPr>
                <w:sz w:val="20"/>
                <w:szCs w:val="20"/>
              </w:rPr>
              <w:t>22</w:t>
            </w:r>
          </w:p>
        </w:tc>
        <w:tc>
          <w:tcPr>
            <w:tcW w:w="1620" w:type="dxa"/>
            <w:tcBorders>
              <w:top w:val="nil"/>
              <w:bottom w:val="nil"/>
            </w:tcBorders>
          </w:tcPr>
          <w:p w14:paraId="2935585A" w14:textId="77777777" w:rsidR="007107B1" w:rsidRPr="00C30087" w:rsidDel="00D9687F" w:rsidRDefault="007107B1" w:rsidP="00C30087">
            <w:pPr>
              <w:keepNext/>
              <w:keepLines/>
              <w:spacing w:before="0"/>
              <w:jc w:val="center"/>
              <w:rPr>
                <w:sz w:val="20"/>
                <w:szCs w:val="20"/>
              </w:rPr>
            </w:pPr>
            <w:r w:rsidRPr="00C30087">
              <w:rPr>
                <w:sz w:val="20"/>
                <w:szCs w:val="20"/>
              </w:rPr>
              <w:t>3.5</w:t>
            </w:r>
          </w:p>
        </w:tc>
      </w:tr>
      <w:tr w:rsidR="007107B1" w:rsidRPr="00C30087" w14:paraId="58D481D1" w14:textId="77777777" w:rsidTr="007E1216">
        <w:tc>
          <w:tcPr>
            <w:tcW w:w="2970" w:type="dxa"/>
            <w:tcBorders>
              <w:top w:val="nil"/>
              <w:bottom w:val="nil"/>
            </w:tcBorders>
          </w:tcPr>
          <w:p w14:paraId="3F7C2486" w14:textId="77777777" w:rsidR="007107B1" w:rsidRPr="00C30087" w:rsidRDefault="007107B1" w:rsidP="00C30087">
            <w:pPr>
              <w:keepNext/>
              <w:keepLines/>
              <w:spacing w:before="0"/>
              <w:ind w:left="166"/>
              <w:rPr>
                <w:sz w:val="20"/>
                <w:szCs w:val="20"/>
              </w:rPr>
            </w:pPr>
            <w:r w:rsidRPr="00C30087">
              <w:rPr>
                <w:sz w:val="20"/>
                <w:szCs w:val="20"/>
              </w:rPr>
              <w:t>Magnesium decrease</w:t>
            </w:r>
          </w:p>
        </w:tc>
        <w:tc>
          <w:tcPr>
            <w:tcW w:w="1620" w:type="dxa"/>
            <w:tcBorders>
              <w:top w:val="nil"/>
              <w:bottom w:val="nil"/>
            </w:tcBorders>
          </w:tcPr>
          <w:p w14:paraId="1891EF57" w14:textId="77777777" w:rsidR="007107B1" w:rsidRPr="00C30087" w:rsidRDefault="007107B1" w:rsidP="00C30087">
            <w:pPr>
              <w:keepNext/>
              <w:keepLines/>
              <w:spacing w:before="0"/>
              <w:jc w:val="center"/>
              <w:rPr>
                <w:sz w:val="20"/>
                <w:szCs w:val="20"/>
              </w:rPr>
            </w:pPr>
            <w:r w:rsidRPr="00C30087">
              <w:rPr>
                <w:sz w:val="20"/>
                <w:szCs w:val="20"/>
              </w:rPr>
              <w:t>27</w:t>
            </w:r>
          </w:p>
        </w:tc>
        <w:tc>
          <w:tcPr>
            <w:tcW w:w="1620" w:type="dxa"/>
            <w:tcBorders>
              <w:top w:val="nil"/>
              <w:bottom w:val="nil"/>
            </w:tcBorders>
          </w:tcPr>
          <w:p w14:paraId="31979B19" w14:textId="77777777" w:rsidR="007107B1" w:rsidRPr="00C30087" w:rsidRDefault="007107B1" w:rsidP="00C30087">
            <w:pPr>
              <w:keepNext/>
              <w:keepLines/>
              <w:spacing w:before="0"/>
              <w:jc w:val="center"/>
              <w:rPr>
                <w:sz w:val="20"/>
                <w:szCs w:val="20"/>
              </w:rPr>
            </w:pPr>
            <w:r w:rsidRPr="00C30087">
              <w:rPr>
                <w:sz w:val="20"/>
                <w:szCs w:val="20"/>
              </w:rPr>
              <w:t>&lt;1</w:t>
            </w:r>
          </w:p>
        </w:tc>
        <w:tc>
          <w:tcPr>
            <w:tcW w:w="1620" w:type="dxa"/>
            <w:tcBorders>
              <w:top w:val="nil"/>
              <w:bottom w:val="nil"/>
            </w:tcBorders>
          </w:tcPr>
          <w:p w14:paraId="2025D44B" w14:textId="77777777" w:rsidR="007107B1" w:rsidRPr="00C30087" w:rsidRDefault="007107B1" w:rsidP="00C30087">
            <w:pPr>
              <w:keepNext/>
              <w:keepLines/>
              <w:spacing w:before="0"/>
              <w:jc w:val="center"/>
              <w:rPr>
                <w:sz w:val="20"/>
                <w:szCs w:val="20"/>
              </w:rPr>
            </w:pPr>
            <w:r w:rsidRPr="00C30087">
              <w:rPr>
                <w:sz w:val="20"/>
                <w:szCs w:val="20"/>
              </w:rPr>
              <w:t>23</w:t>
            </w:r>
          </w:p>
        </w:tc>
        <w:tc>
          <w:tcPr>
            <w:tcW w:w="1620" w:type="dxa"/>
            <w:tcBorders>
              <w:top w:val="nil"/>
              <w:bottom w:val="nil"/>
            </w:tcBorders>
          </w:tcPr>
          <w:p w14:paraId="664DFC4A" w14:textId="77777777" w:rsidR="007107B1" w:rsidRPr="00C30087" w:rsidDel="00D9687F" w:rsidRDefault="007107B1" w:rsidP="00C30087">
            <w:pPr>
              <w:keepNext/>
              <w:keepLines/>
              <w:spacing w:before="0"/>
              <w:jc w:val="center"/>
              <w:rPr>
                <w:sz w:val="20"/>
                <w:szCs w:val="20"/>
              </w:rPr>
            </w:pPr>
            <w:r w:rsidRPr="00C30087">
              <w:rPr>
                <w:sz w:val="20"/>
                <w:szCs w:val="20"/>
              </w:rPr>
              <w:t>1.5</w:t>
            </w:r>
          </w:p>
        </w:tc>
      </w:tr>
      <w:tr w:rsidR="007107B1" w:rsidRPr="00C30087" w14:paraId="6AD5E104" w14:textId="77777777" w:rsidTr="007E1216">
        <w:tc>
          <w:tcPr>
            <w:tcW w:w="2970" w:type="dxa"/>
            <w:tcBorders>
              <w:top w:val="nil"/>
              <w:bottom w:val="nil"/>
            </w:tcBorders>
          </w:tcPr>
          <w:p w14:paraId="6B850E15" w14:textId="77777777" w:rsidR="007107B1" w:rsidRPr="00C30087" w:rsidRDefault="007107B1" w:rsidP="00C30087">
            <w:pPr>
              <w:keepNext/>
              <w:keepLines/>
              <w:spacing w:before="0"/>
              <w:ind w:left="166"/>
              <w:rPr>
                <w:sz w:val="20"/>
                <w:szCs w:val="20"/>
              </w:rPr>
            </w:pPr>
            <w:r w:rsidRPr="00C30087">
              <w:rPr>
                <w:sz w:val="20"/>
                <w:szCs w:val="20"/>
              </w:rPr>
              <w:t>Potassium increase</w:t>
            </w:r>
          </w:p>
        </w:tc>
        <w:tc>
          <w:tcPr>
            <w:tcW w:w="1620" w:type="dxa"/>
            <w:tcBorders>
              <w:top w:val="nil"/>
              <w:bottom w:val="nil"/>
            </w:tcBorders>
          </w:tcPr>
          <w:p w14:paraId="6A7A2FB1" w14:textId="77777777" w:rsidR="007107B1" w:rsidRPr="00C30087" w:rsidRDefault="007107B1" w:rsidP="00C30087">
            <w:pPr>
              <w:keepNext/>
              <w:keepLines/>
              <w:spacing w:before="0"/>
              <w:jc w:val="center"/>
              <w:rPr>
                <w:sz w:val="20"/>
                <w:szCs w:val="20"/>
              </w:rPr>
            </w:pPr>
            <w:r w:rsidRPr="00C30087">
              <w:rPr>
                <w:sz w:val="20"/>
                <w:szCs w:val="20"/>
              </w:rPr>
              <w:t>18</w:t>
            </w:r>
          </w:p>
        </w:tc>
        <w:tc>
          <w:tcPr>
            <w:tcW w:w="1620" w:type="dxa"/>
            <w:tcBorders>
              <w:top w:val="nil"/>
              <w:bottom w:val="nil"/>
            </w:tcBorders>
          </w:tcPr>
          <w:p w14:paraId="6C848113" w14:textId="77777777" w:rsidR="007107B1" w:rsidRPr="00C30087" w:rsidRDefault="007107B1" w:rsidP="00C30087">
            <w:pPr>
              <w:keepNext/>
              <w:keepLines/>
              <w:spacing w:before="0"/>
              <w:jc w:val="center"/>
              <w:rPr>
                <w:sz w:val="20"/>
                <w:szCs w:val="20"/>
              </w:rPr>
            </w:pPr>
            <w:r w:rsidRPr="00C30087">
              <w:rPr>
                <w:sz w:val="20"/>
                <w:szCs w:val="20"/>
              </w:rPr>
              <w:t>4.1</w:t>
            </w:r>
          </w:p>
        </w:tc>
        <w:tc>
          <w:tcPr>
            <w:tcW w:w="1620" w:type="dxa"/>
            <w:tcBorders>
              <w:top w:val="nil"/>
              <w:bottom w:val="nil"/>
            </w:tcBorders>
          </w:tcPr>
          <w:p w14:paraId="3258A5B2" w14:textId="77777777" w:rsidR="007107B1" w:rsidRPr="00C30087" w:rsidRDefault="007107B1" w:rsidP="00C30087">
            <w:pPr>
              <w:keepNext/>
              <w:keepLines/>
              <w:spacing w:before="0"/>
              <w:jc w:val="center"/>
              <w:rPr>
                <w:sz w:val="20"/>
                <w:szCs w:val="20"/>
              </w:rPr>
            </w:pPr>
            <w:r w:rsidRPr="00C30087">
              <w:rPr>
                <w:sz w:val="20"/>
                <w:szCs w:val="20"/>
              </w:rPr>
              <w:t>21</w:t>
            </w:r>
          </w:p>
        </w:tc>
        <w:tc>
          <w:tcPr>
            <w:tcW w:w="1620" w:type="dxa"/>
            <w:tcBorders>
              <w:top w:val="nil"/>
              <w:bottom w:val="nil"/>
            </w:tcBorders>
          </w:tcPr>
          <w:p w14:paraId="0DD977CE" w14:textId="77777777" w:rsidR="007107B1" w:rsidRPr="00C30087" w:rsidDel="00D9687F" w:rsidRDefault="007107B1" w:rsidP="00C30087">
            <w:pPr>
              <w:keepNext/>
              <w:keepLines/>
              <w:spacing w:before="0"/>
              <w:jc w:val="center"/>
              <w:rPr>
                <w:sz w:val="20"/>
                <w:szCs w:val="20"/>
              </w:rPr>
            </w:pPr>
            <w:r w:rsidRPr="00C30087">
              <w:rPr>
                <w:sz w:val="20"/>
                <w:szCs w:val="20"/>
              </w:rPr>
              <w:t>2.5</w:t>
            </w:r>
          </w:p>
        </w:tc>
      </w:tr>
      <w:tr w:rsidR="007107B1" w:rsidRPr="00C30087" w14:paraId="35075533" w14:textId="77777777" w:rsidTr="007E1216">
        <w:tc>
          <w:tcPr>
            <w:tcW w:w="2970" w:type="dxa"/>
            <w:tcBorders>
              <w:top w:val="single" w:sz="4" w:space="0" w:color="auto"/>
              <w:bottom w:val="nil"/>
            </w:tcBorders>
          </w:tcPr>
          <w:p w14:paraId="2A2645B9" w14:textId="77777777" w:rsidR="007107B1" w:rsidRPr="00C30087" w:rsidRDefault="007107B1" w:rsidP="00C30087">
            <w:pPr>
              <w:keepNext/>
              <w:keepLines/>
              <w:spacing w:before="0"/>
              <w:rPr>
                <w:b/>
                <w:sz w:val="20"/>
                <w:szCs w:val="20"/>
              </w:rPr>
            </w:pPr>
            <w:r w:rsidRPr="00C30087">
              <w:rPr>
                <w:b/>
                <w:sz w:val="20"/>
                <w:szCs w:val="20"/>
              </w:rPr>
              <w:t>Hepatic</w:t>
            </w:r>
          </w:p>
        </w:tc>
        <w:tc>
          <w:tcPr>
            <w:tcW w:w="1620" w:type="dxa"/>
            <w:tcBorders>
              <w:top w:val="single" w:sz="4" w:space="0" w:color="auto"/>
              <w:bottom w:val="nil"/>
            </w:tcBorders>
          </w:tcPr>
          <w:p w14:paraId="194D9A02" w14:textId="77777777" w:rsidR="007107B1" w:rsidRPr="00C30087" w:rsidRDefault="007107B1" w:rsidP="00C30087">
            <w:pPr>
              <w:keepNext/>
              <w:keepLines/>
              <w:spacing w:before="0"/>
              <w:jc w:val="center"/>
              <w:rPr>
                <w:sz w:val="20"/>
                <w:szCs w:val="20"/>
              </w:rPr>
            </w:pPr>
          </w:p>
        </w:tc>
        <w:tc>
          <w:tcPr>
            <w:tcW w:w="1620" w:type="dxa"/>
            <w:tcBorders>
              <w:top w:val="single" w:sz="4" w:space="0" w:color="auto"/>
              <w:bottom w:val="nil"/>
            </w:tcBorders>
          </w:tcPr>
          <w:p w14:paraId="511A035C" w14:textId="77777777" w:rsidR="007107B1" w:rsidRPr="00C30087" w:rsidRDefault="007107B1" w:rsidP="00C30087">
            <w:pPr>
              <w:keepNext/>
              <w:keepLines/>
              <w:spacing w:before="0"/>
              <w:jc w:val="center"/>
              <w:rPr>
                <w:sz w:val="20"/>
                <w:szCs w:val="20"/>
              </w:rPr>
            </w:pPr>
          </w:p>
        </w:tc>
        <w:tc>
          <w:tcPr>
            <w:tcW w:w="1620" w:type="dxa"/>
            <w:tcBorders>
              <w:top w:val="single" w:sz="4" w:space="0" w:color="auto"/>
              <w:bottom w:val="nil"/>
            </w:tcBorders>
          </w:tcPr>
          <w:p w14:paraId="6DFFC8F2" w14:textId="77777777" w:rsidR="007107B1" w:rsidRPr="00C30087" w:rsidRDefault="007107B1" w:rsidP="00C30087">
            <w:pPr>
              <w:keepNext/>
              <w:keepLines/>
              <w:spacing w:before="0"/>
              <w:jc w:val="center"/>
              <w:rPr>
                <w:sz w:val="20"/>
                <w:szCs w:val="20"/>
              </w:rPr>
            </w:pPr>
          </w:p>
        </w:tc>
        <w:tc>
          <w:tcPr>
            <w:tcW w:w="1620" w:type="dxa"/>
            <w:tcBorders>
              <w:top w:val="single" w:sz="4" w:space="0" w:color="auto"/>
              <w:bottom w:val="nil"/>
            </w:tcBorders>
          </w:tcPr>
          <w:p w14:paraId="08CCD4AB" w14:textId="77777777" w:rsidR="007107B1" w:rsidRPr="00C30087" w:rsidRDefault="007107B1" w:rsidP="00C30087">
            <w:pPr>
              <w:keepNext/>
              <w:keepLines/>
              <w:spacing w:before="0"/>
              <w:jc w:val="center"/>
              <w:rPr>
                <w:sz w:val="20"/>
                <w:szCs w:val="20"/>
              </w:rPr>
            </w:pPr>
          </w:p>
        </w:tc>
      </w:tr>
      <w:tr w:rsidR="007107B1" w:rsidRPr="00C30087" w14:paraId="4E2E9B56" w14:textId="77777777" w:rsidTr="007E1216">
        <w:tc>
          <w:tcPr>
            <w:tcW w:w="2970" w:type="dxa"/>
            <w:tcBorders>
              <w:top w:val="nil"/>
              <w:bottom w:val="nil"/>
            </w:tcBorders>
          </w:tcPr>
          <w:p w14:paraId="755C5E64" w14:textId="77777777" w:rsidR="007107B1" w:rsidRPr="00C30087" w:rsidRDefault="007107B1" w:rsidP="00C30087">
            <w:pPr>
              <w:keepNext/>
              <w:keepLines/>
              <w:spacing w:before="0"/>
              <w:ind w:left="166"/>
              <w:rPr>
                <w:sz w:val="20"/>
                <w:szCs w:val="20"/>
              </w:rPr>
            </w:pPr>
            <w:r w:rsidRPr="00C30087">
              <w:rPr>
                <w:sz w:val="20"/>
                <w:szCs w:val="20"/>
              </w:rPr>
              <w:t>ALT increase</w:t>
            </w:r>
          </w:p>
        </w:tc>
        <w:tc>
          <w:tcPr>
            <w:tcW w:w="1620" w:type="dxa"/>
            <w:tcBorders>
              <w:top w:val="nil"/>
              <w:bottom w:val="nil"/>
            </w:tcBorders>
          </w:tcPr>
          <w:p w14:paraId="739E0C80" w14:textId="77777777" w:rsidR="007107B1" w:rsidRPr="00C30087" w:rsidRDefault="007107B1" w:rsidP="00C30087">
            <w:pPr>
              <w:keepNext/>
              <w:keepLines/>
              <w:spacing w:before="0"/>
              <w:jc w:val="center"/>
              <w:rPr>
                <w:sz w:val="20"/>
                <w:szCs w:val="20"/>
              </w:rPr>
            </w:pPr>
            <w:r w:rsidRPr="00C30087">
              <w:rPr>
                <w:sz w:val="20"/>
                <w:szCs w:val="20"/>
              </w:rPr>
              <w:t>33</w:t>
            </w:r>
          </w:p>
        </w:tc>
        <w:tc>
          <w:tcPr>
            <w:tcW w:w="1620" w:type="dxa"/>
            <w:tcBorders>
              <w:top w:val="nil"/>
              <w:bottom w:val="nil"/>
            </w:tcBorders>
          </w:tcPr>
          <w:p w14:paraId="1152732E" w14:textId="77777777" w:rsidR="007107B1" w:rsidRPr="00C30087" w:rsidRDefault="007107B1" w:rsidP="00C30087">
            <w:pPr>
              <w:keepNext/>
              <w:keepLines/>
              <w:spacing w:before="0"/>
              <w:jc w:val="center"/>
              <w:rPr>
                <w:sz w:val="20"/>
                <w:szCs w:val="20"/>
              </w:rPr>
            </w:pPr>
            <w:r w:rsidRPr="00C30087">
              <w:rPr>
                <w:sz w:val="20"/>
                <w:szCs w:val="20"/>
              </w:rPr>
              <w:t>3.1</w:t>
            </w:r>
          </w:p>
        </w:tc>
        <w:tc>
          <w:tcPr>
            <w:tcW w:w="1620" w:type="dxa"/>
            <w:tcBorders>
              <w:top w:val="nil"/>
              <w:bottom w:val="nil"/>
            </w:tcBorders>
          </w:tcPr>
          <w:p w14:paraId="231955BF" w14:textId="77777777" w:rsidR="007107B1" w:rsidRPr="00C30087" w:rsidRDefault="007107B1" w:rsidP="00C30087">
            <w:pPr>
              <w:keepNext/>
              <w:keepLines/>
              <w:spacing w:before="0"/>
              <w:jc w:val="center"/>
              <w:rPr>
                <w:sz w:val="20"/>
                <w:szCs w:val="20"/>
              </w:rPr>
            </w:pPr>
            <w:r w:rsidRPr="00C30087">
              <w:rPr>
                <w:sz w:val="20"/>
                <w:szCs w:val="20"/>
              </w:rPr>
              <w:t>30</w:t>
            </w:r>
          </w:p>
        </w:tc>
        <w:tc>
          <w:tcPr>
            <w:tcW w:w="1620" w:type="dxa"/>
            <w:tcBorders>
              <w:top w:val="nil"/>
              <w:bottom w:val="nil"/>
            </w:tcBorders>
          </w:tcPr>
          <w:p w14:paraId="1DFB5668" w14:textId="77777777" w:rsidR="007107B1" w:rsidRPr="00C30087" w:rsidDel="00D9687F" w:rsidRDefault="007107B1" w:rsidP="00C30087">
            <w:pPr>
              <w:keepNext/>
              <w:keepLines/>
              <w:spacing w:before="0"/>
              <w:jc w:val="center"/>
              <w:rPr>
                <w:sz w:val="20"/>
                <w:szCs w:val="20"/>
              </w:rPr>
            </w:pPr>
            <w:r w:rsidRPr="00C30087">
              <w:rPr>
                <w:sz w:val="20"/>
                <w:szCs w:val="20"/>
              </w:rPr>
              <w:t>&lt;1</w:t>
            </w:r>
          </w:p>
        </w:tc>
      </w:tr>
      <w:tr w:rsidR="007107B1" w:rsidRPr="00C30087" w14:paraId="56935749" w14:textId="77777777" w:rsidTr="007E1216">
        <w:tc>
          <w:tcPr>
            <w:tcW w:w="2970" w:type="dxa"/>
            <w:tcBorders>
              <w:top w:val="nil"/>
              <w:bottom w:val="nil"/>
            </w:tcBorders>
          </w:tcPr>
          <w:p w14:paraId="6D0A1DFD" w14:textId="77777777" w:rsidR="007107B1" w:rsidRPr="00C30087" w:rsidRDefault="007107B1" w:rsidP="00C30087">
            <w:pPr>
              <w:keepNext/>
              <w:keepLines/>
              <w:spacing w:before="0"/>
              <w:ind w:left="166"/>
              <w:rPr>
                <w:sz w:val="20"/>
                <w:szCs w:val="20"/>
              </w:rPr>
            </w:pPr>
            <w:r w:rsidRPr="00C30087">
              <w:rPr>
                <w:sz w:val="20"/>
                <w:szCs w:val="20"/>
              </w:rPr>
              <w:t>Albumin decrease</w:t>
            </w:r>
          </w:p>
        </w:tc>
        <w:tc>
          <w:tcPr>
            <w:tcW w:w="1620" w:type="dxa"/>
            <w:tcBorders>
              <w:top w:val="nil"/>
              <w:bottom w:val="nil"/>
            </w:tcBorders>
          </w:tcPr>
          <w:p w14:paraId="382D5465" w14:textId="77777777" w:rsidR="007107B1" w:rsidRPr="00C30087" w:rsidRDefault="007107B1" w:rsidP="00C30087">
            <w:pPr>
              <w:keepNext/>
              <w:keepLines/>
              <w:spacing w:before="0"/>
              <w:jc w:val="center"/>
              <w:rPr>
                <w:sz w:val="20"/>
                <w:szCs w:val="20"/>
              </w:rPr>
            </w:pPr>
            <w:r w:rsidRPr="00C30087">
              <w:rPr>
                <w:sz w:val="20"/>
                <w:szCs w:val="20"/>
              </w:rPr>
              <w:t>27</w:t>
            </w:r>
          </w:p>
        </w:tc>
        <w:tc>
          <w:tcPr>
            <w:tcW w:w="1620" w:type="dxa"/>
            <w:tcBorders>
              <w:top w:val="nil"/>
              <w:bottom w:val="nil"/>
            </w:tcBorders>
          </w:tcPr>
          <w:p w14:paraId="3E0B664E" w14:textId="77777777" w:rsidR="007107B1" w:rsidRPr="00C30087" w:rsidRDefault="007107B1" w:rsidP="00C30087">
            <w:pPr>
              <w:keepNext/>
              <w:keepLines/>
              <w:spacing w:before="0"/>
              <w:jc w:val="center"/>
              <w:rPr>
                <w:sz w:val="20"/>
                <w:szCs w:val="20"/>
              </w:rPr>
            </w:pPr>
            <w:r w:rsidRPr="00C30087">
              <w:rPr>
                <w:sz w:val="20"/>
                <w:szCs w:val="20"/>
              </w:rPr>
              <w:t>&lt;1</w:t>
            </w:r>
          </w:p>
        </w:tc>
        <w:tc>
          <w:tcPr>
            <w:tcW w:w="1620" w:type="dxa"/>
            <w:tcBorders>
              <w:top w:val="nil"/>
              <w:bottom w:val="nil"/>
            </w:tcBorders>
          </w:tcPr>
          <w:p w14:paraId="5660A057" w14:textId="77777777" w:rsidR="007107B1" w:rsidRPr="00C30087" w:rsidRDefault="007107B1" w:rsidP="00C30087">
            <w:pPr>
              <w:keepNext/>
              <w:keepLines/>
              <w:spacing w:before="0"/>
              <w:jc w:val="center"/>
              <w:rPr>
                <w:sz w:val="20"/>
                <w:szCs w:val="20"/>
              </w:rPr>
            </w:pPr>
            <w:r w:rsidRPr="00C30087">
              <w:rPr>
                <w:sz w:val="20"/>
                <w:szCs w:val="20"/>
              </w:rPr>
              <w:t>35</w:t>
            </w:r>
          </w:p>
        </w:tc>
        <w:tc>
          <w:tcPr>
            <w:tcW w:w="1620" w:type="dxa"/>
            <w:tcBorders>
              <w:top w:val="nil"/>
              <w:bottom w:val="nil"/>
            </w:tcBorders>
          </w:tcPr>
          <w:p w14:paraId="53F419EC" w14:textId="77777777" w:rsidR="007107B1" w:rsidRPr="00C30087" w:rsidDel="00D9687F" w:rsidRDefault="007107B1" w:rsidP="00C30087">
            <w:pPr>
              <w:keepNext/>
              <w:keepLines/>
              <w:spacing w:before="0"/>
              <w:jc w:val="center"/>
              <w:rPr>
                <w:sz w:val="20"/>
                <w:szCs w:val="20"/>
              </w:rPr>
            </w:pPr>
            <w:r w:rsidRPr="00C30087">
              <w:rPr>
                <w:sz w:val="20"/>
                <w:szCs w:val="20"/>
              </w:rPr>
              <w:t>&lt;1</w:t>
            </w:r>
          </w:p>
        </w:tc>
      </w:tr>
      <w:tr w:rsidR="007107B1" w:rsidRPr="00C30087" w14:paraId="7B69086D" w14:textId="77777777" w:rsidTr="007E1216">
        <w:tc>
          <w:tcPr>
            <w:tcW w:w="2970" w:type="dxa"/>
            <w:tcBorders>
              <w:top w:val="nil"/>
              <w:bottom w:val="nil"/>
            </w:tcBorders>
          </w:tcPr>
          <w:p w14:paraId="6D888294" w14:textId="77777777" w:rsidR="007107B1" w:rsidRPr="00C30087" w:rsidRDefault="007107B1" w:rsidP="00C30087">
            <w:pPr>
              <w:keepNext/>
              <w:keepLines/>
              <w:spacing w:before="0"/>
              <w:ind w:left="166"/>
              <w:rPr>
                <w:sz w:val="20"/>
                <w:szCs w:val="20"/>
              </w:rPr>
            </w:pPr>
            <w:r w:rsidRPr="00C30087">
              <w:rPr>
                <w:sz w:val="20"/>
                <w:szCs w:val="20"/>
              </w:rPr>
              <w:t>AST increase</w:t>
            </w:r>
          </w:p>
        </w:tc>
        <w:tc>
          <w:tcPr>
            <w:tcW w:w="1620" w:type="dxa"/>
            <w:tcBorders>
              <w:top w:val="nil"/>
              <w:bottom w:val="nil"/>
            </w:tcBorders>
          </w:tcPr>
          <w:p w14:paraId="290659A9" w14:textId="77777777" w:rsidR="007107B1" w:rsidRPr="00C30087" w:rsidRDefault="007107B1" w:rsidP="00C30087">
            <w:pPr>
              <w:keepNext/>
              <w:keepLines/>
              <w:spacing w:before="0"/>
              <w:jc w:val="center"/>
              <w:rPr>
                <w:sz w:val="20"/>
                <w:szCs w:val="20"/>
              </w:rPr>
            </w:pPr>
            <w:r w:rsidRPr="00C30087">
              <w:rPr>
                <w:sz w:val="20"/>
                <w:szCs w:val="20"/>
              </w:rPr>
              <w:t>24</w:t>
            </w:r>
          </w:p>
        </w:tc>
        <w:tc>
          <w:tcPr>
            <w:tcW w:w="1620" w:type="dxa"/>
            <w:tcBorders>
              <w:top w:val="nil"/>
              <w:bottom w:val="nil"/>
            </w:tcBorders>
          </w:tcPr>
          <w:p w14:paraId="73AA5F77" w14:textId="77777777" w:rsidR="007107B1" w:rsidRPr="00C30087" w:rsidRDefault="007107B1" w:rsidP="00C30087">
            <w:pPr>
              <w:keepNext/>
              <w:keepLines/>
              <w:spacing w:before="0"/>
              <w:jc w:val="center"/>
              <w:rPr>
                <w:sz w:val="20"/>
                <w:szCs w:val="20"/>
              </w:rPr>
            </w:pPr>
            <w:r w:rsidRPr="00C30087">
              <w:rPr>
                <w:sz w:val="20"/>
                <w:szCs w:val="20"/>
              </w:rPr>
              <w:t>1.5</w:t>
            </w:r>
          </w:p>
        </w:tc>
        <w:tc>
          <w:tcPr>
            <w:tcW w:w="1620" w:type="dxa"/>
            <w:tcBorders>
              <w:top w:val="nil"/>
              <w:bottom w:val="nil"/>
            </w:tcBorders>
          </w:tcPr>
          <w:p w14:paraId="6A1D4579" w14:textId="77777777" w:rsidR="007107B1" w:rsidRPr="00C30087" w:rsidRDefault="007107B1" w:rsidP="00C30087">
            <w:pPr>
              <w:keepNext/>
              <w:keepLines/>
              <w:spacing w:before="0"/>
              <w:jc w:val="center"/>
              <w:rPr>
                <w:sz w:val="20"/>
                <w:szCs w:val="20"/>
              </w:rPr>
            </w:pPr>
            <w:r w:rsidRPr="00C30087">
              <w:rPr>
                <w:sz w:val="20"/>
                <w:szCs w:val="20"/>
              </w:rPr>
              <w:t>19</w:t>
            </w:r>
          </w:p>
        </w:tc>
        <w:tc>
          <w:tcPr>
            <w:tcW w:w="1620" w:type="dxa"/>
            <w:tcBorders>
              <w:top w:val="nil"/>
              <w:bottom w:val="nil"/>
            </w:tcBorders>
          </w:tcPr>
          <w:p w14:paraId="7FFF2CDD" w14:textId="77777777" w:rsidR="007107B1" w:rsidRPr="00C30087" w:rsidDel="00D9687F" w:rsidRDefault="007107B1" w:rsidP="00C30087">
            <w:pPr>
              <w:keepNext/>
              <w:keepLines/>
              <w:spacing w:before="0"/>
              <w:jc w:val="center"/>
              <w:rPr>
                <w:sz w:val="20"/>
                <w:szCs w:val="20"/>
              </w:rPr>
            </w:pPr>
            <w:r w:rsidRPr="00C30087">
              <w:rPr>
                <w:sz w:val="20"/>
                <w:szCs w:val="20"/>
              </w:rPr>
              <w:t>&lt;1</w:t>
            </w:r>
          </w:p>
        </w:tc>
      </w:tr>
      <w:tr w:rsidR="007107B1" w:rsidRPr="00C30087" w14:paraId="3671A669" w14:textId="77777777" w:rsidTr="007E1216">
        <w:tc>
          <w:tcPr>
            <w:tcW w:w="2970" w:type="dxa"/>
            <w:tcBorders>
              <w:top w:val="nil"/>
              <w:bottom w:val="nil"/>
            </w:tcBorders>
          </w:tcPr>
          <w:p w14:paraId="07753E67" w14:textId="77777777" w:rsidR="007107B1" w:rsidRPr="00C30087" w:rsidRDefault="007107B1" w:rsidP="00C30087">
            <w:pPr>
              <w:keepNext/>
              <w:keepLines/>
              <w:spacing w:before="0"/>
              <w:ind w:left="166"/>
              <w:rPr>
                <w:sz w:val="20"/>
                <w:szCs w:val="20"/>
              </w:rPr>
            </w:pPr>
            <w:r w:rsidRPr="00C30087">
              <w:rPr>
                <w:sz w:val="20"/>
                <w:szCs w:val="20"/>
              </w:rPr>
              <w:t>Bilirubin increase</w:t>
            </w:r>
          </w:p>
        </w:tc>
        <w:tc>
          <w:tcPr>
            <w:tcW w:w="1620" w:type="dxa"/>
            <w:tcBorders>
              <w:top w:val="nil"/>
              <w:bottom w:val="nil"/>
            </w:tcBorders>
          </w:tcPr>
          <w:p w14:paraId="37E7B230" w14:textId="77777777" w:rsidR="007107B1" w:rsidRPr="00C30087" w:rsidRDefault="007107B1" w:rsidP="00C30087">
            <w:pPr>
              <w:keepNext/>
              <w:keepLines/>
              <w:spacing w:before="0"/>
              <w:jc w:val="center"/>
              <w:rPr>
                <w:sz w:val="20"/>
                <w:szCs w:val="20"/>
              </w:rPr>
            </w:pPr>
            <w:r w:rsidRPr="00C30087">
              <w:rPr>
                <w:sz w:val="20"/>
                <w:szCs w:val="20"/>
              </w:rPr>
              <w:t>16</w:t>
            </w:r>
          </w:p>
        </w:tc>
        <w:tc>
          <w:tcPr>
            <w:tcW w:w="1620" w:type="dxa"/>
            <w:tcBorders>
              <w:top w:val="nil"/>
              <w:bottom w:val="nil"/>
            </w:tcBorders>
          </w:tcPr>
          <w:p w14:paraId="4EAB9AD4" w14:textId="77777777" w:rsidR="007107B1" w:rsidRPr="00C30087" w:rsidRDefault="007107B1" w:rsidP="00C30087">
            <w:pPr>
              <w:keepNext/>
              <w:keepLines/>
              <w:spacing w:before="0"/>
              <w:jc w:val="center"/>
              <w:rPr>
                <w:sz w:val="20"/>
                <w:szCs w:val="20"/>
              </w:rPr>
            </w:pPr>
            <w:r w:rsidRPr="00C30087">
              <w:rPr>
                <w:sz w:val="20"/>
                <w:szCs w:val="20"/>
              </w:rPr>
              <w:t>1</w:t>
            </w:r>
          </w:p>
        </w:tc>
        <w:tc>
          <w:tcPr>
            <w:tcW w:w="1620" w:type="dxa"/>
            <w:tcBorders>
              <w:top w:val="nil"/>
              <w:bottom w:val="nil"/>
            </w:tcBorders>
          </w:tcPr>
          <w:p w14:paraId="285F841E" w14:textId="77777777" w:rsidR="007107B1" w:rsidRPr="00C30087" w:rsidRDefault="007107B1" w:rsidP="00C30087">
            <w:pPr>
              <w:keepNext/>
              <w:keepLines/>
              <w:spacing w:before="0"/>
              <w:jc w:val="center"/>
              <w:rPr>
                <w:sz w:val="20"/>
                <w:szCs w:val="20"/>
              </w:rPr>
            </w:pPr>
            <w:r w:rsidRPr="00C30087">
              <w:rPr>
                <w:sz w:val="20"/>
                <w:szCs w:val="20"/>
              </w:rPr>
              <w:t>13</w:t>
            </w:r>
          </w:p>
        </w:tc>
        <w:tc>
          <w:tcPr>
            <w:tcW w:w="1620" w:type="dxa"/>
            <w:tcBorders>
              <w:top w:val="nil"/>
              <w:bottom w:val="nil"/>
            </w:tcBorders>
          </w:tcPr>
          <w:p w14:paraId="735C4937" w14:textId="77777777" w:rsidR="007107B1" w:rsidRPr="00C30087" w:rsidDel="00D9687F" w:rsidRDefault="007107B1" w:rsidP="00C30087">
            <w:pPr>
              <w:keepNext/>
              <w:keepLines/>
              <w:spacing w:before="0"/>
              <w:jc w:val="center"/>
              <w:rPr>
                <w:sz w:val="20"/>
                <w:szCs w:val="20"/>
              </w:rPr>
            </w:pPr>
            <w:r w:rsidRPr="00C30087">
              <w:rPr>
                <w:sz w:val="20"/>
                <w:szCs w:val="20"/>
              </w:rPr>
              <w:t>2</w:t>
            </w:r>
          </w:p>
        </w:tc>
      </w:tr>
      <w:tr w:rsidR="007107B1" w:rsidRPr="00C30087" w14:paraId="70364F6D" w14:textId="77777777" w:rsidTr="007E1216">
        <w:tc>
          <w:tcPr>
            <w:tcW w:w="2970" w:type="dxa"/>
            <w:tcBorders>
              <w:top w:val="nil"/>
              <w:bottom w:val="single" w:sz="4" w:space="0" w:color="auto"/>
            </w:tcBorders>
          </w:tcPr>
          <w:p w14:paraId="4109E57B" w14:textId="77777777" w:rsidR="007107B1" w:rsidRPr="00C30087" w:rsidRDefault="007107B1" w:rsidP="00C30087">
            <w:pPr>
              <w:keepNext/>
              <w:keepLines/>
              <w:spacing w:before="0"/>
              <w:ind w:left="166"/>
              <w:rPr>
                <w:sz w:val="20"/>
                <w:szCs w:val="20"/>
              </w:rPr>
            </w:pPr>
            <w:r w:rsidRPr="00C30087">
              <w:rPr>
                <w:sz w:val="20"/>
                <w:szCs w:val="20"/>
              </w:rPr>
              <w:t>ALP increase</w:t>
            </w:r>
          </w:p>
        </w:tc>
        <w:tc>
          <w:tcPr>
            <w:tcW w:w="1620" w:type="dxa"/>
            <w:tcBorders>
              <w:top w:val="nil"/>
              <w:bottom w:val="single" w:sz="4" w:space="0" w:color="auto"/>
            </w:tcBorders>
          </w:tcPr>
          <w:p w14:paraId="33B589A2" w14:textId="77777777" w:rsidR="007107B1" w:rsidRPr="00C30087" w:rsidRDefault="007107B1" w:rsidP="00C30087">
            <w:pPr>
              <w:keepNext/>
              <w:keepLines/>
              <w:spacing w:before="0"/>
              <w:jc w:val="center"/>
              <w:rPr>
                <w:sz w:val="20"/>
                <w:szCs w:val="20"/>
              </w:rPr>
            </w:pPr>
            <w:r w:rsidRPr="00C30087">
              <w:rPr>
                <w:sz w:val="20"/>
                <w:szCs w:val="20"/>
              </w:rPr>
              <w:t>12</w:t>
            </w:r>
          </w:p>
        </w:tc>
        <w:tc>
          <w:tcPr>
            <w:tcW w:w="1620" w:type="dxa"/>
            <w:tcBorders>
              <w:top w:val="nil"/>
              <w:bottom w:val="single" w:sz="4" w:space="0" w:color="auto"/>
            </w:tcBorders>
          </w:tcPr>
          <w:p w14:paraId="566DDF8C" w14:textId="77777777" w:rsidR="007107B1" w:rsidRPr="00C30087" w:rsidRDefault="007107B1" w:rsidP="00C30087">
            <w:pPr>
              <w:keepNext/>
              <w:keepLines/>
              <w:spacing w:before="0"/>
              <w:jc w:val="center"/>
              <w:rPr>
                <w:sz w:val="20"/>
                <w:szCs w:val="20"/>
              </w:rPr>
            </w:pPr>
            <w:r w:rsidRPr="00C30087">
              <w:rPr>
                <w:sz w:val="20"/>
                <w:szCs w:val="20"/>
              </w:rPr>
              <w:t>0</w:t>
            </w:r>
          </w:p>
        </w:tc>
        <w:tc>
          <w:tcPr>
            <w:tcW w:w="1620" w:type="dxa"/>
            <w:tcBorders>
              <w:top w:val="nil"/>
              <w:bottom w:val="single" w:sz="4" w:space="0" w:color="auto"/>
            </w:tcBorders>
          </w:tcPr>
          <w:p w14:paraId="5025D394" w14:textId="77777777" w:rsidR="007107B1" w:rsidRPr="00C30087" w:rsidRDefault="007107B1" w:rsidP="00C30087">
            <w:pPr>
              <w:keepNext/>
              <w:keepLines/>
              <w:spacing w:before="0"/>
              <w:jc w:val="center"/>
              <w:rPr>
                <w:sz w:val="20"/>
                <w:szCs w:val="20"/>
              </w:rPr>
            </w:pPr>
            <w:r w:rsidRPr="00C30087">
              <w:rPr>
                <w:sz w:val="20"/>
                <w:szCs w:val="20"/>
              </w:rPr>
              <w:t>16</w:t>
            </w:r>
          </w:p>
        </w:tc>
        <w:tc>
          <w:tcPr>
            <w:tcW w:w="1620" w:type="dxa"/>
            <w:tcBorders>
              <w:top w:val="nil"/>
              <w:bottom w:val="single" w:sz="4" w:space="0" w:color="auto"/>
            </w:tcBorders>
          </w:tcPr>
          <w:p w14:paraId="5632A6D0" w14:textId="77777777" w:rsidR="007107B1" w:rsidRPr="00C30087" w:rsidRDefault="007107B1" w:rsidP="00C30087">
            <w:pPr>
              <w:keepNext/>
              <w:keepLines/>
              <w:spacing w:before="0"/>
              <w:jc w:val="center"/>
              <w:rPr>
                <w:sz w:val="20"/>
                <w:szCs w:val="20"/>
              </w:rPr>
            </w:pPr>
            <w:r w:rsidRPr="00C30087">
              <w:rPr>
                <w:sz w:val="20"/>
                <w:szCs w:val="20"/>
              </w:rPr>
              <w:t>&lt;1</w:t>
            </w:r>
          </w:p>
        </w:tc>
      </w:tr>
      <w:tr w:rsidR="007107B1" w:rsidRPr="00C30087" w14:paraId="5B8099CF" w14:textId="77777777" w:rsidTr="007E1216">
        <w:tc>
          <w:tcPr>
            <w:tcW w:w="9450" w:type="dxa"/>
            <w:gridSpan w:val="5"/>
            <w:tcBorders>
              <w:top w:val="nil"/>
              <w:left w:val="nil"/>
              <w:bottom w:val="nil"/>
              <w:right w:val="nil"/>
            </w:tcBorders>
          </w:tcPr>
          <w:p w14:paraId="7454279D" w14:textId="52796E4A" w:rsidR="00CD76DA" w:rsidRPr="002B5FD1" w:rsidRDefault="007107B1" w:rsidP="00C30087">
            <w:pPr>
              <w:spacing w:before="0"/>
              <w:ind w:left="-105"/>
              <w:rPr>
                <w:sz w:val="20"/>
                <w:szCs w:val="20"/>
              </w:rPr>
            </w:pPr>
            <w:r w:rsidRPr="002B5FD1">
              <w:rPr>
                <w:sz w:val="20"/>
                <w:szCs w:val="20"/>
              </w:rPr>
              <w:t>The denominator used to calculate the rate varied from 91 to 201 based on the number of patients with at least one post-treatment value</w:t>
            </w:r>
            <w:r w:rsidR="00CD76DA" w:rsidRPr="00C30087">
              <w:rPr>
                <w:sz w:val="20"/>
                <w:szCs w:val="20"/>
              </w:rPr>
              <w:t xml:space="preserve">.  </w:t>
            </w:r>
            <w:r w:rsidR="00B514EC" w:rsidRPr="00C30087">
              <w:rPr>
                <w:sz w:val="20"/>
                <w:szCs w:val="20"/>
              </w:rPr>
              <w:t>a</w:t>
            </w:r>
            <w:r w:rsidR="00CD76DA" w:rsidRPr="00C30087">
              <w:rPr>
                <w:sz w:val="20"/>
                <w:szCs w:val="20"/>
              </w:rPr>
              <w:t>. Include one fatal anemia.</w:t>
            </w:r>
          </w:p>
        </w:tc>
      </w:tr>
    </w:tbl>
    <w:p w14:paraId="4D7F46E8" w14:textId="3C7340D7" w:rsidR="00C26A1B" w:rsidRPr="00C26A1B" w:rsidRDefault="001C168D" w:rsidP="00F53F5F">
      <w:pPr>
        <w:pStyle w:val="Heading4"/>
        <w:numPr>
          <w:ilvl w:val="0"/>
          <w:numId w:val="0"/>
        </w:numPr>
        <w:ind w:left="862" w:hanging="862"/>
        <w:rPr>
          <w:lang w:val="en-AU"/>
        </w:rPr>
      </w:pPr>
      <w:r>
        <w:rPr>
          <w:lang w:val="en-AU"/>
        </w:rPr>
        <w:t>I</w:t>
      </w:r>
      <w:r w:rsidR="00C26A1B">
        <w:rPr>
          <w:lang w:val="en-AU"/>
        </w:rPr>
        <w:t xml:space="preserve">n combination </w:t>
      </w:r>
      <w:r w:rsidR="00ED7B57">
        <w:rPr>
          <w:lang w:val="en-AU"/>
        </w:rPr>
        <w:t>d</w:t>
      </w:r>
      <w:r w:rsidR="00C26A1B">
        <w:rPr>
          <w:lang w:val="en-AU"/>
        </w:rPr>
        <w:t>examethasone</w:t>
      </w:r>
      <w:r>
        <w:rPr>
          <w:lang w:val="en-AU"/>
        </w:rPr>
        <w:t xml:space="preserve"> (Sd; STORM Trial)</w:t>
      </w:r>
    </w:p>
    <w:p w14:paraId="19FAE17B" w14:textId="2AE6EF8C" w:rsidR="009878E2" w:rsidRPr="008B3F91" w:rsidRDefault="009878E2" w:rsidP="009878E2">
      <w:pPr>
        <w:rPr>
          <w:color w:val="auto"/>
          <w:lang w:val="en-AU"/>
        </w:rPr>
      </w:pPr>
      <w:r w:rsidRPr="001468A9">
        <w:rPr>
          <w:lang w:val="en-AU"/>
        </w:rPr>
        <w:t xml:space="preserve">The most frequent </w:t>
      </w:r>
      <w:r w:rsidR="000A222B">
        <w:rPr>
          <w:lang w:val="en-AU"/>
        </w:rPr>
        <w:t>AEs</w:t>
      </w:r>
      <w:r w:rsidRPr="001468A9">
        <w:rPr>
          <w:lang w:val="en-AU"/>
        </w:rPr>
        <w:t xml:space="preserve"> were nausea (75%), thrombocytopenia (75%), fatigue </w:t>
      </w:r>
      <w:r w:rsidRPr="008B3F91">
        <w:rPr>
          <w:color w:val="auto"/>
          <w:lang w:val="en-AU"/>
        </w:rPr>
        <w:t>(66%), anaemia (</w:t>
      </w:r>
      <w:r w:rsidR="004B1391" w:rsidRPr="008B3F91">
        <w:rPr>
          <w:color w:val="auto"/>
          <w:lang w:val="en-AU"/>
        </w:rPr>
        <w:t>60</w:t>
      </w:r>
      <w:r w:rsidRPr="008B3F91">
        <w:rPr>
          <w:color w:val="auto"/>
          <w:lang w:val="en-AU"/>
        </w:rPr>
        <w:t>%), decreased appetite (56%), decreased weight (49%), diarrhoea (47%), vomiting (43%), hyponatraemia (40%), neutropenia (36%) and leukopenia (30%).</w:t>
      </w:r>
    </w:p>
    <w:p w14:paraId="7360D189" w14:textId="7A9D1079" w:rsidR="009878E2" w:rsidRPr="008B3F91" w:rsidRDefault="009878E2" w:rsidP="009878E2">
      <w:pPr>
        <w:rPr>
          <w:color w:val="auto"/>
          <w:lang w:val="en-AU"/>
        </w:rPr>
      </w:pPr>
      <w:r w:rsidRPr="008B3F91">
        <w:rPr>
          <w:color w:val="auto"/>
          <w:lang w:val="en-AU"/>
        </w:rPr>
        <w:t xml:space="preserve">Serious </w:t>
      </w:r>
      <w:r w:rsidR="00CF6347" w:rsidRPr="008B3F91">
        <w:rPr>
          <w:color w:val="auto"/>
          <w:lang w:val="en-AU"/>
        </w:rPr>
        <w:t xml:space="preserve">AEs </w:t>
      </w:r>
      <w:r w:rsidRPr="008B3F91">
        <w:rPr>
          <w:color w:val="auto"/>
          <w:lang w:val="en-AU"/>
        </w:rPr>
        <w:t>were pneumonia (7.5%), sepsis (6.1%) thrombocytopenia (4.7%), acute kidney injury (3.7%), anaemia (3.3%), hyponatraemia (2.8%), pyrexia (2.8%), and dehydration (2.3%).</w:t>
      </w:r>
    </w:p>
    <w:p w14:paraId="44A9E6E3" w14:textId="3C7378F5" w:rsidR="001D2D8F" w:rsidRPr="00FA1502" w:rsidRDefault="001D2D8F" w:rsidP="008B3F91">
      <w:pPr>
        <w:pStyle w:val="Heading4"/>
        <w:numPr>
          <w:ilvl w:val="0"/>
          <w:numId w:val="0"/>
        </w:numPr>
        <w:ind w:left="862" w:hanging="862"/>
        <w:rPr>
          <w:lang w:val="en-AU"/>
        </w:rPr>
      </w:pPr>
      <w:r w:rsidRPr="00FA1502">
        <w:rPr>
          <w:lang w:val="en-AU"/>
        </w:rPr>
        <w:t xml:space="preserve">Tabulated list of </w:t>
      </w:r>
      <w:r w:rsidR="00FC727F">
        <w:rPr>
          <w:lang w:val="en-AU"/>
        </w:rPr>
        <w:t>AEs</w:t>
      </w:r>
    </w:p>
    <w:p w14:paraId="23C79528" w14:textId="00625603" w:rsidR="001D2D8F" w:rsidRPr="001468A9" w:rsidRDefault="001F4DB2" w:rsidP="001D2D8F">
      <w:pPr>
        <w:rPr>
          <w:lang w:val="en-AU"/>
        </w:rPr>
      </w:pPr>
      <w:r>
        <w:rPr>
          <w:lang w:val="en-AU"/>
        </w:rPr>
        <w:t xml:space="preserve">AEs </w:t>
      </w:r>
      <w:r w:rsidR="001D2D8F" w:rsidRPr="001468A9">
        <w:rPr>
          <w:lang w:val="en-AU"/>
        </w:rPr>
        <w:t xml:space="preserve">are presented by MedDRA system organ class and within each SOC and frequency grouping, </w:t>
      </w:r>
      <w:r w:rsidR="007B6080">
        <w:rPr>
          <w:lang w:val="en-AU"/>
        </w:rPr>
        <w:t>AEs</w:t>
      </w:r>
      <w:r w:rsidR="001D2D8F" w:rsidRPr="001468A9">
        <w:rPr>
          <w:lang w:val="en-AU"/>
        </w:rPr>
        <w:t xml:space="preserve"> are presented in order of decreasing seriousness</w:t>
      </w:r>
      <w:r w:rsidR="00FA73D7">
        <w:rPr>
          <w:lang w:val="en-AU"/>
        </w:rPr>
        <w:t xml:space="preserve"> </w:t>
      </w:r>
      <w:r w:rsidR="00FA73D7">
        <w:rPr>
          <w:lang w:val="en-AU"/>
        </w:rPr>
        <w:fldChar w:fldCharType="begin"/>
      </w:r>
      <w:r w:rsidR="00FA73D7">
        <w:rPr>
          <w:lang w:val="en-AU"/>
        </w:rPr>
        <w:instrText xml:space="preserve"> REF _Ref46843195 \h </w:instrText>
      </w:r>
      <w:r w:rsidR="00FA73D7">
        <w:rPr>
          <w:lang w:val="en-AU"/>
        </w:rPr>
      </w:r>
      <w:r w:rsidR="00FA73D7">
        <w:rPr>
          <w:lang w:val="en-AU"/>
        </w:rPr>
        <w:fldChar w:fldCharType="separate"/>
      </w:r>
      <w:r w:rsidR="00F53F5F" w:rsidRPr="001468A9">
        <w:rPr>
          <w:lang w:val="en-AU"/>
        </w:rPr>
        <w:t>Table </w:t>
      </w:r>
      <w:r w:rsidR="00F53F5F">
        <w:rPr>
          <w:noProof/>
          <w:lang w:val="en-AU"/>
        </w:rPr>
        <w:t>6</w:t>
      </w:r>
      <w:r w:rsidR="00FA73D7">
        <w:rPr>
          <w:lang w:val="en-AU"/>
        </w:rPr>
        <w:fldChar w:fldCharType="end"/>
      </w:r>
      <w:r w:rsidR="001D2D8F" w:rsidRPr="001468A9">
        <w:rPr>
          <w:lang w:val="en-AU"/>
        </w:rPr>
        <w:t>. Frequency categories are defined as: very common (≥ 1/10); common (≥ 1/100 to &lt; 1/10); uncommon (≥ 1/1,000 to &lt; 1/100); rare (≥ 1/10,000 to &lt; 1/1,000); very rare (&lt; 1/10,000), not known (cannot be estimated from the available data).</w:t>
      </w:r>
      <w:r w:rsidR="00FA73D7">
        <w:rPr>
          <w:lang w:val="en-AU"/>
        </w:rPr>
        <w:t xml:space="preserve"> </w:t>
      </w:r>
      <w:r w:rsidR="007F7A2B">
        <w:rPr>
          <w:lang w:val="en-AU"/>
        </w:rPr>
        <w:t>AEs</w:t>
      </w:r>
      <w:r w:rsidR="00A24341">
        <w:rPr>
          <w:lang w:val="en-AU"/>
        </w:rPr>
        <w:t xml:space="preserve"> </w:t>
      </w:r>
      <w:r w:rsidR="00FA73D7">
        <w:rPr>
          <w:lang w:val="en-AU"/>
        </w:rPr>
        <w:t xml:space="preserve">presented by </w:t>
      </w:r>
      <w:r w:rsidR="00725059">
        <w:rPr>
          <w:lang w:val="en-AU"/>
        </w:rPr>
        <w:t xml:space="preserve">Any </w:t>
      </w:r>
      <w:r w:rsidR="00FA73D7">
        <w:rPr>
          <w:lang w:val="en-AU"/>
        </w:rPr>
        <w:t xml:space="preserve">Grade </w:t>
      </w:r>
      <w:r w:rsidR="00725059">
        <w:rPr>
          <w:lang w:val="en-AU"/>
        </w:rPr>
        <w:t xml:space="preserve">and Grade </w:t>
      </w:r>
      <w:r w:rsidR="00FA73D7">
        <w:rPr>
          <w:lang w:val="en-AU"/>
        </w:rPr>
        <w:t xml:space="preserve">are presented in </w:t>
      </w:r>
      <w:r w:rsidR="00FA73D7">
        <w:rPr>
          <w:lang w:val="en-AU"/>
        </w:rPr>
        <w:fldChar w:fldCharType="begin"/>
      </w:r>
      <w:r w:rsidR="00FA73D7">
        <w:rPr>
          <w:lang w:val="en-AU"/>
        </w:rPr>
        <w:instrText xml:space="preserve"> REF _Ref53989250 \h </w:instrText>
      </w:r>
      <w:r w:rsidR="00FA73D7">
        <w:rPr>
          <w:lang w:val="en-AU"/>
        </w:rPr>
      </w:r>
      <w:r w:rsidR="00FA73D7">
        <w:rPr>
          <w:lang w:val="en-AU"/>
        </w:rPr>
        <w:fldChar w:fldCharType="separate"/>
      </w:r>
      <w:r w:rsidR="00F53F5F">
        <w:t xml:space="preserve">Table </w:t>
      </w:r>
      <w:r w:rsidR="00F53F5F">
        <w:rPr>
          <w:noProof/>
        </w:rPr>
        <w:t>7</w:t>
      </w:r>
      <w:r w:rsidR="00FA73D7">
        <w:rPr>
          <w:lang w:val="en-AU"/>
        </w:rPr>
        <w:fldChar w:fldCharType="end"/>
      </w:r>
      <w:r w:rsidR="00FA73D7">
        <w:rPr>
          <w:lang w:val="en-AU"/>
        </w:rPr>
        <w:t>.</w:t>
      </w:r>
      <w:r w:rsidR="00A24341">
        <w:rPr>
          <w:lang w:val="en-AU"/>
        </w:rPr>
        <w:t xml:space="preserve"> </w:t>
      </w:r>
    </w:p>
    <w:p w14:paraId="3AB1DB06" w14:textId="61783E41" w:rsidR="001D2D8F" w:rsidRDefault="001D2D8F" w:rsidP="001D2D8F">
      <w:pPr>
        <w:pStyle w:val="Caption"/>
        <w:rPr>
          <w:lang w:val="en-AU"/>
        </w:rPr>
      </w:pPr>
      <w:bookmarkStart w:id="24" w:name="_Ref46843195"/>
      <w:r w:rsidRPr="001468A9">
        <w:rPr>
          <w:lang w:val="en-AU"/>
        </w:rPr>
        <w:lastRenderedPageBreak/>
        <w:t>Table </w:t>
      </w:r>
      <w:r w:rsidRPr="001468A9">
        <w:rPr>
          <w:lang w:val="en-AU"/>
        </w:rPr>
        <w:fldChar w:fldCharType="begin"/>
      </w:r>
      <w:r w:rsidRPr="001468A9">
        <w:rPr>
          <w:lang w:val="en-AU"/>
        </w:rPr>
        <w:instrText xml:space="preserve"> SEQ Table \* ARABIC </w:instrText>
      </w:r>
      <w:r w:rsidRPr="001468A9">
        <w:rPr>
          <w:lang w:val="en-AU"/>
        </w:rPr>
        <w:fldChar w:fldCharType="separate"/>
      </w:r>
      <w:r w:rsidR="00F53F5F">
        <w:rPr>
          <w:noProof/>
          <w:lang w:val="en-AU"/>
        </w:rPr>
        <w:t>6</w:t>
      </w:r>
      <w:r w:rsidRPr="001468A9">
        <w:rPr>
          <w:lang w:val="en-AU"/>
        </w:rPr>
        <w:fldChar w:fldCharType="end"/>
      </w:r>
      <w:bookmarkEnd w:id="24"/>
      <w:r w:rsidRPr="001468A9">
        <w:rPr>
          <w:lang w:val="en-AU"/>
        </w:rPr>
        <w:t xml:space="preserve">: </w:t>
      </w:r>
      <w:r w:rsidR="00A90621">
        <w:rPr>
          <w:lang w:val="en-AU"/>
        </w:rPr>
        <w:t xml:space="preserve">AEs </w:t>
      </w:r>
      <w:r>
        <w:rPr>
          <w:lang w:val="en-AU"/>
        </w:rPr>
        <w:t xml:space="preserve">with </w:t>
      </w:r>
      <w:r w:rsidR="00AB648C">
        <w:rPr>
          <w:lang w:val="en-AU"/>
        </w:rPr>
        <w:t>S</w:t>
      </w:r>
      <w:r>
        <w:rPr>
          <w:lang w:val="en-AU"/>
        </w:rPr>
        <w:t>elinexor</w:t>
      </w:r>
      <w:r w:rsidRPr="0087712D">
        <w:rPr>
          <w:lang w:val="en-AU"/>
        </w:rPr>
        <w:t xml:space="preserve"> </w:t>
      </w:r>
      <w:r>
        <w:rPr>
          <w:lang w:val="en-AU"/>
        </w:rPr>
        <w:t xml:space="preserve">80 mg and </w:t>
      </w:r>
      <w:r w:rsidR="00AB648C">
        <w:rPr>
          <w:lang w:val="en-AU"/>
        </w:rPr>
        <w:t>D</w:t>
      </w:r>
      <w:r>
        <w:rPr>
          <w:lang w:val="en-AU"/>
        </w:rPr>
        <w:t xml:space="preserve">examethasone 20 mg </w:t>
      </w:r>
      <w:r w:rsidRPr="0087712D">
        <w:rPr>
          <w:lang w:val="en-AU"/>
        </w:rPr>
        <w:t xml:space="preserve">in </w:t>
      </w:r>
      <w:r>
        <w:rPr>
          <w:lang w:val="en-AU"/>
        </w:rPr>
        <w:t xml:space="preserve">the STORM </w:t>
      </w:r>
      <w:r w:rsidR="00AB648C">
        <w:rPr>
          <w:lang w:val="en-AU"/>
        </w:rPr>
        <w:t>T</w:t>
      </w:r>
      <w:r>
        <w:rPr>
          <w:lang w:val="en-AU"/>
        </w:rPr>
        <w: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51"/>
        <w:gridCol w:w="3049"/>
      </w:tblGrid>
      <w:tr w:rsidR="001D2D8F" w:rsidRPr="008A0AFE" w14:paraId="6DE165D0" w14:textId="77777777" w:rsidTr="0035666A">
        <w:trPr>
          <w:trHeight w:val="184"/>
          <w:tblHeader/>
        </w:trPr>
        <w:tc>
          <w:tcPr>
            <w:tcW w:w="1667" w:type="pct"/>
          </w:tcPr>
          <w:p w14:paraId="542C578F" w14:textId="77777777" w:rsidR="001D2D8F" w:rsidRPr="001468A9" w:rsidRDefault="001D2D8F" w:rsidP="0035666A">
            <w:pPr>
              <w:pStyle w:val="TblHeadingLeft"/>
              <w:rPr>
                <w:noProof w:val="0"/>
                <w:lang w:val="en-AU"/>
              </w:rPr>
            </w:pPr>
            <w:r w:rsidRPr="001468A9">
              <w:rPr>
                <w:lang w:val="en-AU"/>
              </w:rPr>
              <w:t xml:space="preserve">System organ class/ </w:t>
            </w:r>
            <w:r w:rsidRPr="001468A9">
              <w:rPr>
                <w:lang w:val="en-AU"/>
              </w:rPr>
              <w:br/>
              <w:t xml:space="preserve">preferred term </w:t>
            </w:r>
          </w:p>
        </w:tc>
        <w:tc>
          <w:tcPr>
            <w:tcW w:w="1667" w:type="pct"/>
          </w:tcPr>
          <w:p w14:paraId="4427F5BF" w14:textId="433228A4" w:rsidR="001D2D8F" w:rsidRPr="001468A9" w:rsidRDefault="001D2D8F" w:rsidP="0035666A">
            <w:pPr>
              <w:pStyle w:val="TblHeadingLeft"/>
              <w:rPr>
                <w:noProof w:val="0"/>
                <w:lang w:val="en-AU"/>
              </w:rPr>
            </w:pPr>
            <w:r w:rsidRPr="001468A9">
              <w:rPr>
                <w:lang w:val="en-AU"/>
              </w:rPr>
              <w:t xml:space="preserve">All </w:t>
            </w:r>
            <w:r w:rsidR="00A90621">
              <w:rPr>
                <w:lang w:val="en-AU"/>
              </w:rPr>
              <w:t>AEs</w:t>
            </w:r>
            <w:r w:rsidRPr="001468A9">
              <w:rPr>
                <w:lang w:val="en-AU"/>
              </w:rPr>
              <w:t xml:space="preserve">/frequency </w:t>
            </w:r>
          </w:p>
        </w:tc>
        <w:tc>
          <w:tcPr>
            <w:tcW w:w="1666" w:type="pct"/>
          </w:tcPr>
          <w:p w14:paraId="4C0B7056" w14:textId="268DC9E6" w:rsidR="001D2D8F" w:rsidRPr="001468A9" w:rsidRDefault="001D2D8F" w:rsidP="0035666A">
            <w:pPr>
              <w:pStyle w:val="TblHeadingLeft"/>
              <w:rPr>
                <w:noProof w:val="0"/>
                <w:lang w:val="en-AU"/>
              </w:rPr>
            </w:pPr>
            <w:r w:rsidRPr="001468A9">
              <w:rPr>
                <w:lang w:val="en-AU"/>
              </w:rPr>
              <w:t xml:space="preserve">Grade 3-4 </w:t>
            </w:r>
            <w:r w:rsidR="00A90621">
              <w:rPr>
                <w:lang w:val="en-AU"/>
              </w:rPr>
              <w:t>AEs</w:t>
            </w:r>
            <w:r w:rsidRPr="001468A9">
              <w:rPr>
                <w:lang w:val="en-AU"/>
              </w:rPr>
              <w:t xml:space="preserve">/frequency </w:t>
            </w:r>
          </w:p>
        </w:tc>
      </w:tr>
      <w:tr w:rsidR="001D2D8F" w:rsidRPr="008A0AFE" w14:paraId="466B5C01" w14:textId="77777777" w:rsidTr="0035666A">
        <w:trPr>
          <w:trHeight w:val="590"/>
        </w:trPr>
        <w:tc>
          <w:tcPr>
            <w:tcW w:w="1667" w:type="pct"/>
          </w:tcPr>
          <w:p w14:paraId="7B0BBCD8" w14:textId="77777777" w:rsidR="001D2D8F" w:rsidRPr="001468A9" w:rsidRDefault="001D2D8F" w:rsidP="0035666A">
            <w:pPr>
              <w:pStyle w:val="TblHeadingLeft"/>
              <w:rPr>
                <w:noProof w:val="0"/>
                <w:lang w:val="en-AU"/>
              </w:rPr>
            </w:pPr>
            <w:r w:rsidRPr="001468A9">
              <w:rPr>
                <w:lang w:val="en-AU"/>
              </w:rPr>
              <w:t xml:space="preserve">Infections and infestations </w:t>
            </w:r>
          </w:p>
        </w:tc>
        <w:tc>
          <w:tcPr>
            <w:tcW w:w="1667" w:type="pct"/>
          </w:tcPr>
          <w:p w14:paraId="0C58940C" w14:textId="77777777" w:rsidR="001D2D8F" w:rsidRPr="001468A9" w:rsidRDefault="001D2D8F" w:rsidP="0035666A">
            <w:pPr>
              <w:pStyle w:val="TblTextLeft"/>
              <w:rPr>
                <w:lang w:val="en-AU" w:eastAsia="en-AU"/>
              </w:rPr>
            </w:pPr>
            <w:r w:rsidRPr="001468A9">
              <w:rPr>
                <w:u w:val="single"/>
                <w:lang w:val="en-AU" w:eastAsia="en-AU"/>
              </w:rPr>
              <w:t>Very common</w:t>
            </w:r>
            <w:r w:rsidRPr="001468A9">
              <w:rPr>
                <w:lang w:val="en-AU" w:eastAsia="en-AU"/>
              </w:rPr>
              <w:t xml:space="preserve"> </w:t>
            </w:r>
          </w:p>
          <w:p w14:paraId="3D34414A" w14:textId="77777777" w:rsidR="001D2D8F" w:rsidRPr="001468A9" w:rsidRDefault="001D2D8F" w:rsidP="0035666A">
            <w:pPr>
              <w:pStyle w:val="TblTextLeft"/>
              <w:rPr>
                <w:lang w:val="en-AU" w:eastAsia="en-AU"/>
              </w:rPr>
            </w:pPr>
            <w:r w:rsidRPr="001468A9">
              <w:rPr>
                <w:lang w:val="en-AU" w:eastAsia="en-AU"/>
              </w:rPr>
              <w:t>Pneumonia, upper respiratory tract infection</w:t>
            </w:r>
          </w:p>
          <w:p w14:paraId="18B97ED0" w14:textId="77777777" w:rsidR="001D2D8F" w:rsidRPr="001468A9" w:rsidRDefault="001D2D8F" w:rsidP="0035666A">
            <w:pPr>
              <w:pStyle w:val="TblTextLeft"/>
              <w:rPr>
                <w:lang w:val="en-AU" w:eastAsia="en-AU"/>
              </w:rPr>
            </w:pPr>
          </w:p>
          <w:p w14:paraId="1F42BD9E" w14:textId="77777777" w:rsidR="001D2D8F" w:rsidRPr="001468A9" w:rsidRDefault="001D2D8F" w:rsidP="0035666A">
            <w:pPr>
              <w:pStyle w:val="TblTextLeft"/>
              <w:rPr>
                <w:lang w:val="en-AU" w:eastAsia="en-AU"/>
              </w:rPr>
            </w:pPr>
            <w:r w:rsidRPr="001468A9">
              <w:rPr>
                <w:u w:val="single"/>
                <w:lang w:val="en-AU" w:eastAsia="en-AU"/>
              </w:rPr>
              <w:t>Common</w:t>
            </w:r>
            <w:r w:rsidRPr="001468A9">
              <w:rPr>
                <w:lang w:val="en-AU" w:eastAsia="en-AU"/>
              </w:rPr>
              <w:t xml:space="preserve"> </w:t>
            </w:r>
          </w:p>
          <w:p w14:paraId="5E7117E2" w14:textId="77777777" w:rsidR="001D2D8F" w:rsidRPr="001468A9" w:rsidRDefault="001D2D8F" w:rsidP="0035666A">
            <w:pPr>
              <w:pStyle w:val="TblTextLeft"/>
              <w:rPr>
                <w:lang w:val="en-AU" w:eastAsia="en-AU"/>
              </w:rPr>
            </w:pPr>
            <w:r w:rsidRPr="001468A9">
              <w:rPr>
                <w:lang w:val="en-AU" w:eastAsia="en-AU"/>
              </w:rPr>
              <w:t xml:space="preserve">Sepsis </w:t>
            </w:r>
          </w:p>
        </w:tc>
        <w:tc>
          <w:tcPr>
            <w:tcW w:w="1666" w:type="pct"/>
          </w:tcPr>
          <w:p w14:paraId="33AE2FDD" w14:textId="77777777" w:rsidR="001D2D8F" w:rsidRPr="001468A9" w:rsidRDefault="001D2D8F" w:rsidP="0035666A">
            <w:pPr>
              <w:pStyle w:val="TblTextLeft"/>
              <w:rPr>
                <w:u w:val="single"/>
                <w:lang w:val="en-AU" w:eastAsia="en-AU"/>
              </w:rPr>
            </w:pPr>
            <w:r w:rsidRPr="001468A9">
              <w:rPr>
                <w:u w:val="single"/>
                <w:lang w:val="en-AU" w:eastAsia="en-AU"/>
              </w:rPr>
              <w:t>Common</w:t>
            </w:r>
          </w:p>
          <w:p w14:paraId="3C6F074E" w14:textId="77777777" w:rsidR="001D2D8F" w:rsidRPr="001468A9" w:rsidRDefault="001D2D8F" w:rsidP="0035666A">
            <w:pPr>
              <w:pStyle w:val="TblTextLeft"/>
              <w:rPr>
                <w:lang w:val="en-AU" w:eastAsia="en-AU"/>
              </w:rPr>
            </w:pPr>
            <w:r w:rsidRPr="001468A9">
              <w:rPr>
                <w:lang w:val="en-AU" w:eastAsia="en-AU"/>
              </w:rPr>
              <w:t xml:space="preserve">Pneumonia, sepsis </w:t>
            </w:r>
          </w:p>
          <w:p w14:paraId="0A7802E5" w14:textId="77777777" w:rsidR="001D2D8F" w:rsidRPr="001468A9" w:rsidRDefault="001D2D8F" w:rsidP="0035666A">
            <w:pPr>
              <w:pStyle w:val="TblTextLeft"/>
              <w:rPr>
                <w:lang w:val="en-AU" w:eastAsia="en-AU"/>
              </w:rPr>
            </w:pPr>
          </w:p>
          <w:p w14:paraId="3913D093" w14:textId="77777777" w:rsidR="001D2D8F" w:rsidRPr="001468A9" w:rsidRDefault="001D2D8F" w:rsidP="0035666A">
            <w:pPr>
              <w:pStyle w:val="TblTextLeft"/>
              <w:rPr>
                <w:u w:val="single"/>
                <w:lang w:val="en-AU" w:eastAsia="en-AU"/>
              </w:rPr>
            </w:pPr>
            <w:r w:rsidRPr="001468A9">
              <w:rPr>
                <w:u w:val="single"/>
                <w:lang w:val="en-AU" w:eastAsia="en-AU"/>
              </w:rPr>
              <w:t xml:space="preserve">Uncommon </w:t>
            </w:r>
          </w:p>
          <w:p w14:paraId="483578E2" w14:textId="77777777" w:rsidR="001D2D8F" w:rsidRPr="001468A9" w:rsidRDefault="001D2D8F" w:rsidP="0035666A">
            <w:pPr>
              <w:pStyle w:val="TblTextLeft"/>
              <w:rPr>
                <w:lang w:val="en-AU" w:eastAsia="en-AU"/>
              </w:rPr>
            </w:pPr>
            <w:r w:rsidRPr="001468A9">
              <w:rPr>
                <w:lang w:val="en-AU" w:eastAsia="en-AU"/>
              </w:rPr>
              <w:t xml:space="preserve">Upper respiratory tract infection </w:t>
            </w:r>
          </w:p>
        </w:tc>
      </w:tr>
      <w:tr w:rsidR="001D2D8F" w:rsidRPr="008A0AFE" w14:paraId="07C5ADC2" w14:textId="77777777" w:rsidTr="0035666A">
        <w:trPr>
          <w:trHeight w:val="691"/>
        </w:trPr>
        <w:tc>
          <w:tcPr>
            <w:tcW w:w="1667" w:type="pct"/>
          </w:tcPr>
          <w:p w14:paraId="1FB56D67" w14:textId="77777777" w:rsidR="001D2D8F" w:rsidRPr="001468A9" w:rsidRDefault="001D2D8F" w:rsidP="0035666A">
            <w:pPr>
              <w:pStyle w:val="TblHeadingLeft"/>
              <w:rPr>
                <w:noProof w:val="0"/>
                <w:lang w:val="en-AU"/>
              </w:rPr>
            </w:pPr>
            <w:r w:rsidRPr="001468A9">
              <w:rPr>
                <w:lang w:val="en-AU"/>
              </w:rPr>
              <w:t xml:space="preserve">Blood and lymphatic system disorders </w:t>
            </w:r>
          </w:p>
        </w:tc>
        <w:tc>
          <w:tcPr>
            <w:tcW w:w="1667" w:type="pct"/>
          </w:tcPr>
          <w:p w14:paraId="0E32D67F" w14:textId="77777777" w:rsidR="001D2D8F" w:rsidRPr="001468A9" w:rsidRDefault="001D2D8F" w:rsidP="0035666A">
            <w:pPr>
              <w:pStyle w:val="TblTextLeft"/>
              <w:rPr>
                <w:u w:val="single"/>
                <w:lang w:val="en-AU" w:eastAsia="en-AU"/>
              </w:rPr>
            </w:pPr>
            <w:r w:rsidRPr="001468A9">
              <w:rPr>
                <w:u w:val="single"/>
                <w:lang w:val="en-AU" w:eastAsia="en-AU"/>
              </w:rPr>
              <w:t xml:space="preserve">Very common </w:t>
            </w:r>
          </w:p>
          <w:p w14:paraId="4F5B83F4" w14:textId="77777777" w:rsidR="001D2D8F" w:rsidRPr="001468A9" w:rsidRDefault="001D2D8F" w:rsidP="0035666A">
            <w:pPr>
              <w:pStyle w:val="TblTextLeft"/>
              <w:rPr>
                <w:lang w:val="en-AU" w:eastAsia="en-AU"/>
              </w:rPr>
            </w:pPr>
            <w:r w:rsidRPr="001468A9">
              <w:rPr>
                <w:lang w:val="en-AU" w:eastAsia="en-AU"/>
              </w:rPr>
              <w:t xml:space="preserve">Thrombocytopenia, anaemia, neutropenia, leukopenia, lymphopenia </w:t>
            </w:r>
          </w:p>
          <w:p w14:paraId="04E1FBDD" w14:textId="77777777" w:rsidR="001D2D8F" w:rsidRPr="001468A9" w:rsidRDefault="001D2D8F" w:rsidP="0035666A">
            <w:pPr>
              <w:pStyle w:val="TblTextLeft"/>
              <w:rPr>
                <w:lang w:val="en-AU" w:eastAsia="en-AU"/>
              </w:rPr>
            </w:pPr>
          </w:p>
          <w:p w14:paraId="6C88070D"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39837FA6" w14:textId="77777777" w:rsidR="001D2D8F" w:rsidRPr="001468A9" w:rsidRDefault="001D2D8F" w:rsidP="0035666A">
            <w:pPr>
              <w:pStyle w:val="TblTextLeft"/>
              <w:rPr>
                <w:lang w:val="en-AU" w:eastAsia="en-AU"/>
              </w:rPr>
            </w:pPr>
            <w:r w:rsidRPr="001468A9">
              <w:rPr>
                <w:lang w:val="en-AU" w:eastAsia="en-AU"/>
              </w:rPr>
              <w:t xml:space="preserve">Febrile neutropenia </w:t>
            </w:r>
          </w:p>
        </w:tc>
        <w:tc>
          <w:tcPr>
            <w:tcW w:w="1666" w:type="pct"/>
          </w:tcPr>
          <w:p w14:paraId="04C4DBF3" w14:textId="77777777" w:rsidR="001D2D8F" w:rsidRPr="001468A9" w:rsidRDefault="001D2D8F" w:rsidP="0035666A">
            <w:pPr>
              <w:pStyle w:val="TblTextLeft"/>
              <w:rPr>
                <w:u w:val="single"/>
                <w:lang w:val="en-AU" w:eastAsia="en-AU"/>
              </w:rPr>
            </w:pPr>
            <w:r w:rsidRPr="001468A9">
              <w:rPr>
                <w:u w:val="single"/>
                <w:lang w:val="en-AU" w:eastAsia="en-AU"/>
              </w:rPr>
              <w:t xml:space="preserve">Very common </w:t>
            </w:r>
          </w:p>
          <w:p w14:paraId="0F36A830" w14:textId="77777777" w:rsidR="001D2D8F" w:rsidRPr="001468A9" w:rsidRDefault="001D2D8F" w:rsidP="0035666A">
            <w:pPr>
              <w:pStyle w:val="TblTextLeft"/>
              <w:rPr>
                <w:lang w:val="en-AU" w:eastAsia="en-AU"/>
              </w:rPr>
            </w:pPr>
            <w:r w:rsidRPr="001468A9">
              <w:rPr>
                <w:lang w:val="en-AU" w:eastAsia="en-AU"/>
              </w:rPr>
              <w:t xml:space="preserve">Thrombocytopenia, anaemia, neutropenia, leukopenia, lymphopenia </w:t>
            </w:r>
          </w:p>
          <w:p w14:paraId="3EDEE1AD" w14:textId="77777777" w:rsidR="001D2D8F" w:rsidRPr="001468A9" w:rsidRDefault="001D2D8F" w:rsidP="0035666A">
            <w:pPr>
              <w:pStyle w:val="TblTextLeft"/>
              <w:rPr>
                <w:lang w:val="en-AU" w:eastAsia="en-AU"/>
              </w:rPr>
            </w:pPr>
          </w:p>
          <w:p w14:paraId="07847215"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7F1946FF" w14:textId="77777777" w:rsidR="001D2D8F" w:rsidRPr="001468A9" w:rsidRDefault="001D2D8F" w:rsidP="0035666A">
            <w:pPr>
              <w:pStyle w:val="TblTextLeft"/>
              <w:rPr>
                <w:lang w:val="en-AU" w:eastAsia="en-AU"/>
              </w:rPr>
            </w:pPr>
            <w:r w:rsidRPr="001468A9">
              <w:rPr>
                <w:lang w:val="en-AU" w:eastAsia="en-AU"/>
              </w:rPr>
              <w:t xml:space="preserve">Febrile neutropenia </w:t>
            </w:r>
          </w:p>
        </w:tc>
      </w:tr>
      <w:tr w:rsidR="001D2D8F" w:rsidRPr="008A0AFE" w14:paraId="3FBEA1A0" w14:textId="77777777" w:rsidTr="0035666A">
        <w:trPr>
          <w:trHeight w:val="1608"/>
        </w:trPr>
        <w:tc>
          <w:tcPr>
            <w:tcW w:w="1667" w:type="pct"/>
          </w:tcPr>
          <w:p w14:paraId="45A7AE8A" w14:textId="77777777" w:rsidR="001D2D8F" w:rsidRPr="001468A9" w:rsidRDefault="001D2D8F" w:rsidP="0035666A">
            <w:pPr>
              <w:pStyle w:val="TblHeadingLeft"/>
              <w:rPr>
                <w:noProof w:val="0"/>
                <w:lang w:val="en-AU"/>
              </w:rPr>
            </w:pPr>
            <w:r w:rsidRPr="001468A9">
              <w:rPr>
                <w:lang w:val="en-AU"/>
              </w:rPr>
              <w:t xml:space="preserve">Metabolism and nutrition disorders </w:t>
            </w:r>
          </w:p>
        </w:tc>
        <w:tc>
          <w:tcPr>
            <w:tcW w:w="1667" w:type="pct"/>
          </w:tcPr>
          <w:p w14:paraId="4CDFAD6A" w14:textId="77777777" w:rsidR="001D2D8F" w:rsidRPr="001468A9" w:rsidRDefault="001D2D8F" w:rsidP="0035666A">
            <w:pPr>
              <w:pStyle w:val="TblTextLeft"/>
              <w:rPr>
                <w:u w:val="single"/>
                <w:lang w:val="en-AU"/>
              </w:rPr>
            </w:pPr>
            <w:r w:rsidRPr="001468A9">
              <w:rPr>
                <w:u w:val="single"/>
                <w:lang w:val="en-AU"/>
              </w:rPr>
              <w:t xml:space="preserve">Very common </w:t>
            </w:r>
          </w:p>
          <w:p w14:paraId="3C0C87B6" w14:textId="77777777" w:rsidR="001D2D8F" w:rsidRPr="001468A9" w:rsidRDefault="001D2D8F" w:rsidP="0035666A">
            <w:pPr>
              <w:pStyle w:val="TblTextLeft"/>
              <w:rPr>
                <w:lang w:val="en-AU"/>
              </w:rPr>
            </w:pPr>
            <w:r w:rsidRPr="001468A9">
              <w:rPr>
                <w:lang w:val="en-AU"/>
              </w:rPr>
              <w:t xml:space="preserve">Hyponatraemia, dehydration, decreased appetite, hyperglycaemia, hypokalaemia, </w:t>
            </w:r>
            <w:proofErr w:type="spellStart"/>
            <w:r w:rsidRPr="001468A9">
              <w:rPr>
                <w:lang w:val="en-AU"/>
              </w:rPr>
              <w:t>hypercreatininaemia</w:t>
            </w:r>
            <w:proofErr w:type="spellEnd"/>
            <w:r w:rsidRPr="001468A9">
              <w:rPr>
                <w:lang w:val="en-AU"/>
              </w:rPr>
              <w:t xml:space="preserve"> </w:t>
            </w:r>
          </w:p>
          <w:p w14:paraId="47BF208B" w14:textId="77777777" w:rsidR="001D2D8F" w:rsidRPr="001468A9" w:rsidRDefault="001D2D8F" w:rsidP="0035666A">
            <w:pPr>
              <w:pStyle w:val="TblTextLeft"/>
              <w:rPr>
                <w:lang w:val="en-AU"/>
              </w:rPr>
            </w:pPr>
          </w:p>
          <w:p w14:paraId="0A503CA8" w14:textId="77777777" w:rsidR="001D2D8F" w:rsidRPr="001468A9" w:rsidRDefault="001D2D8F" w:rsidP="0035666A">
            <w:pPr>
              <w:pStyle w:val="TblTextLeft"/>
              <w:rPr>
                <w:u w:val="single"/>
                <w:lang w:val="en-AU"/>
              </w:rPr>
            </w:pPr>
            <w:r w:rsidRPr="001468A9">
              <w:rPr>
                <w:u w:val="single"/>
                <w:lang w:val="en-AU"/>
              </w:rPr>
              <w:t>Common</w:t>
            </w:r>
          </w:p>
          <w:p w14:paraId="4333A96F" w14:textId="77777777" w:rsidR="001D2D8F" w:rsidRPr="001468A9" w:rsidRDefault="001D2D8F" w:rsidP="0035666A">
            <w:pPr>
              <w:pStyle w:val="TblTextLeft"/>
              <w:rPr>
                <w:lang w:val="en-AU"/>
              </w:rPr>
            </w:pPr>
            <w:r w:rsidRPr="001468A9">
              <w:rPr>
                <w:lang w:val="en-AU"/>
              </w:rPr>
              <w:t xml:space="preserve">Hypocalcaemia, </w:t>
            </w:r>
            <w:proofErr w:type="spellStart"/>
            <w:r w:rsidRPr="001468A9">
              <w:rPr>
                <w:lang w:val="en-AU"/>
              </w:rPr>
              <w:t>hypophosphataemia</w:t>
            </w:r>
            <w:proofErr w:type="spellEnd"/>
            <w:r w:rsidRPr="001468A9">
              <w:rPr>
                <w:lang w:val="en-AU"/>
              </w:rPr>
              <w:t xml:space="preserve">, hyperkalaemia, hyperuricaemia, hypomagnesaemia, hyperamylasaemia, </w:t>
            </w:r>
            <w:proofErr w:type="spellStart"/>
            <w:r w:rsidRPr="001468A9">
              <w:rPr>
                <w:lang w:val="en-AU"/>
              </w:rPr>
              <w:t>hyperlipasaemia</w:t>
            </w:r>
            <w:proofErr w:type="spellEnd"/>
            <w:r w:rsidRPr="001468A9">
              <w:rPr>
                <w:lang w:val="en-AU"/>
              </w:rPr>
              <w:t xml:space="preserve"> </w:t>
            </w:r>
          </w:p>
          <w:p w14:paraId="2FF7EE34" w14:textId="77777777" w:rsidR="001D2D8F" w:rsidRPr="001468A9" w:rsidRDefault="001D2D8F" w:rsidP="0035666A">
            <w:pPr>
              <w:pStyle w:val="TblTextLeft"/>
              <w:rPr>
                <w:lang w:val="en-AU"/>
              </w:rPr>
            </w:pPr>
          </w:p>
          <w:p w14:paraId="557A036D" w14:textId="77777777" w:rsidR="001D2D8F" w:rsidRPr="001468A9" w:rsidRDefault="001D2D8F" w:rsidP="0035666A">
            <w:pPr>
              <w:pStyle w:val="TblTextLeft"/>
              <w:rPr>
                <w:u w:val="single"/>
                <w:lang w:val="en-AU"/>
              </w:rPr>
            </w:pPr>
            <w:r w:rsidRPr="001468A9">
              <w:rPr>
                <w:u w:val="single"/>
                <w:lang w:val="en-AU"/>
              </w:rPr>
              <w:t xml:space="preserve">Uncommon </w:t>
            </w:r>
          </w:p>
          <w:p w14:paraId="44E251D3" w14:textId="77777777" w:rsidR="001D2D8F" w:rsidRPr="001468A9" w:rsidRDefault="001D2D8F" w:rsidP="0035666A">
            <w:pPr>
              <w:pStyle w:val="TblTextLeft"/>
              <w:rPr>
                <w:lang w:val="en-AU"/>
              </w:rPr>
            </w:pPr>
            <w:r w:rsidRPr="001468A9">
              <w:rPr>
                <w:lang w:val="en-AU"/>
              </w:rPr>
              <w:t xml:space="preserve">Tumour lysis syndrome </w:t>
            </w:r>
          </w:p>
        </w:tc>
        <w:tc>
          <w:tcPr>
            <w:tcW w:w="1666" w:type="pct"/>
          </w:tcPr>
          <w:p w14:paraId="3969F4B4" w14:textId="77777777" w:rsidR="001D2D8F" w:rsidRPr="001468A9" w:rsidRDefault="001D2D8F" w:rsidP="0035666A">
            <w:pPr>
              <w:pStyle w:val="TblTextLeft"/>
              <w:rPr>
                <w:u w:val="single"/>
                <w:lang w:val="en-AU"/>
              </w:rPr>
            </w:pPr>
            <w:r w:rsidRPr="001468A9">
              <w:rPr>
                <w:u w:val="single"/>
                <w:lang w:val="en-AU"/>
              </w:rPr>
              <w:t xml:space="preserve">Very common </w:t>
            </w:r>
          </w:p>
          <w:p w14:paraId="30DD6A32" w14:textId="77777777" w:rsidR="001D2D8F" w:rsidRPr="001468A9" w:rsidRDefault="001D2D8F" w:rsidP="0035666A">
            <w:pPr>
              <w:pStyle w:val="TblTextLeft"/>
              <w:rPr>
                <w:lang w:val="en-AU"/>
              </w:rPr>
            </w:pPr>
            <w:r w:rsidRPr="001468A9">
              <w:rPr>
                <w:lang w:val="en-AU"/>
              </w:rPr>
              <w:t xml:space="preserve">Hyponatraemia </w:t>
            </w:r>
          </w:p>
          <w:p w14:paraId="393FBA9C" w14:textId="77777777" w:rsidR="001D2D8F" w:rsidRPr="001468A9" w:rsidRDefault="001D2D8F" w:rsidP="0035666A">
            <w:pPr>
              <w:pStyle w:val="TblTextLeft"/>
              <w:rPr>
                <w:lang w:val="en-AU"/>
              </w:rPr>
            </w:pPr>
          </w:p>
          <w:p w14:paraId="5CE6C039" w14:textId="77777777" w:rsidR="001D2D8F" w:rsidRPr="001468A9" w:rsidRDefault="001D2D8F" w:rsidP="0035666A">
            <w:pPr>
              <w:pStyle w:val="TblTextLeft"/>
              <w:rPr>
                <w:u w:val="single"/>
                <w:lang w:val="en-AU"/>
              </w:rPr>
            </w:pPr>
            <w:r w:rsidRPr="001468A9">
              <w:rPr>
                <w:u w:val="single"/>
                <w:lang w:val="en-AU"/>
              </w:rPr>
              <w:t xml:space="preserve">Common </w:t>
            </w:r>
          </w:p>
          <w:p w14:paraId="1B692479" w14:textId="77777777" w:rsidR="001D2D8F" w:rsidRPr="001468A9" w:rsidRDefault="001D2D8F" w:rsidP="0035666A">
            <w:pPr>
              <w:pStyle w:val="TblTextLeft"/>
              <w:rPr>
                <w:lang w:val="en-AU"/>
              </w:rPr>
            </w:pPr>
            <w:r w:rsidRPr="001468A9">
              <w:rPr>
                <w:lang w:val="en-AU"/>
              </w:rPr>
              <w:t xml:space="preserve">Dehydration, decreased appetite, hyperglycaemia, hypocalcaemia, hyperuricaemia, hyperkalaemia, hypokalaemia, </w:t>
            </w:r>
            <w:proofErr w:type="spellStart"/>
            <w:r w:rsidRPr="001468A9">
              <w:rPr>
                <w:lang w:val="en-AU"/>
              </w:rPr>
              <w:t>hyperlipasaemia</w:t>
            </w:r>
            <w:proofErr w:type="spellEnd"/>
            <w:r w:rsidRPr="001468A9">
              <w:rPr>
                <w:lang w:val="en-AU"/>
              </w:rPr>
              <w:t xml:space="preserve">, hyperamylasaemia, </w:t>
            </w:r>
            <w:proofErr w:type="spellStart"/>
            <w:r w:rsidRPr="001468A9">
              <w:rPr>
                <w:lang w:val="en-AU"/>
              </w:rPr>
              <w:t>hypophosphataemia</w:t>
            </w:r>
            <w:proofErr w:type="spellEnd"/>
            <w:r w:rsidRPr="001468A9">
              <w:rPr>
                <w:lang w:val="en-AU"/>
              </w:rPr>
              <w:t xml:space="preserve"> </w:t>
            </w:r>
          </w:p>
          <w:p w14:paraId="2BA900A9" w14:textId="77777777" w:rsidR="001D2D8F" w:rsidRPr="001468A9" w:rsidRDefault="001D2D8F" w:rsidP="0035666A">
            <w:pPr>
              <w:pStyle w:val="TblTextLeft"/>
              <w:rPr>
                <w:lang w:val="en-AU"/>
              </w:rPr>
            </w:pPr>
          </w:p>
          <w:p w14:paraId="0D8B30E9" w14:textId="77777777" w:rsidR="001D2D8F" w:rsidRPr="001468A9" w:rsidRDefault="001D2D8F" w:rsidP="0035666A">
            <w:pPr>
              <w:pStyle w:val="TblTextLeft"/>
              <w:rPr>
                <w:u w:val="single"/>
                <w:lang w:val="en-AU"/>
              </w:rPr>
            </w:pPr>
            <w:r w:rsidRPr="001468A9">
              <w:rPr>
                <w:u w:val="single"/>
                <w:lang w:val="en-AU"/>
              </w:rPr>
              <w:t xml:space="preserve">Uncommon </w:t>
            </w:r>
          </w:p>
          <w:p w14:paraId="2FE00222" w14:textId="77777777" w:rsidR="001D2D8F" w:rsidRPr="001468A9" w:rsidRDefault="001D2D8F" w:rsidP="0035666A">
            <w:pPr>
              <w:pStyle w:val="TblTextLeft"/>
              <w:rPr>
                <w:lang w:val="en-AU"/>
              </w:rPr>
            </w:pPr>
            <w:r w:rsidRPr="001468A9">
              <w:rPr>
                <w:lang w:val="en-AU"/>
              </w:rPr>
              <w:t xml:space="preserve">Tumour lysis syndrome, </w:t>
            </w:r>
            <w:proofErr w:type="spellStart"/>
            <w:r w:rsidRPr="001468A9">
              <w:rPr>
                <w:lang w:val="en-AU"/>
              </w:rPr>
              <w:t>hypercreatininaemia</w:t>
            </w:r>
            <w:proofErr w:type="spellEnd"/>
            <w:r w:rsidRPr="001468A9">
              <w:rPr>
                <w:lang w:val="en-AU"/>
              </w:rPr>
              <w:t xml:space="preserve"> </w:t>
            </w:r>
          </w:p>
        </w:tc>
      </w:tr>
      <w:tr w:rsidR="001D2D8F" w:rsidRPr="008A0AFE" w14:paraId="3F3EE7D9" w14:textId="77777777" w:rsidTr="0035666A">
        <w:trPr>
          <w:trHeight w:val="488"/>
        </w:trPr>
        <w:tc>
          <w:tcPr>
            <w:tcW w:w="1667" w:type="pct"/>
          </w:tcPr>
          <w:p w14:paraId="0F4B57B6" w14:textId="77777777" w:rsidR="001D2D8F" w:rsidRPr="001468A9" w:rsidRDefault="001D2D8F" w:rsidP="0035666A">
            <w:pPr>
              <w:pStyle w:val="TblHeadingLeft"/>
              <w:rPr>
                <w:noProof w:val="0"/>
                <w:lang w:val="en-AU"/>
              </w:rPr>
            </w:pPr>
            <w:r w:rsidRPr="001468A9">
              <w:rPr>
                <w:lang w:val="en-AU"/>
              </w:rPr>
              <w:t xml:space="preserve">Psychiatric disorders </w:t>
            </w:r>
          </w:p>
        </w:tc>
        <w:tc>
          <w:tcPr>
            <w:tcW w:w="1667" w:type="pct"/>
          </w:tcPr>
          <w:p w14:paraId="587099C3" w14:textId="77777777" w:rsidR="001D2D8F" w:rsidRPr="001468A9" w:rsidRDefault="001D2D8F" w:rsidP="0035666A">
            <w:pPr>
              <w:pStyle w:val="TblTextLeft"/>
              <w:rPr>
                <w:u w:val="single"/>
                <w:lang w:val="en-AU" w:eastAsia="en-AU"/>
              </w:rPr>
            </w:pPr>
            <w:r w:rsidRPr="001468A9">
              <w:rPr>
                <w:u w:val="single"/>
                <w:lang w:val="en-AU" w:eastAsia="en-AU"/>
              </w:rPr>
              <w:t xml:space="preserve">Very common </w:t>
            </w:r>
          </w:p>
          <w:p w14:paraId="72C7B3F7" w14:textId="77777777" w:rsidR="001D2D8F" w:rsidRPr="001468A9" w:rsidRDefault="001D2D8F" w:rsidP="0035666A">
            <w:pPr>
              <w:pStyle w:val="TblTextLeft"/>
              <w:rPr>
                <w:lang w:val="en-AU" w:eastAsia="en-AU"/>
              </w:rPr>
            </w:pPr>
            <w:proofErr w:type="spellStart"/>
            <w:r w:rsidRPr="001468A9">
              <w:rPr>
                <w:lang w:val="en-AU" w:eastAsia="en-AU"/>
              </w:rPr>
              <w:t>Confusional</w:t>
            </w:r>
            <w:proofErr w:type="spellEnd"/>
            <w:r w:rsidRPr="001468A9">
              <w:rPr>
                <w:lang w:val="en-AU" w:eastAsia="en-AU"/>
              </w:rPr>
              <w:t xml:space="preserve"> state, insomnia</w:t>
            </w:r>
          </w:p>
          <w:p w14:paraId="724FFAAC" w14:textId="77777777" w:rsidR="001D2D8F" w:rsidRPr="001468A9" w:rsidRDefault="001D2D8F" w:rsidP="0035666A">
            <w:pPr>
              <w:pStyle w:val="TblTextLeft"/>
              <w:rPr>
                <w:lang w:val="en-AU" w:eastAsia="en-AU"/>
              </w:rPr>
            </w:pPr>
          </w:p>
          <w:p w14:paraId="015080B7"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08669312" w14:textId="77777777" w:rsidR="001D2D8F" w:rsidRPr="001468A9" w:rsidRDefault="001D2D8F" w:rsidP="0035666A">
            <w:pPr>
              <w:pStyle w:val="TblTextLeft"/>
              <w:rPr>
                <w:lang w:val="en-AU" w:eastAsia="en-AU"/>
              </w:rPr>
            </w:pPr>
            <w:r w:rsidRPr="001468A9">
              <w:rPr>
                <w:lang w:val="en-AU" w:eastAsia="en-AU"/>
              </w:rPr>
              <w:t xml:space="preserve">Depression, anxiety, delirium </w:t>
            </w:r>
          </w:p>
        </w:tc>
        <w:tc>
          <w:tcPr>
            <w:tcW w:w="1666" w:type="pct"/>
          </w:tcPr>
          <w:p w14:paraId="6224E1EB"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3BFBEB8C" w14:textId="77777777" w:rsidR="001D2D8F" w:rsidRPr="001468A9" w:rsidRDefault="001D2D8F" w:rsidP="0035666A">
            <w:pPr>
              <w:pStyle w:val="TblTextLeft"/>
              <w:rPr>
                <w:lang w:val="en-AU" w:eastAsia="en-AU"/>
              </w:rPr>
            </w:pPr>
            <w:proofErr w:type="spellStart"/>
            <w:r w:rsidRPr="001468A9">
              <w:rPr>
                <w:lang w:val="en-AU" w:eastAsia="en-AU"/>
              </w:rPr>
              <w:t>Confusional</w:t>
            </w:r>
            <w:proofErr w:type="spellEnd"/>
            <w:r w:rsidRPr="001468A9">
              <w:rPr>
                <w:lang w:val="en-AU" w:eastAsia="en-AU"/>
              </w:rPr>
              <w:t xml:space="preserve"> state, insomnia </w:t>
            </w:r>
          </w:p>
          <w:p w14:paraId="4A881CB2" w14:textId="77777777" w:rsidR="001D2D8F" w:rsidRPr="001468A9" w:rsidRDefault="001D2D8F" w:rsidP="0035666A">
            <w:pPr>
              <w:pStyle w:val="TblTextLeft"/>
              <w:rPr>
                <w:lang w:val="en-AU" w:eastAsia="en-AU"/>
              </w:rPr>
            </w:pPr>
          </w:p>
          <w:p w14:paraId="62C1B367" w14:textId="77777777" w:rsidR="001D2D8F" w:rsidRPr="001468A9" w:rsidRDefault="001D2D8F" w:rsidP="0035666A">
            <w:pPr>
              <w:pStyle w:val="TblTextLeft"/>
              <w:rPr>
                <w:u w:val="single"/>
                <w:lang w:val="en-AU" w:eastAsia="en-AU"/>
              </w:rPr>
            </w:pPr>
            <w:r w:rsidRPr="001468A9">
              <w:rPr>
                <w:u w:val="single"/>
                <w:lang w:val="en-AU" w:eastAsia="en-AU"/>
              </w:rPr>
              <w:t>Uncommon</w:t>
            </w:r>
          </w:p>
          <w:p w14:paraId="3C0C4EFC" w14:textId="77777777" w:rsidR="001D2D8F" w:rsidRPr="001468A9" w:rsidRDefault="001D2D8F" w:rsidP="0035666A">
            <w:pPr>
              <w:pStyle w:val="TblTextLeft"/>
              <w:rPr>
                <w:lang w:val="en-AU" w:eastAsia="en-AU"/>
              </w:rPr>
            </w:pPr>
            <w:r w:rsidRPr="001468A9">
              <w:rPr>
                <w:lang w:val="en-AU" w:eastAsia="en-AU"/>
              </w:rPr>
              <w:t xml:space="preserve">Depression, anxiety, delirium </w:t>
            </w:r>
          </w:p>
        </w:tc>
      </w:tr>
      <w:tr w:rsidR="001D2D8F" w:rsidRPr="008A0AFE" w14:paraId="4AE6ADD9" w14:textId="77777777" w:rsidTr="0035666A">
        <w:trPr>
          <w:trHeight w:val="488"/>
        </w:trPr>
        <w:tc>
          <w:tcPr>
            <w:tcW w:w="1667" w:type="pct"/>
          </w:tcPr>
          <w:p w14:paraId="6B51428D" w14:textId="77777777" w:rsidR="001D2D8F" w:rsidRPr="001468A9" w:rsidRDefault="001D2D8F" w:rsidP="0035666A">
            <w:pPr>
              <w:pStyle w:val="TblHeadingLeft"/>
              <w:rPr>
                <w:noProof w:val="0"/>
                <w:lang w:val="en-AU"/>
              </w:rPr>
            </w:pPr>
            <w:r w:rsidRPr="001468A9">
              <w:rPr>
                <w:lang w:val="en-AU"/>
              </w:rPr>
              <w:t xml:space="preserve">Nervous system disorders </w:t>
            </w:r>
          </w:p>
        </w:tc>
        <w:tc>
          <w:tcPr>
            <w:tcW w:w="1667" w:type="pct"/>
          </w:tcPr>
          <w:p w14:paraId="27730972" w14:textId="77777777" w:rsidR="001D2D8F" w:rsidRPr="001468A9" w:rsidRDefault="001D2D8F" w:rsidP="0035666A">
            <w:pPr>
              <w:pStyle w:val="TblTextLeft"/>
              <w:rPr>
                <w:u w:val="single"/>
                <w:lang w:val="en-AU" w:eastAsia="en-AU"/>
              </w:rPr>
            </w:pPr>
            <w:r w:rsidRPr="001468A9">
              <w:rPr>
                <w:u w:val="single"/>
                <w:lang w:val="en-AU" w:eastAsia="en-AU"/>
              </w:rPr>
              <w:t xml:space="preserve">Very common </w:t>
            </w:r>
          </w:p>
          <w:p w14:paraId="033E1563" w14:textId="77777777" w:rsidR="001D2D8F" w:rsidRPr="001468A9" w:rsidRDefault="001D2D8F" w:rsidP="0035666A">
            <w:pPr>
              <w:pStyle w:val="TblTextLeft"/>
              <w:rPr>
                <w:lang w:val="en-AU" w:eastAsia="en-AU"/>
              </w:rPr>
            </w:pPr>
            <w:r w:rsidRPr="001468A9">
              <w:rPr>
                <w:lang w:val="en-AU" w:eastAsia="en-AU"/>
              </w:rPr>
              <w:t>Dizziness, dysgeusia, headache</w:t>
            </w:r>
          </w:p>
          <w:p w14:paraId="7FC72890" w14:textId="77777777" w:rsidR="001D2D8F" w:rsidRPr="001468A9" w:rsidRDefault="001D2D8F" w:rsidP="0035666A">
            <w:pPr>
              <w:pStyle w:val="TblTextLeft"/>
              <w:rPr>
                <w:lang w:val="en-AU" w:eastAsia="en-AU"/>
              </w:rPr>
            </w:pPr>
          </w:p>
          <w:p w14:paraId="166C25F6"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4DF90C55" w14:textId="77777777" w:rsidR="001D2D8F" w:rsidRPr="001468A9" w:rsidRDefault="001D2D8F" w:rsidP="0035666A">
            <w:pPr>
              <w:pStyle w:val="TblTextLeft"/>
              <w:rPr>
                <w:lang w:val="en-AU" w:eastAsia="en-AU"/>
              </w:rPr>
            </w:pPr>
            <w:r w:rsidRPr="001468A9">
              <w:rPr>
                <w:lang w:val="en-AU" w:eastAsia="en-AU"/>
              </w:rPr>
              <w:t xml:space="preserve">Syncope, peripheral neuropathy, disturbance in attention, ageusia cognitive disorder </w:t>
            </w:r>
          </w:p>
          <w:p w14:paraId="665AFB08" w14:textId="77777777" w:rsidR="001D2D8F" w:rsidRPr="001468A9" w:rsidRDefault="001D2D8F" w:rsidP="0035666A">
            <w:pPr>
              <w:pStyle w:val="TblTextLeft"/>
              <w:rPr>
                <w:lang w:val="en-AU" w:eastAsia="en-AU"/>
              </w:rPr>
            </w:pPr>
          </w:p>
          <w:p w14:paraId="4B5D6029" w14:textId="77777777" w:rsidR="001D2D8F" w:rsidRPr="001468A9" w:rsidRDefault="001D2D8F" w:rsidP="0035666A">
            <w:pPr>
              <w:pStyle w:val="TblTextLeft"/>
              <w:rPr>
                <w:u w:val="single"/>
                <w:lang w:val="en-AU" w:eastAsia="en-AU"/>
              </w:rPr>
            </w:pPr>
            <w:r w:rsidRPr="001468A9">
              <w:rPr>
                <w:u w:val="single"/>
                <w:lang w:val="en-AU" w:eastAsia="en-AU"/>
              </w:rPr>
              <w:t xml:space="preserve">Uncommon </w:t>
            </w:r>
          </w:p>
          <w:p w14:paraId="583EE134" w14:textId="77777777" w:rsidR="001D2D8F" w:rsidRPr="001468A9" w:rsidRDefault="001D2D8F" w:rsidP="0035666A">
            <w:pPr>
              <w:pStyle w:val="TblTextLeft"/>
              <w:rPr>
                <w:lang w:val="en-AU" w:eastAsia="en-AU"/>
              </w:rPr>
            </w:pPr>
            <w:r w:rsidRPr="001468A9">
              <w:rPr>
                <w:lang w:val="en-AU" w:eastAsia="en-AU"/>
              </w:rPr>
              <w:t xml:space="preserve">Encephalopathy </w:t>
            </w:r>
          </w:p>
        </w:tc>
        <w:tc>
          <w:tcPr>
            <w:tcW w:w="1666" w:type="pct"/>
          </w:tcPr>
          <w:p w14:paraId="7F527FB3"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1AF9E0E1" w14:textId="77777777" w:rsidR="001D2D8F" w:rsidRPr="001468A9" w:rsidRDefault="001D2D8F" w:rsidP="0035666A">
            <w:pPr>
              <w:pStyle w:val="TblTextLeft"/>
              <w:rPr>
                <w:lang w:val="en-AU" w:eastAsia="en-AU"/>
              </w:rPr>
            </w:pPr>
            <w:r w:rsidRPr="001468A9">
              <w:rPr>
                <w:lang w:val="en-AU" w:eastAsia="en-AU"/>
              </w:rPr>
              <w:t xml:space="preserve">Syncope </w:t>
            </w:r>
          </w:p>
          <w:p w14:paraId="7F34CC1C" w14:textId="77777777" w:rsidR="001D2D8F" w:rsidRPr="001468A9" w:rsidRDefault="001D2D8F" w:rsidP="0035666A">
            <w:pPr>
              <w:pStyle w:val="TblTextLeft"/>
              <w:rPr>
                <w:lang w:val="en-AU" w:eastAsia="en-AU"/>
              </w:rPr>
            </w:pPr>
          </w:p>
          <w:p w14:paraId="27874D1A" w14:textId="77777777" w:rsidR="001D2D8F" w:rsidRPr="001468A9" w:rsidRDefault="001D2D8F" w:rsidP="0035666A">
            <w:pPr>
              <w:pStyle w:val="TblTextLeft"/>
              <w:rPr>
                <w:u w:val="single"/>
                <w:lang w:val="en-AU" w:eastAsia="en-AU"/>
              </w:rPr>
            </w:pPr>
            <w:r w:rsidRPr="001468A9">
              <w:rPr>
                <w:u w:val="single"/>
                <w:lang w:val="en-AU" w:eastAsia="en-AU"/>
              </w:rPr>
              <w:t xml:space="preserve">Uncommon </w:t>
            </w:r>
          </w:p>
          <w:p w14:paraId="0CA5ACE6" w14:textId="77777777" w:rsidR="001D2D8F" w:rsidRPr="001468A9" w:rsidRDefault="001D2D8F" w:rsidP="0035666A">
            <w:pPr>
              <w:pStyle w:val="TblTextLeft"/>
              <w:rPr>
                <w:lang w:val="en-AU" w:eastAsia="en-AU"/>
              </w:rPr>
            </w:pPr>
            <w:r w:rsidRPr="001468A9">
              <w:rPr>
                <w:lang w:val="en-AU" w:eastAsia="en-AU"/>
              </w:rPr>
              <w:t xml:space="preserve">Peripheral neuropathy, encephalopathy </w:t>
            </w:r>
          </w:p>
        </w:tc>
      </w:tr>
      <w:tr w:rsidR="001D2D8F" w:rsidRPr="008A0AFE" w14:paraId="183FD89C" w14:textId="77777777" w:rsidTr="0035666A">
        <w:trPr>
          <w:trHeight w:val="488"/>
        </w:trPr>
        <w:tc>
          <w:tcPr>
            <w:tcW w:w="1667" w:type="pct"/>
          </w:tcPr>
          <w:p w14:paraId="0EA843D0" w14:textId="77777777" w:rsidR="001D2D8F" w:rsidRPr="001468A9" w:rsidRDefault="001D2D8F" w:rsidP="0035666A">
            <w:pPr>
              <w:pStyle w:val="TblHeadingLeft"/>
              <w:rPr>
                <w:noProof w:val="0"/>
                <w:lang w:val="en-AU"/>
              </w:rPr>
            </w:pPr>
            <w:r w:rsidRPr="001468A9">
              <w:rPr>
                <w:lang w:val="en-AU"/>
              </w:rPr>
              <w:t xml:space="preserve">Eye disorders </w:t>
            </w:r>
          </w:p>
        </w:tc>
        <w:tc>
          <w:tcPr>
            <w:tcW w:w="1667" w:type="pct"/>
          </w:tcPr>
          <w:p w14:paraId="683E3E34" w14:textId="77777777" w:rsidR="001D2D8F" w:rsidRPr="001468A9" w:rsidRDefault="001D2D8F" w:rsidP="0035666A">
            <w:pPr>
              <w:pStyle w:val="TblTextLeft"/>
              <w:rPr>
                <w:u w:val="single"/>
                <w:lang w:val="en-AU" w:eastAsia="en-AU"/>
              </w:rPr>
            </w:pPr>
            <w:r w:rsidRPr="001468A9">
              <w:rPr>
                <w:u w:val="single"/>
                <w:lang w:val="en-AU" w:eastAsia="en-AU"/>
              </w:rPr>
              <w:t xml:space="preserve">Very common </w:t>
            </w:r>
          </w:p>
          <w:p w14:paraId="36E54136" w14:textId="77777777" w:rsidR="001D2D8F" w:rsidRPr="001468A9" w:rsidRDefault="001D2D8F" w:rsidP="0035666A">
            <w:pPr>
              <w:pStyle w:val="TblTextLeft"/>
              <w:rPr>
                <w:lang w:val="en-AU" w:eastAsia="en-AU"/>
              </w:rPr>
            </w:pPr>
            <w:r w:rsidRPr="001468A9">
              <w:rPr>
                <w:lang w:val="en-AU" w:eastAsia="en-AU"/>
              </w:rPr>
              <w:t xml:space="preserve">Vision blurred </w:t>
            </w:r>
          </w:p>
          <w:p w14:paraId="140372D0" w14:textId="77777777" w:rsidR="001D2D8F" w:rsidRPr="001468A9" w:rsidRDefault="001D2D8F" w:rsidP="0035666A">
            <w:pPr>
              <w:pStyle w:val="TblTextLeft"/>
              <w:rPr>
                <w:lang w:val="en-AU" w:eastAsia="en-AU"/>
              </w:rPr>
            </w:pPr>
          </w:p>
          <w:p w14:paraId="63583FE5"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4B982615" w14:textId="77777777" w:rsidR="001D2D8F" w:rsidRPr="001468A9" w:rsidRDefault="001D2D8F" w:rsidP="0035666A">
            <w:pPr>
              <w:pStyle w:val="TblTextLeft"/>
              <w:rPr>
                <w:lang w:val="en-AU" w:eastAsia="en-AU"/>
              </w:rPr>
            </w:pPr>
            <w:r w:rsidRPr="001468A9">
              <w:rPr>
                <w:lang w:val="en-AU" w:eastAsia="en-AU"/>
              </w:rPr>
              <w:t xml:space="preserve">Visual impairment, cataract </w:t>
            </w:r>
          </w:p>
        </w:tc>
        <w:tc>
          <w:tcPr>
            <w:tcW w:w="1666" w:type="pct"/>
          </w:tcPr>
          <w:p w14:paraId="26F9D111" w14:textId="77777777" w:rsidR="001D2D8F" w:rsidRPr="001468A9" w:rsidRDefault="001D2D8F" w:rsidP="0035666A">
            <w:pPr>
              <w:pStyle w:val="TblTextLeft"/>
              <w:rPr>
                <w:u w:val="single"/>
                <w:lang w:val="en-AU" w:eastAsia="en-AU"/>
              </w:rPr>
            </w:pPr>
            <w:r w:rsidRPr="001468A9">
              <w:rPr>
                <w:u w:val="single"/>
                <w:lang w:val="en-AU" w:eastAsia="en-AU"/>
              </w:rPr>
              <w:lastRenderedPageBreak/>
              <w:t xml:space="preserve">Common </w:t>
            </w:r>
          </w:p>
          <w:p w14:paraId="58D6400F" w14:textId="77777777" w:rsidR="001D2D8F" w:rsidRPr="001468A9" w:rsidRDefault="001D2D8F" w:rsidP="0035666A">
            <w:pPr>
              <w:pStyle w:val="TblTextLeft"/>
              <w:rPr>
                <w:lang w:val="en-AU" w:eastAsia="en-AU"/>
              </w:rPr>
            </w:pPr>
            <w:r w:rsidRPr="001468A9">
              <w:rPr>
                <w:lang w:val="en-AU" w:eastAsia="en-AU"/>
              </w:rPr>
              <w:t xml:space="preserve">Cataract </w:t>
            </w:r>
          </w:p>
          <w:p w14:paraId="2E6452D9" w14:textId="77777777" w:rsidR="001D2D8F" w:rsidRPr="001468A9" w:rsidRDefault="001D2D8F" w:rsidP="0035666A">
            <w:pPr>
              <w:pStyle w:val="TblTextLeft"/>
              <w:rPr>
                <w:lang w:val="en-AU" w:eastAsia="en-AU"/>
              </w:rPr>
            </w:pPr>
          </w:p>
          <w:p w14:paraId="59CB08AD" w14:textId="77777777" w:rsidR="001D2D8F" w:rsidRPr="001468A9" w:rsidRDefault="001D2D8F" w:rsidP="0035666A">
            <w:pPr>
              <w:pStyle w:val="TblTextLeft"/>
              <w:rPr>
                <w:u w:val="single"/>
                <w:lang w:val="en-AU" w:eastAsia="en-AU"/>
              </w:rPr>
            </w:pPr>
            <w:r w:rsidRPr="001468A9">
              <w:rPr>
                <w:u w:val="single"/>
                <w:lang w:val="en-AU" w:eastAsia="en-AU"/>
              </w:rPr>
              <w:t>Uncommon</w:t>
            </w:r>
          </w:p>
          <w:p w14:paraId="5D18B760" w14:textId="77777777" w:rsidR="001D2D8F" w:rsidRPr="001468A9" w:rsidRDefault="001D2D8F" w:rsidP="0035666A">
            <w:pPr>
              <w:pStyle w:val="TblTextLeft"/>
              <w:rPr>
                <w:lang w:val="en-AU" w:eastAsia="en-AU"/>
              </w:rPr>
            </w:pPr>
            <w:r w:rsidRPr="001468A9">
              <w:rPr>
                <w:lang w:val="en-AU" w:eastAsia="en-AU"/>
              </w:rPr>
              <w:t xml:space="preserve">Vision blurred, visual impairment </w:t>
            </w:r>
          </w:p>
        </w:tc>
      </w:tr>
      <w:tr w:rsidR="001D2D8F" w:rsidRPr="008A0AFE" w14:paraId="1802295A" w14:textId="77777777" w:rsidTr="0035666A">
        <w:trPr>
          <w:trHeight w:val="488"/>
        </w:trPr>
        <w:tc>
          <w:tcPr>
            <w:tcW w:w="1667" w:type="pct"/>
          </w:tcPr>
          <w:p w14:paraId="6465A060" w14:textId="77777777" w:rsidR="001D2D8F" w:rsidRPr="001468A9" w:rsidRDefault="001D2D8F" w:rsidP="0035666A">
            <w:pPr>
              <w:pStyle w:val="TblHeadingLeft"/>
              <w:rPr>
                <w:noProof w:val="0"/>
                <w:lang w:val="en-AU"/>
              </w:rPr>
            </w:pPr>
            <w:r w:rsidRPr="001468A9">
              <w:rPr>
                <w:lang w:val="en-AU"/>
              </w:rPr>
              <w:lastRenderedPageBreak/>
              <w:t xml:space="preserve">Cardiac disorders </w:t>
            </w:r>
          </w:p>
        </w:tc>
        <w:tc>
          <w:tcPr>
            <w:tcW w:w="1667" w:type="pct"/>
          </w:tcPr>
          <w:p w14:paraId="29C67C8F"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3EA55330" w14:textId="77777777" w:rsidR="001D2D8F" w:rsidRPr="001468A9" w:rsidRDefault="001D2D8F" w:rsidP="0035666A">
            <w:pPr>
              <w:pStyle w:val="TblTextLeft"/>
              <w:rPr>
                <w:lang w:val="en-AU" w:eastAsia="en-AU"/>
              </w:rPr>
            </w:pPr>
            <w:r w:rsidRPr="001468A9">
              <w:rPr>
                <w:lang w:val="en-AU" w:eastAsia="en-AU"/>
              </w:rPr>
              <w:t xml:space="preserve">Tachycardia </w:t>
            </w:r>
          </w:p>
        </w:tc>
        <w:tc>
          <w:tcPr>
            <w:tcW w:w="1666" w:type="pct"/>
          </w:tcPr>
          <w:p w14:paraId="67753F16" w14:textId="77777777" w:rsidR="001D2D8F" w:rsidRPr="001468A9" w:rsidRDefault="001D2D8F" w:rsidP="0035666A">
            <w:pPr>
              <w:pStyle w:val="TblTextLeft"/>
              <w:rPr>
                <w:lang w:val="en-AU" w:eastAsia="en-AU"/>
              </w:rPr>
            </w:pPr>
            <w:r w:rsidRPr="001468A9">
              <w:rPr>
                <w:lang w:val="en-AU" w:eastAsia="en-AU"/>
              </w:rPr>
              <w:t xml:space="preserve">None </w:t>
            </w:r>
          </w:p>
        </w:tc>
      </w:tr>
      <w:tr w:rsidR="001D2D8F" w:rsidRPr="008A0AFE" w14:paraId="2709B815" w14:textId="77777777" w:rsidTr="0035666A">
        <w:trPr>
          <w:trHeight w:val="488"/>
        </w:trPr>
        <w:tc>
          <w:tcPr>
            <w:tcW w:w="1667" w:type="pct"/>
          </w:tcPr>
          <w:p w14:paraId="25F92CED" w14:textId="77777777" w:rsidR="001D2D8F" w:rsidRPr="001468A9" w:rsidRDefault="001D2D8F" w:rsidP="0035666A">
            <w:pPr>
              <w:pStyle w:val="TblHeadingLeft"/>
              <w:rPr>
                <w:noProof w:val="0"/>
                <w:lang w:val="en-AU"/>
              </w:rPr>
            </w:pPr>
            <w:r w:rsidRPr="001468A9">
              <w:rPr>
                <w:lang w:val="en-AU"/>
              </w:rPr>
              <w:t xml:space="preserve">Vascular disorders </w:t>
            </w:r>
          </w:p>
        </w:tc>
        <w:tc>
          <w:tcPr>
            <w:tcW w:w="1667" w:type="pct"/>
          </w:tcPr>
          <w:p w14:paraId="633D41A8"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400CC7C3" w14:textId="77777777" w:rsidR="001D2D8F" w:rsidRPr="001468A9" w:rsidRDefault="001D2D8F" w:rsidP="0035666A">
            <w:pPr>
              <w:pStyle w:val="TblTextLeft"/>
              <w:rPr>
                <w:lang w:val="en-AU" w:eastAsia="en-AU"/>
              </w:rPr>
            </w:pPr>
            <w:r w:rsidRPr="001468A9">
              <w:rPr>
                <w:lang w:val="en-AU" w:eastAsia="en-AU"/>
              </w:rPr>
              <w:t xml:space="preserve">Hypotension </w:t>
            </w:r>
          </w:p>
        </w:tc>
        <w:tc>
          <w:tcPr>
            <w:tcW w:w="1666" w:type="pct"/>
          </w:tcPr>
          <w:p w14:paraId="455855BD" w14:textId="77777777" w:rsidR="001D2D8F" w:rsidRPr="001468A9" w:rsidRDefault="001D2D8F" w:rsidP="0035666A">
            <w:pPr>
              <w:pStyle w:val="TblTextLeft"/>
              <w:rPr>
                <w:u w:val="single"/>
                <w:lang w:val="en-AU" w:eastAsia="en-AU"/>
              </w:rPr>
            </w:pPr>
            <w:r w:rsidRPr="001468A9">
              <w:rPr>
                <w:u w:val="single"/>
                <w:lang w:val="en-AU" w:eastAsia="en-AU"/>
              </w:rPr>
              <w:t xml:space="preserve">Uncommon </w:t>
            </w:r>
          </w:p>
          <w:p w14:paraId="68DDFB97" w14:textId="77777777" w:rsidR="001D2D8F" w:rsidRPr="001468A9" w:rsidRDefault="001D2D8F" w:rsidP="0035666A">
            <w:pPr>
              <w:pStyle w:val="TblTextLeft"/>
              <w:rPr>
                <w:lang w:val="en-AU" w:eastAsia="en-AU"/>
              </w:rPr>
            </w:pPr>
            <w:r w:rsidRPr="001468A9">
              <w:rPr>
                <w:lang w:val="en-AU" w:eastAsia="en-AU"/>
              </w:rPr>
              <w:t xml:space="preserve">Hypotension </w:t>
            </w:r>
          </w:p>
        </w:tc>
      </w:tr>
      <w:tr w:rsidR="001D2D8F" w:rsidRPr="008A0AFE" w14:paraId="7FDDA5C1" w14:textId="77777777" w:rsidTr="0035666A">
        <w:trPr>
          <w:trHeight w:val="488"/>
        </w:trPr>
        <w:tc>
          <w:tcPr>
            <w:tcW w:w="1667" w:type="pct"/>
          </w:tcPr>
          <w:p w14:paraId="3AE7CA82" w14:textId="77777777" w:rsidR="001D2D8F" w:rsidRPr="001468A9" w:rsidRDefault="001D2D8F" w:rsidP="0035666A">
            <w:pPr>
              <w:pStyle w:val="TblHeadingLeft"/>
              <w:rPr>
                <w:noProof w:val="0"/>
                <w:lang w:val="en-AU"/>
              </w:rPr>
            </w:pPr>
            <w:r w:rsidRPr="001468A9">
              <w:rPr>
                <w:lang w:val="en-AU"/>
              </w:rPr>
              <w:t xml:space="preserve">Respiratory, thoracic and mediastinal disorders </w:t>
            </w:r>
          </w:p>
        </w:tc>
        <w:tc>
          <w:tcPr>
            <w:tcW w:w="1667" w:type="pct"/>
          </w:tcPr>
          <w:p w14:paraId="69509EA3" w14:textId="77777777" w:rsidR="001D2D8F" w:rsidRPr="001468A9" w:rsidRDefault="001D2D8F" w:rsidP="0035666A">
            <w:pPr>
              <w:pStyle w:val="TblTextLeft"/>
              <w:rPr>
                <w:u w:val="single"/>
                <w:lang w:val="en-AU" w:eastAsia="en-AU"/>
              </w:rPr>
            </w:pPr>
            <w:r w:rsidRPr="001468A9">
              <w:rPr>
                <w:u w:val="single"/>
                <w:lang w:val="en-AU" w:eastAsia="en-AU"/>
              </w:rPr>
              <w:t xml:space="preserve">Very common </w:t>
            </w:r>
          </w:p>
          <w:p w14:paraId="54E2C302" w14:textId="77777777" w:rsidR="001D2D8F" w:rsidRPr="001468A9" w:rsidRDefault="001D2D8F" w:rsidP="0035666A">
            <w:pPr>
              <w:pStyle w:val="TblTextLeft"/>
              <w:rPr>
                <w:lang w:val="en-AU" w:eastAsia="en-AU"/>
              </w:rPr>
            </w:pPr>
            <w:r w:rsidRPr="001468A9">
              <w:rPr>
                <w:lang w:val="en-AU" w:eastAsia="en-AU"/>
              </w:rPr>
              <w:t xml:space="preserve">Dyspnoea, epistaxis, cough </w:t>
            </w:r>
          </w:p>
        </w:tc>
        <w:tc>
          <w:tcPr>
            <w:tcW w:w="1666" w:type="pct"/>
          </w:tcPr>
          <w:p w14:paraId="1A5FFDDE"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6F9AF4D4" w14:textId="77777777" w:rsidR="001D2D8F" w:rsidRPr="001468A9" w:rsidRDefault="001D2D8F" w:rsidP="0035666A">
            <w:pPr>
              <w:pStyle w:val="TblTextLeft"/>
              <w:rPr>
                <w:lang w:val="en-AU" w:eastAsia="en-AU"/>
              </w:rPr>
            </w:pPr>
            <w:r w:rsidRPr="001468A9">
              <w:rPr>
                <w:lang w:val="en-AU" w:eastAsia="en-AU"/>
              </w:rPr>
              <w:t xml:space="preserve">Dyspnoea </w:t>
            </w:r>
          </w:p>
          <w:p w14:paraId="26AF5849" w14:textId="77777777" w:rsidR="001D2D8F" w:rsidRPr="001468A9" w:rsidRDefault="001D2D8F" w:rsidP="0035666A">
            <w:pPr>
              <w:pStyle w:val="TblTextLeft"/>
              <w:rPr>
                <w:lang w:val="en-AU" w:eastAsia="en-AU"/>
              </w:rPr>
            </w:pPr>
          </w:p>
          <w:p w14:paraId="2FDAB852" w14:textId="77777777" w:rsidR="001D2D8F" w:rsidRPr="001468A9" w:rsidRDefault="001D2D8F" w:rsidP="0035666A">
            <w:pPr>
              <w:pStyle w:val="TblTextLeft"/>
              <w:rPr>
                <w:u w:val="single"/>
                <w:lang w:val="en-AU" w:eastAsia="en-AU"/>
              </w:rPr>
            </w:pPr>
            <w:r w:rsidRPr="001468A9">
              <w:rPr>
                <w:u w:val="single"/>
                <w:lang w:val="en-AU" w:eastAsia="en-AU"/>
              </w:rPr>
              <w:t xml:space="preserve">Uncommon </w:t>
            </w:r>
          </w:p>
          <w:p w14:paraId="74DDE66C" w14:textId="77777777" w:rsidR="001D2D8F" w:rsidRPr="001468A9" w:rsidRDefault="001D2D8F" w:rsidP="0035666A">
            <w:pPr>
              <w:pStyle w:val="TblTextLeft"/>
              <w:rPr>
                <w:lang w:val="en-AU" w:eastAsia="en-AU"/>
              </w:rPr>
            </w:pPr>
            <w:r w:rsidRPr="001468A9">
              <w:rPr>
                <w:lang w:val="en-AU" w:eastAsia="en-AU"/>
              </w:rPr>
              <w:t xml:space="preserve">Epistaxis </w:t>
            </w:r>
          </w:p>
        </w:tc>
      </w:tr>
      <w:tr w:rsidR="001D2D8F" w:rsidRPr="008A0AFE" w14:paraId="76097011" w14:textId="77777777" w:rsidTr="0035666A">
        <w:trPr>
          <w:trHeight w:val="488"/>
        </w:trPr>
        <w:tc>
          <w:tcPr>
            <w:tcW w:w="1667" w:type="pct"/>
          </w:tcPr>
          <w:p w14:paraId="752CEC4C" w14:textId="77777777" w:rsidR="001D2D8F" w:rsidRPr="001468A9" w:rsidRDefault="001D2D8F" w:rsidP="0035666A">
            <w:pPr>
              <w:pStyle w:val="TblHeadingLeft"/>
              <w:rPr>
                <w:noProof w:val="0"/>
                <w:lang w:val="en-AU"/>
              </w:rPr>
            </w:pPr>
            <w:r w:rsidRPr="001468A9">
              <w:rPr>
                <w:lang w:val="en-AU"/>
              </w:rPr>
              <w:t xml:space="preserve">Gastrointestinal disorders </w:t>
            </w:r>
          </w:p>
        </w:tc>
        <w:tc>
          <w:tcPr>
            <w:tcW w:w="1667" w:type="pct"/>
          </w:tcPr>
          <w:p w14:paraId="5772244E" w14:textId="77777777" w:rsidR="001D2D8F" w:rsidRPr="001468A9" w:rsidRDefault="001D2D8F" w:rsidP="0035666A">
            <w:pPr>
              <w:pStyle w:val="TblTextLeft"/>
              <w:rPr>
                <w:u w:val="single"/>
                <w:lang w:val="en-AU" w:eastAsia="en-AU"/>
              </w:rPr>
            </w:pPr>
            <w:r w:rsidRPr="001468A9">
              <w:rPr>
                <w:u w:val="single"/>
                <w:lang w:val="en-AU" w:eastAsia="en-AU"/>
              </w:rPr>
              <w:t xml:space="preserve">Very common </w:t>
            </w:r>
          </w:p>
          <w:p w14:paraId="50E7B88D" w14:textId="77777777" w:rsidR="001D2D8F" w:rsidRPr="001468A9" w:rsidRDefault="001D2D8F" w:rsidP="0035666A">
            <w:pPr>
              <w:pStyle w:val="TblTextLeft"/>
              <w:rPr>
                <w:lang w:val="en-AU" w:eastAsia="en-AU"/>
              </w:rPr>
            </w:pPr>
            <w:r w:rsidRPr="001468A9">
              <w:rPr>
                <w:lang w:val="en-AU" w:eastAsia="en-AU"/>
              </w:rPr>
              <w:t xml:space="preserve">Nausea, diarrhoea, vomiting, abdominal pain, constipation </w:t>
            </w:r>
          </w:p>
          <w:p w14:paraId="649FC87F" w14:textId="77777777" w:rsidR="001D2D8F" w:rsidRPr="001468A9" w:rsidRDefault="001D2D8F" w:rsidP="0035666A">
            <w:pPr>
              <w:pStyle w:val="TblTextLeft"/>
              <w:rPr>
                <w:lang w:val="en-AU" w:eastAsia="en-AU"/>
              </w:rPr>
            </w:pPr>
          </w:p>
          <w:p w14:paraId="60DB90B8"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624BC1DA" w14:textId="77777777" w:rsidR="001D2D8F" w:rsidRPr="001468A9" w:rsidRDefault="001D2D8F" w:rsidP="0035666A">
            <w:pPr>
              <w:pStyle w:val="TblTextLeft"/>
              <w:rPr>
                <w:lang w:val="en-AU" w:eastAsia="en-AU"/>
              </w:rPr>
            </w:pPr>
            <w:r w:rsidRPr="001468A9">
              <w:rPr>
                <w:lang w:val="en-AU" w:eastAsia="en-AU"/>
              </w:rPr>
              <w:t xml:space="preserve">Dyspepsia, dry mouth, abdominal discomfort, anal incontinence, flatulence </w:t>
            </w:r>
          </w:p>
        </w:tc>
        <w:tc>
          <w:tcPr>
            <w:tcW w:w="1666" w:type="pct"/>
          </w:tcPr>
          <w:p w14:paraId="0F58AE53"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58246FBB" w14:textId="77777777" w:rsidR="001D2D8F" w:rsidRPr="001468A9" w:rsidRDefault="001D2D8F" w:rsidP="0035666A">
            <w:pPr>
              <w:pStyle w:val="TblTextLeft"/>
              <w:rPr>
                <w:lang w:val="en-AU" w:eastAsia="en-AU"/>
              </w:rPr>
            </w:pPr>
            <w:r w:rsidRPr="001468A9">
              <w:rPr>
                <w:lang w:val="en-AU" w:eastAsia="en-AU"/>
              </w:rPr>
              <w:t xml:space="preserve">Nausea, diarrhoea, vomiting, constipation </w:t>
            </w:r>
          </w:p>
          <w:p w14:paraId="08DF4103" w14:textId="77777777" w:rsidR="001D2D8F" w:rsidRPr="001468A9" w:rsidRDefault="001D2D8F" w:rsidP="0035666A">
            <w:pPr>
              <w:pStyle w:val="TblTextLeft"/>
              <w:rPr>
                <w:lang w:val="en-AU" w:eastAsia="en-AU"/>
              </w:rPr>
            </w:pPr>
          </w:p>
          <w:p w14:paraId="77CDCF07" w14:textId="77777777" w:rsidR="001D2D8F" w:rsidRPr="001468A9" w:rsidRDefault="001D2D8F" w:rsidP="0035666A">
            <w:pPr>
              <w:pStyle w:val="TblTextLeft"/>
              <w:rPr>
                <w:u w:val="single"/>
                <w:lang w:val="en-AU" w:eastAsia="en-AU"/>
              </w:rPr>
            </w:pPr>
            <w:r w:rsidRPr="001468A9">
              <w:rPr>
                <w:u w:val="single"/>
                <w:lang w:val="en-AU" w:eastAsia="en-AU"/>
              </w:rPr>
              <w:t xml:space="preserve">Uncommon </w:t>
            </w:r>
          </w:p>
          <w:p w14:paraId="2D8C2F90" w14:textId="77777777" w:rsidR="001D2D8F" w:rsidRPr="001468A9" w:rsidRDefault="001D2D8F" w:rsidP="0035666A">
            <w:pPr>
              <w:pStyle w:val="TblTextLeft"/>
              <w:rPr>
                <w:lang w:val="en-AU" w:eastAsia="en-AU"/>
              </w:rPr>
            </w:pPr>
            <w:r w:rsidRPr="001468A9">
              <w:rPr>
                <w:lang w:val="en-AU" w:eastAsia="en-AU"/>
              </w:rPr>
              <w:t xml:space="preserve">Abdominal pain </w:t>
            </w:r>
          </w:p>
        </w:tc>
      </w:tr>
      <w:tr w:rsidR="001D2D8F" w:rsidRPr="008A0AFE" w14:paraId="5A0DF396" w14:textId="77777777" w:rsidTr="0035666A">
        <w:trPr>
          <w:trHeight w:val="488"/>
        </w:trPr>
        <w:tc>
          <w:tcPr>
            <w:tcW w:w="1667" w:type="pct"/>
          </w:tcPr>
          <w:p w14:paraId="631D2453" w14:textId="77777777" w:rsidR="001D2D8F" w:rsidRPr="001468A9" w:rsidRDefault="001D2D8F" w:rsidP="0035666A">
            <w:pPr>
              <w:pStyle w:val="TblHeadingLeft"/>
              <w:rPr>
                <w:noProof w:val="0"/>
                <w:lang w:val="en-AU"/>
              </w:rPr>
            </w:pPr>
            <w:r w:rsidRPr="001468A9">
              <w:rPr>
                <w:lang w:val="en-AU"/>
              </w:rPr>
              <w:t xml:space="preserve">Skin and subcutaneous tissue disorders </w:t>
            </w:r>
          </w:p>
        </w:tc>
        <w:tc>
          <w:tcPr>
            <w:tcW w:w="1667" w:type="pct"/>
          </w:tcPr>
          <w:p w14:paraId="70077092"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68768ADF" w14:textId="77777777" w:rsidR="001D2D8F" w:rsidRPr="001468A9" w:rsidRDefault="001D2D8F" w:rsidP="0035666A">
            <w:pPr>
              <w:pStyle w:val="TblTextLeft"/>
              <w:rPr>
                <w:lang w:val="en-AU" w:eastAsia="en-AU"/>
              </w:rPr>
            </w:pPr>
            <w:r w:rsidRPr="001468A9">
              <w:rPr>
                <w:lang w:val="en-AU" w:eastAsia="en-AU"/>
              </w:rPr>
              <w:t xml:space="preserve">Alopecia, night sweats </w:t>
            </w:r>
          </w:p>
        </w:tc>
        <w:tc>
          <w:tcPr>
            <w:tcW w:w="1666" w:type="pct"/>
          </w:tcPr>
          <w:p w14:paraId="26BA7457" w14:textId="77777777" w:rsidR="001D2D8F" w:rsidRPr="001468A9" w:rsidRDefault="001D2D8F" w:rsidP="0035666A">
            <w:pPr>
              <w:pStyle w:val="TblTextLeft"/>
              <w:rPr>
                <w:lang w:val="en-AU" w:eastAsia="en-AU"/>
              </w:rPr>
            </w:pPr>
            <w:r w:rsidRPr="001468A9">
              <w:rPr>
                <w:lang w:val="en-AU" w:eastAsia="en-AU"/>
              </w:rPr>
              <w:t xml:space="preserve">None </w:t>
            </w:r>
          </w:p>
        </w:tc>
      </w:tr>
      <w:tr w:rsidR="001D2D8F" w:rsidRPr="008A0AFE" w14:paraId="2AFD7973" w14:textId="77777777" w:rsidTr="0035666A">
        <w:trPr>
          <w:trHeight w:val="488"/>
        </w:trPr>
        <w:tc>
          <w:tcPr>
            <w:tcW w:w="1667" w:type="pct"/>
          </w:tcPr>
          <w:p w14:paraId="6446B45B" w14:textId="77777777" w:rsidR="001D2D8F" w:rsidRPr="001468A9" w:rsidRDefault="001D2D8F" w:rsidP="0035666A">
            <w:pPr>
              <w:pStyle w:val="TblHeadingLeft"/>
              <w:rPr>
                <w:noProof w:val="0"/>
                <w:lang w:val="en-AU"/>
              </w:rPr>
            </w:pPr>
            <w:r w:rsidRPr="001468A9">
              <w:rPr>
                <w:lang w:val="en-AU"/>
              </w:rPr>
              <w:t xml:space="preserve">Musculoskeletal and connective tissue disorders </w:t>
            </w:r>
          </w:p>
        </w:tc>
        <w:tc>
          <w:tcPr>
            <w:tcW w:w="1667" w:type="pct"/>
          </w:tcPr>
          <w:p w14:paraId="0781F25C"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1F3B6B19" w14:textId="77777777" w:rsidR="001D2D8F" w:rsidRPr="001468A9" w:rsidRDefault="001D2D8F" w:rsidP="0035666A">
            <w:pPr>
              <w:pStyle w:val="TblTextLeft"/>
              <w:rPr>
                <w:lang w:val="en-AU" w:eastAsia="en-AU"/>
              </w:rPr>
            </w:pPr>
            <w:r w:rsidRPr="001468A9">
              <w:rPr>
                <w:lang w:val="en-AU" w:eastAsia="en-AU"/>
              </w:rPr>
              <w:t xml:space="preserve">Muscular weakness, bone pain, muscle spasms, </w:t>
            </w:r>
            <w:proofErr w:type="spellStart"/>
            <w:r w:rsidRPr="001468A9">
              <w:rPr>
                <w:lang w:val="en-AU" w:eastAsia="en-AU"/>
              </w:rPr>
              <w:t>hypercreatinaemia</w:t>
            </w:r>
            <w:proofErr w:type="spellEnd"/>
            <w:r w:rsidRPr="001468A9">
              <w:rPr>
                <w:lang w:val="en-AU" w:eastAsia="en-AU"/>
              </w:rPr>
              <w:t xml:space="preserve"> </w:t>
            </w:r>
          </w:p>
        </w:tc>
        <w:tc>
          <w:tcPr>
            <w:tcW w:w="1666" w:type="pct"/>
          </w:tcPr>
          <w:p w14:paraId="45884FFC" w14:textId="77777777" w:rsidR="001D2D8F" w:rsidRPr="001468A9" w:rsidRDefault="001D2D8F" w:rsidP="0035666A">
            <w:pPr>
              <w:pStyle w:val="TblTextLeft"/>
              <w:rPr>
                <w:u w:val="single"/>
                <w:lang w:val="en-AU" w:eastAsia="en-AU"/>
              </w:rPr>
            </w:pPr>
            <w:r w:rsidRPr="001468A9">
              <w:rPr>
                <w:u w:val="single"/>
                <w:lang w:val="en-AU" w:eastAsia="en-AU"/>
              </w:rPr>
              <w:t xml:space="preserve">Uncommon </w:t>
            </w:r>
          </w:p>
          <w:p w14:paraId="19714F57" w14:textId="77777777" w:rsidR="001D2D8F" w:rsidRPr="001468A9" w:rsidRDefault="001D2D8F" w:rsidP="0035666A">
            <w:pPr>
              <w:pStyle w:val="TblTextLeft"/>
              <w:rPr>
                <w:lang w:val="en-AU" w:eastAsia="en-AU"/>
              </w:rPr>
            </w:pPr>
            <w:r w:rsidRPr="001468A9">
              <w:rPr>
                <w:lang w:val="en-AU" w:eastAsia="en-AU"/>
              </w:rPr>
              <w:t xml:space="preserve">Muscular weakness, bone pain, muscle spasms, </w:t>
            </w:r>
            <w:proofErr w:type="spellStart"/>
            <w:r w:rsidRPr="001468A9">
              <w:rPr>
                <w:lang w:val="en-AU" w:eastAsia="en-AU"/>
              </w:rPr>
              <w:t>hypercreatinaemia</w:t>
            </w:r>
            <w:proofErr w:type="spellEnd"/>
            <w:r w:rsidRPr="001468A9">
              <w:rPr>
                <w:lang w:val="en-AU" w:eastAsia="en-AU"/>
              </w:rPr>
              <w:t xml:space="preserve"> </w:t>
            </w:r>
          </w:p>
        </w:tc>
      </w:tr>
      <w:tr w:rsidR="001D2D8F" w:rsidRPr="008A0AFE" w14:paraId="59AEDDAD" w14:textId="77777777" w:rsidTr="0035666A">
        <w:trPr>
          <w:trHeight w:val="488"/>
        </w:trPr>
        <w:tc>
          <w:tcPr>
            <w:tcW w:w="1667" w:type="pct"/>
          </w:tcPr>
          <w:p w14:paraId="5928F722" w14:textId="77777777" w:rsidR="001D2D8F" w:rsidRPr="001468A9" w:rsidRDefault="001D2D8F" w:rsidP="0035666A">
            <w:pPr>
              <w:pStyle w:val="TblHeadingLeft"/>
              <w:rPr>
                <w:noProof w:val="0"/>
                <w:lang w:val="en-AU"/>
              </w:rPr>
            </w:pPr>
            <w:r w:rsidRPr="001468A9">
              <w:rPr>
                <w:lang w:val="en-AU"/>
              </w:rPr>
              <w:t xml:space="preserve">Renal and urinary disorders </w:t>
            </w:r>
          </w:p>
        </w:tc>
        <w:tc>
          <w:tcPr>
            <w:tcW w:w="1667" w:type="pct"/>
          </w:tcPr>
          <w:p w14:paraId="139DC2B3"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2642FD5C" w14:textId="77777777" w:rsidR="001D2D8F" w:rsidRPr="001468A9" w:rsidRDefault="001D2D8F" w:rsidP="0035666A">
            <w:pPr>
              <w:pStyle w:val="TblTextLeft"/>
              <w:rPr>
                <w:lang w:val="en-AU" w:eastAsia="en-AU"/>
              </w:rPr>
            </w:pPr>
            <w:r w:rsidRPr="001468A9">
              <w:rPr>
                <w:lang w:val="en-AU" w:eastAsia="en-AU"/>
              </w:rPr>
              <w:t xml:space="preserve">Acute kidney injury </w:t>
            </w:r>
          </w:p>
        </w:tc>
        <w:tc>
          <w:tcPr>
            <w:tcW w:w="1666" w:type="pct"/>
          </w:tcPr>
          <w:p w14:paraId="72FE6BF7" w14:textId="77777777" w:rsidR="001D2D8F" w:rsidRPr="001468A9" w:rsidRDefault="001D2D8F" w:rsidP="0035666A">
            <w:pPr>
              <w:pStyle w:val="TblTextLeft"/>
              <w:rPr>
                <w:u w:val="single"/>
                <w:lang w:val="en-AU" w:eastAsia="en-AU"/>
              </w:rPr>
            </w:pPr>
            <w:r w:rsidRPr="001468A9">
              <w:rPr>
                <w:u w:val="single"/>
                <w:lang w:val="en-AU" w:eastAsia="en-AU"/>
              </w:rPr>
              <w:t xml:space="preserve">Common </w:t>
            </w:r>
          </w:p>
          <w:p w14:paraId="2580CFC1" w14:textId="77777777" w:rsidR="001D2D8F" w:rsidRPr="001468A9" w:rsidRDefault="001D2D8F" w:rsidP="0035666A">
            <w:pPr>
              <w:pStyle w:val="TblTextLeft"/>
              <w:rPr>
                <w:lang w:val="en-AU" w:eastAsia="en-AU"/>
              </w:rPr>
            </w:pPr>
            <w:r w:rsidRPr="001468A9">
              <w:rPr>
                <w:lang w:val="en-AU" w:eastAsia="en-AU"/>
              </w:rPr>
              <w:t xml:space="preserve">Acute kidney injury </w:t>
            </w:r>
          </w:p>
        </w:tc>
      </w:tr>
      <w:tr w:rsidR="001D2D8F" w:rsidRPr="008A0AFE" w14:paraId="5F6584F9" w14:textId="77777777" w:rsidTr="0035666A">
        <w:trPr>
          <w:trHeight w:val="488"/>
        </w:trPr>
        <w:tc>
          <w:tcPr>
            <w:tcW w:w="1667" w:type="pct"/>
          </w:tcPr>
          <w:p w14:paraId="247B2964" w14:textId="77777777" w:rsidR="001D2D8F" w:rsidRPr="001468A9" w:rsidRDefault="001D2D8F" w:rsidP="0035666A">
            <w:pPr>
              <w:pStyle w:val="TblHeadingLeft"/>
              <w:rPr>
                <w:noProof w:val="0"/>
                <w:lang w:val="en-AU"/>
              </w:rPr>
            </w:pPr>
            <w:r w:rsidRPr="001468A9">
              <w:rPr>
                <w:lang w:val="en-AU"/>
              </w:rPr>
              <w:t xml:space="preserve">General disorders and administration site conditions </w:t>
            </w:r>
          </w:p>
        </w:tc>
        <w:tc>
          <w:tcPr>
            <w:tcW w:w="1667" w:type="pct"/>
          </w:tcPr>
          <w:p w14:paraId="23EF9841" w14:textId="77777777" w:rsidR="001D2D8F" w:rsidRPr="001468A9" w:rsidRDefault="001D2D8F" w:rsidP="0035666A">
            <w:pPr>
              <w:pStyle w:val="TblTextLeft"/>
              <w:rPr>
                <w:u w:val="single"/>
                <w:lang w:val="en-AU"/>
              </w:rPr>
            </w:pPr>
            <w:r w:rsidRPr="001468A9">
              <w:rPr>
                <w:u w:val="single"/>
                <w:lang w:val="en-AU"/>
              </w:rPr>
              <w:t xml:space="preserve">Very common </w:t>
            </w:r>
          </w:p>
          <w:p w14:paraId="39B0AE8F" w14:textId="77777777" w:rsidR="001D2D8F" w:rsidRPr="001468A9" w:rsidRDefault="001D2D8F" w:rsidP="0035666A">
            <w:pPr>
              <w:pStyle w:val="TblTextLeft"/>
              <w:rPr>
                <w:lang w:val="en-AU"/>
              </w:rPr>
            </w:pPr>
            <w:r w:rsidRPr="001468A9">
              <w:rPr>
                <w:lang w:val="en-AU"/>
              </w:rPr>
              <w:t xml:space="preserve">Fatigue, pyrexia, asthenia </w:t>
            </w:r>
          </w:p>
          <w:p w14:paraId="4A257F96" w14:textId="77777777" w:rsidR="001D2D8F" w:rsidRPr="001468A9" w:rsidRDefault="001D2D8F" w:rsidP="0035666A">
            <w:pPr>
              <w:pStyle w:val="TblTextLeft"/>
              <w:rPr>
                <w:lang w:val="en-AU"/>
              </w:rPr>
            </w:pPr>
          </w:p>
          <w:p w14:paraId="1B9C7CF4" w14:textId="77777777" w:rsidR="001D2D8F" w:rsidRPr="001468A9" w:rsidRDefault="001D2D8F" w:rsidP="0035666A">
            <w:pPr>
              <w:pStyle w:val="TblTextLeft"/>
              <w:rPr>
                <w:u w:val="single"/>
                <w:lang w:val="en-AU"/>
              </w:rPr>
            </w:pPr>
            <w:r w:rsidRPr="001468A9">
              <w:rPr>
                <w:u w:val="single"/>
                <w:lang w:val="en-AU"/>
              </w:rPr>
              <w:t xml:space="preserve">Common </w:t>
            </w:r>
          </w:p>
          <w:p w14:paraId="5D725FDA" w14:textId="77777777" w:rsidR="001D2D8F" w:rsidRPr="001468A9" w:rsidRDefault="001D2D8F" w:rsidP="0035666A">
            <w:pPr>
              <w:pStyle w:val="TblTextLeft"/>
              <w:rPr>
                <w:lang w:val="en-AU"/>
              </w:rPr>
            </w:pPr>
            <w:r w:rsidRPr="001468A9">
              <w:rPr>
                <w:lang w:val="en-AU"/>
              </w:rPr>
              <w:t>General physical health deterioration, malaise, gait disturbance, chills</w:t>
            </w:r>
          </w:p>
        </w:tc>
        <w:tc>
          <w:tcPr>
            <w:tcW w:w="1666" w:type="pct"/>
          </w:tcPr>
          <w:p w14:paraId="07D4056A" w14:textId="77777777" w:rsidR="001D2D8F" w:rsidRPr="001468A9" w:rsidRDefault="001D2D8F" w:rsidP="0035666A">
            <w:pPr>
              <w:pStyle w:val="TblTextLeft"/>
              <w:rPr>
                <w:u w:val="single"/>
                <w:lang w:val="en-AU"/>
              </w:rPr>
            </w:pPr>
            <w:r w:rsidRPr="001468A9">
              <w:rPr>
                <w:u w:val="single"/>
                <w:lang w:val="en-AU"/>
              </w:rPr>
              <w:t>Very common</w:t>
            </w:r>
          </w:p>
          <w:p w14:paraId="6BE07777" w14:textId="77777777" w:rsidR="001D2D8F" w:rsidRPr="001468A9" w:rsidRDefault="001D2D8F" w:rsidP="0035666A">
            <w:pPr>
              <w:pStyle w:val="TblTextLeft"/>
              <w:rPr>
                <w:lang w:val="en-AU"/>
              </w:rPr>
            </w:pPr>
            <w:r w:rsidRPr="001468A9">
              <w:rPr>
                <w:lang w:val="en-AU"/>
              </w:rPr>
              <w:t xml:space="preserve">Fatigue </w:t>
            </w:r>
          </w:p>
          <w:p w14:paraId="1D5406C5" w14:textId="77777777" w:rsidR="001D2D8F" w:rsidRPr="001468A9" w:rsidRDefault="001D2D8F" w:rsidP="0035666A">
            <w:pPr>
              <w:pStyle w:val="TblTextLeft"/>
              <w:rPr>
                <w:lang w:val="en-AU"/>
              </w:rPr>
            </w:pPr>
          </w:p>
          <w:p w14:paraId="3B9474D4" w14:textId="77777777" w:rsidR="001D2D8F" w:rsidRPr="001468A9" w:rsidRDefault="001D2D8F" w:rsidP="0035666A">
            <w:pPr>
              <w:pStyle w:val="TblTextLeft"/>
              <w:rPr>
                <w:u w:val="single"/>
                <w:lang w:val="en-AU"/>
              </w:rPr>
            </w:pPr>
            <w:r w:rsidRPr="001468A9">
              <w:rPr>
                <w:u w:val="single"/>
                <w:lang w:val="en-AU"/>
              </w:rPr>
              <w:t xml:space="preserve">Common </w:t>
            </w:r>
          </w:p>
          <w:p w14:paraId="4952CADF" w14:textId="77777777" w:rsidR="001D2D8F" w:rsidRPr="001468A9" w:rsidRDefault="001D2D8F" w:rsidP="0035666A">
            <w:pPr>
              <w:pStyle w:val="TblTextLeft"/>
              <w:rPr>
                <w:lang w:val="en-AU"/>
              </w:rPr>
            </w:pPr>
            <w:r w:rsidRPr="001468A9">
              <w:rPr>
                <w:lang w:val="en-AU"/>
              </w:rPr>
              <w:t xml:space="preserve">Asthenia, general physical health deterioration </w:t>
            </w:r>
          </w:p>
          <w:p w14:paraId="083DAF65" w14:textId="77777777" w:rsidR="001D2D8F" w:rsidRPr="001468A9" w:rsidRDefault="001D2D8F" w:rsidP="0035666A">
            <w:pPr>
              <w:pStyle w:val="TblTextLeft"/>
              <w:rPr>
                <w:lang w:val="en-AU"/>
              </w:rPr>
            </w:pPr>
          </w:p>
          <w:p w14:paraId="417E7C20" w14:textId="77777777" w:rsidR="001D2D8F" w:rsidRPr="001468A9" w:rsidRDefault="001D2D8F" w:rsidP="0035666A">
            <w:pPr>
              <w:pStyle w:val="TblTextLeft"/>
              <w:rPr>
                <w:u w:val="single"/>
                <w:lang w:val="en-AU"/>
              </w:rPr>
            </w:pPr>
            <w:r w:rsidRPr="001468A9">
              <w:rPr>
                <w:u w:val="single"/>
                <w:lang w:val="en-AU"/>
              </w:rPr>
              <w:t xml:space="preserve">Uncommon </w:t>
            </w:r>
          </w:p>
          <w:p w14:paraId="2C6CA793" w14:textId="77777777" w:rsidR="001D2D8F" w:rsidRPr="001468A9" w:rsidRDefault="001D2D8F" w:rsidP="0035666A">
            <w:pPr>
              <w:pStyle w:val="TblTextLeft"/>
              <w:rPr>
                <w:lang w:val="en-AU"/>
              </w:rPr>
            </w:pPr>
            <w:r w:rsidRPr="001468A9">
              <w:rPr>
                <w:lang w:val="en-AU"/>
              </w:rPr>
              <w:t>Pyrexia</w:t>
            </w:r>
          </w:p>
        </w:tc>
      </w:tr>
      <w:tr w:rsidR="001D2D8F" w:rsidRPr="008A0AFE" w14:paraId="48D7E99F" w14:textId="77777777" w:rsidTr="0035666A">
        <w:trPr>
          <w:trHeight w:val="488"/>
        </w:trPr>
        <w:tc>
          <w:tcPr>
            <w:tcW w:w="1667" w:type="pct"/>
          </w:tcPr>
          <w:p w14:paraId="54AB24BD" w14:textId="77777777" w:rsidR="001D2D8F" w:rsidRPr="001468A9" w:rsidRDefault="001D2D8F" w:rsidP="0035666A">
            <w:pPr>
              <w:pStyle w:val="TblHeadingLeft"/>
              <w:rPr>
                <w:noProof w:val="0"/>
                <w:lang w:val="en-AU"/>
              </w:rPr>
            </w:pPr>
            <w:r w:rsidRPr="001468A9">
              <w:rPr>
                <w:lang w:val="en-AU"/>
              </w:rPr>
              <w:t xml:space="preserve">Investigations </w:t>
            </w:r>
          </w:p>
        </w:tc>
        <w:tc>
          <w:tcPr>
            <w:tcW w:w="1667" w:type="pct"/>
          </w:tcPr>
          <w:p w14:paraId="44AD5029" w14:textId="77777777" w:rsidR="001D2D8F" w:rsidRPr="001468A9" w:rsidRDefault="001D2D8F" w:rsidP="0035666A">
            <w:pPr>
              <w:pStyle w:val="TblTextLeft"/>
              <w:rPr>
                <w:u w:val="single"/>
                <w:lang w:val="en-AU"/>
              </w:rPr>
            </w:pPr>
            <w:r w:rsidRPr="001468A9">
              <w:rPr>
                <w:u w:val="single"/>
                <w:lang w:val="en-AU"/>
              </w:rPr>
              <w:t xml:space="preserve">Very common </w:t>
            </w:r>
          </w:p>
          <w:p w14:paraId="47E90524" w14:textId="77777777" w:rsidR="001D2D8F" w:rsidRPr="001468A9" w:rsidRDefault="001D2D8F" w:rsidP="0035666A">
            <w:pPr>
              <w:pStyle w:val="TblTextLeft"/>
              <w:rPr>
                <w:lang w:val="en-AU"/>
              </w:rPr>
            </w:pPr>
            <w:r w:rsidRPr="001468A9">
              <w:rPr>
                <w:lang w:val="en-AU"/>
              </w:rPr>
              <w:t>Weight decreased</w:t>
            </w:r>
          </w:p>
          <w:p w14:paraId="51772486" w14:textId="77777777" w:rsidR="001D2D8F" w:rsidRPr="001468A9" w:rsidRDefault="001D2D8F" w:rsidP="0035666A">
            <w:pPr>
              <w:pStyle w:val="TblTextLeft"/>
              <w:rPr>
                <w:lang w:val="en-AU"/>
              </w:rPr>
            </w:pPr>
          </w:p>
          <w:p w14:paraId="62C0F87A" w14:textId="77777777" w:rsidR="001D2D8F" w:rsidRPr="001468A9" w:rsidRDefault="001D2D8F" w:rsidP="0035666A">
            <w:pPr>
              <w:pStyle w:val="TblTextLeft"/>
              <w:rPr>
                <w:u w:val="single"/>
                <w:lang w:val="en-AU"/>
              </w:rPr>
            </w:pPr>
            <w:r w:rsidRPr="001468A9">
              <w:rPr>
                <w:u w:val="single"/>
                <w:lang w:val="en-AU"/>
              </w:rPr>
              <w:t xml:space="preserve">Common </w:t>
            </w:r>
          </w:p>
          <w:p w14:paraId="20094B52" w14:textId="77777777" w:rsidR="001D2D8F" w:rsidRPr="001468A9" w:rsidRDefault="001D2D8F" w:rsidP="0035666A">
            <w:pPr>
              <w:pStyle w:val="TblTextLeft"/>
              <w:rPr>
                <w:lang w:val="en-AU"/>
              </w:rPr>
            </w:pPr>
            <w:r w:rsidRPr="001468A9">
              <w:rPr>
                <w:lang w:val="en-AU"/>
              </w:rPr>
              <w:t xml:space="preserve">Aspartate aminotransferase </w:t>
            </w:r>
            <w:proofErr w:type="gramStart"/>
            <w:r w:rsidRPr="001468A9">
              <w:rPr>
                <w:lang w:val="en-AU"/>
              </w:rPr>
              <w:t>increased,</w:t>
            </w:r>
            <w:proofErr w:type="gramEnd"/>
            <w:r w:rsidRPr="001468A9">
              <w:rPr>
                <w:lang w:val="en-AU"/>
              </w:rPr>
              <w:t xml:space="preserve"> alanine aminotransferase increased </w:t>
            </w:r>
          </w:p>
        </w:tc>
        <w:tc>
          <w:tcPr>
            <w:tcW w:w="1666" w:type="pct"/>
          </w:tcPr>
          <w:p w14:paraId="1F9B4AF4" w14:textId="77777777" w:rsidR="001D2D8F" w:rsidRPr="001468A9" w:rsidRDefault="001D2D8F" w:rsidP="0035666A">
            <w:pPr>
              <w:pStyle w:val="TblTextLeft"/>
              <w:rPr>
                <w:u w:val="single"/>
                <w:lang w:val="en-AU"/>
              </w:rPr>
            </w:pPr>
            <w:r w:rsidRPr="001468A9">
              <w:rPr>
                <w:u w:val="single"/>
                <w:lang w:val="en-AU"/>
              </w:rPr>
              <w:t xml:space="preserve">Common </w:t>
            </w:r>
          </w:p>
          <w:p w14:paraId="23973507" w14:textId="77777777" w:rsidR="001D2D8F" w:rsidRPr="001468A9" w:rsidRDefault="001D2D8F" w:rsidP="0035666A">
            <w:pPr>
              <w:pStyle w:val="TblTextLeft"/>
              <w:rPr>
                <w:lang w:val="en-AU"/>
              </w:rPr>
            </w:pPr>
            <w:r w:rsidRPr="001468A9">
              <w:rPr>
                <w:lang w:val="en-AU"/>
              </w:rPr>
              <w:t xml:space="preserve">Alanine aminotransferase increased </w:t>
            </w:r>
          </w:p>
          <w:p w14:paraId="7ADA24D5" w14:textId="77777777" w:rsidR="001D2D8F" w:rsidRPr="001468A9" w:rsidRDefault="001D2D8F" w:rsidP="0035666A">
            <w:pPr>
              <w:pStyle w:val="TblTextLeft"/>
              <w:rPr>
                <w:lang w:val="en-AU"/>
              </w:rPr>
            </w:pPr>
          </w:p>
          <w:p w14:paraId="1DC3F0AC" w14:textId="77777777" w:rsidR="001D2D8F" w:rsidRPr="001468A9" w:rsidRDefault="001D2D8F" w:rsidP="0035666A">
            <w:pPr>
              <w:pStyle w:val="TblTextLeft"/>
              <w:rPr>
                <w:u w:val="single"/>
                <w:lang w:val="en-AU"/>
              </w:rPr>
            </w:pPr>
            <w:r w:rsidRPr="001468A9">
              <w:rPr>
                <w:u w:val="single"/>
                <w:lang w:val="en-AU"/>
              </w:rPr>
              <w:t xml:space="preserve">Uncommon </w:t>
            </w:r>
          </w:p>
          <w:p w14:paraId="00F4C28A" w14:textId="77777777" w:rsidR="001D2D8F" w:rsidRPr="001468A9" w:rsidRDefault="001D2D8F" w:rsidP="0035666A">
            <w:pPr>
              <w:pStyle w:val="TblTextLeft"/>
              <w:rPr>
                <w:lang w:val="en-AU"/>
              </w:rPr>
            </w:pPr>
            <w:r w:rsidRPr="001468A9">
              <w:rPr>
                <w:lang w:val="en-AU"/>
              </w:rPr>
              <w:t xml:space="preserve">Weight </w:t>
            </w:r>
            <w:proofErr w:type="gramStart"/>
            <w:r w:rsidRPr="001468A9">
              <w:rPr>
                <w:lang w:val="en-AU"/>
              </w:rPr>
              <w:t>decreased,</w:t>
            </w:r>
            <w:proofErr w:type="gramEnd"/>
            <w:r w:rsidRPr="001468A9">
              <w:rPr>
                <w:lang w:val="en-AU"/>
              </w:rPr>
              <w:t xml:space="preserve"> aspartate aminotransferase increased </w:t>
            </w:r>
          </w:p>
        </w:tc>
      </w:tr>
      <w:tr w:rsidR="001D2D8F" w:rsidRPr="00FA1502" w14:paraId="71AB4ED1" w14:textId="77777777" w:rsidTr="0035666A">
        <w:trPr>
          <w:trHeight w:val="488"/>
        </w:trPr>
        <w:tc>
          <w:tcPr>
            <w:tcW w:w="1667" w:type="pct"/>
          </w:tcPr>
          <w:p w14:paraId="1E2A492A" w14:textId="77777777" w:rsidR="001D2D8F" w:rsidRPr="001468A9" w:rsidRDefault="001D2D8F" w:rsidP="0035666A">
            <w:pPr>
              <w:pStyle w:val="TblHeadingLeft"/>
              <w:rPr>
                <w:noProof w:val="0"/>
                <w:lang w:val="en-AU"/>
              </w:rPr>
            </w:pPr>
            <w:r w:rsidRPr="001468A9">
              <w:rPr>
                <w:lang w:val="en-AU"/>
              </w:rPr>
              <w:t xml:space="preserve">Injury, poisoning and procedural complications </w:t>
            </w:r>
          </w:p>
        </w:tc>
        <w:tc>
          <w:tcPr>
            <w:tcW w:w="1667" w:type="pct"/>
          </w:tcPr>
          <w:p w14:paraId="57458B60" w14:textId="77777777" w:rsidR="001D2D8F" w:rsidRPr="001468A9" w:rsidRDefault="001D2D8F" w:rsidP="0035666A">
            <w:pPr>
              <w:pStyle w:val="TblTextLeft"/>
              <w:rPr>
                <w:u w:val="single"/>
                <w:lang w:val="en-AU"/>
              </w:rPr>
            </w:pPr>
            <w:r w:rsidRPr="001468A9">
              <w:rPr>
                <w:u w:val="single"/>
                <w:lang w:val="en-AU"/>
              </w:rPr>
              <w:t xml:space="preserve">Common </w:t>
            </w:r>
          </w:p>
          <w:p w14:paraId="2200C7C8" w14:textId="77777777" w:rsidR="001D2D8F" w:rsidRPr="001468A9" w:rsidRDefault="001D2D8F" w:rsidP="0035666A">
            <w:pPr>
              <w:pStyle w:val="TblTextLeft"/>
              <w:rPr>
                <w:lang w:val="en-AU"/>
              </w:rPr>
            </w:pPr>
            <w:r w:rsidRPr="001468A9">
              <w:rPr>
                <w:lang w:val="en-AU"/>
              </w:rPr>
              <w:t xml:space="preserve">Fall, contusion </w:t>
            </w:r>
          </w:p>
        </w:tc>
        <w:tc>
          <w:tcPr>
            <w:tcW w:w="1666" w:type="pct"/>
          </w:tcPr>
          <w:p w14:paraId="12FCF855" w14:textId="77777777" w:rsidR="001D2D8F" w:rsidRPr="001468A9" w:rsidRDefault="001D2D8F" w:rsidP="0035666A">
            <w:pPr>
              <w:pStyle w:val="TblTextLeft"/>
              <w:rPr>
                <w:u w:val="single"/>
                <w:lang w:val="en-AU"/>
              </w:rPr>
            </w:pPr>
            <w:r w:rsidRPr="001468A9">
              <w:rPr>
                <w:u w:val="single"/>
                <w:lang w:val="en-AU"/>
              </w:rPr>
              <w:t xml:space="preserve">Common </w:t>
            </w:r>
          </w:p>
          <w:p w14:paraId="0DCFA2F5" w14:textId="77777777" w:rsidR="001D2D8F" w:rsidRPr="00FA1502" w:rsidRDefault="001D2D8F" w:rsidP="0035666A">
            <w:pPr>
              <w:pStyle w:val="TblTextLeft"/>
              <w:rPr>
                <w:lang w:val="en-AU"/>
              </w:rPr>
            </w:pPr>
            <w:r w:rsidRPr="001468A9">
              <w:rPr>
                <w:lang w:val="en-AU"/>
              </w:rPr>
              <w:t>Fall</w:t>
            </w:r>
            <w:r w:rsidRPr="00FA1502">
              <w:rPr>
                <w:lang w:val="en-AU"/>
              </w:rPr>
              <w:t xml:space="preserve"> </w:t>
            </w:r>
          </w:p>
        </w:tc>
      </w:tr>
    </w:tbl>
    <w:p w14:paraId="53FBA282" w14:textId="77777777" w:rsidR="001D2D8F" w:rsidRDefault="001D2D8F" w:rsidP="001D2D8F">
      <w:pPr>
        <w:pStyle w:val="C-Footnote"/>
        <w:tabs>
          <w:tab w:val="clear" w:pos="144"/>
          <w:tab w:val="left" w:pos="180"/>
        </w:tabs>
        <w:ind w:left="180" w:hanging="180"/>
        <w:rPr>
          <w:rFonts w:asciiTheme="minorHAnsi" w:hAnsiTheme="minorHAnsi" w:cstheme="minorHAnsi"/>
        </w:rPr>
      </w:pPr>
    </w:p>
    <w:p w14:paraId="1BA06A79" w14:textId="77777777" w:rsidR="001D2D8F" w:rsidRPr="000022BF" w:rsidRDefault="001D2D8F" w:rsidP="001D2D8F">
      <w:pPr>
        <w:pStyle w:val="C-Footnote"/>
        <w:tabs>
          <w:tab w:val="clear" w:pos="144"/>
          <w:tab w:val="left" w:pos="180"/>
        </w:tabs>
        <w:ind w:left="180" w:hanging="180"/>
        <w:rPr>
          <w:rFonts w:cs="Times New Roman"/>
          <w:sz w:val="18"/>
          <w:szCs w:val="18"/>
        </w:rPr>
      </w:pPr>
      <w:r w:rsidRPr="000022BF">
        <w:rPr>
          <w:rFonts w:cs="Times New Roman"/>
          <w:sz w:val="18"/>
          <w:szCs w:val="18"/>
        </w:rPr>
        <w:t>a.</w:t>
      </w:r>
      <w:r w:rsidRPr="000022BF">
        <w:rPr>
          <w:rFonts w:cs="Times New Roman"/>
          <w:sz w:val="18"/>
          <w:szCs w:val="18"/>
        </w:rPr>
        <w:tab/>
        <w:t>Thrombocytopenia includes thrombocytopenia and platelet count decreased.</w:t>
      </w:r>
    </w:p>
    <w:p w14:paraId="742174CD" w14:textId="77777777" w:rsidR="001D2D8F" w:rsidRPr="000022BF" w:rsidRDefault="001D2D8F" w:rsidP="001D2D8F">
      <w:pPr>
        <w:pStyle w:val="C-Footnote"/>
        <w:tabs>
          <w:tab w:val="clear" w:pos="144"/>
          <w:tab w:val="left" w:pos="180"/>
        </w:tabs>
        <w:ind w:left="180" w:hanging="180"/>
        <w:rPr>
          <w:rFonts w:cs="Times New Roman"/>
          <w:sz w:val="18"/>
          <w:szCs w:val="18"/>
          <w:lang w:val="fr-FR"/>
        </w:rPr>
      </w:pPr>
      <w:r w:rsidRPr="000022BF">
        <w:rPr>
          <w:rFonts w:cs="Times New Roman"/>
          <w:sz w:val="18"/>
          <w:szCs w:val="18"/>
          <w:lang w:val="fr-FR"/>
        </w:rPr>
        <w:t>b.</w:t>
      </w:r>
      <w:r w:rsidRPr="000022BF">
        <w:rPr>
          <w:rFonts w:cs="Times New Roman"/>
          <w:sz w:val="18"/>
          <w:szCs w:val="18"/>
          <w:lang w:val="fr-FR"/>
        </w:rPr>
        <w:tab/>
        <w:t xml:space="preserve">Fatigue </w:t>
      </w:r>
      <w:proofErr w:type="spellStart"/>
      <w:r w:rsidRPr="000022BF">
        <w:rPr>
          <w:rFonts w:cs="Times New Roman"/>
          <w:sz w:val="18"/>
          <w:szCs w:val="18"/>
          <w:lang w:val="fr-FR"/>
        </w:rPr>
        <w:t>includes</w:t>
      </w:r>
      <w:proofErr w:type="spellEnd"/>
      <w:r w:rsidRPr="000022BF">
        <w:rPr>
          <w:rFonts w:cs="Times New Roman"/>
          <w:sz w:val="18"/>
          <w:szCs w:val="18"/>
          <w:lang w:val="fr-FR"/>
        </w:rPr>
        <w:t xml:space="preserve"> fatigue and </w:t>
      </w:r>
      <w:proofErr w:type="spellStart"/>
      <w:r w:rsidRPr="000022BF">
        <w:rPr>
          <w:rFonts w:cs="Times New Roman"/>
          <w:sz w:val="18"/>
          <w:szCs w:val="18"/>
          <w:lang w:val="fr-FR"/>
        </w:rPr>
        <w:t>asthenia</w:t>
      </w:r>
      <w:proofErr w:type="spellEnd"/>
      <w:r w:rsidRPr="000022BF">
        <w:rPr>
          <w:rFonts w:cs="Times New Roman"/>
          <w:sz w:val="18"/>
          <w:szCs w:val="18"/>
          <w:lang w:val="fr-FR"/>
        </w:rPr>
        <w:t>.</w:t>
      </w:r>
    </w:p>
    <w:p w14:paraId="428ADC4D" w14:textId="77777777" w:rsidR="001D2D8F" w:rsidRPr="000022BF" w:rsidRDefault="001D2D8F" w:rsidP="001D2D8F">
      <w:pPr>
        <w:pStyle w:val="C-Footnote"/>
        <w:tabs>
          <w:tab w:val="clear" w:pos="144"/>
          <w:tab w:val="left" w:pos="180"/>
        </w:tabs>
        <w:ind w:left="180" w:hanging="180"/>
        <w:rPr>
          <w:rFonts w:cs="Times New Roman"/>
          <w:sz w:val="18"/>
          <w:szCs w:val="18"/>
        </w:rPr>
      </w:pPr>
      <w:r w:rsidRPr="000022BF">
        <w:rPr>
          <w:rFonts w:cs="Times New Roman"/>
          <w:sz w:val="18"/>
          <w:szCs w:val="18"/>
        </w:rPr>
        <w:t>c.</w:t>
      </w:r>
      <w:r w:rsidRPr="000022BF">
        <w:rPr>
          <w:rFonts w:cs="Times New Roman"/>
          <w:sz w:val="18"/>
          <w:szCs w:val="18"/>
        </w:rPr>
        <w:tab/>
        <w:t>Anemia includes anemia and hematocrit decreased.</w:t>
      </w:r>
    </w:p>
    <w:p w14:paraId="64324B50" w14:textId="77777777" w:rsidR="001D2D8F" w:rsidRPr="000022BF" w:rsidRDefault="001D2D8F" w:rsidP="001D2D8F">
      <w:pPr>
        <w:pStyle w:val="C-Footnote"/>
        <w:tabs>
          <w:tab w:val="clear" w:pos="144"/>
          <w:tab w:val="left" w:pos="180"/>
        </w:tabs>
        <w:ind w:left="180" w:hanging="180"/>
        <w:rPr>
          <w:rFonts w:cs="Times New Roman"/>
          <w:sz w:val="18"/>
          <w:szCs w:val="18"/>
        </w:rPr>
      </w:pPr>
      <w:r w:rsidRPr="000022BF">
        <w:rPr>
          <w:rFonts w:cs="Times New Roman"/>
          <w:sz w:val="18"/>
          <w:szCs w:val="18"/>
        </w:rPr>
        <w:t>d.</w:t>
      </w:r>
      <w:r w:rsidRPr="000022BF">
        <w:rPr>
          <w:rFonts w:cs="Times New Roman"/>
          <w:sz w:val="18"/>
          <w:szCs w:val="18"/>
        </w:rPr>
        <w:tab/>
        <w:t>Neutropenia includes neutropenia and neutrophil count decreased.</w:t>
      </w:r>
    </w:p>
    <w:p w14:paraId="788037FE" w14:textId="77777777" w:rsidR="001D2D8F" w:rsidRPr="000022BF" w:rsidRDefault="001D2D8F" w:rsidP="001D2D8F">
      <w:pPr>
        <w:pStyle w:val="C-Footnote"/>
        <w:tabs>
          <w:tab w:val="clear" w:pos="144"/>
          <w:tab w:val="left" w:pos="180"/>
        </w:tabs>
        <w:ind w:left="180" w:hanging="180"/>
        <w:rPr>
          <w:rFonts w:cs="Times New Roman"/>
          <w:sz w:val="18"/>
          <w:szCs w:val="18"/>
        </w:rPr>
      </w:pPr>
      <w:r w:rsidRPr="000022BF">
        <w:rPr>
          <w:rFonts w:cs="Times New Roman"/>
          <w:sz w:val="18"/>
          <w:szCs w:val="18"/>
        </w:rPr>
        <w:t>e.</w:t>
      </w:r>
      <w:r w:rsidRPr="000022BF">
        <w:rPr>
          <w:rFonts w:cs="Times New Roman"/>
          <w:sz w:val="18"/>
          <w:szCs w:val="18"/>
        </w:rPr>
        <w:tab/>
        <w:t>Dyspnea includes dyspnea, dyspnea exertional, and dyspnea at rest.</w:t>
      </w:r>
    </w:p>
    <w:p w14:paraId="69F0F5BF" w14:textId="77777777" w:rsidR="001D2D8F" w:rsidRPr="000022BF" w:rsidRDefault="001D2D8F" w:rsidP="001D2D8F">
      <w:pPr>
        <w:pStyle w:val="C-Footnote"/>
        <w:tabs>
          <w:tab w:val="clear" w:pos="144"/>
          <w:tab w:val="left" w:pos="180"/>
        </w:tabs>
        <w:ind w:left="180" w:hanging="180"/>
        <w:rPr>
          <w:rFonts w:cs="Times New Roman"/>
          <w:sz w:val="18"/>
          <w:szCs w:val="18"/>
        </w:rPr>
      </w:pPr>
      <w:r w:rsidRPr="000022BF">
        <w:rPr>
          <w:rFonts w:cs="Times New Roman"/>
          <w:sz w:val="18"/>
          <w:szCs w:val="18"/>
        </w:rPr>
        <w:t>f.</w:t>
      </w:r>
      <w:r w:rsidRPr="000022BF">
        <w:rPr>
          <w:rFonts w:cs="Times New Roman"/>
          <w:sz w:val="18"/>
          <w:szCs w:val="18"/>
        </w:rPr>
        <w:tab/>
        <w:t>Upper respiratory tract infection includes upper respiratory tract infection, respiratory tract infection, pharyngitis, nasopharyngitis, bronchitis, bronchiolitis, respiratory syncytial virus infection, parainfluenza virus infection, rhinitis, rhinovirus infection, and adenovirus infection.</w:t>
      </w:r>
    </w:p>
    <w:p w14:paraId="5C107E92" w14:textId="77777777" w:rsidR="001D2D8F" w:rsidRPr="000022BF" w:rsidRDefault="001D2D8F" w:rsidP="001D2D8F">
      <w:pPr>
        <w:pStyle w:val="C-Footnote"/>
        <w:tabs>
          <w:tab w:val="clear" w:pos="144"/>
          <w:tab w:val="left" w:pos="180"/>
        </w:tabs>
        <w:ind w:left="180" w:hanging="180"/>
        <w:rPr>
          <w:rFonts w:cs="Times New Roman"/>
          <w:sz w:val="18"/>
          <w:szCs w:val="18"/>
        </w:rPr>
      </w:pPr>
      <w:r w:rsidRPr="000022BF">
        <w:rPr>
          <w:rFonts w:cs="Times New Roman"/>
          <w:sz w:val="18"/>
          <w:szCs w:val="18"/>
        </w:rPr>
        <w:t>g.</w:t>
      </w:r>
      <w:r w:rsidRPr="000022BF">
        <w:rPr>
          <w:rFonts w:cs="Times New Roman"/>
          <w:sz w:val="18"/>
          <w:szCs w:val="18"/>
        </w:rPr>
        <w:tab/>
        <w:t>Cough includes cough, productive cough, and upper-airway cough syndrome.</w:t>
      </w:r>
    </w:p>
    <w:p w14:paraId="7FD48D3D" w14:textId="3FA140F5" w:rsidR="001D2D8F" w:rsidRPr="000022BF" w:rsidRDefault="001D2D8F" w:rsidP="001D2D8F">
      <w:pPr>
        <w:pStyle w:val="C-Footnote"/>
        <w:tabs>
          <w:tab w:val="clear" w:pos="144"/>
          <w:tab w:val="left" w:pos="180"/>
        </w:tabs>
        <w:ind w:left="180" w:hanging="180"/>
        <w:rPr>
          <w:rFonts w:cs="Times New Roman"/>
          <w:sz w:val="18"/>
          <w:szCs w:val="18"/>
        </w:rPr>
      </w:pPr>
      <w:r w:rsidRPr="000022BF">
        <w:rPr>
          <w:rFonts w:cs="Times New Roman"/>
          <w:sz w:val="18"/>
          <w:szCs w:val="18"/>
        </w:rPr>
        <w:t>h.</w:t>
      </w:r>
      <w:r w:rsidRPr="000022BF">
        <w:rPr>
          <w:rFonts w:cs="Times New Roman"/>
          <w:sz w:val="18"/>
          <w:szCs w:val="18"/>
        </w:rPr>
        <w:tab/>
        <w:t xml:space="preserve">Mental status changes include mental status changes, </w:t>
      </w:r>
      <w:proofErr w:type="spellStart"/>
      <w:r w:rsidRPr="000022BF">
        <w:rPr>
          <w:rFonts w:cs="Times New Roman"/>
          <w:sz w:val="18"/>
          <w:szCs w:val="18"/>
        </w:rPr>
        <w:t>confusional</w:t>
      </w:r>
      <w:proofErr w:type="spellEnd"/>
      <w:r w:rsidRPr="000022BF">
        <w:rPr>
          <w:rFonts w:cs="Times New Roman"/>
          <w:sz w:val="18"/>
          <w:szCs w:val="18"/>
        </w:rPr>
        <w:t xml:space="preserve"> state, and delirium.</w:t>
      </w:r>
    </w:p>
    <w:p w14:paraId="183B5413" w14:textId="77777777" w:rsidR="001D2D8F" w:rsidRPr="000022BF" w:rsidRDefault="001D2D8F" w:rsidP="001D2D8F">
      <w:pPr>
        <w:pStyle w:val="C-Footnote"/>
        <w:tabs>
          <w:tab w:val="clear" w:pos="144"/>
          <w:tab w:val="left" w:pos="180"/>
        </w:tabs>
        <w:ind w:left="180" w:hanging="180"/>
        <w:rPr>
          <w:rFonts w:cs="Times New Roman"/>
          <w:sz w:val="18"/>
          <w:szCs w:val="18"/>
        </w:rPr>
      </w:pPr>
      <w:proofErr w:type="spellStart"/>
      <w:r w:rsidRPr="000022BF">
        <w:rPr>
          <w:rFonts w:cs="Times New Roman"/>
          <w:sz w:val="18"/>
          <w:szCs w:val="18"/>
        </w:rPr>
        <w:t>i</w:t>
      </w:r>
      <w:proofErr w:type="spellEnd"/>
      <w:r w:rsidRPr="000022BF">
        <w:rPr>
          <w:rFonts w:cs="Times New Roman"/>
          <w:sz w:val="18"/>
          <w:szCs w:val="18"/>
        </w:rPr>
        <w:t>.</w:t>
      </w:r>
      <w:r w:rsidRPr="000022BF">
        <w:rPr>
          <w:rFonts w:cs="Times New Roman"/>
          <w:sz w:val="18"/>
          <w:szCs w:val="18"/>
        </w:rPr>
        <w:tab/>
      </w:r>
      <w:proofErr w:type="spellStart"/>
      <w:r w:rsidRPr="000022BF">
        <w:rPr>
          <w:rFonts w:cs="Times New Roman"/>
          <w:sz w:val="18"/>
          <w:szCs w:val="18"/>
        </w:rPr>
        <w:t>Hypercreatininemia</w:t>
      </w:r>
      <w:proofErr w:type="spellEnd"/>
      <w:r w:rsidRPr="000022BF">
        <w:rPr>
          <w:rFonts w:cs="Times New Roman"/>
          <w:sz w:val="18"/>
          <w:szCs w:val="18"/>
        </w:rPr>
        <w:t xml:space="preserve"> includes </w:t>
      </w:r>
      <w:proofErr w:type="spellStart"/>
      <w:r w:rsidRPr="000022BF">
        <w:rPr>
          <w:rFonts w:cs="Times New Roman"/>
          <w:sz w:val="18"/>
          <w:szCs w:val="18"/>
        </w:rPr>
        <w:t>hypercreatininemia</w:t>
      </w:r>
      <w:proofErr w:type="spellEnd"/>
      <w:r w:rsidRPr="000022BF">
        <w:rPr>
          <w:rFonts w:cs="Times New Roman"/>
          <w:sz w:val="18"/>
          <w:szCs w:val="18"/>
        </w:rPr>
        <w:t xml:space="preserve"> and </w:t>
      </w:r>
      <w:proofErr w:type="spellStart"/>
      <w:r w:rsidRPr="000022BF">
        <w:rPr>
          <w:rFonts w:cs="Times New Roman"/>
          <w:sz w:val="18"/>
          <w:szCs w:val="18"/>
        </w:rPr>
        <w:t>hypercreatinemia</w:t>
      </w:r>
      <w:proofErr w:type="spellEnd"/>
      <w:r w:rsidRPr="000022BF">
        <w:rPr>
          <w:rFonts w:cs="Times New Roman"/>
          <w:sz w:val="18"/>
          <w:szCs w:val="18"/>
        </w:rPr>
        <w:t>.</w:t>
      </w:r>
    </w:p>
    <w:p w14:paraId="37151A92" w14:textId="77777777" w:rsidR="001D2D8F" w:rsidRPr="000022BF" w:rsidRDefault="001D2D8F" w:rsidP="001D2D8F">
      <w:pPr>
        <w:pStyle w:val="C-Footnote"/>
        <w:tabs>
          <w:tab w:val="clear" w:pos="144"/>
          <w:tab w:val="left" w:pos="180"/>
        </w:tabs>
        <w:ind w:left="180" w:hanging="180"/>
        <w:rPr>
          <w:rFonts w:cs="Times New Roman"/>
          <w:sz w:val="18"/>
          <w:szCs w:val="18"/>
        </w:rPr>
      </w:pPr>
      <w:r w:rsidRPr="000022BF">
        <w:rPr>
          <w:rFonts w:cs="Times New Roman"/>
          <w:sz w:val="18"/>
          <w:szCs w:val="18"/>
        </w:rPr>
        <w:t>j.</w:t>
      </w:r>
      <w:r w:rsidRPr="000022BF">
        <w:rPr>
          <w:rFonts w:cs="Times New Roman"/>
          <w:sz w:val="18"/>
          <w:szCs w:val="18"/>
        </w:rPr>
        <w:tab/>
        <w:t xml:space="preserve">Pneumonia includes pneumonia, atypical pneumonia, lung infection, lower respiratory tract infection, pneumocystis </w:t>
      </w:r>
      <w:proofErr w:type="spellStart"/>
      <w:r w:rsidRPr="000022BF">
        <w:rPr>
          <w:rFonts w:cs="Times New Roman"/>
          <w:sz w:val="18"/>
          <w:szCs w:val="18"/>
        </w:rPr>
        <w:t>jirovecii</w:t>
      </w:r>
      <w:proofErr w:type="spellEnd"/>
      <w:r w:rsidRPr="000022BF">
        <w:rPr>
          <w:rFonts w:cs="Times New Roman"/>
          <w:sz w:val="18"/>
          <w:szCs w:val="18"/>
        </w:rPr>
        <w:t xml:space="preserve"> pneumonia, pneumonia aspiration, pneumonia </w:t>
      </w:r>
      <w:proofErr w:type="spellStart"/>
      <w:r w:rsidRPr="000022BF">
        <w:rPr>
          <w:rFonts w:cs="Times New Roman"/>
          <w:sz w:val="18"/>
          <w:szCs w:val="18"/>
        </w:rPr>
        <w:t>influenzal</w:t>
      </w:r>
      <w:proofErr w:type="spellEnd"/>
      <w:r w:rsidRPr="000022BF">
        <w:rPr>
          <w:rFonts w:cs="Times New Roman"/>
          <w:sz w:val="18"/>
          <w:szCs w:val="18"/>
        </w:rPr>
        <w:t>, and pneumonia viral.</w:t>
      </w:r>
    </w:p>
    <w:p w14:paraId="3FA91952" w14:textId="77777777" w:rsidR="001D2D8F" w:rsidRPr="000022BF" w:rsidRDefault="001D2D8F" w:rsidP="001D2D8F">
      <w:pPr>
        <w:pStyle w:val="C-BodyText"/>
        <w:tabs>
          <w:tab w:val="left" w:pos="180"/>
        </w:tabs>
        <w:spacing w:before="0" w:after="0" w:line="240" w:lineRule="auto"/>
        <w:ind w:left="180" w:hanging="180"/>
        <w:rPr>
          <w:sz w:val="18"/>
          <w:szCs w:val="18"/>
        </w:rPr>
      </w:pPr>
      <w:r w:rsidRPr="000022BF">
        <w:rPr>
          <w:sz w:val="18"/>
          <w:szCs w:val="18"/>
        </w:rPr>
        <w:t>k.</w:t>
      </w:r>
      <w:r w:rsidRPr="000022BF">
        <w:rPr>
          <w:sz w:val="18"/>
          <w:szCs w:val="18"/>
        </w:rPr>
        <w:tab/>
        <w:t>Includes fatal event.</w:t>
      </w:r>
    </w:p>
    <w:p w14:paraId="5C4BFBF2" w14:textId="5F33F0EC" w:rsidR="00FA73D7" w:rsidRDefault="00FA73D7">
      <w:pPr>
        <w:spacing w:before="0"/>
        <w:rPr>
          <w:lang w:val="en-AU"/>
        </w:rPr>
      </w:pPr>
    </w:p>
    <w:p w14:paraId="66AE6C4B" w14:textId="1446AFB1" w:rsidR="00FA73D7" w:rsidRDefault="00FA73D7" w:rsidP="00714118">
      <w:pPr>
        <w:pStyle w:val="Caption"/>
        <w:rPr>
          <w:lang w:val="en-AU"/>
        </w:rPr>
      </w:pPr>
      <w:bookmarkStart w:id="25" w:name="_Ref53989250"/>
      <w:r>
        <w:t xml:space="preserve">Table </w:t>
      </w:r>
      <w:r>
        <w:fldChar w:fldCharType="begin"/>
      </w:r>
      <w:r>
        <w:instrText xml:space="preserve"> SEQ Table \* ARABIC </w:instrText>
      </w:r>
      <w:r>
        <w:fldChar w:fldCharType="separate"/>
      </w:r>
      <w:r w:rsidR="00F53F5F">
        <w:rPr>
          <w:noProof/>
        </w:rPr>
        <w:t>7</w:t>
      </w:r>
      <w:r>
        <w:fldChar w:fldCharType="end"/>
      </w:r>
      <w:bookmarkEnd w:id="25"/>
      <w:r>
        <w:t xml:space="preserve">: </w:t>
      </w:r>
      <w:r w:rsidR="005723CD">
        <w:rPr>
          <w:lang w:val="en-AU"/>
        </w:rPr>
        <w:t xml:space="preserve">Adverse Events </w:t>
      </w:r>
      <w:r>
        <w:rPr>
          <w:lang w:val="en-AU"/>
        </w:rPr>
        <w:t>with Selinexor</w:t>
      </w:r>
      <w:r w:rsidRPr="0087712D">
        <w:rPr>
          <w:lang w:val="en-AU"/>
        </w:rPr>
        <w:t xml:space="preserve"> </w:t>
      </w:r>
      <w:r>
        <w:rPr>
          <w:lang w:val="en-AU"/>
        </w:rPr>
        <w:t xml:space="preserve">80 mg and Dexamethasone 20 mg </w:t>
      </w:r>
      <w:r w:rsidRPr="0087712D">
        <w:rPr>
          <w:lang w:val="en-AU"/>
        </w:rPr>
        <w:t xml:space="preserve">in </w:t>
      </w:r>
      <w:r>
        <w:rPr>
          <w:lang w:val="en-AU"/>
        </w:rPr>
        <w:t xml:space="preserve">the STORM Trial, data expressed as Any Grade </w:t>
      </w:r>
      <w:r w:rsidR="007407DC">
        <w:rPr>
          <w:lang w:val="en-AU"/>
        </w:rPr>
        <w:t xml:space="preserve">(reported in &gt;10% of patients) </w:t>
      </w:r>
      <w:r>
        <w:rPr>
          <w:lang w:val="en-AU"/>
        </w:rPr>
        <w:t xml:space="preserve">or Grade </w:t>
      </w:r>
      <w:r w:rsidRPr="00661109">
        <w:rPr>
          <w:lang w:val="en-AU"/>
        </w:rPr>
        <w:t>≥3</w:t>
      </w:r>
      <w:r>
        <w:rPr>
          <w:lang w:val="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51"/>
        <w:gridCol w:w="3049"/>
      </w:tblGrid>
      <w:tr w:rsidR="00FA73D7" w:rsidRPr="00661109" w14:paraId="2D3C42B4" w14:textId="77777777" w:rsidTr="00FA73D7">
        <w:trPr>
          <w:trHeight w:val="184"/>
        </w:trPr>
        <w:tc>
          <w:tcPr>
            <w:tcW w:w="1667" w:type="pct"/>
            <w:tcBorders>
              <w:top w:val="single" w:sz="4" w:space="0" w:color="auto"/>
              <w:left w:val="single" w:sz="4" w:space="0" w:color="auto"/>
              <w:bottom w:val="single" w:sz="4" w:space="0" w:color="auto"/>
              <w:right w:val="single" w:sz="4" w:space="0" w:color="auto"/>
            </w:tcBorders>
          </w:tcPr>
          <w:p w14:paraId="001A6B95" w14:textId="624E3A74" w:rsidR="00FA73D7" w:rsidRPr="00661109" w:rsidRDefault="00FA73D7" w:rsidP="00FA73D7">
            <w:pPr>
              <w:pStyle w:val="TblHeadingLeft"/>
              <w:rPr>
                <w:noProof w:val="0"/>
                <w:lang w:val="en-AU"/>
              </w:rPr>
            </w:pPr>
            <w:r w:rsidRPr="00661109">
              <w:rPr>
                <w:noProof w:val="0"/>
                <w:lang w:val="en-AU"/>
              </w:rPr>
              <w:t xml:space="preserve">Adverse </w:t>
            </w:r>
            <w:r w:rsidR="009B4EB9">
              <w:rPr>
                <w:noProof w:val="0"/>
                <w:lang w:val="en-AU"/>
              </w:rPr>
              <w:t>Event</w:t>
            </w:r>
          </w:p>
        </w:tc>
        <w:tc>
          <w:tcPr>
            <w:tcW w:w="1667" w:type="pct"/>
            <w:tcBorders>
              <w:top w:val="single" w:sz="4" w:space="0" w:color="auto"/>
              <w:left w:val="single" w:sz="4" w:space="0" w:color="auto"/>
              <w:bottom w:val="single" w:sz="4" w:space="0" w:color="auto"/>
              <w:right w:val="single" w:sz="4" w:space="0" w:color="auto"/>
            </w:tcBorders>
          </w:tcPr>
          <w:p w14:paraId="109DE988" w14:textId="77777777" w:rsidR="00FA73D7" w:rsidRPr="00661109" w:rsidRDefault="00FA73D7" w:rsidP="00FA73D7">
            <w:pPr>
              <w:pStyle w:val="TblHeadingLeft"/>
              <w:rPr>
                <w:noProof w:val="0"/>
                <w:lang w:val="en-AU"/>
              </w:rPr>
            </w:pPr>
            <w:r w:rsidRPr="00661109">
              <w:rPr>
                <w:noProof w:val="0"/>
                <w:lang w:val="en-AU"/>
              </w:rPr>
              <w:t xml:space="preserve">Any Grade </w:t>
            </w:r>
          </w:p>
          <w:p w14:paraId="1514B4F1" w14:textId="77777777" w:rsidR="00FA73D7" w:rsidRPr="00661109" w:rsidRDefault="00FA73D7" w:rsidP="00FA73D7">
            <w:pPr>
              <w:pStyle w:val="TblHeadingLeft"/>
              <w:rPr>
                <w:noProof w:val="0"/>
                <w:lang w:val="en-AU"/>
              </w:rPr>
            </w:pPr>
            <w:r w:rsidRPr="00661109">
              <w:rPr>
                <w:noProof w:val="0"/>
                <w:lang w:val="en-AU"/>
              </w:rPr>
              <w:t xml:space="preserve">(N = 202) </w:t>
            </w:r>
          </w:p>
          <w:p w14:paraId="566E3BAD" w14:textId="77777777" w:rsidR="00FA73D7" w:rsidRPr="00661109" w:rsidRDefault="00FA73D7" w:rsidP="00FA73D7">
            <w:pPr>
              <w:pStyle w:val="TblHeadingLeft"/>
              <w:rPr>
                <w:noProof w:val="0"/>
                <w:lang w:val="en-AU"/>
              </w:rPr>
            </w:pPr>
            <w:r w:rsidRPr="00661109">
              <w:rPr>
                <w:noProof w:val="0"/>
                <w:lang w:val="en-AU"/>
              </w:rPr>
              <w:t>n (%)</w:t>
            </w:r>
          </w:p>
        </w:tc>
        <w:tc>
          <w:tcPr>
            <w:tcW w:w="1666" w:type="pct"/>
            <w:tcBorders>
              <w:top w:val="single" w:sz="4" w:space="0" w:color="auto"/>
              <w:left w:val="single" w:sz="4" w:space="0" w:color="auto"/>
              <w:bottom w:val="single" w:sz="4" w:space="0" w:color="auto"/>
              <w:right w:val="single" w:sz="4" w:space="0" w:color="auto"/>
            </w:tcBorders>
          </w:tcPr>
          <w:p w14:paraId="5DF43BBC" w14:textId="77777777" w:rsidR="00FA73D7" w:rsidRPr="00661109" w:rsidRDefault="00FA73D7" w:rsidP="00FA73D7">
            <w:pPr>
              <w:pStyle w:val="TblHeadingLeft"/>
              <w:rPr>
                <w:noProof w:val="0"/>
                <w:lang w:val="en-AU"/>
              </w:rPr>
            </w:pPr>
            <w:r w:rsidRPr="00661109">
              <w:rPr>
                <w:noProof w:val="0"/>
                <w:lang w:val="en-AU"/>
              </w:rPr>
              <w:t xml:space="preserve">Grade ≥3 </w:t>
            </w:r>
            <w:r w:rsidRPr="00661109">
              <w:rPr>
                <w:noProof w:val="0"/>
                <w:lang w:val="en-AU"/>
              </w:rPr>
              <w:br/>
              <w:t xml:space="preserve">(N = 202) </w:t>
            </w:r>
          </w:p>
          <w:p w14:paraId="7DA4902E" w14:textId="77777777" w:rsidR="00FA73D7" w:rsidRPr="00661109" w:rsidRDefault="00FA73D7" w:rsidP="00FA73D7">
            <w:pPr>
              <w:pStyle w:val="TblHeadingLeft"/>
              <w:rPr>
                <w:noProof w:val="0"/>
                <w:lang w:val="en-AU"/>
              </w:rPr>
            </w:pPr>
            <w:r w:rsidRPr="00661109">
              <w:rPr>
                <w:noProof w:val="0"/>
                <w:lang w:val="en-AU"/>
              </w:rPr>
              <w:t>n (%)</w:t>
            </w:r>
          </w:p>
        </w:tc>
      </w:tr>
      <w:tr w:rsidR="00FA73D7" w:rsidRPr="00661109" w14:paraId="10F28394"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7BD7AEF5" w14:textId="162DDD00" w:rsidR="00FA73D7" w:rsidRPr="00661109" w:rsidRDefault="00FA73D7" w:rsidP="00FA73D7">
            <w:pPr>
              <w:pStyle w:val="TblHeadingLeft"/>
              <w:rPr>
                <w:noProof w:val="0"/>
                <w:lang w:val="en-AU"/>
              </w:rPr>
            </w:pPr>
            <w:proofErr w:type="spellStart"/>
            <w:r w:rsidRPr="00661109">
              <w:rPr>
                <w:noProof w:val="0"/>
                <w:lang w:val="en-AU"/>
              </w:rPr>
              <w:t>Thrombocytop</w:t>
            </w:r>
            <w:r w:rsidR="0042731D">
              <w:rPr>
                <w:noProof w:val="0"/>
                <w:lang w:val="en-AU"/>
              </w:rPr>
              <w:t>a</w:t>
            </w:r>
            <w:r w:rsidRPr="00661109">
              <w:rPr>
                <w:noProof w:val="0"/>
                <w:lang w:val="en-AU"/>
              </w:rPr>
              <w:t>enia</w:t>
            </w:r>
            <w:r w:rsidRPr="001468A9">
              <w:rPr>
                <w:noProof w:val="0"/>
                <w:vertAlign w:val="superscript"/>
                <w:lang w:val="en-AU"/>
              </w:rPr>
              <w:t>a</w:t>
            </w:r>
            <w:proofErr w:type="spellEnd"/>
          </w:p>
        </w:tc>
        <w:tc>
          <w:tcPr>
            <w:tcW w:w="1667" w:type="pct"/>
            <w:tcBorders>
              <w:top w:val="single" w:sz="4" w:space="0" w:color="auto"/>
              <w:left w:val="single" w:sz="4" w:space="0" w:color="auto"/>
              <w:bottom w:val="single" w:sz="4" w:space="0" w:color="auto"/>
              <w:right w:val="single" w:sz="4" w:space="0" w:color="auto"/>
            </w:tcBorders>
          </w:tcPr>
          <w:p w14:paraId="1C5FD65B" w14:textId="77777777" w:rsidR="00FA73D7" w:rsidRPr="00661109" w:rsidRDefault="00FA73D7" w:rsidP="00FA73D7">
            <w:pPr>
              <w:pStyle w:val="TblHeadingLeft"/>
              <w:rPr>
                <w:noProof w:val="0"/>
                <w:lang w:val="en-AU"/>
              </w:rPr>
            </w:pPr>
            <w:r w:rsidRPr="00661109">
              <w:rPr>
                <w:noProof w:val="0"/>
                <w:lang w:val="en-AU"/>
              </w:rPr>
              <w:t>149 (74)</w:t>
            </w:r>
          </w:p>
        </w:tc>
        <w:tc>
          <w:tcPr>
            <w:tcW w:w="1666" w:type="pct"/>
            <w:tcBorders>
              <w:top w:val="single" w:sz="4" w:space="0" w:color="auto"/>
              <w:left w:val="single" w:sz="4" w:space="0" w:color="auto"/>
              <w:bottom w:val="single" w:sz="4" w:space="0" w:color="auto"/>
              <w:right w:val="single" w:sz="4" w:space="0" w:color="auto"/>
            </w:tcBorders>
          </w:tcPr>
          <w:p w14:paraId="23AF2386" w14:textId="77777777" w:rsidR="00FA73D7" w:rsidRPr="00661109" w:rsidRDefault="00FA73D7" w:rsidP="00FA73D7">
            <w:pPr>
              <w:pStyle w:val="TblHeadingLeft"/>
              <w:rPr>
                <w:noProof w:val="0"/>
                <w:lang w:val="en-AU"/>
              </w:rPr>
            </w:pPr>
            <w:r w:rsidRPr="00661109">
              <w:rPr>
                <w:noProof w:val="0"/>
                <w:lang w:val="en-AU"/>
              </w:rPr>
              <w:t>124 (61)</w:t>
            </w:r>
          </w:p>
        </w:tc>
      </w:tr>
      <w:tr w:rsidR="00FA73D7" w:rsidRPr="00661109" w14:paraId="4788D920"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42AE8B93" w14:textId="77777777" w:rsidR="00FA73D7" w:rsidRPr="00661109" w:rsidRDefault="00FA73D7" w:rsidP="00FA73D7">
            <w:pPr>
              <w:pStyle w:val="TblHeadingLeft"/>
              <w:rPr>
                <w:noProof w:val="0"/>
                <w:lang w:val="en-AU"/>
              </w:rPr>
            </w:pPr>
            <w:proofErr w:type="spellStart"/>
            <w:r w:rsidRPr="00661109">
              <w:rPr>
                <w:noProof w:val="0"/>
                <w:lang w:val="en-AU"/>
              </w:rPr>
              <w:t>Fatigue</w:t>
            </w:r>
            <w:r w:rsidRPr="001468A9">
              <w:rPr>
                <w:noProof w:val="0"/>
                <w:vertAlign w:val="superscript"/>
                <w:lang w:val="en-AU"/>
              </w:rPr>
              <w:t>b</w:t>
            </w:r>
            <w:proofErr w:type="spellEnd"/>
          </w:p>
        </w:tc>
        <w:tc>
          <w:tcPr>
            <w:tcW w:w="1667" w:type="pct"/>
            <w:tcBorders>
              <w:top w:val="single" w:sz="4" w:space="0" w:color="auto"/>
              <w:left w:val="single" w:sz="4" w:space="0" w:color="auto"/>
              <w:bottom w:val="single" w:sz="4" w:space="0" w:color="auto"/>
              <w:right w:val="single" w:sz="4" w:space="0" w:color="auto"/>
            </w:tcBorders>
          </w:tcPr>
          <w:p w14:paraId="3D2D52D4" w14:textId="77777777" w:rsidR="00FA73D7" w:rsidRPr="00661109" w:rsidRDefault="00FA73D7" w:rsidP="00FA73D7">
            <w:pPr>
              <w:pStyle w:val="TblHeadingLeft"/>
              <w:rPr>
                <w:noProof w:val="0"/>
                <w:lang w:val="en-AU"/>
              </w:rPr>
            </w:pPr>
            <w:r w:rsidRPr="00661109">
              <w:rPr>
                <w:noProof w:val="0"/>
                <w:lang w:val="en-AU"/>
              </w:rPr>
              <w:t>147 (73)</w:t>
            </w:r>
          </w:p>
        </w:tc>
        <w:tc>
          <w:tcPr>
            <w:tcW w:w="1666" w:type="pct"/>
            <w:tcBorders>
              <w:top w:val="single" w:sz="4" w:space="0" w:color="auto"/>
              <w:left w:val="single" w:sz="4" w:space="0" w:color="auto"/>
              <w:bottom w:val="single" w:sz="4" w:space="0" w:color="auto"/>
              <w:right w:val="single" w:sz="4" w:space="0" w:color="auto"/>
            </w:tcBorders>
          </w:tcPr>
          <w:p w14:paraId="0ECF7359" w14:textId="77777777" w:rsidR="00FA73D7" w:rsidRPr="00661109" w:rsidRDefault="00FA73D7" w:rsidP="00FA73D7">
            <w:pPr>
              <w:pStyle w:val="TblHeadingLeft"/>
              <w:rPr>
                <w:noProof w:val="0"/>
                <w:lang w:val="en-AU"/>
              </w:rPr>
            </w:pPr>
            <w:r w:rsidRPr="00661109">
              <w:rPr>
                <w:noProof w:val="0"/>
                <w:lang w:val="en-AU"/>
              </w:rPr>
              <w:t>44 (22)</w:t>
            </w:r>
          </w:p>
        </w:tc>
      </w:tr>
      <w:tr w:rsidR="00FA73D7" w:rsidRPr="00661109" w14:paraId="5C2772A7"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67FE7884" w14:textId="77777777" w:rsidR="00FA73D7" w:rsidRPr="00661109" w:rsidRDefault="00FA73D7" w:rsidP="00FA73D7">
            <w:pPr>
              <w:pStyle w:val="TblHeadingLeft"/>
              <w:rPr>
                <w:noProof w:val="0"/>
                <w:lang w:val="en-AU"/>
              </w:rPr>
            </w:pPr>
            <w:r w:rsidRPr="00661109">
              <w:rPr>
                <w:noProof w:val="0"/>
                <w:lang w:val="en-AU"/>
              </w:rPr>
              <w:t>Nausea</w:t>
            </w:r>
          </w:p>
        </w:tc>
        <w:tc>
          <w:tcPr>
            <w:tcW w:w="1667" w:type="pct"/>
            <w:tcBorders>
              <w:top w:val="single" w:sz="4" w:space="0" w:color="auto"/>
              <w:left w:val="single" w:sz="4" w:space="0" w:color="auto"/>
              <w:bottom w:val="single" w:sz="4" w:space="0" w:color="auto"/>
              <w:right w:val="single" w:sz="4" w:space="0" w:color="auto"/>
            </w:tcBorders>
          </w:tcPr>
          <w:p w14:paraId="28623C44" w14:textId="77777777" w:rsidR="00FA73D7" w:rsidRPr="00661109" w:rsidRDefault="00FA73D7" w:rsidP="00FA73D7">
            <w:pPr>
              <w:pStyle w:val="TblHeadingLeft"/>
              <w:rPr>
                <w:noProof w:val="0"/>
                <w:lang w:val="en-AU"/>
              </w:rPr>
            </w:pPr>
            <w:r w:rsidRPr="00661109">
              <w:rPr>
                <w:noProof w:val="0"/>
                <w:lang w:val="en-AU"/>
              </w:rPr>
              <w:t>146 (72)</w:t>
            </w:r>
          </w:p>
        </w:tc>
        <w:tc>
          <w:tcPr>
            <w:tcW w:w="1666" w:type="pct"/>
            <w:tcBorders>
              <w:top w:val="single" w:sz="4" w:space="0" w:color="auto"/>
              <w:left w:val="single" w:sz="4" w:space="0" w:color="auto"/>
              <w:bottom w:val="single" w:sz="4" w:space="0" w:color="auto"/>
              <w:right w:val="single" w:sz="4" w:space="0" w:color="auto"/>
            </w:tcBorders>
          </w:tcPr>
          <w:p w14:paraId="5BAECE26" w14:textId="77777777" w:rsidR="00FA73D7" w:rsidRPr="00661109" w:rsidRDefault="00FA73D7" w:rsidP="00FA73D7">
            <w:pPr>
              <w:pStyle w:val="TblHeadingLeft"/>
              <w:rPr>
                <w:noProof w:val="0"/>
                <w:lang w:val="en-AU"/>
              </w:rPr>
            </w:pPr>
            <w:r w:rsidRPr="00661109">
              <w:rPr>
                <w:noProof w:val="0"/>
                <w:lang w:val="en-AU"/>
              </w:rPr>
              <w:t>18 (9)</w:t>
            </w:r>
          </w:p>
        </w:tc>
      </w:tr>
      <w:tr w:rsidR="00FA73D7" w:rsidRPr="00661109" w14:paraId="1483622B"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70664B41" w14:textId="6E824214" w:rsidR="00FA73D7" w:rsidRPr="00661109" w:rsidRDefault="00FA73D7" w:rsidP="00FA73D7">
            <w:pPr>
              <w:pStyle w:val="TblHeadingLeft"/>
              <w:rPr>
                <w:noProof w:val="0"/>
                <w:lang w:val="en-AU"/>
              </w:rPr>
            </w:pPr>
            <w:proofErr w:type="spellStart"/>
            <w:r w:rsidRPr="00661109">
              <w:rPr>
                <w:noProof w:val="0"/>
                <w:lang w:val="en-AU"/>
              </w:rPr>
              <w:t>An</w:t>
            </w:r>
            <w:r w:rsidR="0042731D">
              <w:rPr>
                <w:noProof w:val="0"/>
                <w:lang w:val="en-AU"/>
              </w:rPr>
              <w:t>a</w:t>
            </w:r>
            <w:r w:rsidRPr="00661109">
              <w:rPr>
                <w:noProof w:val="0"/>
                <w:lang w:val="en-AU"/>
              </w:rPr>
              <w:t>emia</w:t>
            </w:r>
            <w:r w:rsidRPr="001468A9">
              <w:rPr>
                <w:noProof w:val="0"/>
                <w:vertAlign w:val="superscript"/>
                <w:lang w:val="en-AU"/>
              </w:rPr>
              <w:t>c</w:t>
            </w:r>
            <w:proofErr w:type="spellEnd"/>
          </w:p>
        </w:tc>
        <w:tc>
          <w:tcPr>
            <w:tcW w:w="1667" w:type="pct"/>
            <w:tcBorders>
              <w:top w:val="single" w:sz="4" w:space="0" w:color="auto"/>
              <w:left w:val="single" w:sz="4" w:space="0" w:color="auto"/>
              <w:bottom w:val="single" w:sz="4" w:space="0" w:color="auto"/>
              <w:right w:val="single" w:sz="4" w:space="0" w:color="auto"/>
            </w:tcBorders>
          </w:tcPr>
          <w:p w14:paraId="1F61ED9C" w14:textId="77777777" w:rsidR="00FA73D7" w:rsidRPr="00661109" w:rsidRDefault="00FA73D7" w:rsidP="00FA73D7">
            <w:pPr>
              <w:pStyle w:val="TblHeadingLeft"/>
              <w:rPr>
                <w:noProof w:val="0"/>
                <w:lang w:val="en-AU"/>
              </w:rPr>
            </w:pPr>
            <w:r w:rsidRPr="00661109">
              <w:rPr>
                <w:noProof w:val="0"/>
                <w:lang w:val="en-AU"/>
              </w:rPr>
              <w:t>119 (59)</w:t>
            </w:r>
          </w:p>
        </w:tc>
        <w:tc>
          <w:tcPr>
            <w:tcW w:w="1666" w:type="pct"/>
            <w:tcBorders>
              <w:top w:val="single" w:sz="4" w:space="0" w:color="auto"/>
              <w:left w:val="single" w:sz="4" w:space="0" w:color="auto"/>
              <w:bottom w:val="single" w:sz="4" w:space="0" w:color="auto"/>
              <w:right w:val="single" w:sz="4" w:space="0" w:color="auto"/>
            </w:tcBorders>
          </w:tcPr>
          <w:p w14:paraId="0AE529DB" w14:textId="77777777" w:rsidR="00FA73D7" w:rsidRPr="00661109" w:rsidRDefault="00FA73D7" w:rsidP="00FA73D7">
            <w:pPr>
              <w:pStyle w:val="TblHeadingLeft"/>
              <w:rPr>
                <w:noProof w:val="0"/>
                <w:lang w:val="en-AU"/>
              </w:rPr>
            </w:pPr>
            <w:r w:rsidRPr="00661109">
              <w:rPr>
                <w:noProof w:val="0"/>
                <w:lang w:val="en-AU"/>
              </w:rPr>
              <w:t>81 (40)</w:t>
            </w:r>
          </w:p>
        </w:tc>
      </w:tr>
      <w:tr w:rsidR="00FA73D7" w:rsidRPr="00661109" w14:paraId="24EF294E"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0F59DA86" w14:textId="77777777" w:rsidR="00FA73D7" w:rsidRPr="00661109" w:rsidRDefault="00FA73D7" w:rsidP="00FA73D7">
            <w:pPr>
              <w:pStyle w:val="TblHeadingLeft"/>
              <w:rPr>
                <w:noProof w:val="0"/>
                <w:lang w:val="en-AU"/>
              </w:rPr>
            </w:pPr>
            <w:r w:rsidRPr="00661109">
              <w:rPr>
                <w:noProof w:val="0"/>
                <w:lang w:val="en-AU"/>
              </w:rPr>
              <w:t>Decreased appetite</w:t>
            </w:r>
          </w:p>
        </w:tc>
        <w:tc>
          <w:tcPr>
            <w:tcW w:w="1667" w:type="pct"/>
            <w:tcBorders>
              <w:top w:val="single" w:sz="4" w:space="0" w:color="auto"/>
              <w:left w:val="single" w:sz="4" w:space="0" w:color="auto"/>
              <w:bottom w:val="single" w:sz="4" w:space="0" w:color="auto"/>
              <w:right w:val="single" w:sz="4" w:space="0" w:color="auto"/>
            </w:tcBorders>
          </w:tcPr>
          <w:p w14:paraId="0521046D" w14:textId="77777777" w:rsidR="00FA73D7" w:rsidRPr="00661109" w:rsidRDefault="00FA73D7" w:rsidP="00FA73D7">
            <w:pPr>
              <w:pStyle w:val="TblHeadingLeft"/>
              <w:rPr>
                <w:noProof w:val="0"/>
                <w:lang w:val="en-AU"/>
              </w:rPr>
            </w:pPr>
            <w:r w:rsidRPr="00661109">
              <w:rPr>
                <w:noProof w:val="0"/>
                <w:lang w:val="en-AU"/>
              </w:rPr>
              <w:t>108 (53)</w:t>
            </w:r>
          </w:p>
        </w:tc>
        <w:tc>
          <w:tcPr>
            <w:tcW w:w="1666" w:type="pct"/>
            <w:tcBorders>
              <w:top w:val="single" w:sz="4" w:space="0" w:color="auto"/>
              <w:left w:val="single" w:sz="4" w:space="0" w:color="auto"/>
              <w:bottom w:val="single" w:sz="4" w:space="0" w:color="auto"/>
              <w:right w:val="single" w:sz="4" w:space="0" w:color="auto"/>
            </w:tcBorders>
          </w:tcPr>
          <w:p w14:paraId="5EB3707C" w14:textId="77777777" w:rsidR="00FA73D7" w:rsidRPr="00661109" w:rsidRDefault="00FA73D7" w:rsidP="00FA73D7">
            <w:pPr>
              <w:pStyle w:val="TblHeadingLeft"/>
              <w:rPr>
                <w:noProof w:val="0"/>
                <w:lang w:val="en-AU"/>
              </w:rPr>
            </w:pPr>
            <w:r w:rsidRPr="00661109">
              <w:rPr>
                <w:noProof w:val="0"/>
                <w:lang w:val="en-AU"/>
              </w:rPr>
              <w:t>9 (4.5)</w:t>
            </w:r>
          </w:p>
        </w:tc>
      </w:tr>
      <w:tr w:rsidR="00FA73D7" w:rsidRPr="00661109" w14:paraId="2C2ECB50"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06104A2A" w14:textId="77777777" w:rsidR="00FA73D7" w:rsidRPr="00661109" w:rsidRDefault="00FA73D7" w:rsidP="00FA73D7">
            <w:pPr>
              <w:pStyle w:val="TblHeadingLeft"/>
              <w:rPr>
                <w:noProof w:val="0"/>
                <w:lang w:val="en-AU"/>
              </w:rPr>
            </w:pPr>
            <w:r w:rsidRPr="00661109">
              <w:rPr>
                <w:noProof w:val="0"/>
                <w:lang w:val="en-AU"/>
              </w:rPr>
              <w:t>Weight decreased</w:t>
            </w:r>
          </w:p>
        </w:tc>
        <w:tc>
          <w:tcPr>
            <w:tcW w:w="1667" w:type="pct"/>
            <w:tcBorders>
              <w:top w:val="single" w:sz="4" w:space="0" w:color="auto"/>
              <w:left w:val="single" w:sz="4" w:space="0" w:color="auto"/>
              <w:bottom w:val="single" w:sz="4" w:space="0" w:color="auto"/>
              <w:right w:val="single" w:sz="4" w:space="0" w:color="auto"/>
            </w:tcBorders>
          </w:tcPr>
          <w:p w14:paraId="39F9E2E8" w14:textId="77777777" w:rsidR="00FA73D7" w:rsidRPr="00661109" w:rsidRDefault="00FA73D7" w:rsidP="00FA73D7">
            <w:pPr>
              <w:pStyle w:val="TblHeadingLeft"/>
              <w:rPr>
                <w:noProof w:val="0"/>
                <w:lang w:val="en-AU"/>
              </w:rPr>
            </w:pPr>
            <w:r w:rsidRPr="00661109">
              <w:rPr>
                <w:noProof w:val="0"/>
                <w:lang w:val="en-AU"/>
              </w:rPr>
              <w:t>95 (47)</w:t>
            </w:r>
          </w:p>
        </w:tc>
        <w:tc>
          <w:tcPr>
            <w:tcW w:w="1666" w:type="pct"/>
            <w:tcBorders>
              <w:top w:val="single" w:sz="4" w:space="0" w:color="auto"/>
              <w:left w:val="single" w:sz="4" w:space="0" w:color="auto"/>
              <w:bottom w:val="single" w:sz="4" w:space="0" w:color="auto"/>
              <w:right w:val="single" w:sz="4" w:space="0" w:color="auto"/>
            </w:tcBorders>
          </w:tcPr>
          <w:p w14:paraId="4282BA38" w14:textId="77777777" w:rsidR="00FA73D7" w:rsidRPr="00661109" w:rsidRDefault="00FA73D7" w:rsidP="00FA73D7">
            <w:pPr>
              <w:pStyle w:val="TblHeadingLeft"/>
              <w:rPr>
                <w:noProof w:val="0"/>
                <w:lang w:val="en-AU"/>
              </w:rPr>
            </w:pPr>
            <w:r w:rsidRPr="00661109">
              <w:rPr>
                <w:noProof w:val="0"/>
                <w:lang w:val="en-AU"/>
              </w:rPr>
              <w:t>1 (0.5)</w:t>
            </w:r>
          </w:p>
        </w:tc>
      </w:tr>
      <w:tr w:rsidR="00FA73D7" w:rsidRPr="00661109" w14:paraId="5ED87F15"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1A3A9528" w14:textId="77777777" w:rsidR="00FA73D7" w:rsidRPr="00661109" w:rsidRDefault="00FA73D7" w:rsidP="00FA73D7">
            <w:pPr>
              <w:pStyle w:val="TblHeadingLeft"/>
              <w:rPr>
                <w:noProof w:val="0"/>
                <w:lang w:val="en-AU"/>
              </w:rPr>
            </w:pPr>
            <w:r w:rsidRPr="00661109">
              <w:rPr>
                <w:noProof w:val="0"/>
                <w:lang w:val="en-AU"/>
              </w:rPr>
              <w:t>Diarrhea</w:t>
            </w:r>
          </w:p>
        </w:tc>
        <w:tc>
          <w:tcPr>
            <w:tcW w:w="1667" w:type="pct"/>
            <w:tcBorders>
              <w:top w:val="single" w:sz="4" w:space="0" w:color="auto"/>
              <w:left w:val="single" w:sz="4" w:space="0" w:color="auto"/>
              <w:bottom w:val="single" w:sz="4" w:space="0" w:color="auto"/>
              <w:right w:val="single" w:sz="4" w:space="0" w:color="auto"/>
            </w:tcBorders>
          </w:tcPr>
          <w:p w14:paraId="5478D1E2" w14:textId="77777777" w:rsidR="00FA73D7" w:rsidRPr="00661109" w:rsidRDefault="00FA73D7" w:rsidP="00FA73D7">
            <w:pPr>
              <w:pStyle w:val="TblHeadingLeft"/>
              <w:rPr>
                <w:noProof w:val="0"/>
                <w:lang w:val="en-AU"/>
              </w:rPr>
            </w:pPr>
            <w:r w:rsidRPr="00661109">
              <w:rPr>
                <w:noProof w:val="0"/>
                <w:lang w:val="en-AU"/>
              </w:rPr>
              <w:t>89 (44)</w:t>
            </w:r>
          </w:p>
        </w:tc>
        <w:tc>
          <w:tcPr>
            <w:tcW w:w="1666" w:type="pct"/>
            <w:tcBorders>
              <w:top w:val="single" w:sz="4" w:space="0" w:color="auto"/>
              <w:left w:val="single" w:sz="4" w:space="0" w:color="auto"/>
              <w:bottom w:val="single" w:sz="4" w:space="0" w:color="auto"/>
              <w:right w:val="single" w:sz="4" w:space="0" w:color="auto"/>
            </w:tcBorders>
          </w:tcPr>
          <w:p w14:paraId="3A18A757" w14:textId="77777777" w:rsidR="00FA73D7" w:rsidRPr="00661109" w:rsidRDefault="00FA73D7" w:rsidP="00FA73D7">
            <w:pPr>
              <w:pStyle w:val="TblHeadingLeft"/>
              <w:rPr>
                <w:noProof w:val="0"/>
                <w:lang w:val="en-AU"/>
              </w:rPr>
            </w:pPr>
            <w:r w:rsidRPr="00661109">
              <w:rPr>
                <w:noProof w:val="0"/>
                <w:lang w:val="en-AU"/>
              </w:rPr>
              <w:t>13 (6)</w:t>
            </w:r>
          </w:p>
        </w:tc>
      </w:tr>
      <w:tr w:rsidR="00FA73D7" w:rsidRPr="00661109" w14:paraId="18E40120"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32903799" w14:textId="77777777" w:rsidR="00FA73D7" w:rsidRPr="00661109" w:rsidRDefault="00FA73D7" w:rsidP="00FA73D7">
            <w:pPr>
              <w:pStyle w:val="TblHeadingLeft"/>
              <w:rPr>
                <w:noProof w:val="0"/>
                <w:lang w:val="en-AU"/>
              </w:rPr>
            </w:pPr>
            <w:r w:rsidRPr="00661109">
              <w:rPr>
                <w:noProof w:val="0"/>
                <w:lang w:val="en-AU"/>
              </w:rPr>
              <w:t>Vomiting</w:t>
            </w:r>
          </w:p>
        </w:tc>
        <w:tc>
          <w:tcPr>
            <w:tcW w:w="1667" w:type="pct"/>
            <w:tcBorders>
              <w:top w:val="single" w:sz="4" w:space="0" w:color="auto"/>
              <w:left w:val="single" w:sz="4" w:space="0" w:color="auto"/>
              <w:bottom w:val="single" w:sz="4" w:space="0" w:color="auto"/>
              <w:right w:val="single" w:sz="4" w:space="0" w:color="auto"/>
            </w:tcBorders>
          </w:tcPr>
          <w:p w14:paraId="61B1C2CB" w14:textId="77777777" w:rsidR="00FA73D7" w:rsidRPr="00661109" w:rsidRDefault="00FA73D7" w:rsidP="00FA73D7">
            <w:pPr>
              <w:pStyle w:val="TblHeadingLeft"/>
              <w:rPr>
                <w:noProof w:val="0"/>
                <w:lang w:val="en-AU"/>
              </w:rPr>
            </w:pPr>
            <w:r w:rsidRPr="00661109">
              <w:rPr>
                <w:noProof w:val="0"/>
                <w:lang w:val="en-AU"/>
              </w:rPr>
              <w:t>82 (41)</w:t>
            </w:r>
          </w:p>
        </w:tc>
        <w:tc>
          <w:tcPr>
            <w:tcW w:w="1666" w:type="pct"/>
            <w:tcBorders>
              <w:top w:val="single" w:sz="4" w:space="0" w:color="auto"/>
              <w:left w:val="single" w:sz="4" w:space="0" w:color="auto"/>
              <w:bottom w:val="single" w:sz="4" w:space="0" w:color="auto"/>
              <w:right w:val="single" w:sz="4" w:space="0" w:color="auto"/>
            </w:tcBorders>
          </w:tcPr>
          <w:p w14:paraId="7B8ADA42" w14:textId="77777777" w:rsidR="00FA73D7" w:rsidRPr="00661109" w:rsidRDefault="00FA73D7" w:rsidP="00FA73D7">
            <w:pPr>
              <w:pStyle w:val="TblHeadingLeft"/>
              <w:rPr>
                <w:noProof w:val="0"/>
                <w:lang w:val="en-AU"/>
              </w:rPr>
            </w:pPr>
            <w:r w:rsidRPr="00661109">
              <w:rPr>
                <w:noProof w:val="0"/>
                <w:lang w:val="en-AU"/>
              </w:rPr>
              <w:t>7 (3.5)</w:t>
            </w:r>
          </w:p>
        </w:tc>
      </w:tr>
      <w:tr w:rsidR="00FA73D7" w:rsidRPr="00661109" w14:paraId="2448E5B7"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7E0BF8DF" w14:textId="77777777" w:rsidR="00FA73D7" w:rsidRPr="00661109" w:rsidRDefault="00FA73D7" w:rsidP="00FA73D7">
            <w:pPr>
              <w:pStyle w:val="TblHeadingLeft"/>
              <w:rPr>
                <w:noProof w:val="0"/>
                <w:lang w:val="en-AU"/>
              </w:rPr>
            </w:pPr>
            <w:r w:rsidRPr="00661109">
              <w:rPr>
                <w:noProof w:val="0"/>
                <w:lang w:val="en-AU"/>
              </w:rPr>
              <w:t>Hyponatremia</w:t>
            </w:r>
          </w:p>
        </w:tc>
        <w:tc>
          <w:tcPr>
            <w:tcW w:w="1667" w:type="pct"/>
            <w:tcBorders>
              <w:top w:val="single" w:sz="4" w:space="0" w:color="auto"/>
              <w:left w:val="single" w:sz="4" w:space="0" w:color="auto"/>
              <w:bottom w:val="single" w:sz="4" w:space="0" w:color="auto"/>
              <w:right w:val="single" w:sz="4" w:space="0" w:color="auto"/>
            </w:tcBorders>
          </w:tcPr>
          <w:p w14:paraId="2C577175" w14:textId="77777777" w:rsidR="00FA73D7" w:rsidRPr="00661109" w:rsidRDefault="00FA73D7" w:rsidP="00FA73D7">
            <w:pPr>
              <w:pStyle w:val="TblHeadingLeft"/>
              <w:rPr>
                <w:noProof w:val="0"/>
                <w:lang w:val="en-AU"/>
              </w:rPr>
            </w:pPr>
            <w:r w:rsidRPr="00661109">
              <w:rPr>
                <w:noProof w:val="0"/>
                <w:lang w:val="en-AU"/>
              </w:rPr>
              <w:t>78 (39)</w:t>
            </w:r>
          </w:p>
        </w:tc>
        <w:tc>
          <w:tcPr>
            <w:tcW w:w="1666" w:type="pct"/>
            <w:tcBorders>
              <w:top w:val="single" w:sz="4" w:space="0" w:color="auto"/>
              <w:left w:val="single" w:sz="4" w:space="0" w:color="auto"/>
              <w:bottom w:val="single" w:sz="4" w:space="0" w:color="auto"/>
              <w:right w:val="single" w:sz="4" w:space="0" w:color="auto"/>
            </w:tcBorders>
          </w:tcPr>
          <w:p w14:paraId="31A86574" w14:textId="77777777" w:rsidR="00FA73D7" w:rsidRPr="00661109" w:rsidRDefault="00FA73D7" w:rsidP="00FA73D7">
            <w:pPr>
              <w:pStyle w:val="TblHeadingLeft"/>
              <w:rPr>
                <w:noProof w:val="0"/>
                <w:lang w:val="en-AU"/>
              </w:rPr>
            </w:pPr>
            <w:r w:rsidRPr="00661109">
              <w:rPr>
                <w:noProof w:val="0"/>
                <w:lang w:val="en-AU"/>
              </w:rPr>
              <w:t>44 (22)</w:t>
            </w:r>
          </w:p>
        </w:tc>
      </w:tr>
      <w:tr w:rsidR="00FA73D7" w:rsidRPr="00661109" w14:paraId="392529D3"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1BA15767" w14:textId="7883F37B" w:rsidR="00FA73D7" w:rsidRPr="00661109" w:rsidRDefault="00FA73D7" w:rsidP="00FA73D7">
            <w:pPr>
              <w:pStyle w:val="TblHeadingLeft"/>
              <w:rPr>
                <w:noProof w:val="0"/>
                <w:lang w:val="en-AU"/>
              </w:rPr>
            </w:pPr>
            <w:proofErr w:type="spellStart"/>
            <w:r w:rsidRPr="00661109">
              <w:rPr>
                <w:noProof w:val="0"/>
                <w:lang w:val="en-AU"/>
              </w:rPr>
              <w:t>Neutrop</w:t>
            </w:r>
            <w:r w:rsidR="0042731D">
              <w:rPr>
                <w:noProof w:val="0"/>
                <w:lang w:val="en-AU"/>
              </w:rPr>
              <w:t>a</w:t>
            </w:r>
            <w:r w:rsidRPr="00661109">
              <w:rPr>
                <w:noProof w:val="0"/>
                <w:lang w:val="en-AU"/>
              </w:rPr>
              <w:t>enia</w:t>
            </w:r>
            <w:r w:rsidRPr="001468A9">
              <w:rPr>
                <w:noProof w:val="0"/>
                <w:vertAlign w:val="superscript"/>
                <w:lang w:val="en-AU"/>
              </w:rPr>
              <w:t>d</w:t>
            </w:r>
            <w:proofErr w:type="spellEnd"/>
          </w:p>
        </w:tc>
        <w:tc>
          <w:tcPr>
            <w:tcW w:w="1667" w:type="pct"/>
            <w:tcBorders>
              <w:top w:val="single" w:sz="4" w:space="0" w:color="auto"/>
              <w:left w:val="single" w:sz="4" w:space="0" w:color="auto"/>
              <w:bottom w:val="single" w:sz="4" w:space="0" w:color="auto"/>
              <w:right w:val="single" w:sz="4" w:space="0" w:color="auto"/>
            </w:tcBorders>
          </w:tcPr>
          <w:p w14:paraId="17A2CD8E" w14:textId="77777777" w:rsidR="00FA73D7" w:rsidRPr="00661109" w:rsidRDefault="00FA73D7" w:rsidP="00FA73D7">
            <w:pPr>
              <w:pStyle w:val="TblHeadingLeft"/>
              <w:rPr>
                <w:noProof w:val="0"/>
                <w:lang w:val="en-AU"/>
              </w:rPr>
            </w:pPr>
            <w:r w:rsidRPr="00661109">
              <w:rPr>
                <w:noProof w:val="0"/>
                <w:lang w:val="en-AU"/>
              </w:rPr>
              <w:t>68 (34)</w:t>
            </w:r>
          </w:p>
        </w:tc>
        <w:tc>
          <w:tcPr>
            <w:tcW w:w="1666" w:type="pct"/>
            <w:tcBorders>
              <w:top w:val="single" w:sz="4" w:space="0" w:color="auto"/>
              <w:left w:val="single" w:sz="4" w:space="0" w:color="auto"/>
              <w:bottom w:val="single" w:sz="4" w:space="0" w:color="auto"/>
              <w:right w:val="single" w:sz="4" w:space="0" w:color="auto"/>
            </w:tcBorders>
          </w:tcPr>
          <w:p w14:paraId="5BB490D5" w14:textId="77777777" w:rsidR="00FA73D7" w:rsidRPr="00661109" w:rsidRDefault="00FA73D7" w:rsidP="00FA73D7">
            <w:pPr>
              <w:pStyle w:val="TblHeadingLeft"/>
              <w:rPr>
                <w:noProof w:val="0"/>
                <w:lang w:val="en-AU"/>
              </w:rPr>
            </w:pPr>
            <w:r w:rsidRPr="00661109">
              <w:rPr>
                <w:noProof w:val="0"/>
                <w:lang w:val="en-AU"/>
              </w:rPr>
              <w:t>43 (21)</w:t>
            </w:r>
          </w:p>
        </w:tc>
      </w:tr>
      <w:tr w:rsidR="00FA73D7" w:rsidRPr="00661109" w14:paraId="54EB83F7"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61C25373" w14:textId="77777777" w:rsidR="00FA73D7" w:rsidRPr="00661109" w:rsidRDefault="00FA73D7" w:rsidP="00FA73D7">
            <w:pPr>
              <w:pStyle w:val="TblHeadingLeft"/>
              <w:rPr>
                <w:noProof w:val="0"/>
                <w:lang w:val="en-AU"/>
              </w:rPr>
            </w:pPr>
            <w:r w:rsidRPr="00661109">
              <w:rPr>
                <w:noProof w:val="0"/>
                <w:lang w:val="en-AU"/>
              </w:rPr>
              <w:t>Leukopenia</w:t>
            </w:r>
          </w:p>
        </w:tc>
        <w:tc>
          <w:tcPr>
            <w:tcW w:w="1667" w:type="pct"/>
            <w:tcBorders>
              <w:top w:val="single" w:sz="4" w:space="0" w:color="auto"/>
              <w:left w:val="single" w:sz="4" w:space="0" w:color="auto"/>
              <w:bottom w:val="single" w:sz="4" w:space="0" w:color="auto"/>
              <w:right w:val="single" w:sz="4" w:space="0" w:color="auto"/>
            </w:tcBorders>
          </w:tcPr>
          <w:p w14:paraId="77084DC6" w14:textId="77777777" w:rsidR="00FA73D7" w:rsidRPr="00661109" w:rsidRDefault="00FA73D7" w:rsidP="00FA73D7">
            <w:pPr>
              <w:pStyle w:val="TblHeadingLeft"/>
              <w:rPr>
                <w:noProof w:val="0"/>
                <w:lang w:val="en-AU"/>
              </w:rPr>
            </w:pPr>
            <w:r w:rsidRPr="00661109">
              <w:rPr>
                <w:noProof w:val="0"/>
                <w:lang w:val="en-AU"/>
              </w:rPr>
              <w:t>57 (28)</w:t>
            </w:r>
          </w:p>
        </w:tc>
        <w:tc>
          <w:tcPr>
            <w:tcW w:w="1666" w:type="pct"/>
            <w:tcBorders>
              <w:top w:val="single" w:sz="4" w:space="0" w:color="auto"/>
              <w:left w:val="single" w:sz="4" w:space="0" w:color="auto"/>
              <w:bottom w:val="single" w:sz="4" w:space="0" w:color="auto"/>
              <w:right w:val="single" w:sz="4" w:space="0" w:color="auto"/>
            </w:tcBorders>
          </w:tcPr>
          <w:p w14:paraId="149C8D75" w14:textId="77777777" w:rsidR="00FA73D7" w:rsidRPr="00661109" w:rsidRDefault="00FA73D7" w:rsidP="00FA73D7">
            <w:pPr>
              <w:pStyle w:val="TblHeadingLeft"/>
              <w:rPr>
                <w:noProof w:val="0"/>
                <w:lang w:val="en-AU"/>
              </w:rPr>
            </w:pPr>
            <w:r w:rsidRPr="00661109">
              <w:rPr>
                <w:noProof w:val="0"/>
                <w:lang w:val="en-AU"/>
              </w:rPr>
              <w:t>23 (11)</w:t>
            </w:r>
          </w:p>
        </w:tc>
      </w:tr>
      <w:tr w:rsidR="00FA73D7" w:rsidRPr="00661109" w14:paraId="03280E6B"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6A3278FD" w14:textId="77777777" w:rsidR="00FA73D7" w:rsidRPr="00661109" w:rsidRDefault="00FA73D7" w:rsidP="00FA73D7">
            <w:pPr>
              <w:pStyle w:val="TblHeadingLeft"/>
              <w:rPr>
                <w:noProof w:val="0"/>
                <w:lang w:val="en-AU"/>
              </w:rPr>
            </w:pPr>
            <w:r w:rsidRPr="00661109">
              <w:rPr>
                <w:noProof w:val="0"/>
                <w:lang w:val="en-AU"/>
              </w:rPr>
              <w:t>Constipation</w:t>
            </w:r>
          </w:p>
        </w:tc>
        <w:tc>
          <w:tcPr>
            <w:tcW w:w="1667" w:type="pct"/>
            <w:tcBorders>
              <w:top w:val="single" w:sz="4" w:space="0" w:color="auto"/>
              <w:left w:val="single" w:sz="4" w:space="0" w:color="auto"/>
              <w:bottom w:val="single" w:sz="4" w:space="0" w:color="auto"/>
              <w:right w:val="single" w:sz="4" w:space="0" w:color="auto"/>
            </w:tcBorders>
          </w:tcPr>
          <w:p w14:paraId="2D586F15" w14:textId="77777777" w:rsidR="00FA73D7" w:rsidRPr="00661109" w:rsidRDefault="00FA73D7" w:rsidP="00FA73D7">
            <w:pPr>
              <w:pStyle w:val="TblHeadingLeft"/>
              <w:rPr>
                <w:noProof w:val="0"/>
                <w:lang w:val="en-AU"/>
              </w:rPr>
            </w:pPr>
            <w:r w:rsidRPr="00661109">
              <w:rPr>
                <w:noProof w:val="0"/>
                <w:lang w:val="en-AU"/>
              </w:rPr>
              <w:t>50 (25)</w:t>
            </w:r>
          </w:p>
        </w:tc>
        <w:tc>
          <w:tcPr>
            <w:tcW w:w="1666" w:type="pct"/>
            <w:tcBorders>
              <w:top w:val="single" w:sz="4" w:space="0" w:color="auto"/>
              <w:left w:val="single" w:sz="4" w:space="0" w:color="auto"/>
              <w:bottom w:val="single" w:sz="4" w:space="0" w:color="auto"/>
              <w:right w:val="single" w:sz="4" w:space="0" w:color="auto"/>
            </w:tcBorders>
          </w:tcPr>
          <w:p w14:paraId="34AA450F" w14:textId="77777777" w:rsidR="00FA73D7" w:rsidRPr="00661109" w:rsidRDefault="00FA73D7" w:rsidP="00FA73D7">
            <w:pPr>
              <w:pStyle w:val="TblHeadingLeft"/>
              <w:rPr>
                <w:noProof w:val="0"/>
                <w:lang w:val="en-AU"/>
              </w:rPr>
            </w:pPr>
            <w:r w:rsidRPr="00661109">
              <w:rPr>
                <w:noProof w:val="0"/>
                <w:lang w:val="en-AU"/>
              </w:rPr>
              <w:t>3 (1.5)</w:t>
            </w:r>
          </w:p>
        </w:tc>
      </w:tr>
      <w:tr w:rsidR="00FA73D7" w:rsidRPr="00661109" w14:paraId="1D1C1E25"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32BDDAAA" w14:textId="77777777" w:rsidR="00FA73D7" w:rsidRPr="00661109" w:rsidRDefault="00FA73D7" w:rsidP="00FA73D7">
            <w:pPr>
              <w:pStyle w:val="TblHeadingLeft"/>
              <w:rPr>
                <w:noProof w:val="0"/>
                <w:lang w:val="en-AU"/>
              </w:rPr>
            </w:pPr>
            <w:proofErr w:type="spellStart"/>
            <w:r w:rsidRPr="00661109">
              <w:rPr>
                <w:noProof w:val="0"/>
                <w:lang w:val="en-AU"/>
              </w:rPr>
              <w:t>Dyspnea</w:t>
            </w:r>
            <w:r w:rsidRPr="001468A9">
              <w:rPr>
                <w:noProof w:val="0"/>
                <w:vertAlign w:val="superscript"/>
                <w:lang w:val="en-AU"/>
              </w:rPr>
              <w:t>e</w:t>
            </w:r>
            <w:proofErr w:type="spellEnd"/>
          </w:p>
        </w:tc>
        <w:tc>
          <w:tcPr>
            <w:tcW w:w="1667" w:type="pct"/>
            <w:tcBorders>
              <w:top w:val="single" w:sz="4" w:space="0" w:color="auto"/>
              <w:left w:val="single" w:sz="4" w:space="0" w:color="auto"/>
              <w:bottom w:val="single" w:sz="4" w:space="0" w:color="auto"/>
              <w:right w:val="single" w:sz="4" w:space="0" w:color="auto"/>
            </w:tcBorders>
          </w:tcPr>
          <w:p w14:paraId="387A83A7" w14:textId="77777777" w:rsidR="00FA73D7" w:rsidRPr="00661109" w:rsidRDefault="00FA73D7" w:rsidP="00FA73D7">
            <w:pPr>
              <w:pStyle w:val="TblHeadingLeft"/>
              <w:rPr>
                <w:noProof w:val="0"/>
                <w:lang w:val="en-AU"/>
              </w:rPr>
            </w:pPr>
            <w:r w:rsidRPr="00661109">
              <w:rPr>
                <w:noProof w:val="0"/>
                <w:lang w:val="en-AU"/>
              </w:rPr>
              <w:t>48 (24)</w:t>
            </w:r>
          </w:p>
        </w:tc>
        <w:tc>
          <w:tcPr>
            <w:tcW w:w="1666" w:type="pct"/>
            <w:tcBorders>
              <w:top w:val="single" w:sz="4" w:space="0" w:color="auto"/>
              <w:left w:val="single" w:sz="4" w:space="0" w:color="auto"/>
              <w:bottom w:val="single" w:sz="4" w:space="0" w:color="auto"/>
              <w:right w:val="single" w:sz="4" w:space="0" w:color="auto"/>
            </w:tcBorders>
          </w:tcPr>
          <w:p w14:paraId="4F196A9E" w14:textId="77777777" w:rsidR="00FA73D7" w:rsidRPr="00661109" w:rsidRDefault="00FA73D7" w:rsidP="00FA73D7">
            <w:pPr>
              <w:pStyle w:val="TblHeadingLeft"/>
              <w:rPr>
                <w:noProof w:val="0"/>
                <w:lang w:val="en-AU"/>
              </w:rPr>
            </w:pPr>
            <w:r w:rsidRPr="00661109">
              <w:rPr>
                <w:noProof w:val="0"/>
                <w:lang w:val="en-AU"/>
              </w:rPr>
              <w:t>7 (</w:t>
            </w:r>
            <w:proofErr w:type="gramStart"/>
            <w:r w:rsidRPr="00661109">
              <w:rPr>
                <w:noProof w:val="0"/>
                <w:lang w:val="en-AU"/>
              </w:rPr>
              <w:t>3.5)k</w:t>
            </w:r>
            <w:proofErr w:type="gramEnd"/>
          </w:p>
        </w:tc>
      </w:tr>
      <w:tr w:rsidR="00FA73D7" w:rsidRPr="00661109" w14:paraId="635A1C72"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5ABD36C0" w14:textId="77777777" w:rsidR="00FA73D7" w:rsidRPr="00661109" w:rsidRDefault="00FA73D7" w:rsidP="00FA73D7">
            <w:pPr>
              <w:pStyle w:val="TblHeadingLeft"/>
              <w:rPr>
                <w:noProof w:val="0"/>
                <w:lang w:val="en-AU"/>
              </w:rPr>
            </w:pPr>
            <w:r w:rsidRPr="00661109">
              <w:rPr>
                <w:noProof w:val="0"/>
                <w:lang w:val="en-AU"/>
              </w:rPr>
              <w:t xml:space="preserve">Upper respiratory tract </w:t>
            </w:r>
            <w:proofErr w:type="spellStart"/>
            <w:r w:rsidRPr="00661109">
              <w:rPr>
                <w:noProof w:val="0"/>
                <w:lang w:val="en-AU"/>
              </w:rPr>
              <w:t>infection</w:t>
            </w:r>
            <w:r w:rsidRPr="001468A9">
              <w:rPr>
                <w:noProof w:val="0"/>
                <w:vertAlign w:val="superscript"/>
                <w:lang w:val="en-AU"/>
              </w:rPr>
              <w:t>f</w:t>
            </w:r>
            <w:proofErr w:type="spellEnd"/>
          </w:p>
        </w:tc>
        <w:tc>
          <w:tcPr>
            <w:tcW w:w="1667" w:type="pct"/>
            <w:tcBorders>
              <w:top w:val="single" w:sz="4" w:space="0" w:color="auto"/>
              <w:left w:val="single" w:sz="4" w:space="0" w:color="auto"/>
              <w:bottom w:val="single" w:sz="4" w:space="0" w:color="auto"/>
              <w:right w:val="single" w:sz="4" w:space="0" w:color="auto"/>
            </w:tcBorders>
          </w:tcPr>
          <w:p w14:paraId="27EA3E44" w14:textId="77777777" w:rsidR="00FA73D7" w:rsidRPr="00661109" w:rsidRDefault="00FA73D7" w:rsidP="00FA73D7">
            <w:pPr>
              <w:pStyle w:val="TblHeadingLeft"/>
              <w:rPr>
                <w:noProof w:val="0"/>
                <w:lang w:val="en-AU"/>
              </w:rPr>
            </w:pPr>
            <w:r w:rsidRPr="00661109">
              <w:rPr>
                <w:noProof w:val="0"/>
                <w:lang w:val="en-AU"/>
              </w:rPr>
              <w:t>42 (21)</w:t>
            </w:r>
          </w:p>
        </w:tc>
        <w:tc>
          <w:tcPr>
            <w:tcW w:w="1666" w:type="pct"/>
            <w:tcBorders>
              <w:top w:val="single" w:sz="4" w:space="0" w:color="auto"/>
              <w:left w:val="single" w:sz="4" w:space="0" w:color="auto"/>
              <w:bottom w:val="single" w:sz="4" w:space="0" w:color="auto"/>
              <w:right w:val="single" w:sz="4" w:space="0" w:color="auto"/>
            </w:tcBorders>
          </w:tcPr>
          <w:p w14:paraId="60637A5D" w14:textId="77777777" w:rsidR="00FA73D7" w:rsidRPr="00661109" w:rsidRDefault="00FA73D7" w:rsidP="00FA73D7">
            <w:pPr>
              <w:pStyle w:val="TblHeadingLeft"/>
              <w:rPr>
                <w:noProof w:val="0"/>
                <w:lang w:val="en-AU"/>
              </w:rPr>
            </w:pPr>
            <w:r w:rsidRPr="00661109">
              <w:rPr>
                <w:noProof w:val="0"/>
                <w:lang w:val="en-AU"/>
              </w:rPr>
              <w:t>6 (3)</w:t>
            </w:r>
          </w:p>
        </w:tc>
      </w:tr>
      <w:tr w:rsidR="00FA73D7" w:rsidRPr="00661109" w14:paraId="0AEB7D63"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13023961" w14:textId="77777777" w:rsidR="00FA73D7" w:rsidRPr="00661109" w:rsidRDefault="00FA73D7" w:rsidP="00FA73D7">
            <w:pPr>
              <w:pStyle w:val="TblHeadingLeft"/>
              <w:rPr>
                <w:noProof w:val="0"/>
                <w:lang w:val="en-AU"/>
              </w:rPr>
            </w:pPr>
            <w:r w:rsidRPr="00661109">
              <w:rPr>
                <w:noProof w:val="0"/>
                <w:lang w:val="en-AU"/>
              </w:rPr>
              <w:t>Cough</w:t>
            </w:r>
          </w:p>
        </w:tc>
        <w:tc>
          <w:tcPr>
            <w:tcW w:w="1667" w:type="pct"/>
            <w:tcBorders>
              <w:top w:val="single" w:sz="4" w:space="0" w:color="auto"/>
              <w:left w:val="single" w:sz="4" w:space="0" w:color="auto"/>
              <w:bottom w:val="single" w:sz="4" w:space="0" w:color="auto"/>
              <w:right w:val="single" w:sz="4" w:space="0" w:color="auto"/>
            </w:tcBorders>
          </w:tcPr>
          <w:p w14:paraId="575FEA4C" w14:textId="77777777" w:rsidR="00FA73D7" w:rsidRPr="00661109" w:rsidRDefault="00FA73D7" w:rsidP="00FA73D7">
            <w:pPr>
              <w:pStyle w:val="TblHeadingLeft"/>
              <w:rPr>
                <w:noProof w:val="0"/>
                <w:lang w:val="en-AU"/>
              </w:rPr>
            </w:pPr>
            <w:r w:rsidRPr="00661109">
              <w:rPr>
                <w:noProof w:val="0"/>
                <w:lang w:val="en-AU"/>
              </w:rPr>
              <w:t>33 (16)</w:t>
            </w:r>
          </w:p>
        </w:tc>
        <w:tc>
          <w:tcPr>
            <w:tcW w:w="1666" w:type="pct"/>
            <w:tcBorders>
              <w:top w:val="single" w:sz="4" w:space="0" w:color="auto"/>
              <w:left w:val="single" w:sz="4" w:space="0" w:color="auto"/>
              <w:bottom w:val="single" w:sz="4" w:space="0" w:color="auto"/>
              <w:right w:val="single" w:sz="4" w:space="0" w:color="auto"/>
            </w:tcBorders>
          </w:tcPr>
          <w:p w14:paraId="15AC37F5" w14:textId="77777777" w:rsidR="00FA73D7" w:rsidRPr="00661109" w:rsidRDefault="00FA73D7" w:rsidP="00FA73D7">
            <w:pPr>
              <w:pStyle w:val="TblHeadingLeft"/>
              <w:rPr>
                <w:noProof w:val="0"/>
                <w:lang w:val="en-AU"/>
              </w:rPr>
            </w:pPr>
            <w:r w:rsidRPr="00661109">
              <w:rPr>
                <w:noProof w:val="0"/>
                <w:lang w:val="en-AU"/>
              </w:rPr>
              <w:t>0</w:t>
            </w:r>
          </w:p>
        </w:tc>
      </w:tr>
      <w:tr w:rsidR="00FA73D7" w:rsidRPr="00661109" w14:paraId="77A303D3"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0735E81B" w14:textId="77777777" w:rsidR="00FA73D7" w:rsidRPr="00661109" w:rsidRDefault="00FA73D7" w:rsidP="00FA73D7">
            <w:pPr>
              <w:pStyle w:val="TblHeadingLeft"/>
              <w:rPr>
                <w:noProof w:val="0"/>
                <w:lang w:val="en-AU"/>
              </w:rPr>
            </w:pPr>
            <w:r w:rsidRPr="00661109">
              <w:rPr>
                <w:noProof w:val="0"/>
                <w:lang w:val="en-AU"/>
              </w:rPr>
              <w:t xml:space="preserve">Mental status </w:t>
            </w:r>
            <w:proofErr w:type="spellStart"/>
            <w:r w:rsidRPr="00661109">
              <w:rPr>
                <w:noProof w:val="0"/>
                <w:lang w:val="en-AU"/>
              </w:rPr>
              <w:t>changes</w:t>
            </w:r>
            <w:r w:rsidRPr="001468A9">
              <w:rPr>
                <w:noProof w:val="0"/>
                <w:vertAlign w:val="superscript"/>
                <w:lang w:val="en-AU"/>
              </w:rPr>
              <w:t>h</w:t>
            </w:r>
            <w:proofErr w:type="spellEnd"/>
          </w:p>
        </w:tc>
        <w:tc>
          <w:tcPr>
            <w:tcW w:w="1667" w:type="pct"/>
            <w:tcBorders>
              <w:top w:val="single" w:sz="4" w:space="0" w:color="auto"/>
              <w:left w:val="single" w:sz="4" w:space="0" w:color="auto"/>
              <w:bottom w:val="single" w:sz="4" w:space="0" w:color="auto"/>
              <w:right w:val="single" w:sz="4" w:space="0" w:color="auto"/>
            </w:tcBorders>
          </w:tcPr>
          <w:p w14:paraId="3A15FC92" w14:textId="77777777" w:rsidR="00FA73D7" w:rsidRPr="00661109" w:rsidRDefault="00FA73D7" w:rsidP="00FA73D7">
            <w:pPr>
              <w:pStyle w:val="TblHeadingLeft"/>
              <w:rPr>
                <w:noProof w:val="0"/>
                <w:lang w:val="en-AU"/>
              </w:rPr>
            </w:pPr>
            <w:r w:rsidRPr="00661109">
              <w:rPr>
                <w:noProof w:val="0"/>
                <w:lang w:val="en-AU"/>
              </w:rPr>
              <w:t>33 (16)</w:t>
            </w:r>
          </w:p>
        </w:tc>
        <w:tc>
          <w:tcPr>
            <w:tcW w:w="1666" w:type="pct"/>
            <w:tcBorders>
              <w:top w:val="single" w:sz="4" w:space="0" w:color="auto"/>
              <w:left w:val="single" w:sz="4" w:space="0" w:color="auto"/>
              <w:bottom w:val="single" w:sz="4" w:space="0" w:color="auto"/>
              <w:right w:val="single" w:sz="4" w:space="0" w:color="auto"/>
            </w:tcBorders>
          </w:tcPr>
          <w:p w14:paraId="78873FAF" w14:textId="77777777" w:rsidR="00FA73D7" w:rsidRPr="00661109" w:rsidRDefault="00FA73D7" w:rsidP="00FA73D7">
            <w:pPr>
              <w:pStyle w:val="TblHeadingLeft"/>
              <w:rPr>
                <w:noProof w:val="0"/>
                <w:lang w:val="en-AU"/>
              </w:rPr>
            </w:pPr>
            <w:r w:rsidRPr="00661109">
              <w:rPr>
                <w:noProof w:val="0"/>
                <w:lang w:val="en-AU"/>
              </w:rPr>
              <w:t>14 (7)</w:t>
            </w:r>
          </w:p>
        </w:tc>
      </w:tr>
      <w:tr w:rsidR="00FA73D7" w:rsidRPr="00661109" w14:paraId="6719C295"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43D69B2E" w14:textId="77777777" w:rsidR="00FA73D7" w:rsidRPr="00661109" w:rsidRDefault="00FA73D7" w:rsidP="00FA73D7">
            <w:pPr>
              <w:pStyle w:val="TblHeadingLeft"/>
              <w:rPr>
                <w:noProof w:val="0"/>
                <w:lang w:val="en-AU"/>
              </w:rPr>
            </w:pPr>
            <w:r w:rsidRPr="00661109">
              <w:rPr>
                <w:noProof w:val="0"/>
                <w:lang w:val="en-AU"/>
              </w:rPr>
              <w:t>Pyrexia</w:t>
            </w:r>
          </w:p>
        </w:tc>
        <w:tc>
          <w:tcPr>
            <w:tcW w:w="1667" w:type="pct"/>
            <w:tcBorders>
              <w:top w:val="single" w:sz="4" w:space="0" w:color="auto"/>
              <w:left w:val="single" w:sz="4" w:space="0" w:color="auto"/>
              <w:bottom w:val="single" w:sz="4" w:space="0" w:color="auto"/>
              <w:right w:val="single" w:sz="4" w:space="0" w:color="auto"/>
            </w:tcBorders>
          </w:tcPr>
          <w:p w14:paraId="1B0C1259" w14:textId="77777777" w:rsidR="00FA73D7" w:rsidRPr="00661109" w:rsidRDefault="00FA73D7" w:rsidP="00FA73D7">
            <w:pPr>
              <w:pStyle w:val="TblHeadingLeft"/>
              <w:rPr>
                <w:noProof w:val="0"/>
                <w:lang w:val="en-AU"/>
              </w:rPr>
            </w:pPr>
            <w:r w:rsidRPr="00661109">
              <w:rPr>
                <w:noProof w:val="0"/>
                <w:lang w:val="en-AU"/>
              </w:rPr>
              <w:t>32 (16)</w:t>
            </w:r>
          </w:p>
        </w:tc>
        <w:tc>
          <w:tcPr>
            <w:tcW w:w="1666" w:type="pct"/>
            <w:tcBorders>
              <w:top w:val="single" w:sz="4" w:space="0" w:color="auto"/>
              <w:left w:val="single" w:sz="4" w:space="0" w:color="auto"/>
              <w:bottom w:val="single" w:sz="4" w:space="0" w:color="auto"/>
              <w:right w:val="single" w:sz="4" w:space="0" w:color="auto"/>
            </w:tcBorders>
          </w:tcPr>
          <w:p w14:paraId="3928A39E" w14:textId="77777777" w:rsidR="00FA73D7" w:rsidRPr="00661109" w:rsidRDefault="00FA73D7" w:rsidP="00FA73D7">
            <w:pPr>
              <w:pStyle w:val="TblHeadingLeft"/>
              <w:rPr>
                <w:noProof w:val="0"/>
                <w:lang w:val="en-AU"/>
              </w:rPr>
            </w:pPr>
            <w:r w:rsidRPr="00661109">
              <w:rPr>
                <w:noProof w:val="0"/>
                <w:lang w:val="en-AU"/>
              </w:rPr>
              <w:t>1 (0.5)</w:t>
            </w:r>
          </w:p>
        </w:tc>
      </w:tr>
      <w:tr w:rsidR="00FA73D7" w:rsidRPr="00661109" w14:paraId="4673F4E6"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624AB454" w14:textId="7920B582" w:rsidR="00FA73D7" w:rsidRPr="00661109" w:rsidRDefault="00FA73D7" w:rsidP="00FA73D7">
            <w:pPr>
              <w:pStyle w:val="TblHeadingLeft"/>
              <w:rPr>
                <w:noProof w:val="0"/>
                <w:lang w:val="en-AU"/>
              </w:rPr>
            </w:pPr>
            <w:r w:rsidRPr="00661109">
              <w:rPr>
                <w:noProof w:val="0"/>
                <w:lang w:val="en-AU"/>
              </w:rPr>
              <w:t>Hyperglyc</w:t>
            </w:r>
            <w:r w:rsidR="0042731D">
              <w:rPr>
                <w:noProof w:val="0"/>
                <w:lang w:val="en-AU"/>
              </w:rPr>
              <w:t>a</w:t>
            </w:r>
            <w:r w:rsidRPr="00661109">
              <w:rPr>
                <w:noProof w:val="0"/>
                <w:lang w:val="en-AU"/>
              </w:rPr>
              <w:t>emia</w:t>
            </w:r>
          </w:p>
        </w:tc>
        <w:tc>
          <w:tcPr>
            <w:tcW w:w="1667" w:type="pct"/>
            <w:tcBorders>
              <w:top w:val="single" w:sz="4" w:space="0" w:color="auto"/>
              <w:left w:val="single" w:sz="4" w:space="0" w:color="auto"/>
              <w:bottom w:val="single" w:sz="4" w:space="0" w:color="auto"/>
              <w:right w:val="single" w:sz="4" w:space="0" w:color="auto"/>
            </w:tcBorders>
          </w:tcPr>
          <w:p w14:paraId="66F4F16D" w14:textId="77777777" w:rsidR="00FA73D7" w:rsidRPr="00661109" w:rsidRDefault="00FA73D7" w:rsidP="00FA73D7">
            <w:pPr>
              <w:pStyle w:val="TblHeadingLeft"/>
              <w:rPr>
                <w:noProof w:val="0"/>
                <w:lang w:val="en-AU"/>
              </w:rPr>
            </w:pPr>
            <w:r w:rsidRPr="00661109">
              <w:rPr>
                <w:noProof w:val="0"/>
                <w:lang w:val="en-AU"/>
              </w:rPr>
              <w:t>31 (15)</w:t>
            </w:r>
          </w:p>
        </w:tc>
        <w:tc>
          <w:tcPr>
            <w:tcW w:w="1666" w:type="pct"/>
            <w:tcBorders>
              <w:top w:val="single" w:sz="4" w:space="0" w:color="auto"/>
              <w:left w:val="single" w:sz="4" w:space="0" w:color="auto"/>
              <w:bottom w:val="single" w:sz="4" w:space="0" w:color="auto"/>
              <w:right w:val="single" w:sz="4" w:space="0" w:color="auto"/>
            </w:tcBorders>
          </w:tcPr>
          <w:p w14:paraId="5DDEC68D" w14:textId="77777777" w:rsidR="00FA73D7" w:rsidRPr="00661109" w:rsidRDefault="00FA73D7" w:rsidP="00FA73D7">
            <w:pPr>
              <w:pStyle w:val="TblHeadingLeft"/>
              <w:rPr>
                <w:noProof w:val="0"/>
                <w:lang w:val="en-AU"/>
              </w:rPr>
            </w:pPr>
            <w:r w:rsidRPr="00661109">
              <w:rPr>
                <w:noProof w:val="0"/>
                <w:lang w:val="en-AU"/>
              </w:rPr>
              <w:t>15 (7)</w:t>
            </w:r>
          </w:p>
        </w:tc>
      </w:tr>
      <w:tr w:rsidR="00FA73D7" w:rsidRPr="00661109" w14:paraId="08FFF137"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6987080C" w14:textId="77777777" w:rsidR="00FA73D7" w:rsidRPr="00661109" w:rsidRDefault="00FA73D7" w:rsidP="00FA73D7">
            <w:pPr>
              <w:pStyle w:val="TblHeadingLeft"/>
              <w:rPr>
                <w:noProof w:val="0"/>
                <w:lang w:val="en-AU"/>
              </w:rPr>
            </w:pPr>
            <w:r w:rsidRPr="00661109">
              <w:rPr>
                <w:noProof w:val="0"/>
                <w:lang w:val="en-AU"/>
              </w:rPr>
              <w:t>Dizziness</w:t>
            </w:r>
          </w:p>
        </w:tc>
        <w:tc>
          <w:tcPr>
            <w:tcW w:w="1667" w:type="pct"/>
            <w:tcBorders>
              <w:top w:val="single" w:sz="4" w:space="0" w:color="auto"/>
              <w:left w:val="single" w:sz="4" w:space="0" w:color="auto"/>
              <w:bottom w:val="single" w:sz="4" w:space="0" w:color="auto"/>
              <w:right w:val="single" w:sz="4" w:space="0" w:color="auto"/>
            </w:tcBorders>
          </w:tcPr>
          <w:p w14:paraId="7C4CB528" w14:textId="77777777" w:rsidR="00FA73D7" w:rsidRPr="00661109" w:rsidRDefault="00FA73D7" w:rsidP="00FA73D7">
            <w:pPr>
              <w:pStyle w:val="TblHeadingLeft"/>
              <w:rPr>
                <w:noProof w:val="0"/>
                <w:lang w:val="en-AU"/>
              </w:rPr>
            </w:pPr>
            <w:r w:rsidRPr="00661109">
              <w:rPr>
                <w:noProof w:val="0"/>
                <w:lang w:val="en-AU"/>
              </w:rPr>
              <w:t>30 (15)</w:t>
            </w:r>
          </w:p>
        </w:tc>
        <w:tc>
          <w:tcPr>
            <w:tcW w:w="1666" w:type="pct"/>
            <w:tcBorders>
              <w:top w:val="single" w:sz="4" w:space="0" w:color="auto"/>
              <w:left w:val="single" w:sz="4" w:space="0" w:color="auto"/>
              <w:bottom w:val="single" w:sz="4" w:space="0" w:color="auto"/>
              <w:right w:val="single" w:sz="4" w:space="0" w:color="auto"/>
            </w:tcBorders>
          </w:tcPr>
          <w:p w14:paraId="25CEC8F4" w14:textId="77777777" w:rsidR="00FA73D7" w:rsidRPr="00661109" w:rsidRDefault="00FA73D7" w:rsidP="00FA73D7">
            <w:pPr>
              <w:pStyle w:val="TblHeadingLeft"/>
              <w:rPr>
                <w:noProof w:val="0"/>
                <w:lang w:val="en-AU"/>
              </w:rPr>
            </w:pPr>
            <w:r w:rsidRPr="00661109">
              <w:rPr>
                <w:noProof w:val="0"/>
                <w:lang w:val="en-AU"/>
              </w:rPr>
              <w:t>0</w:t>
            </w:r>
          </w:p>
        </w:tc>
      </w:tr>
      <w:tr w:rsidR="00FA73D7" w:rsidRPr="00661109" w14:paraId="16BD5A49"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5DD583C6" w14:textId="77777777" w:rsidR="00FA73D7" w:rsidRPr="00661109" w:rsidRDefault="00FA73D7" w:rsidP="00FA73D7">
            <w:pPr>
              <w:pStyle w:val="TblHeadingLeft"/>
              <w:rPr>
                <w:noProof w:val="0"/>
                <w:lang w:val="en-AU"/>
              </w:rPr>
            </w:pPr>
            <w:r w:rsidRPr="00661109">
              <w:rPr>
                <w:noProof w:val="0"/>
                <w:lang w:val="en-AU"/>
              </w:rPr>
              <w:t>Insomnia</w:t>
            </w:r>
          </w:p>
        </w:tc>
        <w:tc>
          <w:tcPr>
            <w:tcW w:w="1667" w:type="pct"/>
            <w:tcBorders>
              <w:top w:val="single" w:sz="4" w:space="0" w:color="auto"/>
              <w:left w:val="single" w:sz="4" w:space="0" w:color="auto"/>
              <w:bottom w:val="single" w:sz="4" w:space="0" w:color="auto"/>
              <w:right w:val="single" w:sz="4" w:space="0" w:color="auto"/>
            </w:tcBorders>
          </w:tcPr>
          <w:p w14:paraId="632D36FE" w14:textId="77777777" w:rsidR="00FA73D7" w:rsidRPr="00661109" w:rsidRDefault="00FA73D7" w:rsidP="00FA73D7">
            <w:pPr>
              <w:pStyle w:val="TblHeadingLeft"/>
              <w:rPr>
                <w:noProof w:val="0"/>
                <w:lang w:val="en-AU"/>
              </w:rPr>
            </w:pPr>
            <w:r w:rsidRPr="00661109">
              <w:rPr>
                <w:noProof w:val="0"/>
                <w:lang w:val="en-AU"/>
              </w:rPr>
              <w:t>30 (15)</w:t>
            </w:r>
          </w:p>
        </w:tc>
        <w:tc>
          <w:tcPr>
            <w:tcW w:w="1666" w:type="pct"/>
            <w:tcBorders>
              <w:top w:val="single" w:sz="4" w:space="0" w:color="auto"/>
              <w:left w:val="single" w:sz="4" w:space="0" w:color="auto"/>
              <w:bottom w:val="single" w:sz="4" w:space="0" w:color="auto"/>
              <w:right w:val="single" w:sz="4" w:space="0" w:color="auto"/>
            </w:tcBorders>
          </w:tcPr>
          <w:p w14:paraId="58A395F9" w14:textId="77777777" w:rsidR="00FA73D7" w:rsidRPr="00661109" w:rsidRDefault="00FA73D7" w:rsidP="00FA73D7">
            <w:pPr>
              <w:pStyle w:val="TblHeadingLeft"/>
              <w:rPr>
                <w:noProof w:val="0"/>
                <w:lang w:val="en-AU"/>
              </w:rPr>
            </w:pPr>
            <w:r w:rsidRPr="00661109">
              <w:rPr>
                <w:noProof w:val="0"/>
                <w:lang w:val="en-AU"/>
              </w:rPr>
              <w:t>4 (2)</w:t>
            </w:r>
          </w:p>
        </w:tc>
      </w:tr>
      <w:tr w:rsidR="00FA73D7" w:rsidRPr="00661109" w14:paraId="37557D6A"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793D5A6A" w14:textId="77777777" w:rsidR="00FA73D7" w:rsidRPr="00661109" w:rsidRDefault="00FA73D7" w:rsidP="00FA73D7">
            <w:pPr>
              <w:pStyle w:val="TblHeadingLeft"/>
              <w:rPr>
                <w:noProof w:val="0"/>
                <w:lang w:val="en-AU"/>
              </w:rPr>
            </w:pPr>
            <w:r w:rsidRPr="00661109">
              <w:rPr>
                <w:noProof w:val="0"/>
                <w:lang w:val="en-AU"/>
              </w:rPr>
              <w:t>Lymphopenia</w:t>
            </w:r>
          </w:p>
        </w:tc>
        <w:tc>
          <w:tcPr>
            <w:tcW w:w="1667" w:type="pct"/>
            <w:tcBorders>
              <w:top w:val="single" w:sz="4" w:space="0" w:color="auto"/>
              <w:left w:val="single" w:sz="4" w:space="0" w:color="auto"/>
              <w:bottom w:val="single" w:sz="4" w:space="0" w:color="auto"/>
              <w:right w:val="single" w:sz="4" w:space="0" w:color="auto"/>
            </w:tcBorders>
          </w:tcPr>
          <w:p w14:paraId="41C281AE" w14:textId="77777777" w:rsidR="00FA73D7" w:rsidRPr="00661109" w:rsidRDefault="00FA73D7" w:rsidP="00FA73D7">
            <w:pPr>
              <w:pStyle w:val="TblHeadingLeft"/>
              <w:rPr>
                <w:noProof w:val="0"/>
                <w:lang w:val="en-AU"/>
              </w:rPr>
            </w:pPr>
            <w:r w:rsidRPr="00661109">
              <w:rPr>
                <w:noProof w:val="0"/>
                <w:lang w:val="en-AU"/>
              </w:rPr>
              <w:t>30 (15)</w:t>
            </w:r>
          </w:p>
        </w:tc>
        <w:tc>
          <w:tcPr>
            <w:tcW w:w="1666" w:type="pct"/>
            <w:tcBorders>
              <w:top w:val="single" w:sz="4" w:space="0" w:color="auto"/>
              <w:left w:val="single" w:sz="4" w:space="0" w:color="auto"/>
              <w:bottom w:val="single" w:sz="4" w:space="0" w:color="auto"/>
              <w:right w:val="single" w:sz="4" w:space="0" w:color="auto"/>
            </w:tcBorders>
          </w:tcPr>
          <w:p w14:paraId="5DF5BCB6" w14:textId="77777777" w:rsidR="00FA73D7" w:rsidRPr="00661109" w:rsidRDefault="00FA73D7" w:rsidP="00FA73D7">
            <w:pPr>
              <w:pStyle w:val="TblHeadingLeft"/>
              <w:rPr>
                <w:noProof w:val="0"/>
                <w:lang w:val="en-AU"/>
              </w:rPr>
            </w:pPr>
            <w:r w:rsidRPr="00661109">
              <w:rPr>
                <w:noProof w:val="0"/>
                <w:lang w:val="en-AU"/>
              </w:rPr>
              <w:t>20 (10)</w:t>
            </w:r>
          </w:p>
        </w:tc>
      </w:tr>
      <w:tr w:rsidR="00FA73D7" w:rsidRPr="00661109" w14:paraId="250509B2"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65B9298A" w14:textId="77777777" w:rsidR="00FA73D7" w:rsidRPr="00661109" w:rsidRDefault="00FA73D7" w:rsidP="00FA73D7">
            <w:pPr>
              <w:pStyle w:val="TblHeadingLeft"/>
              <w:rPr>
                <w:noProof w:val="0"/>
                <w:lang w:val="en-AU"/>
              </w:rPr>
            </w:pPr>
            <w:r w:rsidRPr="00661109">
              <w:rPr>
                <w:noProof w:val="0"/>
                <w:lang w:val="en-AU"/>
              </w:rPr>
              <w:t>Dehydration</w:t>
            </w:r>
          </w:p>
        </w:tc>
        <w:tc>
          <w:tcPr>
            <w:tcW w:w="1667" w:type="pct"/>
            <w:tcBorders>
              <w:top w:val="single" w:sz="4" w:space="0" w:color="auto"/>
              <w:left w:val="single" w:sz="4" w:space="0" w:color="auto"/>
              <w:bottom w:val="single" w:sz="4" w:space="0" w:color="auto"/>
              <w:right w:val="single" w:sz="4" w:space="0" w:color="auto"/>
            </w:tcBorders>
          </w:tcPr>
          <w:p w14:paraId="0B7B91C4" w14:textId="77777777" w:rsidR="00FA73D7" w:rsidRPr="00661109" w:rsidRDefault="00FA73D7" w:rsidP="00FA73D7">
            <w:pPr>
              <w:pStyle w:val="TblHeadingLeft"/>
              <w:rPr>
                <w:noProof w:val="0"/>
                <w:lang w:val="en-AU"/>
              </w:rPr>
            </w:pPr>
            <w:r w:rsidRPr="00661109">
              <w:rPr>
                <w:noProof w:val="0"/>
                <w:lang w:val="en-AU"/>
              </w:rPr>
              <w:t>28 (14)</w:t>
            </w:r>
          </w:p>
        </w:tc>
        <w:tc>
          <w:tcPr>
            <w:tcW w:w="1666" w:type="pct"/>
            <w:tcBorders>
              <w:top w:val="single" w:sz="4" w:space="0" w:color="auto"/>
              <w:left w:val="single" w:sz="4" w:space="0" w:color="auto"/>
              <w:bottom w:val="single" w:sz="4" w:space="0" w:color="auto"/>
              <w:right w:val="single" w:sz="4" w:space="0" w:color="auto"/>
            </w:tcBorders>
          </w:tcPr>
          <w:p w14:paraId="1E93BEA2" w14:textId="77777777" w:rsidR="00FA73D7" w:rsidRPr="00661109" w:rsidRDefault="00FA73D7" w:rsidP="00FA73D7">
            <w:pPr>
              <w:pStyle w:val="TblHeadingLeft"/>
              <w:rPr>
                <w:noProof w:val="0"/>
                <w:lang w:val="en-AU"/>
              </w:rPr>
            </w:pPr>
            <w:r w:rsidRPr="00661109">
              <w:rPr>
                <w:noProof w:val="0"/>
                <w:lang w:val="en-AU"/>
              </w:rPr>
              <w:t>7 (3.5)</w:t>
            </w:r>
          </w:p>
        </w:tc>
      </w:tr>
      <w:tr w:rsidR="00FA73D7" w:rsidRPr="00661109" w14:paraId="2D948867"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4D51B805" w14:textId="76E037EE" w:rsidR="00FA73D7" w:rsidRPr="00661109" w:rsidRDefault="00FA73D7" w:rsidP="00FA73D7">
            <w:pPr>
              <w:pStyle w:val="TblHeadingLeft"/>
              <w:rPr>
                <w:noProof w:val="0"/>
                <w:lang w:val="en-AU"/>
              </w:rPr>
            </w:pPr>
            <w:proofErr w:type="spellStart"/>
            <w:r w:rsidRPr="00661109">
              <w:rPr>
                <w:noProof w:val="0"/>
                <w:lang w:val="en-AU"/>
              </w:rPr>
              <w:t>Hypercreatinin</w:t>
            </w:r>
            <w:r w:rsidR="0042731D">
              <w:rPr>
                <w:noProof w:val="0"/>
                <w:lang w:val="en-AU"/>
              </w:rPr>
              <w:t>a</w:t>
            </w:r>
            <w:r w:rsidRPr="00661109">
              <w:rPr>
                <w:noProof w:val="0"/>
                <w:lang w:val="en-AU"/>
              </w:rPr>
              <w:t>emia</w:t>
            </w:r>
            <w:r w:rsidRPr="001468A9">
              <w:rPr>
                <w:noProof w:val="0"/>
                <w:vertAlign w:val="superscript"/>
                <w:lang w:val="en-AU"/>
              </w:rPr>
              <w:t>i</w:t>
            </w:r>
            <w:proofErr w:type="spellEnd"/>
          </w:p>
        </w:tc>
        <w:tc>
          <w:tcPr>
            <w:tcW w:w="1667" w:type="pct"/>
            <w:tcBorders>
              <w:top w:val="single" w:sz="4" w:space="0" w:color="auto"/>
              <w:left w:val="single" w:sz="4" w:space="0" w:color="auto"/>
              <w:bottom w:val="single" w:sz="4" w:space="0" w:color="auto"/>
              <w:right w:val="single" w:sz="4" w:space="0" w:color="auto"/>
            </w:tcBorders>
          </w:tcPr>
          <w:p w14:paraId="530D8729" w14:textId="77777777" w:rsidR="00FA73D7" w:rsidRPr="00661109" w:rsidRDefault="00FA73D7" w:rsidP="00FA73D7">
            <w:pPr>
              <w:pStyle w:val="TblHeadingLeft"/>
              <w:rPr>
                <w:noProof w:val="0"/>
                <w:lang w:val="en-AU"/>
              </w:rPr>
            </w:pPr>
            <w:r w:rsidRPr="00661109">
              <w:rPr>
                <w:noProof w:val="0"/>
                <w:lang w:val="en-AU"/>
              </w:rPr>
              <w:t>28 (14)</w:t>
            </w:r>
          </w:p>
        </w:tc>
        <w:tc>
          <w:tcPr>
            <w:tcW w:w="1666" w:type="pct"/>
            <w:tcBorders>
              <w:top w:val="single" w:sz="4" w:space="0" w:color="auto"/>
              <w:left w:val="single" w:sz="4" w:space="0" w:color="auto"/>
              <w:bottom w:val="single" w:sz="4" w:space="0" w:color="auto"/>
              <w:right w:val="single" w:sz="4" w:space="0" w:color="auto"/>
            </w:tcBorders>
          </w:tcPr>
          <w:p w14:paraId="49070696" w14:textId="77777777" w:rsidR="00FA73D7" w:rsidRPr="00661109" w:rsidRDefault="00FA73D7" w:rsidP="00FA73D7">
            <w:pPr>
              <w:pStyle w:val="TblHeadingLeft"/>
              <w:rPr>
                <w:noProof w:val="0"/>
                <w:lang w:val="en-AU"/>
              </w:rPr>
            </w:pPr>
            <w:r w:rsidRPr="00661109">
              <w:rPr>
                <w:noProof w:val="0"/>
                <w:lang w:val="en-AU"/>
              </w:rPr>
              <w:t>4 (2)</w:t>
            </w:r>
          </w:p>
        </w:tc>
      </w:tr>
      <w:tr w:rsidR="00FA73D7" w:rsidRPr="00661109" w14:paraId="1D070DFC"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36419E14" w14:textId="77777777" w:rsidR="00FA73D7" w:rsidRPr="00661109" w:rsidRDefault="00FA73D7" w:rsidP="00FA73D7">
            <w:pPr>
              <w:pStyle w:val="TblHeadingLeft"/>
              <w:rPr>
                <w:noProof w:val="0"/>
                <w:lang w:val="en-AU"/>
              </w:rPr>
            </w:pPr>
            <w:proofErr w:type="spellStart"/>
            <w:r w:rsidRPr="00661109">
              <w:rPr>
                <w:noProof w:val="0"/>
                <w:lang w:val="en-AU"/>
              </w:rPr>
              <w:lastRenderedPageBreak/>
              <w:t>Pneumonia</w:t>
            </w:r>
            <w:r w:rsidRPr="001468A9">
              <w:rPr>
                <w:noProof w:val="0"/>
                <w:vertAlign w:val="superscript"/>
                <w:lang w:val="en-AU"/>
              </w:rPr>
              <w:t>j</w:t>
            </w:r>
            <w:proofErr w:type="spellEnd"/>
          </w:p>
        </w:tc>
        <w:tc>
          <w:tcPr>
            <w:tcW w:w="1667" w:type="pct"/>
            <w:tcBorders>
              <w:top w:val="single" w:sz="4" w:space="0" w:color="auto"/>
              <w:left w:val="single" w:sz="4" w:space="0" w:color="auto"/>
              <w:bottom w:val="single" w:sz="4" w:space="0" w:color="auto"/>
              <w:right w:val="single" w:sz="4" w:space="0" w:color="auto"/>
            </w:tcBorders>
          </w:tcPr>
          <w:p w14:paraId="0E5A23C2" w14:textId="77777777" w:rsidR="00FA73D7" w:rsidRPr="00661109" w:rsidRDefault="00FA73D7" w:rsidP="00FA73D7">
            <w:pPr>
              <w:pStyle w:val="TblHeadingLeft"/>
              <w:rPr>
                <w:noProof w:val="0"/>
                <w:lang w:val="en-AU"/>
              </w:rPr>
            </w:pPr>
            <w:r w:rsidRPr="00661109">
              <w:rPr>
                <w:noProof w:val="0"/>
                <w:lang w:val="en-AU"/>
              </w:rPr>
              <w:t>26 (13)</w:t>
            </w:r>
          </w:p>
        </w:tc>
        <w:tc>
          <w:tcPr>
            <w:tcW w:w="1666" w:type="pct"/>
            <w:tcBorders>
              <w:top w:val="single" w:sz="4" w:space="0" w:color="auto"/>
              <w:left w:val="single" w:sz="4" w:space="0" w:color="auto"/>
              <w:bottom w:val="single" w:sz="4" w:space="0" w:color="auto"/>
              <w:right w:val="single" w:sz="4" w:space="0" w:color="auto"/>
            </w:tcBorders>
          </w:tcPr>
          <w:p w14:paraId="331A8FAF" w14:textId="77777777" w:rsidR="00FA73D7" w:rsidRPr="00661109" w:rsidRDefault="00FA73D7" w:rsidP="00FA73D7">
            <w:pPr>
              <w:pStyle w:val="TblHeadingLeft"/>
              <w:rPr>
                <w:noProof w:val="0"/>
                <w:lang w:val="en-AU"/>
              </w:rPr>
            </w:pPr>
            <w:r w:rsidRPr="00661109">
              <w:rPr>
                <w:noProof w:val="0"/>
                <w:lang w:val="en-AU"/>
              </w:rPr>
              <w:t>18 (9)</w:t>
            </w:r>
            <w:r w:rsidRPr="001468A9">
              <w:rPr>
                <w:noProof w:val="0"/>
                <w:vertAlign w:val="superscript"/>
                <w:lang w:val="en-AU"/>
              </w:rPr>
              <w:t>k</w:t>
            </w:r>
          </w:p>
        </w:tc>
      </w:tr>
      <w:tr w:rsidR="00FA73D7" w:rsidRPr="00661109" w14:paraId="365A2982"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32B0351E" w14:textId="77777777" w:rsidR="00FA73D7" w:rsidRPr="00661109" w:rsidRDefault="00FA73D7" w:rsidP="00FA73D7">
            <w:pPr>
              <w:pStyle w:val="TblHeadingLeft"/>
              <w:rPr>
                <w:noProof w:val="0"/>
                <w:lang w:val="en-AU"/>
              </w:rPr>
            </w:pPr>
            <w:r w:rsidRPr="00661109">
              <w:rPr>
                <w:noProof w:val="0"/>
                <w:lang w:val="en-AU"/>
              </w:rPr>
              <w:t>Epistaxis</w:t>
            </w:r>
          </w:p>
        </w:tc>
        <w:tc>
          <w:tcPr>
            <w:tcW w:w="1667" w:type="pct"/>
            <w:tcBorders>
              <w:top w:val="single" w:sz="4" w:space="0" w:color="auto"/>
              <w:left w:val="single" w:sz="4" w:space="0" w:color="auto"/>
              <w:bottom w:val="single" w:sz="4" w:space="0" w:color="auto"/>
              <w:right w:val="single" w:sz="4" w:space="0" w:color="auto"/>
            </w:tcBorders>
          </w:tcPr>
          <w:p w14:paraId="2CF29F0F" w14:textId="77777777" w:rsidR="00FA73D7" w:rsidRPr="00661109" w:rsidRDefault="00FA73D7" w:rsidP="00FA73D7">
            <w:pPr>
              <w:pStyle w:val="TblHeadingLeft"/>
              <w:rPr>
                <w:noProof w:val="0"/>
                <w:lang w:val="en-AU"/>
              </w:rPr>
            </w:pPr>
            <w:r w:rsidRPr="00661109">
              <w:rPr>
                <w:noProof w:val="0"/>
                <w:lang w:val="en-AU"/>
              </w:rPr>
              <w:t>25 (12)</w:t>
            </w:r>
          </w:p>
        </w:tc>
        <w:tc>
          <w:tcPr>
            <w:tcW w:w="1666" w:type="pct"/>
            <w:tcBorders>
              <w:top w:val="single" w:sz="4" w:space="0" w:color="auto"/>
              <w:left w:val="single" w:sz="4" w:space="0" w:color="auto"/>
              <w:bottom w:val="single" w:sz="4" w:space="0" w:color="auto"/>
              <w:right w:val="single" w:sz="4" w:space="0" w:color="auto"/>
            </w:tcBorders>
          </w:tcPr>
          <w:p w14:paraId="72CCD026" w14:textId="77777777" w:rsidR="00FA73D7" w:rsidRPr="00661109" w:rsidRDefault="00FA73D7" w:rsidP="00FA73D7">
            <w:pPr>
              <w:pStyle w:val="TblHeadingLeft"/>
              <w:rPr>
                <w:noProof w:val="0"/>
                <w:lang w:val="en-AU"/>
              </w:rPr>
            </w:pPr>
            <w:r w:rsidRPr="00661109">
              <w:rPr>
                <w:noProof w:val="0"/>
                <w:lang w:val="en-AU"/>
              </w:rPr>
              <w:t>1 (0.5)</w:t>
            </w:r>
          </w:p>
        </w:tc>
      </w:tr>
      <w:tr w:rsidR="00FA73D7" w:rsidRPr="00661109" w14:paraId="4A5FE6AB"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3BF722B0" w14:textId="12CEA178" w:rsidR="00FA73D7" w:rsidRPr="00661109" w:rsidRDefault="00FA73D7" w:rsidP="00FA73D7">
            <w:pPr>
              <w:pStyle w:val="TblHeadingLeft"/>
              <w:rPr>
                <w:noProof w:val="0"/>
                <w:lang w:val="en-AU"/>
              </w:rPr>
            </w:pPr>
            <w:r w:rsidRPr="00661109">
              <w:rPr>
                <w:noProof w:val="0"/>
                <w:lang w:val="en-AU"/>
              </w:rPr>
              <w:t>Hypokal</w:t>
            </w:r>
            <w:r w:rsidR="0042731D">
              <w:rPr>
                <w:noProof w:val="0"/>
                <w:lang w:val="en-AU"/>
              </w:rPr>
              <w:t>a</w:t>
            </w:r>
            <w:r w:rsidRPr="00661109">
              <w:rPr>
                <w:noProof w:val="0"/>
                <w:lang w:val="en-AU"/>
              </w:rPr>
              <w:t>emia</w:t>
            </w:r>
          </w:p>
        </w:tc>
        <w:tc>
          <w:tcPr>
            <w:tcW w:w="1667" w:type="pct"/>
            <w:tcBorders>
              <w:top w:val="single" w:sz="4" w:space="0" w:color="auto"/>
              <w:left w:val="single" w:sz="4" w:space="0" w:color="auto"/>
              <w:bottom w:val="single" w:sz="4" w:space="0" w:color="auto"/>
              <w:right w:val="single" w:sz="4" w:space="0" w:color="auto"/>
            </w:tcBorders>
          </w:tcPr>
          <w:p w14:paraId="12FA9833" w14:textId="77777777" w:rsidR="00FA73D7" w:rsidRPr="00661109" w:rsidRDefault="00FA73D7" w:rsidP="00FA73D7">
            <w:pPr>
              <w:pStyle w:val="TblHeadingLeft"/>
              <w:rPr>
                <w:noProof w:val="0"/>
                <w:lang w:val="en-AU"/>
              </w:rPr>
            </w:pPr>
            <w:r w:rsidRPr="00661109">
              <w:rPr>
                <w:noProof w:val="0"/>
                <w:lang w:val="en-AU"/>
              </w:rPr>
              <w:t>25 (12)</w:t>
            </w:r>
          </w:p>
        </w:tc>
        <w:tc>
          <w:tcPr>
            <w:tcW w:w="1666" w:type="pct"/>
            <w:tcBorders>
              <w:top w:val="single" w:sz="4" w:space="0" w:color="auto"/>
              <w:left w:val="single" w:sz="4" w:space="0" w:color="auto"/>
              <w:bottom w:val="single" w:sz="4" w:space="0" w:color="auto"/>
              <w:right w:val="single" w:sz="4" w:space="0" w:color="auto"/>
            </w:tcBorders>
          </w:tcPr>
          <w:p w14:paraId="32ADA356" w14:textId="77777777" w:rsidR="00FA73D7" w:rsidRPr="00661109" w:rsidRDefault="00FA73D7" w:rsidP="00FA73D7">
            <w:pPr>
              <w:pStyle w:val="TblHeadingLeft"/>
              <w:rPr>
                <w:noProof w:val="0"/>
                <w:lang w:val="en-AU"/>
              </w:rPr>
            </w:pPr>
            <w:r w:rsidRPr="00661109">
              <w:rPr>
                <w:noProof w:val="0"/>
                <w:lang w:val="en-AU"/>
              </w:rPr>
              <w:t>7 (3.5)</w:t>
            </w:r>
          </w:p>
        </w:tc>
      </w:tr>
      <w:tr w:rsidR="00FA73D7" w:rsidRPr="00661109" w14:paraId="56886FDE"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5C211273" w14:textId="77777777" w:rsidR="00FA73D7" w:rsidRPr="00661109" w:rsidRDefault="00FA73D7" w:rsidP="00FA73D7">
            <w:pPr>
              <w:pStyle w:val="TblHeadingLeft"/>
              <w:rPr>
                <w:noProof w:val="0"/>
                <w:lang w:val="en-AU"/>
              </w:rPr>
            </w:pPr>
            <w:r w:rsidRPr="00661109">
              <w:rPr>
                <w:noProof w:val="0"/>
                <w:lang w:val="en-AU"/>
              </w:rPr>
              <w:t>Dysgeusia</w:t>
            </w:r>
          </w:p>
        </w:tc>
        <w:tc>
          <w:tcPr>
            <w:tcW w:w="1667" w:type="pct"/>
            <w:tcBorders>
              <w:top w:val="single" w:sz="4" w:space="0" w:color="auto"/>
              <w:left w:val="single" w:sz="4" w:space="0" w:color="auto"/>
              <w:bottom w:val="single" w:sz="4" w:space="0" w:color="auto"/>
              <w:right w:val="single" w:sz="4" w:space="0" w:color="auto"/>
            </w:tcBorders>
          </w:tcPr>
          <w:p w14:paraId="7BCDA7EE" w14:textId="77777777" w:rsidR="00FA73D7" w:rsidRPr="00661109" w:rsidRDefault="00FA73D7" w:rsidP="00FA73D7">
            <w:pPr>
              <w:pStyle w:val="TblHeadingLeft"/>
              <w:rPr>
                <w:noProof w:val="0"/>
                <w:lang w:val="en-AU"/>
              </w:rPr>
            </w:pPr>
            <w:r w:rsidRPr="00661109">
              <w:rPr>
                <w:noProof w:val="0"/>
                <w:lang w:val="en-AU"/>
              </w:rPr>
              <w:t>22 (11)</w:t>
            </w:r>
          </w:p>
        </w:tc>
        <w:tc>
          <w:tcPr>
            <w:tcW w:w="1666" w:type="pct"/>
            <w:tcBorders>
              <w:top w:val="single" w:sz="4" w:space="0" w:color="auto"/>
              <w:left w:val="single" w:sz="4" w:space="0" w:color="auto"/>
              <w:bottom w:val="single" w:sz="4" w:space="0" w:color="auto"/>
              <w:right w:val="single" w:sz="4" w:space="0" w:color="auto"/>
            </w:tcBorders>
          </w:tcPr>
          <w:p w14:paraId="1BB053B8" w14:textId="77777777" w:rsidR="00FA73D7" w:rsidRPr="00661109" w:rsidRDefault="00FA73D7" w:rsidP="00FA73D7">
            <w:pPr>
              <w:pStyle w:val="TblHeadingLeft"/>
              <w:rPr>
                <w:noProof w:val="0"/>
                <w:lang w:val="en-AU"/>
              </w:rPr>
            </w:pPr>
            <w:r w:rsidRPr="00661109">
              <w:rPr>
                <w:noProof w:val="0"/>
                <w:lang w:val="en-AU"/>
              </w:rPr>
              <w:t>0</w:t>
            </w:r>
          </w:p>
        </w:tc>
      </w:tr>
      <w:tr w:rsidR="00FA73D7" w:rsidRPr="00661109" w14:paraId="0E4E2731"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4B387010" w14:textId="77777777" w:rsidR="00FA73D7" w:rsidRPr="00661109" w:rsidRDefault="00FA73D7" w:rsidP="00FA73D7">
            <w:pPr>
              <w:pStyle w:val="TblHeadingLeft"/>
              <w:rPr>
                <w:noProof w:val="0"/>
                <w:lang w:val="en-AU"/>
              </w:rPr>
            </w:pPr>
            <w:r w:rsidRPr="00661109">
              <w:rPr>
                <w:noProof w:val="0"/>
                <w:lang w:val="en-AU"/>
              </w:rPr>
              <w:t>Vision blurred</w:t>
            </w:r>
          </w:p>
        </w:tc>
        <w:tc>
          <w:tcPr>
            <w:tcW w:w="1667" w:type="pct"/>
            <w:tcBorders>
              <w:top w:val="single" w:sz="4" w:space="0" w:color="auto"/>
              <w:left w:val="single" w:sz="4" w:space="0" w:color="auto"/>
              <w:bottom w:val="single" w:sz="4" w:space="0" w:color="auto"/>
              <w:right w:val="single" w:sz="4" w:space="0" w:color="auto"/>
            </w:tcBorders>
          </w:tcPr>
          <w:p w14:paraId="4F2FFC8A" w14:textId="77777777" w:rsidR="00FA73D7" w:rsidRPr="00661109" w:rsidRDefault="00FA73D7" w:rsidP="00FA73D7">
            <w:pPr>
              <w:pStyle w:val="TblHeadingLeft"/>
              <w:rPr>
                <w:noProof w:val="0"/>
                <w:lang w:val="en-AU"/>
              </w:rPr>
            </w:pPr>
            <w:r w:rsidRPr="00661109">
              <w:rPr>
                <w:noProof w:val="0"/>
                <w:lang w:val="en-AU"/>
              </w:rPr>
              <w:t>21 (10)</w:t>
            </w:r>
          </w:p>
        </w:tc>
        <w:tc>
          <w:tcPr>
            <w:tcW w:w="1666" w:type="pct"/>
            <w:tcBorders>
              <w:top w:val="single" w:sz="4" w:space="0" w:color="auto"/>
              <w:left w:val="single" w:sz="4" w:space="0" w:color="auto"/>
              <w:bottom w:val="single" w:sz="4" w:space="0" w:color="auto"/>
              <w:right w:val="single" w:sz="4" w:space="0" w:color="auto"/>
            </w:tcBorders>
          </w:tcPr>
          <w:p w14:paraId="7EF81518" w14:textId="77777777" w:rsidR="00FA73D7" w:rsidRPr="00661109" w:rsidRDefault="00FA73D7" w:rsidP="00FA73D7">
            <w:pPr>
              <w:pStyle w:val="TblHeadingLeft"/>
              <w:rPr>
                <w:noProof w:val="0"/>
                <w:lang w:val="en-AU"/>
              </w:rPr>
            </w:pPr>
            <w:r w:rsidRPr="00661109">
              <w:rPr>
                <w:noProof w:val="0"/>
                <w:lang w:val="en-AU"/>
              </w:rPr>
              <w:t>1 (0.5)</w:t>
            </w:r>
          </w:p>
        </w:tc>
      </w:tr>
      <w:tr w:rsidR="00FA73D7" w:rsidRPr="00661109" w14:paraId="25398A67" w14:textId="77777777" w:rsidTr="00FA73D7">
        <w:trPr>
          <w:trHeight w:val="184"/>
          <w:tblHeader/>
        </w:trPr>
        <w:tc>
          <w:tcPr>
            <w:tcW w:w="1667" w:type="pct"/>
            <w:tcBorders>
              <w:top w:val="single" w:sz="4" w:space="0" w:color="auto"/>
              <w:left w:val="single" w:sz="4" w:space="0" w:color="auto"/>
              <w:bottom w:val="single" w:sz="4" w:space="0" w:color="auto"/>
              <w:right w:val="single" w:sz="4" w:space="0" w:color="auto"/>
            </w:tcBorders>
          </w:tcPr>
          <w:p w14:paraId="674244CF" w14:textId="77777777" w:rsidR="00FA73D7" w:rsidRPr="00661109" w:rsidRDefault="00FA73D7" w:rsidP="00FA73D7">
            <w:pPr>
              <w:pStyle w:val="TblHeadingLeft"/>
              <w:rPr>
                <w:noProof w:val="0"/>
                <w:lang w:val="en-AU"/>
              </w:rPr>
            </w:pPr>
            <w:r w:rsidRPr="00661109">
              <w:rPr>
                <w:noProof w:val="0"/>
                <w:lang w:val="en-AU"/>
              </w:rPr>
              <w:t>Headache</w:t>
            </w:r>
          </w:p>
        </w:tc>
        <w:tc>
          <w:tcPr>
            <w:tcW w:w="1667" w:type="pct"/>
            <w:tcBorders>
              <w:top w:val="single" w:sz="4" w:space="0" w:color="auto"/>
              <w:left w:val="single" w:sz="4" w:space="0" w:color="auto"/>
              <w:bottom w:val="single" w:sz="4" w:space="0" w:color="auto"/>
              <w:right w:val="single" w:sz="4" w:space="0" w:color="auto"/>
            </w:tcBorders>
          </w:tcPr>
          <w:p w14:paraId="7456BA5F" w14:textId="77777777" w:rsidR="00FA73D7" w:rsidRPr="00661109" w:rsidRDefault="00FA73D7" w:rsidP="00FA73D7">
            <w:pPr>
              <w:pStyle w:val="TblHeadingLeft"/>
              <w:rPr>
                <w:noProof w:val="0"/>
                <w:lang w:val="en-AU"/>
              </w:rPr>
            </w:pPr>
            <w:r w:rsidRPr="00661109">
              <w:rPr>
                <w:noProof w:val="0"/>
                <w:lang w:val="en-AU"/>
              </w:rPr>
              <w:t>20 (10)</w:t>
            </w:r>
          </w:p>
        </w:tc>
        <w:tc>
          <w:tcPr>
            <w:tcW w:w="1666" w:type="pct"/>
            <w:tcBorders>
              <w:top w:val="single" w:sz="4" w:space="0" w:color="auto"/>
              <w:left w:val="single" w:sz="4" w:space="0" w:color="auto"/>
              <w:bottom w:val="single" w:sz="4" w:space="0" w:color="auto"/>
              <w:right w:val="single" w:sz="4" w:space="0" w:color="auto"/>
            </w:tcBorders>
          </w:tcPr>
          <w:p w14:paraId="3E38D469" w14:textId="77777777" w:rsidR="00FA73D7" w:rsidRPr="00661109" w:rsidRDefault="00FA73D7" w:rsidP="00FA73D7">
            <w:pPr>
              <w:pStyle w:val="TblHeadingLeft"/>
              <w:rPr>
                <w:noProof w:val="0"/>
                <w:lang w:val="en-AU"/>
              </w:rPr>
            </w:pPr>
            <w:r w:rsidRPr="00661109">
              <w:rPr>
                <w:noProof w:val="0"/>
                <w:lang w:val="en-AU"/>
              </w:rPr>
              <w:t>0</w:t>
            </w:r>
          </w:p>
        </w:tc>
      </w:tr>
    </w:tbl>
    <w:p w14:paraId="732D7B76" w14:textId="77777777" w:rsidR="00FA73D7" w:rsidRPr="000022BF" w:rsidRDefault="00FA73D7" w:rsidP="00FA73D7">
      <w:pPr>
        <w:pStyle w:val="C-Footnote"/>
        <w:tabs>
          <w:tab w:val="clear" w:pos="144"/>
          <w:tab w:val="left" w:pos="180"/>
        </w:tabs>
        <w:ind w:left="180" w:hanging="180"/>
        <w:rPr>
          <w:rFonts w:cs="Times New Roman"/>
          <w:sz w:val="18"/>
          <w:szCs w:val="18"/>
        </w:rPr>
      </w:pPr>
      <w:r w:rsidRPr="000022BF">
        <w:rPr>
          <w:rFonts w:cs="Times New Roman"/>
          <w:sz w:val="18"/>
          <w:szCs w:val="18"/>
        </w:rPr>
        <w:t>a.</w:t>
      </w:r>
      <w:r w:rsidRPr="000022BF">
        <w:rPr>
          <w:rFonts w:cs="Times New Roman"/>
          <w:sz w:val="18"/>
          <w:szCs w:val="18"/>
        </w:rPr>
        <w:tab/>
        <w:t>Thrombocytopenia includes thrombocytopenia and platelet count decreased.</w:t>
      </w:r>
    </w:p>
    <w:p w14:paraId="32E642F2" w14:textId="77777777" w:rsidR="00FA73D7" w:rsidRPr="000022BF" w:rsidRDefault="00FA73D7" w:rsidP="00FA73D7">
      <w:pPr>
        <w:pStyle w:val="C-Footnote"/>
        <w:tabs>
          <w:tab w:val="clear" w:pos="144"/>
          <w:tab w:val="left" w:pos="180"/>
        </w:tabs>
        <w:ind w:left="180" w:hanging="180"/>
        <w:rPr>
          <w:rFonts w:cs="Times New Roman"/>
          <w:sz w:val="18"/>
          <w:szCs w:val="18"/>
          <w:lang w:val="fr-FR"/>
        </w:rPr>
      </w:pPr>
      <w:r w:rsidRPr="000022BF">
        <w:rPr>
          <w:rFonts w:cs="Times New Roman"/>
          <w:sz w:val="18"/>
          <w:szCs w:val="18"/>
          <w:lang w:val="fr-FR"/>
        </w:rPr>
        <w:t>b.</w:t>
      </w:r>
      <w:r w:rsidRPr="000022BF">
        <w:rPr>
          <w:rFonts w:cs="Times New Roman"/>
          <w:sz w:val="18"/>
          <w:szCs w:val="18"/>
          <w:lang w:val="fr-FR"/>
        </w:rPr>
        <w:tab/>
        <w:t xml:space="preserve">Fatigue </w:t>
      </w:r>
      <w:proofErr w:type="spellStart"/>
      <w:r w:rsidRPr="000022BF">
        <w:rPr>
          <w:rFonts w:cs="Times New Roman"/>
          <w:sz w:val="18"/>
          <w:szCs w:val="18"/>
          <w:lang w:val="fr-FR"/>
        </w:rPr>
        <w:t>includes</w:t>
      </w:r>
      <w:proofErr w:type="spellEnd"/>
      <w:r w:rsidRPr="000022BF">
        <w:rPr>
          <w:rFonts w:cs="Times New Roman"/>
          <w:sz w:val="18"/>
          <w:szCs w:val="18"/>
          <w:lang w:val="fr-FR"/>
        </w:rPr>
        <w:t xml:space="preserve"> fatigue and </w:t>
      </w:r>
      <w:proofErr w:type="spellStart"/>
      <w:r w:rsidRPr="000022BF">
        <w:rPr>
          <w:rFonts w:cs="Times New Roman"/>
          <w:sz w:val="18"/>
          <w:szCs w:val="18"/>
          <w:lang w:val="fr-FR"/>
        </w:rPr>
        <w:t>asthenia</w:t>
      </w:r>
      <w:proofErr w:type="spellEnd"/>
      <w:r w:rsidRPr="000022BF">
        <w:rPr>
          <w:rFonts w:cs="Times New Roman"/>
          <w:sz w:val="18"/>
          <w:szCs w:val="18"/>
          <w:lang w:val="fr-FR"/>
        </w:rPr>
        <w:t>.</w:t>
      </w:r>
    </w:p>
    <w:p w14:paraId="46A3191A" w14:textId="77777777" w:rsidR="00FA73D7" w:rsidRPr="000022BF" w:rsidRDefault="00FA73D7" w:rsidP="00FA73D7">
      <w:pPr>
        <w:pStyle w:val="C-Footnote"/>
        <w:tabs>
          <w:tab w:val="clear" w:pos="144"/>
          <w:tab w:val="left" w:pos="180"/>
        </w:tabs>
        <w:ind w:left="180" w:hanging="180"/>
        <w:rPr>
          <w:rFonts w:cs="Times New Roman"/>
          <w:sz w:val="18"/>
          <w:szCs w:val="18"/>
        </w:rPr>
      </w:pPr>
      <w:r w:rsidRPr="000022BF">
        <w:rPr>
          <w:rFonts w:cs="Times New Roman"/>
          <w:sz w:val="18"/>
          <w:szCs w:val="18"/>
        </w:rPr>
        <w:t>c.</w:t>
      </w:r>
      <w:r w:rsidRPr="000022BF">
        <w:rPr>
          <w:rFonts w:cs="Times New Roman"/>
          <w:sz w:val="18"/>
          <w:szCs w:val="18"/>
        </w:rPr>
        <w:tab/>
        <w:t>Anemia includes anemia and hematocrit decreased.</w:t>
      </w:r>
    </w:p>
    <w:p w14:paraId="7A06D674" w14:textId="77777777" w:rsidR="00FA73D7" w:rsidRPr="000022BF" w:rsidRDefault="00FA73D7" w:rsidP="00FA73D7">
      <w:pPr>
        <w:pStyle w:val="C-Footnote"/>
        <w:tabs>
          <w:tab w:val="clear" w:pos="144"/>
          <w:tab w:val="left" w:pos="180"/>
        </w:tabs>
        <w:ind w:left="180" w:hanging="180"/>
        <w:rPr>
          <w:rFonts w:cs="Times New Roman"/>
          <w:sz w:val="18"/>
          <w:szCs w:val="18"/>
        </w:rPr>
      </w:pPr>
      <w:r w:rsidRPr="000022BF">
        <w:rPr>
          <w:rFonts w:cs="Times New Roman"/>
          <w:sz w:val="18"/>
          <w:szCs w:val="18"/>
        </w:rPr>
        <w:t>d.</w:t>
      </w:r>
      <w:r w:rsidRPr="000022BF">
        <w:rPr>
          <w:rFonts w:cs="Times New Roman"/>
          <w:sz w:val="18"/>
          <w:szCs w:val="18"/>
        </w:rPr>
        <w:tab/>
        <w:t>Neutropenia includes neutropenia and neutrophil count decreased.</w:t>
      </w:r>
    </w:p>
    <w:p w14:paraId="735E2270" w14:textId="77777777" w:rsidR="00FA73D7" w:rsidRPr="000022BF" w:rsidRDefault="00FA73D7" w:rsidP="00FA73D7">
      <w:pPr>
        <w:pStyle w:val="C-Footnote"/>
        <w:tabs>
          <w:tab w:val="clear" w:pos="144"/>
          <w:tab w:val="left" w:pos="180"/>
        </w:tabs>
        <w:ind w:left="180" w:hanging="180"/>
        <w:rPr>
          <w:rFonts w:cs="Times New Roman"/>
          <w:sz w:val="18"/>
          <w:szCs w:val="18"/>
        </w:rPr>
      </w:pPr>
      <w:r w:rsidRPr="000022BF">
        <w:rPr>
          <w:rFonts w:cs="Times New Roman"/>
          <w:sz w:val="18"/>
          <w:szCs w:val="18"/>
        </w:rPr>
        <w:t>e.</w:t>
      </w:r>
      <w:r w:rsidRPr="000022BF">
        <w:rPr>
          <w:rFonts w:cs="Times New Roman"/>
          <w:sz w:val="18"/>
          <w:szCs w:val="18"/>
        </w:rPr>
        <w:tab/>
        <w:t>Dyspnea includes dyspnea, dyspnea exertional, and dyspnea at rest.</w:t>
      </w:r>
    </w:p>
    <w:p w14:paraId="7D5C1E17" w14:textId="77777777" w:rsidR="00FA73D7" w:rsidRPr="000022BF" w:rsidRDefault="00FA73D7" w:rsidP="00FA73D7">
      <w:pPr>
        <w:pStyle w:val="C-Footnote"/>
        <w:tabs>
          <w:tab w:val="clear" w:pos="144"/>
          <w:tab w:val="left" w:pos="180"/>
        </w:tabs>
        <w:ind w:left="180" w:hanging="180"/>
        <w:rPr>
          <w:rFonts w:cs="Times New Roman"/>
          <w:sz w:val="18"/>
          <w:szCs w:val="18"/>
        </w:rPr>
      </w:pPr>
      <w:r w:rsidRPr="000022BF">
        <w:rPr>
          <w:rFonts w:cs="Times New Roman"/>
          <w:sz w:val="18"/>
          <w:szCs w:val="18"/>
        </w:rPr>
        <w:t>f.</w:t>
      </w:r>
      <w:r w:rsidRPr="000022BF">
        <w:rPr>
          <w:rFonts w:cs="Times New Roman"/>
          <w:sz w:val="18"/>
          <w:szCs w:val="18"/>
        </w:rPr>
        <w:tab/>
        <w:t>Upper respiratory tract infection includes upper respiratory tract infection, respiratory tract infection, pharyngitis, nasopharyngitis, bronchitis, bronchiolitis, respiratory syncytial virus infection, parainfluenza virus infection, rhinitis, rhinovirus infection, and adenovirus infection.</w:t>
      </w:r>
    </w:p>
    <w:p w14:paraId="51FB5EDA" w14:textId="77777777" w:rsidR="00FA73D7" w:rsidRPr="000022BF" w:rsidRDefault="00FA73D7" w:rsidP="00FA73D7">
      <w:pPr>
        <w:pStyle w:val="C-Footnote"/>
        <w:tabs>
          <w:tab w:val="clear" w:pos="144"/>
          <w:tab w:val="left" w:pos="180"/>
        </w:tabs>
        <w:ind w:left="180" w:hanging="180"/>
        <w:rPr>
          <w:rFonts w:cs="Times New Roman"/>
          <w:sz w:val="18"/>
          <w:szCs w:val="18"/>
        </w:rPr>
      </w:pPr>
      <w:r w:rsidRPr="000022BF">
        <w:rPr>
          <w:rFonts w:cs="Times New Roman"/>
          <w:sz w:val="18"/>
          <w:szCs w:val="18"/>
        </w:rPr>
        <w:t>g.</w:t>
      </w:r>
      <w:r w:rsidRPr="000022BF">
        <w:rPr>
          <w:rFonts w:cs="Times New Roman"/>
          <w:sz w:val="18"/>
          <w:szCs w:val="18"/>
        </w:rPr>
        <w:tab/>
        <w:t>Cough includes cough, productive cough, and upper-airway cough syndrome.</w:t>
      </w:r>
    </w:p>
    <w:p w14:paraId="3372ACD5" w14:textId="77777777" w:rsidR="00FA73D7" w:rsidRPr="000022BF" w:rsidRDefault="00FA73D7" w:rsidP="00FA73D7">
      <w:pPr>
        <w:pStyle w:val="C-Footnote"/>
        <w:tabs>
          <w:tab w:val="clear" w:pos="144"/>
          <w:tab w:val="left" w:pos="180"/>
        </w:tabs>
        <w:ind w:left="180" w:hanging="180"/>
        <w:rPr>
          <w:rFonts w:cs="Times New Roman"/>
          <w:sz w:val="18"/>
          <w:szCs w:val="18"/>
        </w:rPr>
      </w:pPr>
      <w:r w:rsidRPr="000022BF">
        <w:rPr>
          <w:rFonts w:cs="Times New Roman"/>
          <w:sz w:val="18"/>
          <w:szCs w:val="18"/>
        </w:rPr>
        <w:t>h.</w:t>
      </w:r>
      <w:r w:rsidRPr="000022BF">
        <w:rPr>
          <w:rFonts w:cs="Times New Roman"/>
          <w:sz w:val="18"/>
          <w:szCs w:val="18"/>
        </w:rPr>
        <w:tab/>
        <w:t xml:space="preserve">Mental status changes </w:t>
      </w:r>
      <w:proofErr w:type="gramStart"/>
      <w:r w:rsidRPr="000022BF">
        <w:rPr>
          <w:rFonts w:cs="Times New Roman"/>
          <w:sz w:val="18"/>
          <w:szCs w:val="18"/>
        </w:rPr>
        <w:t>includes</w:t>
      </w:r>
      <w:proofErr w:type="gramEnd"/>
      <w:r w:rsidRPr="000022BF">
        <w:rPr>
          <w:rFonts w:cs="Times New Roman"/>
          <w:sz w:val="18"/>
          <w:szCs w:val="18"/>
        </w:rPr>
        <w:t xml:space="preserve"> mental status changes, </w:t>
      </w:r>
      <w:proofErr w:type="spellStart"/>
      <w:r w:rsidRPr="000022BF">
        <w:rPr>
          <w:rFonts w:cs="Times New Roman"/>
          <w:sz w:val="18"/>
          <w:szCs w:val="18"/>
        </w:rPr>
        <w:t>confusional</w:t>
      </w:r>
      <w:proofErr w:type="spellEnd"/>
      <w:r w:rsidRPr="000022BF">
        <w:rPr>
          <w:rFonts w:cs="Times New Roman"/>
          <w:sz w:val="18"/>
          <w:szCs w:val="18"/>
        </w:rPr>
        <w:t xml:space="preserve"> state, and delirium.</w:t>
      </w:r>
    </w:p>
    <w:p w14:paraId="515D46D6" w14:textId="77777777" w:rsidR="00FA73D7" w:rsidRPr="000022BF" w:rsidRDefault="00FA73D7" w:rsidP="00FA73D7">
      <w:pPr>
        <w:pStyle w:val="C-Footnote"/>
        <w:tabs>
          <w:tab w:val="clear" w:pos="144"/>
          <w:tab w:val="left" w:pos="180"/>
        </w:tabs>
        <w:ind w:left="180" w:hanging="180"/>
        <w:rPr>
          <w:rFonts w:cs="Times New Roman"/>
          <w:sz w:val="18"/>
          <w:szCs w:val="18"/>
        </w:rPr>
      </w:pPr>
      <w:proofErr w:type="spellStart"/>
      <w:r w:rsidRPr="000022BF">
        <w:rPr>
          <w:rFonts w:cs="Times New Roman"/>
          <w:sz w:val="18"/>
          <w:szCs w:val="18"/>
        </w:rPr>
        <w:t>i</w:t>
      </w:r>
      <w:proofErr w:type="spellEnd"/>
      <w:r w:rsidRPr="000022BF">
        <w:rPr>
          <w:rFonts w:cs="Times New Roman"/>
          <w:sz w:val="18"/>
          <w:szCs w:val="18"/>
        </w:rPr>
        <w:t>.</w:t>
      </w:r>
      <w:r w:rsidRPr="000022BF">
        <w:rPr>
          <w:rFonts w:cs="Times New Roman"/>
          <w:sz w:val="18"/>
          <w:szCs w:val="18"/>
        </w:rPr>
        <w:tab/>
      </w:r>
      <w:proofErr w:type="spellStart"/>
      <w:r w:rsidRPr="000022BF">
        <w:rPr>
          <w:rFonts w:cs="Times New Roman"/>
          <w:sz w:val="18"/>
          <w:szCs w:val="18"/>
        </w:rPr>
        <w:t>Hypercreatininemia</w:t>
      </w:r>
      <w:proofErr w:type="spellEnd"/>
      <w:r w:rsidRPr="000022BF">
        <w:rPr>
          <w:rFonts w:cs="Times New Roman"/>
          <w:sz w:val="18"/>
          <w:szCs w:val="18"/>
        </w:rPr>
        <w:t xml:space="preserve"> includes </w:t>
      </w:r>
      <w:proofErr w:type="spellStart"/>
      <w:r w:rsidRPr="000022BF">
        <w:rPr>
          <w:rFonts w:cs="Times New Roman"/>
          <w:sz w:val="18"/>
          <w:szCs w:val="18"/>
        </w:rPr>
        <w:t>hypercreatininemia</w:t>
      </w:r>
      <w:proofErr w:type="spellEnd"/>
      <w:r w:rsidRPr="000022BF">
        <w:rPr>
          <w:rFonts w:cs="Times New Roman"/>
          <w:sz w:val="18"/>
          <w:szCs w:val="18"/>
        </w:rPr>
        <w:t xml:space="preserve"> and </w:t>
      </w:r>
      <w:proofErr w:type="spellStart"/>
      <w:r w:rsidRPr="000022BF">
        <w:rPr>
          <w:rFonts w:cs="Times New Roman"/>
          <w:sz w:val="18"/>
          <w:szCs w:val="18"/>
        </w:rPr>
        <w:t>hypercreatinemia</w:t>
      </w:r>
      <w:proofErr w:type="spellEnd"/>
      <w:r w:rsidRPr="000022BF">
        <w:rPr>
          <w:rFonts w:cs="Times New Roman"/>
          <w:sz w:val="18"/>
          <w:szCs w:val="18"/>
        </w:rPr>
        <w:t>.</w:t>
      </w:r>
    </w:p>
    <w:p w14:paraId="02736952" w14:textId="77777777" w:rsidR="00FA73D7" w:rsidRPr="000022BF" w:rsidRDefault="00FA73D7" w:rsidP="00FA73D7">
      <w:pPr>
        <w:pStyle w:val="C-Footnote"/>
        <w:tabs>
          <w:tab w:val="clear" w:pos="144"/>
          <w:tab w:val="left" w:pos="180"/>
        </w:tabs>
        <w:ind w:left="180" w:hanging="180"/>
        <w:rPr>
          <w:rFonts w:cs="Times New Roman"/>
          <w:sz w:val="18"/>
          <w:szCs w:val="18"/>
        </w:rPr>
      </w:pPr>
      <w:r w:rsidRPr="000022BF">
        <w:rPr>
          <w:rFonts w:cs="Times New Roman"/>
          <w:sz w:val="18"/>
          <w:szCs w:val="18"/>
        </w:rPr>
        <w:t>j.</w:t>
      </w:r>
      <w:r w:rsidRPr="000022BF">
        <w:rPr>
          <w:rFonts w:cs="Times New Roman"/>
          <w:sz w:val="18"/>
          <w:szCs w:val="18"/>
        </w:rPr>
        <w:tab/>
        <w:t xml:space="preserve">Pneumonia includes pneumonia, atypical pneumonia, lung infection, lower respiratory tract infection, pneumocystis </w:t>
      </w:r>
      <w:proofErr w:type="spellStart"/>
      <w:r w:rsidRPr="000022BF">
        <w:rPr>
          <w:rFonts w:cs="Times New Roman"/>
          <w:sz w:val="18"/>
          <w:szCs w:val="18"/>
        </w:rPr>
        <w:t>jirovecii</w:t>
      </w:r>
      <w:proofErr w:type="spellEnd"/>
      <w:r w:rsidRPr="000022BF">
        <w:rPr>
          <w:rFonts w:cs="Times New Roman"/>
          <w:sz w:val="18"/>
          <w:szCs w:val="18"/>
        </w:rPr>
        <w:t xml:space="preserve"> pneumonia, pneumonia aspiration, pneumonia </w:t>
      </w:r>
      <w:proofErr w:type="spellStart"/>
      <w:r w:rsidRPr="000022BF">
        <w:rPr>
          <w:rFonts w:cs="Times New Roman"/>
          <w:sz w:val="18"/>
          <w:szCs w:val="18"/>
        </w:rPr>
        <w:t>influenzal</w:t>
      </w:r>
      <w:proofErr w:type="spellEnd"/>
      <w:r w:rsidRPr="000022BF">
        <w:rPr>
          <w:rFonts w:cs="Times New Roman"/>
          <w:sz w:val="18"/>
          <w:szCs w:val="18"/>
        </w:rPr>
        <w:t>, and pneumonia viral.</w:t>
      </w:r>
    </w:p>
    <w:p w14:paraId="209C1FA5" w14:textId="77777777" w:rsidR="00FA73D7" w:rsidRPr="000022BF" w:rsidRDefault="00FA73D7" w:rsidP="00FA73D7">
      <w:pPr>
        <w:pStyle w:val="C-BodyText"/>
        <w:tabs>
          <w:tab w:val="left" w:pos="180"/>
        </w:tabs>
        <w:spacing w:before="0" w:after="0" w:line="240" w:lineRule="auto"/>
        <w:ind w:left="180" w:hanging="180"/>
        <w:rPr>
          <w:sz w:val="18"/>
          <w:szCs w:val="18"/>
        </w:rPr>
      </w:pPr>
      <w:r w:rsidRPr="000022BF">
        <w:rPr>
          <w:sz w:val="18"/>
          <w:szCs w:val="18"/>
        </w:rPr>
        <w:t>k.</w:t>
      </w:r>
      <w:r w:rsidRPr="000022BF">
        <w:rPr>
          <w:sz w:val="18"/>
          <w:szCs w:val="18"/>
        </w:rPr>
        <w:tab/>
        <w:t>Includes fatal event.</w:t>
      </w:r>
    </w:p>
    <w:p w14:paraId="2076C0E8" w14:textId="095C905B" w:rsidR="00FA73D7" w:rsidRDefault="00FA73D7" w:rsidP="00FA73D7">
      <w:pPr>
        <w:spacing w:before="0"/>
        <w:rPr>
          <w:rFonts w:ascii="Arial" w:eastAsia="MS Gothic" w:hAnsi="Arial" w:cs="Arial"/>
          <w:b/>
          <w:i/>
          <w:color w:val="auto"/>
          <w:kern w:val="32"/>
          <w:sz w:val="22"/>
          <w:szCs w:val="28"/>
          <w:lang w:val="en-AU"/>
        </w:rPr>
      </w:pPr>
    </w:p>
    <w:p w14:paraId="2C2719F4" w14:textId="7E666D53" w:rsidR="00E862AB" w:rsidRPr="00FA1502" w:rsidRDefault="00E862AB" w:rsidP="00414A94">
      <w:pPr>
        <w:pStyle w:val="Heading3"/>
        <w:numPr>
          <w:ilvl w:val="0"/>
          <w:numId w:val="0"/>
        </w:numPr>
        <w:rPr>
          <w:lang w:val="en-AU"/>
        </w:rPr>
      </w:pPr>
      <w:r w:rsidRPr="00FA1502">
        <w:rPr>
          <w:lang w:val="en-AU"/>
        </w:rPr>
        <w:t xml:space="preserve">Description of selected adverse </w:t>
      </w:r>
      <w:r w:rsidR="002463CF">
        <w:rPr>
          <w:lang w:val="en-AU"/>
        </w:rPr>
        <w:t>events</w:t>
      </w:r>
    </w:p>
    <w:p w14:paraId="1F217A07" w14:textId="3950380B" w:rsidR="00E862AB" w:rsidRPr="00FA1502" w:rsidRDefault="00E862AB" w:rsidP="00E862AB">
      <w:pPr>
        <w:pStyle w:val="Heading4"/>
        <w:numPr>
          <w:ilvl w:val="0"/>
          <w:numId w:val="0"/>
        </w:numPr>
        <w:ind w:left="862" w:hanging="862"/>
        <w:rPr>
          <w:lang w:val="en-AU"/>
        </w:rPr>
      </w:pPr>
      <w:r w:rsidRPr="00FA1502">
        <w:rPr>
          <w:lang w:val="en-AU"/>
        </w:rPr>
        <w:t>Infection</w:t>
      </w:r>
    </w:p>
    <w:p w14:paraId="4C2FF9FC" w14:textId="77777777" w:rsidR="007E1216" w:rsidRPr="006854A2" w:rsidRDefault="007E1216" w:rsidP="006854A2">
      <w:pPr>
        <w:rPr>
          <w:lang w:val="en-AU"/>
        </w:rPr>
      </w:pPr>
      <w:r w:rsidRPr="006854A2">
        <w:rPr>
          <w:lang w:val="en-AU"/>
        </w:rPr>
        <w:t>In the BOSTON trial of patients with multiple myeloma, 69% of patients in the XPOVIO 100 mg once weekly combined with bortezomib and dexamethasone (</w:t>
      </w:r>
      <w:proofErr w:type="spellStart"/>
      <w:r w:rsidRPr="006854A2">
        <w:rPr>
          <w:lang w:val="en-AU"/>
        </w:rPr>
        <w:t>SVd</w:t>
      </w:r>
      <w:proofErr w:type="spellEnd"/>
      <w:r w:rsidRPr="006854A2">
        <w:rPr>
          <w:lang w:val="en-AU"/>
        </w:rPr>
        <w:t xml:space="preserve">, n=195) arm and 59% of </w:t>
      </w:r>
      <w:r w:rsidRPr="00BD49EA">
        <w:rPr>
          <w:lang w:val="en-AU"/>
        </w:rPr>
        <w:t>patients in bortezomib and dexamethasone arm (</w:t>
      </w:r>
      <w:proofErr w:type="spellStart"/>
      <w:r w:rsidRPr="00BD49EA">
        <w:rPr>
          <w:lang w:val="en-AU"/>
        </w:rPr>
        <w:t>Vd</w:t>
      </w:r>
      <w:proofErr w:type="spellEnd"/>
      <w:r w:rsidRPr="00BD49EA">
        <w:rPr>
          <w:lang w:val="en-AU"/>
        </w:rPr>
        <w:t xml:space="preserve">, n=204) experience any grade of infection. Grade ≥3 infections were reported in 32% and 18% of the </w:t>
      </w:r>
      <w:proofErr w:type="spellStart"/>
      <w:r w:rsidRPr="00BD49EA">
        <w:rPr>
          <w:lang w:val="en-AU"/>
        </w:rPr>
        <w:t>SVd</w:t>
      </w:r>
      <w:proofErr w:type="spellEnd"/>
      <w:r w:rsidRPr="00BD49EA">
        <w:rPr>
          <w:lang w:val="en-AU"/>
        </w:rPr>
        <w:t xml:space="preserve"> and </w:t>
      </w:r>
      <w:proofErr w:type="spellStart"/>
      <w:r w:rsidRPr="00BD49EA">
        <w:rPr>
          <w:lang w:val="en-AU"/>
        </w:rPr>
        <w:t>Vd</w:t>
      </w:r>
      <w:proofErr w:type="spellEnd"/>
      <w:r w:rsidRPr="00BD49EA">
        <w:rPr>
          <w:lang w:val="en-AU"/>
        </w:rPr>
        <w:t xml:space="preserve"> treated patients, respectively.</w:t>
      </w:r>
      <w:r w:rsidRPr="006854A2">
        <w:rPr>
          <w:lang w:val="en-AU"/>
        </w:rPr>
        <w:t xml:space="preserve"> Fatal infections were reported in 3.1% and 1.5% of </w:t>
      </w:r>
      <w:proofErr w:type="spellStart"/>
      <w:r w:rsidRPr="006854A2">
        <w:rPr>
          <w:lang w:val="en-AU"/>
        </w:rPr>
        <w:t>SVd</w:t>
      </w:r>
      <w:proofErr w:type="spellEnd"/>
      <w:r w:rsidRPr="006854A2">
        <w:rPr>
          <w:lang w:val="en-AU"/>
        </w:rPr>
        <w:t xml:space="preserve">- and </w:t>
      </w:r>
      <w:proofErr w:type="spellStart"/>
      <w:r w:rsidRPr="006854A2">
        <w:rPr>
          <w:lang w:val="en-AU"/>
        </w:rPr>
        <w:t>Vd</w:t>
      </w:r>
      <w:proofErr w:type="spellEnd"/>
      <w:r w:rsidRPr="006854A2">
        <w:rPr>
          <w:lang w:val="en-AU"/>
        </w:rPr>
        <w:t xml:space="preserve">- treated patients, respectively. The most common reported Grade ≥3 infection was pneumonia (14% </w:t>
      </w:r>
      <w:proofErr w:type="spellStart"/>
      <w:r w:rsidRPr="006854A2">
        <w:rPr>
          <w:lang w:val="en-AU"/>
        </w:rPr>
        <w:t>SVd</w:t>
      </w:r>
      <w:proofErr w:type="spellEnd"/>
      <w:r w:rsidRPr="006854A2">
        <w:rPr>
          <w:lang w:val="en-AU"/>
        </w:rPr>
        <w:t xml:space="preserve"> and 12% </w:t>
      </w:r>
      <w:proofErr w:type="spellStart"/>
      <w:r w:rsidRPr="006854A2">
        <w:rPr>
          <w:lang w:val="en-AU"/>
        </w:rPr>
        <w:t>Vd</w:t>
      </w:r>
      <w:proofErr w:type="spellEnd"/>
      <w:r w:rsidRPr="006854A2">
        <w:rPr>
          <w:lang w:val="en-AU"/>
        </w:rPr>
        <w:t xml:space="preserve">), upper respiratory tract infection (3.6% </w:t>
      </w:r>
      <w:proofErr w:type="spellStart"/>
      <w:r w:rsidRPr="006854A2">
        <w:rPr>
          <w:lang w:val="en-AU"/>
        </w:rPr>
        <w:t>SVd</w:t>
      </w:r>
      <w:proofErr w:type="spellEnd"/>
      <w:r w:rsidRPr="006854A2">
        <w:rPr>
          <w:lang w:val="en-AU"/>
        </w:rPr>
        <w:t xml:space="preserve"> and 1.5% </w:t>
      </w:r>
      <w:proofErr w:type="spellStart"/>
      <w:r w:rsidRPr="006854A2">
        <w:rPr>
          <w:lang w:val="en-AU"/>
        </w:rPr>
        <w:t>Vd</w:t>
      </w:r>
      <w:proofErr w:type="spellEnd"/>
      <w:r w:rsidRPr="006854A2">
        <w:rPr>
          <w:lang w:val="en-AU"/>
        </w:rPr>
        <w:t xml:space="preserve">) and sepsis (4.1% </w:t>
      </w:r>
      <w:proofErr w:type="spellStart"/>
      <w:r w:rsidRPr="006854A2">
        <w:rPr>
          <w:lang w:val="en-AU"/>
        </w:rPr>
        <w:t>SVd</w:t>
      </w:r>
      <w:proofErr w:type="spellEnd"/>
      <w:r w:rsidRPr="006854A2">
        <w:rPr>
          <w:lang w:val="en-AU"/>
        </w:rPr>
        <w:t xml:space="preserve"> and &lt;1% </w:t>
      </w:r>
      <w:proofErr w:type="spellStart"/>
      <w:r w:rsidRPr="006854A2">
        <w:rPr>
          <w:lang w:val="en-AU"/>
        </w:rPr>
        <w:t>Vd</w:t>
      </w:r>
      <w:proofErr w:type="spellEnd"/>
      <w:r w:rsidRPr="006854A2">
        <w:rPr>
          <w:lang w:val="en-AU"/>
        </w:rPr>
        <w:t xml:space="preserve">). </w:t>
      </w:r>
    </w:p>
    <w:p w14:paraId="5582D117" w14:textId="6A55745F" w:rsidR="00E862AB" w:rsidRPr="00FA1502" w:rsidRDefault="00D14FE9" w:rsidP="00E862AB">
      <w:pPr>
        <w:rPr>
          <w:lang w:val="en-AU"/>
        </w:rPr>
      </w:pPr>
      <w:r>
        <w:rPr>
          <w:lang w:val="en-AU"/>
        </w:rPr>
        <w:t>In</w:t>
      </w:r>
      <w:r w:rsidR="00F50DEC">
        <w:rPr>
          <w:lang w:val="en-AU"/>
        </w:rPr>
        <w:t xml:space="preserve"> the </w:t>
      </w:r>
      <w:r w:rsidR="00B31C96">
        <w:rPr>
          <w:lang w:val="en-AU"/>
        </w:rPr>
        <w:t>STORM</w:t>
      </w:r>
      <w:r w:rsidR="000712B2">
        <w:rPr>
          <w:lang w:val="en-AU"/>
        </w:rPr>
        <w:t xml:space="preserve"> </w:t>
      </w:r>
      <w:r>
        <w:rPr>
          <w:lang w:val="en-AU"/>
        </w:rPr>
        <w:t>t</w:t>
      </w:r>
      <w:r w:rsidR="00F50DEC">
        <w:rPr>
          <w:lang w:val="en-AU"/>
        </w:rPr>
        <w:t xml:space="preserve">rial, </w:t>
      </w:r>
      <w:r w:rsidR="00AC2C40">
        <w:rPr>
          <w:lang w:val="en-AU"/>
        </w:rPr>
        <w:t>i</w:t>
      </w:r>
      <w:r w:rsidR="00E862AB" w:rsidRPr="001468A9">
        <w:rPr>
          <w:lang w:val="en-AU"/>
        </w:rPr>
        <w:t xml:space="preserve">nfection was the most common non-haematological </w:t>
      </w:r>
      <w:proofErr w:type="gramStart"/>
      <w:r w:rsidR="00E862AB" w:rsidRPr="001468A9">
        <w:rPr>
          <w:lang w:val="en-AU"/>
        </w:rPr>
        <w:t>toxicity;</w:t>
      </w:r>
      <w:proofErr w:type="gramEnd"/>
      <w:r w:rsidR="00E862AB" w:rsidRPr="001468A9">
        <w:rPr>
          <w:lang w:val="en-AU"/>
        </w:rPr>
        <w:t xml:space="preserve"> occurring in 53% of patients. Of these, </w:t>
      </w:r>
      <w:r w:rsidR="00C15283">
        <w:rPr>
          <w:lang w:val="en-AU"/>
        </w:rPr>
        <w:t>22</w:t>
      </w:r>
      <w:r w:rsidR="00E862AB" w:rsidRPr="001468A9">
        <w:rPr>
          <w:lang w:val="en-AU"/>
        </w:rPr>
        <w:t xml:space="preserve">% were Grade 3 or 4. Upper respiratory tract infection and pneumonia were the </w:t>
      </w:r>
      <w:proofErr w:type="gramStart"/>
      <w:r w:rsidR="00E862AB" w:rsidRPr="001468A9">
        <w:rPr>
          <w:lang w:val="en-AU"/>
        </w:rPr>
        <w:t>most commonly reported</w:t>
      </w:r>
      <w:proofErr w:type="gramEnd"/>
      <w:r w:rsidR="00E862AB" w:rsidRPr="001468A9">
        <w:rPr>
          <w:lang w:val="en-AU"/>
        </w:rPr>
        <w:t xml:space="preserve"> infections (in 15% and 13% of patients, respectively) with 25% of reported infections being serious and fatal infections occurring in 3% of treated patients. Infection led to dose discontinuation in 7% of patients, treatment interruption in 19% patients, and a dose reduction in 1% of patients.</w:t>
      </w:r>
    </w:p>
    <w:p w14:paraId="4871993B" w14:textId="1CFFE9AA" w:rsidR="00E862AB" w:rsidRDefault="00E862AB" w:rsidP="00E862AB">
      <w:pPr>
        <w:pStyle w:val="Heading4"/>
        <w:numPr>
          <w:ilvl w:val="0"/>
          <w:numId w:val="0"/>
        </w:numPr>
        <w:ind w:left="862" w:hanging="862"/>
        <w:rPr>
          <w:lang w:val="en-AU"/>
        </w:rPr>
      </w:pPr>
      <w:r w:rsidRPr="00FA1502">
        <w:rPr>
          <w:lang w:val="en-AU"/>
        </w:rPr>
        <w:t>Thrombocytopenia</w:t>
      </w:r>
    </w:p>
    <w:p w14:paraId="304FFC61" w14:textId="5C8C1BD5" w:rsidR="00C37AF4" w:rsidRPr="006854A2" w:rsidRDefault="00C37AF4" w:rsidP="006854A2">
      <w:pPr>
        <w:pStyle w:val="CommentText"/>
        <w:spacing w:before="120" w:after="120"/>
        <w:rPr>
          <w:rFonts w:ascii="Times New Roman" w:hAnsi="Times New Roman" w:cs="Times New Roman"/>
          <w:sz w:val="24"/>
          <w:szCs w:val="24"/>
        </w:rPr>
      </w:pPr>
      <w:r w:rsidRPr="006854A2">
        <w:rPr>
          <w:rFonts w:ascii="Times New Roman" w:hAnsi="Times New Roman" w:cs="Times New Roman"/>
          <w:sz w:val="24"/>
          <w:szCs w:val="24"/>
        </w:rPr>
        <w:t>In the BOSTON trial of patients with multiple myeloma (n=399), thrombocytopenia (all Grades) and severe thrombocytopenia (Grade 3-4) were reported in 92% and 43% of patients in the XPOVIO 100 mg once weekly combined with bortezomib and dexamethasone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n=195) arm and in 51% and 19% of patients in the bortezomib and dexamethasone arm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n=</w:t>
      </w:r>
      <w:r w:rsidR="00F01891">
        <w:rPr>
          <w:rFonts w:ascii="Times New Roman" w:hAnsi="Times New Roman" w:cs="Times New Roman"/>
          <w:sz w:val="24"/>
          <w:szCs w:val="24"/>
        </w:rPr>
        <w:t>204</w:t>
      </w:r>
      <w:r w:rsidRPr="006854A2">
        <w:rPr>
          <w:rFonts w:ascii="Times New Roman" w:hAnsi="Times New Roman" w:cs="Times New Roman"/>
          <w:sz w:val="24"/>
          <w:szCs w:val="24"/>
        </w:rPr>
        <w:t xml:space="preserve">), respectively. The median time to first onset was 22 days for any-grade thrombocytopenia in both the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arms. The median time to first onset for Grade 3 or higher thrombocytopenia was 43 and 32 days for the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arms, respectively. Bleeding/clinically significant bleeding occurred in 16%/4% and 7%/4% of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-treated patients with </w:t>
      </w:r>
      <w:r w:rsidRPr="006854A2">
        <w:rPr>
          <w:rFonts w:ascii="Times New Roman" w:hAnsi="Times New Roman" w:cs="Times New Roman"/>
          <w:sz w:val="24"/>
          <w:szCs w:val="24"/>
        </w:rPr>
        <w:lastRenderedPageBreak/>
        <w:t xml:space="preserve">thrombocytopenia, respectively. Fatal </w:t>
      </w:r>
      <w:proofErr w:type="spellStart"/>
      <w:r w:rsidRPr="006854A2">
        <w:rPr>
          <w:rFonts w:ascii="Times New Roman" w:hAnsi="Times New Roman" w:cs="Times New Roman"/>
          <w:sz w:val="24"/>
          <w:szCs w:val="24"/>
        </w:rPr>
        <w:t>hemorrhage</w:t>
      </w:r>
      <w:proofErr w:type="spellEnd"/>
      <w:r w:rsidRPr="006854A2">
        <w:rPr>
          <w:rFonts w:ascii="Times New Roman" w:hAnsi="Times New Roman" w:cs="Times New Roman"/>
          <w:sz w:val="24"/>
          <w:szCs w:val="24"/>
        </w:rPr>
        <w:t xml:space="preserve"> occurred in </w:t>
      </w:r>
      <w:r w:rsidR="004A401C">
        <w:rPr>
          <w:rFonts w:ascii="Times New Roman" w:hAnsi="Times New Roman" w:cs="Times New Roman"/>
          <w:sz w:val="24"/>
          <w:szCs w:val="24"/>
        </w:rPr>
        <w:t>1</w:t>
      </w:r>
      <w:r w:rsidRPr="006854A2">
        <w:rPr>
          <w:rFonts w:ascii="Times New Roman" w:hAnsi="Times New Roman" w:cs="Times New Roman"/>
          <w:sz w:val="24"/>
          <w:szCs w:val="24"/>
        </w:rPr>
        <w:t xml:space="preserve">% and </w:t>
      </w:r>
      <w:r w:rsidR="004A401C">
        <w:rPr>
          <w:rFonts w:ascii="Times New Roman" w:hAnsi="Times New Roman" w:cs="Times New Roman"/>
          <w:sz w:val="24"/>
          <w:szCs w:val="24"/>
        </w:rPr>
        <w:t>&lt;1</w:t>
      </w:r>
      <w:r w:rsidRPr="006854A2">
        <w:rPr>
          <w:rFonts w:ascii="Times New Roman" w:hAnsi="Times New Roman" w:cs="Times New Roman"/>
          <w:sz w:val="24"/>
          <w:szCs w:val="24"/>
        </w:rPr>
        <w:t xml:space="preserve">% of patients with thrombocytopenia in the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arm, respectively. Discontinuations due to thrombocytopenia occurred in 2% of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&lt;1% of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-treated patients.</w:t>
      </w:r>
    </w:p>
    <w:p w14:paraId="431E81AC" w14:textId="5F2AD2A4" w:rsidR="00E862AB" w:rsidRDefault="0077493B" w:rsidP="00E862AB">
      <w:pPr>
        <w:rPr>
          <w:lang w:val="en-AU"/>
        </w:rPr>
      </w:pPr>
      <w:r>
        <w:rPr>
          <w:lang w:val="en-AU"/>
        </w:rPr>
        <w:t xml:space="preserve">In the </w:t>
      </w:r>
      <w:r w:rsidR="00AC2C40">
        <w:rPr>
          <w:lang w:val="en-AU"/>
        </w:rPr>
        <w:t xml:space="preserve">STORM </w:t>
      </w:r>
      <w:r>
        <w:rPr>
          <w:lang w:val="en-AU"/>
        </w:rPr>
        <w:t xml:space="preserve">trial, </w:t>
      </w:r>
      <w:r w:rsidRPr="001468A9">
        <w:rPr>
          <w:lang w:val="en-AU"/>
        </w:rPr>
        <w:t>t</w:t>
      </w:r>
      <w:r w:rsidR="00E862AB" w:rsidRPr="001468A9">
        <w:rPr>
          <w:lang w:val="en-AU"/>
        </w:rPr>
        <w:t xml:space="preserve">hrombocytopenia occurred in 75% of patients and 65% of these </w:t>
      </w:r>
      <w:r w:rsidR="00E45EDC" w:rsidRPr="001468A9">
        <w:rPr>
          <w:lang w:val="en-AU"/>
        </w:rPr>
        <w:t>A</w:t>
      </w:r>
      <w:r w:rsidR="00E45EDC">
        <w:rPr>
          <w:lang w:val="en-AU"/>
        </w:rPr>
        <w:t>E</w:t>
      </w:r>
      <w:r w:rsidR="00E45EDC" w:rsidRPr="001468A9">
        <w:rPr>
          <w:lang w:val="en-AU"/>
        </w:rPr>
        <w:t xml:space="preserve">s </w:t>
      </w:r>
      <w:r w:rsidR="00E862AB" w:rsidRPr="001468A9">
        <w:rPr>
          <w:lang w:val="en-AU"/>
        </w:rPr>
        <w:t xml:space="preserve">were Grade 3 or 4. Thrombocytopenia was serious in 5% of patients. Of the 65% patients with Grade 3 or 4 thrombocytopenia, serious/grade 3 or higher concurrent bleeding events (concurrency defined as ±5 days) were reported </w:t>
      </w:r>
      <w:r w:rsidR="00E862AB" w:rsidRPr="008035CF">
        <w:rPr>
          <w:lang w:val="en-AU"/>
        </w:rPr>
        <w:t xml:space="preserve">in </w:t>
      </w:r>
      <w:r w:rsidR="008035CF" w:rsidRPr="008B3F91">
        <w:rPr>
          <w:lang w:val="en-AU"/>
        </w:rPr>
        <w:t>5</w:t>
      </w:r>
      <w:r w:rsidR="00E862AB" w:rsidRPr="008035CF">
        <w:rPr>
          <w:lang w:val="en-AU"/>
        </w:rPr>
        <w:t>% of patients.</w:t>
      </w:r>
      <w:r w:rsidR="00E862AB" w:rsidRPr="001468A9">
        <w:rPr>
          <w:lang w:val="en-AU"/>
        </w:rPr>
        <w:t xml:space="preserve"> Thrombocytopenia led to dose discontinuation in 3% of patients, treatment interruption in 22% of patients, and a dose reduction in 32% of patients.</w:t>
      </w:r>
      <w:r w:rsidR="00E862AB" w:rsidRPr="00FA1502">
        <w:rPr>
          <w:lang w:val="en-AU"/>
        </w:rPr>
        <w:t xml:space="preserve"> </w:t>
      </w:r>
    </w:p>
    <w:p w14:paraId="3E928BCE" w14:textId="513C7060" w:rsidR="00E862AB" w:rsidRPr="00FA1502" w:rsidRDefault="00E862AB" w:rsidP="00E862AB">
      <w:pPr>
        <w:pStyle w:val="Heading4"/>
        <w:numPr>
          <w:ilvl w:val="0"/>
          <w:numId w:val="0"/>
        </w:numPr>
        <w:ind w:left="862" w:hanging="862"/>
        <w:rPr>
          <w:lang w:val="en-AU"/>
        </w:rPr>
      </w:pPr>
      <w:r w:rsidRPr="00FA1502">
        <w:rPr>
          <w:lang w:val="en-AU"/>
        </w:rPr>
        <w:t>Neutropenia</w:t>
      </w:r>
    </w:p>
    <w:p w14:paraId="0805DEB9" w14:textId="77777777" w:rsidR="00C37AF4" w:rsidRPr="006854A2" w:rsidRDefault="00C37AF4" w:rsidP="006854A2">
      <w:pPr>
        <w:pStyle w:val="CommentText"/>
        <w:spacing w:before="120" w:after="120"/>
        <w:rPr>
          <w:rFonts w:ascii="Times New Roman" w:hAnsi="Times New Roman" w:cs="Times New Roman"/>
          <w:sz w:val="24"/>
          <w:szCs w:val="24"/>
        </w:rPr>
      </w:pPr>
      <w:r w:rsidRPr="006854A2">
        <w:rPr>
          <w:rFonts w:ascii="Times New Roman" w:hAnsi="Times New Roman" w:cs="Times New Roman"/>
          <w:sz w:val="24"/>
          <w:szCs w:val="24"/>
        </w:rPr>
        <w:t>In the BOSTON trial of patients with multiple myeloma (n=399), neutropenia (all Grades) and severe neutropenia (Grade 3-4) were reported in 48% and 12% of patients in the XPOVIO 100 mg once weekly combined with bortezomib and dexamethasone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n=192) arm, 19% and 7% of patients in the bortezomib and dexamethasone arm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n=196). The median time to first onset was 23 and 36 days for any-grade neutropenia in the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arms, respectively. The median time to first onset for Grade 3 or higher neutropenia was 40 and 28 days for the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arms, respectively. Febrile neutropenia occurred in &lt;1% of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-treated patients. Discontinuations due to neutropenia did not occur in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nor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-treated patients.</w:t>
      </w:r>
    </w:p>
    <w:p w14:paraId="16AFF2B6" w14:textId="244C37EA" w:rsidR="00E862AB" w:rsidRDefault="007E09E3" w:rsidP="00E862AB">
      <w:pPr>
        <w:rPr>
          <w:lang w:val="en-AU"/>
        </w:rPr>
      </w:pPr>
      <w:r>
        <w:rPr>
          <w:lang w:val="en-AU"/>
        </w:rPr>
        <w:t xml:space="preserve">In the </w:t>
      </w:r>
      <w:r w:rsidR="00AC2C40">
        <w:rPr>
          <w:lang w:val="en-AU"/>
        </w:rPr>
        <w:t xml:space="preserve">STORM </w:t>
      </w:r>
      <w:r>
        <w:rPr>
          <w:lang w:val="en-AU"/>
        </w:rPr>
        <w:t xml:space="preserve">trial, </w:t>
      </w:r>
      <w:r w:rsidRPr="001468A9">
        <w:rPr>
          <w:lang w:val="en-AU"/>
        </w:rPr>
        <w:t>n</w:t>
      </w:r>
      <w:r w:rsidR="00E862AB" w:rsidRPr="001468A9">
        <w:rPr>
          <w:lang w:val="en-AU"/>
        </w:rPr>
        <w:t xml:space="preserve">eutropenia occurred in 36% of patients and 25% of these were Grade 3 or 4. Neutropenia was serious in less than 1% of patients. None of the patients had a dose discontinuation due to neutropenia, and neutropenia led to treatment interruption in 2% of patients, and a dose reduction in 6% of patients. Febrile neutropenia occurred in 3% of patients; all were Grade 3 or 4. Febrile neutropenia was reported to be serious in 2% of patients and led to a dose discontinuation, treatment interruption, or a dose reduction in less than 1% of patients (each). Of the 53 patients with grade 3 or higher neutropenia, serious/grade 3 or higher concurrent infections (concurrency defined as ±5 days) were reported in 11 patients. </w:t>
      </w:r>
      <w:proofErr w:type="gramStart"/>
      <w:r w:rsidR="00E862AB" w:rsidRPr="001468A9">
        <w:rPr>
          <w:lang w:val="en-AU"/>
        </w:rPr>
        <w:t>Most commonly reported</w:t>
      </w:r>
      <w:proofErr w:type="gramEnd"/>
      <w:r w:rsidR="00E862AB" w:rsidRPr="001468A9">
        <w:rPr>
          <w:lang w:val="en-AU"/>
        </w:rPr>
        <w:t xml:space="preserve"> infections included pneumonia (4), sepsis (3), bacteraemia (2) and lung infection (2).</w:t>
      </w:r>
      <w:r w:rsidR="00E862AB" w:rsidRPr="00FA1502">
        <w:rPr>
          <w:lang w:val="en-AU"/>
        </w:rPr>
        <w:t xml:space="preserve"> </w:t>
      </w:r>
    </w:p>
    <w:p w14:paraId="2E2FAB29" w14:textId="256549A1" w:rsidR="002216CA" w:rsidRPr="00FA1502" w:rsidRDefault="002216CA" w:rsidP="002216CA">
      <w:pPr>
        <w:pStyle w:val="Heading4"/>
        <w:numPr>
          <w:ilvl w:val="0"/>
          <w:numId w:val="0"/>
        </w:numPr>
        <w:ind w:left="862" w:hanging="862"/>
        <w:rPr>
          <w:lang w:val="en-AU"/>
        </w:rPr>
      </w:pPr>
      <w:r w:rsidRPr="00FA1502">
        <w:rPr>
          <w:lang w:val="en-AU"/>
        </w:rPr>
        <w:t>Anaemia</w:t>
      </w:r>
    </w:p>
    <w:p w14:paraId="02393F37" w14:textId="7E4FDA31" w:rsidR="00D36DE5" w:rsidRDefault="00D36DE5" w:rsidP="002216CA">
      <w:pPr>
        <w:rPr>
          <w:lang w:val="en-AU"/>
        </w:rPr>
      </w:pPr>
      <w:r>
        <w:rPr>
          <w:lang w:val="en-AU"/>
        </w:rPr>
        <w:t>In the BOSTON trial, an</w:t>
      </w:r>
      <w:r w:rsidR="002C3E4A">
        <w:rPr>
          <w:lang w:val="en-AU"/>
        </w:rPr>
        <w:t>a</w:t>
      </w:r>
      <w:r>
        <w:rPr>
          <w:lang w:val="en-AU"/>
        </w:rPr>
        <w:t xml:space="preserve">emia was reported in </w:t>
      </w:r>
      <w:r w:rsidR="002C3E4A">
        <w:rPr>
          <w:lang w:val="en-AU"/>
        </w:rPr>
        <w:t>t</w:t>
      </w:r>
      <w:r w:rsidRPr="002C3E4A">
        <w:rPr>
          <w:lang w:val="en-AU"/>
        </w:rPr>
        <w:t>he most frequent (≥</w:t>
      </w:r>
      <w:r w:rsidR="002C3E4A">
        <w:rPr>
          <w:lang w:val="en-AU"/>
        </w:rPr>
        <w:t>1</w:t>
      </w:r>
      <w:r w:rsidRPr="002C3E4A">
        <w:rPr>
          <w:lang w:val="en-AU"/>
        </w:rPr>
        <w:t xml:space="preserve">0%) </w:t>
      </w:r>
      <w:r w:rsidR="007B6080">
        <w:rPr>
          <w:lang w:val="en-AU"/>
        </w:rPr>
        <w:t>AEs</w:t>
      </w:r>
      <w:r w:rsidRPr="002C3E4A">
        <w:rPr>
          <w:lang w:val="en-AU"/>
        </w:rPr>
        <w:t xml:space="preserve"> with a 5% greater incidence in the </w:t>
      </w:r>
      <w:proofErr w:type="spellStart"/>
      <w:r w:rsidRPr="002C3E4A">
        <w:rPr>
          <w:lang w:val="en-AU"/>
        </w:rPr>
        <w:t>SVd</w:t>
      </w:r>
      <w:proofErr w:type="spellEnd"/>
      <w:r w:rsidRPr="002C3E4A">
        <w:rPr>
          <w:lang w:val="en-AU"/>
        </w:rPr>
        <w:t xml:space="preserve"> arm compared to the </w:t>
      </w:r>
      <w:proofErr w:type="spellStart"/>
      <w:r w:rsidRPr="002C3E4A">
        <w:rPr>
          <w:lang w:val="en-AU"/>
        </w:rPr>
        <w:t>Vd</w:t>
      </w:r>
      <w:proofErr w:type="spellEnd"/>
      <w:r w:rsidRPr="002C3E4A">
        <w:rPr>
          <w:lang w:val="en-AU"/>
        </w:rPr>
        <w:t xml:space="preserve"> arm</w:t>
      </w:r>
      <w:r w:rsidR="002C3E4A" w:rsidRPr="002C3E4A">
        <w:rPr>
          <w:lang w:val="en-AU"/>
        </w:rPr>
        <w:t>.</w:t>
      </w:r>
      <w:r w:rsidR="002C3E4A">
        <w:rPr>
          <w:lang w:val="en-AU"/>
        </w:rPr>
        <w:t xml:space="preserve"> Thirty-six percent of patients were reported as having Any Grade, with </w:t>
      </w:r>
      <w:r w:rsidR="00DF5632">
        <w:rPr>
          <w:color w:val="auto"/>
          <w:lang w:val="en-AU"/>
        </w:rPr>
        <w:t>16</w:t>
      </w:r>
      <w:r w:rsidR="002C3E4A" w:rsidRPr="00DF5632">
        <w:rPr>
          <w:color w:val="auto"/>
          <w:lang w:val="en-AU"/>
        </w:rPr>
        <w:t xml:space="preserve">% </w:t>
      </w:r>
      <w:r w:rsidR="002C3E4A">
        <w:rPr>
          <w:lang w:val="en-AU"/>
        </w:rPr>
        <w:t xml:space="preserve">as Grade 3. </w:t>
      </w:r>
    </w:p>
    <w:p w14:paraId="2C315288" w14:textId="77777777" w:rsidR="002842BC" w:rsidRDefault="002842BC" w:rsidP="002842BC">
      <w:pPr>
        <w:rPr>
          <w:lang w:val="en-AU"/>
        </w:rPr>
      </w:pPr>
      <w:r>
        <w:rPr>
          <w:lang w:val="en-AU"/>
        </w:rPr>
        <w:t>In the STORM trial, a</w:t>
      </w:r>
      <w:r w:rsidRPr="001468A9">
        <w:rPr>
          <w:lang w:val="en-AU"/>
        </w:rPr>
        <w:t>naemia occurred in 61% of patients and 44% of these were Grade 3 or 4. Anaemia was serious in 3% of patients</w:t>
      </w:r>
      <w:r>
        <w:rPr>
          <w:lang w:val="en-AU"/>
        </w:rPr>
        <w:t xml:space="preserve"> and led to</w:t>
      </w:r>
      <w:r w:rsidRPr="001468A9">
        <w:rPr>
          <w:lang w:val="en-AU"/>
        </w:rPr>
        <w:t xml:space="preserve"> dose discontinuation in &lt;1% of patients, treatment interruption in 4% of patients, and a dose reduction in 1% of patients.</w:t>
      </w:r>
    </w:p>
    <w:p w14:paraId="4D371539" w14:textId="7EBFA953" w:rsidR="002216CA" w:rsidRPr="00FA1502" w:rsidRDefault="002216CA" w:rsidP="002216CA">
      <w:pPr>
        <w:pStyle w:val="Heading4"/>
        <w:numPr>
          <w:ilvl w:val="0"/>
          <w:numId w:val="0"/>
        </w:numPr>
        <w:ind w:left="862" w:hanging="862"/>
        <w:rPr>
          <w:lang w:val="en-AU"/>
        </w:rPr>
      </w:pPr>
      <w:r w:rsidRPr="00FA1502">
        <w:rPr>
          <w:lang w:val="en-AU"/>
        </w:rPr>
        <w:t xml:space="preserve">Gastrointestinal </w:t>
      </w:r>
      <w:r w:rsidR="0048437D">
        <w:rPr>
          <w:lang w:val="en-AU"/>
        </w:rPr>
        <w:t>toxicity</w:t>
      </w:r>
    </w:p>
    <w:p w14:paraId="111097E6" w14:textId="45A2FC7A" w:rsidR="00492E34" w:rsidRPr="00FA1502" w:rsidRDefault="00492E34" w:rsidP="00492E34">
      <w:pPr>
        <w:rPr>
          <w:lang w:val="en-AU"/>
        </w:rPr>
      </w:pPr>
      <w:r w:rsidRPr="001468A9">
        <w:rPr>
          <w:lang w:val="en-AU"/>
        </w:rPr>
        <w:t xml:space="preserve">Prophylaxis with 5HT3 antagonists </w:t>
      </w:r>
      <w:r w:rsidR="004E27F9">
        <w:rPr>
          <w:lang w:val="en-AU"/>
        </w:rPr>
        <w:t>and other</w:t>
      </w:r>
      <w:r w:rsidR="004E27F9" w:rsidRPr="001468A9">
        <w:rPr>
          <w:lang w:val="en-AU"/>
        </w:rPr>
        <w:t xml:space="preserve"> </w:t>
      </w:r>
      <w:r w:rsidRPr="001468A9">
        <w:rPr>
          <w:lang w:val="en-AU"/>
        </w:rPr>
        <w:t>similar antiemetics should be administered</w:t>
      </w:r>
      <w:r w:rsidR="0048437D">
        <w:rPr>
          <w:lang w:val="en-AU"/>
        </w:rPr>
        <w:t xml:space="preserve"> prior to and during XPOVIO treatment</w:t>
      </w:r>
      <w:r w:rsidRPr="001468A9">
        <w:rPr>
          <w:lang w:val="en-AU"/>
        </w:rPr>
        <w:t xml:space="preserve">. </w:t>
      </w:r>
      <w:r w:rsidR="0048437D" w:rsidRPr="0048437D">
        <w:rPr>
          <w:lang w:val="en-AU"/>
        </w:rPr>
        <w:t>Administer intravenous fluids and replace electrolytes to prevent dehydration in patients at risk. Use additional anti-nausea medications as clinically indicated</w:t>
      </w:r>
      <w:r w:rsidR="0048437D">
        <w:rPr>
          <w:lang w:val="en-AU"/>
        </w:rPr>
        <w:t xml:space="preserve">. </w:t>
      </w:r>
      <w:r w:rsidR="0048437D" w:rsidRPr="007F2AAC">
        <w:rPr>
          <w:rFonts w:asciiTheme="minorHAnsi" w:eastAsia="Arial" w:hAnsiTheme="minorHAnsi" w:cstheme="minorHAnsi"/>
          <w:bCs/>
        </w:rPr>
        <w:t xml:space="preserve"> </w:t>
      </w:r>
      <w:r w:rsidRPr="001468A9">
        <w:rPr>
          <w:lang w:val="en-AU"/>
        </w:rPr>
        <w:t xml:space="preserve">Nausea/vomiting can be managed by dose interruption, reduction and/or discontinuation. Diarrhoea can be managed with dose modification or administration of anti-diarrhoea medicinal products. For dose modification guidelines refer to </w:t>
      </w:r>
      <w:r w:rsidRPr="001468A9">
        <w:rPr>
          <w:lang w:val="en-AU"/>
        </w:rPr>
        <w:fldChar w:fldCharType="begin"/>
      </w:r>
      <w:r w:rsidRPr="001468A9">
        <w:rPr>
          <w:lang w:val="en-AU"/>
        </w:rPr>
        <w:instrText xml:space="preserve"> REF _Ref45711620 \h </w:instrText>
      </w:r>
      <w:r w:rsidR="007E09E3" w:rsidRPr="001468A9">
        <w:rPr>
          <w:lang w:val="en-AU"/>
        </w:rPr>
        <w:instrText xml:space="preserve"> \* MERGEFORMAT </w:instrText>
      </w:r>
      <w:r w:rsidRPr="001468A9">
        <w:rPr>
          <w:lang w:val="en-AU"/>
        </w:rPr>
      </w:r>
      <w:r w:rsidRPr="001468A9">
        <w:rPr>
          <w:lang w:val="en-AU"/>
        </w:rPr>
        <w:fldChar w:fldCharType="separate"/>
      </w:r>
      <w:r w:rsidR="00F53F5F" w:rsidRPr="00FA1502">
        <w:rPr>
          <w:lang w:val="en-AU"/>
        </w:rPr>
        <w:t>Table</w:t>
      </w:r>
      <w:r w:rsidR="00F53F5F">
        <w:rPr>
          <w:lang w:val="en-AU"/>
        </w:rPr>
        <w:t> 1</w:t>
      </w:r>
      <w:r w:rsidRPr="001468A9">
        <w:rPr>
          <w:lang w:val="en-AU"/>
        </w:rPr>
        <w:fldChar w:fldCharType="end"/>
      </w:r>
      <w:r w:rsidRPr="001468A9">
        <w:rPr>
          <w:lang w:val="en-AU"/>
        </w:rPr>
        <w:t xml:space="preserve"> and </w:t>
      </w:r>
      <w:r w:rsidRPr="001468A9">
        <w:rPr>
          <w:lang w:val="en-AU"/>
        </w:rPr>
        <w:fldChar w:fldCharType="begin"/>
      </w:r>
      <w:r w:rsidRPr="001468A9">
        <w:rPr>
          <w:lang w:val="en-AU"/>
        </w:rPr>
        <w:instrText xml:space="preserve"> REF _Ref46993569 \h </w:instrText>
      </w:r>
      <w:r w:rsidR="007E09E3" w:rsidRPr="001468A9">
        <w:rPr>
          <w:lang w:val="en-AU"/>
        </w:rPr>
        <w:instrText xml:space="preserve"> \* MERGEFORMAT </w:instrText>
      </w:r>
      <w:r w:rsidRPr="001468A9">
        <w:rPr>
          <w:lang w:val="en-AU"/>
        </w:rPr>
      </w:r>
      <w:r w:rsidRPr="001468A9">
        <w:rPr>
          <w:lang w:val="en-AU"/>
        </w:rPr>
        <w:fldChar w:fldCharType="separate"/>
      </w:r>
      <w:r w:rsidR="00F53F5F" w:rsidRPr="00FA1502">
        <w:rPr>
          <w:lang w:val="en-AU"/>
        </w:rPr>
        <w:t>Table</w:t>
      </w:r>
      <w:r w:rsidR="00F53F5F">
        <w:rPr>
          <w:lang w:val="en-AU"/>
        </w:rPr>
        <w:t> 3</w:t>
      </w:r>
      <w:r w:rsidRPr="001468A9">
        <w:rPr>
          <w:lang w:val="en-AU"/>
        </w:rPr>
        <w:fldChar w:fldCharType="end"/>
      </w:r>
      <w:r w:rsidRPr="001468A9">
        <w:rPr>
          <w:lang w:val="en-AU"/>
        </w:rPr>
        <w:t>.</w:t>
      </w:r>
    </w:p>
    <w:p w14:paraId="0E6682B7" w14:textId="2172EA18" w:rsidR="00F50DEC" w:rsidRPr="001468A9" w:rsidRDefault="00F50DEC" w:rsidP="00F50DEC">
      <w:pPr>
        <w:rPr>
          <w:lang w:val="en-AU"/>
        </w:rPr>
      </w:pPr>
      <w:r w:rsidRPr="001468A9">
        <w:rPr>
          <w:lang w:val="en-AU"/>
        </w:rPr>
        <w:lastRenderedPageBreak/>
        <w:t xml:space="preserve">In the BOSTON trial, nausea (all Grades) and </w:t>
      </w:r>
      <w:r w:rsidR="005C5BDE">
        <w:rPr>
          <w:lang w:val="en-AU"/>
        </w:rPr>
        <w:t>≥</w:t>
      </w:r>
      <w:r w:rsidRPr="001468A9">
        <w:rPr>
          <w:lang w:val="en-AU"/>
        </w:rPr>
        <w:t xml:space="preserve">Grade 3 nausea were reported in 50% and 8% of patients in the </w:t>
      </w:r>
      <w:proofErr w:type="spellStart"/>
      <w:r w:rsidRPr="001468A9">
        <w:rPr>
          <w:lang w:val="en-AU"/>
        </w:rPr>
        <w:t>SVd</w:t>
      </w:r>
      <w:proofErr w:type="spellEnd"/>
      <w:r w:rsidRPr="001468A9">
        <w:rPr>
          <w:lang w:val="en-AU"/>
        </w:rPr>
        <w:t xml:space="preserve"> arm and in 10% and 0% of patients in the </w:t>
      </w:r>
      <w:proofErr w:type="spellStart"/>
      <w:r w:rsidRPr="001468A9">
        <w:rPr>
          <w:lang w:val="en-AU"/>
        </w:rPr>
        <w:t>Vd</w:t>
      </w:r>
      <w:proofErr w:type="spellEnd"/>
      <w:r w:rsidRPr="001468A9">
        <w:rPr>
          <w:lang w:val="en-AU"/>
        </w:rPr>
        <w:t xml:space="preserve"> arm. The median time to onset of the first event was 6 and 73 days in the </w:t>
      </w:r>
      <w:proofErr w:type="spellStart"/>
      <w:r w:rsidRPr="001468A9">
        <w:rPr>
          <w:lang w:val="en-AU"/>
        </w:rPr>
        <w:t>SVd</w:t>
      </w:r>
      <w:proofErr w:type="spellEnd"/>
      <w:r w:rsidRPr="001468A9">
        <w:rPr>
          <w:lang w:val="en-AU"/>
        </w:rPr>
        <w:t xml:space="preserve">- and </w:t>
      </w:r>
      <w:proofErr w:type="spellStart"/>
      <w:r w:rsidRPr="001468A9">
        <w:rPr>
          <w:lang w:val="en-AU"/>
        </w:rPr>
        <w:t>Vd</w:t>
      </w:r>
      <w:proofErr w:type="spellEnd"/>
      <w:r w:rsidRPr="001468A9">
        <w:rPr>
          <w:lang w:val="en-AU"/>
        </w:rPr>
        <w:t xml:space="preserve">-treated patients, respectively. Discontinuations due to nausea occurred in 3% of </w:t>
      </w:r>
      <w:proofErr w:type="spellStart"/>
      <w:r w:rsidRPr="001468A9">
        <w:rPr>
          <w:lang w:val="en-AU"/>
        </w:rPr>
        <w:t>SVd</w:t>
      </w:r>
      <w:proofErr w:type="spellEnd"/>
      <w:r w:rsidRPr="001468A9">
        <w:rPr>
          <w:lang w:val="en-AU"/>
        </w:rPr>
        <w:t xml:space="preserve">-treated patients and none of </w:t>
      </w:r>
      <w:proofErr w:type="spellStart"/>
      <w:r w:rsidRPr="001468A9">
        <w:rPr>
          <w:lang w:val="en-AU"/>
        </w:rPr>
        <w:t>Vd</w:t>
      </w:r>
      <w:proofErr w:type="spellEnd"/>
      <w:r w:rsidRPr="001468A9">
        <w:rPr>
          <w:lang w:val="en-AU"/>
        </w:rPr>
        <w:t xml:space="preserve">-treated patients. </w:t>
      </w:r>
    </w:p>
    <w:p w14:paraId="451298E3" w14:textId="5571FFA5" w:rsidR="00F50DEC" w:rsidRPr="0085196E" w:rsidRDefault="00F50DEC" w:rsidP="00F50DEC">
      <w:pPr>
        <w:rPr>
          <w:lang w:val="en-AU"/>
        </w:rPr>
      </w:pPr>
      <w:r w:rsidRPr="001468A9">
        <w:rPr>
          <w:lang w:val="en-AU"/>
        </w:rPr>
        <w:t xml:space="preserve">Vomiting (all Grades) and </w:t>
      </w:r>
      <w:r w:rsidR="005C5BDE">
        <w:rPr>
          <w:lang w:val="en-AU"/>
        </w:rPr>
        <w:t>≥</w:t>
      </w:r>
      <w:r w:rsidRPr="001468A9">
        <w:rPr>
          <w:lang w:val="en-AU"/>
        </w:rPr>
        <w:t xml:space="preserve">Grade 3 vomiting was reported in 21% and 4% of patients in the </w:t>
      </w:r>
      <w:proofErr w:type="spellStart"/>
      <w:r w:rsidRPr="001468A9">
        <w:rPr>
          <w:lang w:val="en-AU"/>
        </w:rPr>
        <w:t>SVd</w:t>
      </w:r>
      <w:proofErr w:type="spellEnd"/>
      <w:r w:rsidRPr="001468A9">
        <w:rPr>
          <w:lang w:val="en-AU"/>
        </w:rPr>
        <w:t xml:space="preserve">-treated patients and 4% and 0% in the </w:t>
      </w:r>
      <w:proofErr w:type="spellStart"/>
      <w:r w:rsidRPr="001468A9">
        <w:rPr>
          <w:lang w:val="en-AU"/>
        </w:rPr>
        <w:t>Vd</w:t>
      </w:r>
      <w:proofErr w:type="spellEnd"/>
      <w:r w:rsidRPr="001468A9">
        <w:rPr>
          <w:lang w:val="en-AU"/>
        </w:rPr>
        <w:t xml:space="preserve">- treated patients. The median time to onset of the first event was 8 days and 49 days in the </w:t>
      </w:r>
      <w:proofErr w:type="spellStart"/>
      <w:r w:rsidRPr="001468A9">
        <w:rPr>
          <w:lang w:val="en-AU"/>
        </w:rPr>
        <w:t>SVd</w:t>
      </w:r>
      <w:proofErr w:type="spellEnd"/>
      <w:r w:rsidRPr="001468A9">
        <w:rPr>
          <w:lang w:val="en-AU"/>
        </w:rPr>
        <w:t xml:space="preserve">- and </w:t>
      </w:r>
      <w:proofErr w:type="spellStart"/>
      <w:r w:rsidRPr="001468A9">
        <w:rPr>
          <w:lang w:val="en-AU"/>
        </w:rPr>
        <w:t>Vd</w:t>
      </w:r>
      <w:proofErr w:type="spellEnd"/>
      <w:r w:rsidRPr="001468A9">
        <w:rPr>
          <w:lang w:val="en-AU"/>
        </w:rPr>
        <w:t xml:space="preserve">-treated patients, respectively. Discontinuations due to vomiting occurred in 2% of </w:t>
      </w:r>
      <w:proofErr w:type="spellStart"/>
      <w:r w:rsidRPr="001468A9">
        <w:rPr>
          <w:lang w:val="en-AU"/>
        </w:rPr>
        <w:t>SVd</w:t>
      </w:r>
      <w:proofErr w:type="spellEnd"/>
      <w:r w:rsidRPr="001468A9">
        <w:rPr>
          <w:lang w:val="en-AU"/>
        </w:rPr>
        <w:t xml:space="preserve">-treated patients and none of </w:t>
      </w:r>
      <w:proofErr w:type="spellStart"/>
      <w:r w:rsidRPr="001468A9">
        <w:rPr>
          <w:lang w:val="en-AU"/>
        </w:rPr>
        <w:t>Vd</w:t>
      </w:r>
      <w:proofErr w:type="spellEnd"/>
      <w:r w:rsidRPr="001468A9">
        <w:rPr>
          <w:lang w:val="en-AU"/>
        </w:rPr>
        <w:t>-treated patients.</w:t>
      </w:r>
    </w:p>
    <w:p w14:paraId="58075B94" w14:textId="0F8F94AE" w:rsidR="00F50DEC" w:rsidRDefault="00F50DEC" w:rsidP="00F50DEC">
      <w:pPr>
        <w:rPr>
          <w:lang w:val="en-AU"/>
        </w:rPr>
      </w:pPr>
      <w:r w:rsidRPr="001468A9">
        <w:rPr>
          <w:lang w:val="en-AU"/>
        </w:rPr>
        <w:t xml:space="preserve">Diarrhea (all Grades) and </w:t>
      </w:r>
      <w:r w:rsidR="00441C24">
        <w:rPr>
          <w:lang w:val="en-AU"/>
        </w:rPr>
        <w:t>≥</w:t>
      </w:r>
      <w:r w:rsidRPr="001468A9">
        <w:rPr>
          <w:lang w:val="en-AU"/>
        </w:rPr>
        <w:t xml:space="preserve">Grade 3 diarrhea were reported in 32% and 6% of patients in the </w:t>
      </w:r>
      <w:proofErr w:type="spellStart"/>
      <w:r w:rsidRPr="001468A9">
        <w:rPr>
          <w:lang w:val="en-AU"/>
        </w:rPr>
        <w:t>SVd</w:t>
      </w:r>
      <w:proofErr w:type="spellEnd"/>
      <w:r w:rsidRPr="001468A9">
        <w:rPr>
          <w:lang w:val="en-AU"/>
        </w:rPr>
        <w:t xml:space="preserve"> arm and 25% and &lt;1% of patients in the </w:t>
      </w:r>
      <w:proofErr w:type="spellStart"/>
      <w:r w:rsidRPr="001468A9">
        <w:rPr>
          <w:lang w:val="en-AU"/>
        </w:rPr>
        <w:t>Vd</w:t>
      </w:r>
      <w:proofErr w:type="spellEnd"/>
      <w:r w:rsidRPr="001468A9">
        <w:rPr>
          <w:lang w:val="en-AU"/>
        </w:rPr>
        <w:t xml:space="preserve"> arm. The median time to onset of the first event was 50 days in </w:t>
      </w:r>
      <w:proofErr w:type="spellStart"/>
      <w:r w:rsidRPr="001468A9">
        <w:rPr>
          <w:lang w:val="en-AU"/>
        </w:rPr>
        <w:t>SVd</w:t>
      </w:r>
      <w:proofErr w:type="spellEnd"/>
      <w:r w:rsidRPr="001468A9">
        <w:rPr>
          <w:lang w:val="en-AU"/>
        </w:rPr>
        <w:t xml:space="preserve">- and 71 days in </w:t>
      </w:r>
      <w:proofErr w:type="spellStart"/>
      <w:r w:rsidRPr="001468A9">
        <w:rPr>
          <w:lang w:val="en-AU"/>
        </w:rPr>
        <w:t>Vd</w:t>
      </w:r>
      <w:proofErr w:type="spellEnd"/>
      <w:r w:rsidRPr="001468A9">
        <w:rPr>
          <w:lang w:val="en-AU"/>
        </w:rPr>
        <w:t xml:space="preserve">-treated patients. Discontinuations due to diarrhea occurred in </w:t>
      </w:r>
      <w:r w:rsidR="000557AF">
        <w:rPr>
          <w:lang w:val="en-AU"/>
        </w:rPr>
        <w:t>1</w:t>
      </w:r>
      <w:r w:rsidRPr="001468A9">
        <w:rPr>
          <w:lang w:val="en-AU"/>
        </w:rPr>
        <w:t xml:space="preserve">% and &lt;1% of </w:t>
      </w:r>
      <w:proofErr w:type="spellStart"/>
      <w:r w:rsidRPr="001468A9">
        <w:rPr>
          <w:lang w:val="en-AU"/>
        </w:rPr>
        <w:t>SVd</w:t>
      </w:r>
      <w:proofErr w:type="spellEnd"/>
      <w:r w:rsidRPr="001468A9">
        <w:rPr>
          <w:lang w:val="en-AU"/>
        </w:rPr>
        <w:t xml:space="preserve">- and </w:t>
      </w:r>
      <w:proofErr w:type="spellStart"/>
      <w:r w:rsidRPr="001468A9">
        <w:rPr>
          <w:lang w:val="en-AU"/>
        </w:rPr>
        <w:t>Vd</w:t>
      </w:r>
      <w:proofErr w:type="spellEnd"/>
      <w:r w:rsidRPr="001468A9">
        <w:rPr>
          <w:lang w:val="en-AU"/>
        </w:rPr>
        <w:t>- treated patients, respectively.</w:t>
      </w:r>
    </w:p>
    <w:p w14:paraId="11869763" w14:textId="1BDE1E10" w:rsidR="002216CA" w:rsidRPr="0085196E" w:rsidRDefault="00F50DEC" w:rsidP="002216CA">
      <w:pPr>
        <w:rPr>
          <w:lang w:val="en-AU"/>
        </w:rPr>
      </w:pPr>
      <w:r>
        <w:rPr>
          <w:lang w:val="en-AU"/>
        </w:rPr>
        <w:t xml:space="preserve">In the </w:t>
      </w:r>
      <w:r w:rsidR="0085196E">
        <w:rPr>
          <w:lang w:val="en-AU"/>
        </w:rPr>
        <w:t xml:space="preserve">STORM </w:t>
      </w:r>
      <w:r w:rsidR="007E09E3">
        <w:rPr>
          <w:lang w:val="en-AU"/>
        </w:rPr>
        <w:t xml:space="preserve">trial, </w:t>
      </w:r>
      <w:r w:rsidR="007E09E3" w:rsidRPr="001468A9">
        <w:rPr>
          <w:lang w:val="en-AU"/>
        </w:rPr>
        <w:t>n</w:t>
      </w:r>
      <w:r w:rsidR="002216CA" w:rsidRPr="001468A9">
        <w:rPr>
          <w:lang w:val="en-AU"/>
        </w:rPr>
        <w:t>ausea/vomiting occurred in 79% of patients and 10% of these were Grade 3 or 4 and they were serious in 3% of patients. When anti-nausea treatment was administered, the median duration of nausea or vomiting improved by 3 days. Nausea/vomiting led to dose discontinuation in 5% of patients, treatment interruption in 8% of patients, and a dose reduction in 5% of patients.</w:t>
      </w:r>
    </w:p>
    <w:p w14:paraId="736A6D6E" w14:textId="364944B7" w:rsidR="002216CA" w:rsidRDefault="002216CA" w:rsidP="002216CA">
      <w:pPr>
        <w:rPr>
          <w:lang w:val="en-AU"/>
        </w:rPr>
      </w:pPr>
      <w:r w:rsidRPr="001468A9">
        <w:rPr>
          <w:lang w:val="en-AU"/>
        </w:rPr>
        <w:t>Diarrhoea occurred in 47% of patients and 7% were Grade 3 or 4. Diarrhoea was serious in 2% of patients, and led to dose discontinuation in 1% of patients, treatment interruption in 2% of patients, and a dose reduction in 1% of patients.</w:t>
      </w:r>
    </w:p>
    <w:p w14:paraId="192E61B5" w14:textId="4C3FE152" w:rsidR="002216CA" w:rsidRPr="00FA1502" w:rsidRDefault="002216CA" w:rsidP="002216CA">
      <w:pPr>
        <w:pStyle w:val="Heading4"/>
        <w:numPr>
          <w:ilvl w:val="0"/>
          <w:numId w:val="0"/>
        </w:numPr>
        <w:ind w:left="862" w:hanging="862"/>
        <w:rPr>
          <w:lang w:val="en-AU"/>
        </w:rPr>
      </w:pPr>
      <w:r w:rsidRPr="00FA1502">
        <w:rPr>
          <w:lang w:val="en-AU"/>
        </w:rPr>
        <w:t>Hyponatraemia</w:t>
      </w:r>
    </w:p>
    <w:p w14:paraId="4F19B031" w14:textId="033C92F4" w:rsidR="007E09E3" w:rsidRPr="00FA1502" w:rsidRDefault="007E09E3" w:rsidP="007E09E3">
      <w:pPr>
        <w:rPr>
          <w:lang w:val="en-AU"/>
        </w:rPr>
      </w:pPr>
      <w:r w:rsidRPr="001468A9">
        <w:rPr>
          <w:lang w:val="en-AU"/>
        </w:rPr>
        <w:t>Hyponatraemia can be managed with dose interruptions/reductions and with intravenous saline and/or salt tablets</w:t>
      </w:r>
      <w:r w:rsidR="00644006">
        <w:rPr>
          <w:lang w:val="en-AU"/>
        </w:rPr>
        <w:t>, including dietary review</w:t>
      </w:r>
      <w:r w:rsidRPr="001468A9">
        <w:rPr>
          <w:lang w:val="en-AU"/>
        </w:rPr>
        <w:t xml:space="preserve">. </w:t>
      </w:r>
      <w:r w:rsidR="00644006">
        <w:rPr>
          <w:sz w:val="23"/>
          <w:szCs w:val="23"/>
        </w:rPr>
        <w:t xml:space="preserve">Advise patients that levels of sodium will be monitored at baseline and during treatment as clinically indicated, with more frequent monitoring during the first two months of treatment. </w:t>
      </w:r>
      <w:r w:rsidRPr="001468A9">
        <w:rPr>
          <w:lang w:val="en-AU"/>
        </w:rPr>
        <w:t xml:space="preserve">For additional supportive care information please refer </w:t>
      </w:r>
      <w:r w:rsidR="00B75C0E">
        <w:rPr>
          <w:lang w:val="en-AU"/>
        </w:rPr>
        <w:t xml:space="preserve">to </w:t>
      </w:r>
      <w:r w:rsidRPr="001468A9">
        <w:rPr>
          <w:lang w:val="en-AU"/>
        </w:rPr>
        <w:t xml:space="preserve">Section </w:t>
      </w:r>
      <w:r w:rsidRPr="001468A9">
        <w:rPr>
          <w:lang w:val="en-AU"/>
        </w:rPr>
        <w:fldChar w:fldCharType="begin"/>
      </w:r>
      <w:r w:rsidRPr="001468A9">
        <w:rPr>
          <w:lang w:val="en-AU"/>
        </w:rPr>
        <w:instrText xml:space="preserve"> REF _Ref45713299 \r \h  \* MERGEFORMAT </w:instrText>
      </w:r>
      <w:r w:rsidRPr="001468A9">
        <w:rPr>
          <w:lang w:val="en-AU"/>
        </w:rPr>
      </w:r>
      <w:r w:rsidRPr="001468A9">
        <w:rPr>
          <w:lang w:val="en-AU"/>
        </w:rPr>
        <w:fldChar w:fldCharType="separate"/>
      </w:r>
      <w:r w:rsidR="00F53F5F">
        <w:rPr>
          <w:lang w:val="en-AU"/>
        </w:rPr>
        <w:t>4.4</w:t>
      </w:r>
      <w:r w:rsidRPr="001468A9">
        <w:rPr>
          <w:lang w:val="en-AU"/>
        </w:rPr>
        <w:fldChar w:fldCharType="end"/>
      </w:r>
      <w:r w:rsidRPr="001468A9">
        <w:rPr>
          <w:lang w:val="en-AU"/>
        </w:rPr>
        <w:t xml:space="preserve"> </w:t>
      </w:r>
      <w:r w:rsidRPr="001468A9">
        <w:rPr>
          <w:lang w:val="en-AU"/>
        </w:rPr>
        <w:fldChar w:fldCharType="begin"/>
      </w:r>
      <w:r w:rsidRPr="001468A9">
        <w:rPr>
          <w:lang w:val="en-AU"/>
        </w:rPr>
        <w:instrText xml:space="preserve"> REF _Ref45713299 \h  \* MERGEFORMAT </w:instrText>
      </w:r>
      <w:r w:rsidRPr="001468A9">
        <w:rPr>
          <w:lang w:val="en-AU"/>
        </w:rPr>
      </w:r>
      <w:r w:rsidRPr="001468A9">
        <w:rPr>
          <w:lang w:val="en-AU"/>
        </w:rPr>
        <w:fldChar w:fldCharType="separate"/>
      </w:r>
      <w:r w:rsidR="00F53F5F" w:rsidRPr="00FA1502">
        <w:rPr>
          <w:lang w:val="en-AU"/>
        </w:rPr>
        <w:t>SPECIAL WARNINGS AND PRECAUTIONS FOR USE</w:t>
      </w:r>
      <w:r w:rsidRPr="001468A9">
        <w:rPr>
          <w:lang w:val="en-AU"/>
        </w:rPr>
        <w:fldChar w:fldCharType="end"/>
      </w:r>
      <w:r w:rsidRPr="001468A9">
        <w:rPr>
          <w:lang w:val="en-AU"/>
        </w:rPr>
        <w:t>.</w:t>
      </w:r>
    </w:p>
    <w:p w14:paraId="683717C6" w14:textId="77777777" w:rsidR="00962DD7" w:rsidRPr="006854A2" w:rsidRDefault="00962DD7" w:rsidP="006854A2">
      <w:pPr>
        <w:pStyle w:val="CommentText"/>
        <w:spacing w:before="120" w:after="120"/>
        <w:rPr>
          <w:rFonts w:ascii="Times New Roman" w:hAnsi="Times New Roman" w:cs="Times New Roman"/>
          <w:sz w:val="24"/>
          <w:szCs w:val="24"/>
        </w:rPr>
      </w:pPr>
      <w:r w:rsidRPr="006854A2">
        <w:rPr>
          <w:rFonts w:ascii="Times New Roman" w:hAnsi="Times New Roman" w:cs="Times New Roman"/>
          <w:sz w:val="24"/>
          <w:szCs w:val="24"/>
        </w:rPr>
        <w:t xml:space="preserve">In the </w:t>
      </w:r>
      <w:r w:rsidRPr="005C1479">
        <w:rPr>
          <w:rFonts w:ascii="Times New Roman" w:hAnsi="Times New Roman" w:cs="Times New Roman"/>
          <w:sz w:val="24"/>
          <w:szCs w:val="24"/>
        </w:rPr>
        <w:t>BOSTON trial of patients with multiple</w:t>
      </w:r>
      <w:r w:rsidRPr="006854A2">
        <w:rPr>
          <w:rFonts w:ascii="Times New Roman" w:hAnsi="Times New Roman" w:cs="Times New Roman"/>
          <w:sz w:val="24"/>
          <w:szCs w:val="24"/>
        </w:rPr>
        <w:t xml:space="preserve"> myeloma, hyponatremia (all Grades) and Grade 3-4 were reported in 58% and 14% of patients in the XPOVIO 100 mg once weekly combined with bortezomib and dexamethasone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n=195) arm and in 25% and 3% of patients in the bortezomib and dexamethasone arm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n=201). The median time to first onset was 21 and 43 days for any-grade hyponatremia in the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arms, respectively. The median time to first onset for Grade 3 or higher hyponatremia was 22 and 14 days for the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arms, respectively. No treatment discontinuation due to hyponatremia occurred. </w:t>
      </w:r>
    </w:p>
    <w:p w14:paraId="74B7CE17" w14:textId="00386675" w:rsidR="0069332B" w:rsidRPr="0069332B" w:rsidRDefault="007E09E3" w:rsidP="0069332B">
      <w:pPr>
        <w:rPr>
          <w:lang w:val="en-AU"/>
        </w:rPr>
      </w:pPr>
      <w:r>
        <w:rPr>
          <w:lang w:val="en-AU"/>
        </w:rPr>
        <w:t xml:space="preserve">In the </w:t>
      </w:r>
      <w:r w:rsidR="00751838">
        <w:rPr>
          <w:lang w:val="en-AU"/>
        </w:rPr>
        <w:t xml:space="preserve">STORM </w:t>
      </w:r>
      <w:r>
        <w:rPr>
          <w:lang w:val="en-AU"/>
        </w:rPr>
        <w:t xml:space="preserve">trial, </w:t>
      </w:r>
      <w:r w:rsidRPr="001468A9">
        <w:rPr>
          <w:lang w:val="en-AU"/>
        </w:rPr>
        <w:t>h</w:t>
      </w:r>
      <w:r w:rsidR="002216CA" w:rsidRPr="001468A9">
        <w:rPr>
          <w:lang w:val="en-AU"/>
        </w:rPr>
        <w:t xml:space="preserve">yponatraemia occurred in 40% of patients </w:t>
      </w:r>
      <w:r w:rsidR="002216CA" w:rsidRPr="008B3F91">
        <w:rPr>
          <w:color w:val="auto"/>
          <w:lang w:val="en-AU"/>
        </w:rPr>
        <w:t xml:space="preserve">and </w:t>
      </w:r>
      <w:r w:rsidR="007474B4">
        <w:rPr>
          <w:color w:val="auto"/>
          <w:lang w:val="en-AU"/>
        </w:rPr>
        <w:t>24</w:t>
      </w:r>
      <w:r w:rsidR="002216CA" w:rsidRPr="008B3F91">
        <w:rPr>
          <w:color w:val="auto"/>
          <w:lang w:val="en-AU"/>
        </w:rPr>
        <w:t>%</w:t>
      </w:r>
      <w:r w:rsidR="002216CA" w:rsidRPr="001468A9">
        <w:rPr>
          <w:lang w:val="en-AU"/>
        </w:rPr>
        <w:t xml:space="preserve"> were Grade 3 or 4. Hyponatraemia was serious in 3% of patients. Most cases of hyponatraemia were not associated with any symptoms. There were no reports of concurrent seizures. Hyponatraemia did not lead to any dose discontinuation, and it led to treatment interruption in 6% of patients, and a dose reduction in 1% of patients.</w:t>
      </w:r>
      <w:r w:rsidR="002216CA" w:rsidRPr="00FA1502">
        <w:rPr>
          <w:lang w:val="en-AU"/>
        </w:rPr>
        <w:t xml:space="preserve"> </w:t>
      </w:r>
    </w:p>
    <w:p w14:paraId="7632A8A1" w14:textId="56F44995" w:rsidR="002216CA" w:rsidRPr="00FA1502" w:rsidRDefault="002216CA" w:rsidP="002216CA">
      <w:pPr>
        <w:pStyle w:val="Heading4"/>
        <w:numPr>
          <w:ilvl w:val="0"/>
          <w:numId w:val="0"/>
        </w:numPr>
        <w:ind w:left="862" w:hanging="862"/>
        <w:rPr>
          <w:lang w:val="en-AU"/>
        </w:rPr>
      </w:pPr>
      <w:r w:rsidRPr="00751838">
        <w:rPr>
          <w:lang w:val="en-AU"/>
        </w:rPr>
        <w:lastRenderedPageBreak/>
        <w:t>Tumour lysis syndrome</w:t>
      </w:r>
    </w:p>
    <w:p w14:paraId="0666C943" w14:textId="50F92800" w:rsidR="007E09E3" w:rsidRPr="00FA1502" w:rsidRDefault="007E09E3" w:rsidP="007E09E3">
      <w:pPr>
        <w:rPr>
          <w:lang w:val="en-AU"/>
        </w:rPr>
      </w:pPr>
      <w:r w:rsidRPr="001468A9">
        <w:rPr>
          <w:lang w:val="en-AU"/>
        </w:rPr>
        <w:t xml:space="preserve">Patients at a high risk for TLS should be monitored closely. Treat TLS promptly in accordance with institutional guidelines (see Section </w:t>
      </w:r>
      <w:r w:rsidRPr="001468A9">
        <w:rPr>
          <w:lang w:val="en-AU"/>
        </w:rPr>
        <w:fldChar w:fldCharType="begin"/>
      </w:r>
      <w:r w:rsidRPr="001468A9">
        <w:rPr>
          <w:lang w:val="en-AU"/>
        </w:rPr>
        <w:instrText xml:space="preserve"> REF _Ref45713299 \r \h  \* MERGEFORMAT </w:instrText>
      </w:r>
      <w:r w:rsidRPr="001468A9">
        <w:rPr>
          <w:lang w:val="en-AU"/>
        </w:rPr>
      </w:r>
      <w:r w:rsidRPr="001468A9">
        <w:rPr>
          <w:lang w:val="en-AU"/>
        </w:rPr>
        <w:fldChar w:fldCharType="separate"/>
      </w:r>
      <w:r w:rsidR="00F53F5F">
        <w:rPr>
          <w:lang w:val="en-AU"/>
        </w:rPr>
        <w:t>4.4</w:t>
      </w:r>
      <w:r w:rsidRPr="001468A9">
        <w:rPr>
          <w:lang w:val="en-AU"/>
        </w:rPr>
        <w:fldChar w:fldCharType="end"/>
      </w:r>
      <w:r w:rsidRPr="001468A9">
        <w:rPr>
          <w:lang w:val="en-AU"/>
        </w:rPr>
        <w:t xml:space="preserve"> </w:t>
      </w:r>
      <w:r w:rsidRPr="001468A9">
        <w:rPr>
          <w:lang w:val="en-AU"/>
        </w:rPr>
        <w:fldChar w:fldCharType="begin"/>
      </w:r>
      <w:r w:rsidRPr="001468A9">
        <w:rPr>
          <w:lang w:val="en-AU"/>
        </w:rPr>
        <w:instrText xml:space="preserve"> REF _Ref45713299 \h  \* MERGEFORMAT </w:instrText>
      </w:r>
      <w:r w:rsidRPr="001468A9">
        <w:rPr>
          <w:lang w:val="en-AU"/>
        </w:rPr>
      </w:r>
      <w:r w:rsidRPr="001468A9">
        <w:rPr>
          <w:lang w:val="en-AU"/>
        </w:rPr>
        <w:fldChar w:fldCharType="separate"/>
      </w:r>
      <w:r w:rsidR="00F53F5F" w:rsidRPr="00FA1502">
        <w:rPr>
          <w:lang w:val="en-AU"/>
        </w:rPr>
        <w:t>SPECIAL WARNINGS AND PRECAUTIONS FOR USE</w:t>
      </w:r>
      <w:r w:rsidRPr="001468A9">
        <w:rPr>
          <w:lang w:val="en-AU"/>
        </w:rPr>
        <w:fldChar w:fldCharType="end"/>
      </w:r>
      <w:r w:rsidRPr="001468A9">
        <w:rPr>
          <w:lang w:val="en-AU"/>
        </w:rPr>
        <w:t>).</w:t>
      </w:r>
    </w:p>
    <w:p w14:paraId="272CB8AE" w14:textId="446E7878" w:rsidR="002216CA" w:rsidRDefault="007E09E3" w:rsidP="002216CA">
      <w:pPr>
        <w:rPr>
          <w:lang w:val="en-AU"/>
        </w:rPr>
      </w:pPr>
      <w:r>
        <w:rPr>
          <w:lang w:val="en-AU"/>
        </w:rPr>
        <w:t xml:space="preserve">In the </w:t>
      </w:r>
      <w:r w:rsidR="004E3A0F">
        <w:rPr>
          <w:lang w:val="en-AU"/>
        </w:rPr>
        <w:t xml:space="preserve">STORM </w:t>
      </w:r>
      <w:r>
        <w:rPr>
          <w:lang w:val="en-AU"/>
        </w:rPr>
        <w:t xml:space="preserve">trial, </w:t>
      </w:r>
      <w:r w:rsidRPr="001468A9">
        <w:rPr>
          <w:lang w:val="en-AU"/>
        </w:rPr>
        <w:t>t</w:t>
      </w:r>
      <w:r w:rsidR="002216CA" w:rsidRPr="001468A9">
        <w:rPr>
          <w:lang w:val="en-AU"/>
        </w:rPr>
        <w:t>umour lysis syndrome (TLS) occurred in one (&lt;1%) patient which was considered Grade 3 and serious.</w:t>
      </w:r>
      <w:r w:rsidR="002216CA" w:rsidRPr="00FA1502">
        <w:rPr>
          <w:lang w:val="en-AU"/>
        </w:rPr>
        <w:t xml:space="preserve"> </w:t>
      </w:r>
    </w:p>
    <w:p w14:paraId="4BE4BBE9" w14:textId="2FAFA6FA" w:rsidR="00F66939" w:rsidRDefault="00F66939" w:rsidP="00F66939">
      <w:pPr>
        <w:pStyle w:val="Heading4"/>
        <w:numPr>
          <w:ilvl w:val="0"/>
          <w:numId w:val="0"/>
        </w:numPr>
        <w:ind w:left="862" w:hanging="862"/>
        <w:rPr>
          <w:lang w:val="en-AU"/>
        </w:rPr>
      </w:pPr>
      <w:r>
        <w:rPr>
          <w:lang w:val="en-AU"/>
        </w:rPr>
        <w:t>Neurological Toxicity</w:t>
      </w:r>
    </w:p>
    <w:p w14:paraId="2D79A89A" w14:textId="078A0A06" w:rsidR="0069332B" w:rsidRPr="0069332B" w:rsidRDefault="0069332B" w:rsidP="0069332B">
      <w:pPr>
        <w:rPr>
          <w:lang w:val="en-AU"/>
        </w:rPr>
      </w:pPr>
      <w:r w:rsidRPr="0069332B">
        <w:rPr>
          <w:lang w:val="en-AU"/>
        </w:rPr>
        <w:t>Advise patients to refrain from driving and engaging in hazardous occupations or activities, such as operating heavy or potentially dangerous machinery, until the neurological toxicity fully resolves. Optimize hydration status, h</w:t>
      </w:r>
      <w:r w:rsidR="0042731D">
        <w:rPr>
          <w:lang w:val="en-AU"/>
        </w:rPr>
        <w:t>a</w:t>
      </w:r>
      <w:r w:rsidRPr="0069332B">
        <w:rPr>
          <w:lang w:val="en-AU"/>
        </w:rPr>
        <w:t xml:space="preserve">emoglobin level, and concomitant medications to avoid exacerbating dizziness or mental status changes. Institute fall precautions as appropriate. </w:t>
      </w:r>
    </w:p>
    <w:p w14:paraId="59E4FF6D" w14:textId="517E01C1" w:rsidR="00962DD7" w:rsidRPr="006854A2" w:rsidRDefault="00962DD7" w:rsidP="006854A2">
      <w:pPr>
        <w:pStyle w:val="CommentText"/>
        <w:spacing w:before="120" w:after="120"/>
        <w:rPr>
          <w:rFonts w:ascii="Times New Roman" w:hAnsi="Times New Roman" w:cs="Times New Roman"/>
          <w:sz w:val="24"/>
          <w:szCs w:val="24"/>
        </w:rPr>
      </w:pPr>
      <w:r w:rsidRPr="006854A2">
        <w:rPr>
          <w:rFonts w:ascii="Times New Roman" w:hAnsi="Times New Roman" w:cs="Times New Roman"/>
          <w:sz w:val="24"/>
          <w:szCs w:val="24"/>
        </w:rPr>
        <w:t xml:space="preserve">In the BOSTON trial of patients with multiple myeloma, neurological </w:t>
      </w:r>
      <w:r w:rsidR="00A22E2F">
        <w:rPr>
          <w:rFonts w:ascii="Times New Roman" w:hAnsi="Times New Roman" w:cs="Times New Roman"/>
          <w:sz w:val="24"/>
          <w:szCs w:val="24"/>
        </w:rPr>
        <w:t>AEs</w:t>
      </w:r>
      <w:r w:rsidRPr="006854A2">
        <w:rPr>
          <w:rFonts w:ascii="Times New Roman" w:hAnsi="Times New Roman" w:cs="Times New Roman"/>
          <w:sz w:val="24"/>
          <w:szCs w:val="24"/>
        </w:rPr>
        <w:t xml:space="preserve"> (excluding peripheral neuropathy) including dizziness, syncope, depressed level of consciousness, vertigo, </w:t>
      </w:r>
      <w:proofErr w:type="gramStart"/>
      <w:r w:rsidRPr="006854A2">
        <w:rPr>
          <w:rFonts w:ascii="Times New Roman" w:hAnsi="Times New Roman" w:cs="Times New Roman"/>
          <w:sz w:val="24"/>
          <w:szCs w:val="24"/>
        </w:rPr>
        <w:t>amnesia</w:t>
      </w:r>
      <w:proofErr w:type="gramEnd"/>
      <w:r w:rsidRPr="006854A2">
        <w:rPr>
          <w:rFonts w:ascii="Times New Roman" w:hAnsi="Times New Roman" w:cs="Times New Roman"/>
          <w:sz w:val="24"/>
          <w:szCs w:val="24"/>
        </w:rPr>
        <w:t xml:space="preserve"> and mental status changes (including delirium and </w:t>
      </w:r>
      <w:proofErr w:type="spellStart"/>
      <w:r w:rsidRPr="006854A2">
        <w:rPr>
          <w:rFonts w:ascii="Times New Roman" w:hAnsi="Times New Roman" w:cs="Times New Roman"/>
          <w:sz w:val="24"/>
          <w:szCs w:val="24"/>
        </w:rPr>
        <w:t>confusional</w:t>
      </w:r>
      <w:proofErr w:type="spellEnd"/>
      <w:r w:rsidRPr="006854A2">
        <w:rPr>
          <w:rFonts w:ascii="Times New Roman" w:hAnsi="Times New Roman" w:cs="Times New Roman"/>
          <w:sz w:val="24"/>
          <w:szCs w:val="24"/>
        </w:rPr>
        <w:t xml:space="preserve"> state) occurred in 26% and 9% of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-treated patients (XPOVIO 100 mg once weekly combined with bortezomib and dexamethasone, n=195)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-treated patients (bortezomib and dexamethasone arm, n=204), respectively. Severe events (Grade 3-4) occurred in 3.6% and 1.5% of patients treated with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and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respectively. Median time to the first event was 29 days in the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 arm and 61 days in the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 arm. Discontinuations due to neurological </w:t>
      </w:r>
      <w:r w:rsidR="001B5F58">
        <w:rPr>
          <w:rFonts w:ascii="Times New Roman" w:hAnsi="Times New Roman" w:cs="Times New Roman"/>
          <w:sz w:val="24"/>
          <w:szCs w:val="24"/>
        </w:rPr>
        <w:t>AEs</w:t>
      </w:r>
      <w:r w:rsidRPr="006854A2">
        <w:rPr>
          <w:rFonts w:ascii="Times New Roman" w:hAnsi="Times New Roman" w:cs="Times New Roman"/>
          <w:sz w:val="24"/>
          <w:szCs w:val="24"/>
        </w:rPr>
        <w:t xml:space="preserve"> occurred in 2.1% of </w:t>
      </w:r>
      <w:proofErr w:type="spellStart"/>
      <w:r w:rsidRPr="006854A2">
        <w:rPr>
          <w:rFonts w:ascii="Times New Roman" w:hAnsi="Times New Roman" w:cs="Times New Roman"/>
          <w:sz w:val="24"/>
          <w:szCs w:val="24"/>
        </w:rPr>
        <w:t>SVd</w:t>
      </w:r>
      <w:proofErr w:type="spellEnd"/>
      <w:r w:rsidRPr="006854A2">
        <w:rPr>
          <w:rFonts w:ascii="Times New Roman" w:hAnsi="Times New Roman" w:cs="Times New Roman"/>
          <w:sz w:val="24"/>
          <w:szCs w:val="24"/>
        </w:rPr>
        <w:t xml:space="preserve">-treated patients and 1% of </w:t>
      </w:r>
      <w:proofErr w:type="spellStart"/>
      <w:r w:rsidRPr="006854A2">
        <w:rPr>
          <w:rFonts w:ascii="Times New Roman" w:hAnsi="Times New Roman" w:cs="Times New Roman"/>
          <w:sz w:val="24"/>
          <w:szCs w:val="24"/>
        </w:rPr>
        <w:t>Vd</w:t>
      </w:r>
      <w:proofErr w:type="spellEnd"/>
      <w:r w:rsidRPr="006854A2">
        <w:rPr>
          <w:rFonts w:ascii="Times New Roman" w:hAnsi="Times New Roman" w:cs="Times New Roman"/>
          <w:sz w:val="24"/>
          <w:szCs w:val="24"/>
        </w:rPr>
        <w:t xml:space="preserve">-treated patients. </w:t>
      </w:r>
    </w:p>
    <w:p w14:paraId="1458D9FE" w14:textId="7DB6EB9E" w:rsidR="00F66939" w:rsidRPr="00F66939" w:rsidRDefault="00F66939" w:rsidP="00F66939">
      <w:pPr>
        <w:rPr>
          <w:lang w:val="en-AU"/>
        </w:rPr>
      </w:pPr>
      <w:r w:rsidRPr="005E5089">
        <w:rPr>
          <w:lang w:val="en-AU"/>
        </w:rPr>
        <w:t xml:space="preserve">In the STORM trial, </w:t>
      </w:r>
      <w:r w:rsidR="0069332B" w:rsidRPr="005E5089">
        <w:rPr>
          <w:lang w:val="en-AU"/>
        </w:rPr>
        <w:t>n</w:t>
      </w:r>
      <w:r w:rsidRPr="005E5089">
        <w:rPr>
          <w:lang w:val="en-AU"/>
        </w:rPr>
        <w:t xml:space="preserve">eurological </w:t>
      </w:r>
      <w:r w:rsidR="00762345">
        <w:rPr>
          <w:lang w:val="en-AU"/>
        </w:rPr>
        <w:t>AEs</w:t>
      </w:r>
      <w:r w:rsidRPr="005E5089">
        <w:rPr>
          <w:lang w:val="en-AU"/>
        </w:rPr>
        <w:t xml:space="preserve"> including dizziness, </w:t>
      </w:r>
      <w:r w:rsidR="0069332B" w:rsidRPr="005E5089">
        <w:rPr>
          <w:lang w:val="en-AU"/>
        </w:rPr>
        <w:t xml:space="preserve">dysgeusia and </w:t>
      </w:r>
      <w:r w:rsidR="005E5089" w:rsidRPr="005E5089">
        <w:rPr>
          <w:lang w:val="en-AU"/>
        </w:rPr>
        <w:t>headache</w:t>
      </w:r>
      <w:r w:rsidR="0069332B" w:rsidRPr="005E5089">
        <w:rPr>
          <w:lang w:val="en-AU"/>
        </w:rPr>
        <w:t xml:space="preserve"> were reported as very common</w:t>
      </w:r>
      <w:r w:rsidR="005E5089" w:rsidRPr="005E5089">
        <w:rPr>
          <w:lang w:val="en-AU"/>
        </w:rPr>
        <w:t>, with syncope a common Grade 3-4 reaction</w:t>
      </w:r>
      <w:r w:rsidR="005E5089">
        <w:rPr>
          <w:lang w:val="en-AU"/>
        </w:rPr>
        <w:t>.</w:t>
      </w:r>
      <w:r w:rsidRPr="005E5089">
        <w:rPr>
          <w:lang w:val="en-AU"/>
        </w:rPr>
        <w:t xml:space="preserve"> </w:t>
      </w:r>
      <w:r w:rsidR="005E5089">
        <w:rPr>
          <w:lang w:val="en-AU"/>
        </w:rPr>
        <w:t xml:space="preserve">Other common neurological </w:t>
      </w:r>
      <w:r w:rsidR="007B6080">
        <w:rPr>
          <w:lang w:val="en-AU"/>
        </w:rPr>
        <w:t>AEs</w:t>
      </w:r>
      <w:r w:rsidR="005E5089">
        <w:rPr>
          <w:lang w:val="en-AU"/>
        </w:rPr>
        <w:t xml:space="preserve"> included peripheral neuropathy, disturbance in attention, ageusia and cognitive disorders. Encephalopathy was considered an uncommon Grade 3-4 reaction. </w:t>
      </w:r>
    </w:p>
    <w:p w14:paraId="4EEF1A79" w14:textId="638BC5D3" w:rsidR="00F66939" w:rsidRDefault="00F66939" w:rsidP="00F66939">
      <w:pPr>
        <w:pStyle w:val="Heading4"/>
        <w:numPr>
          <w:ilvl w:val="0"/>
          <w:numId w:val="0"/>
        </w:numPr>
        <w:ind w:left="862" w:hanging="862"/>
        <w:rPr>
          <w:lang w:val="en-AU"/>
        </w:rPr>
      </w:pPr>
      <w:r>
        <w:rPr>
          <w:lang w:val="en-AU"/>
        </w:rPr>
        <w:t>Anorexia/Weight loss</w:t>
      </w:r>
    </w:p>
    <w:p w14:paraId="04312DB0" w14:textId="4D5E182E" w:rsidR="00F66939" w:rsidRDefault="00F66939" w:rsidP="00F66939">
      <w:pPr>
        <w:rPr>
          <w:lang w:val="en-AU"/>
        </w:rPr>
      </w:pPr>
      <w:r w:rsidRPr="005E5089">
        <w:rPr>
          <w:lang w:val="en-AU"/>
        </w:rPr>
        <w:t>Monitor patient weight at baseline, during treatment, and as clinically indicated. Monitor more frequently during the first two months of treatment. Manage anorexia and weight loss with dose modifications, appetite stimulants, and nutritional support.</w:t>
      </w:r>
    </w:p>
    <w:p w14:paraId="226AC403" w14:textId="737C3E72" w:rsidR="00C4446D" w:rsidRPr="001468A9" w:rsidRDefault="00C4446D" w:rsidP="00C4446D">
      <w:pPr>
        <w:rPr>
          <w:lang w:val="en-AU"/>
        </w:rPr>
      </w:pPr>
      <w:r w:rsidRPr="001468A9">
        <w:rPr>
          <w:lang w:val="en-AU"/>
        </w:rPr>
        <w:t xml:space="preserve">In the BOSTON trial, anorexia (all Grades) and </w:t>
      </w:r>
      <w:r w:rsidR="00A96ACC">
        <w:rPr>
          <w:lang w:val="en-AU"/>
        </w:rPr>
        <w:t>≥</w:t>
      </w:r>
      <w:r w:rsidRPr="001468A9">
        <w:rPr>
          <w:lang w:val="en-AU"/>
        </w:rPr>
        <w:t xml:space="preserve">Grade 3 anorexia was reported in 35% and 4% of patients in the </w:t>
      </w:r>
      <w:proofErr w:type="spellStart"/>
      <w:r w:rsidRPr="001468A9">
        <w:rPr>
          <w:lang w:val="en-AU"/>
        </w:rPr>
        <w:t>SVd</w:t>
      </w:r>
      <w:proofErr w:type="spellEnd"/>
      <w:r w:rsidRPr="001468A9">
        <w:rPr>
          <w:lang w:val="en-AU"/>
        </w:rPr>
        <w:t xml:space="preserve"> arm and in 5% and 0% of patients in the </w:t>
      </w:r>
      <w:proofErr w:type="spellStart"/>
      <w:r w:rsidRPr="001468A9">
        <w:rPr>
          <w:lang w:val="en-AU"/>
        </w:rPr>
        <w:t>Vd</w:t>
      </w:r>
      <w:proofErr w:type="spellEnd"/>
      <w:r w:rsidRPr="001468A9">
        <w:rPr>
          <w:lang w:val="en-AU"/>
        </w:rPr>
        <w:t xml:space="preserve"> arm. The median time to onset of the first event was 35 and 63 days in the </w:t>
      </w:r>
      <w:proofErr w:type="spellStart"/>
      <w:r w:rsidRPr="001468A9">
        <w:rPr>
          <w:lang w:val="en-AU"/>
        </w:rPr>
        <w:t>SVd</w:t>
      </w:r>
      <w:proofErr w:type="spellEnd"/>
      <w:r w:rsidRPr="001468A9">
        <w:rPr>
          <w:lang w:val="en-AU"/>
        </w:rPr>
        <w:t xml:space="preserve">- and </w:t>
      </w:r>
      <w:proofErr w:type="spellStart"/>
      <w:r w:rsidRPr="001468A9">
        <w:rPr>
          <w:lang w:val="en-AU"/>
        </w:rPr>
        <w:t>Vd</w:t>
      </w:r>
      <w:proofErr w:type="spellEnd"/>
      <w:r w:rsidRPr="001468A9">
        <w:rPr>
          <w:lang w:val="en-AU"/>
        </w:rPr>
        <w:t xml:space="preserve">-arms, respectively. Discontinuations due to anorexia occurred in 2% and &lt;1% of </w:t>
      </w:r>
      <w:proofErr w:type="spellStart"/>
      <w:r w:rsidRPr="001468A9">
        <w:rPr>
          <w:lang w:val="en-AU"/>
        </w:rPr>
        <w:t>SVd</w:t>
      </w:r>
      <w:proofErr w:type="spellEnd"/>
      <w:r w:rsidRPr="001468A9">
        <w:rPr>
          <w:lang w:val="en-AU"/>
        </w:rPr>
        <w:t xml:space="preserve"> and </w:t>
      </w:r>
      <w:proofErr w:type="spellStart"/>
      <w:r w:rsidRPr="001468A9">
        <w:rPr>
          <w:lang w:val="en-AU"/>
        </w:rPr>
        <w:t>Vd</w:t>
      </w:r>
      <w:proofErr w:type="spellEnd"/>
      <w:r w:rsidRPr="001468A9">
        <w:rPr>
          <w:lang w:val="en-AU"/>
        </w:rPr>
        <w:t xml:space="preserve"> treated patients, respectively. </w:t>
      </w:r>
    </w:p>
    <w:p w14:paraId="1829BB8B" w14:textId="77777777" w:rsidR="00C4446D" w:rsidRPr="001468A9" w:rsidRDefault="00C4446D" w:rsidP="00C4446D">
      <w:pPr>
        <w:rPr>
          <w:lang w:val="en-AU"/>
        </w:rPr>
      </w:pPr>
      <w:r w:rsidRPr="001468A9">
        <w:rPr>
          <w:lang w:val="en-AU"/>
        </w:rPr>
        <w:t xml:space="preserve">Weight loss (all Grades) and Grade 3 weight loss was reported in 26% and 2% of patients in the </w:t>
      </w:r>
      <w:proofErr w:type="spellStart"/>
      <w:r w:rsidRPr="001468A9">
        <w:rPr>
          <w:lang w:val="en-AU"/>
        </w:rPr>
        <w:t>SVd</w:t>
      </w:r>
      <w:proofErr w:type="spellEnd"/>
      <w:r w:rsidRPr="001468A9">
        <w:rPr>
          <w:lang w:val="en-AU"/>
        </w:rPr>
        <w:t xml:space="preserve"> arm and in 12% and 1% of patients in the </w:t>
      </w:r>
      <w:proofErr w:type="spellStart"/>
      <w:r w:rsidRPr="001468A9">
        <w:rPr>
          <w:lang w:val="en-AU"/>
        </w:rPr>
        <w:t>Vd</w:t>
      </w:r>
      <w:proofErr w:type="spellEnd"/>
      <w:r w:rsidRPr="001468A9">
        <w:rPr>
          <w:lang w:val="en-AU"/>
        </w:rPr>
        <w:t xml:space="preserve"> arm. The median time to onset of the first event was 58 and 110 days in the </w:t>
      </w:r>
      <w:proofErr w:type="spellStart"/>
      <w:r w:rsidRPr="001468A9">
        <w:rPr>
          <w:lang w:val="en-AU"/>
        </w:rPr>
        <w:t>SVd</w:t>
      </w:r>
      <w:proofErr w:type="spellEnd"/>
      <w:r w:rsidRPr="001468A9">
        <w:rPr>
          <w:lang w:val="en-AU"/>
        </w:rPr>
        <w:t xml:space="preserve"> and </w:t>
      </w:r>
      <w:proofErr w:type="spellStart"/>
      <w:r w:rsidRPr="001468A9">
        <w:rPr>
          <w:lang w:val="en-AU"/>
        </w:rPr>
        <w:t>Vd</w:t>
      </w:r>
      <w:proofErr w:type="spellEnd"/>
      <w:r w:rsidRPr="001468A9">
        <w:rPr>
          <w:lang w:val="en-AU"/>
        </w:rPr>
        <w:t xml:space="preserve"> arms, respectively. Discontinuations due to weight loss occurred in 1% and &lt;1% of the </w:t>
      </w:r>
      <w:proofErr w:type="spellStart"/>
      <w:r w:rsidRPr="001468A9">
        <w:rPr>
          <w:lang w:val="en-AU"/>
        </w:rPr>
        <w:t>SVd</w:t>
      </w:r>
      <w:proofErr w:type="spellEnd"/>
      <w:r w:rsidRPr="001468A9">
        <w:rPr>
          <w:lang w:val="en-AU"/>
        </w:rPr>
        <w:t xml:space="preserve"> and </w:t>
      </w:r>
      <w:proofErr w:type="spellStart"/>
      <w:r w:rsidRPr="001468A9">
        <w:rPr>
          <w:lang w:val="en-AU"/>
        </w:rPr>
        <w:t>Vd</w:t>
      </w:r>
      <w:proofErr w:type="spellEnd"/>
      <w:r w:rsidRPr="001468A9">
        <w:rPr>
          <w:lang w:val="en-AU"/>
        </w:rPr>
        <w:t>-treated patients, respectively.</w:t>
      </w:r>
    </w:p>
    <w:p w14:paraId="0D1A6231" w14:textId="662A7880" w:rsidR="00C4446D" w:rsidRDefault="00C4446D" w:rsidP="00C4446D">
      <w:pPr>
        <w:pStyle w:val="Heading4"/>
        <w:numPr>
          <w:ilvl w:val="0"/>
          <w:numId w:val="0"/>
        </w:numPr>
        <w:ind w:left="862" w:hanging="862"/>
        <w:rPr>
          <w:lang w:val="en-AU"/>
        </w:rPr>
      </w:pPr>
      <w:r>
        <w:rPr>
          <w:lang w:val="en-AU"/>
        </w:rPr>
        <w:t>Cataracts</w:t>
      </w:r>
    </w:p>
    <w:p w14:paraId="54DC94AE" w14:textId="77777777" w:rsidR="00C4446D" w:rsidRPr="001468A9" w:rsidRDefault="00C4446D" w:rsidP="00C4446D">
      <w:r w:rsidRPr="001468A9">
        <w:t>Manage cataract per standard clinical guidelines.</w:t>
      </w:r>
    </w:p>
    <w:p w14:paraId="283F1597" w14:textId="2BD1E66C" w:rsidR="00C4446D" w:rsidRPr="001468A9" w:rsidRDefault="00C4446D" w:rsidP="00C4446D">
      <w:r w:rsidRPr="001468A9">
        <w:lastRenderedPageBreak/>
        <w:t xml:space="preserve">In the BOSTON study, the incidence of new onset or worsening all Grades cataract requiring clinical intervention was reported in 22% and 6% in the </w:t>
      </w:r>
      <w:proofErr w:type="spellStart"/>
      <w:r w:rsidRPr="001468A9">
        <w:t>SVd</w:t>
      </w:r>
      <w:proofErr w:type="spellEnd"/>
      <w:r w:rsidRPr="001468A9">
        <w:t xml:space="preserve">- and </w:t>
      </w:r>
      <w:proofErr w:type="spellStart"/>
      <w:r w:rsidRPr="001468A9">
        <w:t>Vd</w:t>
      </w:r>
      <w:proofErr w:type="spellEnd"/>
      <w:r w:rsidRPr="001468A9">
        <w:t xml:space="preserve">-treated patients, respectively. Grade 3/4 cataracts occurred in 9%/0% and 0%/1% of </w:t>
      </w:r>
      <w:proofErr w:type="spellStart"/>
      <w:r w:rsidRPr="001468A9">
        <w:t>SVd</w:t>
      </w:r>
      <w:proofErr w:type="spellEnd"/>
      <w:r w:rsidRPr="001468A9">
        <w:t xml:space="preserve">- and </w:t>
      </w:r>
      <w:proofErr w:type="spellStart"/>
      <w:r w:rsidRPr="001468A9">
        <w:t>Vd</w:t>
      </w:r>
      <w:proofErr w:type="spellEnd"/>
      <w:r w:rsidRPr="001468A9">
        <w:t>-treated patients, respectively. In patients who received XPOVIO, cataract did not result in treatment discontinuation.</w:t>
      </w:r>
    </w:p>
    <w:p w14:paraId="685BB08E" w14:textId="6173A252" w:rsidR="00414A94" w:rsidRPr="00FA1502" w:rsidRDefault="00414A94" w:rsidP="00414A94">
      <w:pPr>
        <w:pStyle w:val="Heading3"/>
        <w:numPr>
          <w:ilvl w:val="0"/>
          <w:numId w:val="0"/>
        </w:numPr>
        <w:rPr>
          <w:lang w:val="en-AU"/>
        </w:rPr>
      </w:pPr>
      <w:r w:rsidRPr="00FA1502">
        <w:rPr>
          <w:lang w:val="en-AU"/>
        </w:rPr>
        <w:t>Reporting suspected adverse effects</w:t>
      </w:r>
    </w:p>
    <w:p w14:paraId="20911852" w14:textId="77777777" w:rsidR="003B7375" w:rsidRPr="00FA1502" w:rsidRDefault="00414A94" w:rsidP="00414A94">
      <w:pPr>
        <w:rPr>
          <w:lang w:val="en-AU"/>
        </w:rPr>
      </w:pPr>
      <w:r w:rsidRPr="00FA1502">
        <w:rPr>
          <w:lang w:val="en-AU"/>
        </w:rPr>
        <w:t>Reporting suspected adverse reactions after registration of the medicinal product is important. It allows continued monitoring of the benefit-risk balance of the medicinal product. Healthcare professionals are asked to report any suspected adverse reactions at</w:t>
      </w:r>
      <w:r w:rsidR="003B7375" w:rsidRPr="00FA1502">
        <w:rPr>
          <w:lang w:val="en-AU"/>
        </w:rPr>
        <w:t xml:space="preserve"> </w:t>
      </w:r>
      <w:hyperlink r:id="rId9" w:history="1">
        <w:r w:rsidR="003B7375" w:rsidRPr="00FA1502">
          <w:rPr>
            <w:rStyle w:val="Hyperlink"/>
            <w:lang w:val="en-AU"/>
          </w:rPr>
          <w:t>www.tga.gov.au/reporting-problems</w:t>
        </w:r>
      </w:hyperlink>
      <w:r w:rsidR="008A7571" w:rsidRPr="00FA1502">
        <w:rPr>
          <w:lang w:val="en-AU"/>
        </w:rPr>
        <w:t>.</w:t>
      </w:r>
    </w:p>
    <w:p w14:paraId="76E38D75" w14:textId="589524AA" w:rsidR="00FD1F94" w:rsidRPr="00FA1502" w:rsidRDefault="00FD1F94" w:rsidP="00124389">
      <w:pPr>
        <w:pStyle w:val="Heading2"/>
        <w:rPr>
          <w:lang w:val="en-AU"/>
        </w:rPr>
      </w:pPr>
      <w:r w:rsidRPr="00FA1502">
        <w:rPr>
          <w:lang w:val="en-AU"/>
        </w:rPr>
        <w:t>OVERDOSE</w:t>
      </w:r>
    </w:p>
    <w:p w14:paraId="5705FA21" w14:textId="73BECA05" w:rsidR="00821D48" w:rsidRPr="00821D48" w:rsidRDefault="00821D48" w:rsidP="00821D48">
      <w:pPr>
        <w:rPr>
          <w:lang w:val="en-AU"/>
        </w:rPr>
      </w:pPr>
      <w:bookmarkStart w:id="26" w:name="_Hlk71124303"/>
      <w:r w:rsidRPr="00821D48">
        <w:rPr>
          <w:lang w:val="en-AU"/>
        </w:rPr>
        <w:t xml:space="preserve">Overdose due to accidental excessive ingestion of </w:t>
      </w:r>
      <w:proofErr w:type="spellStart"/>
      <w:r w:rsidRPr="00821D48">
        <w:rPr>
          <w:lang w:val="en-AU"/>
        </w:rPr>
        <w:t>selinexor</w:t>
      </w:r>
      <w:proofErr w:type="spellEnd"/>
      <w:r w:rsidRPr="00821D48">
        <w:rPr>
          <w:lang w:val="en-AU"/>
        </w:rPr>
        <w:t xml:space="preserve"> has been reported. Please refer to </w:t>
      </w:r>
      <w:proofErr w:type="spellStart"/>
      <w:r w:rsidRPr="00821D48">
        <w:rPr>
          <w:lang w:val="en-AU"/>
        </w:rPr>
        <w:t>selinexor</w:t>
      </w:r>
      <w:proofErr w:type="spellEnd"/>
      <w:r w:rsidRPr="00821D48">
        <w:rPr>
          <w:lang w:val="en-AU"/>
        </w:rPr>
        <w:t xml:space="preserve"> dosing instructions to avoid dosing errors</w:t>
      </w:r>
      <w:r>
        <w:rPr>
          <w:lang w:val="en-AU"/>
        </w:rPr>
        <w:t xml:space="preserve"> (see Section </w:t>
      </w:r>
      <w:r>
        <w:rPr>
          <w:lang w:val="en-AU"/>
        </w:rPr>
        <w:fldChar w:fldCharType="begin"/>
      </w:r>
      <w:r>
        <w:rPr>
          <w:lang w:val="en-AU"/>
        </w:rPr>
        <w:instrText xml:space="preserve"> REF _Ref511901540 \r \h </w:instrText>
      </w:r>
      <w:r>
        <w:rPr>
          <w:lang w:val="en-AU"/>
        </w:rPr>
      </w:r>
      <w:r>
        <w:rPr>
          <w:lang w:val="en-AU"/>
        </w:rPr>
        <w:fldChar w:fldCharType="separate"/>
      </w:r>
      <w:r w:rsidR="00F53F5F">
        <w:rPr>
          <w:lang w:val="en-AU"/>
        </w:rPr>
        <w:t>4.2</w:t>
      </w:r>
      <w:r>
        <w:rPr>
          <w:lang w:val="en-AU"/>
        </w:rPr>
        <w:fldChar w:fldCharType="end"/>
      </w:r>
      <w:r>
        <w:rPr>
          <w:lang w:val="en-AU"/>
        </w:rPr>
        <w:t xml:space="preserve"> </w:t>
      </w:r>
      <w:r>
        <w:rPr>
          <w:lang w:val="en-AU"/>
        </w:rPr>
        <w:fldChar w:fldCharType="begin"/>
      </w:r>
      <w:r>
        <w:rPr>
          <w:lang w:val="en-AU"/>
        </w:rPr>
        <w:instrText xml:space="preserve"> REF _Ref511901540 \h </w:instrText>
      </w:r>
      <w:r>
        <w:rPr>
          <w:lang w:val="en-AU"/>
        </w:rPr>
      </w:r>
      <w:r>
        <w:rPr>
          <w:lang w:val="en-AU"/>
        </w:rPr>
        <w:fldChar w:fldCharType="separate"/>
      </w:r>
      <w:r w:rsidR="00F53F5F" w:rsidRPr="00FA1502">
        <w:rPr>
          <w:lang w:val="en-AU"/>
        </w:rPr>
        <w:t>DOSE AND METHOD OF ADMINISTRATION</w:t>
      </w:r>
      <w:r>
        <w:rPr>
          <w:lang w:val="en-AU"/>
        </w:rPr>
        <w:fldChar w:fldCharType="end"/>
      </w:r>
      <w:r>
        <w:rPr>
          <w:lang w:val="en-AU"/>
        </w:rPr>
        <w:t xml:space="preserve">). </w:t>
      </w:r>
    </w:p>
    <w:bookmarkEnd w:id="26"/>
    <w:p w14:paraId="6CAC8484" w14:textId="2F01116B" w:rsidR="002216CA" w:rsidRPr="00FA1502" w:rsidRDefault="002216CA" w:rsidP="002216CA">
      <w:pPr>
        <w:pStyle w:val="Heading3"/>
        <w:numPr>
          <w:ilvl w:val="0"/>
          <w:numId w:val="0"/>
        </w:numPr>
        <w:rPr>
          <w:lang w:val="en-AU"/>
        </w:rPr>
      </w:pPr>
      <w:r w:rsidRPr="00FA1502">
        <w:rPr>
          <w:lang w:val="en-AU"/>
        </w:rPr>
        <w:t>Symptoms</w:t>
      </w:r>
    </w:p>
    <w:p w14:paraId="2F5233F7" w14:textId="77777777" w:rsidR="002216CA" w:rsidRPr="00083DA3" w:rsidRDefault="002216CA" w:rsidP="002216CA">
      <w:pPr>
        <w:rPr>
          <w:lang w:val="en-AU"/>
        </w:rPr>
      </w:pPr>
      <w:r w:rsidRPr="00083DA3">
        <w:rPr>
          <w:lang w:val="en-AU"/>
        </w:rPr>
        <w:t>In general, overdoses have been associated with similar side effects to those reported for standard dosing and have generally been reversible within 1 week.</w:t>
      </w:r>
    </w:p>
    <w:p w14:paraId="6A971CCF" w14:textId="46842F1E" w:rsidR="002216CA" w:rsidRPr="00FA1502" w:rsidRDefault="002216CA" w:rsidP="002216CA">
      <w:pPr>
        <w:rPr>
          <w:lang w:val="en-AU"/>
        </w:rPr>
      </w:pPr>
      <w:r w:rsidRPr="00083DA3">
        <w:rPr>
          <w:lang w:val="en-AU"/>
        </w:rPr>
        <w:t xml:space="preserve">Potential acute symptoms include nausea, vomiting, diarrhoea, </w:t>
      </w:r>
      <w:proofErr w:type="gramStart"/>
      <w:r w:rsidRPr="00083DA3">
        <w:rPr>
          <w:lang w:val="en-AU"/>
        </w:rPr>
        <w:t>dehydration</w:t>
      </w:r>
      <w:proofErr w:type="gramEnd"/>
      <w:r w:rsidRPr="00083DA3">
        <w:rPr>
          <w:lang w:val="en-AU"/>
        </w:rPr>
        <w:t xml:space="preserve"> and confusion. Potential signs include low sodium levels, elevated liver enzymes, and low blood counts. Patients should be monitored closely and provided supportive care as appropriate. No fatalities due to overdose have been reported to date.</w:t>
      </w:r>
    </w:p>
    <w:p w14:paraId="58106AB0" w14:textId="4EA8D56E" w:rsidR="002216CA" w:rsidRPr="00FA1502" w:rsidRDefault="002216CA" w:rsidP="002216CA">
      <w:pPr>
        <w:pStyle w:val="Heading3"/>
        <w:numPr>
          <w:ilvl w:val="0"/>
          <w:numId w:val="0"/>
        </w:numPr>
        <w:ind w:left="680" w:hanging="680"/>
        <w:rPr>
          <w:lang w:val="en-AU"/>
        </w:rPr>
      </w:pPr>
      <w:r w:rsidRPr="00FA1502">
        <w:rPr>
          <w:lang w:val="en-AU"/>
        </w:rPr>
        <w:t>Management</w:t>
      </w:r>
    </w:p>
    <w:p w14:paraId="515715F4" w14:textId="77777777" w:rsidR="007E09E3" w:rsidRPr="00FA1502" w:rsidRDefault="007E09E3" w:rsidP="007E09E3">
      <w:pPr>
        <w:rPr>
          <w:lang w:val="en-AU"/>
        </w:rPr>
      </w:pPr>
      <w:r w:rsidRPr="00FA1502">
        <w:rPr>
          <w:lang w:val="en-AU"/>
        </w:rPr>
        <w:t>For information on the management of overdose, contact the Poisons Information Centre on 13 11 26 (Australia).</w:t>
      </w:r>
    </w:p>
    <w:p w14:paraId="1E0B2623" w14:textId="11F768F9" w:rsidR="002216CA" w:rsidRPr="00FA1502" w:rsidRDefault="002216CA" w:rsidP="002216CA">
      <w:pPr>
        <w:rPr>
          <w:lang w:val="en-AU"/>
        </w:rPr>
      </w:pPr>
      <w:r w:rsidRPr="00083DA3">
        <w:rPr>
          <w:lang w:val="en-AU"/>
        </w:rPr>
        <w:t>In the event of an overdose, monitor the patient for any adverse reactions and appropriate symptomatic treatment should be provided immediately.</w:t>
      </w:r>
    </w:p>
    <w:p w14:paraId="7A9FA13C" w14:textId="77777777" w:rsidR="00FD1F94" w:rsidRPr="00FA1502" w:rsidRDefault="00FD1F94" w:rsidP="0055703C">
      <w:pPr>
        <w:pStyle w:val="Heading1"/>
        <w:pageBreakBefore w:val="0"/>
        <w:rPr>
          <w:lang w:val="en-AU"/>
        </w:rPr>
      </w:pPr>
      <w:r w:rsidRPr="00FA1502">
        <w:rPr>
          <w:lang w:val="en-AU"/>
        </w:rPr>
        <w:t>PHARMACOLOGICAL PROPERTIES</w:t>
      </w:r>
    </w:p>
    <w:p w14:paraId="0CD58210" w14:textId="7CC499DA" w:rsidR="00FD1F94" w:rsidRPr="00FA1502" w:rsidRDefault="00FD1F94" w:rsidP="00124389">
      <w:pPr>
        <w:pStyle w:val="Heading2"/>
        <w:rPr>
          <w:lang w:val="en-AU"/>
        </w:rPr>
      </w:pPr>
      <w:bookmarkStart w:id="27" w:name="_Ref71121937"/>
      <w:r w:rsidRPr="00FA1502">
        <w:rPr>
          <w:lang w:val="en-AU"/>
        </w:rPr>
        <w:t>PHARMACODYNAMIC PROPERTIES</w:t>
      </w:r>
      <w:bookmarkEnd w:id="27"/>
    </w:p>
    <w:p w14:paraId="75EB572E" w14:textId="77777777" w:rsidR="00FD1F94" w:rsidRPr="00FA1502" w:rsidRDefault="00FD1F94" w:rsidP="0055703C">
      <w:pPr>
        <w:pStyle w:val="Heading3"/>
        <w:numPr>
          <w:ilvl w:val="0"/>
          <w:numId w:val="0"/>
        </w:numPr>
        <w:rPr>
          <w:lang w:val="en-AU"/>
        </w:rPr>
      </w:pPr>
      <w:r w:rsidRPr="00FA1502">
        <w:rPr>
          <w:lang w:val="en-AU"/>
        </w:rPr>
        <w:t>Mechanism of action</w:t>
      </w:r>
    </w:p>
    <w:p w14:paraId="607C88D4" w14:textId="17648E7A" w:rsidR="00A114B2" w:rsidRPr="00FA1502" w:rsidRDefault="00D81802" w:rsidP="0055703C">
      <w:pPr>
        <w:rPr>
          <w:lang w:val="en-AU"/>
        </w:rPr>
      </w:pPr>
      <w:r w:rsidRPr="001468A9">
        <w:rPr>
          <w:lang w:val="en-AU"/>
        </w:rPr>
        <w:t xml:space="preserve">Selinexor is a reversible covalent selective inhibitor of nuclear export (SINE) compound that specifically blocks exportin 1 (XPO1). XPO1 is a </w:t>
      </w:r>
      <w:r w:rsidR="00E32968">
        <w:rPr>
          <w:lang w:val="en-AU"/>
        </w:rPr>
        <w:t xml:space="preserve">major </w:t>
      </w:r>
      <w:r w:rsidRPr="001468A9">
        <w:rPr>
          <w:lang w:val="en-AU"/>
        </w:rPr>
        <w:t xml:space="preserve">nuclear export protein that transports cargo proteins </w:t>
      </w:r>
      <w:r w:rsidR="00E32968">
        <w:rPr>
          <w:lang w:val="en-AU"/>
        </w:rPr>
        <w:t xml:space="preserve">and several classes of mRNA </w:t>
      </w:r>
      <w:r w:rsidRPr="001468A9">
        <w:rPr>
          <w:lang w:val="en-AU"/>
        </w:rPr>
        <w:t xml:space="preserve">from the nucleus to the cytoplasm. </w:t>
      </w:r>
      <w:r w:rsidR="00E32968" w:rsidRPr="00E32968">
        <w:rPr>
          <w:lang w:val="en-AU"/>
        </w:rPr>
        <w:t xml:space="preserve">XPO1 cargoes include many </w:t>
      </w:r>
      <w:r w:rsidRPr="001468A9">
        <w:rPr>
          <w:lang w:val="en-AU"/>
        </w:rPr>
        <w:t>tumour suppressor proteins (TSPs), growth regulator</w:t>
      </w:r>
      <w:r w:rsidR="00E32968">
        <w:rPr>
          <w:lang w:val="en-AU"/>
        </w:rPr>
        <w:t xml:space="preserve"> proteins (GRPs)</w:t>
      </w:r>
      <w:r w:rsidRPr="001468A9">
        <w:rPr>
          <w:lang w:val="en-AU"/>
        </w:rPr>
        <w:t xml:space="preserve"> and mRNAs of growth promoting (oncogenic) proteins. XPO1 inhibition by </w:t>
      </w:r>
      <w:proofErr w:type="spellStart"/>
      <w:r w:rsidRPr="001468A9">
        <w:rPr>
          <w:lang w:val="en-AU"/>
        </w:rPr>
        <w:t>selinexor</w:t>
      </w:r>
      <w:proofErr w:type="spellEnd"/>
      <w:r w:rsidRPr="001468A9">
        <w:rPr>
          <w:lang w:val="en-AU"/>
        </w:rPr>
        <w:t xml:space="preserve"> leads to </w:t>
      </w:r>
      <w:r w:rsidRPr="001468A9">
        <w:rPr>
          <w:lang w:val="en-AU"/>
        </w:rPr>
        <w:lastRenderedPageBreak/>
        <w:t>marked accumulation of TSPs</w:t>
      </w:r>
      <w:r w:rsidR="00E32968">
        <w:rPr>
          <w:lang w:val="en-AU"/>
        </w:rPr>
        <w:t xml:space="preserve"> </w:t>
      </w:r>
      <w:r w:rsidR="00E32968" w:rsidRPr="00E32968">
        <w:rPr>
          <w:lang w:val="en-AU"/>
        </w:rPr>
        <w:t xml:space="preserve">and GRPs (such as p53, p21, FOXO and </w:t>
      </w:r>
      <w:proofErr w:type="spellStart"/>
      <w:r w:rsidR="00E32968" w:rsidRPr="00E32968">
        <w:rPr>
          <w:lang w:val="en-AU"/>
        </w:rPr>
        <w:t>IκB</w:t>
      </w:r>
      <w:proofErr w:type="spellEnd"/>
      <w:r w:rsidR="00E32968">
        <w:rPr>
          <w:lang w:val="en-AU"/>
        </w:rPr>
        <w:t>)</w:t>
      </w:r>
      <w:r w:rsidRPr="001468A9">
        <w:rPr>
          <w:lang w:val="en-AU"/>
        </w:rPr>
        <w:t xml:space="preserve"> in the </w:t>
      </w:r>
      <w:proofErr w:type="gramStart"/>
      <w:r w:rsidRPr="001468A9">
        <w:rPr>
          <w:lang w:val="en-AU"/>
        </w:rPr>
        <w:t>nucleus</w:t>
      </w:r>
      <w:r w:rsidR="00E32968">
        <w:rPr>
          <w:lang w:val="en-AU"/>
        </w:rPr>
        <w:t>(</w:t>
      </w:r>
      <w:proofErr w:type="gramEnd"/>
      <w:r w:rsidR="00E32968">
        <w:rPr>
          <w:lang w:val="en-AU"/>
        </w:rPr>
        <w:t>their site of action)</w:t>
      </w:r>
      <w:r w:rsidRPr="001468A9">
        <w:rPr>
          <w:lang w:val="en-AU"/>
        </w:rPr>
        <w:t xml:space="preserve">,  </w:t>
      </w:r>
      <w:r w:rsidR="00E32968">
        <w:rPr>
          <w:lang w:val="en-AU"/>
        </w:rPr>
        <w:t xml:space="preserve">and reduced expression of </w:t>
      </w:r>
      <w:r w:rsidRPr="001468A9">
        <w:rPr>
          <w:lang w:val="en-AU"/>
        </w:rPr>
        <w:t xml:space="preserve">several oncoproteins </w:t>
      </w:r>
      <w:r w:rsidR="00CA38B4">
        <w:rPr>
          <w:lang w:val="en-AU"/>
        </w:rPr>
        <w:t>(</w:t>
      </w:r>
      <w:r w:rsidRPr="001468A9">
        <w:rPr>
          <w:lang w:val="en-AU"/>
        </w:rPr>
        <w:t>such as c-</w:t>
      </w:r>
      <w:proofErr w:type="spellStart"/>
      <w:r w:rsidRPr="001468A9">
        <w:rPr>
          <w:lang w:val="en-AU"/>
        </w:rPr>
        <w:t>Myc</w:t>
      </w:r>
      <w:proofErr w:type="spellEnd"/>
      <w:r w:rsidR="00BE7C2F" w:rsidRPr="001468A9">
        <w:rPr>
          <w:lang w:val="en-AU"/>
        </w:rPr>
        <w:t xml:space="preserve">, Bcl2 </w:t>
      </w:r>
      <w:r w:rsidRPr="001468A9">
        <w:rPr>
          <w:lang w:val="en-AU"/>
        </w:rPr>
        <w:t xml:space="preserve"> and cyclin D1</w:t>
      </w:r>
      <w:r w:rsidR="00CA38B4">
        <w:rPr>
          <w:lang w:val="en-AU"/>
        </w:rPr>
        <w:t>) and translation/chaperon proteins (Hsp70)</w:t>
      </w:r>
      <w:r w:rsidRPr="001468A9">
        <w:rPr>
          <w:lang w:val="en-AU"/>
        </w:rPr>
        <w:t xml:space="preserve">, </w:t>
      </w:r>
      <w:r w:rsidR="00BE7C2F" w:rsidRPr="001468A9">
        <w:rPr>
          <w:lang w:val="en-AU"/>
        </w:rPr>
        <w:t xml:space="preserve">resulting in cell cycle arrest </w:t>
      </w:r>
      <w:r w:rsidRPr="001468A9">
        <w:rPr>
          <w:lang w:val="en-AU"/>
        </w:rPr>
        <w:t>and apoptosis of cancer cells.</w:t>
      </w:r>
      <w:r w:rsidR="00B23C4C" w:rsidRPr="009F662B">
        <w:rPr>
          <w:lang w:val="en-AU"/>
        </w:rPr>
        <w:t xml:space="preserve"> </w:t>
      </w:r>
      <w:r w:rsidR="00B23C4C" w:rsidRPr="001468A9">
        <w:rPr>
          <w:lang w:val="en-AU"/>
        </w:rPr>
        <w:t xml:space="preserve">The combination of </w:t>
      </w:r>
      <w:proofErr w:type="spellStart"/>
      <w:r w:rsidR="00B23C4C" w:rsidRPr="001468A9">
        <w:rPr>
          <w:lang w:val="en-AU"/>
        </w:rPr>
        <w:t>selinexor</w:t>
      </w:r>
      <w:proofErr w:type="spellEnd"/>
      <w:r w:rsidR="00B23C4C" w:rsidRPr="001468A9">
        <w:rPr>
          <w:lang w:val="en-AU"/>
        </w:rPr>
        <w:t xml:space="preserve"> and dexamethasone or bortezomib demonstrated synergistic cytostatic and cytotoxic effects in multiple myeloma </w:t>
      </w:r>
      <w:r w:rsidR="00B23C4C" w:rsidRPr="00F53F5F">
        <w:rPr>
          <w:i/>
          <w:iCs/>
          <w:lang w:val="en-AU"/>
        </w:rPr>
        <w:t>in vitro</w:t>
      </w:r>
      <w:r w:rsidR="00B23C4C" w:rsidRPr="001468A9">
        <w:rPr>
          <w:lang w:val="en-AU"/>
        </w:rPr>
        <w:t xml:space="preserve"> and </w:t>
      </w:r>
      <w:r w:rsidR="00B23C4C" w:rsidRPr="00F53F5F">
        <w:rPr>
          <w:i/>
          <w:iCs/>
          <w:lang w:val="en-AU"/>
        </w:rPr>
        <w:t>in vivo</w:t>
      </w:r>
      <w:r w:rsidR="00B23C4C" w:rsidRPr="001468A9">
        <w:rPr>
          <w:lang w:val="en-AU"/>
        </w:rPr>
        <w:t xml:space="preserve"> models, including those resistant to proteasome inhibitors.</w:t>
      </w:r>
      <w:r w:rsidR="00B23C4C" w:rsidRPr="009F662B">
        <w:rPr>
          <w:lang w:val="en-AU"/>
        </w:rPr>
        <w:t xml:space="preserve"> </w:t>
      </w:r>
      <w:r w:rsidR="00B23C4C" w:rsidRPr="001468A9">
        <w:rPr>
          <w:lang w:val="en-AU"/>
        </w:rPr>
        <w:t xml:space="preserve">Selinexor demonstrated pro apoptotic activity </w:t>
      </w:r>
      <w:r w:rsidR="00B23C4C" w:rsidRPr="00F53F5F">
        <w:rPr>
          <w:i/>
          <w:iCs/>
          <w:lang w:val="en-AU"/>
        </w:rPr>
        <w:t>in vitro</w:t>
      </w:r>
      <w:r w:rsidR="00B23C4C" w:rsidRPr="001468A9">
        <w:rPr>
          <w:lang w:val="en-AU"/>
        </w:rPr>
        <w:t xml:space="preserve"> in multiple myeloma and diffuse large B-cell lymphoma cell lines, in murine xenograft models as well as in patient tumour samples.</w:t>
      </w:r>
    </w:p>
    <w:p w14:paraId="7F7AA11C" w14:textId="77777777" w:rsidR="00D81802" w:rsidRPr="00FA1502" w:rsidRDefault="00D81802" w:rsidP="00D81802">
      <w:pPr>
        <w:pStyle w:val="Heading4"/>
        <w:numPr>
          <w:ilvl w:val="0"/>
          <w:numId w:val="0"/>
        </w:numPr>
        <w:ind w:left="862" w:hanging="862"/>
        <w:rPr>
          <w:lang w:val="en-AU"/>
        </w:rPr>
      </w:pPr>
      <w:r w:rsidRPr="00FA1502">
        <w:rPr>
          <w:lang w:val="en-AU"/>
        </w:rPr>
        <w:t>Cardiac electrophysiology</w:t>
      </w:r>
    </w:p>
    <w:p w14:paraId="7F02E81D" w14:textId="512BCAF4" w:rsidR="00D81802" w:rsidRPr="00FA1502" w:rsidRDefault="00D81802" w:rsidP="00D81802">
      <w:pPr>
        <w:rPr>
          <w:lang w:val="en-AU"/>
        </w:rPr>
      </w:pPr>
      <w:r w:rsidRPr="001468A9">
        <w:rPr>
          <w:lang w:val="en-AU"/>
        </w:rPr>
        <w:t xml:space="preserve">The effect of multiple doses of </w:t>
      </w:r>
      <w:proofErr w:type="spellStart"/>
      <w:r w:rsidRPr="001468A9">
        <w:rPr>
          <w:lang w:val="en-AU"/>
        </w:rPr>
        <w:t>selinexor</w:t>
      </w:r>
      <w:proofErr w:type="spellEnd"/>
      <w:r w:rsidRPr="001468A9">
        <w:rPr>
          <w:lang w:val="en-AU"/>
        </w:rPr>
        <w:t xml:space="preserve"> up to 175 mg twice weekly on the QTc interval was evaluated in patients with heavily pre-treated haematologic malignancies. Selinexor had no large effect (</w:t>
      </w:r>
      <w:proofErr w:type="gramStart"/>
      <w:r w:rsidRPr="001468A9">
        <w:rPr>
          <w:lang w:val="en-AU"/>
        </w:rPr>
        <w:t>i.e.</w:t>
      </w:r>
      <w:proofErr w:type="gramEnd"/>
      <w:r w:rsidRPr="001468A9">
        <w:rPr>
          <w:lang w:val="en-AU"/>
        </w:rPr>
        <w:t xml:space="preserve"> no greater than 20 </w:t>
      </w:r>
      <w:proofErr w:type="spellStart"/>
      <w:r w:rsidRPr="001468A9">
        <w:rPr>
          <w:lang w:val="en-AU"/>
        </w:rPr>
        <w:t>ms</w:t>
      </w:r>
      <w:proofErr w:type="spellEnd"/>
      <w:r w:rsidRPr="001468A9">
        <w:rPr>
          <w:lang w:val="en-AU"/>
        </w:rPr>
        <w:t>) on QTc interval at the therapeutic dose level.</w:t>
      </w:r>
    </w:p>
    <w:p w14:paraId="249A1671" w14:textId="0C67E165" w:rsidR="00FD1F94" w:rsidRPr="00FA1502" w:rsidRDefault="00FD1F94" w:rsidP="005122FF">
      <w:pPr>
        <w:pStyle w:val="Heading3"/>
        <w:numPr>
          <w:ilvl w:val="0"/>
          <w:numId w:val="0"/>
        </w:numPr>
        <w:rPr>
          <w:lang w:val="en-AU"/>
        </w:rPr>
      </w:pPr>
      <w:bookmarkStart w:id="28" w:name="_Ref71121968"/>
      <w:r w:rsidRPr="00FA1502">
        <w:rPr>
          <w:lang w:val="en-AU"/>
        </w:rPr>
        <w:t>Clinical trials</w:t>
      </w:r>
      <w:bookmarkEnd w:id="28"/>
    </w:p>
    <w:p w14:paraId="083E860F" w14:textId="60D4E963" w:rsidR="00D81802" w:rsidRPr="00FA1502" w:rsidRDefault="00B23C4C" w:rsidP="00D81802">
      <w:pPr>
        <w:pStyle w:val="Heading4"/>
        <w:numPr>
          <w:ilvl w:val="0"/>
          <w:numId w:val="0"/>
        </w:numPr>
        <w:ind w:left="862" w:hanging="862"/>
        <w:rPr>
          <w:lang w:val="en-AU"/>
        </w:rPr>
      </w:pPr>
      <w:r>
        <w:rPr>
          <w:lang w:val="en-AU"/>
        </w:rPr>
        <w:t>M</w:t>
      </w:r>
      <w:r w:rsidR="00D81802" w:rsidRPr="00FA1502">
        <w:rPr>
          <w:lang w:val="en-AU"/>
        </w:rPr>
        <w:t>ultiple myeloma</w:t>
      </w:r>
    </w:p>
    <w:p w14:paraId="750F7C98" w14:textId="7F6A65B1" w:rsidR="000B2F53" w:rsidRPr="001468A9" w:rsidRDefault="000B2F53" w:rsidP="000B2F53">
      <w:pPr>
        <w:pStyle w:val="Heading5"/>
        <w:numPr>
          <w:ilvl w:val="0"/>
          <w:numId w:val="0"/>
        </w:numPr>
        <w:ind w:left="1009" w:hanging="1009"/>
        <w:rPr>
          <w:lang w:val="en-AU"/>
        </w:rPr>
      </w:pPr>
      <w:r w:rsidRPr="001468A9">
        <w:rPr>
          <w:lang w:val="en-AU"/>
        </w:rPr>
        <w:t>In Combination with</w:t>
      </w:r>
      <w:r w:rsidR="003F6332">
        <w:rPr>
          <w:lang w:val="en-AU"/>
        </w:rPr>
        <w:t xml:space="preserve"> b</w:t>
      </w:r>
      <w:r w:rsidRPr="001468A9">
        <w:rPr>
          <w:lang w:val="en-AU"/>
        </w:rPr>
        <w:t xml:space="preserve">ortezomib and </w:t>
      </w:r>
      <w:r w:rsidR="003F6332">
        <w:rPr>
          <w:lang w:val="en-AU"/>
        </w:rPr>
        <w:t>d</w:t>
      </w:r>
      <w:r w:rsidRPr="003F6332">
        <w:rPr>
          <w:lang w:val="en-AU"/>
        </w:rPr>
        <w:t>examethasone (</w:t>
      </w:r>
      <w:proofErr w:type="spellStart"/>
      <w:r w:rsidRPr="003F6332">
        <w:rPr>
          <w:lang w:val="en-AU"/>
        </w:rPr>
        <w:t>SVd</w:t>
      </w:r>
      <w:proofErr w:type="spellEnd"/>
      <w:r w:rsidRPr="003F6332">
        <w:rPr>
          <w:lang w:val="en-AU"/>
        </w:rPr>
        <w:t>), BOSTON Tri</w:t>
      </w:r>
      <w:r w:rsidR="002A757A">
        <w:rPr>
          <w:lang w:val="en-AU"/>
        </w:rPr>
        <w:t>a</w:t>
      </w:r>
      <w:r w:rsidRPr="001468A9">
        <w:rPr>
          <w:lang w:val="en-AU"/>
        </w:rPr>
        <w:t>l</w:t>
      </w:r>
    </w:p>
    <w:p w14:paraId="7C787D14" w14:textId="77777777" w:rsidR="000B2F53" w:rsidRPr="001468A9" w:rsidRDefault="000B2F53" w:rsidP="000B2F53">
      <w:pPr>
        <w:rPr>
          <w:lang w:val="en-AU"/>
        </w:rPr>
      </w:pPr>
      <w:r w:rsidRPr="001468A9">
        <w:rPr>
          <w:lang w:val="en-AU"/>
        </w:rPr>
        <w:t>The efficacy of XPOVIO plus dexamethasone was evaluated in BOSTON (KCP-330-023; NCT03110562). BOSTON, a global, randomized, open label, active-controlled Phase 3 study, compared treatment of once weekly XPOVIO 100mg (Days 1, 8, 15, 22, 29) in combination with once-weekly subcutaneous bortezomib 1.3 mg/m2 (Days 1, 8, 15, 22) and twice weekly low-dose dexamethasone 20 mg (Days 1, 2, 8, 9, 15, 16, 22, 23, 29, and 30) of a repeated 35-day cycle [</w:t>
      </w:r>
      <w:proofErr w:type="spellStart"/>
      <w:r w:rsidRPr="001468A9">
        <w:rPr>
          <w:lang w:val="en-AU"/>
        </w:rPr>
        <w:t>SVd</w:t>
      </w:r>
      <w:proofErr w:type="spellEnd"/>
      <w:r w:rsidRPr="001468A9">
        <w:rPr>
          <w:lang w:val="en-AU"/>
        </w:rPr>
        <w:t xml:space="preserve"> arm] to treatment with twice-weekly subcutaneous bortezomib 1.3 mg/m2 (Days 1, 4, 8, 11) and low-dose dexamethasone 20 mg (Days 1, 2, 4, 5, 8, 9, 11, 12) of a standard 21-day cycle for the first 8 cycles, followed by weekly subcutaneous bortezomib 1.3 mg/m2 (Days 1, 8, 15, 22), low-dose dexamethasone 20 mg (Days 1, 2, 8, 9, 15, 16, 22, 23, 29, and 30) of 35-day cycle (Cycle≥9) [</w:t>
      </w:r>
      <w:proofErr w:type="spellStart"/>
      <w:r w:rsidRPr="001468A9">
        <w:rPr>
          <w:lang w:val="en-AU"/>
        </w:rPr>
        <w:t>Vd</w:t>
      </w:r>
      <w:proofErr w:type="spellEnd"/>
      <w:r w:rsidRPr="001468A9">
        <w:rPr>
          <w:lang w:val="en-AU"/>
        </w:rPr>
        <w:t xml:space="preserve"> arm]. </w:t>
      </w:r>
    </w:p>
    <w:p w14:paraId="35635A3C" w14:textId="77777777" w:rsidR="000B2F53" w:rsidRPr="001468A9" w:rsidRDefault="000B2F53" w:rsidP="000B2F53">
      <w:pPr>
        <w:rPr>
          <w:lang w:val="en-AU"/>
        </w:rPr>
      </w:pPr>
      <w:r w:rsidRPr="001468A9">
        <w:rPr>
          <w:lang w:val="en-AU"/>
        </w:rPr>
        <w:t xml:space="preserve">Treatment was continued in both arms until disease progression </w:t>
      </w:r>
      <w:proofErr w:type="gramStart"/>
      <w:r w:rsidRPr="001468A9">
        <w:rPr>
          <w:lang w:val="en-AU"/>
        </w:rPr>
        <w:t>or</w:t>
      </w:r>
      <w:proofErr w:type="gramEnd"/>
      <w:r w:rsidRPr="001468A9">
        <w:rPr>
          <w:lang w:val="en-AU"/>
        </w:rPr>
        <w:t xml:space="preserve"> unacceptable toxicity. Upon confirmed progressive disease (PD), patients in the control arm (</w:t>
      </w:r>
      <w:proofErr w:type="spellStart"/>
      <w:r w:rsidRPr="001468A9">
        <w:rPr>
          <w:lang w:val="en-AU"/>
        </w:rPr>
        <w:t>Vd</w:t>
      </w:r>
      <w:proofErr w:type="spellEnd"/>
      <w:r w:rsidRPr="001468A9">
        <w:rPr>
          <w:lang w:val="en-AU"/>
        </w:rPr>
        <w:t xml:space="preserve">) could cross over to receive XPOVIO-based therapy in the form of weekly </w:t>
      </w:r>
      <w:proofErr w:type="spellStart"/>
      <w:r w:rsidRPr="001468A9">
        <w:rPr>
          <w:lang w:val="en-AU"/>
        </w:rPr>
        <w:t>SVd</w:t>
      </w:r>
      <w:proofErr w:type="spellEnd"/>
      <w:r w:rsidRPr="001468A9">
        <w:rPr>
          <w:lang w:val="en-AU"/>
        </w:rPr>
        <w:t xml:space="preserve"> (BOSTON regimen) or weekly Sd (XPOVIO 100mg Days 1, 8, 15, 22, 29 and low-dose dexamethasone 20 mg on Days 1, 2, 8, 9, 15, 16, 22, 23, 29, and 30) of each 35-day cycle.</w:t>
      </w:r>
    </w:p>
    <w:p w14:paraId="3F896DEA" w14:textId="77777777" w:rsidR="000B2F53" w:rsidRPr="001468A9" w:rsidRDefault="000B2F53" w:rsidP="000B2F53">
      <w:pPr>
        <w:rPr>
          <w:lang w:val="en-AU"/>
        </w:rPr>
      </w:pPr>
      <w:r w:rsidRPr="001468A9">
        <w:rPr>
          <w:lang w:val="en-AU"/>
        </w:rPr>
        <w:t xml:space="preserve">Antiemetic prophylaxis was used in 88% and 36% of patients in the </w:t>
      </w:r>
      <w:proofErr w:type="spellStart"/>
      <w:r w:rsidRPr="001468A9">
        <w:rPr>
          <w:lang w:val="en-AU"/>
        </w:rPr>
        <w:t>SVd</w:t>
      </w:r>
      <w:proofErr w:type="spellEnd"/>
      <w:r w:rsidRPr="001468A9">
        <w:rPr>
          <w:lang w:val="en-AU"/>
        </w:rPr>
        <w:t xml:space="preserve"> arm and </w:t>
      </w:r>
      <w:proofErr w:type="spellStart"/>
      <w:r w:rsidRPr="001468A9">
        <w:rPr>
          <w:lang w:val="en-AU"/>
        </w:rPr>
        <w:t>Vd</w:t>
      </w:r>
      <w:proofErr w:type="spellEnd"/>
      <w:r w:rsidRPr="001468A9">
        <w:rPr>
          <w:lang w:val="en-AU"/>
        </w:rPr>
        <w:t xml:space="preserve"> arm, respectively. </w:t>
      </w:r>
    </w:p>
    <w:p w14:paraId="22F75E8E" w14:textId="67C164C3" w:rsidR="000B2F53" w:rsidRPr="001468A9" w:rsidRDefault="000B2F53" w:rsidP="000B2F53">
      <w:pPr>
        <w:rPr>
          <w:lang w:val="en-AU"/>
        </w:rPr>
      </w:pPr>
      <w:r w:rsidRPr="001468A9">
        <w:rPr>
          <w:lang w:val="en-AU"/>
        </w:rPr>
        <w:t xml:space="preserve">A total of 402 patients were randomized: 195 to </w:t>
      </w:r>
      <w:proofErr w:type="spellStart"/>
      <w:r w:rsidRPr="001468A9">
        <w:rPr>
          <w:lang w:val="en-AU"/>
        </w:rPr>
        <w:t>SVd</w:t>
      </w:r>
      <w:proofErr w:type="spellEnd"/>
      <w:r w:rsidRPr="001468A9">
        <w:rPr>
          <w:lang w:val="en-AU"/>
        </w:rPr>
        <w:t xml:space="preserve"> arm and 207 to </w:t>
      </w:r>
      <w:proofErr w:type="spellStart"/>
      <w:r w:rsidRPr="001468A9">
        <w:rPr>
          <w:lang w:val="en-AU"/>
        </w:rPr>
        <w:t>Vd</w:t>
      </w:r>
      <w:proofErr w:type="spellEnd"/>
      <w:r w:rsidRPr="001468A9">
        <w:rPr>
          <w:lang w:val="en-AU"/>
        </w:rPr>
        <w:t xml:space="preserve"> arm. Baseline patient and disease characteristics were well balanced and comparable between the two arms as described in </w:t>
      </w:r>
      <w:r w:rsidR="00D46BCF">
        <w:rPr>
          <w:lang w:val="en-AU"/>
        </w:rPr>
        <w:fldChar w:fldCharType="begin"/>
      </w:r>
      <w:r w:rsidR="00D46BCF">
        <w:rPr>
          <w:lang w:val="en-AU"/>
        </w:rPr>
        <w:instrText xml:space="preserve"> REF _Ref49247242 \h </w:instrText>
      </w:r>
      <w:r w:rsidR="00D46BCF">
        <w:rPr>
          <w:lang w:val="en-AU"/>
        </w:rPr>
      </w:r>
      <w:r w:rsidR="00D46BCF">
        <w:rPr>
          <w:lang w:val="en-AU"/>
        </w:rPr>
        <w:fldChar w:fldCharType="separate"/>
      </w:r>
      <w:r w:rsidR="00F53F5F">
        <w:t xml:space="preserve">Table </w:t>
      </w:r>
      <w:r w:rsidR="00F53F5F">
        <w:rPr>
          <w:noProof/>
        </w:rPr>
        <w:t>8</w:t>
      </w:r>
      <w:r w:rsidR="00D46BCF">
        <w:rPr>
          <w:lang w:val="en-AU"/>
        </w:rPr>
        <w:fldChar w:fldCharType="end"/>
      </w:r>
      <w:r w:rsidRPr="001468A9">
        <w:rPr>
          <w:lang w:val="en-AU"/>
        </w:rPr>
        <w:t xml:space="preserve"> and</w:t>
      </w:r>
      <w:r w:rsidR="006854A2">
        <w:rPr>
          <w:lang w:val="en-AU"/>
        </w:rPr>
        <w:t xml:space="preserve"> </w:t>
      </w:r>
      <w:r w:rsidR="00D46BCF">
        <w:rPr>
          <w:lang w:val="en-AU"/>
        </w:rPr>
        <w:fldChar w:fldCharType="begin"/>
      </w:r>
      <w:r w:rsidR="00D46BCF">
        <w:rPr>
          <w:lang w:val="en-AU"/>
        </w:rPr>
        <w:instrText xml:space="preserve"> REF _Ref53993767 \h </w:instrText>
      </w:r>
      <w:r w:rsidR="00D46BCF">
        <w:rPr>
          <w:lang w:val="en-AU"/>
        </w:rPr>
      </w:r>
      <w:r w:rsidR="00D46BCF">
        <w:rPr>
          <w:lang w:val="en-AU"/>
        </w:rPr>
        <w:fldChar w:fldCharType="separate"/>
      </w:r>
      <w:r w:rsidR="00F53F5F">
        <w:t xml:space="preserve">Table </w:t>
      </w:r>
      <w:r w:rsidR="00F53F5F">
        <w:rPr>
          <w:noProof/>
        </w:rPr>
        <w:t>9</w:t>
      </w:r>
      <w:r w:rsidR="00D46BCF">
        <w:rPr>
          <w:lang w:val="en-AU"/>
        </w:rPr>
        <w:fldChar w:fldCharType="end"/>
      </w:r>
      <w:r w:rsidRPr="001468A9">
        <w:rPr>
          <w:lang w:val="en-AU"/>
        </w:rPr>
        <w:t>, respectively.</w:t>
      </w:r>
    </w:p>
    <w:p w14:paraId="587158C2" w14:textId="05FF57E9" w:rsidR="000B2F53" w:rsidRPr="001468A9" w:rsidRDefault="0042731D" w:rsidP="000B2F53">
      <w:pPr>
        <w:pStyle w:val="Caption"/>
      </w:pPr>
      <w:bookmarkStart w:id="29" w:name="_Ref49247242"/>
      <w:bookmarkStart w:id="30" w:name="_Ref49247239"/>
      <w:r>
        <w:t xml:space="preserve">Table </w:t>
      </w:r>
      <w:r>
        <w:fldChar w:fldCharType="begin"/>
      </w:r>
      <w:r>
        <w:instrText xml:space="preserve"> SEQ Table \* ARABIC </w:instrText>
      </w:r>
      <w:r>
        <w:fldChar w:fldCharType="separate"/>
      </w:r>
      <w:r w:rsidR="00F53F5F">
        <w:rPr>
          <w:noProof/>
        </w:rPr>
        <w:t>8</w:t>
      </w:r>
      <w:r>
        <w:fldChar w:fldCharType="end"/>
      </w:r>
      <w:bookmarkEnd w:id="29"/>
      <w:r w:rsidR="000B2F53" w:rsidRPr="001468A9">
        <w:t>: Baseline Patient Characteristics (BOSTON)</w:t>
      </w:r>
      <w:bookmarkEnd w:id="30"/>
      <w:r w:rsidR="00D47838">
        <w:t xml:space="preserve"> </w:t>
      </w:r>
      <w:bookmarkStart w:id="31" w:name="_Hlk53417247"/>
      <w:r w:rsidR="00D47838">
        <w:t>(ITT Population)</w:t>
      </w:r>
      <w:bookmarkEnd w:id="31"/>
    </w:p>
    <w:tbl>
      <w:tblPr>
        <w:tblStyle w:val="C-Table"/>
        <w:tblW w:w="9795" w:type="dxa"/>
        <w:tblInd w:w="0" w:type="dxa"/>
        <w:tblLayout w:type="fixed"/>
        <w:tblLook w:val="04A0" w:firstRow="1" w:lastRow="0" w:firstColumn="1" w:lastColumn="0" w:noHBand="0" w:noVBand="1"/>
      </w:tblPr>
      <w:tblGrid>
        <w:gridCol w:w="5477"/>
        <w:gridCol w:w="2159"/>
        <w:gridCol w:w="2159"/>
      </w:tblGrid>
      <w:tr w:rsidR="000B2F53" w:rsidRPr="00D63A4F" w14:paraId="5EA31040" w14:textId="77777777" w:rsidTr="000B2F53">
        <w:trPr>
          <w:cantSplit/>
          <w:trHeight w:val="457"/>
          <w:tblHeader/>
        </w:trPr>
        <w:tc>
          <w:tcPr>
            <w:tcW w:w="5482" w:type="dxa"/>
            <w:tcBorders>
              <w:top w:val="single" w:sz="6" w:space="0" w:color="auto"/>
              <w:left w:val="single" w:sz="6" w:space="0" w:color="auto"/>
              <w:bottom w:val="single" w:sz="6" w:space="0" w:color="auto"/>
              <w:right w:val="single" w:sz="6" w:space="0" w:color="auto"/>
            </w:tcBorders>
            <w:vAlign w:val="bottom"/>
            <w:hideMark/>
          </w:tcPr>
          <w:p w14:paraId="6AF95691" w14:textId="77777777" w:rsidR="000B2F53" w:rsidRPr="001468A9" w:rsidRDefault="000B2F53" w:rsidP="000B2F53">
            <w:pPr>
              <w:pStyle w:val="TblHeadingLeft"/>
              <w:rPr>
                <w:rFonts w:eastAsiaTheme="minorHAnsi"/>
                <w:lang w:val="en-US"/>
              </w:rPr>
            </w:pPr>
            <w:r w:rsidRPr="001468A9">
              <w:t>Characteristic</w:t>
            </w:r>
          </w:p>
        </w:tc>
        <w:tc>
          <w:tcPr>
            <w:tcW w:w="2160" w:type="dxa"/>
            <w:tcBorders>
              <w:top w:val="single" w:sz="6" w:space="0" w:color="auto"/>
              <w:left w:val="single" w:sz="6" w:space="0" w:color="auto"/>
              <w:bottom w:val="single" w:sz="6" w:space="0" w:color="auto"/>
              <w:right w:val="single" w:sz="6" w:space="0" w:color="auto"/>
            </w:tcBorders>
            <w:vAlign w:val="bottom"/>
            <w:hideMark/>
          </w:tcPr>
          <w:p w14:paraId="7A7AEF49" w14:textId="77777777" w:rsidR="000B2F53" w:rsidRPr="001468A9" w:rsidRDefault="000B2F53" w:rsidP="000B2F53">
            <w:pPr>
              <w:pStyle w:val="TblHeadingCenter"/>
            </w:pPr>
            <w:r w:rsidRPr="001468A9">
              <w:t xml:space="preserve">SVd </w:t>
            </w:r>
          </w:p>
          <w:p w14:paraId="593AB20A" w14:textId="77777777" w:rsidR="000B2F53" w:rsidRPr="001468A9" w:rsidRDefault="000B2F53" w:rsidP="000B2F53">
            <w:pPr>
              <w:pStyle w:val="TblHeadingCenter"/>
            </w:pPr>
            <w:r w:rsidRPr="001468A9">
              <w:t>(N=195)</w:t>
            </w:r>
          </w:p>
        </w:tc>
        <w:tc>
          <w:tcPr>
            <w:tcW w:w="2160" w:type="dxa"/>
            <w:tcBorders>
              <w:top w:val="single" w:sz="6" w:space="0" w:color="auto"/>
              <w:left w:val="single" w:sz="6" w:space="0" w:color="auto"/>
              <w:bottom w:val="single" w:sz="6" w:space="0" w:color="auto"/>
              <w:right w:val="single" w:sz="6" w:space="0" w:color="auto"/>
            </w:tcBorders>
            <w:hideMark/>
          </w:tcPr>
          <w:p w14:paraId="3BCD007A" w14:textId="77777777" w:rsidR="000B2F53" w:rsidRPr="001468A9" w:rsidRDefault="000B2F53" w:rsidP="000B2F53">
            <w:pPr>
              <w:pStyle w:val="TblHeadingCenter"/>
            </w:pPr>
            <w:r w:rsidRPr="001468A9">
              <w:t xml:space="preserve">Vd </w:t>
            </w:r>
          </w:p>
          <w:p w14:paraId="42980FCD" w14:textId="77777777" w:rsidR="000B2F53" w:rsidRPr="001468A9" w:rsidRDefault="000B2F53" w:rsidP="000B2F53">
            <w:pPr>
              <w:pStyle w:val="TblHeadingCenter"/>
            </w:pPr>
            <w:r w:rsidRPr="001468A9">
              <w:t>(N=207)</w:t>
            </w:r>
          </w:p>
        </w:tc>
      </w:tr>
      <w:tr w:rsidR="000B2F53" w:rsidRPr="00D63A4F" w14:paraId="1449A8E3" w14:textId="77777777" w:rsidTr="000B2F53">
        <w:trPr>
          <w:cantSplit/>
          <w:trHeight w:val="72"/>
        </w:trPr>
        <w:tc>
          <w:tcPr>
            <w:tcW w:w="5482" w:type="dxa"/>
            <w:tcBorders>
              <w:top w:val="single" w:sz="6" w:space="0" w:color="auto"/>
              <w:left w:val="single" w:sz="6" w:space="0" w:color="auto"/>
              <w:bottom w:val="single" w:sz="4" w:space="0" w:color="auto"/>
              <w:right w:val="single" w:sz="6" w:space="0" w:color="auto"/>
            </w:tcBorders>
            <w:hideMark/>
          </w:tcPr>
          <w:p w14:paraId="30B34CDB" w14:textId="77777777" w:rsidR="000B2F53" w:rsidRPr="001468A9" w:rsidRDefault="000B2F53" w:rsidP="000B2F53">
            <w:pPr>
              <w:pStyle w:val="TblTextLeft"/>
            </w:pPr>
            <w:r w:rsidRPr="001468A9">
              <w:t>Median age, years (range)</w:t>
            </w:r>
          </w:p>
        </w:tc>
        <w:tc>
          <w:tcPr>
            <w:tcW w:w="2160" w:type="dxa"/>
            <w:tcBorders>
              <w:top w:val="single" w:sz="6" w:space="0" w:color="auto"/>
              <w:left w:val="single" w:sz="6" w:space="0" w:color="auto"/>
              <w:bottom w:val="single" w:sz="4" w:space="0" w:color="auto"/>
              <w:right w:val="single" w:sz="6" w:space="0" w:color="auto"/>
            </w:tcBorders>
            <w:hideMark/>
          </w:tcPr>
          <w:p w14:paraId="69982CB9" w14:textId="77777777" w:rsidR="000B2F53" w:rsidRPr="001468A9" w:rsidRDefault="000B2F53" w:rsidP="000B2F53">
            <w:pPr>
              <w:pStyle w:val="TblTextCenter"/>
            </w:pPr>
            <w:r w:rsidRPr="001468A9">
              <w:t>66 (40, 87)</w:t>
            </w:r>
          </w:p>
        </w:tc>
        <w:tc>
          <w:tcPr>
            <w:tcW w:w="2160" w:type="dxa"/>
            <w:tcBorders>
              <w:top w:val="single" w:sz="6" w:space="0" w:color="auto"/>
              <w:left w:val="single" w:sz="6" w:space="0" w:color="auto"/>
              <w:bottom w:val="single" w:sz="4" w:space="0" w:color="auto"/>
              <w:right w:val="single" w:sz="6" w:space="0" w:color="auto"/>
            </w:tcBorders>
            <w:hideMark/>
          </w:tcPr>
          <w:p w14:paraId="0DF893C5" w14:textId="77777777" w:rsidR="000B2F53" w:rsidRPr="001468A9" w:rsidRDefault="000B2F53" w:rsidP="000B2F53">
            <w:pPr>
              <w:pStyle w:val="TblTextCenter"/>
            </w:pPr>
            <w:r w:rsidRPr="001468A9">
              <w:t>67 (38, 90)</w:t>
            </w:r>
          </w:p>
        </w:tc>
      </w:tr>
      <w:tr w:rsidR="000B2F53" w:rsidRPr="00D63A4F" w14:paraId="6CD7AA38" w14:textId="77777777" w:rsidTr="000B2F53">
        <w:trPr>
          <w:cantSplit/>
          <w:trHeight w:val="72"/>
        </w:trPr>
        <w:tc>
          <w:tcPr>
            <w:tcW w:w="5482" w:type="dxa"/>
            <w:tcBorders>
              <w:top w:val="single" w:sz="4" w:space="0" w:color="auto"/>
              <w:left w:val="single" w:sz="4" w:space="0" w:color="auto"/>
              <w:bottom w:val="nil"/>
              <w:right w:val="single" w:sz="4" w:space="0" w:color="auto"/>
            </w:tcBorders>
            <w:hideMark/>
          </w:tcPr>
          <w:p w14:paraId="68E0C868" w14:textId="77777777" w:rsidR="000B2F53" w:rsidRPr="001468A9" w:rsidRDefault="000B2F53" w:rsidP="000B2F53">
            <w:pPr>
              <w:pStyle w:val="TblTextLeft"/>
            </w:pPr>
            <w:r w:rsidRPr="001468A9">
              <w:lastRenderedPageBreak/>
              <w:t>Age distribution, n (%)</w:t>
            </w:r>
          </w:p>
        </w:tc>
        <w:tc>
          <w:tcPr>
            <w:tcW w:w="2160" w:type="dxa"/>
            <w:tcBorders>
              <w:top w:val="single" w:sz="4" w:space="0" w:color="auto"/>
              <w:left w:val="single" w:sz="4" w:space="0" w:color="auto"/>
              <w:bottom w:val="nil"/>
              <w:right w:val="single" w:sz="4" w:space="0" w:color="auto"/>
            </w:tcBorders>
          </w:tcPr>
          <w:p w14:paraId="1275239D" w14:textId="77777777" w:rsidR="000B2F53" w:rsidRPr="001468A9" w:rsidRDefault="000B2F53" w:rsidP="000B2F53">
            <w:pPr>
              <w:pStyle w:val="TblTextCenter"/>
            </w:pPr>
          </w:p>
        </w:tc>
        <w:tc>
          <w:tcPr>
            <w:tcW w:w="2160" w:type="dxa"/>
            <w:tcBorders>
              <w:top w:val="single" w:sz="4" w:space="0" w:color="auto"/>
              <w:left w:val="single" w:sz="4" w:space="0" w:color="auto"/>
              <w:bottom w:val="nil"/>
              <w:right w:val="single" w:sz="4" w:space="0" w:color="auto"/>
            </w:tcBorders>
          </w:tcPr>
          <w:p w14:paraId="32E3EBBE" w14:textId="77777777" w:rsidR="000B2F53" w:rsidRPr="001468A9" w:rsidRDefault="000B2F53" w:rsidP="000B2F53">
            <w:pPr>
              <w:pStyle w:val="TblTextCenter"/>
            </w:pPr>
          </w:p>
        </w:tc>
      </w:tr>
      <w:tr w:rsidR="000B2F53" w:rsidRPr="00D63A4F" w14:paraId="03069F7D" w14:textId="77777777" w:rsidTr="000B2F53">
        <w:trPr>
          <w:cantSplit/>
          <w:trHeight w:val="72"/>
        </w:trPr>
        <w:tc>
          <w:tcPr>
            <w:tcW w:w="5482" w:type="dxa"/>
            <w:tcBorders>
              <w:top w:val="nil"/>
              <w:left w:val="single" w:sz="4" w:space="0" w:color="auto"/>
              <w:bottom w:val="nil"/>
              <w:right w:val="single" w:sz="4" w:space="0" w:color="auto"/>
            </w:tcBorders>
            <w:hideMark/>
          </w:tcPr>
          <w:p w14:paraId="28AA0A26" w14:textId="77777777" w:rsidR="000B2F53" w:rsidRPr="001468A9" w:rsidRDefault="000B2F53" w:rsidP="000B2F53">
            <w:pPr>
              <w:pStyle w:val="TblTextLeft"/>
              <w:ind w:left="171"/>
            </w:pPr>
            <w:r w:rsidRPr="001468A9">
              <w:t>&lt;65 years</w:t>
            </w:r>
          </w:p>
        </w:tc>
        <w:tc>
          <w:tcPr>
            <w:tcW w:w="2160" w:type="dxa"/>
            <w:tcBorders>
              <w:top w:val="nil"/>
              <w:left w:val="single" w:sz="4" w:space="0" w:color="auto"/>
              <w:bottom w:val="nil"/>
              <w:right w:val="single" w:sz="4" w:space="0" w:color="auto"/>
            </w:tcBorders>
            <w:hideMark/>
          </w:tcPr>
          <w:p w14:paraId="1E542B8C" w14:textId="77777777" w:rsidR="000B2F53" w:rsidRPr="001468A9" w:rsidRDefault="000B2F53" w:rsidP="000B2F53">
            <w:pPr>
              <w:pStyle w:val="TblTextCenter"/>
            </w:pPr>
            <w:r w:rsidRPr="001468A9">
              <w:t>86 (44)</w:t>
            </w:r>
          </w:p>
        </w:tc>
        <w:tc>
          <w:tcPr>
            <w:tcW w:w="2160" w:type="dxa"/>
            <w:tcBorders>
              <w:top w:val="nil"/>
              <w:left w:val="single" w:sz="4" w:space="0" w:color="auto"/>
              <w:bottom w:val="nil"/>
              <w:right w:val="single" w:sz="4" w:space="0" w:color="auto"/>
            </w:tcBorders>
            <w:hideMark/>
          </w:tcPr>
          <w:p w14:paraId="1E17683D" w14:textId="77777777" w:rsidR="000B2F53" w:rsidRPr="001468A9" w:rsidRDefault="000B2F53" w:rsidP="000B2F53">
            <w:pPr>
              <w:pStyle w:val="TblTextCenter"/>
            </w:pPr>
            <w:r w:rsidRPr="001468A9">
              <w:t>75 (36)</w:t>
            </w:r>
          </w:p>
        </w:tc>
      </w:tr>
      <w:tr w:rsidR="000B2F53" w:rsidRPr="00D63A4F" w14:paraId="47080155" w14:textId="77777777" w:rsidTr="000B2F53">
        <w:trPr>
          <w:cantSplit/>
          <w:trHeight w:val="72"/>
        </w:trPr>
        <w:tc>
          <w:tcPr>
            <w:tcW w:w="5482" w:type="dxa"/>
            <w:tcBorders>
              <w:top w:val="nil"/>
              <w:left w:val="single" w:sz="4" w:space="0" w:color="auto"/>
              <w:bottom w:val="nil"/>
              <w:right w:val="single" w:sz="4" w:space="0" w:color="auto"/>
            </w:tcBorders>
            <w:hideMark/>
          </w:tcPr>
          <w:p w14:paraId="30214226" w14:textId="77777777" w:rsidR="000B2F53" w:rsidRPr="001468A9" w:rsidRDefault="000B2F53" w:rsidP="000B2F53">
            <w:pPr>
              <w:pStyle w:val="TblTextLeft"/>
              <w:ind w:left="171"/>
            </w:pPr>
            <w:r w:rsidRPr="001468A9">
              <w:t>65 – 74 years</w:t>
            </w:r>
          </w:p>
        </w:tc>
        <w:tc>
          <w:tcPr>
            <w:tcW w:w="2160" w:type="dxa"/>
            <w:tcBorders>
              <w:top w:val="nil"/>
              <w:left w:val="single" w:sz="4" w:space="0" w:color="auto"/>
              <w:bottom w:val="nil"/>
              <w:right w:val="single" w:sz="4" w:space="0" w:color="auto"/>
            </w:tcBorders>
            <w:hideMark/>
          </w:tcPr>
          <w:p w14:paraId="06F36714" w14:textId="77777777" w:rsidR="000B2F53" w:rsidRPr="001468A9" w:rsidRDefault="000B2F53" w:rsidP="000B2F53">
            <w:pPr>
              <w:pStyle w:val="TblTextCenter"/>
            </w:pPr>
            <w:r w:rsidRPr="001468A9">
              <w:t>75 (38)</w:t>
            </w:r>
          </w:p>
        </w:tc>
        <w:tc>
          <w:tcPr>
            <w:tcW w:w="2160" w:type="dxa"/>
            <w:tcBorders>
              <w:top w:val="nil"/>
              <w:left w:val="single" w:sz="4" w:space="0" w:color="auto"/>
              <w:bottom w:val="nil"/>
              <w:right w:val="single" w:sz="4" w:space="0" w:color="auto"/>
            </w:tcBorders>
            <w:hideMark/>
          </w:tcPr>
          <w:p w14:paraId="42C62862" w14:textId="77777777" w:rsidR="000B2F53" w:rsidRPr="001468A9" w:rsidRDefault="000B2F53" w:rsidP="000B2F53">
            <w:pPr>
              <w:pStyle w:val="TblTextCenter"/>
            </w:pPr>
            <w:r w:rsidRPr="001468A9">
              <w:t>85 (41)</w:t>
            </w:r>
          </w:p>
        </w:tc>
      </w:tr>
      <w:tr w:rsidR="000B2F53" w:rsidRPr="00D63A4F" w14:paraId="4A7A229E" w14:textId="77777777" w:rsidTr="000B2F53">
        <w:trPr>
          <w:cantSplit/>
          <w:trHeight w:val="72"/>
        </w:trPr>
        <w:tc>
          <w:tcPr>
            <w:tcW w:w="5482" w:type="dxa"/>
            <w:tcBorders>
              <w:top w:val="nil"/>
              <w:left w:val="single" w:sz="4" w:space="0" w:color="auto"/>
              <w:bottom w:val="single" w:sz="4" w:space="0" w:color="auto"/>
              <w:right w:val="single" w:sz="4" w:space="0" w:color="auto"/>
            </w:tcBorders>
            <w:hideMark/>
          </w:tcPr>
          <w:p w14:paraId="1927E988" w14:textId="77777777" w:rsidR="000B2F53" w:rsidRPr="001468A9" w:rsidRDefault="000B2F53" w:rsidP="000B2F53">
            <w:pPr>
              <w:pStyle w:val="TblTextLeft"/>
              <w:ind w:left="171"/>
            </w:pPr>
            <w:r w:rsidRPr="001468A9">
              <w:t>≥75 years</w:t>
            </w:r>
          </w:p>
        </w:tc>
        <w:tc>
          <w:tcPr>
            <w:tcW w:w="2160" w:type="dxa"/>
            <w:tcBorders>
              <w:top w:val="nil"/>
              <w:left w:val="single" w:sz="4" w:space="0" w:color="auto"/>
              <w:bottom w:val="single" w:sz="4" w:space="0" w:color="auto"/>
              <w:right w:val="single" w:sz="4" w:space="0" w:color="auto"/>
            </w:tcBorders>
            <w:hideMark/>
          </w:tcPr>
          <w:p w14:paraId="2B36BD1B" w14:textId="77777777" w:rsidR="000B2F53" w:rsidRPr="001468A9" w:rsidRDefault="000B2F53" w:rsidP="000B2F53">
            <w:pPr>
              <w:pStyle w:val="TblTextCenter"/>
            </w:pPr>
            <w:r w:rsidRPr="001468A9">
              <w:t>34 (17)</w:t>
            </w:r>
          </w:p>
        </w:tc>
        <w:tc>
          <w:tcPr>
            <w:tcW w:w="2160" w:type="dxa"/>
            <w:tcBorders>
              <w:top w:val="nil"/>
              <w:left w:val="single" w:sz="4" w:space="0" w:color="auto"/>
              <w:bottom w:val="single" w:sz="4" w:space="0" w:color="auto"/>
              <w:right w:val="single" w:sz="4" w:space="0" w:color="auto"/>
            </w:tcBorders>
            <w:hideMark/>
          </w:tcPr>
          <w:p w14:paraId="6E017F36" w14:textId="77777777" w:rsidR="000B2F53" w:rsidRPr="001468A9" w:rsidRDefault="000B2F53" w:rsidP="000B2F53">
            <w:pPr>
              <w:pStyle w:val="TblTextCenter"/>
            </w:pPr>
            <w:r w:rsidRPr="001468A9">
              <w:t>47 (23)</w:t>
            </w:r>
          </w:p>
        </w:tc>
      </w:tr>
      <w:tr w:rsidR="000B2F53" w:rsidRPr="00D63A4F" w14:paraId="321915F5" w14:textId="77777777" w:rsidTr="000B2F53">
        <w:trPr>
          <w:cantSplit/>
          <w:trHeight w:val="72"/>
        </w:trPr>
        <w:tc>
          <w:tcPr>
            <w:tcW w:w="5482" w:type="dxa"/>
            <w:tcBorders>
              <w:top w:val="single" w:sz="4" w:space="0" w:color="auto"/>
              <w:left w:val="single" w:sz="4" w:space="0" w:color="auto"/>
              <w:bottom w:val="nil"/>
              <w:right w:val="single" w:sz="4" w:space="0" w:color="auto"/>
            </w:tcBorders>
            <w:hideMark/>
          </w:tcPr>
          <w:p w14:paraId="4A8EE5BC" w14:textId="77777777" w:rsidR="000B2F53" w:rsidRPr="001468A9" w:rsidRDefault="000B2F53" w:rsidP="000B2F53">
            <w:pPr>
              <w:pStyle w:val="TblTextLeft"/>
            </w:pPr>
            <w:r w:rsidRPr="001468A9">
              <w:t>Sex, n (%)</w:t>
            </w:r>
          </w:p>
        </w:tc>
        <w:tc>
          <w:tcPr>
            <w:tcW w:w="2160" w:type="dxa"/>
            <w:tcBorders>
              <w:top w:val="single" w:sz="4" w:space="0" w:color="auto"/>
              <w:left w:val="single" w:sz="4" w:space="0" w:color="auto"/>
              <w:bottom w:val="nil"/>
              <w:right w:val="single" w:sz="4" w:space="0" w:color="auto"/>
            </w:tcBorders>
          </w:tcPr>
          <w:p w14:paraId="67102B12" w14:textId="77777777" w:rsidR="000B2F53" w:rsidRPr="001468A9" w:rsidRDefault="000B2F53" w:rsidP="000B2F53">
            <w:pPr>
              <w:pStyle w:val="TblTextCenter"/>
            </w:pPr>
          </w:p>
        </w:tc>
        <w:tc>
          <w:tcPr>
            <w:tcW w:w="2160" w:type="dxa"/>
            <w:tcBorders>
              <w:top w:val="single" w:sz="4" w:space="0" w:color="auto"/>
              <w:left w:val="single" w:sz="4" w:space="0" w:color="auto"/>
              <w:bottom w:val="nil"/>
              <w:right w:val="single" w:sz="4" w:space="0" w:color="auto"/>
            </w:tcBorders>
          </w:tcPr>
          <w:p w14:paraId="72514035" w14:textId="77777777" w:rsidR="000B2F53" w:rsidRPr="001468A9" w:rsidRDefault="000B2F53" w:rsidP="000B2F53">
            <w:pPr>
              <w:pStyle w:val="TblTextCenter"/>
            </w:pPr>
          </w:p>
        </w:tc>
      </w:tr>
      <w:tr w:rsidR="000B2F53" w:rsidRPr="00D63A4F" w14:paraId="0A5701CD" w14:textId="77777777" w:rsidTr="000B2F53">
        <w:trPr>
          <w:cantSplit/>
          <w:trHeight w:val="72"/>
        </w:trPr>
        <w:tc>
          <w:tcPr>
            <w:tcW w:w="5482" w:type="dxa"/>
            <w:tcBorders>
              <w:top w:val="nil"/>
              <w:left w:val="single" w:sz="4" w:space="0" w:color="auto"/>
              <w:bottom w:val="nil"/>
              <w:right w:val="single" w:sz="4" w:space="0" w:color="auto"/>
            </w:tcBorders>
            <w:hideMark/>
          </w:tcPr>
          <w:p w14:paraId="076C36A4" w14:textId="77777777" w:rsidR="000B2F53" w:rsidRPr="001468A9" w:rsidRDefault="000B2F53" w:rsidP="000B2F53">
            <w:pPr>
              <w:pStyle w:val="TblTextLeft"/>
              <w:ind w:left="171"/>
            </w:pPr>
            <w:r w:rsidRPr="001468A9">
              <w:t>Male</w:t>
            </w:r>
          </w:p>
        </w:tc>
        <w:tc>
          <w:tcPr>
            <w:tcW w:w="2160" w:type="dxa"/>
            <w:tcBorders>
              <w:top w:val="nil"/>
              <w:left w:val="single" w:sz="4" w:space="0" w:color="auto"/>
              <w:bottom w:val="nil"/>
              <w:right w:val="single" w:sz="4" w:space="0" w:color="auto"/>
            </w:tcBorders>
            <w:hideMark/>
          </w:tcPr>
          <w:p w14:paraId="5D78F4DD" w14:textId="77777777" w:rsidR="000B2F53" w:rsidRPr="001468A9" w:rsidRDefault="000B2F53" w:rsidP="000B2F53">
            <w:pPr>
              <w:pStyle w:val="TblTextCenter"/>
            </w:pPr>
            <w:r w:rsidRPr="001468A9">
              <w:t>115 (59)</w:t>
            </w:r>
          </w:p>
        </w:tc>
        <w:tc>
          <w:tcPr>
            <w:tcW w:w="2160" w:type="dxa"/>
            <w:tcBorders>
              <w:top w:val="nil"/>
              <w:left w:val="single" w:sz="4" w:space="0" w:color="auto"/>
              <w:bottom w:val="nil"/>
              <w:right w:val="single" w:sz="4" w:space="0" w:color="auto"/>
            </w:tcBorders>
            <w:hideMark/>
          </w:tcPr>
          <w:p w14:paraId="0456A079" w14:textId="77777777" w:rsidR="000B2F53" w:rsidRPr="001468A9" w:rsidRDefault="000B2F53" w:rsidP="000B2F53">
            <w:pPr>
              <w:pStyle w:val="TblTextCenter"/>
            </w:pPr>
            <w:r w:rsidRPr="001468A9">
              <w:t>115 (56)</w:t>
            </w:r>
          </w:p>
        </w:tc>
      </w:tr>
      <w:tr w:rsidR="000B2F53" w:rsidRPr="00D63A4F" w14:paraId="211D2735" w14:textId="77777777" w:rsidTr="000B2F53">
        <w:trPr>
          <w:cantSplit/>
          <w:trHeight w:val="72"/>
        </w:trPr>
        <w:tc>
          <w:tcPr>
            <w:tcW w:w="5482" w:type="dxa"/>
            <w:tcBorders>
              <w:top w:val="nil"/>
              <w:left w:val="single" w:sz="4" w:space="0" w:color="auto"/>
              <w:bottom w:val="single" w:sz="4" w:space="0" w:color="auto"/>
              <w:right w:val="single" w:sz="4" w:space="0" w:color="auto"/>
            </w:tcBorders>
            <w:hideMark/>
          </w:tcPr>
          <w:p w14:paraId="46ECBFA8" w14:textId="77777777" w:rsidR="000B2F53" w:rsidRPr="001468A9" w:rsidRDefault="000B2F53" w:rsidP="000B2F53">
            <w:pPr>
              <w:pStyle w:val="TblTextLeft"/>
              <w:ind w:left="171"/>
            </w:pPr>
            <w:r w:rsidRPr="001468A9">
              <w:t>Female</w:t>
            </w:r>
          </w:p>
        </w:tc>
        <w:tc>
          <w:tcPr>
            <w:tcW w:w="2160" w:type="dxa"/>
            <w:tcBorders>
              <w:top w:val="nil"/>
              <w:left w:val="single" w:sz="4" w:space="0" w:color="auto"/>
              <w:bottom w:val="single" w:sz="4" w:space="0" w:color="auto"/>
              <w:right w:val="single" w:sz="4" w:space="0" w:color="auto"/>
            </w:tcBorders>
            <w:hideMark/>
          </w:tcPr>
          <w:p w14:paraId="038173FD" w14:textId="77777777" w:rsidR="000B2F53" w:rsidRPr="001468A9" w:rsidRDefault="000B2F53" w:rsidP="000B2F53">
            <w:pPr>
              <w:pStyle w:val="TblTextCenter"/>
            </w:pPr>
            <w:r w:rsidRPr="001468A9">
              <w:t>80 (41)</w:t>
            </w:r>
          </w:p>
        </w:tc>
        <w:tc>
          <w:tcPr>
            <w:tcW w:w="2160" w:type="dxa"/>
            <w:tcBorders>
              <w:top w:val="nil"/>
              <w:left w:val="single" w:sz="4" w:space="0" w:color="auto"/>
              <w:bottom w:val="single" w:sz="4" w:space="0" w:color="auto"/>
              <w:right w:val="single" w:sz="4" w:space="0" w:color="auto"/>
            </w:tcBorders>
            <w:hideMark/>
          </w:tcPr>
          <w:p w14:paraId="184B703A" w14:textId="77777777" w:rsidR="000B2F53" w:rsidRPr="001468A9" w:rsidRDefault="000B2F53" w:rsidP="000B2F53">
            <w:pPr>
              <w:pStyle w:val="TblTextCenter"/>
            </w:pPr>
            <w:r w:rsidRPr="001468A9">
              <w:t>92 (44)</w:t>
            </w:r>
          </w:p>
        </w:tc>
      </w:tr>
      <w:tr w:rsidR="000B2F53" w:rsidRPr="00D63A4F" w14:paraId="464DA39E" w14:textId="77777777" w:rsidTr="000B2F53">
        <w:trPr>
          <w:cantSplit/>
          <w:trHeight w:val="72"/>
        </w:trPr>
        <w:tc>
          <w:tcPr>
            <w:tcW w:w="5482" w:type="dxa"/>
            <w:tcBorders>
              <w:top w:val="single" w:sz="4" w:space="0" w:color="auto"/>
              <w:left w:val="single" w:sz="4" w:space="0" w:color="auto"/>
              <w:bottom w:val="nil"/>
              <w:right w:val="single" w:sz="4" w:space="0" w:color="auto"/>
            </w:tcBorders>
            <w:hideMark/>
          </w:tcPr>
          <w:p w14:paraId="7675D053" w14:textId="77777777" w:rsidR="000B2F53" w:rsidRPr="001468A9" w:rsidRDefault="000B2F53" w:rsidP="000B2F53">
            <w:pPr>
              <w:pStyle w:val="TblTextLeft"/>
            </w:pPr>
            <w:r w:rsidRPr="001468A9">
              <w:t>Race, n (%)</w:t>
            </w:r>
          </w:p>
        </w:tc>
        <w:tc>
          <w:tcPr>
            <w:tcW w:w="2160" w:type="dxa"/>
            <w:tcBorders>
              <w:top w:val="single" w:sz="4" w:space="0" w:color="auto"/>
              <w:left w:val="single" w:sz="4" w:space="0" w:color="auto"/>
              <w:bottom w:val="nil"/>
              <w:right w:val="single" w:sz="4" w:space="0" w:color="auto"/>
            </w:tcBorders>
          </w:tcPr>
          <w:p w14:paraId="20C60993" w14:textId="77777777" w:rsidR="000B2F53" w:rsidRPr="001468A9" w:rsidRDefault="000B2F53" w:rsidP="000B2F53">
            <w:pPr>
              <w:pStyle w:val="TblTextCenter"/>
            </w:pPr>
          </w:p>
        </w:tc>
        <w:tc>
          <w:tcPr>
            <w:tcW w:w="2160" w:type="dxa"/>
            <w:tcBorders>
              <w:top w:val="single" w:sz="4" w:space="0" w:color="auto"/>
              <w:left w:val="single" w:sz="4" w:space="0" w:color="auto"/>
              <w:bottom w:val="nil"/>
              <w:right w:val="single" w:sz="4" w:space="0" w:color="auto"/>
            </w:tcBorders>
          </w:tcPr>
          <w:p w14:paraId="686A04F9" w14:textId="77777777" w:rsidR="000B2F53" w:rsidRPr="001468A9" w:rsidRDefault="000B2F53" w:rsidP="000B2F53">
            <w:pPr>
              <w:pStyle w:val="TblTextCenter"/>
            </w:pPr>
          </w:p>
        </w:tc>
      </w:tr>
      <w:tr w:rsidR="000B2F53" w:rsidRPr="00D63A4F" w14:paraId="267ED9F3" w14:textId="77777777" w:rsidTr="000B2F53">
        <w:trPr>
          <w:cantSplit/>
          <w:trHeight w:val="72"/>
        </w:trPr>
        <w:tc>
          <w:tcPr>
            <w:tcW w:w="5482" w:type="dxa"/>
            <w:tcBorders>
              <w:top w:val="nil"/>
              <w:left w:val="single" w:sz="4" w:space="0" w:color="auto"/>
              <w:bottom w:val="nil"/>
              <w:right w:val="single" w:sz="4" w:space="0" w:color="auto"/>
            </w:tcBorders>
            <w:hideMark/>
          </w:tcPr>
          <w:p w14:paraId="2B8AB21A" w14:textId="77777777" w:rsidR="000B2F53" w:rsidRPr="001468A9" w:rsidRDefault="000B2F53" w:rsidP="000B2F53">
            <w:pPr>
              <w:pStyle w:val="TblTextLeft"/>
              <w:ind w:left="171"/>
            </w:pPr>
            <w:r w:rsidRPr="001468A9">
              <w:t>White</w:t>
            </w:r>
          </w:p>
        </w:tc>
        <w:tc>
          <w:tcPr>
            <w:tcW w:w="2160" w:type="dxa"/>
            <w:tcBorders>
              <w:top w:val="nil"/>
              <w:left w:val="single" w:sz="4" w:space="0" w:color="auto"/>
              <w:bottom w:val="nil"/>
              <w:right w:val="single" w:sz="4" w:space="0" w:color="auto"/>
            </w:tcBorders>
            <w:hideMark/>
          </w:tcPr>
          <w:p w14:paraId="02DF50C9" w14:textId="77777777" w:rsidR="000B2F53" w:rsidRPr="001468A9" w:rsidRDefault="000B2F53" w:rsidP="000B2F53">
            <w:pPr>
              <w:pStyle w:val="TblTextCenter"/>
            </w:pPr>
            <w:r w:rsidRPr="001468A9">
              <w:t>161 (83)</w:t>
            </w:r>
          </w:p>
        </w:tc>
        <w:tc>
          <w:tcPr>
            <w:tcW w:w="2160" w:type="dxa"/>
            <w:tcBorders>
              <w:top w:val="nil"/>
              <w:left w:val="single" w:sz="4" w:space="0" w:color="auto"/>
              <w:bottom w:val="nil"/>
              <w:right w:val="single" w:sz="4" w:space="0" w:color="auto"/>
            </w:tcBorders>
            <w:hideMark/>
          </w:tcPr>
          <w:p w14:paraId="4C2AF17B" w14:textId="77777777" w:rsidR="000B2F53" w:rsidRPr="001468A9" w:rsidRDefault="000B2F53" w:rsidP="000B2F53">
            <w:pPr>
              <w:pStyle w:val="TblTextCenter"/>
            </w:pPr>
            <w:r w:rsidRPr="001468A9">
              <w:t>165 (80)</w:t>
            </w:r>
          </w:p>
        </w:tc>
      </w:tr>
      <w:tr w:rsidR="000B2F53" w:rsidRPr="00D63A4F" w14:paraId="15223BFD" w14:textId="77777777" w:rsidTr="000B2F53">
        <w:trPr>
          <w:cantSplit/>
          <w:trHeight w:val="72"/>
        </w:trPr>
        <w:tc>
          <w:tcPr>
            <w:tcW w:w="5482" w:type="dxa"/>
            <w:tcBorders>
              <w:top w:val="nil"/>
              <w:left w:val="single" w:sz="4" w:space="0" w:color="auto"/>
              <w:bottom w:val="nil"/>
              <w:right w:val="single" w:sz="4" w:space="0" w:color="auto"/>
            </w:tcBorders>
            <w:hideMark/>
          </w:tcPr>
          <w:p w14:paraId="6B7BF6B9" w14:textId="77777777" w:rsidR="000B2F53" w:rsidRPr="001468A9" w:rsidRDefault="000B2F53" w:rsidP="000B2F53">
            <w:pPr>
              <w:pStyle w:val="TblTextLeft"/>
              <w:ind w:left="171"/>
            </w:pPr>
            <w:r w:rsidRPr="001468A9">
              <w:t>Black or African American</w:t>
            </w:r>
          </w:p>
        </w:tc>
        <w:tc>
          <w:tcPr>
            <w:tcW w:w="2160" w:type="dxa"/>
            <w:tcBorders>
              <w:top w:val="nil"/>
              <w:left w:val="single" w:sz="4" w:space="0" w:color="auto"/>
              <w:bottom w:val="nil"/>
              <w:right w:val="single" w:sz="4" w:space="0" w:color="auto"/>
            </w:tcBorders>
            <w:hideMark/>
          </w:tcPr>
          <w:p w14:paraId="0DB500EF" w14:textId="77777777" w:rsidR="000B2F53" w:rsidRPr="001468A9" w:rsidRDefault="000B2F53" w:rsidP="000B2F53">
            <w:pPr>
              <w:pStyle w:val="TblTextCenter"/>
            </w:pPr>
            <w:r w:rsidRPr="001468A9">
              <w:t>4 (2)</w:t>
            </w:r>
          </w:p>
        </w:tc>
        <w:tc>
          <w:tcPr>
            <w:tcW w:w="2160" w:type="dxa"/>
            <w:tcBorders>
              <w:top w:val="nil"/>
              <w:left w:val="single" w:sz="4" w:space="0" w:color="auto"/>
              <w:bottom w:val="nil"/>
              <w:right w:val="single" w:sz="4" w:space="0" w:color="auto"/>
            </w:tcBorders>
            <w:hideMark/>
          </w:tcPr>
          <w:p w14:paraId="73F18FB0" w14:textId="77777777" w:rsidR="000B2F53" w:rsidRPr="001468A9" w:rsidRDefault="000B2F53" w:rsidP="000B2F53">
            <w:pPr>
              <w:pStyle w:val="TblTextCenter"/>
            </w:pPr>
            <w:r w:rsidRPr="001468A9">
              <w:t>7 (3)</w:t>
            </w:r>
          </w:p>
        </w:tc>
      </w:tr>
      <w:tr w:rsidR="000B2F53" w:rsidRPr="00D63A4F" w14:paraId="0DC2567A" w14:textId="77777777" w:rsidTr="000B2F53">
        <w:trPr>
          <w:cantSplit/>
          <w:trHeight w:val="72"/>
        </w:trPr>
        <w:tc>
          <w:tcPr>
            <w:tcW w:w="5482" w:type="dxa"/>
            <w:tcBorders>
              <w:top w:val="nil"/>
              <w:left w:val="single" w:sz="4" w:space="0" w:color="auto"/>
              <w:bottom w:val="nil"/>
              <w:right w:val="single" w:sz="4" w:space="0" w:color="auto"/>
            </w:tcBorders>
            <w:hideMark/>
          </w:tcPr>
          <w:p w14:paraId="5D6425DC" w14:textId="77777777" w:rsidR="000B2F53" w:rsidRPr="001468A9" w:rsidRDefault="000B2F53" w:rsidP="000B2F53">
            <w:pPr>
              <w:pStyle w:val="TblTextLeft"/>
              <w:ind w:left="171"/>
            </w:pPr>
            <w:r w:rsidRPr="001468A9">
              <w:t>Asian</w:t>
            </w:r>
          </w:p>
        </w:tc>
        <w:tc>
          <w:tcPr>
            <w:tcW w:w="2160" w:type="dxa"/>
            <w:tcBorders>
              <w:top w:val="nil"/>
              <w:left w:val="single" w:sz="4" w:space="0" w:color="auto"/>
              <w:bottom w:val="nil"/>
              <w:right w:val="single" w:sz="4" w:space="0" w:color="auto"/>
            </w:tcBorders>
            <w:hideMark/>
          </w:tcPr>
          <w:p w14:paraId="660D57AA" w14:textId="77777777" w:rsidR="000B2F53" w:rsidRPr="001468A9" w:rsidRDefault="000B2F53" w:rsidP="000B2F53">
            <w:pPr>
              <w:pStyle w:val="TblTextCenter"/>
            </w:pPr>
            <w:r w:rsidRPr="001468A9">
              <w:t>25 (13)</w:t>
            </w:r>
          </w:p>
        </w:tc>
        <w:tc>
          <w:tcPr>
            <w:tcW w:w="2160" w:type="dxa"/>
            <w:tcBorders>
              <w:top w:val="nil"/>
              <w:left w:val="single" w:sz="4" w:space="0" w:color="auto"/>
              <w:bottom w:val="nil"/>
              <w:right w:val="single" w:sz="4" w:space="0" w:color="auto"/>
            </w:tcBorders>
            <w:hideMark/>
          </w:tcPr>
          <w:p w14:paraId="28E9006E" w14:textId="77777777" w:rsidR="000B2F53" w:rsidRPr="001468A9" w:rsidRDefault="000B2F53" w:rsidP="000B2F53">
            <w:pPr>
              <w:pStyle w:val="TblTextCenter"/>
            </w:pPr>
            <w:r w:rsidRPr="001468A9">
              <w:t>25 (12)</w:t>
            </w:r>
          </w:p>
        </w:tc>
      </w:tr>
      <w:tr w:rsidR="000B2F53" w:rsidRPr="00D63A4F" w14:paraId="204F2821" w14:textId="77777777" w:rsidTr="000B2F53">
        <w:trPr>
          <w:cantSplit/>
          <w:trHeight w:val="72"/>
        </w:trPr>
        <w:tc>
          <w:tcPr>
            <w:tcW w:w="5482" w:type="dxa"/>
            <w:tcBorders>
              <w:top w:val="nil"/>
              <w:left w:val="single" w:sz="4" w:space="0" w:color="auto"/>
              <w:bottom w:val="nil"/>
              <w:right w:val="single" w:sz="4" w:space="0" w:color="auto"/>
            </w:tcBorders>
            <w:hideMark/>
          </w:tcPr>
          <w:p w14:paraId="737C49FA" w14:textId="77777777" w:rsidR="000B2F53" w:rsidRPr="001468A9" w:rsidRDefault="000B2F53" w:rsidP="000B2F53">
            <w:pPr>
              <w:pStyle w:val="TblTextLeft"/>
              <w:ind w:left="171"/>
            </w:pPr>
            <w:r w:rsidRPr="001468A9">
              <w:t>Other</w:t>
            </w:r>
          </w:p>
        </w:tc>
        <w:tc>
          <w:tcPr>
            <w:tcW w:w="2160" w:type="dxa"/>
            <w:tcBorders>
              <w:top w:val="nil"/>
              <w:left w:val="single" w:sz="4" w:space="0" w:color="auto"/>
              <w:bottom w:val="nil"/>
              <w:right w:val="single" w:sz="4" w:space="0" w:color="auto"/>
            </w:tcBorders>
            <w:hideMark/>
          </w:tcPr>
          <w:p w14:paraId="022EFCDA" w14:textId="77777777" w:rsidR="000B2F53" w:rsidRPr="001468A9" w:rsidRDefault="000B2F53" w:rsidP="000B2F53">
            <w:pPr>
              <w:pStyle w:val="TblTextCenter"/>
            </w:pPr>
            <w:r w:rsidRPr="001468A9">
              <w:t>0</w:t>
            </w:r>
          </w:p>
        </w:tc>
        <w:tc>
          <w:tcPr>
            <w:tcW w:w="2160" w:type="dxa"/>
            <w:tcBorders>
              <w:top w:val="nil"/>
              <w:left w:val="single" w:sz="4" w:space="0" w:color="auto"/>
              <w:bottom w:val="nil"/>
              <w:right w:val="single" w:sz="4" w:space="0" w:color="auto"/>
            </w:tcBorders>
            <w:hideMark/>
          </w:tcPr>
          <w:p w14:paraId="5FA6E294" w14:textId="77777777" w:rsidR="000B2F53" w:rsidRPr="001468A9" w:rsidRDefault="000B2F53" w:rsidP="000B2F53">
            <w:pPr>
              <w:pStyle w:val="TblTextCenter"/>
            </w:pPr>
            <w:r w:rsidRPr="001468A9">
              <w:t>1 (0.5)</w:t>
            </w:r>
          </w:p>
        </w:tc>
      </w:tr>
      <w:tr w:rsidR="000B2F53" w:rsidRPr="00D63A4F" w14:paraId="15817A98" w14:textId="77777777" w:rsidTr="000B2F53">
        <w:trPr>
          <w:cantSplit/>
          <w:trHeight w:val="72"/>
        </w:trPr>
        <w:tc>
          <w:tcPr>
            <w:tcW w:w="5482" w:type="dxa"/>
            <w:tcBorders>
              <w:top w:val="nil"/>
              <w:left w:val="single" w:sz="4" w:space="0" w:color="auto"/>
              <w:bottom w:val="single" w:sz="4" w:space="0" w:color="auto"/>
              <w:right w:val="single" w:sz="4" w:space="0" w:color="auto"/>
            </w:tcBorders>
            <w:hideMark/>
          </w:tcPr>
          <w:p w14:paraId="17C334BC" w14:textId="77777777" w:rsidR="000B2F53" w:rsidRPr="001468A9" w:rsidRDefault="000B2F53" w:rsidP="000B2F53">
            <w:pPr>
              <w:pStyle w:val="TblTextLeft"/>
              <w:ind w:left="171"/>
            </w:pPr>
            <w:r w:rsidRPr="001468A9">
              <w:t>Missing</w:t>
            </w:r>
          </w:p>
        </w:tc>
        <w:tc>
          <w:tcPr>
            <w:tcW w:w="2160" w:type="dxa"/>
            <w:tcBorders>
              <w:top w:val="nil"/>
              <w:left w:val="single" w:sz="4" w:space="0" w:color="auto"/>
              <w:bottom w:val="single" w:sz="4" w:space="0" w:color="auto"/>
              <w:right w:val="single" w:sz="4" w:space="0" w:color="auto"/>
            </w:tcBorders>
            <w:hideMark/>
          </w:tcPr>
          <w:p w14:paraId="36CAD35C" w14:textId="77777777" w:rsidR="000B2F53" w:rsidRPr="001468A9" w:rsidRDefault="000B2F53" w:rsidP="000B2F53">
            <w:pPr>
              <w:pStyle w:val="TblTextCenter"/>
            </w:pPr>
            <w:r w:rsidRPr="001468A9">
              <w:t>5 (3)</w:t>
            </w:r>
          </w:p>
        </w:tc>
        <w:tc>
          <w:tcPr>
            <w:tcW w:w="2160" w:type="dxa"/>
            <w:tcBorders>
              <w:top w:val="nil"/>
              <w:left w:val="single" w:sz="4" w:space="0" w:color="auto"/>
              <w:bottom w:val="single" w:sz="4" w:space="0" w:color="auto"/>
              <w:right w:val="single" w:sz="4" w:space="0" w:color="auto"/>
            </w:tcBorders>
            <w:hideMark/>
          </w:tcPr>
          <w:p w14:paraId="1E1B39B4" w14:textId="77777777" w:rsidR="000B2F53" w:rsidRPr="001468A9" w:rsidRDefault="000B2F53" w:rsidP="000B2F53">
            <w:pPr>
              <w:pStyle w:val="TblTextCenter"/>
            </w:pPr>
            <w:r w:rsidRPr="001468A9">
              <w:t>9 (4)</w:t>
            </w:r>
          </w:p>
        </w:tc>
      </w:tr>
      <w:tr w:rsidR="000B2F53" w:rsidRPr="00D63A4F" w14:paraId="436B26B5" w14:textId="77777777" w:rsidTr="000B2F53">
        <w:trPr>
          <w:cantSplit/>
          <w:trHeight w:val="72"/>
        </w:trPr>
        <w:tc>
          <w:tcPr>
            <w:tcW w:w="5482" w:type="dxa"/>
            <w:tcBorders>
              <w:top w:val="single" w:sz="4" w:space="0" w:color="auto"/>
              <w:left w:val="single" w:sz="4" w:space="0" w:color="auto"/>
              <w:bottom w:val="nil"/>
              <w:right w:val="single" w:sz="4" w:space="0" w:color="auto"/>
            </w:tcBorders>
            <w:hideMark/>
          </w:tcPr>
          <w:p w14:paraId="2348E8A5" w14:textId="77777777" w:rsidR="000B2F53" w:rsidRPr="001468A9" w:rsidRDefault="000B2F53" w:rsidP="000B2F53">
            <w:pPr>
              <w:pStyle w:val="TblTextLeft"/>
            </w:pPr>
            <w:r w:rsidRPr="001468A9">
              <w:t>ECOG performance status score, n (%)</w:t>
            </w:r>
          </w:p>
        </w:tc>
        <w:tc>
          <w:tcPr>
            <w:tcW w:w="2160" w:type="dxa"/>
            <w:tcBorders>
              <w:top w:val="single" w:sz="4" w:space="0" w:color="auto"/>
              <w:left w:val="single" w:sz="4" w:space="0" w:color="auto"/>
              <w:bottom w:val="nil"/>
              <w:right w:val="single" w:sz="4" w:space="0" w:color="auto"/>
            </w:tcBorders>
          </w:tcPr>
          <w:p w14:paraId="3F11CA19" w14:textId="77777777" w:rsidR="000B2F53" w:rsidRPr="001468A9" w:rsidRDefault="000B2F53" w:rsidP="000B2F53">
            <w:pPr>
              <w:pStyle w:val="TblTextCenter"/>
            </w:pPr>
          </w:p>
        </w:tc>
        <w:tc>
          <w:tcPr>
            <w:tcW w:w="2160" w:type="dxa"/>
            <w:tcBorders>
              <w:top w:val="single" w:sz="4" w:space="0" w:color="auto"/>
              <w:left w:val="single" w:sz="4" w:space="0" w:color="auto"/>
              <w:bottom w:val="nil"/>
              <w:right w:val="single" w:sz="4" w:space="0" w:color="auto"/>
            </w:tcBorders>
          </w:tcPr>
          <w:p w14:paraId="2882F7DA" w14:textId="77777777" w:rsidR="000B2F53" w:rsidRPr="001468A9" w:rsidRDefault="000B2F53" w:rsidP="000B2F53">
            <w:pPr>
              <w:pStyle w:val="TblTextCenter"/>
            </w:pPr>
          </w:p>
        </w:tc>
      </w:tr>
      <w:tr w:rsidR="000B2F53" w:rsidRPr="00D63A4F" w14:paraId="6EEAE5C9" w14:textId="77777777" w:rsidTr="000B2F53">
        <w:trPr>
          <w:cantSplit/>
          <w:trHeight w:val="72"/>
        </w:trPr>
        <w:tc>
          <w:tcPr>
            <w:tcW w:w="5482" w:type="dxa"/>
            <w:tcBorders>
              <w:top w:val="nil"/>
              <w:left w:val="single" w:sz="4" w:space="0" w:color="auto"/>
              <w:bottom w:val="nil"/>
              <w:right w:val="single" w:sz="4" w:space="0" w:color="auto"/>
            </w:tcBorders>
            <w:hideMark/>
          </w:tcPr>
          <w:p w14:paraId="00B8D6A8" w14:textId="77777777" w:rsidR="000B2F53" w:rsidRPr="001468A9" w:rsidRDefault="000B2F53" w:rsidP="000B2F53">
            <w:pPr>
              <w:pStyle w:val="TblTextLeft"/>
              <w:ind w:left="171"/>
            </w:pPr>
            <w:r w:rsidRPr="001468A9">
              <w:t>0-1</w:t>
            </w:r>
          </w:p>
        </w:tc>
        <w:tc>
          <w:tcPr>
            <w:tcW w:w="2160" w:type="dxa"/>
            <w:tcBorders>
              <w:top w:val="nil"/>
              <w:left w:val="single" w:sz="4" w:space="0" w:color="auto"/>
              <w:bottom w:val="nil"/>
              <w:right w:val="single" w:sz="4" w:space="0" w:color="auto"/>
            </w:tcBorders>
            <w:hideMark/>
          </w:tcPr>
          <w:p w14:paraId="4E0FA9E5" w14:textId="77777777" w:rsidR="000B2F53" w:rsidRPr="001468A9" w:rsidRDefault="000B2F53" w:rsidP="000B2F53">
            <w:pPr>
              <w:pStyle w:val="TblTextCenter"/>
            </w:pPr>
            <w:r w:rsidRPr="001468A9">
              <w:t>175 (90)</w:t>
            </w:r>
          </w:p>
        </w:tc>
        <w:tc>
          <w:tcPr>
            <w:tcW w:w="2160" w:type="dxa"/>
            <w:tcBorders>
              <w:top w:val="nil"/>
              <w:left w:val="single" w:sz="4" w:space="0" w:color="auto"/>
              <w:bottom w:val="nil"/>
              <w:right w:val="single" w:sz="4" w:space="0" w:color="auto"/>
            </w:tcBorders>
            <w:hideMark/>
          </w:tcPr>
          <w:p w14:paraId="49F59F3E" w14:textId="77777777" w:rsidR="000B2F53" w:rsidRPr="001468A9" w:rsidRDefault="000B2F53" w:rsidP="000B2F53">
            <w:pPr>
              <w:pStyle w:val="TblTextCenter"/>
            </w:pPr>
            <w:r w:rsidRPr="001468A9">
              <w:t>191 (92)</w:t>
            </w:r>
          </w:p>
        </w:tc>
      </w:tr>
      <w:tr w:rsidR="000B2F53" w:rsidRPr="00D63A4F" w14:paraId="66665BC3" w14:textId="77777777" w:rsidTr="000B2F53">
        <w:trPr>
          <w:cantSplit/>
          <w:trHeight w:val="72"/>
        </w:trPr>
        <w:tc>
          <w:tcPr>
            <w:tcW w:w="5482" w:type="dxa"/>
            <w:tcBorders>
              <w:top w:val="nil"/>
              <w:left w:val="single" w:sz="4" w:space="0" w:color="auto"/>
              <w:bottom w:val="single" w:sz="4" w:space="0" w:color="auto"/>
              <w:right w:val="single" w:sz="4" w:space="0" w:color="auto"/>
            </w:tcBorders>
            <w:hideMark/>
          </w:tcPr>
          <w:p w14:paraId="447E4F2C" w14:textId="77777777" w:rsidR="000B2F53" w:rsidRPr="001468A9" w:rsidRDefault="000B2F53" w:rsidP="000B2F53">
            <w:pPr>
              <w:pStyle w:val="TblTextLeft"/>
              <w:ind w:left="171"/>
            </w:pPr>
            <w:r w:rsidRPr="001468A9">
              <w:t>≥2</w:t>
            </w:r>
          </w:p>
        </w:tc>
        <w:tc>
          <w:tcPr>
            <w:tcW w:w="2160" w:type="dxa"/>
            <w:tcBorders>
              <w:top w:val="nil"/>
              <w:left w:val="single" w:sz="4" w:space="0" w:color="auto"/>
              <w:bottom w:val="single" w:sz="4" w:space="0" w:color="auto"/>
              <w:right w:val="single" w:sz="4" w:space="0" w:color="auto"/>
            </w:tcBorders>
            <w:hideMark/>
          </w:tcPr>
          <w:p w14:paraId="3CB02E44" w14:textId="77777777" w:rsidR="000B2F53" w:rsidRPr="001468A9" w:rsidRDefault="000B2F53" w:rsidP="000B2F53">
            <w:pPr>
              <w:pStyle w:val="TblTextCenter"/>
            </w:pPr>
            <w:r w:rsidRPr="001468A9">
              <w:t>20 (10)</w:t>
            </w:r>
          </w:p>
        </w:tc>
        <w:tc>
          <w:tcPr>
            <w:tcW w:w="2160" w:type="dxa"/>
            <w:tcBorders>
              <w:top w:val="nil"/>
              <w:left w:val="single" w:sz="4" w:space="0" w:color="auto"/>
              <w:bottom w:val="single" w:sz="4" w:space="0" w:color="auto"/>
              <w:right w:val="single" w:sz="4" w:space="0" w:color="auto"/>
            </w:tcBorders>
            <w:hideMark/>
          </w:tcPr>
          <w:p w14:paraId="4DEBB407" w14:textId="77777777" w:rsidR="000B2F53" w:rsidRPr="001468A9" w:rsidRDefault="000B2F53" w:rsidP="000B2F53">
            <w:pPr>
              <w:pStyle w:val="TblTextCenter"/>
            </w:pPr>
            <w:r w:rsidRPr="001468A9">
              <w:t>16 (8)</w:t>
            </w:r>
          </w:p>
        </w:tc>
      </w:tr>
      <w:tr w:rsidR="000B2F53" w:rsidRPr="00D63A4F" w14:paraId="10CA8430" w14:textId="77777777" w:rsidTr="000B2F53">
        <w:trPr>
          <w:cantSplit/>
          <w:trHeight w:val="72"/>
        </w:trPr>
        <w:tc>
          <w:tcPr>
            <w:tcW w:w="5482" w:type="dxa"/>
            <w:tcBorders>
              <w:top w:val="single" w:sz="4" w:space="0" w:color="auto"/>
              <w:left w:val="single" w:sz="4" w:space="0" w:color="auto"/>
              <w:bottom w:val="nil"/>
              <w:right w:val="single" w:sz="4" w:space="0" w:color="auto"/>
            </w:tcBorders>
            <w:hideMark/>
          </w:tcPr>
          <w:p w14:paraId="7FDB4544" w14:textId="77777777" w:rsidR="000B2F53" w:rsidRPr="001468A9" w:rsidRDefault="000B2F53" w:rsidP="000B2F53">
            <w:pPr>
              <w:pStyle w:val="TblTextLeft"/>
            </w:pPr>
            <w:r w:rsidRPr="001468A9">
              <w:t>Creatinine Clearance, n (%), mL per minute</w:t>
            </w:r>
          </w:p>
        </w:tc>
        <w:tc>
          <w:tcPr>
            <w:tcW w:w="2160" w:type="dxa"/>
            <w:tcBorders>
              <w:top w:val="single" w:sz="4" w:space="0" w:color="auto"/>
              <w:left w:val="single" w:sz="4" w:space="0" w:color="auto"/>
              <w:bottom w:val="nil"/>
              <w:right w:val="single" w:sz="4" w:space="0" w:color="auto"/>
            </w:tcBorders>
          </w:tcPr>
          <w:p w14:paraId="19FD4475" w14:textId="77777777" w:rsidR="000B2F53" w:rsidRPr="001468A9" w:rsidRDefault="000B2F53" w:rsidP="000B2F53">
            <w:pPr>
              <w:pStyle w:val="TblTextCenter"/>
            </w:pPr>
          </w:p>
        </w:tc>
        <w:tc>
          <w:tcPr>
            <w:tcW w:w="2160" w:type="dxa"/>
            <w:tcBorders>
              <w:top w:val="single" w:sz="4" w:space="0" w:color="auto"/>
              <w:left w:val="single" w:sz="4" w:space="0" w:color="auto"/>
              <w:bottom w:val="nil"/>
              <w:right w:val="single" w:sz="4" w:space="0" w:color="auto"/>
            </w:tcBorders>
          </w:tcPr>
          <w:p w14:paraId="2437EEA2" w14:textId="77777777" w:rsidR="000B2F53" w:rsidRPr="001468A9" w:rsidRDefault="000B2F53" w:rsidP="000B2F53">
            <w:pPr>
              <w:pStyle w:val="TblTextCenter"/>
            </w:pPr>
          </w:p>
        </w:tc>
      </w:tr>
      <w:tr w:rsidR="000B2F53" w:rsidRPr="00D63A4F" w14:paraId="39CAC00F" w14:textId="77777777" w:rsidTr="000B2F53">
        <w:trPr>
          <w:cantSplit/>
          <w:trHeight w:val="72"/>
        </w:trPr>
        <w:tc>
          <w:tcPr>
            <w:tcW w:w="5482" w:type="dxa"/>
            <w:tcBorders>
              <w:top w:val="nil"/>
              <w:left w:val="single" w:sz="4" w:space="0" w:color="auto"/>
              <w:bottom w:val="nil"/>
              <w:right w:val="single" w:sz="4" w:space="0" w:color="auto"/>
            </w:tcBorders>
            <w:hideMark/>
          </w:tcPr>
          <w:p w14:paraId="443DD5EB" w14:textId="77777777" w:rsidR="000B2F53" w:rsidRPr="001468A9" w:rsidRDefault="000B2F53" w:rsidP="000B2F53">
            <w:pPr>
              <w:pStyle w:val="TblTextLeft"/>
              <w:ind w:left="171"/>
            </w:pPr>
            <w:r w:rsidRPr="001468A9">
              <w:t>&lt;30</w:t>
            </w:r>
          </w:p>
        </w:tc>
        <w:tc>
          <w:tcPr>
            <w:tcW w:w="2160" w:type="dxa"/>
            <w:tcBorders>
              <w:top w:val="nil"/>
              <w:left w:val="single" w:sz="4" w:space="0" w:color="auto"/>
              <w:bottom w:val="nil"/>
              <w:right w:val="single" w:sz="4" w:space="0" w:color="auto"/>
            </w:tcBorders>
            <w:hideMark/>
          </w:tcPr>
          <w:p w14:paraId="13445FDB" w14:textId="77777777" w:rsidR="000B2F53" w:rsidRPr="001468A9" w:rsidRDefault="000B2F53" w:rsidP="000B2F53">
            <w:pPr>
              <w:pStyle w:val="TblTextCenter"/>
            </w:pPr>
            <w:r w:rsidRPr="001468A9">
              <w:t>3 (1.5)</w:t>
            </w:r>
          </w:p>
        </w:tc>
        <w:tc>
          <w:tcPr>
            <w:tcW w:w="2160" w:type="dxa"/>
            <w:tcBorders>
              <w:top w:val="nil"/>
              <w:left w:val="single" w:sz="4" w:space="0" w:color="auto"/>
              <w:bottom w:val="nil"/>
              <w:right w:val="single" w:sz="4" w:space="0" w:color="auto"/>
            </w:tcBorders>
            <w:hideMark/>
          </w:tcPr>
          <w:p w14:paraId="411E12F9" w14:textId="77777777" w:rsidR="000B2F53" w:rsidRPr="001468A9" w:rsidRDefault="000B2F53" w:rsidP="000B2F53">
            <w:pPr>
              <w:pStyle w:val="TblTextCenter"/>
            </w:pPr>
            <w:r w:rsidRPr="001468A9">
              <w:t>10 (5)</w:t>
            </w:r>
          </w:p>
        </w:tc>
      </w:tr>
      <w:tr w:rsidR="000B2F53" w:rsidRPr="00D63A4F" w14:paraId="3D8029C1" w14:textId="77777777" w:rsidTr="000B2F53">
        <w:trPr>
          <w:cantSplit/>
          <w:trHeight w:val="72"/>
        </w:trPr>
        <w:tc>
          <w:tcPr>
            <w:tcW w:w="5482" w:type="dxa"/>
            <w:tcBorders>
              <w:top w:val="nil"/>
              <w:left w:val="single" w:sz="4" w:space="0" w:color="auto"/>
              <w:bottom w:val="nil"/>
              <w:right w:val="single" w:sz="4" w:space="0" w:color="auto"/>
            </w:tcBorders>
            <w:hideMark/>
          </w:tcPr>
          <w:p w14:paraId="3236E4FA" w14:textId="77777777" w:rsidR="000B2F53" w:rsidRPr="001468A9" w:rsidRDefault="000B2F53" w:rsidP="000B2F53">
            <w:pPr>
              <w:pStyle w:val="TblTextLeft"/>
              <w:ind w:left="171"/>
            </w:pPr>
            <w:r w:rsidRPr="001468A9">
              <w:t>30 - &lt;60</w:t>
            </w:r>
          </w:p>
        </w:tc>
        <w:tc>
          <w:tcPr>
            <w:tcW w:w="2160" w:type="dxa"/>
            <w:tcBorders>
              <w:top w:val="nil"/>
              <w:left w:val="single" w:sz="4" w:space="0" w:color="auto"/>
              <w:bottom w:val="nil"/>
              <w:right w:val="single" w:sz="4" w:space="0" w:color="auto"/>
            </w:tcBorders>
            <w:hideMark/>
          </w:tcPr>
          <w:p w14:paraId="7EFB2960" w14:textId="77777777" w:rsidR="000B2F53" w:rsidRPr="001468A9" w:rsidRDefault="000B2F53" w:rsidP="000B2F53">
            <w:pPr>
              <w:pStyle w:val="TblTextCenter"/>
            </w:pPr>
            <w:r w:rsidRPr="001468A9">
              <w:t>53 (27)</w:t>
            </w:r>
          </w:p>
        </w:tc>
        <w:tc>
          <w:tcPr>
            <w:tcW w:w="2160" w:type="dxa"/>
            <w:tcBorders>
              <w:top w:val="nil"/>
              <w:left w:val="single" w:sz="4" w:space="0" w:color="auto"/>
              <w:bottom w:val="nil"/>
              <w:right w:val="single" w:sz="4" w:space="0" w:color="auto"/>
            </w:tcBorders>
            <w:hideMark/>
          </w:tcPr>
          <w:p w14:paraId="046F50EC" w14:textId="77777777" w:rsidR="000B2F53" w:rsidRPr="001468A9" w:rsidRDefault="000B2F53" w:rsidP="000B2F53">
            <w:pPr>
              <w:pStyle w:val="TblTextCenter"/>
            </w:pPr>
            <w:r w:rsidRPr="001468A9">
              <w:t>60 (29)</w:t>
            </w:r>
          </w:p>
        </w:tc>
      </w:tr>
      <w:tr w:rsidR="000B2F53" w:rsidRPr="00D63A4F" w14:paraId="28AEEDB9" w14:textId="77777777" w:rsidTr="000B2F53">
        <w:trPr>
          <w:cantSplit/>
          <w:trHeight w:val="72"/>
        </w:trPr>
        <w:tc>
          <w:tcPr>
            <w:tcW w:w="5482" w:type="dxa"/>
            <w:tcBorders>
              <w:top w:val="nil"/>
              <w:left w:val="single" w:sz="4" w:space="0" w:color="auto"/>
              <w:bottom w:val="single" w:sz="4" w:space="0" w:color="auto"/>
              <w:right w:val="single" w:sz="4" w:space="0" w:color="auto"/>
            </w:tcBorders>
            <w:hideMark/>
          </w:tcPr>
          <w:p w14:paraId="78CE978B" w14:textId="77777777" w:rsidR="000B2F53" w:rsidRPr="001468A9" w:rsidRDefault="000B2F53" w:rsidP="000B2F53">
            <w:pPr>
              <w:pStyle w:val="TblTextLeft"/>
              <w:ind w:left="171"/>
            </w:pPr>
            <w:r w:rsidRPr="001468A9">
              <w:t>≥60</w:t>
            </w:r>
          </w:p>
        </w:tc>
        <w:tc>
          <w:tcPr>
            <w:tcW w:w="2160" w:type="dxa"/>
            <w:tcBorders>
              <w:top w:val="nil"/>
              <w:left w:val="single" w:sz="4" w:space="0" w:color="auto"/>
              <w:bottom w:val="single" w:sz="4" w:space="0" w:color="auto"/>
              <w:right w:val="single" w:sz="4" w:space="0" w:color="auto"/>
            </w:tcBorders>
            <w:hideMark/>
          </w:tcPr>
          <w:p w14:paraId="2898A5CF" w14:textId="77777777" w:rsidR="000B2F53" w:rsidRPr="001468A9" w:rsidRDefault="000B2F53" w:rsidP="000B2F53">
            <w:pPr>
              <w:pStyle w:val="TblTextCenter"/>
            </w:pPr>
            <w:r w:rsidRPr="001468A9">
              <w:t>139 (71)</w:t>
            </w:r>
          </w:p>
        </w:tc>
        <w:tc>
          <w:tcPr>
            <w:tcW w:w="2160" w:type="dxa"/>
            <w:tcBorders>
              <w:top w:val="nil"/>
              <w:left w:val="single" w:sz="4" w:space="0" w:color="auto"/>
              <w:bottom w:val="single" w:sz="4" w:space="0" w:color="auto"/>
              <w:right w:val="single" w:sz="4" w:space="0" w:color="auto"/>
            </w:tcBorders>
            <w:hideMark/>
          </w:tcPr>
          <w:p w14:paraId="031DC8D9" w14:textId="77777777" w:rsidR="000B2F53" w:rsidRPr="001468A9" w:rsidRDefault="000B2F53" w:rsidP="000B2F53">
            <w:pPr>
              <w:pStyle w:val="TblTextCenter"/>
            </w:pPr>
            <w:r w:rsidRPr="001468A9">
              <w:t>137 (66)</w:t>
            </w:r>
          </w:p>
        </w:tc>
      </w:tr>
    </w:tbl>
    <w:p w14:paraId="5D8731F2" w14:textId="28414C82" w:rsidR="000B2F53" w:rsidRPr="001468A9" w:rsidRDefault="0042731D" w:rsidP="000B2F53">
      <w:pPr>
        <w:pStyle w:val="Caption"/>
      </w:pPr>
      <w:bookmarkStart w:id="32" w:name="_Ref53993767"/>
      <w:bookmarkStart w:id="33" w:name="_Ref49247282"/>
      <w:r>
        <w:t xml:space="preserve">Table </w:t>
      </w:r>
      <w:r>
        <w:fldChar w:fldCharType="begin"/>
      </w:r>
      <w:r>
        <w:instrText xml:space="preserve"> SEQ Table \* ARABIC </w:instrText>
      </w:r>
      <w:r>
        <w:fldChar w:fldCharType="separate"/>
      </w:r>
      <w:r w:rsidR="00F53F5F">
        <w:rPr>
          <w:noProof/>
        </w:rPr>
        <w:t>9</w:t>
      </w:r>
      <w:r>
        <w:fldChar w:fldCharType="end"/>
      </w:r>
      <w:bookmarkEnd w:id="32"/>
      <w:r>
        <w:t>:</w:t>
      </w:r>
      <w:bookmarkEnd w:id="33"/>
      <w:r w:rsidR="000B2F53" w:rsidRPr="001468A9">
        <w:t xml:space="preserve"> Baseline Disease Characteristics (BOSTON)</w:t>
      </w:r>
    </w:p>
    <w:tbl>
      <w:tblPr>
        <w:tblStyle w:val="TableGrid"/>
        <w:tblW w:w="9781" w:type="dxa"/>
        <w:tblInd w:w="-5" w:type="dxa"/>
        <w:tblLook w:val="04A0" w:firstRow="1" w:lastRow="0" w:firstColumn="1" w:lastColumn="0" w:noHBand="0" w:noVBand="1"/>
      </w:tblPr>
      <w:tblGrid>
        <w:gridCol w:w="5529"/>
        <w:gridCol w:w="2126"/>
        <w:gridCol w:w="2126"/>
      </w:tblGrid>
      <w:tr w:rsidR="00D42314" w:rsidRPr="00D63A4F" w14:paraId="17F400BC" w14:textId="77777777" w:rsidTr="00D42314">
        <w:trPr>
          <w:trHeight w:val="514"/>
          <w:tblHeader/>
        </w:trPr>
        <w:tc>
          <w:tcPr>
            <w:tcW w:w="5529" w:type="dxa"/>
            <w:tcBorders>
              <w:top w:val="single" w:sz="4" w:space="0" w:color="auto"/>
              <w:left w:val="single" w:sz="4" w:space="0" w:color="auto"/>
              <w:bottom w:val="single" w:sz="4" w:space="0" w:color="auto"/>
              <w:right w:val="single" w:sz="4" w:space="0" w:color="auto"/>
            </w:tcBorders>
            <w:vAlign w:val="bottom"/>
            <w:hideMark/>
          </w:tcPr>
          <w:p w14:paraId="5E0957D4" w14:textId="77777777" w:rsidR="00D42314" w:rsidRPr="001468A9" w:rsidRDefault="00D42314" w:rsidP="00D42314">
            <w:pPr>
              <w:pStyle w:val="TblHeadingLeft"/>
              <w:rPr>
                <w:rFonts w:eastAsia="Times New Roman"/>
                <w:lang w:val="en-US"/>
              </w:rPr>
            </w:pPr>
            <w:r w:rsidRPr="001468A9">
              <w:t>Parameter</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77B36DC" w14:textId="77777777" w:rsidR="00D42314" w:rsidRPr="001468A9" w:rsidRDefault="00D42314" w:rsidP="00D42314">
            <w:pPr>
              <w:pStyle w:val="TblHeadingCenter"/>
              <w:rPr>
                <w:rFonts w:asciiTheme="minorHAnsi" w:hAnsiTheme="minorHAnsi"/>
              </w:rPr>
            </w:pPr>
            <w:r w:rsidRPr="001468A9">
              <w:t xml:space="preserve">SVd </w:t>
            </w:r>
          </w:p>
          <w:p w14:paraId="3CF45D67" w14:textId="77777777" w:rsidR="00D42314" w:rsidRPr="001468A9" w:rsidRDefault="00D42314" w:rsidP="00D42314">
            <w:pPr>
              <w:pStyle w:val="TblHeadingCenter"/>
              <w:rPr>
                <w:rFonts w:asciiTheme="minorHAnsi" w:hAnsiTheme="minorHAnsi"/>
              </w:rPr>
            </w:pPr>
            <w:r w:rsidRPr="001468A9">
              <w:rPr>
                <w:rFonts w:asciiTheme="minorHAnsi" w:hAnsiTheme="minorHAnsi"/>
              </w:rPr>
              <w:t>(N=195)</w:t>
            </w:r>
          </w:p>
        </w:tc>
        <w:tc>
          <w:tcPr>
            <w:tcW w:w="2126" w:type="dxa"/>
            <w:tcBorders>
              <w:top w:val="single" w:sz="4" w:space="0" w:color="auto"/>
              <w:left w:val="single" w:sz="4" w:space="0" w:color="auto"/>
              <w:bottom w:val="single" w:sz="4" w:space="0" w:color="auto"/>
              <w:right w:val="single" w:sz="4" w:space="0" w:color="auto"/>
            </w:tcBorders>
            <w:hideMark/>
          </w:tcPr>
          <w:p w14:paraId="05B01D33" w14:textId="77777777" w:rsidR="00D42314" w:rsidRPr="001468A9" w:rsidRDefault="00D42314" w:rsidP="00D42314">
            <w:pPr>
              <w:pStyle w:val="TblHeadingCenter"/>
              <w:rPr>
                <w:rFonts w:asciiTheme="minorHAnsi" w:hAnsiTheme="minorHAnsi"/>
              </w:rPr>
            </w:pPr>
            <w:r w:rsidRPr="001468A9">
              <w:t xml:space="preserve">Vd </w:t>
            </w:r>
          </w:p>
          <w:p w14:paraId="505CECC4" w14:textId="77777777" w:rsidR="00D42314" w:rsidRPr="001468A9" w:rsidRDefault="00D42314" w:rsidP="00D42314">
            <w:pPr>
              <w:pStyle w:val="TblHeadingCenter"/>
              <w:rPr>
                <w:rFonts w:asciiTheme="minorHAnsi" w:hAnsiTheme="minorHAnsi"/>
              </w:rPr>
            </w:pPr>
            <w:r w:rsidRPr="001468A9">
              <w:rPr>
                <w:rFonts w:asciiTheme="minorHAnsi" w:hAnsiTheme="minorHAnsi"/>
              </w:rPr>
              <w:t>(N=207)</w:t>
            </w:r>
          </w:p>
        </w:tc>
      </w:tr>
      <w:tr w:rsidR="00D42314" w:rsidRPr="00D63A4F" w14:paraId="0EFA073F" w14:textId="77777777" w:rsidTr="00D42314">
        <w:trPr>
          <w:trHeight w:val="261"/>
        </w:trPr>
        <w:tc>
          <w:tcPr>
            <w:tcW w:w="5529" w:type="dxa"/>
            <w:tcBorders>
              <w:top w:val="single" w:sz="4" w:space="0" w:color="auto"/>
              <w:left w:val="single" w:sz="4" w:space="0" w:color="auto"/>
              <w:bottom w:val="single" w:sz="4" w:space="0" w:color="auto"/>
              <w:right w:val="single" w:sz="4" w:space="0" w:color="auto"/>
            </w:tcBorders>
            <w:hideMark/>
          </w:tcPr>
          <w:p w14:paraId="06CCE47F" w14:textId="77777777" w:rsidR="00D42314" w:rsidRPr="001468A9" w:rsidRDefault="00D42314" w:rsidP="00D42314">
            <w:pPr>
              <w:pStyle w:val="TblTextLeft"/>
              <w:rPr>
                <w:b/>
              </w:rPr>
            </w:pPr>
            <w:r w:rsidRPr="001468A9">
              <w:t>Median years from diagnosis to randomization (range)</w:t>
            </w:r>
          </w:p>
        </w:tc>
        <w:tc>
          <w:tcPr>
            <w:tcW w:w="2126" w:type="dxa"/>
            <w:tcBorders>
              <w:top w:val="single" w:sz="4" w:space="0" w:color="auto"/>
              <w:left w:val="single" w:sz="4" w:space="0" w:color="auto"/>
              <w:bottom w:val="single" w:sz="4" w:space="0" w:color="auto"/>
              <w:right w:val="single" w:sz="4" w:space="0" w:color="auto"/>
            </w:tcBorders>
            <w:hideMark/>
          </w:tcPr>
          <w:p w14:paraId="7D669873" w14:textId="77777777" w:rsidR="00D42314" w:rsidRPr="001468A9" w:rsidRDefault="00D42314" w:rsidP="00D42314">
            <w:pPr>
              <w:pStyle w:val="TblTextLeft"/>
            </w:pPr>
            <w:r w:rsidRPr="001468A9">
              <w:t>3.81 (0.4,23.0)</w:t>
            </w:r>
          </w:p>
        </w:tc>
        <w:tc>
          <w:tcPr>
            <w:tcW w:w="2126" w:type="dxa"/>
            <w:tcBorders>
              <w:top w:val="single" w:sz="4" w:space="0" w:color="auto"/>
              <w:left w:val="single" w:sz="4" w:space="0" w:color="auto"/>
              <w:bottom w:val="single" w:sz="4" w:space="0" w:color="auto"/>
              <w:right w:val="single" w:sz="4" w:space="0" w:color="auto"/>
            </w:tcBorders>
            <w:hideMark/>
          </w:tcPr>
          <w:p w14:paraId="63F37C72" w14:textId="77777777" w:rsidR="00D42314" w:rsidRPr="001468A9" w:rsidRDefault="00D42314" w:rsidP="00D42314">
            <w:pPr>
              <w:pStyle w:val="TblTextLeft"/>
            </w:pPr>
            <w:r w:rsidRPr="001468A9">
              <w:t>3.59 (0.4, 22.0)</w:t>
            </w:r>
          </w:p>
        </w:tc>
      </w:tr>
      <w:tr w:rsidR="00D42314" w:rsidRPr="00D63A4F" w14:paraId="33A830CE" w14:textId="77777777" w:rsidTr="00D42314">
        <w:trPr>
          <w:trHeight w:val="261"/>
        </w:trPr>
        <w:tc>
          <w:tcPr>
            <w:tcW w:w="5529" w:type="dxa"/>
            <w:tcBorders>
              <w:top w:val="single" w:sz="4" w:space="0" w:color="auto"/>
              <w:left w:val="single" w:sz="4" w:space="0" w:color="auto"/>
              <w:bottom w:val="nil"/>
              <w:right w:val="single" w:sz="4" w:space="0" w:color="auto"/>
            </w:tcBorders>
            <w:hideMark/>
          </w:tcPr>
          <w:p w14:paraId="28F4A998" w14:textId="77777777" w:rsidR="00D42314" w:rsidRPr="001468A9" w:rsidRDefault="00D42314" w:rsidP="00D42314">
            <w:pPr>
              <w:pStyle w:val="TblTextLeft"/>
            </w:pPr>
            <w:r w:rsidRPr="001468A9">
              <w:t>Revised International Staging System at Baseline, n (%)</w:t>
            </w:r>
          </w:p>
        </w:tc>
        <w:tc>
          <w:tcPr>
            <w:tcW w:w="2126" w:type="dxa"/>
            <w:tcBorders>
              <w:top w:val="single" w:sz="4" w:space="0" w:color="auto"/>
              <w:left w:val="single" w:sz="4" w:space="0" w:color="auto"/>
              <w:bottom w:val="nil"/>
              <w:right w:val="single" w:sz="4" w:space="0" w:color="auto"/>
            </w:tcBorders>
          </w:tcPr>
          <w:p w14:paraId="4D1AFE6A" w14:textId="77777777" w:rsidR="00D42314" w:rsidRPr="001468A9" w:rsidRDefault="00D42314" w:rsidP="00D42314">
            <w:pPr>
              <w:pStyle w:val="TblTextLeft"/>
            </w:pPr>
          </w:p>
        </w:tc>
        <w:tc>
          <w:tcPr>
            <w:tcW w:w="2126" w:type="dxa"/>
            <w:tcBorders>
              <w:top w:val="single" w:sz="4" w:space="0" w:color="auto"/>
              <w:left w:val="single" w:sz="4" w:space="0" w:color="auto"/>
              <w:bottom w:val="nil"/>
              <w:right w:val="single" w:sz="4" w:space="0" w:color="auto"/>
            </w:tcBorders>
          </w:tcPr>
          <w:p w14:paraId="1F9F0C51" w14:textId="77777777" w:rsidR="00D42314" w:rsidRPr="001468A9" w:rsidRDefault="00D42314" w:rsidP="00D42314">
            <w:pPr>
              <w:pStyle w:val="TblTextLeft"/>
            </w:pPr>
          </w:p>
        </w:tc>
      </w:tr>
      <w:tr w:rsidR="00D42314" w:rsidRPr="00D63A4F" w14:paraId="37E93FF5" w14:textId="77777777" w:rsidTr="00D42314">
        <w:trPr>
          <w:trHeight w:val="261"/>
        </w:trPr>
        <w:tc>
          <w:tcPr>
            <w:tcW w:w="5529" w:type="dxa"/>
            <w:tcBorders>
              <w:top w:val="nil"/>
              <w:left w:val="single" w:sz="4" w:space="0" w:color="auto"/>
              <w:bottom w:val="nil"/>
              <w:right w:val="single" w:sz="4" w:space="0" w:color="auto"/>
            </w:tcBorders>
            <w:hideMark/>
          </w:tcPr>
          <w:p w14:paraId="56651D36" w14:textId="77777777" w:rsidR="00D42314" w:rsidRPr="001468A9" w:rsidRDefault="00D42314" w:rsidP="00D42314">
            <w:pPr>
              <w:pStyle w:val="TblTextLeft"/>
              <w:ind w:left="171"/>
            </w:pPr>
            <w:r w:rsidRPr="001468A9">
              <w:t>I</w:t>
            </w:r>
          </w:p>
        </w:tc>
        <w:tc>
          <w:tcPr>
            <w:tcW w:w="2126" w:type="dxa"/>
            <w:tcBorders>
              <w:top w:val="nil"/>
              <w:left w:val="single" w:sz="4" w:space="0" w:color="auto"/>
              <w:bottom w:val="nil"/>
              <w:right w:val="single" w:sz="4" w:space="0" w:color="auto"/>
            </w:tcBorders>
            <w:hideMark/>
          </w:tcPr>
          <w:p w14:paraId="001E7A50" w14:textId="77777777" w:rsidR="00D42314" w:rsidRPr="001468A9" w:rsidRDefault="00D42314" w:rsidP="00D42314">
            <w:pPr>
              <w:pStyle w:val="TblTextLeft"/>
            </w:pPr>
            <w:r w:rsidRPr="001468A9">
              <w:t>56 (29)</w:t>
            </w:r>
          </w:p>
        </w:tc>
        <w:tc>
          <w:tcPr>
            <w:tcW w:w="2126" w:type="dxa"/>
            <w:tcBorders>
              <w:top w:val="nil"/>
              <w:left w:val="single" w:sz="4" w:space="0" w:color="auto"/>
              <w:bottom w:val="nil"/>
              <w:right w:val="single" w:sz="4" w:space="0" w:color="auto"/>
            </w:tcBorders>
            <w:hideMark/>
          </w:tcPr>
          <w:p w14:paraId="2C46EC70" w14:textId="77777777" w:rsidR="00D42314" w:rsidRPr="001468A9" w:rsidRDefault="00D42314" w:rsidP="00D42314">
            <w:pPr>
              <w:pStyle w:val="TblTextLeft"/>
            </w:pPr>
            <w:r w:rsidRPr="001468A9">
              <w:t>52 (25)</w:t>
            </w:r>
          </w:p>
        </w:tc>
      </w:tr>
      <w:tr w:rsidR="00D42314" w:rsidRPr="00D63A4F" w14:paraId="5027B44B" w14:textId="77777777" w:rsidTr="00D42314">
        <w:trPr>
          <w:trHeight w:val="261"/>
        </w:trPr>
        <w:tc>
          <w:tcPr>
            <w:tcW w:w="5529" w:type="dxa"/>
            <w:tcBorders>
              <w:top w:val="nil"/>
              <w:left w:val="single" w:sz="4" w:space="0" w:color="auto"/>
              <w:bottom w:val="nil"/>
              <w:right w:val="single" w:sz="4" w:space="0" w:color="auto"/>
            </w:tcBorders>
            <w:hideMark/>
          </w:tcPr>
          <w:p w14:paraId="0A4775DF" w14:textId="77777777" w:rsidR="00D42314" w:rsidRPr="001468A9" w:rsidRDefault="00D42314" w:rsidP="00D42314">
            <w:pPr>
              <w:pStyle w:val="TblTextLeft"/>
              <w:ind w:left="171"/>
            </w:pPr>
            <w:r w:rsidRPr="001468A9">
              <w:t>II</w:t>
            </w:r>
          </w:p>
        </w:tc>
        <w:tc>
          <w:tcPr>
            <w:tcW w:w="2126" w:type="dxa"/>
            <w:tcBorders>
              <w:top w:val="nil"/>
              <w:left w:val="single" w:sz="4" w:space="0" w:color="auto"/>
              <w:bottom w:val="nil"/>
              <w:right w:val="single" w:sz="4" w:space="0" w:color="auto"/>
            </w:tcBorders>
            <w:hideMark/>
          </w:tcPr>
          <w:p w14:paraId="728193A5" w14:textId="77777777" w:rsidR="00D42314" w:rsidRPr="001468A9" w:rsidRDefault="00D42314" w:rsidP="00D42314">
            <w:pPr>
              <w:pStyle w:val="TblTextLeft"/>
            </w:pPr>
            <w:r w:rsidRPr="001468A9">
              <w:t>117 (60)</w:t>
            </w:r>
          </w:p>
        </w:tc>
        <w:tc>
          <w:tcPr>
            <w:tcW w:w="2126" w:type="dxa"/>
            <w:tcBorders>
              <w:top w:val="nil"/>
              <w:left w:val="single" w:sz="4" w:space="0" w:color="auto"/>
              <w:bottom w:val="nil"/>
              <w:right w:val="single" w:sz="4" w:space="0" w:color="auto"/>
            </w:tcBorders>
            <w:hideMark/>
          </w:tcPr>
          <w:p w14:paraId="700A2483" w14:textId="77777777" w:rsidR="00D42314" w:rsidRPr="001468A9" w:rsidRDefault="00D42314" w:rsidP="00D42314">
            <w:pPr>
              <w:pStyle w:val="TblTextLeft"/>
            </w:pPr>
            <w:r w:rsidRPr="001468A9">
              <w:t>125 (60)</w:t>
            </w:r>
          </w:p>
        </w:tc>
      </w:tr>
      <w:tr w:rsidR="00D42314" w:rsidRPr="00D63A4F" w14:paraId="307FE341" w14:textId="77777777" w:rsidTr="00D42314">
        <w:trPr>
          <w:trHeight w:val="261"/>
        </w:trPr>
        <w:tc>
          <w:tcPr>
            <w:tcW w:w="5529" w:type="dxa"/>
            <w:tcBorders>
              <w:top w:val="nil"/>
              <w:left w:val="single" w:sz="4" w:space="0" w:color="auto"/>
              <w:bottom w:val="nil"/>
              <w:right w:val="single" w:sz="4" w:space="0" w:color="auto"/>
            </w:tcBorders>
            <w:hideMark/>
          </w:tcPr>
          <w:p w14:paraId="1E3C8115" w14:textId="77777777" w:rsidR="00D42314" w:rsidRPr="001468A9" w:rsidRDefault="00D42314" w:rsidP="00D42314">
            <w:pPr>
              <w:pStyle w:val="TblTextLeft"/>
              <w:ind w:left="171"/>
            </w:pPr>
            <w:r w:rsidRPr="001468A9">
              <w:t>III</w:t>
            </w:r>
          </w:p>
        </w:tc>
        <w:tc>
          <w:tcPr>
            <w:tcW w:w="2126" w:type="dxa"/>
            <w:tcBorders>
              <w:top w:val="nil"/>
              <w:left w:val="single" w:sz="4" w:space="0" w:color="auto"/>
              <w:bottom w:val="nil"/>
              <w:right w:val="single" w:sz="4" w:space="0" w:color="auto"/>
            </w:tcBorders>
            <w:hideMark/>
          </w:tcPr>
          <w:p w14:paraId="1230C252" w14:textId="77777777" w:rsidR="00D42314" w:rsidRPr="001468A9" w:rsidRDefault="00D42314" w:rsidP="00D42314">
            <w:pPr>
              <w:pStyle w:val="TblTextLeft"/>
            </w:pPr>
            <w:r w:rsidRPr="001468A9">
              <w:t>12 (6)</w:t>
            </w:r>
          </w:p>
        </w:tc>
        <w:tc>
          <w:tcPr>
            <w:tcW w:w="2126" w:type="dxa"/>
            <w:tcBorders>
              <w:top w:val="nil"/>
              <w:left w:val="single" w:sz="4" w:space="0" w:color="auto"/>
              <w:bottom w:val="nil"/>
              <w:right w:val="single" w:sz="4" w:space="0" w:color="auto"/>
            </w:tcBorders>
            <w:hideMark/>
          </w:tcPr>
          <w:p w14:paraId="739B8666" w14:textId="77777777" w:rsidR="00D42314" w:rsidRPr="001468A9" w:rsidRDefault="00D42314" w:rsidP="00D42314">
            <w:pPr>
              <w:pStyle w:val="TblTextLeft"/>
            </w:pPr>
            <w:r w:rsidRPr="001468A9">
              <w:t>16 (8)</w:t>
            </w:r>
          </w:p>
        </w:tc>
      </w:tr>
      <w:tr w:rsidR="00D42314" w:rsidRPr="00D63A4F" w14:paraId="04C81A10" w14:textId="77777777" w:rsidTr="00D42314">
        <w:trPr>
          <w:trHeight w:val="261"/>
        </w:trPr>
        <w:tc>
          <w:tcPr>
            <w:tcW w:w="5529" w:type="dxa"/>
            <w:tcBorders>
              <w:top w:val="nil"/>
              <w:left w:val="single" w:sz="4" w:space="0" w:color="auto"/>
              <w:bottom w:val="single" w:sz="4" w:space="0" w:color="auto"/>
              <w:right w:val="single" w:sz="4" w:space="0" w:color="auto"/>
            </w:tcBorders>
            <w:hideMark/>
          </w:tcPr>
          <w:p w14:paraId="353DF32E" w14:textId="77777777" w:rsidR="00D42314" w:rsidRPr="001468A9" w:rsidRDefault="00D42314" w:rsidP="00D42314">
            <w:pPr>
              <w:pStyle w:val="TblTextLeft"/>
              <w:ind w:left="171"/>
            </w:pPr>
            <w:r w:rsidRPr="001468A9">
              <w:t>Unknown</w:t>
            </w:r>
          </w:p>
        </w:tc>
        <w:tc>
          <w:tcPr>
            <w:tcW w:w="2126" w:type="dxa"/>
            <w:tcBorders>
              <w:top w:val="nil"/>
              <w:left w:val="single" w:sz="4" w:space="0" w:color="auto"/>
              <w:bottom w:val="single" w:sz="4" w:space="0" w:color="auto"/>
              <w:right w:val="single" w:sz="4" w:space="0" w:color="auto"/>
            </w:tcBorders>
            <w:hideMark/>
          </w:tcPr>
          <w:p w14:paraId="24A6F8E4" w14:textId="77777777" w:rsidR="00D42314" w:rsidRPr="001468A9" w:rsidRDefault="00D42314" w:rsidP="00D42314">
            <w:pPr>
              <w:pStyle w:val="TblTextLeft"/>
            </w:pPr>
            <w:r w:rsidRPr="001468A9">
              <w:t>10 (5)</w:t>
            </w:r>
          </w:p>
        </w:tc>
        <w:tc>
          <w:tcPr>
            <w:tcW w:w="2126" w:type="dxa"/>
            <w:tcBorders>
              <w:top w:val="nil"/>
              <w:left w:val="single" w:sz="4" w:space="0" w:color="auto"/>
              <w:bottom w:val="single" w:sz="4" w:space="0" w:color="auto"/>
              <w:right w:val="single" w:sz="4" w:space="0" w:color="auto"/>
            </w:tcBorders>
            <w:hideMark/>
          </w:tcPr>
          <w:p w14:paraId="34A6F9C0" w14:textId="77777777" w:rsidR="00D42314" w:rsidRPr="001468A9" w:rsidRDefault="00D42314" w:rsidP="00D42314">
            <w:pPr>
              <w:pStyle w:val="TblTextLeft"/>
            </w:pPr>
            <w:r w:rsidRPr="001468A9">
              <w:t>14 (7)</w:t>
            </w:r>
          </w:p>
        </w:tc>
      </w:tr>
      <w:tr w:rsidR="00D42314" w:rsidRPr="00D63A4F" w14:paraId="723348E9" w14:textId="77777777" w:rsidTr="00D42314">
        <w:trPr>
          <w:trHeight w:val="252"/>
        </w:trPr>
        <w:tc>
          <w:tcPr>
            <w:tcW w:w="5529" w:type="dxa"/>
            <w:tcBorders>
              <w:top w:val="single" w:sz="4" w:space="0" w:color="auto"/>
              <w:left w:val="single" w:sz="4" w:space="0" w:color="auto"/>
              <w:bottom w:val="single" w:sz="4" w:space="0" w:color="auto"/>
              <w:right w:val="single" w:sz="4" w:space="0" w:color="auto"/>
            </w:tcBorders>
            <w:hideMark/>
          </w:tcPr>
          <w:p w14:paraId="0B9C8D17" w14:textId="77777777" w:rsidR="00D42314" w:rsidRPr="001468A9" w:rsidRDefault="00D42314" w:rsidP="00D42314">
            <w:pPr>
              <w:pStyle w:val="TblTextLeft"/>
              <w:rPr>
                <w:b/>
              </w:rPr>
            </w:pPr>
            <w:r w:rsidRPr="001468A9">
              <w:t>Prior treatment regimens, mean (range)</w:t>
            </w:r>
          </w:p>
        </w:tc>
        <w:tc>
          <w:tcPr>
            <w:tcW w:w="2126" w:type="dxa"/>
            <w:tcBorders>
              <w:top w:val="single" w:sz="4" w:space="0" w:color="auto"/>
              <w:left w:val="single" w:sz="4" w:space="0" w:color="auto"/>
              <w:bottom w:val="single" w:sz="4" w:space="0" w:color="auto"/>
              <w:right w:val="single" w:sz="4" w:space="0" w:color="auto"/>
            </w:tcBorders>
            <w:hideMark/>
          </w:tcPr>
          <w:p w14:paraId="0FDD6474" w14:textId="77777777" w:rsidR="00D42314" w:rsidRPr="001468A9" w:rsidRDefault="00D42314" w:rsidP="00D42314">
            <w:pPr>
              <w:pStyle w:val="TblTextLeft"/>
              <w:rPr>
                <w:rFonts w:cstheme="minorBidi"/>
              </w:rPr>
            </w:pPr>
            <w:r w:rsidRPr="001468A9">
              <w:rPr>
                <w:rFonts w:cstheme="minorBidi"/>
              </w:rPr>
              <w:t>1.7 (1, 3)</w:t>
            </w:r>
          </w:p>
        </w:tc>
        <w:tc>
          <w:tcPr>
            <w:tcW w:w="2126" w:type="dxa"/>
            <w:tcBorders>
              <w:top w:val="single" w:sz="4" w:space="0" w:color="auto"/>
              <w:left w:val="single" w:sz="4" w:space="0" w:color="auto"/>
              <w:bottom w:val="single" w:sz="4" w:space="0" w:color="auto"/>
              <w:right w:val="single" w:sz="4" w:space="0" w:color="auto"/>
            </w:tcBorders>
            <w:hideMark/>
          </w:tcPr>
          <w:p w14:paraId="3B63795A" w14:textId="77777777" w:rsidR="00D42314" w:rsidRPr="001468A9" w:rsidRDefault="00D42314" w:rsidP="00D42314">
            <w:pPr>
              <w:pStyle w:val="TblTextLeft"/>
              <w:rPr>
                <w:rFonts w:cstheme="minorBidi"/>
              </w:rPr>
            </w:pPr>
            <w:r w:rsidRPr="001468A9">
              <w:rPr>
                <w:rFonts w:cstheme="minorBidi"/>
              </w:rPr>
              <w:t>1.7 (1, 3)</w:t>
            </w:r>
          </w:p>
        </w:tc>
      </w:tr>
      <w:tr w:rsidR="00D42314" w:rsidRPr="00D63A4F" w14:paraId="4AA5654F" w14:textId="77777777" w:rsidTr="00D42314">
        <w:trPr>
          <w:trHeight w:val="252"/>
        </w:trPr>
        <w:tc>
          <w:tcPr>
            <w:tcW w:w="5529" w:type="dxa"/>
            <w:tcBorders>
              <w:top w:val="single" w:sz="4" w:space="0" w:color="auto"/>
              <w:left w:val="single" w:sz="4" w:space="0" w:color="auto"/>
              <w:bottom w:val="single" w:sz="4" w:space="0" w:color="auto"/>
              <w:right w:val="single" w:sz="4" w:space="0" w:color="auto"/>
            </w:tcBorders>
            <w:hideMark/>
          </w:tcPr>
          <w:p w14:paraId="3480FCF8" w14:textId="77777777" w:rsidR="00D42314" w:rsidRPr="001468A9" w:rsidRDefault="00D42314" w:rsidP="00D42314">
            <w:pPr>
              <w:pStyle w:val="TblTextLeft"/>
            </w:pPr>
            <w:r w:rsidRPr="001468A9">
              <w:t>Number of Prior Therapies (%)</w:t>
            </w:r>
          </w:p>
          <w:p w14:paraId="53758657" w14:textId="77777777" w:rsidR="00D42314" w:rsidRPr="001468A9" w:rsidRDefault="00D42314" w:rsidP="00D42314">
            <w:pPr>
              <w:pStyle w:val="TblTextLeft"/>
              <w:ind w:left="171"/>
              <w:rPr>
                <w:bCs/>
              </w:rPr>
            </w:pPr>
            <w:r w:rsidRPr="001468A9">
              <w:rPr>
                <w:bCs/>
              </w:rPr>
              <w:t>1</w:t>
            </w:r>
          </w:p>
          <w:p w14:paraId="5EAFA60C" w14:textId="77777777" w:rsidR="00D42314" w:rsidRPr="001468A9" w:rsidRDefault="00D42314" w:rsidP="00D42314">
            <w:pPr>
              <w:pStyle w:val="TblTextLeft"/>
              <w:ind w:left="171"/>
              <w:rPr>
                <w:bCs/>
              </w:rPr>
            </w:pPr>
            <w:r w:rsidRPr="001468A9">
              <w:rPr>
                <w:bCs/>
              </w:rPr>
              <w:t>2</w:t>
            </w:r>
          </w:p>
          <w:p w14:paraId="13821086" w14:textId="77777777" w:rsidR="00D42314" w:rsidRPr="001468A9" w:rsidRDefault="00D42314" w:rsidP="00D42314">
            <w:pPr>
              <w:pStyle w:val="TblTextLeft"/>
              <w:ind w:left="171"/>
              <w:rPr>
                <w:b/>
              </w:rPr>
            </w:pPr>
            <w:r w:rsidRPr="001468A9">
              <w:rPr>
                <w:bCs/>
              </w:rPr>
              <w:t>3</w:t>
            </w:r>
          </w:p>
        </w:tc>
        <w:tc>
          <w:tcPr>
            <w:tcW w:w="2126" w:type="dxa"/>
            <w:tcBorders>
              <w:top w:val="single" w:sz="4" w:space="0" w:color="auto"/>
              <w:left w:val="single" w:sz="4" w:space="0" w:color="auto"/>
              <w:bottom w:val="single" w:sz="4" w:space="0" w:color="auto"/>
              <w:right w:val="single" w:sz="4" w:space="0" w:color="auto"/>
            </w:tcBorders>
          </w:tcPr>
          <w:p w14:paraId="7FC0A94F" w14:textId="77777777" w:rsidR="00D42314" w:rsidRPr="001468A9" w:rsidRDefault="00D42314" w:rsidP="00D42314">
            <w:pPr>
              <w:pStyle w:val="TblTextLeft"/>
            </w:pPr>
          </w:p>
          <w:p w14:paraId="1D2C4A97" w14:textId="77777777" w:rsidR="00D42314" w:rsidRPr="001468A9" w:rsidRDefault="00D42314" w:rsidP="00D42314">
            <w:pPr>
              <w:pStyle w:val="TblTextLeft"/>
            </w:pPr>
            <w:r w:rsidRPr="001468A9">
              <w:t>51%</w:t>
            </w:r>
          </w:p>
          <w:p w14:paraId="47364551" w14:textId="77777777" w:rsidR="00D42314" w:rsidRPr="001468A9" w:rsidRDefault="00D42314" w:rsidP="00D42314">
            <w:pPr>
              <w:pStyle w:val="TblTextLeft"/>
            </w:pPr>
            <w:r w:rsidRPr="001468A9">
              <w:t>33%</w:t>
            </w:r>
          </w:p>
          <w:p w14:paraId="080E12B0" w14:textId="77777777" w:rsidR="00D42314" w:rsidRPr="001468A9" w:rsidRDefault="00D42314" w:rsidP="00D42314">
            <w:pPr>
              <w:pStyle w:val="TblTextLeft"/>
            </w:pPr>
            <w:r w:rsidRPr="001468A9">
              <w:t>16%</w:t>
            </w:r>
          </w:p>
        </w:tc>
        <w:tc>
          <w:tcPr>
            <w:tcW w:w="2126" w:type="dxa"/>
            <w:tcBorders>
              <w:top w:val="single" w:sz="4" w:space="0" w:color="auto"/>
              <w:left w:val="single" w:sz="4" w:space="0" w:color="auto"/>
              <w:bottom w:val="single" w:sz="4" w:space="0" w:color="auto"/>
              <w:right w:val="single" w:sz="4" w:space="0" w:color="auto"/>
            </w:tcBorders>
          </w:tcPr>
          <w:p w14:paraId="1EEFB0BF" w14:textId="77777777" w:rsidR="00D42314" w:rsidRPr="001468A9" w:rsidRDefault="00D42314" w:rsidP="00D42314">
            <w:pPr>
              <w:pStyle w:val="TblTextLeft"/>
            </w:pPr>
          </w:p>
          <w:p w14:paraId="6C5C5BD0" w14:textId="77777777" w:rsidR="00D42314" w:rsidRPr="001468A9" w:rsidRDefault="00D42314" w:rsidP="00D42314">
            <w:pPr>
              <w:pStyle w:val="TblTextLeft"/>
            </w:pPr>
            <w:r w:rsidRPr="001468A9">
              <w:t>48%</w:t>
            </w:r>
          </w:p>
          <w:p w14:paraId="2E3B1EE5" w14:textId="77777777" w:rsidR="00D42314" w:rsidRPr="001468A9" w:rsidRDefault="00D42314" w:rsidP="00D42314">
            <w:pPr>
              <w:pStyle w:val="TblTextLeft"/>
            </w:pPr>
            <w:r w:rsidRPr="001468A9">
              <w:t>31%</w:t>
            </w:r>
          </w:p>
          <w:p w14:paraId="2D1CF310" w14:textId="77777777" w:rsidR="00D42314" w:rsidRPr="001468A9" w:rsidRDefault="00D42314" w:rsidP="00D42314">
            <w:pPr>
              <w:pStyle w:val="TblTextLeft"/>
            </w:pPr>
            <w:r w:rsidRPr="001468A9">
              <w:t>21%</w:t>
            </w:r>
          </w:p>
        </w:tc>
      </w:tr>
      <w:tr w:rsidR="00D42314" w:rsidRPr="00D63A4F" w14:paraId="756E0ED5" w14:textId="77777777" w:rsidTr="00D42314">
        <w:trPr>
          <w:trHeight w:val="261"/>
        </w:trPr>
        <w:tc>
          <w:tcPr>
            <w:tcW w:w="5529" w:type="dxa"/>
            <w:tcBorders>
              <w:top w:val="single" w:sz="4" w:space="0" w:color="auto"/>
              <w:left w:val="single" w:sz="4" w:space="0" w:color="auto"/>
              <w:bottom w:val="nil"/>
              <w:right w:val="single" w:sz="4" w:space="0" w:color="auto"/>
            </w:tcBorders>
            <w:hideMark/>
          </w:tcPr>
          <w:p w14:paraId="462C5FE4" w14:textId="77777777" w:rsidR="00D42314" w:rsidRPr="001468A9" w:rsidRDefault="00D42314" w:rsidP="00D42314">
            <w:pPr>
              <w:pStyle w:val="TblTextLeft"/>
              <w:rPr>
                <w:b/>
              </w:rPr>
            </w:pPr>
            <w:r w:rsidRPr="001468A9">
              <w:t>Type of prior therapy, n (%)</w:t>
            </w:r>
          </w:p>
        </w:tc>
        <w:tc>
          <w:tcPr>
            <w:tcW w:w="2126" w:type="dxa"/>
            <w:tcBorders>
              <w:top w:val="single" w:sz="4" w:space="0" w:color="auto"/>
              <w:left w:val="single" w:sz="4" w:space="0" w:color="auto"/>
              <w:bottom w:val="nil"/>
              <w:right w:val="single" w:sz="4" w:space="0" w:color="auto"/>
            </w:tcBorders>
          </w:tcPr>
          <w:p w14:paraId="2F677FA7" w14:textId="77777777" w:rsidR="00D42314" w:rsidRPr="001468A9" w:rsidRDefault="00D42314" w:rsidP="00D42314">
            <w:pPr>
              <w:pStyle w:val="TblTextLeft"/>
            </w:pPr>
          </w:p>
        </w:tc>
        <w:tc>
          <w:tcPr>
            <w:tcW w:w="2126" w:type="dxa"/>
            <w:tcBorders>
              <w:top w:val="single" w:sz="4" w:space="0" w:color="auto"/>
              <w:left w:val="single" w:sz="4" w:space="0" w:color="auto"/>
              <w:bottom w:val="nil"/>
              <w:right w:val="single" w:sz="4" w:space="0" w:color="auto"/>
            </w:tcBorders>
          </w:tcPr>
          <w:p w14:paraId="3098EAA2" w14:textId="77777777" w:rsidR="00D42314" w:rsidRPr="001468A9" w:rsidRDefault="00D42314" w:rsidP="00D42314">
            <w:pPr>
              <w:pStyle w:val="TblTextLeft"/>
              <w:rPr>
                <w:b/>
              </w:rPr>
            </w:pPr>
          </w:p>
        </w:tc>
      </w:tr>
      <w:tr w:rsidR="00D42314" w:rsidRPr="00D63A4F" w14:paraId="279B514F" w14:textId="77777777" w:rsidTr="00D42314">
        <w:trPr>
          <w:trHeight w:val="252"/>
        </w:trPr>
        <w:tc>
          <w:tcPr>
            <w:tcW w:w="5529" w:type="dxa"/>
            <w:tcBorders>
              <w:top w:val="nil"/>
              <w:left w:val="single" w:sz="4" w:space="0" w:color="auto"/>
              <w:bottom w:val="nil"/>
              <w:right w:val="single" w:sz="4" w:space="0" w:color="auto"/>
            </w:tcBorders>
            <w:hideMark/>
          </w:tcPr>
          <w:p w14:paraId="1A3BF43F" w14:textId="77777777" w:rsidR="00D42314" w:rsidRPr="001468A9" w:rsidRDefault="00D42314" w:rsidP="00D42314">
            <w:pPr>
              <w:pStyle w:val="TblTextLeft"/>
              <w:ind w:left="171"/>
            </w:pPr>
            <w:r w:rsidRPr="001468A9">
              <w:t>Stem Cell transplantation</w:t>
            </w:r>
          </w:p>
        </w:tc>
        <w:tc>
          <w:tcPr>
            <w:tcW w:w="2126" w:type="dxa"/>
            <w:tcBorders>
              <w:top w:val="nil"/>
              <w:left w:val="single" w:sz="4" w:space="0" w:color="auto"/>
              <w:bottom w:val="nil"/>
              <w:right w:val="single" w:sz="4" w:space="0" w:color="auto"/>
            </w:tcBorders>
            <w:vAlign w:val="center"/>
            <w:hideMark/>
          </w:tcPr>
          <w:p w14:paraId="0915D9E6" w14:textId="77777777" w:rsidR="00D42314" w:rsidRPr="001468A9" w:rsidRDefault="00D42314" w:rsidP="00D42314">
            <w:pPr>
              <w:pStyle w:val="TblTextLeft"/>
            </w:pPr>
            <w:r w:rsidRPr="001468A9">
              <w:t>76 (39)</w:t>
            </w:r>
          </w:p>
        </w:tc>
        <w:tc>
          <w:tcPr>
            <w:tcW w:w="2126" w:type="dxa"/>
            <w:tcBorders>
              <w:top w:val="nil"/>
              <w:left w:val="single" w:sz="4" w:space="0" w:color="auto"/>
              <w:bottom w:val="nil"/>
              <w:right w:val="single" w:sz="4" w:space="0" w:color="auto"/>
            </w:tcBorders>
            <w:hideMark/>
          </w:tcPr>
          <w:p w14:paraId="26550B32" w14:textId="77777777" w:rsidR="00D42314" w:rsidRPr="001468A9" w:rsidRDefault="00D42314" w:rsidP="00D42314">
            <w:pPr>
              <w:pStyle w:val="TblTextLeft"/>
            </w:pPr>
            <w:r w:rsidRPr="001468A9">
              <w:t>63 (30)</w:t>
            </w:r>
          </w:p>
        </w:tc>
      </w:tr>
      <w:tr w:rsidR="00D42314" w:rsidRPr="00D63A4F" w14:paraId="7707CD78" w14:textId="77777777" w:rsidTr="00D42314">
        <w:trPr>
          <w:trHeight w:val="252"/>
        </w:trPr>
        <w:tc>
          <w:tcPr>
            <w:tcW w:w="5529" w:type="dxa"/>
            <w:tcBorders>
              <w:top w:val="nil"/>
              <w:left w:val="single" w:sz="4" w:space="0" w:color="auto"/>
              <w:bottom w:val="nil"/>
              <w:right w:val="single" w:sz="4" w:space="0" w:color="auto"/>
            </w:tcBorders>
            <w:hideMark/>
          </w:tcPr>
          <w:p w14:paraId="0C8B1CDE" w14:textId="77777777" w:rsidR="00D42314" w:rsidRPr="001468A9" w:rsidRDefault="00D42314" w:rsidP="00D42314">
            <w:pPr>
              <w:pStyle w:val="TblTextLeft"/>
              <w:ind w:left="171"/>
              <w:rPr>
                <w:b/>
              </w:rPr>
            </w:pPr>
            <w:r w:rsidRPr="001468A9">
              <w:t>Lenalidomide</w:t>
            </w:r>
          </w:p>
        </w:tc>
        <w:tc>
          <w:tcPr>
            <w:tcW w:w="2126" w:type="dxa"/>
            <w:tcBorders>
              <w:top w:val="nil"/>
              <w:left w:val="single" w:sz="4" w:space="0" w:color="auto"/>
              <w:bottom w:val="nil"/>
              <w:right w:val="single" w:sz="4" w:space="0" w:color="auto"/>
            </w:tcBorders>
            <w:vAlign w:val="center"/>
            <w:hideMark/>
          </w:tcPr>
          <w:p w14:paraId="4FDF29F8" w14:textId="77777777" w:rsidR="00D42314" w:rsidRPr="001468A9" w:rsidRDefault="00D42314" w:rsidP="00D42314">
            <w:pPr>
              <w:pStyle w:val="TblTextLeft"/>
            </w:pPr>
            <w:r w:rsidRPr="001468A9">
              <w:t>77 (39)</w:t>
            </w:r>
          </w:p>
        </w:tc>
        <w:tc>
          <w:tcPr>
            <w:tcW w:w="2126" w:type="dxa"/>
            <w:tcBorders>
              <w:top w:val="nil"/>
              <w:left w:val="single" w:sz="4" w:space="0" w:color="auto"/>
              <w:bottom w:val="nil"/>
              <w:right w:val="single" w:sz="4" w:space="0" w:color="auto"/>
            </w:tcBorders>
            <w:hideMark/>
          </w:tcPr>
          <w:p w14:paraId="3F59E736" w14:textId="77777777" w:rsidR="00D42314" w:rsidRPr="001468A9" w:rsidRDefault="00D42314" w:rsidP="00D42314">
            <w:pPr>
              <w:pStyle w:val="TblTextLeft"/>
            </w:pPr>
            <w:r w:rsidRPr="001468A9">
              <w:t>77 (37)</w:t>
            </w:r>
          </w:p>
        </w:tc>
      </w:tr>
      <w:tr w:rsidR="00D42314" w:rsidRPr="00D63A4F" w14:paraId="6776FAA9" w14:textId="77777777" w:rsidTr="00D42314">
        <w:trPr>
          <w:trHeight w:val="261"/>
        </w:trPr>
        <w:tc>
          <w:tcPr>
            <w:tcW w:w="5529" w:type="dxa"/>
            <w:tcBorders>
              <w:top w:val="nil"/>
              <w:left w:val="single" w:sz="4" w:space="0" w:color="auto"/>
              <w:bottom w:val="nil"/>
              <w:right w:val="single" w:sz="4" w:space="0" w:color="auto"/>
            </w:tcBorders>
            <w:hideMark/>
          </w:tcPr>
          <w:p w14:paraId="0162600C" w14:textId="77777777" w:rsidR="00D42314" w:rsidRPr="001468A9" w:rsidRDefault="00D42314" w:rsidP="00D42314">
            <w:pPr>
              <w:pStyle w:val="TblTextLeft"/>
              <w:ind w:left="171"/>
              <w:rPr>
                <w:b/>
              </w:rPr>
            </w:pPr>
            <w:r w:rsidRPr="001468A9">
              <w:lastRenderedPageBreak/>
              <w:t>Pomalidomide</w:t>
            </w:r>
          </w:p>
        </w:tc>
        <w:tc>
          <w:tcPr>
            <w:tcW w:w="2126" w:type="dxa"/>
            <w:tcBorders>
              <w:top w:val="nil"/>
              <w:left w:val="single" w:sz="4" w:space="0" w:color="auto"/>
              <w:bottom w:val="nil"/>
              <w:right w:val="single" w:sz="4" w:space="0" w:color="auto"/>
            </w:tcBorders>
            <w:vAlign w:val="center"/>
            <w:hideMark/>
          </w:tcPr>
          <w:p w14:paraId="360B4BC1" w14:textId="77777777" w:rsidR="00D42314" w:rsidRPr="001468A9" w:rsidRDefault="00D42314" w:rsidP="00D42314">
            <w:pPr>
              <w:pStyle w:val="TblTextLeft"/>
            </w:pPr>
            <w:r w:rsidRPr="001468A9">
              <w:t>11 (6)</w:t>
            </w:r>
          </w:p>
        </w:tc>
        <w:tc>
          <w:tcPr>
            <w:tcW w:w="2126" w:type="dxa"/>
            <w:tcBorders>
              <w:top w:val="nil"/>
              <w:left w:val="single" w:sz="4" w:space="0" w:color="auto"/>
              <w:bottom w:val="nil"/>
              <w:right w:val="single" w:sz="4" w:space="0" w:color="auto"/>
            </w:tcBorders>
            <w:hideMark/>
          </w:tcPr>
          <w:p w14:paraId="6A660912" w14:textId="77777777" w:rsidR="00D42314" w:rsidRPr="001468A9" w:rsidRDefault="00D42314" w:rsidP="00D42314">
            <w:pPr>
              <w:pStyle w:val="TblTextLeft"/>
            </w:pPr>
            <w:r w:rsidRPr="001468A9">
              <w:t>7 (3)</w:t>
            </w:r>
          </w:p>
        </w:tc>
      </w:tr>
      <w:tr w:rsidR="00D42314" w:rsidRPr="00D63A4F" w14:paraId="1F62D235" w14:textId="77777777" w:rsidTr="00D42314">
        <w:trPr>
          <w:trHeight w:val="252"/>
        </w:trPr>
        <w:tc>
          <w:tcPr>
            <w:tcW w:w="5529" w:type="dxa"/>
            <w:tcBorders>
              <w:top w:val="nil"/>
              <w:left w:val="single" w:sz="4" w:space="0" w:color="auto"/>
              <w:bottom w:val="nil"/>
              <w:right w:val="single" w:sz="4" w:space="0" w:color="auto"/>
            </w:tcBorders>
            <w:hideMark/>
          </w:tcPr>
          <w:p w14:paraId="5A7B20A6" w14:textId="77777777" w:rsidR="00D42314" w:rsidRPr="001468A9" w:rsidRDefault="00D42314" w:rsidP="00D42314">
            <w:pPr>
              <w:pStyle w:val="TblTextLeft"/>
              <w:ind w:left="171"/>
              <w:rPr>
                <w:b/>
              </w:rPr>
            </w:pPr>
            <w:r w:rsidRPr="001468A9">
              <w:t>Bortezomib</w:t>
            </w:r>
          </w:p>
        </w:tc>
        <w:tc>
          <w:tcPr>
            <w:tcW w:w="2126" w:type="dxa"/>
            <w:tcBorders>
              <w:top w:val="nil"/>
              <w:left w:val="single" w:sz="4" w:space="0" w:color="auto"/>
              <w:bottom w:val="nil"/>
              <w:right w:val="single" w:sz="4" w:space="0" w:color="auto"/>
            </w:tcBorders>
            <w:vAlign w:val="center"/>
            <w:hideMark/>
          </w:tcPr>
          <w:p w14:paraId="40A078CA" w14:textId="77777777" w:rsidR="00D42314" w:rsidRPr="001468A9" w:rsidRDefault="00D42314" w:rsidP="00D42314">
            <w:pPr>
              <w:pStyle w:val="TblTextLeft"/>
            </w:pPr>
            <w:r w:rsidRPr="001468A9">
              <w:t>134 (69)</w:t>
            </w:r>
          </w:p>
        </w:tc>
        <w:tc>
          <w:tcPr>
            <w:tcW w:w="2126" w:type="dxa"/>
            <w:tcBorders>
              <w:top w:val="nil"/>
              <w:left w:val="single" w:sz="4" w:space="0" w:color="auto"/>
              <w:bottom w:val="nil"/>
              <w:right w:val="single" w:sz="4" w:space="0" w:color="auto"/>
            </w:tcBorders>
            <w:hideMark/>
          </w:tcPr>
          <w:p w14:paraId="6746BA38" w14:textId="77777777" w:rsidR="00D42314" w:rsidRPr="001468A9" w:rsidRDefault="00D42314" w:rsidP="00D42314">
            <w:pPr>
              <w:pStyle w:val="TblTextLeft"/>
            </w:pPr>
            <w:r w:rsidRPr="001468A9">
              <w:t>145 (70)</w:t>
            </w:r>
          </w:p>
        </w:tc>
      </w:tr>
      <w:tr w:rsidR="00D42314" w:rsidRPr="00D63A4F" w14:paraId="3A19E508" w14:textId="77777777" w:rsidTr="00D42314">
        <w:trPr>
          <w:trHeight w:val="261"/>
        </w:trPr>
        <w:tc>
          <w:tcPr>
            <w:tcW w:w="5529" w:type="dxa"/>
            <w:tcBorders>
              <w:top w:val="nil"/>
              <w:left w:val="single" w:sz="4" w:space="0" w:color="auto"/>
              <w:bottom w:val="nil"/>
              <w:right w:val="single" w:sz="4" w:space="0" w:color="auto"/>
            </w:tcBorders>
            <w:hideMark/>
          </w:tcPr>
          <w:p w14:paraId="2D270941" w14:textId="77777777" w:rsidR="00D42314" w:rsidRPr="001468A9" w:rsidRDefault="00D42314" w:rsidP="00D42314">
            <w:pPr>
              <w:pStyle w:val="TblTextLeft"/>
              <w:ind w:left="171"/>
              <w:rPr>
                <w:b/>
              </w:rPr>
            </w:pPr>
            <w:r w:rsidRPr="001468A9">
              <w:t>Carfilzomib</w:t>
            </w:r>
          </w:p>
        </w:tc>
        <w:tc>
          <w:tcPr>
            <w:tcW w:w="2126" w:type="dxa"/>
            <w:tcBorders>
              <w:top w:val="nil"/>
              <w:left w:val="single" w:sz="4" w:space="0" w:color="auto"/>
              <w:bottom w:val="nil"/>
              <w:right w:val="single" w:sz="4" w:space="0" w:color="auto"/>
            </w:tcBorders>
            <w:vAlign w:val="center"/>
            <w:hideMark/>
          </w:tcPr>
          <w:p w14:paraId="4D9ADFD3" w14:textId="77777777" w:rsidR="00D42314" w:rsidRPr="001468A9" w:rsidRDefault="00D42314" w:rsidP="00D42314">
            <w:pPr>
              <w:pStyle w:val="TblTextLeft"/>
            </w:pPr>
            <w:r w:rsidRPr="001468A9">
              <w:t>20 (10)</w:t>
            </w:r>
          </w:p>
        </w:tc>
        <w:tc>
          <w:tcPr>
            <w:tcW w:w="2126" w:type="dxa"/>
            <w:tcBorders>
              <w:top w:val="nil"/>
              <w:left w:val="single" w:sz="4" w:space="0" w:color="auto"/>
              <w:bottom w:val="nil"/>
              <w:right w:val="single" w:sz="4" w:space="0" w:color="auto"/>
            </w:tcBorders>
            <w:hideMark/>
          </w:tcPr>
          <w:p w14:paraId="498979FE" w14:textId="77777777" w:rsidR="00D42314" w:rsidRPr="001468A9" w:rsidRDefault="00D42314" w:rsidP="00D42314">
            <w:pPr>
              <w:pStyle w:val="TblTextLeft"/>
            </w:pPr>
            <w:r w:rsidRPr="001468A9">
              <w:t>21 (10)</w:t>
            </w:r>
          </w:p>
        </w:tc>
      </w:tr>
      <w:tr w:rsidR="00D42314" w:rsidRPr="00D63A4F" w14:paraId="2DFA9687" w14:textId="77777777" w:rsidTr="00D42314">
        <w:trPr>
          <w:trHeight w:val="252"/>
        </w:trPr>
        <w:tc>
          <w:tcPr>
            <w:tcW w:w="5529" w:type="dxa"/>
            <w:tcBorders>
              <w:top w:val="nil"/>
              <w:left w:val="single" w:sz="4" w:space="0" w:color="auto"/>
              <w:bottom w:val="single" w:sz="4" w:space="0" w:color="auto"/>
              <w:right w:val="single" w:sz="4" w:space="0" w:color="auto"/>
            </w:tcBorders>
            <w:hideMark/>
          </w:tcPr>
          <w:p w14:paraId="0E7442FE" w14:textId="77777777" w:rsidR="00D42314" w:rsidRPr="001468A9" w:rsidRDefault="00D42314" w:rsidP="00D42314">
            <w:pPr>
              <w:pStyle w:val="TblTextLeft"/>
              <w:ind w:left="171"/>
              <w:rPr>
                <w:b/>
              </w:rPr>
            </w:pPr>
            <w:r w:rsidRPr="001468A9">
              <w:t>Daratumumab</w:t>
            </w:r>
          </w:p>
        </w:tc>
        <w:tc>
          <w:tcPr>
            <w:tcW w:w="2126" w:type="dxa"/>
            <w:tcBorders>
              <w:top w:val="nil"/>
              <w:left w:val="single" w:sz="4" w:space="0" w:color="auto"/>
              <w:bottom w:val="single" w:sz="4" w:space="0" w:color="auto"/>
              <w:right w:val="single" w:sz="4" w:space="0" w:color="auto"/>
            </w:tcBorders>
            <w:vAlign w:val="center"/>
            <w:hideMark/>
          </w:tcPr>
          <w:p w14:paraId="1D3AD102" w14:textId="77777777" w:rsidR="00D42314" w:rsidRPr="001468A9" w:rsidRDefault="00D42314" w:rsidP="00D42314">
            <w:pPr>
              <w:pStyle w:val="TblTextLeft"/>
            </w:pPr>
            <w:r w:rsidRPr="001468A9">
              <w:t>11 (6)</w:t>
            </w:r>
          </w:p>
        </w:tc>
        <w:tc>
          <w:tcPr>
            <w:tcW w:w="2126" w:type="dxa"/>
            <w:tcBorders>
              <w:top w:val="nil"/>
              <w:left w:val="single" w:sz="4" w:space="0" w:color="auto"/>
              <w:bottom w:val="single" w:sz="4" w:space="0" w:color="auto"/>
              <w:right w:val="single" w:sz="4" w:space="0" w:color="auto"/>
            </w:tcBorders>
            <w:hideMark/>
          </w:tcPr>
          <w:p w14:paraId="7470FF2F" w14:textId="77777777" w:rsidR="00D42314" w:rsidRPr="001468A9" w:rsidRDefault="00D42314" w:rsidP="00D42314">
            <w:pPr>
              <w:pStyle w:val="TblTextLeft"/>
            </w:pPr>
            <w:r w:rsidRPr="001468A9">
              <w:t>6 (3)</w:t>
            </w:r>
          </w:p>
        </w:tc>
      </w:tr>
      <w:tr w:rsidR="00D42314" w:rsidRPr="00D63A4F" w14:paraId="6BE9238F" w14:textId="77777777" w:rsidTr="00D42314">
        <w:trPr>
          <w:trHeight w:val="252"/>
        </w:trPr>
        <w:tc>
          <w:tcPr>
            <w:tcW w:w="5529" w:type="dxa"/>
            <w:tcBorders>
              <w:top w:val="single" w:sz="4" w:space="0" w:color="auto"/>
              <w:left w:val="single" w:sz="4" w:space="0" w:color="auto"/>
              <w:bottom w:val="single" w:sz="4" w:space="0" w:color="auto"/>
              <w:right w:val="single" w:sz="4" w:space="0" w:color="auto"/>
            </w:tcBorders>
            <w:hideMark/>
          </w:tcPr>
          <w:p w14:paraId="016D749D" w14:textId="77777777" w:rsidR="00D42314" w:rsidRPr="001468A9" w:rsidRDefault="00D42314" w:rsidP="00D42314">
            <w:pPr>
              <w:pStyle w:val="TblTextLeft"/>
              <w:rPr>
                <w:b/>
              </w:rPr>
            </w:pPr>
            <w:r w:rsidRPr="001468A9">
              <w:t>Median weeks since end of last prior therapy, (range)</w:t>
            </w:r>
          </w:p>
        </w:tc>
        <w:tc>
          <w:tcPr>
            <w:tcW w:w="2126" w:type="dxa"/>
            <w:tcBorders>
              <w:top w:val="single" w:sz="4" w:space="0" w:color="auto"/>
              <w:left w:val="single" w:sz="4" w:space="0" w:color="auto"/>
              <w:bottom w:val="single" w:sz="4" w:space="0" w:color="auto"/>
              <w:right w:val="single" w:sz="4" w:space="0" w:color="auto"/>
            </w:tcBorders>
            <w:hideMark/>
          </w:tcPr>
          <w:p w14:paraId="5F1F6E05" w14:textId="77777777" w:rsidR="00D42314" w:rsidRPr="001468A9" w:rsidRDefault="00D42314" w:rsidP="00D42314">
            <w:pPr>
              <w:pStyle w:val="TblTextLeft"/>
            </w:pPr>
            <w:r w:rsidRPr="001468A9">
              <w:t>48 (1, 1088)</w:t>
            </w:r>
          </w:p>
        </w:tc>
        <w:tc>
          <w:tcPr>
            <w:tcW w:w="2126" w:type="dxa"/>
            <w:tcBorders>
              <w:top w:val="single" w:sz="4" w:space="0" w:color="auto"/>
              <w:left w:val="single" w:sz="4" w:space="0" w:color="auto"/>
              <w:bottom w:val="single" w:sz="4" w:space="0" w:color="auto"/>
              <w:right w:val="single" w:sz="4" w:space="0" w:color="auto"/>
            </w:tcBorders>
            <w:hideMark/>
          </w:tcPr>
          <w:p w14:paraId="53CC9E7E" w14:textId="77777777" w:rsidR="00D42314" w:rsidRPr="001468A9" w:rsidRDefault="00D42314" w:rsidP="00D42314">
            <w:pPr>
              <w:pStyle w:val="TblTextLeft"/>
            </w:pPr>
            <w:r w:rsidRPr="001468A9">
              <w:t>42 (2, 405)</w:t>
            </w:r>
          </w:p>
        </w:tc>
      </w:tr>
      <w:tr w:rsidR="00D42314" w:rsidRPr="00D63A4F" w14:paraId="6CA4CA77" w14:textId="77777777" w:rsidTr="00D42314">
        <w:trPr>
          <w:trHeight w:val="261"/>
        </w:trPr>
        <w:tc>
          <w:tcPr>
            <w:tcW w:w="5529" w:type="dxa"/>
            <w:tcBorders>
              <w:top w:val="single" w:sz="4" w:space="0" w:color="auto"/>
              <w:left w:val="single" w:sz="4" w:space="0" w:color="auto"/>
              <w:bottom w:val="single" w:sz="4" w:space="0" w:color="auto"/>
              <w:right w:val="single" w:sz="4" w:space="0" w:color="auto"/>
            </w:tcBorders>
            <w:hideMark/>
          </w:tcPr>
          <w:p w14:paraId="6A061258" w14:textId="77777777" w:rsidR="00D42314" w:rsidRPr="001468A9" w:rsidRDefault="00D42314" w:rsidP="00D42314">
            <w:pPr>
              <w:pStyle w:val="TblTextLeft"/>
              <w:rPr>
                <w:b/>
              </w:rPr>
            </w:pPr>
            <w:r w:rsidRPr="001468A9">
              <w:t xml:space="preserve">High-risk </w:t>
            </w:r>
            <w:proofErr w:type="spellStart"/>
            <w:r w:rsidRPr="001468A9">
              <w:t>cytogenetics</w:t>
            </w:r>
            <w:r w:rsidRPr="001468A9">
              <w:rPr>
                <w:vertAlign w:val="superscript"/>
              </w:rPr>
              <w:t>a</w:t>
            </w:r>
            <w:proofErr w:type="spellEnd"/>
            <w:r w:rsidRPr="001468A9">
              <w:t>, n (%)</w:t>
            </w:r>
          </w:p>
        </w:tc>
        <w:tc>
          <w:tcPr>
            <w:tcW w:w="2126" w:type="dxa"/>
            <w:tcBorders>
              <w:top w:val="single" w:sz="4" w:space="0" w:color="auto"/>
              <w:left w:val="single" w:sz="4" w:space="0" w:color="auto"/>
              <w:bottom w:val="single" w:sz="4" w:space="0" w:color="auto"/>
              <w:right w:val="single" w:sz="4" w:space="0" w:color="auto"/>
            </w:tcBorders>
            <w:hideMark/>
          </w:tcPr>
          <w:p w14:paraId="05FA9B4E" w14:textId="77777777" w:rsidR="00D42314" w:rsidRPr="001468A9" w:rsidRDefault="00D42314" w:rsidP="00D42314">
            <w:pPr>
              <w:pStyle w:val="TblTextLeft"/>
            </w:pPr>
            <w:r w:rsidRPr="001468A9">
              <w:t>97 (50)</w:t>
            </w:r>
          </w:p>
        </w:tc>
        <w:tc>
          <w:tcPr>
            <w:tcW w:w="2126" w:type="dxa"/>
            <w:tcBorders>
              <w:top w:val="single" w:sz="4" w:space="0" w:color="auto"/>
              <w:left w:val="single" w:sz="4" w:space="0" w:color="auto"/>
              <w:bottom w:val="single" w:sz="4" w:space="0" w:color="auto"/>
              <w:right w:val="single" w:sz="4" w:space="0" w:color="auto"/>
            </w:tcBorders>
            <w:hideMark/>
          </w:tcPr>
          <w:p w14:paraId="7A24B0EF" w14:textId="77777777" w:rsidR="00D42314" w:rsidRPr="001468A9" w:rsidRDefault="00D42314" w:rsidP="00D42314">
            <w:pPr>
              <w:pStyle w:val="TblTextLeft"/>
            </w:pPr>
            <w:r w:rsidRPr="001468A9">
              <w:t>95 (46)</w:t>
            </w:r>
          </w:p>
        </w:tc>
      </w:tr>
    </w:tbl>
    <w:p w14:paraId="2591FF5F" w14:textId="77777777" w:rsidR="00D42314" w:rsidRPr="001468A9" w:rsidRDefault="00D42314" w:rsidP="00D42314">
      <w:pPr>
        <w:pStyle w:val="TblFigFootnote"/>
        <w:rPr>
          <w:rFonts w:eastAsia="Times New Roman"/>
          <w:color w:val="000000"/>
          <w:sz w:val="12"/>
          <w:szCs w:val="12"/>
        </w:rPr>
      </w:pPr>
      <w:r w:rsidRPr="001468A9">
        <w:t>a. Includes any of del (17p)/p53, t (14;16), t (4;14), 1q21.</w:t>
      </w:r>
    </w:p>
    <w:p w14:paraId="0357556E" w14:textId="56920357" w:rsidR="005B7E84" w:rsidRPr="005B7E84" w:rsidRDefault="00D42314" w:rsidP="000B2F53">
      <w:r w:rsidRPr="001468A9">
        <w:rPr>
          <w:lang w:val="en-AU"/>
        </w:rPr>
        <w:t xml:space="preserve">The primary endpoint was progression free survival (PFS) according to the International Myeloma Working Group (IMWG) Uniform Response Criteria for Multiple Myeloma, as assessed by an Independent Review Committee (IRC).  BOSTON demonstrated a statistically significant improvement in PFS in the </w:t>
      </w:r>
      <w:proofErr w:type="spellStart"/>
      <w:r w:rsidRPr="001468A9">
        <w:rPr>
          <w:lang w:val="en-AU"/>
        </w:rPr>
        <w:t>SVd</w:t>
      </w:r>
      <w:proofErr w:type="spellEnd"/>
      <w:r w:rsidRPr="001468A9">
        <w:rPr>
          <w:lang w:val="en-AU"/>
        </w:rPr>
        <w:t xml:space="preserve"> arm compared to the </w:t>
      </w:r>
      <w:proofErr w:type="spellStart"/>
      <w:r w:rsidRPr="001468A9">
        <w:rPr>
          <w:lang w:val="en-AU"/>
        </w:rPr>
        <w:t>Vd</w:t>
      </w:r>
      <w:proofErr w:type="spellEnd"/>
      <w:r w:rsidRPr="001468A9">
        <w:rPr>
          <w:lang w:val="en-AU"/>
        </w:rPr>
        <w:t xml:space="preserve"> arm; hazard ratio (HR)=0.70 (95% CI: 0.53-0.93; p=0.0075). </w:t>
      </w:r>
    </w:p>
    <w:p w14:paraId="7CC16185" w14:textId="2439839B" w:rsidR="000B2F53" w:rsidRPr="001468A9" w:rsidRDefault="00D42314" w:rsidP="000B2F53">
      <w:pPr>
        <w:rPr>
          <w:lang w:val="en-AU"/>
        </w:rPr>
      </w:pPr>
      <w:r w:rsidRPr="001468A9">
        <w:rPr>
          <w:lang w:val="en-AU"/>
        </w:rPr>
        <w:t xml:space="preserve">Efficacy results are shown in </w:t>
      </w:r>
      <w:r w:rsidR="00D46BCF">
        <w:rPr>
          <w:lang w:val="en-AU"/>
        </w:rPr>
        <w:fldChar w:fldCharType="begin"/>
      </w:r>
      <w:r w:rsidR="00D46BCF">
        <w:rPr>
          <w:lang w:val="en-AU"/>
        </w:rPr>
        <w:instrText xml:space="preserve"> REF _Ref53993792 \h </w:instrText>
      </w:r>
      <w:r w:rsidR="00D46BCF">
        <w:rPr>
          <w:lang w:val="en-AU"/>
        </w:rPr>
      </w:r>
      <w:r w:rsidR="00D46BCF">
        <w:rPr>
          <w:lang w:val="en-AU"/>
        </w:rPr>
        <w:fldChar w:fldCharType="separate"/>
      </w:r>
      <w:r w:rsidR="00F53F5F">
        <w:t xml:space="preserve">Table </w:t>
      </w:r>
      <w:r w:rsidR="00F53F5F">
        <w:rPr>
          <w:noProof/>
        </w:rPr>
        <w:t>10</w:t>
      </w:r>
      <w:r w:rsidR="00D46BCF">
        <w:rPr>
          <w:lang w:val="en-AU"/>
        </w:rPr>
        <w:fldChar w:fldCharType="end"/>
      </w:r>
      <w:r w:rsidR="0027282F">
        <w:rPr>
          <w:lang w:val="en-AU"/>
        </w:rPr>
        <w:t xml:space="preserve"> </w:t>
      </w:r>
      <w:r w:rsidRPr="001468A9">
        <w:rPr>
          <w:lang w:val="en-AU"/>
        </w:rPr>
        <w:t xml:space="preserve">and </w:t>
      </w:r>
      <w:r w:rsidR="00634485" w:rsidRPr="001468A9">
        <w:rPr>
          <w:lang w:val="en-AU"/>
        </w:rPr>
        <w:fldChar w:fldCharType="begin"/>
      </w:r>
      <w:r w:rsidR="00634485" w:rsidRPr="001468A9">
        <w:rPr>
          <w:lang w:val="en-AU"/>
        </w:rPr>
        <w:instrText xml:space="preserve"> REF _Ref49349504 \h </w:instrText>
      </w:r>
      <w:r w:rsidR="00D63A4F">
        <w:rPr>
          <w:lang w:val="en-AU"/>
        </w:rPr>
        <w:instrText xml:space="preserve"> \* MERGEFORMAT </w:instrText>
      </w:r>
      <w:r w:rsidR="00634485" w:rsidRPr="001468A9">
        <w:rPr>
          <w:lang w:val="en-AU"/>
        </w:rPr>
      </w:r>
      <w:r w:rsidR="00634485" w:rsidRPr="001468A9">
        <w:rPr>
          <w:lang w:val="en-AU"/>
        </w:rPr>
        <w:fldChar w:fldCharType="separate"/>
      </w:r>
      <w:r w:rsidR="00F53F5F" w:rsidRPr="001468A9">
        <w:t xml:space="preserve">Figure </w:t>
      </w:r>
      <w:r w:rsidR="00F53F5F">
        <w:rPr>
          <w:noProof/>
        </w:rPr>
        <w:t>1</w:t>
      </w:r>
      <w:r w:rsidR="00634485" w:rsidRPr="001468A9">
        <w:rPr>
          <w:lang w:val="en-AU"/>
        </w:rPr>
        <w:fldChar w:fldCharType="end"/>
      </w:r>
      <w:r w:rsidR="0027282F">
        <w:rPr>
          <w:lang w:val="en-AU"/>
        </w:rPr>
        <w:t>.</w:t>
      </w:r>
    </w:p>
    <w:p w14:paraId="7BF7F278" w14:textId="7E2FBF7E" w:rsidR="00D42314" w:rsidRPr="001468A9" w:rsidRDefault="0042731D" w:rsidP="00D42314">
      <w:pPr>
        <w:pStyle w:val="Caption"/>
      </w:pPr>
      <w:bookmarkStart w:id="34" w:name="_Ref53993792"/>
      <w:bookmarkStart w:id="35" w:name="_Ref49247551"/>
      <w:r>
        <w:t xml:space="preserve">Table </w:t>
      </w:r>
      <w:r>
        <w:fldChar w:fldCharType="begin"/>
      </w:r>
      <w:r>
        <w:instrText xml:space="preserve"> SEQ Table \* ARABIC </w:instrText>
      </w:r>
      <w:r>
        <w:fldChar w:fldCharType="separate"/>
      </w:r>
      <w:r w:rsidR="00F53F5F">
        <w:rPr>
          <w:noProof/>
        </w:rPr>
        <w:t>10</w:t>
      </w:r>
      <w:r>
        <w:fldChar w:fldCharType="end"/>
      </w:r>
      <w:bookmarkEnd w:id="34"/>
      <w:r>
        <w:t>:</w:t>
      </w:r>
      <w:bookmarkEnd w:id="35"/>
      <w:r w:rsidR="00D42314" w:rsidRPr="001468A9">
        <w:t xml:space="preserve"> Progression Free Survival and Response Rate (BOSTON)</w:t>
      </w:r>
      <w:r w:rsidR="00D47838" w:rsidRPr="00D47838">
        <w:t xml:space="preserve"> </w:t>
      </w:r>
      <w:r w:rsidR="00D47838">
        <w:t>(ITT Population)</w:t>
      </w:r>
    </w:p>
    <w:tbl>
      <w:tblPr>
        <w:tblStyle w:val="TableGrid"/>
        <w:tblW w:w="9161" w:type="dxa"/>
        <w:tblInd w:w="-5" w:type="dxa"/>
        <w:tblLook w:val="04A0" w:firstRow="1" w:lastRow="0" w:firstColumn="1" w:lastColumn="0" w:noHBand="0" w:noVBand="1"/>
      </w:tblPr>
      <w:tblGrid>
        <w:gridCol w:w="3628"/>
        <w:gridCol w:w="2827"/>
        <w:gridCol w:w="2706"/>
      </w:tblGrid>
      <w:tr w:rsidR="00D42314" w:rsidRPr="00D63A4F" w14:paraId="710761AD" w14:textId="77777777" w:rsidTr="004752DC">
        <w:trPr>
          <w:tblHeader/>
        </w:trPr>
        <w:tc>
          <w:tcPr>
            <w:tcW w:w="3628" w:type="dxa"/>
            <w:tcBorders>
              <w:top w:val="single" w:sz="4" w:space="0" w:color="auto"/>
              <w:left w:val="single" w:sz="4" w:space="0" w:color="auto"/>
              <w:bottom w:val="single" w:sz="4" w:space="0" w:color="auto"/>
              <w:right w:val="single" w:sz="4" w:space="0" w:color="auto"/>
            </w:tcBorders>
            <w:vAlign w:val="bottom"/>
          </w:tcPr>
          <w:p w14:paraId="1F26191E" w14:textId="77777777" w:rsidR="00D42314" w:rsidRPr="001468A9" w:rsidRDefault="00D42314">
            <w:pPr>
              <w:rPr>
                <w:rFonts w:asciiTheme="minorHAnsi" w:eastAsia="Times New Roman" w:hAnsiTheme="minorHAnsi" w:cstheme="minorHAnsi"/>
                <w:b/>
                <w:color w:val="auto"/>
              </w:rPr>
            </w:pPr>
          </w:p>
        </w:tc>
        <w:tc>
          <w:tcPr>
            <w:tcW w:w="2827" w:type="dxa"/>
            <w:tcBorders>
              <w:top w:val="single" w:sz="4" w:space="0" w:color="auto"/>
              <w:left w:val="single" w:sz="4" w:space="0" w:color="auto"/>
              <w:bottom w:val="single" w:sz="4" w:space="0" w:color="auto"/>
              <w:right w:val="single" w:sz="4" w:space="0" w:color="auto"/>
            </w:tcBorders>
            <w:vAlign w:val="bottom"/>
            <w:hideMark/>
          </w:tcPr>
          <w:p w14:paraId="139E58C3" w14:textId="77777777" w:rsidR="00D42314" w:rsidRPr="001468A9" w:rsidRDefault="00D42314" w:rsidP="00D42314">
            <w:pPr>
              <w:pStyle w:val="TblHeadingCenter"/>
              <w:rPr>
                <w:rFonts w:asciiTheme="minorHAnsi" w:hAnsiTheme="minorHAnsi"/>
              </w:rPr>
            </w:pPr>
            <w:r w:rsidRPr="001468A9">
              <w:t xml:space="preserve">SVd </w:t>
            </w:r>
          </w:p>
          <w:p w14:paraId="3CBFE18B" w14:textId="77777777" w:rsidR="00D42314" w:rsidRPr="001468A9" w:rsidRDefault="00D42314" w:rsidP="00D42314">
            <w:pPr>
              <w:pStyle w:val="TblHeadingCenter"/>
              <w:rPr>
                <w:rFonts w:asciiTheme="minorHAnsi" w:hAnsiTheme="minorHAnsi"/>
              </w:rPr>
            </w:pPr>
            <w:r w:rsidRPr="001468A9">
              <w:rPr>
                <w:rFonts w:asciiTheme="minorHAnsi" w:hAnsiTheme="minorHAnsi"/>
              </w:rPr>
              <w:t>(N=195)</w:t>
            </w:r>
          </w:p>
        </w:tc>
        <w:tc>
          <w:tcPr>
            <w:tcW w:w="2706" w:type="dxa"/>
            <w:tcBorders>
              <w:top w:val="single" w:sz="4" w:space="0" w:color="auto"/>
              <w:left w:val="single" w:sz="4" w:space="0" w:color="auto"/>
              <w:bottom w:val="single" w:sz="4" w:space="0" w:color="auto"/>
              <w:right w:val="single" w:sz="4" w:space="0" w:color="auto"/>
            </w:tcBorders>
            <w:hideMark/>
          </w:tcPr>
          <w:p w14:paraId="283C6DE2" w14:textId="77777777" w:rsidR="00D42314" w:rsidRPr="001468A9" w:rsidRDefault="00D42314" w:rsidP="00D42314">
            <w:pPr>
              <w:pStyle w:val="TblHeadingCenter"/>
              <w:rPr>
                <w:rFonts w:asciiTheme="minorHAnsi" w:hAnsiTheme="minorHAnsi"/>
              </w:rPr>
            </w:pPr>
            <w:r w:rsidRPr="001468A9">
              <w:t xml:space="preserve">Vd </w:t>
            </w:r>
          </w:p>
          <w:p w14:paraId="31504F85" w14:textId="77777777" w:rsidR="00D42314" w:rsidRPr="001468A9" w:rsidRDefault="00D42314" w:rsidP="00D42314">
            <w:pPr>
              <w:pStyle w:val="TblHeadingCenter"/>
              <w:rPr>
                <w:rFonts w:asciiTheme="minorHAnsi" w:hAnsiTheme="minorHAnsi"/>
              </w:rPr>
            </w:pPr>
            <w:r w:rsidRPr="001468A9">
              <w:rPr>
                <w:rFonts w:asciiTheme="minorHAnsi" w:hAnsiTheme="minorHAnsi"/>
              </w:rPr>
              <w:t>(N=207)</w:t>
            </w:r>
          </w:p>
        </w:tc>
      </w:tr>
      <w:tr w:rsidR="00D42314" w:rsidRPr="00D63A4F" w14:paraId="31EBBCAE" w14:textId="77777777" w:rsidTr="004752DC">
        <w:tc>
          <w:tcPr>
            <w:tcW w:w="3628" w:type="dxa"/>
            <w:tcBorders>
              <w:top w:val="single" w:sz="4" w:space="0" w:color="auto"/>
              <w:left w:val="single" w:sz="4" w:space="0" w:color="auto"/>
              <w:bottom w:val="nil"/>
              <w:right w:val="single" w:sz="4" w:space="0" w:color="auto"/>
            </w:tcBorders>
            <w:hideMark/>
          </w:tcPr>
          <w:p w14:paraId="433B2B2D" w14:textId="77777777" w:rsidR="00D42314" w:rsidRPr="001468A9" w:rsidRDefault="00D42314" w:rsidP="00D42314">
            <w:pPr>
              <w:pStyle w:val="TblHeadingLeft"/>
            </w:pPr>
            <w:r w:rsidRPr="001468A9">
              <w:t>Progression Free Survival (PFS)</w:t>
            </w:r>
            <w:r w:rsidRPr="001468A9">
              <w:rPr>
                <w:vertAlign w:val="superscript"/>
              </w:rPr>
              <w:t>a</w:t>
            </w:r>
          </w:p>
        </w:tc>
        <w:tc>
          <w:tcPr>
            <w:tcW w:w="2827" w:type="dxa"/>
            <w:tcBorders>
              <w:top w:val="single" w:sz="4" w:space="0" w:color="auto"/>
              <w:left w:val="single" w:sz="4" w:space="0" w:color="auto"/>
              <w:bottom w:val="nil"/>
              <w:right w:val="nil"/>
            </w:tcBorders>
          </w:tcPr>
          <w:p w14:paraId="4FF4249B" w14:textId="77777777" w:rsidR="00D42314" w:rsidRPr="001468A9" w:rsidRDefault="00D42314" w:rsidP="004752DC">
            <w:pPr>
              <w:pStyle w:val="TblTextCenter"/>
            </w:pPr>
          </w:p>
        </w:tc>
        <w:tc>
          <w:tcPr>
            <w:tcW w:w="2706" w:type="dxa"/>
            <w:tcBorders>
              <w:top w:val="single" w:sz="4" w:space="0" w:color="auto"/>
              <w:left w:val="nil"/>
              <w:bottom w:val="nil"/>
              <w:right w:val="single" w:sz="4" w:space="0" w:color="auto"/>
            </w:tcBorders>
          </w:tcPr>
          <w:p w14:paraId="642D1E2E" w14:textId="77777777" w:rsidR="00D42314" w:rsidRPr="001468A9" w:rsidRDefault="00D42314" w:rsidP="004752DC">
            <w:pPr>
              <w:pStyle w:val="TblTextCenter"/>
            </w:pPr>
          </w:p>
        </w:tc>
      </w:tr>
      <w:tr w:rsidR="00D42314" w:rsidRPr="00D63A4F" w14:paraId="175945A1" w14:textId="77777777" w:rsidTr="004752DC">
        <w:tc>
          <w:tcPr>
            <w:tcW w:w="3628" w:type="dxa"/>
            <w:tcBorders>
              <w:top w:val="nil"/>
              <w:left w:val="single" w:sz="4" w:space="0" w:color="auto"/>
              <w:bottom w:val="nil"/>
              <w:right w:val="single" w:sz="4" w:space="0" w:color="auto"/>
            </w:tcBorders>
            <w:hideMark/>
          </w:tcPr>
          <w:p w14:paraId="3BB21D41" w14:textId="77777777" w:rsidR="00D42314" w:rsidRPr="001468A9" w:rsidRDefault="00D42314" w:rsidP="00D42314">
            <w:pPr>
              <w:pStyle w:val="TblTextLeft"/>
            </w:pPr>
            <w:r w:rsidRPr="001468A9">
              <w:t>Hazard Ratio [95% CI]</w:t>
            </w:r>
          </w:p>
        </w:tc>
        <w:tc>
          <w:tcPr>
            <w:tcW w:w="5533" w:type="dxa"/>
            <w:gridSpan w:val="2"/>
            <w:vMerge w:val="restart"/>
            <w:tcBorders>
              <w:top w:val="nil"/>
              <w:left w:val="single" w:sz="4" w:space="0" w:color="auto"/>
              <w:bottom w:val="nil"/>
              <w:right w:val="single" w:sz="4" w:space="0" w:color="auto"/>
            </w:tcBorders>
            <w:hideMark/>
          </w:tcPr>
          <w:p w14:paraId="3B190960" w14:textId="77777777" w:rsidR="00D42314" w:rsidRPr="001468A9" w:rsidRDefault="00D42314" w:rsidP="004752DC">
            <w:pPr>
              <w:pStyle w:val="TblTextCenter"/>
            </w:pPr>
            <w:r w:rsidRPr="001468A9">
              <w:t>0.70 [0.53, 0.93]</w:t>
            </w:r>
          </w:p>
          <w:p w14:paraId="4A897BA5" w14:textId="77777777" w:rsidR="00D42314" w:rsidRPr="001468A9" w:rsidRDefault="00D42314" w:rsidP="004752DC">
            <w:pPr>
              <w:pStyle w:val="TblTextCenter"/>
            </w:pPr>
            <w:r w:rsidRPr="001468A9">
              <w:t>0.0075</w:t>
            </w:r>
          </w:p>
        </w:tc>
      </w:tr>
      <w:tr w:rsidR="00D42314" w:rsidRPr="00D63A4F" w14:paraId="12F24401" w14:textId="77777777" w:rsidTr="004752DC">
        <w:tc>
          <w:tcPr>
            <w:tcW w:w="3628" w:type="dxa"/>
            <w:tcBorders>
              <w:top w:val="nil"/>
              <w:left w:val="single" w:sz="4" w:space="0" w:color="auto"/>
              <w:bottom w:val="nil"/>
              <w:right w:val="single" w:sz="4" w:space="0" w:color="auto"/>
            </w:tcBorders>
          </w:tcPr>
          <w:p w14:paraId="56D0FF6A" w14:textId="77777777" w:rsidR="00D42314" w:rsidRPr="001468A9" w:rsidRDefault="00D42314" w:rsidP="00D42314">
            <w:pPr>
              <w:pStyle w:val="TblTextLeft"/>
              <w:ind w:left="171"/>
            </w:pPr>
            <w:r w:rsidRPr="001468A9">
              <w:t>One-sided p-value</w:t>
            </w:r>
          </w:p>
          <w:p w14:paraId="2AE35BC0" w14:textId="77777777" w:rsidR="00D42314" w:rsidRPr="001468A9" w:rsidRDefault="00D42314" w:rsidP="00D42314">
            <w:pPr>
              <w:pStyle w:val="TblTextLeft"/>
            </w:pPr>
          </w:p>
        </w:tc>
        <w:tc>
          <w:tcPr>
            <w:tcW w:w="0" w:type="auto"/>
            <w:gridSpan w:val="2"/>
            <w:vMerge/>
            <w:tcBorders>
              <w:top w:val="nil"/>
              <w:left w:val="single" w:sz="4" w:space="0" w:color="auto"/>
              <w:bottom w:val="nil"/>
              <w:right w:val="single" w:sz="4" w:space="0" w:color="auto"/>
            </w:tcBorders>
            <w:vAlign w:val="center"/>
            <w:hideMark/>
          </w:tcPr>
          <w:p w14:paraId="6F43B135" w14:textId="77777777" w:rsidR="00D42314" w:rsidRPr="001468A9" w:rsidRDefault="00D42314">
            <w:pPr>
              <w:rPr>
                <w:rFonts w:asciiTheme="minorHAnsi" w:eastAsia="Arial" w:hAnsiTheme="minorHAnsi" w:cstheme="minorHAnsi"/>
              </w:rPr>
            </w:pPr>
          </w:p>
        </w:tc>
      </w:tr>
      <w:tr w:rsidR="00D42314" w:rsidRPr="00D63A4F" w14:paraId="6A33E1C4" w14:textId="77777777" w:rsidTr="004752DC">
        <w:tc>
          <w:tcPr>
            <w:tcW w:w="3628" w:type="dxa"/>
            <w:tcBorders>
              <w:top w:val="nil"/>
              <w:left w:val="single" w:sz="4" w:space="0" w:color="auto"/>
              <w:bottom w:val="single" w:sz="4" w:space="0" w:color="auto"/>
              <w:right w:val="single" w:sz="4" w:space="0" w:color="auto"/>
            </w:tcBorders>
          </w:tcPr>
          <w:p w14:paraId="50CC7384" w14:textId="57CCE64E" w:rsidR="00D42314" w:rsidRPr="001468A9" w:rsidRDefault="00D42314" w:rsidP="00D42314">
            <w:pPr>
              <w:pStyle w:val="TblTextLeft"/>
            </w:pPr>
            <w:r w:rsidRPr="001468A9">
              <w:t>Median PFS in months [95% CI]</w:t>
            </w:r>
          </w:p>
        </w:tc>
        <w:tc>
          <w:tcPr>
            <w:tcW w:w="2827" w:type="dxa"/>
            <w:tcBorders>
              <w:top w:val="nil"/>
              <w:left w:val="single" w:sz="4" w:space="0" w:color="auto"/>
              <w:bottom w:val="single" w:sz="4" w:space="0" w:color="auto"/>
              <w:right w:val="nil"/>
            </w:tcBorders>
            <w:hideMark/>
          </w:tcPr>
          <w:p w14:paraId="4E7874C8" w14:textId="77777777" w:rsidR="00D42314" w:rsidRPr="001468A9" w:rsidRDefault="00D42314" w:rsidP="004752DC">
            <w:pPr>
              <w:pStyle w:val="TblTextCenter"/>
            </w:pPr>
            <w:r w:rsidRPr="001468A9">
              <w:t>13.9 (11.7, Not Reached)</w:t>
            </w:r>
          </w:p>
        </w:tc>
        <w:tc>
          <w:tcPr>
            <w:tcW w:w="2706" w:type="dxa"/>
            <w:tcBorders>
              <w:top w:val="nil"/>
              <w:left w:val="nil"/>
              <w:bottom w:val="single" w:sz="4" w:space="0" w:color="auto"/>
              <w:right w:val="single" w:sz="4" w:space="0" w:color="auto"/>
            </w:tcBorders>
            <w:hideMark/>
          </w:tcPr>
          <w:p w14:paraId="7E24F0B9" w14:textId="77777777" w:rsidR="00D42314" w:rsidRPr="001468A9" w:rsidRDefault="00D42314" w:rsidP="004752DC">
            <w:pPr>
              <w:pStyle w:val="TblTextCenter"/>
            </w:pPr>
            <w:r w:rsidRPr="001468A9">
              <w:t>9.5 (8.1, 10.8)</w:t>
            </w:r>
          </w:p>
        </w:tc>
      </w:tr>
      <w:tr w:rsidR="00D42314" w:rsidRPr="00D63A4F" w14:paraId="50759CFC" w14:textId="77777777" w:rsidTr="004752DC">
        <w:tc>
          <w:tcPr>
            <w:tcW w:w="3628" w:type="dxa"/>
            <w:tcBorders>
              <w:top w:val="single" w:sz="4" w:space="0" w:color="auto"/>
              <w:left w:val="single" w:sz="4" w:space="0" w:color="auto"/>
              <w:bottom w:val="nil"/>
              <w:right w:val="single" w:sz="4" w:space="0" w:color="auto"/>
            </w:tcBorders>
            <w:hideMark/>
          </w:tcPr>
          <w:p w14:paraId="63690015" w14:textId="77777777" w:rsidR="00D42314" w:rsidRPr="001468A9" w:rsidRDefault="00D42314" w:rsidP="004752DC">
            <w:pPr>
              <w:pStyle w:val="TblHeadingLeft"/>
              <w:rPr>
                <w:rFonts w:eastAsia="Times New Roman"/>
              </w:rPr>
            </w:pPr>
            <w:r w:rsidRPr="001468A9">
              <w:t>Overall Response Rate (ORR)</w:t>
            </w:r>
            <w:r w:rsidRPr="001468A9">
              <w:rPr>
                <w:vertAlign w:val="superscript"/>
              </w:rPr>
              <w:t>b</w:t>
            </w:r>
            <w:r w:rsidRPr="001468A9">
              <w:t>, n (%)</w:t>
            </w:r>
          </w:p>
        </w:tc>
        <w:tc>
          <w:tcPr>
            <w:tcW w:w="2827" w:type="dxa"/>
            <w:tcBorders>
              <w:top w:val="single" w:sz="4" w:space="0" w:color="auto"/>
              <w:left w:val="single" w:sz="4" w:space="0" w:color="auto"/>
              <w:bottom w:val="nil"/>
              <w:right w:val="single" w:sz="4" w:space="0" w:color="auto"/>
            </w:tcBorders>
            <w:hideMark/>
          </w:tcPr>
          <w:p w14:paraId="4E350456" w14:textId="77777777" w:rsidR="00D42314" w:rsidRPr="001468A9" w:rsidRDefault="00D42314" w:rsidP="004752DC">
            <w:pPr>
              <w:pStyle w:val="TblTextCenter"/>
            </w:pPr>
            <w:r w:rsidRPr="001468A9">
              <w:t>149 (76.4)</w:t>
            </w:r>
          </w:p>
        </w:tc>
        <w:tc>
          <w:tcPr>
            <w:tcW w:w="2706" w:type="dxa"/>
            <w:tcBorders>
              <w:top w:val="single" w:sz="4" w:space="0" w:color="auto"/>
              <w:left w:val="single" w:sz="4" w:space="0" w:color="auto"/>
              <w:bottom w:val="nil"/>
              <w:right w:val="single" w:sz="4" w:space="0" w:color="auto"/>
            </w:tcBorders>
            <w:hideMark/>
          </w:tcPr>
          <w:p w14:paraId="62F447DC" w14:textId="77777777" w:rsidR="00D42314" w:rsidRPr="001468A9" w:rsidRDefault="00D42314" w:rsidP="004752DC">
            <w:pPr>
              <w:pStyle w:val="TblTextCenter"/>
              <w:rPr>
                <w:rFonts w:eastAsia="Arial"/>
              </w:rPr>
            </w:pPr>
            <w:r w:rsidRPr="001468A9">
              <w:rPr>
                <w:rFonts w:eastAsia="Arial"/>
              </w:rPr>
              <w:t>129 (62.3)</w:t>
            </w:r>
          </w:p>
        </w:tc>
      </w:tr>
      <w:tr w:rsidR="00D42314" w:rsidRPr="00D63A4F" w14:paraId="782E4500" w14:textId="77777777" w:rsidTr="004752DC">
        <w:tc>
          <w:tcPr>
            <w:tcW w:w="3628" w:type="dxa"/>
            <w:tcBorders>
              <w:top w:val="nil"/>
              <w:left w:val="single" w:sz="4" w:space="0" w:color="auto"/>
              <w:bottom w:val="nil"/>
              <w:right w:val="single" w:sz="4" w:space="0" w:color="auto"/>
            </w:tcBorders>
            <w:hideMark/>
          </w:tcPr>
          <w:p w14:paraId="4B145620" w14:textId="77777777" w:rsidR="00D42314" w:rsidRPr="001468A9" w:rsidRDefault="00D42314" w:rsidP="004752DC">
            <w:pPr>
              <w:pStyle w:val="TblTextLeft"/>
              <w:ind w:left="171"/>
              <w:rPr>
                <w:rFonts w:eastAsia="Times New Roman"/>
              </w:rPr>
            </w:pPr>
            <w:r w:rsidRPr="001468A9">
              <w:t>95% CI</w:t>
            </w:r>
          </w:p>
        </w:tc>
        <w:tc>
          <w:tcPr>
            <w:tcW w:w="2827" w:type="dxa"/>
            <w:tcBorders>
              <w:top w:val="nil"/>
              <w:left w:val="single" w:sz="4" w:space="0" w:color="auto"/>
              <w:bottom w:val="nil"/>
              <w:right w:val="single" w:sz="4" w:space="0" w:color="auto"/>
            </w:tcBorders>
            <w:hideMark/>
          </w:tcPr>
          <w:p w14:paraId="6638D6A6" w14:textId="77777777" w:rsidR="00D42314" w:rsidRPr="001468A9" w:rsidRDefault="00D42314" w:rsidP="004752DC">
            <w:pPr>
              <w:pStyle w:val="TblTextCenter"/>
            </w:pPr>
            <w:r w:rsidRPr="001468A9">
              <w:t>(69.8, 82.2)</w:t>
            </w:r>
          </w:p>
        </w:tc>
        <w:tc>
          <w:tcPr>
            <w:tcW w:w="2706" w:type="dxa"/>
            <w:tcBorders>
              <w:top w:val="nil"/>
              <w:left w:val="single" w:sz="4" w:space="0" w:color="auto"/>
              <w:bottom w:val="nil"/>
              <w:right w:val="single" w:sz="4" w:space="0" w:color="auto"/>
            </w:tcBorders>
            <w:hideMark/>
          </w:tcPr>
          <w:p w14:paraId="2D8F9405" w14:textId="77777777" w:rsidR="00D42314" w:rsidRPr="001468A9" w:rsidRDefault="00D42314" w:rsidP="004752DC">
            <w:pPr>
              <w:pStyle w:val="TblTextCenter"/>
              <w:rPr>
                <w:rFonts w:eastAsia="Arial"/>
              </w:rPr>
            </w:pPr>
            <w:r w:rsidRPr="001468A9">
              <w:rPr>
                <w:rFonts w:eastAsia="Arial"/>
              </w:rPr>
              <w:t>(55.3, 68.9)</w:t>
            </w:r>
          </w:p>
        </w:tc>
      </w:tr>
      <w:tr w:rsidR="00D42314" w:rsidRPr="00D63A4F" w14:paraId="186EFE59" w14:textId="77777777" w:rsidTr="004752DC">
        <w:tc>
          <w:tcPr>
            <w:tcW w:w="3628" w:type="dxa"/>
            <w:tcBorders>
              <w:top w:val="nil"/>
              <w:left w:val="single" w:sz="4" w:space="0" w:color="auto"/>
              <w:bottom w:val="nil"/>
              <w:right w:val="single" w:sz="4" w:space="0" w:color="auto"/>
            </w:tcBorders>
          </w:tcPr>
          <w:p w14:paraId="221A1241" w14:textId="77777777" w:rsidR="00D42314" w:rsidRPr="001468A9" w:rsidRDefault="00D42314" w:rsidP="004752DC">
            <w:pPr>
              <w:pStyle w:val="TblTextLeft"/>
              <w:ind w:left="171"/>
            </w:pPr>
            <w:r w:rsidRPr="001468A9">
              <w:t>One-sided p-value</w:t>
            </w:r>
          </w:p>
          <w:p w14:paraId="5D3B07D3" w14:textId="77777777" w:rsidR="00D42314" w:rsidRPr="001468A9" w:rsidRDefault="00D42314" w:rsidP="004752DC">
            <w:pPr>
              <w:pStyle w:val="TblTextLeft"/>
              <w:ind w:left="171"/>
            </w:pPr>
          </w:p>
        </w:tc>
        <w:tc>
          <w:tcPr>
            <w:tcW w:w="5533" w:type="dxa"/>
            <w:gridSpan w:val="2"/>
            <w:tcBorders>
              <w:top w:val="nil"/>
              <w:left w:val="single" w:sz="4" w:space="0" w:color="auto"/>
              <w:bottom w:val="nil"/>
              <w:right w:val="single" w:sz="4" w:space="0" w:color="auto"/>
            </w:tcBorders>
            <w:hideMark/>
          </w:tcPr>
          <w:p w14:paraId="3CA81D0B" w14:textId="77777777" w:rsidR="00D42314" w:rsidRPr="001468A9" w:rsidRDefault="00D42314" w:rsidP="004752DC">
            <w:pPr>
              <w:pStyle w:val="TblTextCenter"/>
              <w:rPr>
                <w:rFonts w:eastAsia="Arial"/>
              </w:rPr>
            </w:pPr>
            <w:r w:rsidRPr="001468A9">
              <w:t>0.0012</w:t>
            </w:r>
          </w:p>
        </w:tc>
      </w:tr>
      <w:tr w:rsidR="00D42314" w:rsidRPr="00D63A4F" w14:paraId="3555B7B2" w14:textId="77777777" w:rsidTr="004752DC">
        <w:tc>
          <w:tcPr>
            <w:tcW w:w="3628" w:type="dxa"/>
            <w:tcBorders>
              <w:top w:val="nil"/>
              <w:left w:val="single" w:sz="4" w:space="0" w:color="auto"/>
              <w:bottom w:val="nil"/>
              <w:right w:val="single" w:sz="4" w:space="0" w:color="auto"/>
            </w:tcBorders>
            <w:hideMark/>
          </w:tcPr>
          <w:p w14:paraId="75205D84" w14:textId="77777777" w:rsidR="00D42314" w:rsidRPr="001468A9" w:rsidRDefault="00D42314" w:rsidP="004752DC">
            <w:pPr>
              <w:pStyle w:val="TblTextLeft"/>
              <w:rPr>
                <w:rFonts w:eastAsia="Times New Roman"/>
              </w:rPr>
            </w:pPr>
            <w:r w:rsidRPr="001468A9">
              <w:t>Stringent Complete Response (</w:t>
            </w:r>
            <w:proofErr w:type="spellStart"/>
            <w:r w:rsidRPr="001468A9">
              <w:t>sCR</w:t>
            </w:r>
            <w:proofErr w:type="spellEnd"/>
            <w:r w:rsidRPr="001468A9">
              <w:t>)</w:t>
            </w:r>
          </w:p>
        </w:tc>
        <w:tc>
          <w:tcPr>
            <w:tcW w:w="2827" w:type="dxa"/>
            <w:tcBorders>
              <w:top w:val="nil"/>
              <w:left w:val="single" w:sz="4" w:space="0" w:color="auto"/>
              <w:bottom w:val="nil"/>
              <w:right w:val="single" w:sz="4" w:space="0" w:color="auto"/>
            </w:tcBorders>
            <w:hideMark/>
          </w:tcPr>
          <w:p w14:paraId="75B09234" w14:textId="77777777" w:rsidR="00D42314" w:rsidRPr="001468A9" w:rsidRDefault="00D42314" w:rsidP="004752DC">
            <w:pPr>
              <w:pStyle w:val="TblTextCenter"/>
            </w:pPr>
            <w:r w:rsidRPr="001468A9">
              <w:t>19 (10)</w:t>
            </w:r>
          </w:p>
        </w:tc>
        <w:tc>
          <w:tcPr>
            <w:tcW w:w="2706" w:type="dxa"/>
            <w:tcBorders>
              <w:top w:val="nil"/>
              <w:left w:val="single" w:sz="4" w:space="0" w:color="auto"/>
              <w:bottom w:val="nil"/>
              <w:right w:val="single" w:sz="4" w:space="0" w:color="auto"/>
            </w:tcBorders>
            <w:hideMark/>
          </w:tcPr>
          <w:p w14:paraId="11E5BB78" w14:textId="77777777" w:rsidR="00D42314" w:rsidRPr="001468A9" w:rsidRDefault="00D42314" w:rsidP="004752DC">
            <w:pPr>
              <w:pStyle w:val="TblTextCenter"/>
              <w:rPr>
                <w:rFonts w:eastAsia="Arial"/>
              </w:rPr>
            </w:pPr>
            <w:r w:rsidRPr="001468A9">
              <w:rPr>
                <w:rFonts w:eastAsia="Arial"/>
              </w:rPr>
              <w:t>13 (6)</w:t>
            </w:r>
          </w:p>
        </w:tc>
      </w:tr>
      <w:tr w:rsidR="00D42314" w:rsidRPr="00D63A4F" w14:paraId="73F35196" w14:textId="77777777" w:rsidTr="004752DC">
        <w:tc>
          <w:tcPr>
            <w:tcW w:w="3628" w:type="dxa"/>
            <w:tcBorders>
              <w:top w:val="nil"/>
              <w:left w:val="single" w:sz="4" w:space="0" w:color="auto"/>
              <w:bottom w:val="nil"/>
              <w:right w:val="single" w:sz="4" w:space="0" w:color="auto"/>
            </w:tcBorders>
            <w:hideMark/>
          </w:tcPr>
          <w:p w14:paraId="3474FDFC" w14:textId="77777777" w:rsidR="00D42314" w:rsidRPr="001468A9" w:rsidRDefault="00D42314" w:rsidP="004752DC">
            <w:pPr>
              <w:pStyle w:val="TblTextLeft"/>
              <w:rPr>
                <w:rFonts w:eastAsia="Times New Roman"/>
              </w:rPr>
            </w:pPr>
            <w:r w:rsidRPr="001468A9">
              <w:t>Complete Response (CR)</w:t>
            </w:r>
          </w:p>
        </w:tc>
        <w:tc>
          <w:tcPr>
            <w:tcW w:w="2827" w:type="dxa"/>
            <w:tcBorders>
              <w:top w:val="nil"/>
              <w:left w:val="single" w:sz="4" w:space="0" w:color="auto"/>
              <w:bottom w:val="nil"/>
              <w:right w:val="single" w:sz="4" w:space="0" w:color="auto"/>
            </w:tcBorders>
            <w:hideMark/>
          </w:tcPr>
          <w:p w14:paraId="0740699E" w14:textId="77777777" w:rsidR="00D42314" w:rsidRPr="001468A9" w:rsidRDefault="00D42314" w:rsidP="004752DC">
            <w:pPr>
              <w:pStyle w:val="TblTextCenter"/>
            </w:pPr>
            <w:r w:rsidRPr="001468A9">
              <w:t>14 (7)</w:t>
            </w:r>
          </w:p>
        </w:tc>
        <w:tc>
          <w:tcPr>
            <w:tcW w:w="2706" w:type="dxa"/>
            <w:tcBorders>
              <w:top w:val="nil"/>
              <w:left w:val="single" w:sz="4" w:space="0" w:color="auto"/>
              <w:bottom w:val="nil"/>
              <w:right w:val="single" w:sz="4" w:space="0" w:color="auto"/>
            </w:tcBorders>
            <w:hideMark/>
          </w:tcPr>
          <w:p w14:paraId="4D20874C" w14:textId="77777777" w:rsidR="00D42314" w:rsidRPr="001468A9" w:rsidRDefault="00D42314" w:rsidP="004752DC">
            <w:pPr>
              <w:pStyle w:val="TblTextCenter"/>
              <w:rPr>
                <w:rFonts w:eastAsia="Arial"/>
              </w:rPr>
            </w:pPr>
            <w:r w:rsidRPr="001468A9">
              <w:rPr>
                <w:rFonts w:eastAsia="Arial"/>
              </w:rPr>
              <w:t>9 (4)</w:t>
            </w:r>
          </w:p>
        </w:tc>
      </w:tr>
      <w:tr w:rsidR="00D42314" w:rsidRPr="00D63A4F" w14:paraId="649F5C9A" w14:textId="77777777" w:rsidTr="004752DC">
        <w:tc>
          <w:tcPr>
            <w:tcW w:w="3628" w:type="dxa"/>
            <w:tcBorders>
              <w:top w:val="nil"/>
              <w:left w:val="single" w:sz="4" w:space="0" w:color="auto"/>
              <w:bottom w:val="nil"/>
              <w:right w:val="single" w:sz="4" w:space="0" w:color="auto"/>
            </w:tcBorders>
            <w:hideMark/>
          </w:tcPr>
          <w:p w14:paraId="588DE5AC" w14:textId="77777777" w:rsidR="00D42314" w:rsidRPr="001468A9" w:rsidRDefault="00D42314" w:rsidP="004752DC">
            <w:pPr>
              <w:pStyle w:val="TblTextLeft"/>
              <w:rPr>
                <w:rFonts w:eastAsia="Times New Roman"/>
              </w:rPr>
            </w:pPr>
            <w:r w:rsidRPr="001468A9">
              <w:t>Very Good Partial Response (VGPR)</w:t>
            </w:r>
          </w:p>
        </w:tc>
        <w:tc>
          <w:tcPr>
            <w:tcW w:w="2827" w:type="dxa"/>
            <w:tcBorders>
              <w:top w:val="nil"/>
              <w:left w:val="single" w:sz="4" w:space="0" w:color="auto"/>
              <w:bottom w:val="nil"/>
              <w:right w:val="single" w:sz="4" w:space="0" w:color="auto"/>
            </w:tcBorders>
            <w:hideMark/>
          </w:tcPr>
          <w:p w14:paraId="56B0CCD4" w14:textId="77777777" w:rsidR="00D42314" w:rsidRPr="001468A9" w:rsidRDefault="00D42314" w:rsidP="004752DC">
            <w:pPr>
              <w:pStyle w:val="TblTextCenter"/>
            </w:pPr>
            <w:r w:rsidRPr="001468A9">
              <w:t>54 (28)</w:t>
            </w:r>
          </w:p>
        </w:tc>
        <w:tc>
          <w:tcPr>
            <w:tcW w:w="2706" w:type="dxa"/>
            <w:tcBorders>
              <w:top w:val="nil"/>
              <w:left w:val="single" w:sz="4" w:space="0" w:color="auto"/>
              <w:bottom w:val="nil"/>
              <w:right w:val="single" w:sz="4" w:space="0" w:color="auto"/>
            </w:tcBorders>
            <w:hideMark/>
          </w:tcPr>
          <w:p w14:paraId="57AEB695" w14:textId="77777777" w:rsidR="00D42314" w:rsidRPr="001468A9" w:rsidRDefault="00D42314" w:rsidP="004752DC">
            <w:pPr>
              <w:pStyle w:val="TblTextCenter"/>
              <w:rPr>
                <w:rFonts w:eastAsia="Arial"/>
              </w:rPr>
            </w:pPr>
            <w:r w:rsidRPr="001468A9">
              <w:rPr>
                <w:rFonts w:eastAsia="Arial"/>
              </w:rPr>
              <w:t>45 (22)</w:t>
            </w:r>
          </w:p>
        </w:tc>
      </w:tr>
      <w:tr w:rsidR="00D42314" w:rsidRPr="00D63A4F" w14:paraId="586CE015" w14:textId="77777777" w:rsidTr="004752DC">
        <w:tc>
          <w:tcPr>
            <w:tcW w:w="3628" w:type="dxa"/>
            <w:tcBorders>
              <w:top w:val="nil"/>
              <w:left w:val="single" w:sz="4" w:space="0" w:color="auto"/>
              <w:bottom w:val="single" w:sz="4" w:space="0" w:color="auto"/>
              <w:right w:val="single" w:sz="4" w:space="0" w:color="auto"/>
            </w:tcBorders>
            <w:hideMark/>
          </w:tcPr>
          <w:p w14:paraId="50B05E0E" w14:textId="77777777" w:rsidR="00D42314" w:rsidRPr="001468A9" w:rsidRDefault="00D42314" w:rsidP="004752DC">
            <w:pPr>
              <w:pStyle w:val="TblTextLeft"/>
              <w:rPr>
                <w:rFonts w:eastAsia="Times New Roman"/>
              </w:rPr>
            </w:pPr>
            <w:r w:rsidRPr="001468A9">
              <w:t>Partial Response (PR)</w:t>
            </w:r>
          </w:p>
        </w:tc>
        <w:tc>
          <w:tcPr>
            <w:tcW w:w="2827" w:type="dxa"/>
            <w:tcBorders>
              <w:top w:val="nil"/>
              <w:left w:val="single" w:sz="4" w:space="0" w:color="auto"/>
              <w:bottom w:val="single" w:sz="4" w:space="0" w:color="auto"/>
              <w:right w:val="single" w:sz="4" w:space="0" w:color="auto"/>
            </w:tcBorders>
            <w:hideMark/>
          </w:tcPr>
          <w:p w14:paraId="19151E53" w14:textId="77777777" w:rsidR="00D42314" w:rsidRPr="001468A9" w:rsidRDefault="00D42314" w:rsidP="004752DC">
            <w:pPr>
              <w:pStyle w:val="TblTextCenter"/>
            </w:pPr>
            <w:r w:rsidRPr="001468A9">
              <w:t>62 (32)</w:t>
            </w:r>
          </w:p>
        </w:tc>
        <w:tc>
          <w:tcPr>
            <w:tcW w:w="2706" w:type="dxa"/>
            <w:tcBorders>
              <w:top w:val="nil"/>
              <w:left w:val="single" w:sz="4" w:space="0" w:color="auto"/>
              <w:bottom w:val="single" w:sz="4" w:space="0" w:color="auto"/>
              <w:right w:val="single" w:sz="4" w:space="0" w:color="auto"/>
            </w:tcBorders>
            <w:hideMark/>
          </w:tcPr>
          <w:p w14:paraId="5A390475" w14:textId="77777777" w:rsidR="00D42314" w:rsidRPr="001468A9" w:rsidRDefault="00D42314" w:rsidP="004752DC">
            <w:pPr>
              <w:pStyle w:val="TblTextCenter"/>
              <w:rPr>
                <w:rFonts w:eastAsia="Arial"/>
              </w:rPr>
            </w:pPr>
            <w:r w:rsidRPr="001468A9">
              <w:rPr>
                <w:rFonts w:eastAsia="Arial"/>
              </w:rPr>
              <w:t>62 (30)</w:t>
            </w:r>
          </w:p>
        </w:tc>
      </w:tr>
      <w:tr w:rsidR="00D42314" w:rsidRPr="00D63A4F" w14:paraId="301A1283" w14:textId="77777777" w:rsidTr="004752DC">
        <w:tc>
          <w:tcPr>
            <w:tcW w:w="3628" w:type="dxa"/>
            <w:tcBorders>
              <w:top w:val="single" w:sz="4" w:space="0" w:color="auto"/>
              <w:left w:val="single" w:sz="4" w:space="0" w:color="auto"/>
              <w:bottom w:val="nil"/>
              <w:right w:val="single" w:sz="4" w:space="0" w:color="auto"/>
            </w:tcBorders>
            <w:hideMark/>
          </w:tcPr>
          <w:p w14:paraId="63DD6ED4" w14:textId="77777777" w:rsidR="00D42314" w:rsidRPr="001468A9" w:rsidRDefault="00D42314" w:rsidP="004752DC">
            <w:pPr>
              <w:pStyle w:val="TblHeadingLeft"/>
              <w:rPr>
                <w:rFonts w:eastAsia="Times New Roman"/>
              </w:rPr>
            </w:pPr>
            <w:r w:rsidRPr="001468A9">
              <w:t>≥ VGPR Response Rate</w:t>
            </w:r>
            <w:r w:rsidRPr="001468A9">
              <w:rPr>
                <w:vertAlign w:val="superscript"/>
              </w:rPr>
              <w:t>c</w:t>
            </w:r>
            <w:r w:rsidRPr="001468A9">
              <w:t>, n (%)</w:t>
            </w:r>
          </w:p>
        </w:tc>
        <w:tc>
          <w:tcPr>
            <w:tcW w:w="2827" w:type="dxa"/>
            <w:tcBorders>
              <w:top w:val="single" w:sz="4" w:space="0" w:color="auto"/>
              <w:left w:val="single" w:sz="4" w:space="0" w:color="auto"/>
              <w:bottom w:val="nil"/>
              <w:right w:val="single" w:sz="4" w:space="0" w:color="auto"/>
            </w:tcBorders>
            <w:hideMark/>
          </w:tcPr>
          <w:p w14:paraId="40F195C1" w14:textId="77777777" w:rsidR="00D42314" w:rsidRPr="001468A9" w:rsidRDefault="00D42314" w:rsidP="004752DC">
            <w:pPr>
              <w:pStyle w:val="TblTextCenter"/>
            </w:pPr>
            <w:r w:rsidRPr="001468A9">
              <w:t>87 (44.6)</w:t>
            </w:r>
          </w:p>
        </w:tc>
        <w:tc>
          <w:tcPr>
            <w:tcW w:w="2706" w:type="dxa"/>
            <w:tcBorders>
              <w:top w:val="single" w:sz="4" w:space="0" w:color="auto"/>
              <w:left w:val="single" w:sz="4" w:space="0" w:color="auto"/>
              <w:bottom w:val="nil"/>
              <w:right w:val="single" w:sz="4" w:space="0" w:color="auto"/>
            </w:tcBorders>
            <w:hideMark/>
          </w:tcPr>
          <w:p w14:paraId="0F0AE5AF" w14:textId="77777777" w:rsidR="00D42314" w:rsidRPr="001468A9" w:rsidRDefault="00D42314" w:rsidP="004752DC">
            <w:pPr>
              <w:pStyle w:val="TblTextCenter"/>
              <w:rPr>
                <w:rFonts w:eastAsia="Arial"/>
              </w:rPr>
            </w:pPr>
            <w:r w:rsidRPr="001468A9">
              <w:rPr>
                <w:rFonts w:eastAsia="Arial"/>
              </w:rPr>
              <w:t>67 (32.4)</w:t>
            </w:r>
          </w:p>
        </w:tc>
      </w:tr>
      <w:tr w:rsidR="00D42314" w:rsidRPr="00D63A4F" w14:paraId="6B1F635B" w14:textId="77777777" w:rsidTr="004752DC">
        <w:tc>
          <w:tcPr>
            <w:tcW w:w="3628" w:type="dxa"/>
            <w:tcBorders>
              <w:top w:val="nil"/>
              <w:left w:val="single" w:sz="4" w:space="0" w:color="auto"/>
              <w:bottom w:val="nil"/>
              <w:right w:val="single" w:sz="4" w:space="0" w:color="auto"/>
            </w:tcBorders>
            <w:hideMark/>
          </w:tcPr>
          <w:p w14:paraId="7344FE4F" w14:textId="77777777" w:rsidR="00D42314" w:rsidRPr="001468A9" w:rsidRDefault="00D42314" w:rsidP="004752DC">
            <w:pPr>
              <w:pStyle w:val="TblTextLeft"/>
              <w:ind w:left="171"/>
              <w:rPr>
                <w:rFonts w:eastAsia="Times New Roman"/>
              </w:rPr>
            </w:pPr>
            <w:r w:rsidRPr="001468A9">
              <w:t>95% CI</w:t>
            </w:r>
          </w:p>
        </w:tc>
        <w:tc>
          <w:tcPr>
            <w:tcW w:w="2827" w:type="dxa"/>
            <w:tcBorders>
              <w:top w:val="nil"/>
              <w:left w:val="single" w:sz="4" w:space="0" w:color="auto"/>
              <w:bottom w:val="nil"/>
              <w:right w:val="single" w:sz="4" w:space="0" w:color="auto"/>
            </w:tcBorders>
            <w:hideMark/>
          </w:tcPr>
          <w:p w14:paraId="38DD0AEB" w14:textId="77777777" w:rsidR="00D42314" w:rsidRPr="001468A9" w:rsidRDefault="00D42314" w:rsidP="004752DC">
            <w:pPr>
              <w:pStyle w:val="TblTextCenter"/>
            </w:pPr>
            <w:r w:rsidRPr="001468A9">
              <w:t>(37.5, 51.9)</w:t>
            </w:r>
          </w:p>
        </w:tc>
        <w:tc>
          <w:tcPr>
            <w:tcW w:w="2706" w:type="dxa"/>
            <w:tcBorders>
              <w:top w:val="nil"/>
              <w:left w:val="single" w:sz="4" w:space="0" w:color="auto"/>
              <w:bottom w:val="nil"/>
              <w:right w:val="single" w:sz="4" w:space="0" w:color="auto"/>
            </w:tcBorders>
            <w:hideMark/>
          </w:tcPr>
          <w:p w14:paraId="12F8BAB5" w14:textId="77777777" w:rsidR="00D42314" w:rsidRPr="001468A9" w:rsidRDefault="00D42314" w:rsidP="004752DC">
            <w:pPr>
              <w:pStyle w:val="TblTextCenter"/>
              <w:rPr>
                <w:rFonts w:eastAsia="Arial"/>
              </w:rPr>
            </w:pPr>
            <w:r w:rsidRPr="001468A9">
              <w:rPr>
                <w:rFonts w:eastAsia="Arial"/>
              </w:rPr>
              <w:t>(26.0, 39.2)</w:t>
            </w:r>
          </w:p>
        </w:tc>
      </w:tr>
      <w:tr w:rsidR="00D42314" w:rsidRPr="00D63A4F" w14:paraId="4C221288" w14:textId="77777777" w:rsidTr="004752DC">
        <w:tc>
          <w:tcPr>
            <w:tcW w:w="3628" w:type="dxa"/>
            <w:tcBorders>
              <w:top w:val="nil"/>
              <w:left w:val="single" w:sz="4" w:space="0" w:color="auto"/>
              <w:bottom w:val="single" w:sz="4" w:space="0" w:color="auto"/>
              <w:right w:val="single" w:sz="4" w:space="0" w:color="auto"/>
            </w:tcBorders>
            <w:hideMark/>
          </w:tcPr>
          <w:p w14:paraId="2E337D57" w14:textId="77777777" w:rsidR="00D42314" w:rsidRPr="001468A9" w:rsidRDefault="00D42314" w:rsidP="004752DC">
            <w:pPr>
              <w:pStyle w:val="TblTextLeft"/>
              <w:ind w:left="171"/>
            </w:pPr>
            <w:r w:rsidRPr="001468A9">
              <w:t>One-sided p-value</w:t>
            </w:r>
          </w:p>
        </w:tc>
        <w:tc>
          <w:tcPr>
            <w:tcW w:w="5533" w:type="dxa"/>
            <w:gridSpan w:val="2"/>
            <w:tcBorders>
              <w:top w:val="nil"/>
              <w:left w:val="single" w:sz="4" w:space="0" w:color="auto"/>
              <w:bottom w:val="single" w:sz="4" w:space="0" w:color="auto"/>
              <w:right w:val="single" w:sz="4" w:space="0" w:color="auto"/>
            </w:tcBorders>
          </w:tcPr>
          <w:p w14:paraId="5610588E" w14:textId="0F825E2A" w:rsidR="00D42314" w:rsidRPr="001468A9" w:rsidRDefault="00D42314" w:rsidP="004752DC">
            <w:pPr>
              <w:pStyle w:val="TblTextCenter"/>
              <w:rPr>
                <w:rFonts w:eastAsia="Arial"/>
              </w:rPr>
            </w:pPr>
            <w:r w:rsidRPr="001468A9">
              <w:t>0.0082</w:t>
            </w:r>
          </w:p>
        </w:tc>
      </w:tr>
    </w:tbl>
    <w:p w14:paraId="6C97D2FD" w14:textId="77777777" w:rsidR="004752DC" w:rsidRPr="001468A9" w:rsidRDefault="004752DC" w:rsidP="004752DC">
      <w:pPr>
        <w:pStyle w:val="TblFigFootnote"/>
        <w:rPr>
          <w:szCs w:val="20"/>
        </w:rPr>
      </w:pPr>
      <w:r w:rsidRPr="001468A9">
        <w:t>a. Hazard ratio is based on stratified Cox’s proportional hazard regression modeling, p-value based on stratified log-rank test.</w:t>
      </w:r>
    </w:p>
    <w:p w14:paraId="1786189E" w14:textId="77777777" w:rsidR="004752DC" w:rsidRPr="001468A9" w:rsidRDefault="004752DC" w:rsidP="004752DC">
      <w:pPr>
        <w:pStyle w:val="TblFigFootnote"/>
      </w:pPr>
      <w:r w:rsidRPr="001468A9">
        <w:t xml:space="preserve">b. Includes </w:t>
      </w:r>
      <w:proofErr w:type="spellStart"/>
      <w:r w:rsidRPr="001468A9">
        <w:t>sCR</w:t>
      </w:r>
      <w:proofErr w:type="spellEnd"/>
      <w:r w:rsidRPr="001468A9">
        <w:t xml:space="preserve"> + CR + VGPR + PR, p value based on Cochran-Mantel-Haenszel test.</w:t>
      </w:r>
    </w:p>
    <w:p w14:paraId="0E6B1DAC" w14:textId="77777777" w:rsidR="004752DC" w:rsidRPr="001468A9" w:rsidRDefault="004752DC" w:rsidP="004752DC">
      <w:pPr>
        <w:pStyle w:val="TblFigFootnote"/>
      </w:pPr>
      <w:r w:rsidRPr="001468A9">
        <w:t xml:space="preserve">c. Includes </w:t>
      </w:r>
      <w:proofErr w:type="spellStart"/>
      <w:r w:rsidRPr="001468A9">
        <w:t>sCR</w:t>
      </w:r>
      <w:proofErr w:type="spellEnd"/>
      <w:r w:rsidRPr="001468A9">
        <w:t xml:space="preserve"> + CR + VGPR, p value based on Cochran-Mantel-Haenszel test.</w:t>
      </w:r>
    </w:p>
    <w:p w14:paraId="00817142" w14:textId="0C0B6944" w:rsidR="00D42314" w:rsidRPr="001468A9" w:rsidRDefault="00D42314" w:rsidP="00D42314">
      <w:pPr>
        <w:pStyle w:val="Caption"/>
      </w:pPr>
      <w:bookmarkStart w:id="36" w:name="_Ref49349504"/>
      <w:r w:rsidRPr="001468A9">
        <w:lastRenderedPageBreak/>
        <w:t xml:space="preserve">Figure </w:t>
      </w:r>
      <w:r w:rsidRPr="001468A9">
        <w:fldChar w:fldCharType="begin"/>
      </w:r>
      <w:r w:rsidRPr="001468A9">
        <w:instrText xml:space="preserve"> SEQ Figure \* ARABIC </w:instrText>
      </w:r>
      <w:r w:rsidRPr="001468A9">
        <w:fldChar w:fldCharType="separate"/>
      </w:r>
      <w:r w:rsidR="00F53F5F">
        <w:rPr>
          <w:noProof/>
        </w:rPr>
        <w:t>1</w:t>
      </w:r>
      <w:r w:rsidRPr="001468A9">
        <w:fldChar w:fldCharType="end"/>
      </w:r>
      <w:bookmarkEnd w:id="36"/>
      <w:r w:rsidRPr="001468A9">
        <w:t>: BOSTON Kaplan-Meier Curve of PFS</w:t>
      </w:r>
      <w:r w:rsidR="00D47838">
        <w:t xml:space="preserve"> (ITT Population)</w:t>
      </w:r>
    </w:p>
    <w:p w14:paraId="4E2A013D" w14:textId="2F25B3C9" w:rsidR="00D42314" w:rsidRPr="001468A9" w:rsidRDefault="004752DC" w:rsidP="00D42314">
      <w:pPr>
        <w:rPr>
          <w:lang w:val="en-AU"/>
        </w:rPr>
      </w:pPr>
      <w:r w:rsidRPr="001468A9">
        <w:rPr>
          <w:noProof/>
        </w:rPr>
        <w:drawing>
          <wp:inline distT="0" distB="0" distL="0" distR="0" wp14:anchorId="5FC1987A" wp14:editId="21035F1B">
            <wp:extent cx="5614670" cy="2286635"/>
            <wp:effectExtent l="0" t="0" r="5080" b="0"/>
            <wp:docPr id="2146584618" name="Picture 2146584618"/>
            <wp:cNvGraphicFramePr/>
            <a:graphic xmlns:a="http://schemas.openxmlformats.org/drawingml/2006/main">
              <a:graphicData uri="http://schemas.openxmlformats.org/drawingml/2006/picture">
                <pic:pic xmlns:pic="http://schemas.openxmlformats.org/drawingml/2006/picture">
                  <pic:nvPicPr>
                    <pic:cNvPr id="2146584618" name="Picture 2146584618"/>
                    <pic:cNvPicPr/>
                  </pic:nvPicPr>
                  <pic:blipFill>
                    <a:blip r:embed="rId10"/>
                    <a:stretch>
                      <a:fillRect/>
                    </a:stretch>
                  </pic:blipFill>
                  <pic:spPr>
                    <a:xfrm>
                      <a:off x="0" y="0"/>
                      <a:ext cx="5614670" cy="2286635"/>
                    </a:xfrm>
                    <a:prstGeom prst="rect">
                      <a:avLst/>
                    </a:prstGeom>
                  </pic:spPr>
                </pic:pic>
              </a:graphicData>
            </a:graphic>
          </wp:inline>
        </w:drawing>
      </w:r>
    </w:p>
    <w:p w14:paraId="081B9DDC" w14:textId="77777777" w:rsidR="004752DC" w:rsidRPr="001468A9" w:rsidRDefault="004752DC" w:rsidP="004752DC">
      <w:pPr>
        <w:rPr>
          <w:rFonts w:eastAsia="Calibri"/>
          <w:color w:val="auto"/>
        </w:rPr>
      </w:pPr>
      <w:r w:rsidRPr="001468A9">
        <w:t xml:space="preserve">The median time to response was 1.1 month in the </w:t>
      </w:r>
      <w:proofErr w:type="spellStart"/>
      <w:r w:rsidRPr="001468A9">
        <w:t>SVd</w:t>
      </w:r>
      <w:proofErr w:type="spellEnd"/>
      <w:r w:rsidRPr="001468A9">
        <w:t xml:space="preserve">-treated patients and 1.4 month in the </w:t>
      </w:r>
      <w:proofErr w:type="spellStart"/>
      <w:r w:rsidRPr="001468A9">
        <w:t>Vd</w:t>
      </w:r>
      <w:proofErr w:type="spellEnd"/>
      <w:r w:rsidRPr="001468A9">
        <w:t xml:space="preserve">-treated patients. The median duration of response, among responding patients, was 20.3 months and 12.9 months in the </w:t>
      </w:r>
      <w:proofErr w:type="spellStart"/>
      <w:r w:rsidRPr="001468A9">
        <w:t>SVd</w:t>
      </w:r>
      <w:proofErr w:type="spellEnd"/>
      <w:r w:rsidRPr="001468A9">
        <w:t xml:space="preserve"> and </w:t>
      </w:r>
      <w:proofErr w:type="spellStart"/>
      <w:r w:rsidRPr="001468A9">
        <w:t>Vd</w:t>
      </w:r>
      <w:proofErr w:type="spellEnd"/>
      <w:r w:rsidRPr="001468A9">
        <w:t xml:space="preserve"> arms, respectively. </w:t>
      </w:r>
    </w:p>
    <w:p w14:paraId="546EEF86" w14:textId="391D37B8" w:rsidR="004752DC" w:rsidRPr="004752DC" w:rsidRDefault="004752DC" w:rsidP="004752DC">
      <w:pPr>
        <w:rPr>
          <w:rFonts w:eastAsia="Arial"/>
          <w:iCs/>
        </w:rPr>
      </w:pPr>
      <w:r w:rsidRPr="001468A9">
        <w:rPr>
          <w:iCs/>
        </w:rPr>
        <w:t>At</w:t>
      </w:r>
      <w:r w:rsidRPr="001468A9">
        <w:t xml:space="preserve"> the time of the pre-planned </w:t>
      </w:r>
      <w:r w:rsidR="00315481">
        <w:t>OS</w:t>
      </w:r>
      <w:r w:rsidRPr="001468A9">
        <w:t xml:space="preserve"> interim analysis (median follow up of 17.3 and 17.5 months for </w:t>
      </w:r>
      <w:proofErr w:type="spellStart"/>
      <w:r w:rsidRPr="001468A9">
        <w:t>SVd</w:t>
      </w:r>
      <w:proofErr w:type="spellEnd"/>
      <w:r w:rsidRPr="001468A9">
        <w:t xml:space="preserve"> and </w:t>
      </w:r>
      <w:proofErr w:type="spellStart"/>
      <w:r w:rsidRPr="001468A9">
        <w:t>Vd</w:t>
      </w:r>
      <w:proofErr w:type="spellEnd"/>
      <w:r w:rsidRPr="001468A9">
        <w:t xml:space="preserve"> arms respectively), </w:t>
      </w:r>
      <w:r w:rsidR="00315481">
        <w:t xml:space="preserve">a total of </w:t>
      </w:r>
      <w:r w:rsidRPr="001468A9">
        <w:t xml:space="preserve">109 </w:t>
      </w:r>
      <w:r w:rsidR="0027282F">
        <w:t>OS</w:t>
      </w:r>
      <w:r w:rsidRPr="001468A9">
        <w:t xml:space="preserve"> events have occurred; there were 47 and 62 deaths in the </w:t>
      </w:r>
      <w:proofErr w:type="spellStart"/>
      <w:r w:rsidRPr="001468A9">
        <w:t>SVd</w:t>
      </w:r>
      <w:proofErr w:type="spellEnd"/>
      <w:r w:rsidRPr="001468A9">
        <w:t xml:space="preserve"> and </w:t>
      </w:r>
      <w:proofErr w:type="spellStart"/>
      <w:r w:rsidRPr="001468A9">
        <w:t>Vd</w:t>
      </w:r>
      <w:proofErr w:type="spellEnd"/>
      <w:r w:rsidRPr="001468A9">
        <w:t xml:space="preserve"> arms respectively (HR=0.84 [95% CI: 0.58, 1.23]).</w:t>
      </w:r>
      <w:r>
        <w:t xml:space="preserve">  </w:t>
      </w:r>
    </w:p>
    <w:p w14:paraId="2038BF6E" w14:textId="3412445D" w:rsidR="00B23C4C" w:rsidRDefault="00A7342F" w:rsidP="00A7342F">
      <w:pPr>
        <w:pStyle w:val="Heading5"/>
        <w:numPr>
          <w:ilvl w:val="0"/>
          <w:numId w:val="0"/>
        </w:numPr>
        <w:ind w:left="284" w:hanging="284"/>
        <w:rPr>
          <w:lang w:val="en-AU"/>
        </w:rPr>
      </w:pPr>
      <w:r>
        <w:rPr>
          <w:lang w:val="en-AU"/>
        </w:rPr>
        <w:t>I</w:t>
      </w:r>
      <w:r w:rsidR="000B2F53">
        <w:rPr>
          <w:lang w:val="en-AU"/>
        </w:rPr>
        <w:t xml:space="preserve">n </w:t>
      </w:r>
      <w:r w:rsidR="003F6332">
        <w:rPr>
          <w:lang w:val="en-AU"/>
        </w:rPr>
        <w:t>c</w:t>
      </w:r>
      <w:r w:rsidR="000B2F53">
        <w:rPr>
          <w:lang w:val="en-AU"/>
        </w:rPr>
        <w:t xml:space="preserve">ombination with </w:t>
      </w:r>
      <w:r w:rsidR="003F6332">
        <w:rPr>
          <w:lang w:val="en-AU"/>
        </w:rPr>
        <w:t>d</w:t>
      </w:r>
      <w:r w:rsidR="000B2F53">
        <w:rPr>
          <w:lang w:val="en-AU"/>
        </w:rPr>
        <w:t>examethasone (S</w:t>
      </w:r>
      <w:r w:rsidR="003F6332">
        <w:rPr>
          <w:lang w:val="en-AU"/>
        </w:rPr>
        <w:t>d, STORM</w:t>
      </w:r>
      <w:r>
        <w:rPr>
          <w:lang w:val="en-AU"/>
        </w:rPr>
        <w:t xml:space="preserve"> trial</w:t>
      </w:r>
      <w:r w:rsidR="003F6332">
        <w:rPr>
          <w:lang w:val="en-AU"/>
        </w:rPr>
        <w:t>)</w:t>
      </w:r>
    </w:p>
    <w:p w14:paraId="28508032" w14:textId="630A6104" w:rsidR="00D81802" w:rsidRPr="001468A9" w:rsidRDefault="00D81802" w:rsidP="00D81802">
      <w:pPr>
        <w:rPr>
          <w:lang w:val="en-AU"/>
        </w:rPr>
      </w:pPr>
      <w:r w:rsidRPr="001468A9">
        <w:rPr>
          <w:lang w:val="en-AU"/>
        </w:rPr>
        <w:t xml:space="preserve">In a phase 2, multi-centre, single-arm, open-label, study, 123 patients with RRMM were treated with 80 mg </w:t>
      </w:r>
      <w:proofErr w:type="spellStart"/>
      <w:r w:rsidRPr="001468A9">
        <w:rPr>
          <w:lang w:val="en-AU"/>
        </w:rPr>
        <w:t>selinexor</w:t>
      </w:r>
      <w:proofErr w:type="spellEnd"/>
      <w:r w:rsidRPr="001468A9">
        <w:rPr>
          <w:lang w:val="en-AU"/>
        </w:rPr>
        <w:t xml:space="preserve"> in combination with 20 mg dexamethasone on Days 1 and 3 of every week.</w:t>
      </w:r>
    </w:p>
    <w:p w14:paraId="0B36C934" w14:textId="4AC40F91" w:rsidR="00D81802" w:rsidRPr="001468A9" w:rsidRDefault="00D81802" w:rsidP="00D81802">
      <w:pPr>
        <w:rPr>
          <w:lang w:val="en-AU"/>
        </w:rPr>
      </w:pPr>
      <w:r w:rsidRPr="001468A9">
        <w:rPr>
          <w:lang w:val="en-AU"/>
        </w:rPr>
        <w:t xml:space="preserve">Treatment continued until disease progression, </w:t>
      </w:r>
      <w:proofErr w:type="gramStart"/>
      <w:r w:rsidRPr="001468A9">
        <w:rPr>
          <w:lang w:val="en-AU"/>
        </w:rPr>
        <w:t>death</w:t>
      </w:r>
      <w:proofErr w:type="gramEnd"/>
      <w:r w:rsidRPr="001468A9">
        <w:rPr>
          <w:lang w:val="en-AU"/>
        </w:rPr>
        <w:t xml:space="preserve"> or unacceptable toxicity. The median duration of </w:t>
      </w:r>
      <w:proofErr w:type="spellStart"/>
      <w:r w:rsidRPr="001468A9">
        <w:rPr>
          <w:lang w:val="en-AU"/>
        </w:rPr>
        <w:t>selinexor</w:t>
      </w:r>
      <w:proofErr w:type="spellEnd"/>
      <w:r w:rsidRPr="001468A9">
        <w:rPr>
          <w:lang w:val="en-AU"/>
        </w:rPr>
        <w:t xml:space="preserve"> treatment was 9 weeks (range: 1 to 76 weeks). The median total dose of </w:t>
      </w:r>
      <w:proofErr w:type="spellStart"/>
      <w:r w:rsidRPr="001468A9">
        <w:rPr>
          <w:lang w:val="en-AU"/>
        </w:rPr>
        <w:t>selinexor</w:t>
      </w:r>
      <w:proofErr w:type="spellEnd"/>
      <w:r w:rsidRPr="001468A9">
        <w:rPr>
          <w:lang w:val="en-AU"/>
        </w:rPr>
        <w:t xml:space="preserve"> received was 920 mg (range 160 to 6,220 mg), with a median dose of 113.6 mg (range: 22 to 240 mg) received per week.</w:t>
      </w:r>
    </w:p>
    <w:p w14:paraId="71D202C9" w14:textId="6C7A506A" w:rsidR="00D81802" w:rsidRPr="001468A9" w:rsidRDefault="00D46BCF" w:rsidP="00D81802">
      <w:pPr>
        <w:rPr>
          <w:lang w:val="en-AU"/>
        </w:rPr>
      </w:pPr>
      <w:r>
        <w:rPr>
          <w:lang w:val="en-AU"/>
        </w:rPr>
        <w:fldChar w:fldCharType="begin"/>
      </w:r>
      <w:r>
        <w:rPr>
          <w:lang w:val="en-AU"/>
        </w:rPr>
        <w:instrText xml:space="preserve"> REF _Ref53993809 \h </w:instrText>
      </w:r>
      <w:r>
        <w:rPr>
          <w:lang w:val="en-AU"/>
        </w:rPr>
      </w:r>
      <w:r>
        <w:rPr>
          <w:lang w:val="en-AU"/>
        </w:rPr>
        <w:fldChar w:fldCharType="separate"/>
      </w:r>
      <w:r w:rsidR="00F53F5F">
        <w:t xml:space="preserve">Table </w:t>
      </w:r>
      <w:r w:rsidR="00F53F5F">
        <w:rPr>
          <w:noProof/>
        </w:rPr>
        <w:t>11</w:t>
      </w:r>
      <w:r>
        <w:rPr>
          <w:lang w:val="en-AU"/>
        </w:rPr>
        <w:fldChar w:fldCharType="end"/>
      </w:r>
      <w:r w:rsidR="000A5CBE">
        <w:rPr>
          <w:lang w:val="en-AU"/>
        </w:rPr>
        <w:t xml:space="preserve"> </w:t>
      </w:r>
      <w:r w:rsidR="00D81802" w:rsidRPr="001468A9">
        <w:rPr>
          <w:lang w:val="en-AU"/>
        </w:rPr>
        <w:t>provides patients disease and prior treatment characteristics.</w:t>
      </w:r>
    </w:p>
    <w:p w14:paraId="3CC7E355" w14:textId="26FBF83D" w:rsidR="00D81802" w:rsidRPr="001468A9" w:rsidRDefault="00EB38AB" w:rsidP="00D81802">
      <w:pPr>
        <w:pStyle w:val="Caption"/>
        <w:rPr>
          <w:lang w:val="en-AU"/>
        </w:rPr>
      </w:pPr>
      <w:bookmarkStart w:id="37" w:name="_Ref53993809"/>
      <w:bookmarkStart w:id="38" w:name="_Ref46906649"/>
      <w:r>
        <w:t xml:space="preserve">Table </w:t>
      </w:r>
      <w:r>
        <w:fldChar w:fldCharType="begin"/>
      </w:r>
      <w:r>
        <w:instrText xml:space="preserve"> SEQ Table \* ARABIC </w:instrText>
      </w:r>
      <w:r>
        <w:fldChar w:fldCharType="separate"/>
      </w:r>
      <w:r w:rsidR="00F53F5F">
        <w:rPr>
          <w:noProof/>
        </w:rPr>
        <w:t>11</w:t>
      </w:r>
      <w:r>
        <w:fldChar w:fldCharType="end"/>
      </w:r>
      <w:bookmarkEnd w:id="37"/>
      <w:r>
        <w:t>:</w:t>
      </w:r>
      <w:bookmarkEnd w:id="38"/>
      <w:r w:rsidR="00D81802" w:rsidRPr="001468A9">
        <w:rPr>
          <w:lang w:val="en-AU"/>
        </w:rPr>
        <w:t xml:space="preserve"> Demographics and </w:t>
      </w:r>
      <w:r w:rsidR="00B65B8B">
        <w:rPr>
          <w:lang w:val="en-AU"/>
        </w:rPr>
        <w:t>D</w:t>
      </w:r>
      <w:r w:rsidR="00D81802" w:rsidRPr="001468A9">
        <w:rPr>
          <w:lang w:val="en-AU"/>
        </w:rPr>
        <w:t xml:space="preserve">isease </w:t>
      </w:r>
      <w:r w:rsidR="00B65B8B">
        <w:rPr>
          <w:lang w:val="en-AU"/>
        </w:rPr>
        <w:t>C</w:t>
      </w:r>
      <w:r w:rsidR="00D81802" w:rsidRPr="001468A9">
        <w:rPr>
          <w:lang w:val="en-AU"/>
        </w:rPr>
        <w:t xml:space="preserve">haracteristics of </w:t>
      </w:r>
      <w:r w:rsidR="00B65B8B">
        <w:rPr>
          <w:lang w:val="en-AU"/>
        </w:rPr>
        <w:t>P</w:t>
      </w:r>
      <w:r w:rsidR="00D81802" w:rsidRPr="001468A9">
        <w:rPr>
          <w:lang w:val="en-AU"/>
        </w:rPr>
        <w:t xml:space="preserve">atients with </w:t>
      </w:r>
      <w:r w:rsidR="00B65B8B">
        <w:rPr>
          <w:lang w:val="en-AU"/>
        </w:rPr>
        <w:t>R</w:t>
      </w:r>
      <w:r w:rsidR="00D81802" w:rsidRPr="001468A9">
        <w:rPr>
          <w:lang w:val="en-AU"/>
        </w:rPr>
        <w:t xml:space="preserve">elapsed </w:t>
      </w:r>
      <w:r w:rsidR="00B65B8B">
        <w:rPr>
          <w:lang w:val="en-AU"/>
        </w:rPr>
        <w:t>R</w:t>
      </w:r>
      <w:r w:rsidR="00D81802" w:rsidRPr="001468A9">
        <w:rPr>
          <w:lang w:val="en-AU"/>
        </w:rPr>
        <w:t xml:space="preserve">efractory </w:t>
      </w:r>
      <w:r w:rsidR="00B65B8B">
        <w:rPr>
          <w:lang w:val="en-AU"/>
        </w:rPr>
        <w:t>M</w:t>
      </w:r>
      <w:r w:rsidR="00D81802" w:rsidRPr="001468A9">
        <w:rPr>
          <w:lang w:val="en-AU"/>
        </w:rPr>
        <w:t xml:space="preserve">ultiple </w:t>
      </w:r>
      <w:r w:rsidR="00B65B8B">
        <w:rPr>
          <w:lang w:val="en-AU"/>
        </w:rPr>
        <w:t>M</w:t>
      </w:r>
      <w:r w:rsidR="00D81802" w:rsidRPr="001468A9">
        <w:rPr>
          <w:lang w:val="en-AU"/>
        </w:rPr>
        <w:t xml:space="preserve">yeloma treated with 80 mg </w:t>
      </w:r>
      <w:r w:rsidR="00530F6F">
        <w:rPr>
          <w:lang w:val="en-AU"/>
        </w:rPr>
        <w:t>S</w:t>
      </w:r>
      <w:r w:rsidR="00D81802" w:rsidRPr="001468A9">
        <w:rPr>
          <w:lang w:val="en-AU"/>
        </w:rPr>
        <w:t xml:space="preserve">elinexor and 20 mg </w:t>
      </w:r>
      <w:r w:rsidR="00530F6F">
        <w:rPr>
          <w:lang w:val="en-AU"/>
        </w:rPr>
        <w:t>D</w:t>
      </w:r>
      <w:r w:rsidR="00D81802" w:rsidRPr="001468A9">
        <w:rPr>
          <w:lang w:val="en-AU"/>
        </w:rPr>
        <w:t>examethasone (N=123)</w:t>
      </w:r>
    </w:p>
    <w:tbl>
      <w:tblPr>
        <w:tblStyle w:val="TableGrid"/>
        <w:tblW w:w="0" w:type="auto"/>
        <w:tblLook w:val="04A0" w:firstRow="1" w:lastRow="0" w:firstColumn="1" w:lastColumn="0" w:noHBand="0" w:noVBand="1"/>
      </w:tblPr>
      <w:tblGrid>
        <w:gridCol w:w="1953"/>
        <w:gridCol w:w="3448"/>
        <w:gridCol w:w="1787"/>
        <w:gridCol w:w="1962"/>
      </w:tblGrid>
      <w:tr w:rsidR="00D47838" w:rsidRPr="00D63A4F" w14:paraId="2E325ADB" w14:textId="77777777" w:rsidTr="00D47838">
        <w:tc>
          <w:tcPr>
            <w:tcW w:w="6799" w:type="dxa"/>
            <w:gridSpan w:val="2"/>
          </w:tcPr>
          <w:p w14:paraId="5F70827F" w14:textId="77576139" w:rsidR="00D47838" w:rsidRPr="001468A9" w:rsidRDefault="00D47838" w:rsidP="007811F0">
            <w:pPr>
              <w:pStyle w:val="TblHeadingLeft"/>
              <w:rPr>
                <w:noProof w:val="0"/>
                <w:lang w:val="en-AU"/>
              </w:rPr>
            </w:pPr>
            <w:r w:rsidRPr="001468A9">
              <w:rPr>
                <w:noProof w:val="0"/>
                <w:lang w:val="en-AU"/>
              </w:rPr>
              <w:t>Characteristics</w:t>
            </w:r>
          </w:p>
        </w:tc>
        <w:tc>
          <w:tcPr>
            <w:tcW w:w="2351" w:type="dxa"/>
          </w:tcPr>
          <w:p w14:paraId="7F4D46C2" w14:textId="77777777" w:rsidR="00D47838" w:rsidRPr="001468A9" w:rsidRDefault="00D47838" w:rsidP="007811F0">
            <w:pPr>
              <w:pStyle w:val="TblTextCenter"/>
              <w:rPr>
                <w:lang w:val="en-AU"/>
              </w:rPr>
            </w:pPr>
          </w:p>
        </w:tc>
        <w:tc>
          <w:tcPr>
            <w:tcW w:w="2351" w:type="dxa"/>
          </w:tcPr>
          <w:p w14:paraId="7A4B1A06" w14:textId="3B951282" w:rsidR="00D47838" w:rsidRPr="001468A9" w:rsidRDefault="00D47838" w:rsidP="007811F0">
            <w:pPr>
              <w:pStyle w:val="TblTextCenter"/>
              <w:rPr>
                <w:lang w:val="en-AU"/>
              </w:rPr>
            </w:pPr>
          </w:p>
        </w:tc>
      </w:tr>
      <w:tr w:rsidR="00D47838" w:rsidRPr="00D63A4F" w14:paraId="6FD1DC34" w14:textId="77777777" w:rsidTr="00D47838">
        <w:tc>
          <w:tcPr>
            <w:tcW w:w="6799" w:type="dxa"/>
            <w:gridSpan w:val="2"/>
          </w:tcPr>
          <w:p w14:paraId="5CD45501" w14:textId="2FB5650F" w:rsidR="00D47838" w:rsidRPr="001468A9" w:rsidRDefault="00D47838" w:rsidP="007811F0">
            <w:pPr>
              <w:pStyle w:val="TblHeadingLeft"/>
              <w:rPr>
                <w:noProof w:val="0"/>
                <w:lang w:val="en-AU"/>
              </w:rPr>
            </w:pPr>
            <w:r w:rsidRPr="001468A9">
              <w:rPr>
                <w:noProof w:val="0"/>
                <w:lang w:val="en-AU"/>
              </w:rPr>
              <w:t xml:space="preserve">Median from diagnosis to start of study treatment, years (range) </w:t>
            </w:r>
          </w:p>
        </w:tc>
        <w:tc>
          <w:tcPr>
            <w:tcW w:w="2351" w:type="dxa"/>
          </w:tcPr>
          <w:p w14:paraId="738678BE" w14:textId="77777777" w:rsidR="00D47838" w:rsidRPr="001468A9" w:rsidRDefault="00D47838" w:rsidP="007811F0">
            <w:pPr>
              <w:pStyle w:val="TblTextCenter"/>
              <w:rPr>
                <w:lang w:val="en-AU"/>
              </w:rPr>
            </w:pPr>
          </w:p>
        </w:tc>
        <w:tc>
          <w:tcPr>
            <w:tcW w:w="2351" w:type="dxa"/>
          </w:tcPr>
          <w:p w14:paraId="58CDF236" w14:textId="52A087CC" w:rsidR="00D47838" w:rsidRPr="001468A9" w:rsidRDefault="00D47838" w:rsidP="007811F0">
            <w:pPr>
              <w:pStyle w:val="TblTextCenter"/>
              <w:rPr>
                <w:lang w:val="en-AU"/>
              </w:rPr>
            </w:pPr>
            <w:r w:rsidRPr="001468A9">
              <w:rPr>
                <w:lang w:val="en-AU"/>
              </w:rPr>
              <w:t xml:space="preserve">6.6 years (1.1, 23.4) </w:t>
            </w:r>
          </w:p>
        </w:tc>
      </w:tr>
      <w:tr w:rsidR="00D47838" w:rsidRPr="00D63A4F" w14:paraId="77240EE9" w14:textId="77777777" w:rsidTr="00D47838">
        <w:tc>
          <w:tcPr>
            <w:tcW w:w="6799" w:type="dxa"/>
            <w:gridSpan w:val="2"/>
          </w:tcPr>
          <w:p w14:paraId="60F9A7E1" w14:textId="797E9E2D" w:rsidR="00D47838" w:rsidRPr="001468A9" w:rsidRDefault="00D47838" w:rsidP="007811F0">
            <w:pPr>
              <w:pStyle w:val="TblHeadingLeft"/>
              <w:rPr>
                <w:noProof w:val="0"/>
                <w:lang w:val="en-AU"/>
              </w:rPr>
            </w:pPr>
            <w:r w:rsidRPr="001468A9">
              <w:rPr>
                <w:noProof w:val="0"/>
                <w:lang w:val="en-AU"/>
              </w:rPr>
              <w:t xml:space="preserve">Number of prior treatment regimens, median (range) </w:t>
            </w:r>
          </w:p>
        </w:tc>
        <w:tc>
          <w:tcPr>
            <w:tcW w:w="2351" w:type="dxa"/>
          </w:tcPr>
          <w:p w14:paraId="25204632" w14:textId="77777777" w:rsidR="00D47838" w:rsidRPr="001468A9" w:rsidRDefault="00D47838" w:rsidP="007811F0">
            <w:pPr>
              <w:pStyle w:val="TblTextCenter"/>
              <w:rPr>
                <w:lang w:val="en-AU"/>
              </w:rPr>
            </w:pPr>
          </w:p>
        </w:tc>
        <w:tc>
          <w:tcPr>
            <w:tcW w:w="2351" w:type="dxa"/>
          </w:tcPr>
          <w:p w14:paraId="64AA5FA4" w14:textId="08D316D9" w:rsidR="00D47838" w:rsidRPr="001468A9" w:rsidRDefault="00D47838" w:rsidP="007811F0">
            <w:pPr>
              <w:pStyle w:val="TblTextCenter"/>
              <w:rPr>
                <w:lang w:val="en-AU"/>
              </w:rPr>
            </w:pPr>
            <w:r w:rsidRPr="001468A9">
              <w:rPr>
                <w:lang w:val="en-AU"/>
              </w:rPr>
              <w:t xml:space="preserve">7 (3, 18) </w:t>
            </w:r>
          </w:p>
        </w:tc>
      </w:tr>
      <w:tr w:rsidR="00D47838" w:rsidRPr="00D63A4F" w14:paraId="283BE817" w14:textId="77777777" w:rsidTr="00D47838">
        <w:tc>
          <w:tcPr>
            <w:tcW w:w="6799" w:type="dxa"/>
            <w:gridSpan w:val="2"/>
          </w:tcPr>
          <w:p w14:paraId="3D5CF5E8" w14:textId="1DBAC7C4" w:rsidR="00D47838" w:rsidRPr="001468A9" w:rsidRDefault="00D47838" w:rsidP="007811F0">
            <w:pPr>
              <w:pStyle w:val="TblHeadingLeft"/>
              <w:rPr>
                <w:noProof w:val="0"/>
                <w:lang w:val="en-AU"/>
              </w:rPr>
            </w:pPr>
            <w:r w:rsidRPr="001468A9">
              <w:rPr>
                <w:noProof w:val="0"/>
                <w:lang w:val="en-AU"/>
              </w:rPr>
              <w:t xml:space="preserve">Age, median (range) </w:t>
            </w:r>
          </w:p>
        </w:tc>
        <w:tc>
          <w:tcPr>
            <w:tcW w:w="2351" w:type="dxa"/>
          </w:tcPr>
          <w:p w14:paraId="267834B9" w14:textId="77777777" w:rsidR="00D47838" w:rsidRPr="001468A9" w:rsidRDefault="00D47838" w:rsidP="007811F0">
            <w:pPr>
              <w:pStyle w:val="TblTextCenter"/>
              <w:rPr>
                <w:lang w:val="en-AU"/>
              </w:rPr>
            </w:pPr>
          </w:p>
        </w:tc>
        <w:tc>
          <w:tcPr>
            <w:tcW w:w="2351" w:type="dxa"/>
          </w:tcPr>
          <w:p w14:paraId="3252A976" w14:textId="6231AAF4" w:rsidR="00D47838" w:rsidRPr="001468A9" w:rsidRDefault="00D47838" w:rsidP="007811F0">
            <w:pPr>
              <w:pStyle w:val="TblTextCenter"/>
              <w:rPr>
                <w:lang w:val="en-AU"/>
              </w:rPr>
            </w:pPr>
            <w:r w:rsidRPr="001468A9">
              <w:rPr>
                <w:lang w:val="en-AU"/>
              </w:rPr>
              <w:t xml:space="preserve">65 years (40, 86) </w:t>
            </w:r>
          </w:p>
        </w:tc>
      </w:tr>
      <w:tr w:rsidR="00D47838" w:rsidRPr="00D63A4F" w14:paraId="61E1C8ED" w14:textId="77777777" w:rsidTr="00D47838">
        <w:tc>
          <w:tcPr>
            <w:tcW w:w="6799" w:type="dxa"/>
            <w:gridSpan w:val="2"/>
          </w:tcPr>
          <w:p w14:paraId="1D437421" w14:textId="70B7AAD5" w:rsidR="00D47838" w:rsidRPr="001468A9" w:rsidRDefault="00D47838" w:rsidP="007811F0">
            <w:pPr>
              <w:pStyle w:val="TblHeadingLeft"/>
              <w:rPr>
                <w:noProof w:val="0"/>
                <w:lang w:val="en-AU"/>
              </w:rPr>
            </w:pPr>
            <w:r w:rsidRPr="001468A9">
              <w:rPr>
                <w:noProof w:val="0"/>
                <w:lang w:val="en-AU"/>
              </w:rPr>
              <w:t xml:space="preserve">Number of patients less than 50 years of age </w:t>
            </w:r>
          </w:p>
        </w:tc>
        <w:tc>
          <w:tcPr>
            <w:tcW w:w="2351" w:type="dxa"/>
          </w:tcPr>
          <w:p w14:paraId="3C0CC86C" w14:textId="77777777" w:rsidR="00D47838" w:rsidRPr="001468A9" w:rsidRDefault="00D47838" w:rsidP="007811F0">
            <w:pPr>
              <w:pStyle w:val="TblTextCenter"/>
              <w:rPr>
                <w:lang w:val="en-AU"/>
              </w:rPr>
            </w:pPr>
          </w:p>
        </w:tc>
        <w:tc>
          <w:tcPr>
            <w:tcW w:w="2351" w:type="dxa"/>
          </w:tcPr>
          <w:p w14:paraId="3FCACB30" w14:textId="6C8B6E21" w:rsidR="00D47838" w:rsidRPr="001468A9" w:rsidRDefault="00D47838" w:rsidP="007811F0">
            <w:pPr>
              <w:pStyle w:val="TblTextCenter"/>
              <w:rPr>
                <w:lang w:val="en-AU"/>
              </w:rPr>
            </w:pPr>
            <w:r w:rsidRPr="001468A9">
              <w:rPr>
                <w:lang w:val="en-AU"/>
              </w:rPr>
              <w:t xml:space="preserve">8 (6.5%) </w:t>
            </w:r>
          </w:p>
        </w:tc>
      </w:tr>
      <w:tr w:rsidR="00D47838" w:rsidRPr="00D63A4F" w14:paraId="76C50356" w14:textId="77777777" w:rsidTr="00D47838">
        <w:tc>
          <w:tcPr>
            <w:tcW w:w="6799" w:type="dxa"/>
            <w:gridSpan w:val="2"/>
          </w:tcPr>
          <w:p w14:paraId="2DE619CB" w14:textId="6758E0CC" w:rsidR="00D47838" w:rsidRPr="001468A9" w:rsidRDefault="00D47838" w:rsidP="007811F0">
            <w:pPr>
              <w:pStyle w:val="TblHeadingLeft"/>
              <w:rPr>
                <w:noProof w:val="0"/>
                <w:lang w:val="en-AU"/>
              </w:rPr>
            </w:pPr>
            <w:proofErr w:type="gramStart"/>
            <w:r w:rsidRPr="001468A9">
              <w:rPr>
                <w:noProof w:val="0"/>
                <w:lang w:val="en-AU"/>
              </w:rPr>
              <w:t>Males :</w:t>
            </w:r>
            <w:proofErr w:type="gramEnd"/>
            <w:r w:rsidRPr="001468A9">
              <w:rPr>
                <w:noProof w:val="0"/>
                <w:lang w:val="en-AU"/>
              </w:rPr>
              <w:t xml:space="preserve"> Females </w:t>
            </w:r>
          </w:p>
        </w:tc>
        <w:tc>
          <w:tcPr>
            <w:tcW w:w="2351" w:type="dxa"/>
          </w:tcPr>
          <w:p w14:paraId="10558694" w14:textId="77777777" w:rsidR="00D47838" w:rsidRPr="001468A9" w:rsidRDefault="00D47838" w:rsidP="007811F0">
            <w:pPr>
              <w:pStyle w:val="TblTextCenter"/>
              <w:rPr>
                <w:lang w:val="en-AU"/>
              </w:rPr>
            </w:pPr>
          </w:p>
        </w:tc>
        <w:tc>
          <w:tcPr>
            <w:tcW w:w="2351" w:type="dxa"/>
          </w:tcPr>
          <w:p w14:paraId="6F785796" w14:textId="5171A862" w:rsidR="00D47838" w:rsidRPr="001468A9" w:rsidRDefault="00D47838" w:rsidP="007811F0">
            <w:pPr>
              <w:pStyle w:val="TblTextCenter"/>
              <w:rPr>
                <w:lang w:val="en-AU"/>
              </w:rPr>
            </w:pPr>
            <w:r w:rsidRPr="001468A9">
              <w:rPr>
                <w:lang w:val="en-AU"/>
              </w:rPr>
              <w:t xml:space="preserve">71 M (58%): 52 F (42%) </w:t>
            </w:r>
          </w:p>
        </w:tc>
      </w:tr>
      <w:tr w:rsidR="00D47838" w:rsidRPr="00D63A4F" w14:paraId="0F36AA21" w14:textId="77777777" w:rsidTr="00D47838">
        <w:tc>
          <w:tcPr>
            <w:tcW w:w="2351" w:type="dxa"/>
          </w:tcPr>
          <w:p w14:paraId="17D13174" w14:textId="77777777" w:rsidR="00D47838" w:rsidRPr="001468A9" w:rsidRDefault="00D47838" w:rsidP="007811F0">
            <w:pPr>
              <w:pStyle w:val="TblHeadingLeft"/>
              <w:rPr>
                <w:noProof w:val="0"/>
                <w:lang w:val="en-AU"/>
              </w:rPr>
            </w:pPr>
          </w:p>
        </w:tc>
        <w:tc>
          <w:tcPr>
            <w:tcW w:w="9150" w:type="dxa"/>
            <w:gridSpan w:val="3"/>
          </w:tcPr>
          <w:p w14:paraId="3807683C" w14:textId="3C18A07A" w:rsidR="00D47838" w:rsidRPr="001468A9" w:rsidRDefault="00D47838" w:rsidP="007811F0">
            <w:pPr>
              <w:pStyle w:val="TblHeadingLeft"/>
              <w:rPr>
                <w:noProof w:val="0"/>
                <w:lang w:val="en-AU"/>
              </w:rPr>
            </w:pPr>
            <w:r w:rsidRPr="001468A9">
              <w:rPr>
                <w:noProof w:val="0"/>
                <w:lang w:val="en-AU"/>
              </w:rPr>
              <w:t xml:space="preserve">Refractory status to the treatments, n (%) </w:t>
            </w:r>
          </w:p>
        </w:tc>
      </w:tr>
      <w:tr w:rsidR="00D47838" w:rsidRPr="00D63A4F" w14:paraId="540A8E2C" w14:textId="77777777" w:rsidTr="00D47838">
        <w:tc>
          <w:tcPr>
            <w:tcW w:w="6799" w:type="dxa"/>
            <w:gridSpan w:val="2"/>
          </w:tcPr>
          <w:p w14:paraId="3F296FC8" w14:textId="6EAF9F1C" w:rsidR="00D47838" w:rsidRPr="001468A9" w:rsidRDefault="00D47838" w:rsidP="007811F0">
            <w:pPr>
              <w:pStyle w:val="TblTextLeft"/>
              <w:rPr>
                <w:lang w:val="en-AU"/>
              </w:rPr>
            </w:pPr>
            <w:r w:rsidRPr="001468A9">
              <w:rPr>
                <w:lang w:val="en-AU"/>
              </w:rPr>
              <w:t xml:space="preserve">Lenalidomide (L) </w:t>
            </w:r>
          </w:p>
        </w:tc>
        <w:tc>
          <w:tcPr>
            <w:tcW w:w="2351" w:type="dxa"/>
          </w:tcPr>
          <w:p w14:paraId="213A8673" w14:textId="77777777" w:rsidR="00D47838" w:rsidRPr="001468A9" w:rsidRDefault="00D47838" w:rsidP="007811F0">
            <w:pPr>
              <w:pStyle w:val="TblTextCenter"/>
              <w:rPr>
                <w:lang w:val="en-AU"/>
              </w:rPr>
            </w:pPr>
          </w:p>
        </w:tc>
        <w:tc>
          <w:tcPr>
            <w:tcW w:w="2351" w:type="dxa"/>
          </w:tcPr>
          <w:p w14:paraId="33B2238C" w14:textId="4F62ED68" w:rsidR="00D47838" w:rsidRPr="001468A9" w:rsidRDefault="00D47838" w:rsidP="007811F0">
            <w:pPr>
              <w:pStyle w:val="TblTextCenter"/>
              <w:rPr>
                <w:lang w:val="en-AU"/>
              </w:rPr>
            </w:pPr>
            <w:r w:rsidRPr="001468A9">
              <w:rPr>
                <w:lang w:val="en-AU"/>
              </w:rPr>
              <w:t xml:space="preserve">107 (87.0) </w:t>
            </w:r>
          </w:p>
        </w:tc>
      </w:tr>
      <w:tr w:rsidR="00D47838" w:rsidRPr="00D63A4F" w14:paraId="374AF3DC" w14:textId="77777777" w:rsidTr="00D47838">
        <w:tc>
          <w:tcPr>
            <w:tcW w:w="6799" w:type="dxa"/>
            <w:gridSpan w:val="2"/>
          </w:tcPr>
          <w:p w14:paraId="60E27CE2" w14:textId="2C05188B" w:rsidR="00D47838" w:rsidRPr="001468A9" w:rsidRDefault="00D47838" w:rsidP="007811F0">
            <w:pPr>
              <w:pStyle w:val="TblTextLeft"/>
              <w:rPr>
                <w:lang w:val="en-AU"/>
              </w:rPr>
            </w:pPr>
            <w:r w:rsidRPr="001468A9">
              <w:rPr>
                <w:lang w:val="en-AU"/>
              </w:rPr>
              <w:lastRenderedPageBreak/>
              <w:t xml:space="preserve">Pomalidomide (P) </w:t>
            </w:r>
          </w:p>
        </w:tc>
        <w:tc>
          <w:tcPr>
            <w:tcW w:w="2351" w:type="dxa"/>
          </w:tcPr>
          <w:p w14:paraId="2F4E35E3" w14:textId="77777777" w:rsidR="00D47838" w:rsidRPr="001468A9" w:rsidRDefault="00D47838" w:rsidP="007811F0">
            <w:pPr>
              <w:pStyle w:val="TblTextCenter"/>
              <w:rPr>
                <w:lang w:val="en-AU"/>
              </w:rPr>
            </w:pPr>
          </w:p>
        </w:tc>
        <w:tc>
          <w:tcPr>
            <w:tcW w:w="2351" w:type="dxa"/>
          </w:tcPr>
          <w:p w14:paraId="6BDDCE94" w14:textId="5D44B12F" w:rsidR="00D47838" w:rsidRPr="001468A9" w:rsidRDefault="00D47838" w:rsidP="007811F0">
            <w:pPr>
              <w:pStyle w:val="TblTextCenter"/>
              <w:rPr>
                <w:lang w:val="en-AU"/>
              </w:rPr>
            </w:pPr>
            <w:r w:rsidRPr="001468A9">
              <w:rPr>
                <w:lang w:val="en-AU"/>
              </w:rPr>
              <w:t xml:space="preserve">121 (98.4) </w:t>
            </w:r>
          </w:p>
        </w:tc>
      </w:tr>
      <w:tr w:rsidR="00D47838" w:rsidRPr="00D63A4F" w14:paraId="016690B8" w14:textId="77777777" w:rsidTr="00D47838">
        <w:tc>
          <w:tcPr>
            <w:tcW w:w="6799" w:type="dxa"/>
            <w:gridSpan w:val="2"/>
          </w:tcPr>
          <w:p w14:paraId="260EB3DA" w14:textId="2C21D99F" w:rsidR="00D47838" w:rsidRPr="001468A9" w:rsidRDefault="00D47838" w:rsidP="007811F0">
            <w:pPr>
              <w:pStyle w:val="TblTextLeft"/>
              <w:rPr>
                <w:lang w:val="en-AU"/>
              </w:rPr>
            </w:pPr>
            <w:r w:rsidRPr="001468A9">
              <w:rPr>
                <w:lang w:val="en-AU"/>
              </w:rPr>
              <w:t xml:space="preserve">Bortezomib (B) </w:t>
            </w:r>
          </w:p>
        </w:tc>
        <w:tc>
          <w:tcPr>
            <w:tcW w:w="2351" w:type="dxa"/>
          </w:tcPr>
          <w:p w14:paraId="593D6BCE" w14:textId="77777777" w:rsidR="00D47838" w:rsidRPr="001468A9" w:rsidRDefault="00D47838" w:rsidP="007811F0">
            <w:pPr>
              <w:pStyle w:val="TblTextCenter"/>
              <w:rPr>
                <w:lang w:val="en-AU"/>
              </w:rPr>
            </w:pPr>
          </w:p>
        </w:tc>
        <w:tc>
          <w:tcPr>
            <w:tcW w:w="2351" w:type="dxa"/>
          </w:tcPr>
          <w:p w14:paraId="1D1673D6" w14:textId="667608D3" w:rsidR="00D47838" w:rsidRPr="001468A9" w:rsidRDefault="00D47838" w:rsidP="007811F0">
            <w:pPr>
              <w:pStyle w:val="TblTextCenter"/>
              <w:rPr>
                <w:lang w:val="en-AU"/>
              </w:rPr>
            </w:pPr>
            <w:r w:rsidRPr="001468A9">
              <w:rPr>
                <w:lang w:val="en-AU"/>
              </w:rPr>
              <w:t xml:space="preserve">100 (81.3) </w:t>
            </w:r>
          </w:p>
        </w:tc>
      </w:tr>
      <w:tr w:rsidR="00D47838" w:rsidRPr="00D63A4F" w14:paraId="5E61DC81" w14:textId="77777777" w:rsidTr="00D47838">
        <w:tc>
          <w:tcPr>
            <w:tcW w:w="6799" w:type="dxa"/>
            <w:gridSpan w:val="2"/>
          </w:tcPr>
          <w:p w14:paraId="72C49052" w14:textId="70A2E582" w:rsidR="00D47838" w:rsidRPr="001468A9" w:rsidRDefault="00D47838" w:rsidP="007811F0">
            <w:pPr>
              <w:pStyle w:val="TblTextLeft"/>
              <w:rPr>
                <w:lang w:val="en-AU"/>
              </w:rPr>
            </w:pPr>
            <w:r w:rsidRPr="001468A9">
              <w:rPr>
                <w:lang w:val="en-AU"/>
              </w:rPr>
              <w:t xml:space="preserve">Carfilzomib (C) </w:t>
            </w:r>
          </w:p>
        </w:tc>
        <w:tc>
          <w:tcPr>
            <w:tcW w:w="2351" w:type="dxa"/>
          </w:tcPr>
          <w:p w14:paraId="36CCCB4B" w14:textId="77777777" w:rsidR="00D47838" w:rsidRPr="001468A9" w:rsidRDefault="00D47838" w:rsidP="007811F0">
            <w:pPr>
              <w:pStyle w:val="TblTextCenter"/>
              <w:rPr>
                <w:lang w:val="en-AU"/>
              </w:rPr>
            </w:pPr>
          </w:p>
        </w:tc>
        <w:tc>
          <w:tcPr>
            <w:tcW w:w="2351" w:type="dxa"/>
          </w:tcPr>
          <w:p w14:paraId="79E196C4" w14:textId="245D9FEB" w:rsidR="00D47838" w:rsidRPr="001468A9" w:rsidRDefault="00D47838" w:rsidP="007811F0">
            <w:pPr>
              <w:pStyle w:val="TblTextCenter"/>
              <w:rPr>
                <w:lang w:val="en-AU"/>
              </w:rPr>
            </w:pPr>
            <w:r w:rsidRPr="001468A9">
              <w:rPr>
                <w:lang w:val="en-AU"/>
              </w:rPr>
              <w:t xml:space="preserve">119 (96.7) </w:t>
            </w:r>
          </w:p>
        </w:tc>
      </w:tr>
      <w:tr w:rsidR="00D47838" w:rsidRPr="00D63A4F" w14:paraId="7FA0D68E" w14:textId="77777777" w:rsidTr="00D47838">
        <w:tc>
          <w:tcPr>
            <w:tcW w:w="6799" w:type="dxa"/>
            <w:gridSpan w:val="2"/>
          </w:tcPr>
          <w:p w14:paraId="467A763D" w14:textId="530C4D32" w:rsidR="00D47838" w:rsidRPr="001468A9" w:rsidRDefault="00D47838" w:rsidP="007811F0">
            <w:pPr>
              <w:pStyle w:val="TblTextLeft"/>
              <w:rPr>
                <w:lang w:val="en-AU"/>
              </w:rPr>
            </w:pPr>
            <w:r w:rsidRPr="001468A9">
              <w:rPr>
                <w:lang w:val="en-AU"/>
              </w:rPr>
              <w:t xml:space="preserve">Daratumumab (D) </w:t>
            </w:r>
          </w:p>
        </w:tc>
        <w:tc>
          <w:tcPr>
            <w:tcW w:w="2351" w:type="dxa"/>
          </w:tcPr>
          <w:p w14:paraId="34E1D049" w14:textId="77777777" w:rsidR="00D47838" w:rsidRPr="001468A9" w:rsidRDefault="00D47838" w:rsidP="007811F0">
            <w:pPr>
              <w:pStyle w:val="TblTextCenter"/>
              <w:rPr>
                <w:lang w:val="en-AU"/>
              </w:rPr>
            </w:pPr>
          </w:p>
        </w:tc>
        <w:tc>
          <w:tcPr>
            <w:tcW w:w="2351" w:type="dxa"/>
          </w:tcPr>
          <w:p w14:paraId="6316E01E" w14:textId="699FDCAD" w:rsidR="00D47838" w:rsidRPr="001468A9" w:rsidRDefault="00D47838" w:rsidP="007811F0">
            <w:pPr>
              <w:pStyle w:val="TblTextCenter"/>
              <w:rPr>
                <w:lang w:val="en-AU"/>
              </w:rPr>
            </w:pPr>
            <w:r w:rsidRPr="001468A9">
              <w:rPr>
                <w:lang w:val="en-AU"/>
              </w:rPr>
              <w:t xml:space="preserve">123 (100) </w:t>
            </w:r>
          </w:p>
        </w:tc>
      </w:tr>
      <w:tr w:rsidR="00D47838" w:rsidRPr="00D63A4F" w14:paraId="2943CCBE" w14:textId="77777777" w:rsidTr="00D47838">
        <w:tc>
          <w:tcPr>
            <w:tcW w:w="2351" w:type="dxa"/>
          </w:tcPr>
          <w:p w14:paraId="63EB2BDF" w14:textId="77777777" w:rsidR="00D47838" w:rsidRPr="001468A9" w:rsidRDefault="00D47838" w:rsidP="007811F0">
            <w:pPr>
              <w:pStyle w:val="TblHeadingLeft"/>
              <w:rPr>
                <w:noProof w:val="0"/>
                <w:lang w:val="en-AU"/>
              </w:rPr>
            </w:pPr>
          </w:p>
        </w:tc>
        <w:tc>
          <w:tcPr>
            <w:tcW w:w="9150" w:type="dxa"/>
            <w:gridSpan w:val="3"/>
          </w:tcPr>
          <w:p w14:paraId="790E00DB" w14:textId="56004886" w:rsidR="00D47838" w:rsidRPr="001468A9" w:rsidRDefault="00D47838" w:rsidP="007811F0">
            <w:pPr>
              <w:pStyle w:val="TblHeadingLeft"/>
              <w:rPr>
                <w:noProof w:val="0"/>
                <w:lang w:val="en-AU"/>
              </w:rPr>
            </w:pPr>
            <w:r w:rsidRPr="001468A9">
              <w:rPr>
                <w:noProof w:val="0"/>
                <w:lang w:val="en-AU"/>
              </w:rPr>
              <w:t xml:space="preserve">Refractory status to specific treatment combinations, n (%) </w:t>
            </w:r>
          </w:p>
        </w:tc>
      </w:tr>
      <w:tr w:rsidR="00D47838" w:rsidRPr="00D63A4F" w14:paraId="01F6D7CE" w14:textId="77777777" w:rsidTr="00D47838">
        <w:tc>
          <w:tcPr>
            <w:tcW w:w="6799" w:type="dxa"/>
            <w:gridSpan w:val="2"/>
          </w:tcPr>
          <w:p w14:paraId="4B20AED3" w14:textId="39769393" w:rsidR="00D47838" w:rsidRPr="001468A9" w:rsidRDefault="00D47838" w:rsidP="007811F0">
            <w:pPr>
              <w:pStyle w:val="TblTextLeft"/>
              <w:rPr>
                <w:lang w:val="en-AU"/>
              </w:rPr>
            </w:pPr>
            <w:r w:rsidRPr="001468A9">
              <w:rPr>
                <w:lang w:val="en-AU"/>
              </w:rPr>
              <w:t xml:space="preserve">Triple refractory (CPD) </w:t>
            </w:r>
          </w:p>
        </w:tc>
        <w:tc>
          <w:tcPr>
            <w:tcW w:w="2351" w:type="dxa"/>
          </w:tcPr>
          <w:p w14:paraId="03A84F25" w14:textId="77777777" w:rsidR="00D47838" w:rsidRPr="001468A9" w:rsidRDefault="00D47838" w:rsidP="007811F0">
            <w:pPr>
              <w:pStyle w:val="TblTextCenter"/>
              <w:rPr>
                <w:lang w:val="en-AU"/>
              </w:rPr>
            </w:pPr>
          </w:p>
        </w:tc>
        <w:tc>
          <w:tcPr>
            <w:tcW w:w="2351" w:type="dxa"/>
          </w:tcPr>
          <w:p w14:paraId="3FDFA62D" w14:textId="4FFEF921" w:rsidR="00D47838" w:rsidRPr="001468A9" w:rsidRDefault="00D47838" w:rsidP="007811F0">
            <w:pPr>
              <w:pStyle w:val="TblTextCenter"/>
              <w:rPr>
                <w:lang w:val="en-AU"/>
              </w:rPr>
            </w:pPr>
            <w:r w:rsidRPr="001468A9">
              <w:rPr>
                <w:lang w:val="en-AU"/>
              </w:rPr>
              <w:t xml:space="preserve">117 (95.1) </w:t>
            </w:r>
          </w:p>
        </w:tc>
      </w:tr>
      <w:tr w:rsidR="00D47838" w:rsidRPr="00D63A4F" w14:paraId="16591DD8" w14:textId="77777777" w:rsidTr="00D47838">
        <w:tc>
          <w:tcPr>
            <w:tcW w:w="6799" w:type="dxa"/>
            <w:gridSpan w:val="2"/>
          </w:tcPr>
          <w:p w14:paraId="44292A9C" w14:textId="762AADD6" w:rsidR="00D47838" w:rsidRPr="001468A9" w:rsidRDefault="00D47838" w:rsidP="007811F0">
            <w:pPr>
              <w:pStyle w:val="TblTextLeft"/>
              <w:rPr>
                <w:lang w:val="en-AU"/>
              </w:rPr>
            </w:pPr>
            <w:r w:rsidRPr="001468A9">
              <w:rPr>
                <w:lang w:val="en-AU"/>
              </w:rPr>
              <w:t xml:space="preserve">Quad refractory (CLPD) </w:t>
            </w:r>
          </w:p>
        </w:tc>
        <w:tc>
          <w:tcPr>
            <w:tcW w:w="2351" w:type="dxa"/>
          </w:tcPr>
          <w:p w14:paraId="3580F872" w14:textId="77777777" w:rsidR="00D47838" w:rsidRPr="001468A9" w:rsidRDefault="00D47838" w:rsidP="007811F0">
            <w:pPr>
              <w:pStyle w:val="TblTextCenter"/>
              <w:rPr>
                <w:lang w:val="en-AU"/>
              </w:rPr>
            </w:pPr>
          </w:p>
        </w:tc>
        <w:tc>
          <w:tcPr>
            <w:tcW w:w="2351" w:type="dxa"/>
          </w:tcPr>
          <w:p w14:paraId="7A547D55" w14:textId="6AF0DDFC" w:rsidR="00D47838" w:rsidRPr="001468A9" w:rsidRDefault="00D47838" w:rsidP="007811F0">
            <w:pPr>
              <w:pStyle w:val="TblTextCenter"/>
              <w:rPr>
                <w:lang w:val="en-AU"/>
              </w:rPr>
            </w:pPr>
            <w:r w:rsidRPr="001468A9">
              <w:rPr>
                <w:lang w:val="en-AU"/>
              </w:rPr>
              <w:t xml:space="preserve">101 (82.1) </w:t>
            </w:r>
          </w:p>
        </w:tc>
      </w:tr>
      <w:tr w:rsidR="00D47838" w:rsidRPr="00D63A4F" w14:paraId="27D1BA1C" w14:textId="77777777" w:rsidTr="00D47838">
        <w:tc>
          <w:tcPr>
            <w:tcW w:w="6799" w:type="dxa"/>
            <w:gridSpan w:val="2"/>
          </w:tcPr>
          <w:p w14:paraId="4E765599" w14:textId="04E43399" w:rsidR="00D47838" w:rsidRPr="001468A9" w:rsidRDefault="00D47838" w:rsidP="007811F0">
            <w:pPr>
              <w:pStyle w:val="TblTextLeft"/>
              <w:rPr>
                <w:lang w:val="en-AU"/>
              </w:rPr>
            </w:pPr>
            <w:r w:rsidRPr="001468A9">
              <w:rPr>
                <w:lang w:val="en-AU"/>
              </w:rPr>
              <w:t xml:space="preserve">Quad refractory (BCPD) </w:t>
            </w:r>
          </w:p>
        </w:tc>
        <w:tc>
          <w:tcPr>
            <w:tcW w:w="2351" w:type="dxa"/>
          </w:tcPr>
          <w:p w14:paraId="25473742" w14:textId="77777777" w:rsidR="00D47838" w:rsidRPr="001468A9" w:rsidRDefault="00D47838" w:rsidP="007811F0">
            <w:pPr>
              <w:pStyle w:val="TblTextCenter"/>
              <w:rPr>
                <w:lang w:val="en-AU"/>
              </w:rPr>
            </w:pPr>
          </w:p>
        </w:tc>
        <w:tc>
          <w:tcPr>
            <w:tcW w:w="2351" w:type="dxa"/>
          </w:tcPr>
          <w:p w14:paraId="2CBE9E75" w14:textId="2FC7F678" w:rsidR="00D47838" w:rsidRPr="001468A9" w:rsidRDefault="00D47838" w:rsidP="007811F0">
            <w:pPr>
              <w:pStyle w:val="TblTextCenter"/>
              <w:rPr>
                <w:lang w:val="en-AU"/>
              </w:rPr>
            </w:pPr>
            <w:r w:rsidRPr="001468A9">
              <w:rPr>
                <w:lang w:val="en-AU"/>
              </w:rPr>
              <w:t xml:space="preserve">94 (76.4) </w:t>
            </w:r>
          </w:p>
        </w:tc>
      </w:tr>
      <w:tr w:rsidR="00D47838" w:rsidRPr="00D63A4F" w14:paraId="119D6641" w14:textId="77777777" w:rsidTr="00D47838">
        <w:tc>
          <w:tcPr>
            <w:tcW w:w="6799" w:type="dxa"/>
            <w:gridSpan w:val="2"/>
          </w:tcPr>
          <w:p w14:paraId="4FAF5ECB" w14:textId="20DEA06C" w:rsidR="00D47838" w:rsidRPr="001468A9" w:rsidRDefault="00D47838" w:rsidP="007811F0">
            <w:pPr>
              <w:pStyle w:val="TblTextLeft"/>
              <w:rPr>
                <w:lang w:val="en-AU"/>
              </w:rPr>
            </w:pPr>
            <w:r w:rsidRPr="001468A9">
              <w:rPr>
                <w:lang w:val="en-AU"/>
              </w:rPr>
              <w:t xml:space="preserve">Penta refractory (BCLPD) </w:t>
            </w:r>
          </w:p>
        </w:tc>
        <w:tc>
          <w:tcPr>
            <w:tcW w:w="2351" w:type="dxa"/>
          </w:tcPr>
          <w:p w14:paraId="2E8CFA74" w14:textId="77777777" w:rsidR="00D47838" w:rsidRPr="001468A9" w:rsidRDefault="00D47838" w:rsidP="007811F0">
            <w:pPr>
              <w:pStyle w:val="TblTextCenter"/>
              <w:rPr>
                <w:lang w:val="en-AU"/>
              </w:rPr>
            </w:pPr>
          </w:p>
        </w:tc>
        <w:tc>
          <w:tcPr>
            <w:tcW w:w="2351" w:type="dxa"/>
          </w:tcPr>
          <w:p w14:paraId="15D46E6F" w14:textId="381F9467" w:rsidR="00D47838" w:rsidRPr="001468A9" w:rsidRDefault="00D47838" w:rsidP="007811F0">
            <w:pPr>
              <w:pStyle w:val="TblTextCenter"/>
              <w:rPr>
                <w:lang w:val="en-AU"/>
              </w:rPr>
            </w:pPr>
            <w:r w:rsidRPr="001468A9">
              <w:rPr>
                <w:lang w:val="en-AU"/>
              </w:rPr>
              <w:t xml:space="preserve">83 (67.5) </w:t>
            </w:r>
          </w:p>
        </w:tc>
      </w:tr>
      <w:tr w:rsidR="00D47838" w:rsidRPr="00D63A4F" w14:paraId="16FDEFC4" w14:textId="77777777" w:rsidTr="00D47838">
        <w:tc>
          <w:tcPr>
            <w:tcW w:w="6799" w:type="dxa"/>
            <w:gridSpan w:val="2"/>
          </w:tcPr>
          <w:p w14:paraId="33A9762F" w14:textId="4BD2929F" w:rsidR="00D47838" w:rsidRPr="001468A9" w:rsidRDefault="00D47838" w:rsidP="007811F0">
            <w:pPr>
              <w:pStyle w:val="TblTextLeft"/>
              <w:rPr>
                <w:lang w:val="en-AU"/>
              </w:rPr>
            </w:pPr>
            <w:r w:rsidRPr="001468A9">
              <w:rPr>
                <w:lang w:val="en-AU"/>
              </w:rPr>
              <w:t xml:space="preserve">Daratumumab in any combination </w:t>
            </w:r>
          </w:p>
        </w:tc>
        <w:tc>
          <w:tcPr>
            <w:tcW w:w="2351" w:type="dxa"/>
          </w:tcPr>
          <w:p w14:paraId="1491DD24" w14:textId="77777777" w:rsidR="00D47838" w:rsidRPr="001468A9" w:rsidRDefault="00D47838" w:rsidP="007811F0">
            <w:pPr>
              <w:pStyle w:val="TblTextCenter"/>
              <w:rPr>
                <w:lang w:val="en-AU"/>
              </w:rPr>
            </w:pPr>
          </w:p>
        </w:tc>
        <w:tc>
          <w:tcPr>
            <w:tcW w:w="2351" w:type="dxa"/>
          </w:tcPr>
          <w:p w14:paraId="0727A552" w14:textId="7170EF1B" w:rsidR="00D47838" w:rsidRPr="001468A9" w:rsidRDefault="00D47838" w:rsidP="007811F0">
            <w:pPr>
              <w:pStyle w:val="TblTextCenter"/>
              <w:rPr>
                <w:lang w:val="en-AU"/>
              </w:rPr>
            </w:pPr>
            <w:r w:rsidRPr="001468A9">
              <w:rPr>
                <w:lang w:val="en-AU"/>
              </w:rPr>
              <w:t xml:space="preserve">86 (69.9) </w:t>
            </w:r>
          </w:p>
        </w:tc>
      </w:tr>
      <w:tr w:rsidR="00D47838" w:rsidRPr="00D63A4F" w14:paraId="7FA0B428" w14:textId="77777777" w:rsidTr="00D47838">
        <w:tc>
          <w:tcPr>
            <w:tcW w:w="6799" w:type="dxa"/>
            <w:gridSpan w:val="2"/>
          </w:tcPr>
          <w:p w14:paraId="7F4A46FB" w14:textId="55D5FA05" w:rsidR="00D47838" w:rsidRPr="001468A9" w:rsidRDefault="00D47838" w:rsidP="007811F0">
            <w:pPr>
              <w:pStyle w:val="TblTextLeft"/>
              <w:rPr>
                <w:lang w:val="en-AU"/>
              </w:rPr>
            </w:pPr>
            <w:r w:rsidRPr="001468A9">
              <w:rPr>
                <w:lang w:val="en-AU"/>
              </w:rPr>
              <w:t xml:space="preserve">Daratumumab in last prior regimen </w:t>
            </w:r>
          </w:p>
        </w:tc>
        <w:tc>
          <w:tcPr>
            <w:tcW w:w="2351" w:type="dxa"/>
          </w:tcPr>
          <w:p w14:paraId="5B6445B4" w14:textId="77777777" w:rsidR="00D47838" w:rsidRPr="001468A9" w:rsidRDefault="00D47838" w:rsidP="007811F0">
            <w:pPr>
              <w:pStyle w:val="TblTextCenter"/>
              <w:rPr>
                <w:lang w:val="en-AU"/>
              </w:rPr>
            </w:pPr>
          </w:p>
        </w:tc>
        <w:tc>
          <w:tcPr>
            <w:tcW w:w="2351" w:type="dxa"/>
          </w:tcPr>
          <w:p w14:paraId="5F920397" w14:textId="3ADD6B25" w:rsidR="00D47838" w:rsidRPr="001468A9" w:rsidRDefault="00D47838" w:rsidP="007811F0">
            <w:pPr>
              <w:pStyle w:val="TblTextCenter"/>
              <w:rPr>
                <w:lang w:val="en-AU"/>
              </w:rPr>
            </w:pPr>
            <w:r w:rsidRPr="001468A9">
              <w:rPr>
                <w:lang w:val="en-AU"/>
              </w:rPr>
              <w:t xml:space="preserve">58 (47.2) </w:t>
            </w:r>
          </w:p>
        </w:tc>
      </w:tr>
      <w:tr w:rsidR="00D47838" w:rsidRPr="00D63A4F" w14:paraId="475C27E7" w14:textId="77777777" w:rsidTr="00D47838">
        <w:tc>
          <w:tcPr>
            <w:tcW w:w="6799" w:type="dxa"/>
            <w:gridSpan w:val="2"/>
          </w:tcPr>
          <w:p w14:paraId="5B4E1BF3" w14:textId="77777777" w:rsidR="00D47838" w:rsidRPr="001468A9" w:rsidRDefault="00D47838" w:rsidP="007811F0">
            <w:pPr>
              <w:pStyle w:val="TblHeadingLeft"/>
              <w:rPr>
                <w:noProof w:val="0"/>
                <w:lang w:val="en-AU"/>
              </w:rPr>
            </w:pPr>
            <w:r w:rsidRPr="001468A9">
              <w:rPr>
                <w:noProof w:val="0"/>
                <w:lang w:val="en-AU"/>
              </w:rPr>
              <w:t>Previous stem cell transplant</w:t>
            </w:r>
            <w:r w:rsidRPr="001468A9">
              <w:rPr>
                <w:noProof w:val="0"/>
                <w:vertAlign w:val="superscript"/>
                <w:lang w:val="en-AU"/>
              </w:rPr>
              <w:t>1</w:t>
            </w:r>
            <w:r w:rsidRPr="001468A9">
              <w:rPr>
                <w:noProof w:val="0"/>
                <w:lang w:val="en-AU"/>
              </w:rPr>
              <w:t xml:space="preserve">, n (%) </w:t>
            </w:r>
          </w:p>
          <w:p w14:paraId="20FF0118" w14:textId="5E93113E" w:rsidR="00D47838" w:rsidRPr="001468A9" w:rsidRDefault="00D47838" w:rsidP="007811F0">
            <w:pPr>
              <w:pStyle w:val="TblTextLeft"/>
              <w:rPr>
                <w:lang w:val="en-AU"/>
              </w:rPr>
            </w:pPr>
            <w:r w:rsidRPr="001468A9">
              <w:rPr>
                <w:lang w:val="en-AU"/>
              </w:rPr>
              <w:t xml:space="preserve">≥2 transplants </w:t>
            </w:r>
          </w:p>
        </w:tc>
        <w:tc>
          <w:tcPr>
            <w:tcW w:w="2351" w:type="dxa"/>
          </w:tcPr>
          <w:p w14:paraId="26E92D54" w14:textId="77777777" w:rsidR="00D47838" w:rsidRPr="001468A9" w:rsidRDefault="00D47838" w:rsidP="007811F0">
            <w:pPr>
              <w:pStyle w:val="TblTextCenter"/>
              <w:rPr>
                <w:lang w:val="en-AU"/>
              </w:rPr>
            </w:pPr>
          </w:p>
        </w:tc>
        <w:tc>
          <w:tcPr>
            <w:tcW w:w="2351" w:type="dxa"/>
          </w:tcPr>
          <w:p w14:paraId="4B095ACE" w14:textId="30D2ED5F" w:rsidR="00D47838" w:rsidRPr="001468A9" w:rsidRDefault="00D47838" w:rsidP="007811F0">
            <w:pPr>
              <w:pStyle w:val="TblTextCenter"/>
              <w:rPr>
                <w:lang w:val="en-AU"/>
              </w:rPr>
            </w:pPr>
            <w:r w:rsidRPr="001468A9">
              <w:rPr>
                <w:lang w:val="en-AU"/>
              </w:rPr>
              <w:t xml:space="preserve">102 (83%) </w:t>
            </w:r>
          </w:p>
          <w:p w14:paraId="71D9B0AF" w14:textId="40ED5E2A" w:rsidR="00D47838" w:rsidRPr="001468A9" w:rsidRDefault="00D47838" w:rsidP="007811F0">
            <w:pPr>
              <w:pStyle w:val="TblTextCenter"/>
              <w:rPr>
                <w:lang w:val="en-AU"/>
              </w:rPr>
            </w:pPr>
            <w:r w:rsidRPr="001468A9">
              <w:rPr>
                <w:lang w:val="en-AU"/>
              </w:rPr>
              <w:t xml:space="preserve">29 (28%) </w:t>
            </w:r>
          </w:p>
        </w:tc>
      </w:tr>
      <w:tr w:rsidR="00D47838" w:rsidRPr="00D63A4F" w14:paraId="03E3EC51" w14:textId="77777777" w:rsidTr="00D47838">
        <w:tc>
          <w:tcPr>
            <w:tcW w:w="6799" w:type="dxa"/>
            <w:gridSpan w:val="2"/>
          </w:tcPr>
          <w:p w14:paraId="08BB8334" w14:textId="6D42361D" w:rsidR="00D47838" w:rsidRPr="001468A9" w:rsidRDefault="00D47838" w:rsidP="007811F0">
            <w:pPr>
              <w:pStyle w:val="TblHeadingLeft"/>
              <w:rPr>
                <w:noProof w:val="0"/>
                <w:lang w:val="en-AU"/>
              </w:rPr>
            </w:pPr>
            <w:r w:rsidRPr="001468A9">
              <w:rPr>
                <w:noProof w:val="0"/>
                <w:lang w:val="en-AU"/>
              </w:rPr>
              <w:t>Intensive combination chemotherapy (</w:t>
            </w:r>
            <w:proofErr w:type="spellStart"/>
            <w:proofErr w:type="gramStart"/>
            <w:r w:rsidRPr="001468A9">
              <w:rPr>
                <w:noProof w:val="0"/>
                <w:lang w:val="en-AU"/>
              </w:rPr>
              <w:t>eg</w:t>
            </w:r>
            <w:proofErr w:type="spellEnd"/>
            <w:proofErr w:type="gramEnd"/>
            <w:r w:rsidRPr="001468A9">
              <w:rPr>
                <w:noProof w:val="0"/>
                <w:lang w:val="en-AU"/>
              </w:rPr>
              <w:t xml:space="preserve"> DT-PACE) </w:t>
            </w:r>
          </w:p>
        </w:tc>
        <w:tc>
          <w:tcPr>
            <w:tcW w:w="2351" w:type="dxa"/>
          </w:tcPr>
          <w:p w14:paraId="7F99017D" w14:textId="77777777" w:rsidR="00D47838" w:rsidRPr="001468A9" w:rsidRDefault="00D47838" w:rsidP="007811F0">
            <w:pPr>
              <w:pStyle w:val="TblTextCenter"/>
              <w:rPr>
                <w:lang w:val="en-AU"/>
              </w:rPr>
            </w:pPr>
          </w:p>
        </w:tc>
        <w:tc>
          <w:tcPr>
            <w:tcW w:w="2351" w:type="dxa"/>
          </w:tcPr>
          <w:p w14:paraId="1CA51359" w14:textId="5A7CC4DC" w:rsidR="00D47838" w:rsidRPr="001468A9" w:rsidRDefault="00D47838" w:rsidP="007811F0">
            <w:pPr>
              <w:pStyle w:val="TblTextCenter"/>
              <w:rPr>
                <w:lang w:val="en-AU"/>
              </w:rPr>
            </w:pPr>
            <w:r w:rsidRPr="001468A9">
              <w:rPr>
                <w:lang w:val="en-AU"/>
              </w:rPr>
              <w:t xml:space="preserve">32 (26%) </w:t>
            </w:r>
          </w:p>
        </w:tc>
      </w:tr>
      <w:tr w:rsidR="00D47838" w:rsidRPr="00D63A4F" w14:paraId="1FF43A42" w14:textId="77777777" w:rsidTr="00D47838">
        <w:tc>
          <w:tcPr>
            <w:tcW w:w="6799" w:type="dxa"/>
            <w:gridSpan w:val="2"/>
          </w:tcPr>
          <w:p w14:paraId="667CDB7A" w14:textId="77F62744" w:rsidR="00D47838" w:rsidRPr="001468A9" w:rsidRDefault="00D47838" w:rsidP="007811F0">
            <w:pPr>
              <w:pStyle w:val="TblHeadingLeft"/>
              <w:rPr>
                <w:noProof w:val="0"/>
                <w:lang w:val="en-AU"/>
              </w:rPr>
            </w:pPr>
            <w:r w:rsidRPr="001468A9">
              <w:rPr>
                <w:noProof w:val="0"/>
                <w:lang w:val="en-AU"/>
              </w:rPr>
              <w:t xml:space="preserve">CAR-T Cell Therapy </w:t>
            </w:r>
          </w:p>
        </w:tc>
        <w:tc>
          <w:tcPr>
            <w:tcW w:w="2351" w:type="dxa"/>
          </w:tcPr>
          <w:p w14:paraId="0C0A764A" w14:textId="77777777" w:rsidR="00D47838" w:rsidRPr="001468A9" w:rsidRDefault="00D47838" w:rsidP="007811F0">
            <w:pPr>
              <w:pStyle w:val="TblTextCenter"/>
              <w:rPr>
                <w:lang w:val="en-AU"/>
              </w:rPr>
            </w:pPr>
          </w:p>
        </w:tc>
        <w:tc>
          <w:tcPr>
            <w:tcW w:w="2351" w:type="dxa"/>
          </w:tcPr>
          <w:p w14:paraId="5EFCB68D" w14:textId="2BDB02E3" w:rsidR="00D47838" w:rsidRPr="001468A9" w:rsidRDefault="00D47838" w:rsidP="007811F0">
            <w:pPr>
              <w:pStyle w:val="TblTextCenter"/>
              <w:rPr>
                <w:lang w:val="en-AU"/>
              </w:rPr>
            </w:pPr>
            <w:r w:rsidRPr="001468A9">
              <w:rPr>
                <w:lang w:val="en-AU"/>
              </w:rPr>
              <w:t xml:space="preserve">2 (2%) </w:t>
            </w:r>
          </w:p>
        </w:tc>
      </w:tr>
      <w:tr w:rsidR="00D47838" w:rsidRPr="00D63A4F" w14:paraId="1697903E" w14:textId="77777777" w:rsidTr="00D47838">
        <w:tc>
          <w:tcPr>
            <w:tcW w:w="6799" w:type="dxa"/>
            <w:gridSpan w:val="2"/>
          </w:tcPr>
          <w:p w14:paraId="46C502BD" w14:textId="2ACEB68D" w:rsidR="00D47838" w:rsidRPr="001468A9" w:rsidRDefault="00D47838" w:rsidP="007811F0">
            <w:pPr>
              <w:pStyle w:val="TblHeadingLeft"/>
              <w:rPr>
                <w:noProof w:val="0"/>
                <w:lang w:val="en-AU"/>
              </w:rPr>
            </w:pPr>
            <w:r w:rsidRPr="001468A9">
              <w:rPr>
                <w:noProof w:val="0"/>
                <w:lang w:val="en-AU"/>
              </w:rPr>
              <w:t xml:space="preserve">Revised Integrated Staging System at baseline, n (%) </w:t>
            </w:r>
          </w:p>
        </w:tc>
        <w:tc>
          <w:tcPr>
            <w:tcW w:w="2351" w:type="dxa"/>
          </w:tcPr>
          <w:p w14:paraId="33E9EDC2" w14:textId="77777777" w:rsidR="00D47838" w:rsidRPr="001468A9" w:rsidRDefault="00D47838" w:rsidP="007811F0">
            <w:pPr>
              <w:pStyle w:val="TblTextCenter"/>
              <w:rPr>
                <w:lang w:val="en-AU"/>
              </w:rPr>
            </w:pPr>
          </w:p>
        </w:tc>
        <w:tc>
          <w:tcPr>
            <w:tcW w:w="2351" w:type="dxa"/>
          </w:tcPr>
          <w:p w14:paraId="0F06E54E" w14:textId="0868B4BA" w:rsidR="00D47838" w:rsidRPr="001468A9" w:rsidRDefault="00D47838" w:rsidP="007811F0">
            <w:pPr>
              <w:pStyle w:val="TblTextCenter"/>
              <w:rPr>
                <w:lang w:val="en-AU"/>
              </w:rPr>
            </w:pPr>
          </w:p>
        </w:tc>
      </w:tr>
      <w:tr w:rsidR="00D47838" w:rsidRPr="00D63A4F" w14:paraId="4DFB8846" w14:textId="77777777" w:rsidTr="00D47838">
        <w:tc>
          <w:tcPr>
            <w:tcW w:w="6799" w:type="dxa"/>
            <w:gridSpan w:val="2"/>
          </w:tcPr>
          <w:p w14:paraId="51A6874B" w14:textId="044C7E8A" w:rsidR="00D47838" w:rsidRPr="001468A9" w:rsidRDefault="00D47838" w:rsidP="007811F0">
            <w:pPr>
              <w:pStyle w:val="TblTextLeft"/>
              <w:rPr>
                <w:lang w:val="en-AU"/>
              </w:rPr>
            </w:pPr>
            <w:r w:rsidRPr="001468A9">
              <w:rPr>
                <w:lang w:val="en-AU"/>
              </w:rPr>
              <w:t xml:space="preserve">I </w:t>
            </w:r>
          </w:p>
        </w:tc>
        <w:tc>
          <w:tcPr>
            <w:tcW w:w="2351" w:type="dxa"/>
          </w:tcPr>
          <w:p w14:paraId="77C416DA" w14:textId="77777777" w:rsidR="00D47838" w:rsidRPr="001468A9" w:rsidRDefault="00D47838" w:rsidP="007811F0">
            <w:pPr>
              <w:pStyle w:val="TblTextCenter"/>
              <w:rPr>
                <w:lang w:val="en-AU"/>
              </w:rPr>
            </w:pPr>
          </w:p>
        </w:tc>
        <w:tc>
          <w:tcPr>
            <w:tcW w:w="2351" w:type="dxa"/>
          </w:tcPr>
          <w:p w14:paraId="7CA12B00" w14:textId="3052E912" w:rsidR="00D47838" w:rsidRPr="001468A9" w:rsidRDefault="00D47838" w:rsidP="007811F0">
            <w:pPr>
              <w:pStyle w:val="TblTextCenter"/>
              <w:rPr>
                <w:lang w:val="en-AU"/>
              </w:rPr>
            </w:pPr>
            <w:r w:rsidRPr="001468A9">
              <w:rPr>
                <w:lang w:val="en-AU"/>
              </w:rPr>
              <w:t xml:space="preserve">20 (16.3) </w:t>
            </w:r>
          </w:p>
        </w:tc>
      </w:tr>
      <w:tr w:rsidR="00D47838" w:rsidRPr="00D63A4F" w14:paraId="3DF56625" w14:textId="77777777" w:rsidTr="00D47838">
        <w:tc>
          <w:tcPr>
            <w:tcW w:w="6799" w:type="dxa"/>
            <w:gridSpan w:val="2"/>
          </w:tcPr>
          <w:p w14:paraId="15628376" w14:textId="472F4CCA" w:rsidR="00D47838" w:rsidRPr="001468A9" w:rsidRDefault="00D47838" w:rsidP="007811F0">
            <w:pPr>
              <w:pStyle w:val="TblTextLeft"/>
              <w:rPr>
                <w:lang w:val="en-AU"/>
              </w:rPr>
            </w:pPr>
            <w:r w:rsidRPr="001468A9">
              <w:rPr>
                <w:lang w:val="en-AU"/>
              </w:rPr>
              <w:t xml:space="preserve">II </w:t>
            </w:r>
          </w:p>
        </w:tc>
        <w:tc>
          <w:tcPr>
            <w:tcW w:w="2351" w:type="dxa"/>
          </w:tcPr>
          <w:p w14:paraId="765481BC" w14:textId="77777777" w:rsidR="00D47838" w:rsidRPr="001468A9" w:rsidRDefault="00D47838" w:rsidP="007811F0">
            <w:pPr>
              <w:pStyle w:val="TblTextCenter"/>
              <w:rPr>
                <w:lang w:val="en-AU"/>
              </w:rPr>
            </w:pPr>
          </w:p>
        </w:tc>
        <w:tc>
          <w:tcPr>
            <w:tcW w:w="2351" w:type="dxa"/>
          </w:tcPr>
          <w:p w14:paraId="7F5A1570" w14:textId="38AD95B1" w:rsidR="00D47838" w:rsidRPr="001468A9" w:rsidRDefault="00D47838" w:rsidP="007811F0">
            <w:pPr>
              <w:pStyle w:val="TblTextCenter"/>
              <w:rPr>
                <w:lang w:val="en-AU"/>
              </w:rPr>
            </w:pPr>
            <w:r w:rsidRPr="001468A9">
              <w:rPr>
                <w:lang w:val="en-AU"/>
              </w:rPr>
              <w:t xml:space="preserve">79 (64.2) </w:t>
            </w:r>
          </w:p>
        </w:tc>
      </w:tr>
      <w:tr w:rsidR="00D47838" w:rsidRPr="00D63A4F" w14:paraId="32F23321" w14:textId="77777777" w:rsidTr="00D47838">
        <w:tc>
          <w:tcPr>
            <w:tcW w:w="6799" w:type="dxa"/>
            <w:gridSpan w:val="2"/>
          </w:tcPr>
          <w:p w14:paraId="06FD2CCF" w14:textId="64F6FB99" w:rsidR="00D47838" w:rsidRPr="001468A9" w:rsidRDefault="00D47838" w:rsidP="007811F0">
            <w:pPr>
              <w:pStyle w:val="TblTextLeft"/>
              <w:rPr>
                <w:lang w:val="en-AU"/>
              </w:rPr>
            </w:pPr>
            <w:r w:rsidRPr="001468A9">
              <w:rPr>
                <w:lang w:val="en-AU"/>
              </w:rPr>
              <w:t xml:space="preserve">III </w:t>
            </w:r>
          </w:p>
        </w:tc>
        <w:tc>
          <w:tcPr>
            <w:tcW w:w="2351" w:type="dxa"/>
          </w:tcPr>
          <w:p w14:paraId="2194D56B" w14:textId="77777777" w:rsidR="00D47838" w:rsidRPr="001468A9" w:rsidRDefault="00D47838" w:rsidP="007811F0">
            <w:pPr>
              <w:pStyle w:val="TblTextCenter"/>
              <w:rPr>
                <w:lang w:val="en-AU"/>
              </w:rPr>
            </w:pPr>
          </w:p>
        </w:tc>
        <w:tc>
          <w:tcPr>
            <w:tcW w:w="2351" w:type="dxa"/>
          </w:tcPr>
          <w:p w14:paraId="39ACBD98" w14:textId="230212B8" w:rsidR="00D47838" w:rsidRPr="001468A9" w:rsidRDefault="00D47838" w:rsidP="007811F0">
            <w:pPr>
              <w:pStyle w:val="TblTextCenter"/>
              <w:rPr>
                <w:lang w:val="en-AU"/>
              </w:rPr>
            </w:pPr>
            <w:r w:rsidRPr="001468A9">
              <w:rPr>
                <w:lang w:val="en-AU"/>
              </w:rPr>
              <w:t xml:space="preserve">23 (18.7) </w:t>
            </w:r>
          </w:p>
        </w:tc>
      </w:tr>
      <w:tr w:rsidR="00D47838" w:rsidRPr="00D63A4F" w14:paraId="11094F57" w14:textId="77777777" w:rsidTr="00D47838">
        <w:tc>
          <w:tcPr>
            <w:tcW w:w="6799" w:type="dxa"/>
            <w:gridSpan w:val="2"/>
          </w:tcPr>
          <w:p w14:paraId="6BE987D8" w14:textId="2DF3A474" w:rsidR="00D47838" w:rsidRPr="001468A9" w:rsidRDefault="00D47838" w:rsidP="007811F0">
            <w:pPr>
              <w:pStyle w:val="TblTextLeft"/>
              <w:rPr>
                <w:lang w:val="en-AU"/>
              </w:rPr>
            </w:pPr>
            <w:r w:rsidRPr="001468A9">
              <w:rPr>
                <w:lang w:val="en-AU"/>
              </w:rPr>
              <w:t xml:space="preserve">Unknown </w:t>
            </w:r>
          </w:p>
        </w:tc>
        <w:tc>
          <w:tcPr>
            <w:tcW w:w="2351" w:type="dxa"/>
          </w:tcPr>
          <w:p w14:paraId="635AC7D2" w14:textId="77777777" w:rsidR="00D47838" w:rsidRPr="001468A9" w:rsidRDefault="00D47838" w:rsidP="007811F0">
            <w:pPr>
              <w:pStyle w:val="TblTextCenter"/>
              <w:rPr>
                <w:lang w:val="en-AU"/>
              </w:rPr>
            </w:pPr>
          </w:p>
        </w:tc>
        <w:tc>
          <w:tcPr>
            <w:tcW w:w="2351" w:type="dxa"/>
          </w:tcPr>
          <w:p w14:paraId="790D5F2E" w14:textId="65CC22AA" w:rsidR="00D47838" w:rsidRPr="001468A9" w:rsidRDefault="00D47838" w:rsidP="007811F0">
            <w:pPr>
              <w:pStyle w:val="TblTextCenter"/>
              <w:rPr>
                <w:lang w:val="en-AU"/>
              </w:rPr>
            </w:pPr>
            <w:r w:rsidRPr="001468A9">
              <w:rPr>
                <w:lang w:val="en-AU"/>
              </w:rPr>
              <w:t xml:space="preserve">1 (0.8) </w:t>
            </w:r>
          </w:p>
        </w:tc>
      </w:tr>
      <w:tr w:rsidR="00D47838" w:rsidRPr="00D63A4F" w14:paraId="5A0AFE90" w14:textId="77777777" w:rsidTr="00D47838">
        <w:tc>
          <w:tcPr>
            <w:tcW w:w="6799" w:type="dxa"/>
            <w:gridSpan w:val="2"/>
          </w:tcPr>
          <w:p w14:paraId="56E8BA8D" w14:textId="6D78D979" w:rsidR="00D47838" w:rsidRPr="001468A9" w:rsidRDefault="00D47838" w:rsidP="007811F0">
            <w:pPr>
              <w:pStyle w:val="TblHeadingLeft"/>
              <w:rPr>
                <w:noProof w:val="0"/>
                <w:lang w:val="en-AU"/>
              </w:rPr>
            </w:pPr>
            <w:r w:rsidRPr="001468A9">
              <w:rPr>
                <w:noProof w:val="0"/>
                <w:lang w:val="en-AU"/>
              </w:rPr>
              <w:t xml:space="preserve">Creatinine clearance &lt; 60 mL/min </w:t>
            </w:r>
          </w:p>
        </w:tc>
        <w:tc>
          <w:tcPr>
            <w:tcW w:w="2351" w:type="dxa"/>
          </w:tcPr>
          <w:p w14:paraId="109C94BD" w14:textId="77777777" w:rsidR="00D47838" w:rsidRPr="001468A9" w:rsidRDefault="00D47838" w:rsidP="007811F0">
            <w:pPr>
              <w:pStyle w:val="TblTextCenter"/>
              <w:rPr>
                <w:lang w:val="en-AU"/>
              </w:rPr>
            </w:pPr>
          </w:p>
        </w:tc>
        <w:tc>
          <w:tcPr>
            <w:tcW w:w="2351" w:type="dxa"/>
          </w:tcPr>
          <w:p w14:paraId="3949A9FC" w14:textId="2CB0AAFE" w:rsidR="00D47838" w:rsidRPr="001468A9" w:rsidRDefault="00D47838" w:rsidP="007811F0">
            <w:pPr>
              <w:pStyle w:val="TblTextCenter"/>
              <w:rPr>
                <w:lang w:val="en-AU"/>
              </w:rPr>
            </w:pPr>
            <w:r w:rsidRPr="001468A9">
              <w:rPr>
                <w:lang w:val="en-AU"/>
              </w:rPr>
              <w:t xml:space="preserve">40 (32.5%) </w:t>
            </w:r>
          </w:p>
        </w:tc>
      </w:tr>
      <w:tr w:rsidR="00D47838" w:rsidRPr="00D63A4F" w14:paraId="01C55E37" w14:textId="77777777" w:rsidTr="00D47838">
        <w:tc>
          <w:tcPr>
            <w:tcW w:w="6799" w:type="dxa"/>
            <w:gridSpan w:val="2"/>
          </w:tcPr>
          <w:p w14:paraId="25C545D1" w14:textId="77777777" w:rsidR="00D47838" w:rsidRPr="001468A9" w:rsidRDefault="00D47838" w:rsidP="007811F0">
            <w:pPr>
              <w:pStyle w:val="TblHeadingLeft"/>
              <w:rPr>
                <w:noProof w:val="0"/>
                <w:lang w:val="en-AU"/>
              </w:rPr>
            </w:pPr>
            <w:r w:rsidRPr="001468A9">
              <w:rPr>
                <w:noProof w:val="0"/>
                <w:lang w:val="en-AU"/>
              </w:rPr>
              <w:t xml:space="preserve">High-risk cytogenetics </w:t>
            </w:r>
          </w:p>
          <w:p w14:paraId="25A6A558" w14:textId="1C1439FF" w:rsidR="00D47838" w:rsidRPr="001468A9" w:rsidRDefault="00D47838" w:rsidP="007811F0">
            <w:pPr>
              <w:pStyle w:val="TblTextLeft"/>
              <w:rPr>
                <w:lang w:val="en-AU"/>
              </w:rPr>
            </w:pPr>
            <w:r w:rsidRPr="001468A9">
              <w:rPr>
                <w:lang w:val="en-AU"/>
              </w:rPr>
              <w:t xml:space="preserve">(includes any of del(17p)/p53, </w:t>
            </w:r>
            <w:proofErr w:type="gramStart"/>
            <w:r w:rsidRPr="001468A9">
              <w:rPr>
                <w:lang w:val="en-AU"/>
              </w:rPr>
              <w:t>t(</w:t>
            </w:r>
            <w:proofErr w:type="gramEnd"/>
            <w:r w:rsidRPr="001468A9">
              <w:rPr>
                <w:lang w:val="en-AU"/>
              </w:rPr>
              <w:t xml:space="preserve">14; 16), t(4; 14), or 1q21) </w:t>
            </w:r>
          </w:p>
        </w:tc>
        <w:tc>
          <w:tcPr>
            <w:tcW w:w="2351" w:type="dxa"/>
          </w:tcPr>
          <w:p w14:paraId="20BB0AC2" w14:textId="77777777" w:rsidR="00D47838" w:rsidRPr="001468A9" w:rsidRDefault="00D47838" w:rsidP="007811F0">
            <w:pPr>
              <w:pStyle w:val="TblTextCenter"/>
              <w:rPr>
                <w:lang w:val="en-AU"/>
              </w:rPr>
            </w:pPr>
          </w:p>
        </w:tc>
        <w:tc>
          <w:tcPr>
            <w:tcW w:w="2351" w:type="dxa"/>
          </w:tcPr>
          <w:p w14:paraId="0521EE73" w14:textId="6202CE8E" w:rsidR="00D47838" w:rsidRPr="001468A9" w:rsidRDefault="00D47838" w:rsidP="007811F0">
            <w:pPr>
              <w:pStyle w:val="TblTextCenter"/>
              <w:rPr>
                <w:lang w:val="en-AU"/>
              </w:rPr>
            </w:pPr>
            <w:r w:rsidRPr="001468A9">
              <w:rPr>
                <w:lang w:val="en-AU"/>
              </w:rPr>
              <w:t xml:space="preserve">65 (53) </w:t>
            </w:r>
          </w:p>
        </w:tc>
      </w:tr>
      <w:tr w:rsidR="00D47838" w:rsidRPr="00D63A4F" w14:paraId="65BEF838" w14:textId="77777777" w:rsidTr="00D47838">
        <w:tc>
          <w:tcPr>
            <w:tcW w:w="6799" w:type="dxa"/>
            <w:gridSpan w:val="2"/>
          </w:tcPr>
          <w:p w14:paraId="60B0A1CD" w14:textId="0CA3A8D0" w:rsidR="00D47838" w:rsidRPr="001468A9" w:rsidRDefault="00D47838" w:rsidP="007811F0">
            <w:pPr>
              <w:pStyle w:val="TblHeadingLeft"/>
              <w:rPr>
                <w:noProof w:val="0"/>
                <w:lang w:val="en-AU"/>
              </w:rPr>
            </w:pPr>
            <w:r w:rsidRPr="001468A9">
              <w:rPr>
                <w:noProof w:val="0"/>
                <w:lang w:val="en-AU"/>
              </w:rPr>
              <w:t xml:space="preserve">MM subtype: FLC </w:t>
            </w:r>
          </w:p>
        </w:tc>
        <w:tc>
          <w:tcPr>
            <w:tcW w:w="2351" w:type="dxa"/>
          </w:tcPr>
          <w:p w14:paraId="6F96023F" w14:textId="77777777" w:rsidR="00D47838" w:rsidRPr="001468A9" w:rsidRDefault="00D47838" w:rsidP="007811F0">
            <w:pPr>
              <w:pStyle w:val="TblTextCenter"/>
              <w:rPr>
                <w:lang w:val="en-AU"/>
              </w:rPr>
            </w:pPr>
          </w:p>
        </w:tc>
        <w:tc>
          <w:tcPr>
            <w:tcW w:w="2351" w:type="dxa"/>
          </w:tcPr>
          <w:p w14:paraId="733C275C" w14:textId="429880E7" w:rsidR="00D47838" w:rsidRPr="001468A9" w:rsidRDefault="00D47838" w:rsidP="007811F0">
            <w:pPr>
              <w:pStyle w:val="TblTextCenter"/>
              <w:rPr>
                <w:lang w:val="en-AU"/>
              </w:rPr>
            </w:pPr>
            <w:r w:rsidRPr="001468A9">
              <w:rPr>
                <w:lang w:val="en-AU"/>
              </w:rPr>
              <w:t xml:space="preserve">35 (29%) </w:t>
            </w:r>
          </w:p>
        </w:tc>
      </w:tr>
      <w:tr w:rsidR="00D47838" w:rsidRPr="00D63A4F" w14:paraId="49575002" w14:textId="77777777" w:rsidTr="00D47838">
        <w:tc>
          <w:tcPr>
            <w:tcW w:w="6799" w:type="dxa"/>
            <w:gridSpan w:val="2"/>
          </w:tcPr>
          <w:p w14:paraId="2E7A765A" w14:textId="168DA610" w:rsidR="00D47838" w:rsidRPr="001468A9" w:rsidRDefault="00D47838" w:rsidP="007811F0">
            <w:pPr>
              <w:pStyle w:val="TblHeadingLeft"/>
              <w:rPr>
                <w:noProof w:val="0"/>
                <w:lang w:val="en-AU"/>
              </w:rPr>
            </w:pPr>
            <w:r w:rsidRPr="001468A9">
              <w:rPr>
                <w:noProof w:val="0"/>
                <w:lang w:val="en-AU"/>
              </w:rPr>
              <w:t xml:space="preserve">ECOG performance status: 0 to 1 </w:t>
            </w:r>
          </w:p>
        </w:tc>
        <w:tc>
          <w:tcPr>
            <w:tcW w:w="2351" w:type="dxa"/>
          </w:tcPr>
          <w:p w14:paraId="1CBE370A" w14:textId="77777777" w:rsidR="00D47838" w:rsidRPr="001468A9" w:rsidRDefault="00D47838" w:rsidP="007811F0">
            <w:pPr>
              <w:pStyle w:val="TblTextCenter"/>
              <w:rPr>
                <w:lang w:val="en-AU"/>
              </w:rPr>
            </w:pPr>
          </w:p>
        </w:tc>
        <w:tc>
          <w:tcPr>
            <w:tcW w:w="2351" w:type="dxa"/>
          </w:tcPr>
          <w:p w14:paraId="2B1B173D" w14:textId="68E10D0A" w:rsidR="00D47838" w:rsidRPr="001468A9" w:rsidRDefault="00D47838" w:rsidP="007811F0">
            <w:pPr>
              <w:pStyle w:val="TblTextCenter"/>
              <w:rPr>
                <w:lang w:val="en-AU"/>
              </w:rPr>
            </w:pPr>
            <w:r w:rsidRPr="001468A9">
              <w:rPr>
                <w:lang w:val="en-AU"/>
              </w:rPr>
              <w:t xml:space="preserve">88.5% </w:t>
            </w:r>
          </w:p>
        </w:tc>
      </w:tr>
      <w:tr w:rsidR="00D47838" w:rsidRPr="00D63A4F" w14:paraId="76A5FD3B" w14:textId="77777777" w:rsidTr="00D47838">
        <w:tc>
          <w:tcPr>
            <w:tcW w:w="6799" w:type="dxa"/>
            <w:gridSpan w:val="2"/>
          </w:tcPr>
          <w:p w14:paraId="51A46044" w14:textId="53063169" w:rsidR="00D47838" w:rsidRPr="001468A9" w:rsidRDefault="00D47838" w:rsidP="007811F0">
            <w:pPr>
              <w:pStyle w:val="TblHeadingLeft"/>
              <w:rPr>
                <w:noProof w:val="0"/>
                <w:lang w:val="en-AU"/>
              </w:rPr>
            </w:pPr>
            <w:r w:rsidRPr="001468A9">
              <w:rPr>
                <w:noProof w:val="0"/>
                <w:lang w:val="en-AU"/>
              </w:rPr>
              <w:t xml:space="preserve">Changes in multiple myeloma markers (SPEP, UPEP, or FLC) between screening and first dose </w:t>
            </w:r>
          </w:p>
        </w:tc>
        <w:tc>
          <w:tcPr>
            <w:tcW w:w="2351" w:type="dxa"/>
          </w:tcPr>
          <w:p w14:paraId="16353D86" w14:textId="77777777" w:rsidR="00D47838" w:rsidRPr="001468A9" w:rsidRDefault="00D47838" w:rsidP="007811F0">
            <w:pPr>
              <w:pStyle w:val="TblTextCenter"/>
              <w:rPr>
                <w:lang w:val="en-AU"/>
              </w:rPr>
            </w:pPr>
          </w:p>
        </w:tc>
        <w:tc>
          <w:tcPr>
            <w:tcW w:w="2351" w:type="dxa"/>
          </w:tcPr>
          <w:p w14:paraId="2A0E036C" w14:textId="48523E85" w:rsidR="00D47838" w:rsidRPr="001468A9" w:rsidRDefault="00D47838" w:rsidP="007811F0">
            <w:pPr>
              <w:pStyle w:val="TblTextCenter"/>
              <w:rPr>
                <w:lang w:val="en-AU"/>
              </w:rPr>
            </w:pPr>
            <w:r w:rsidRPr="001468A9">
              <w:rPr>
                <w:lang w:val="en-AU"/>
              </w:rPr>
              <w:t xml:space="preserve">Median: +22% in 12 days </w:t>
            </w:r>
          </w:p>
        </w:tc>
      </w:tr>
    </w:tbl>
    <w:p w14:paraId="17553FDF" w14:textId="2BD3B0E8" w:rsidR="007811F0" w:rsidRPr="001468A9" w:rsidRDefault="007811F0" w:rsidP="007811F0">
      <w:pPr>
        <w:pStyle w:val="TblFigFootnote"/>
        <w:rPr>
          <w:lang w:val="en-AU"/>
        </w:rPr>
      </w:pPr>
      <w:r w:rsidRPr="001468A9">
        <w:rPr>
          <w:vertAlign w:val="superscript"/>
          <w:lang w:val="en-AU"/>
        </w:rPr>
        <w:t>1</w:t>
      </w:r>
      <w:r w:rsidRPr="001468A9">
        <w:rPr>
          <w:lang w:val="en-AU"/>
        </w:rPr>
        <w:t>One patient had an allogenic stem cell transplant.</w:t>
      </w:r>
    </w:p>
    <w:p w14:paraId="4894175A" w14:textId="231704DD" w:rsidR="007811F0" w:rsidRPr="001468A9" w:rsidRDefault="007811F0" w:rsidP="007811F0">
      <w:pPr>
        <w:rPr>
          <w:lang w:val="en-AU"/>
        </w:rPr>
      </w:pPr>
      <w:r w:rsidRPr="001468A9">
        <w:rPr>
          <w:lang w:val="en-AU"/>
        </w:rPr>
        <w:t xml:space="preserve">The primary efficacy endpoint was overall response rate (ORR) as assessed by an Independent Review Committee based on the International Myeloma Working Group (IMWG) uniform response criteria for multiple myeloma. Responses were assessed monthly and as per IMWG guidelines. </w:t>
      </w:r>
      <w:r w:rsidR="0027282F">
        <w:rPr>
          <w:lang w:val="en-AU"/>
        </w:rPr>
        <w:t>S</w:t>
      </w:r>
      <w:r w:rsidRPr="001468A9">
        <w:rPr>
          <w:lang w:val="en-AU"/>
        </w:rPr>
        <w:t>econdary efficacy endpoint</w:t>
      </w:r>
      <w:r w:rsidR="0027282F">
        <w:rPr>
          <w:lang w:val="en-AU"/>
        </w:rPr>
        <w:t>s</w:t>
      </w:r>
      <w:r w:rsidRPr="001468A9">
        <w:rPr>
          <w:lang w:val="en-AU"/>
        </w:rPr>
        <w:t xml:space="preserve"> included </w:t>
      </w:r>
      <w:r w:rsidR="0027282F">
        <w:rPr>
          <w:lang w:val="en-AU"/>
        </w:rPr>
        <w:t>duration of response (DOR), defined as</w:t>
      </w:r>
      <w:r w:rsidR="0027282F" w:rsidRPr="0027282F">
        <w:rPr>
          <w:lang w:val="en-AU"/>
        </w:rPr>
        <w:t xml:space="preserve"> </w:t>
      </w:r>
      <w:r w:rsidR="0027282F" w:rsidRPr="001468A9">
        <w:rPr>
          <w:lang w:val="en-AU"/>
        </w:rPr>
        <w:t xml:space="preserve">defined the duration from start of </w:t>
      </w:r>
      <w:r w:rsidR="007E2215">
        <w:rPr>
          <w:lang w:val="en-AU"/>
        </w:rPr>
        <w:t>response</w:t>
      </w:r>
      <w:r w:rsidR="0027282F" w:rsidRPr="001468A9">
        <w:rPr>
          <w:lang w:val="en-AU"/>
        </w:rPr>
        <w:t xml:space="preserve"> to </w:t>
      </w:r>
      <w:r w:rsidR="0069618E">
        <w:rPr>
          <w:lang w:val="en-AU"/>
        </w:rPr>
        <w:t>disease progression, and</w:t>
      </w:r>
      <w:r w:rsidR="0027282F" w:rsidRPr="001468A9">
        <w:rPr>
          <w:lang w:val="en-AU"/>
        </w:rPr>
        <w:t xml:space="preserve"> </w:t>
      </w:r>
      <w:r w:rsidRPr="001468A9">
        <w:rPr>
          <w:lang w:val="en-AU"/>
        </w:rPr>
        <w:t xml:space="preserve">overall survival (OS), </w:t>
      </w:r>
      <w:bookmarkStart w:id="39" w:name="_Hlk53104898"/>
      <w:r w:rsidRPr="001468A9">
        <w:rPr>
          <w:lang w:val="en-AU"/>
        </w:rPr>
        <w:t>defined as the duration from</w:t>
      </w:r>
      <w:r w:rsidR="004F1996" w:rsidRPr="001468A9">
        <w:rPr>
          <w:lang w:val="en-AU"/>
        </w:rPr>
        <w:t xml:space="preserve"> start of study treatment to death </w:t>
      </w:r>
      <w:bookmarkEnd w:id="39"/>
      <w:r w:rsidR="004F1996" w:rsidRPr="001468A9">
        <w:rPr>
          <w:lang w:val="en-AU"/>
        </w:rPr>
        <w:t>due to any cause.</w:t>
      </w:r>
      <w:r w:rsidR="008204EF" w:rsidRPr="001468A9">
        <w:rPr>
          <w:lang w:val="en-AU"/>
        </w:rPr>
        <w:t xml:space="preserve"> </w:t>
      </w:r>
      <w:r w:rsidR="00EB38AB">
        <w:rPr>
          <w:lang w:val="en-AU"/>
        </w:rPr>
        <w:fldChar w:fldCharType="begin"/>
      </w:r>
      <w:r w:rsidR="00EB38AB">
        <w:rPr>
          <w:lang w:val="en-AU"/>
        </w:rPr>
        <w:instrText xml:space="preserve"> REF _Ref53993505 \h </w:instrText>
      </w:r>
      <w:r w:rsidR="00EB38AB">
        <w:rPr>
          <w:lang w:val="en-AU"/>
        </w:rPr>
      </w:r>
      <w:r w:rsidR="00EB38AB">
        <w:rPr>
          <w:lang w:val="en-AU"/>
        </w:rPr>
        <w:fldChar w:fldCharType="separate"/>
      </w:r>
      <w:r w:rsidR="00F53F5F">
        <w:t xml:space="preserve">Table </w:t>
      </w:r>
      <w:r w:rsidR="00F53F5F">
        <w:rPr>
          <w:noProof/>
        </w:rPr>
        <w:t>12</w:t>
      </w:r>
      <w:r w:rsidR="00EB38AB">
        <w:rPr>
          <w:lang w:val="en-AU"/>
        </w:rPr>
        <w:fldChar w:fldCharType="end"/>
      </w:r>
      <w:r w:rsidR="0027282F">
        <w:rPr>
          <w:lang w:val="en-AU"/>
        </w:rPr>
        <w:t xml:space="preserve"> </w:t>
      </w:r>
      <w:r w:rsidR="004F1996" w:rsidRPr="001468A9">
        <w:rPr>
          <w:lang w:val="en-AU"/>
        </w:rPr>
        <w:t>provides an overview of the efficacy results.</w:t>
      </w:r>
    </w:p>
    <w:p w14:paraId="7A47CA3A" w14:textId="442229DA" w:rsidR="004F1996" w:rsidRPr="001468A9" w:rsidRDefault="00EB38AB" w:rsidP="004F1996">
      <w:pPr>
        <w:pStyle w:val="Caption"/>
        <w:rPr>
          <w:lang w:val="en-AU"/>
        </w:rPr>
      </w:pPr>
      <w:bookmarkStart w:id="40" w:name="_Ref53993505"/>
      <w:bookmarkStart w:id="41" w:name="_Ref46993451"/>
      <w:r>
        <w:t xml:space="preserve">Table </w:t>
      </w:r>
      <w:r>
        <w:fldChar w:fldCharType="begin"/>
      </w:r>
      <w:r>
        <w:instrText xml:space="preserve"> SEQ Table \* ARABIC </w:instrText>
      </w:r>
      <w:r>
        <w:fldChar w:fldCharType="separate"/>
      </w:r>
      <w:r w:rsidR="00F53F5F">
        <w:rPr>
          <w:noProof/>
        </w:rPr>
        <w:t>12</w:t>
      </w:r>
      <w:r>
        <w:fldChar w:fldCharType="end"/>
      </w:r>
      <w:bookmarkEnd w:id="40"/>
      <w:r>
        <w:t>:</w:t>
      </w:r>
      <w:bookmarkEnd w:id="41"/>
      <w:r>
        <w:t xml:space="preserve"> </w:t>
      </w:r>
      <w:r w:rsidR="004F1996" w:rsidRPr="001468A9">
        <w:rPr>
          <w:lang w:val="en-AU"/>
        </w:rPr>
        <w:t xml:space="preserve">Efficacy </w:t>
      </w:r>
      <w:r w:rsidR="00D47838">
        <w:rPr>
          <w:lang w:val="en-AU"/>
        </w:rPr>
        <w:t>R</w:t>
      </w:r>
      <w:r w:rsidR="004F1996" w:rsidRPr="001468A9">
        <w:rPr>
          <w:lang w:val="en-AU"/>
        </w:rPr>
        <w:t xml:space="preserve">esults: </w:t>
      </w:r>
      <w:r w:rsidR="00D47838">
        <w:rPr>
          <w:lang w:val="en-AU"/>
        </w:rPr>
        <w:t>A</w:t>
      </w:r>
      <w:r w:rsidR="004F1996" w:rsidRPr="001468A9">
        <w:rPr>
          <w:lang w:val="en-AU"/>
        </w:rPr>
        <w:t>ssessed by Independent Review Committee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3768"/>
      </w:tblGrid>
      <w:tr w:rsidR="004F1996" w:rsidRPr="00D63A4F" w14:paraId="747ADAC2" w14:textId="77777777" w:rsidTr="004F1996">
        <w:trPr>
          <w:trHeight w:val="230"/>
          <w:tblHeader/>
        </w:trPr>
        <w:tc>
          <w:tcPr>
            <w:tcW w:w="2941" w:type="pct"/>
          </w:tcPr>
          <w:p w14:paraId="34CECD8D" w14:textId="382632F6" w:rsidR="004F1996" w:rsidRPr="001468A9" w:rsidRDefault="004F1996" w:rsidP="004F1996">
            <w:pPr>
              <w:pStyle w:val="TblHeadingLeft"/>
              <w:rPr>
                <w:noProof w:val="0"/>
                <w:lang w:val="en-AU"/>
              </w:rPr>
            </w:pPr>
            <w:r w:rsidRPr="001468A9">
              <w:rPr>
                <w:noProof w:val="0"/>
                <w:lang w:val="en-AU"/>
              </w:rPr>
              <w:t xml:space="preserve">Efficacy endpoint </w:t>
            </w:r>
          </w:p>
        </w:tc>
        <w:tc>
          <w:tcPr>
            <w:tcW w:w="2059" w:type="pct"/>
          </w:tcPr>
          <w:p w14:paraId="7CB05A95" w14:textId="77777777" w:rsidR="004F1996" w:rsidRPr="001468A9" w:rsidRDefault="004F1996" w:rsidP="004F1996">
            <w:pPr>
              <w:pStyle w:val="TblHeadingCenter"/>
              <w:rPr>
                <w:noProof w:val="0"/>
                <w:lang w:val="en-AU"/>
              </w:rPr>
            </w:pPr>
            <w:r w:rsidRPr="001468A9">
              <w:rPr>
                <w:noProof w:val="0"/>
                <w:lang w:val="en-AU"/>
              </w:rPr>
              <w:t xml:space="preserve">XPOVIO 80 mg + dexamethasone 20 mg </w:t>
            </w:r>
          </w:p>
          <w:p w14:paraId="14900775" w14:textId="77777777" w:rsidR="004F1996" w:rsidRPr="001468A9" w:rsidRDefault="004F1996" w:rsidP="004F1996">
            <w:pPr>
              <w:pStyle w:val="TblHeadingCenter"/>
              <w:rPr>
                <w:noProof w:val="0"/>
                <w:lang w:val="en-AU"/>
              </w:rPr>
            </w:pPr>
            <w:r w:rsidRPr="001468A9">
              <w:rPr>
                <w:noProof w:val="0"/>
                <w:lang w:val="en-AU"/>
              </w:rPr>
              <w:t xml:space="preserve">N=123 </w:t>
            </w:r>
          </w:p>
        </w:tc>
      </w:tr>
      <w:tr w:rsidR="004F1996" w:rsidRPr="00D63A4F" w14:paraId="35EAABD0" w14:textId="77777777" w:rsidTr="004F1996">
        <w:trPr>
          <w:trHeight w:val="184"/>
        </w:trPr>
        <w:tc>
          <w:tcPr>
            <w:tcW w:w="2941" w:type="pct"/>
          </w:tcPr>
          <w:p w14:paraId="28273AB7" w14:textId="77777777" w:rsidR="004F1996" w:rsidRPr="001468A9" w:rsidRDefault="004F1996" w:rsidP="004F1996">
            <w:pPr>
              <w:pStyle w:val="TblHeadingLeft"/>
              <w:rPr>
                <w:noProof w:val="0"/>
                <w:lang w:val="en-AU"/>
              </w:rPr>
            </w:pPr>
            <w:r w:rsidRPr="001468A9">
              <w:rPr>
                <w:noProof w:val="0"/>
                <w:lang w:val="en-AU"/>
              </w:rPr>
              <w:t xml:space="preserve">Overall response rate (ORR), n (%) </w:t>
            </w:r>
          </w:p>
          <w:p w14:paraId="04044A3D" w14:textId="77777777" w:rsidR="004F1996" w:rsidRPr="001468A9" w:rsidRDefault="004F1996" w:rsidP="004F1996">
            <w:pPr>
              <w:pStyle w:val="TblTextLeft"/>
              <w:rPr>
                <w:lang w:val="en-AU"/>
              </w:rPr>
            </w:pPr>
            <w:r w:rsidRPr="001468A9">
              <w:rPr>
                <w:lang w:val="en-AU"/>
              </w:rPr>
              <w:t>(</w:t>
            </w:r>
            <w:proofErr w:type="gramStart"/>
            <w:r w:rsidRPr="001468A9">
              <w:rPr>
                <w:lang w:val="en-AU"/>
              </w:rPr>
              <w:t>includes</w:t>
            </w:r>
            <w:proofErr w:type="gramEnd"/>
            <w:r w:rsidRPr="001468A9">
              <w:rPr>
                <w:lang w:val="en-AU"/>
              </w:rPr>
              <w:t xml:space="preserve"> </w:t>
            </w:r>
            <w:proofErr w:type="spellStart"/>
            <w:r w:rsidRPr="001468A9">
              <w:rPr>
                <w:lang w:val="en-AU"/>
              </w:rPr>
              <w:t>sCR</w:t>
            </w:r>
            <w:proofErr w:type="spellEnd"/>
            <w:r w:rsidRPr="001468A9">
              <w:rPr>
                <w:lang w:val="en-AU"/>
              </w:rPr>
              <w:t xml:space="preserve"> + VGPR + PR)</w:t>
            </w:r>
            <w:r w:rsidRPr="001468A9">
              <w:rPr>
                <w:vertAlign w:val="superscript"/>
                <w:lang w:val="en-AU"/>
              </w:rPr>
              <w:t xml:space="preserve">1 </w:t>
            </w:r>
          </w:p>
        </w:tc>
        <w:tc>
          <w:tcPr>
            <w:tcW w:w="2059" w:type="pct"/>
          </w:tcPr>
          <w:p w14:paraId="33A0ABC6" w14:textId="77777777" w:rsidR="004F1996" w:rsidRPr="001468A9" w:rsidRDefault="004F1996" w:rsidP="004F1996">
            <w:pPr>
              <w:pStyle w:val="TblTextCenter"/>
              <w:rPr>
                <w:lang w:val="en-AU"/>
              </w:rPr>
            </w:pPr>
            <w:r w:rsidRPr="001468A9">
              <w:rPr>
                <w:lang w:val="en-AU"/>
              </w:rPr>
              <w:t xml:space="preserve">32 (26.0) </w:t>
            </w:r>
          </w:p>
        </w:tc>
      </w:tr>
      <w:tr w:rsidR="004F1996" w:rsidRPr="00D63A4F" w14:paraId="74E0CE81" w14:textId="77777777" w:rsidTr="004F1996">
        <w:trPr>
          <w:trHeight w:val="83"/>
        </w:trPr>
        <w:tc>
          <w:tcPr>
            <w:tcW w:w="2941" w:type="pct"/>
          </w:tcPr>
          <w:p w14:paraId="06CE1F16" w14:textId="77777777" w:rsidR="004F1996" w:rsidRPr="001468A9" w:rsidRDefault="004F1996" w:rsidP="004F1996">
            <w:pPr>
              <w:pStyle w:val="TblTextLeft"/>
              <w:rPr>
                <w:lang w:val="en-AU"/>
              </w:rPr>
            </w:pPr>
            <w:r w:rsidRPr="001468A9">
              <w:rPr>
                <w:lang w:val="en-AU"/>
              </w:rPr>
              <w:lastRenderedPageBreak/>
              <w:t xml:space="preserve">95% confidence interval </w:t>
            </w:r>
          </w:p>
        </w:tc>
        <w:tc>
          <w:tcPr>
            <w:tcW w:w="2059" w:type="pct"/>
          </w:tcPr>
          <w:p w14:paraId="2C8B3E46" w14:textId="77777777" w:rsidR="004F1996" w:rsidRPr="001468A9" w:rsidRDefault="004F1996" w:rsidP="004F1996">
            <w:pPr>
              <w:pStyle w:val="TblTextCenter"/>
              <w:rPr>
                <w:lang w:val="en-AU"/>
              </w:rPr>
            </w:pPr>
            <w:r w:rsidRPr="001468A9">
              <w:rPr>
                <w:lang w:val="en-AU"/>
              </w:rPr>
              <w:t xml:space="preserve">18.5, 34.7 </w:t>
            </w:r>
          </w:p>
        </w:tc>
      </w:tr>
      <w:tr w:rsidR="004F1996" w:rsidRPr="00D63A4F" w14:paraId="5D979DF2" w14:textId="77777777" w:rsidTr="004F1996">
        <w:trPr>
          <w:trHeight w:val="83"/>
        </w:trPr>
        <w:tc>
          <w:tcPr>
            <w:tcW w:w="2941" w:type="pct"/>
          </w:tcPr>
          <w:p w14:paraId="6F5F2B36" w14:textId="77777777" w:rsidR="004F1996" w:rsidRPr="001468A9" w:rsidRDefault="004F1996" w:rsidP="004F1996">
            <w:pPr>
              <w:pStyle w:val="TblTextLeft"/>
              <w:rPr>
                <w:lang w:val="en-AU"/>
              </w:rPr>
            </w:pPr>
            <w:proofErr w:type="spellStart"/>
            <w:r w:rsidRPr="001468A9">
              <w:rPr>
                <w:lang w:val="en-AU"/>
              </w:rPr>
              <w:t>sCR</w:t>
            </w:r>
            <w:proofErr w:type="spellEnd"/>
            <w:r w:rsidRPr="001468A9">
              <w:rPr>
                <w:lang w:val="en-AU"/>
              </w:rPr>
              <w:t xml:space="preserve">, MRD negative, n (%) </w:t>
            </w:r>
          </w:p>
        </w:tc>
        <w:tc>
          <w:tcPr>
            <w:tcW w:w="2059" w:type="pct"/>
          </w:tcPr>
          <w:p w14:paraId="3109BCAA" w14:textId="77777777" w:rsidR="004F1996" w:rsidRPr="001468A9" w:rsidRDefault="004F1996" w:rsidP="004F1996">
            <w:pPr>
              <w:pStyle w:val="TblTextCenter"/>
              <w:rPr>
                <w:lang w:val="en-AU"/>
              </w:rPr>
            </w:pPr>
            <w:r w:rsidRPr="001468A9">
              <w:rPr>
                <w:lang w:val="en-AU"/>
              </w:rPr>
              <w:t xml:space="preserve">2 (1.6) </w:t>
            </w:r>
          </w:p>
        </w:tc>
      </w:tr>
      <w:tr w:rsidR="004F1996" w:rsidRPr="00D63A4F" w14:paraId="0D5EFD22" w14:textId="77777777" w:rsidTr="004F1996">
        <w:trPr>
          <w:trHeight w:val="83"/>
        </w:trPr>
        <w:tc>
          <w:tcPr>
            <w:tcW w:w="2941" w:type="pct"/>
          </w:tcPr>
          <w:p w14:paraId="1C93451A" w14:textId="77777777" w:rsidR="004F1996" w:rsidRPr="001468A9" w:rsidRDefault="004F1996" w:rsidP="004F1996">
            <w:pPr>
              <w:pStyle w:val="TblTextLeft"/>
              <w:rPr>
                <w:lang w:val="en-AU"/>
              </w:rPr>
            </w:pPr>
            <w:r w:rsidRPr="001468A9">
              <w:rPr>
                <w:lang w:val="en-AU"/>
              </w:rPr>
              <w:t xml:space="preserve">VGPR, n (%) </w:t>
            </w:r>
          </w:p>
        </w:tc>
        <w:tc>
          <w:tcPr>
            <w:tcW w:w="2059" w:type="pct"/>
          </w:tcPr>
          <w:p w14:paraId="58CEB768" w14:textId="77777777" w:rsidR="004F1996" w:rsidRPr="001468A9" w:rsidRDefault="004F1996" w:rsidP="004F1996">
            <w:pPr>
              <w:pStyle w:val="TblTextCenter"/>
              <w:rPr>
                <w:lang w:val="en-AU"/>
              </w:rPr>
            </w:pPr>
            <w:r w:rsidRPr="001468A9">
              <w:rPr>
                <w:lang w:val="en-AU"/>
              </w:rPr>
              <w:t xml:space="preserve">6 (4.9) </w:t>
            </w:r>
          </w:p>
        </w:tc>
      </w:tr>
      <w:tr w:rsidR="004F1996" w:rsidRPr="00D63A4F" w14:paraId="44026ACA" w14:textId="77777777" w:rsidTr="004F1996">
        <w:trPr>
          <w:trHeight w:val="83"/>
        </w:trPr>
        <w:tc>
          <w:tcPr>
            <w:tcW w:w="2941" w:type="pct"/>
          </w:tcPr>
          <w:p w14:paraId="1021A77E" w14:textId="77777777" w:rsidR="004F1996" w:rsidRPr="001468A9" w:rsidRDefault="004F1996" w:rsidP="004F1996">
            <w:pPr>
              <w:pStyle w:val="TblTextLeft"/>
              <w:rPr>
                <w:lang w:val="en-AU"/>
              </w:rPr>
            </w:pPr>
            <w:r w:rsidRPr="001468A9">
              <w:rPr>
                <w:lang w:val="en-AU"/>
              </w:rPr>
              <w:t xml:space="preserve">PR, n (%) </w:t>
            </w:r>
          </w:p>
        </w:tc>
        <w:tc>
          <w:tcPr>
            <w:tcW w:w="2059" w:type="pct"/>
          </w:tcPr>
          <w:p w14:paraId="762351B4" w14:textId="77777777" w:rsidR="004F1996" w:rsidRPr="001468A9" w:rsidRDefault="004F1996" w:rsidP="004F1996">
            <w:pPr>
              <w:pStyle w:val="TblTextCenter"/>
              <w:rPr>
                <w:lang w:val="en-AU"/>
              </w:rPr>
            </w:pPr>
            <w:r w:rsidRPr="001468A9">
              <w:rPr>
                <w:lang w:val="en-AU"/>
              </w:rPr>
              <w:t xml:space="preserve">24 (19.5) </w:t>
            </w:r>
          </w:p>
        </w:tc>
      </w:tr>
      <w:tr w:rsidR="004F1996" w:rsidRPr="00D63A4F" w14:paraId="609FF1D0" w14:textId="77777777" w:rsidTr="004F1996">
        <w:trPr>
          <w:trHeight w:val="83"/>
        </w:trPr>
        <w:tc>
          <w:tcPr>
            <w:tcW w:w="2941" w:type="pct"/>
          </w:tcPr>
          <w:p w14:paraId="2BC79FBA" w14:textId="77777777" w:rsidR="004F1996" w:rsidRPr="001468A9" w:rsidRDefault="004F1996" w:rsidP="004F1996">
            <w:pPr>
              <w:pStyle w:val="TblTextLeft"/>
              <w:rPr>
                <w:lang w:val="en-AU"/>
              </w:rPr>
            </w:pPr>
            <w:r w:rsidRPr="001468A9">
              <w:rPr>
                <w:lang w:val="en-AU"/>
              </w:rPr>
              <w:t xml:space="preserve">Minimal response (MR), n (%) </w:t>
            </w:r>
          </w:p>
        </w:tc>
        <w:tc>
          <w:tcPr>
            <w:tcW w:w="2059" w:type="pct"/>
          </w:tcPr>
          <w:p w14:paraId="24475BF8" w14:textId="77777777" w:rsidR="004F1996" w:rsidRPr="001468A9" w:rsidRDefault="004F1996" w:rsidP="004F1996">
            <w:pPr>
              <w:pStyle w:val="TblTextCenter"/>
              <w:rPr>
                <w:lang w:val="en-AU"/>
              </w:rPr>
            </w:pPr>
            <w:r w:rsidRPr="001468A9">
              <w:rPr>
                <w:lang w:val="en-AU"/>
              </w:rPr>
              <w:t xml:space="preserve">16 (13.0) </w:t>
            </w:r>
          </w:p>
        </w:tc>
      </w:tr>
      <w:tr w:rsidR="004F1996" w:rsidRPr="00D63A4F" w14:paraId="6552D8B8" w14:textId="77777777" w:rsidTr="004F1996">
        <w:trPr>
          <w:trHeight w:val="83"/>
        </w:trPr>
        <w:tc>
          <w:tcPr>
            <w:tcW w:w="2941" w:type="pct"/>
          </w:tcPr>
          <w:p w14:paraId="730CA5A8" w14:textId="77777777" w:rsidR="004F1996" w:rsidRPr="001468A9" w:rsidRDefault="004F1996" w:rsidP="004F1996">
            <w:pPr>
              <w:pStyle w:val="TblTextLeft"/>
              <w:rPr>
                <w:lang w:val="en-AU"/>
              </w:rPr>
            </w:pPr>
            <w:r w:rsidRPr="001468A9">
              <w:rPr>
                <w:lang w:val="en-AU"/>
              </w:rPr>
              <w:t xml:space="preserve">Stable disease (SD), n (%) </w:t>
            </w:r>
          </w:p>
        </w:tc>
        <w:tc>
          <w:tcPr>
            <w:tcW w:w="2059" w:type="pct"/>
          </w:tcPr>
          <w:p w14:paraId="473C09DA" w14:textId="77777777" w:rsidR="004F1996" w:rsidRPr="001468A9" w:rsidRDefault="004F1996" w:rsidP="004F1996">
            <w:pPr>
              <w:pStyle w:val="TblTextCenter"/>
              <w:rPr>
                <w:lang w:val="en-AU"/>
              </w:rPr>
            </w:pPr>
            <w:r w:rsidRPr="001468A9">
              <w:rPr>
                <w:lang w:val="en-AU"/>
              </w:rPr>
              <w:t xml:space="preserve">48 (39.0) </w:t>
            </w:r>
          </w:p>
        </w:tc>
      </w:tr>
      <w:tr w:rsidR="004F1996" w:rsidRPr="00D63A4F" w14:paraId="767A9D84" w14:textId="77777777" w:rsidTr="004F1996">
        <w:trPr>
          <w:trHeight w:val="184"/>
        </w:trPr>
        <w:tc>
          <w:tcPr>
            <w:tcW w:w="2941" w:type="pct"/>
          </w:tcPr>
          <w:p w14:paraId="3650F398" w14:textId="77777777" w:rsidR="004F1996" w:rsidRPr="001468A9" w:rsidRDefault="004F1996" w:rsidP="004F1996">
            <w:pPr>
              <w:pStyle w:val="TblTextLeft"/>
              <w:rPr>
                <w:lang w:val="en-AU"/>
              </w:rPr>
            </w:pPr>
            <w:proofErr w:type="spellStart"/>
            <w:r w:rsidRPr="001468A9">
              <w:rPr>
                <w:lang w:val="en-AU"/>
              </w:rPr>
              <w:t>Progession</w:t>
            </w:r>
            <w:proofErr w:type="spellEnd"/>
            <w:r w:rsidRPr="001468A9">
              <w:rPr>
                <w:lang w:val="en-AU"/>
              </w:rPr>
              <w:t xml:space="preserve"> disease (PD) /not evaluable (NE), n (%) </w:t>
            </w:r>
          </w:p>
        </w:tc>
        <w:tc>
          <w:tcPr>
            <w:tcW w:w="2059" w:type="pct"/>
          </w:tcPr>
          <w:p w14:paraId="5A9DE582" w14:textId="77777777" w:rsidR="004F1996" w:rsidRPr="001468A9" w:rsidRDefault="004F1996" w:rsidP="004F1996">
            <w:pPr>
              <w:pStyle w:val="TblTextCenter"/>
              <w:rPr>
                <w:lang w:val="en-AU"/>
              </w:rPr>
            </w:pPr>
            <w:r w:rsidRPr="001468A9">
              <w:rPr>
                <w:lang w:val="en-AU"/>
              </w:rPr>
              <w:t xml:space="preserve">27 (22.0) </w:t>
            </w:r>
          </w:p>
        </w:tc>
      </w:tr>
      <w:tr w:rsidR="004F1996" w:rsidRPr="00D63A4F" w14:paraId="11DA55F8" w14:textId="77777777" w:rsidTr="004F1996">
        <w:trPr>
          <w:trHeight w:val="184"/>
        </w:trPr>
        <w:tc>
          <w:tcPr>
            <w:tcW w:w="2941" w:type="pct"/>
          </w:tcPr>
          <w:p w14:paraId="58F9C35E" w14:textId="77777777" w:rsidR="004F1996" w:rsidRPr="001468A9" w:rsidRDefault="004F1996" w:rsidP="004F1996">
            <w:pPr>
              <w:pStyle w:val="TblHeadingLeft"/>
              <w:rPr>
                <w:noProof w:val="0"/>
                <w:lang w:val="en-AU"/>
              </w:rPr>
            </w:pPr>
            <w:r w:rsidRPr="001468A9">
              <w:rPr>
                <w:noProof w:val="0"/>
                <w:lang w:val="en-AU"/>
              </w:rPr>
              <w:t xml:space="preserve">Median time to first response (weeks) </w:t>
            </w:r>
          </w:p>
          <w:p w14:paraId="00C8D514" w14:textId="77777777" w:rsidR="004F1996" w:rsidRPr="001468A9" w:rsidRDefault="004F1996" w:rsidP="004F1996">
            <w:pPr>
              <w:pStyle w:val="TblTextLeft"/>
              <w:rPr>
                <w:lang w:val="en-AU"/>
              </w:rPr>
            </w:pPr>
            <w:r w:rsidRPr="001468A9">
              <w:rPr>
                <w:lang w:val="en-AU"/>
              </w:rPr>
              <w:t>(</w:t>
            </w:r>
            <w:proofErr w:type="gramStart"/>
            <w:r w:rsidRPr="001468A9">
              <w:rPr>
                <w:lang w:val="en-AU"/>
              </w:rPr>
              <w:t>range</w:t>
            </w:r>
            <w:proofErr w:type="gramEnd"/>
            <w:r w:rsidRPr="001468A9">
              <w:rPr>
                <w:lang w:val="en-AU"/>
              </w:rPr>
              <w:t xml:space="preserve">: 1 to 14 weeks) </w:t>
            </w:r>
          </w:p>
        </w:tc>
        <w:tc>
          <w:tcPr>
            <w:tcW w:w="2059" w:type="pct"/>
          </w:tcPr>
          <w:p w14:paraId="33A31145" w14:textId="77777777" w:rsidR="004F1996" w:rsidRPr="001468A9" w:rsidRDefault="004F1996" w:rsidP="004F1996">
            <w:pPr>
              <w:pStyle w:val="TblTextCenter"/>
              <w:rPr>
                <w:lang w:val="en-AU"/>
              </w:rPr>
            </w:pPr>
            <w:r w:rsidRPr="001468A9">
              <w:rPr>
                <w:lang w:val="en-AU"/>
              </w:rPr>
              <w:t xml:space="preserve">4.1 </w:t>
            </w:r>
          </w:p>
        </w:tc>
      </w:tr>
      <w:tr w:rsidR="004F1996" w:rsidRPr="00D63A4F" w14:paraId="7C0C497D" w14:textId="77777777" w:rsidTr="004F1996">
        <w:trPr>
          <w:trHeight w:val="184"/>
        </w:trPr>
        <w:tc>
          <w:tcPr>
            <w:tcW w:w="2941" w:type="pct"/>
          </w:tcPr>
          <w:p w14:paraId="4E0C2750" w14:textId="77777777" w:rsidR="004F1996" w:rsidRPr="001468A9" w:rsidRDefault="004F1996" w:rsidP="004F1996">
            <w:pPr>
              <w:pStyle w:val="TblHeadingLeft"/>
              <w:rPr>
                <w:noProof w:val="0"/>
                <w:lang w:val="en-AU"/>
              </w:rPr>
            </w:pPr>
            <w:r w:rsidRPr="001468A9">
              <w:rPr>
                <w:noProof w:val="0"/>
                <w:lang w:val="en-AU"/>
              </w:rPr>
              <w:t xml:space="preserve">Median duration of response (DOR) months </w:t>
            </w:r>
          </w:p>
          <w:p w14:paraId="0020B82B" w14:textId="3632985E" w:rsidR="004F1996" w:rsidRPr="001468A9" w:rsidRDefault="004F1996" w:rsidP="004F1996">
            <w:pPr>
              <w:pStyle w:val="TblTextLeft"/>
              <w:rPr>
                <w:lang w:val="en-AU"/>
              </w:rPr>
            </w:pPr>
            <w:r w:rsidRPr="001468A9">
              <w:rPr>
                <w:lang w:val="en-AU"/>
              </w:rPr>
              <w:t xml:space="preserve">(95% confidence interval) </w:t>
            </w:r>
          </w:p>
        </w:tc>
        <w:tc>
          <w:tcPr>
            <w:tcW w:w="2059" w:type="pct"/>
          </w:tcPr>
          <w:p w14:paraId="0245F3C6" w14:textId="77777777" w:rsidR="004F1996" w:rsidRPr="001468A9" w:rsidRDefault="004F1996" w:rsidP="004F1996">
            <w:pPr>
              <w:pStyle w:val="TblTextCenter"/>
              <w:rPr>
                <w:lang w:val="en-AU"/>
              </w:rPr>
            </w:pPr>
            <w:r w:rsidRPr="001468A9">
              <w:rPr>
                <w:lang w:val="en-AU"/>
              </w:rPr>
              <w:t xml:space="preserve">4.4 </w:t>
            </w:r>
          </w:p>
          <w:p w14:paraId="50A599DB" w14:textId="77777777" w:rsidR="004F1996" w:rsidRPr="001468A9" w:rsidRDefault="004F1996" w:rsidP="004F1996">
            <w:pPr>
              <w:pStyle w:val="TblTextCenter"/>
              <w:rPr>
                <w:lang w:val="en-AU"/>
              </w:rPr>
            </w:pPr>
            <w:r w:rsidRPr="001468A9">
              <w:rPr>
                <w:lang w:val="en-AU"/>
              </w:rPr>
              <w:t xml:space="preserve">(3.7, 10.8) </w:t>
            </w:r>
          </w:p>
        </w:tc>
      </w:tr>
      <w:tr w:rsidR="004F1996" w:rsidRPr="00D63A4F" w14:paraId="1648C334" w14:textId="77777777" w:rsidTr="004F1996">
        <w:trPr>
          <w:trHeight w:val="83"/>
        </w:trPr>
        <w:tc>
          <w:tcPr>
            <w:tcW w:w="5000" w:type="pct"/>
            <w:gridSpan w:val="2"/>
          </w:tcPr>
          <w:p w14:paraId="7E6C2808" w14:textId="77777777" w:rsidR="004F1996" w:rsidRPr="001468A9" w:rsidRDefault="004F1996" w:rsidP="004F1996">
            <w:pPr>
              <w:pStyle w:val="TblHeadingLeft"/>
              <w:rPr>
                <w:noProof w:val="0"/>
                <w:lang w:val="en-AU"/>
              </w:rPr>
            </w:pPr>
            <w:r w:rsidRPr="001468A9">
              <w:rPr>
                <w:noProof w:val="0"/>
                <w:lang w:val="en-AU"/>
              </w:rPr>
              <w:t xml:space="preserve">Overall survival (OS); months </w:t>
            </w:r>
          </w:p>
        </w:tc>
      </w:tr>
      <w:tr w:rsidR="004F1996" w:rsidRPr="00D63A4F" w14:paraId="725302EF" w14:textId="77777777" w:rsidTr="004F1996">
        <w:trPr>
          <w:trHeight w:val="83"/>
        </w:trPr>
        <w:tc>
          <w:tcPr>
            <w:tcW w:w="2941" w:type="pct"/>
          </w:tcPr>
          <w:p w14:paraId="007564F5" w14:textId="77777777" w:rsidR="004F1996" w:rsidRPr="001468A9" w:rsidRDefault="004F1996" w:rsidP="004F1996">
            <w:pPr>
              <w:pStyle w:val="TblTextLeft"/>
              <w:rPr>
                <w:lang w:val="en-AU"/>
              </w:rPr>
            </w:pPr>
            <w:r w:rsidRPr="001468A9">
              <w:rPr>
                <w:lang w:val="en-AU"/>
              </w:rPr>
              <w:t xml:space="preserve">Median OS; months (95% CI) </w:t>
            </w:r>
          </w:p>
        </w:tc>
        <w:tc>
          <w:tcPr>
            <w:tcW w:w="2059" w:type="pct"/>
          </w:tcPr>
          <w:p w14:paraId="32AEADEC" w14:textId="018EE217" w:rsidR="004F1996" w:rsidRPr="001468A9" w:rsidRDefault="004F1996" w:rsidP="004F1996">
            <w:pPr>
              <w:pStyle w:val="TblTextCenter"/>
              <w:rPr>
                <w:lang w:val="en-AU"/>
              </w:rPr>
            </w:pPr>
            <w:r w:rsidRPr="001468A9">
              <w:rPr>
                <w:lang w:val="en-AU"/>
              </w:rPr>
              <w:t xml:space="preserve">8.6 (6.2, 11.3) </w:t>
            </w:r>
          </w:p>
        </w:tc>
      </w:tr>
      <w:tr w:rsidR="004F1996" w:rsidRPr="00D63A4F" w14:paraId="4AE14FCB" w14:textId="77777777" w:rsidTr="004F1996">
        <w:trPr>
          <w:trHeight w:val="83"/>
        </w:trPr>
        <w:tc>
          <w:tcPr>
            <w:tcW w:w="2941" w:type="pct"/>
          </w:tcPr>
          <w:p w14:paraId="75A48C1C" w14:textId="434D07BF" w:rsidR="004F1996" w:rsidRPr="001468A9" w:rsidRDefault="004F1996" w:rsidP="004F1996">
            <w:pPr>
              <w:pStyle w:val="TblTextLeft"/>
              <w:tabs>
                <w:tab w:val="left" w:pos="263"/>
              </w:tabs>
              <w:rPr>
                <w:lang w:val="en-AU"/>
              </w:rPr>
            </w:pPr>
            <w:r w:rsidRPr="001468A9">
              <w:rPr>
                <w:lang w:val="en-AU"/>
              </w:rPr>
              <w:tab/>
              <w:t xml:space="preserve">Among patients with ≥PR, n=32 </w:t>
            </w:r>
          </w:p>
        </w:tc>
        <w:tc>
          <w:tcPr>
            <w:tcW w:w="2059" w:type="pct"/>
          </w:tcPr>
          <w:p w14:paraId="44A00B61" w14:textId="6C092BB1" w:rsidR="004F1996" w:rsidRPr="001468A9" w:rsidRDefault="004F1996" w:rsidP="004F1996">
            <w:pPr>
              <w:pStyle w:val="TblTextCenter"/>
              <w:rPr>
                <w:lang w:val="en-AU"/>
              </w:rPr>
            </w:pPr>
            <w:r w:rsidRPr="001468A9">
              <w:rPr>
                <w:lang w:val="en-AU"/>
              </w:rPr>
              <w:t xml:space="preserve">Not Reached </w:t>
            </w:r>
          </w:p>
        </w:tc>
      </w:tr>
      <w:tr w:rsidR="004F1996" w:rsidRPr="00D63A4F" w14:paraId="02F35485" w14:textId="77777777" w:rsidTr="004F1996">
        <w:trPr>
          <w:trHeight w:val="83"/>
        </w:trPr>
        <w:tc>
          <w:tcPr>
            <w:tcW w:w="2941" w:type="pct"/>
          </w:tcPr>
          <w:p w14:paraId="40BF0A7E" w14:textId="7D2F0280" w:rsidR="004F1996" w:rsidRPr="001468A9" w:rsidRDefault="004F1996" w:rsidP="004F1996">
            <w:pPr>
              <w:pStyle w:val="TblTextLeft"/>
              <w:tabs>
                <w:tab w:val="left" w:pos="263"/>
              </w:tabs>
              <w:rPr>
                <w:lang w:val="en-AU"/>
              </w:rPr>
            </w:pPr>
            <w:r w:rsidRPr="001468A9">
              <w:rPr>
                <w:lang w:val="en-AU"/>
              </w:rPr>
              <w:tab/>
              <w:t xml:space="preserve">Among patients with ≥MR, n=48 </w:t>
            </w:r>
          </w:p>
        </w:tc>
        <w:tc>
          <w:tcPr>
            <w:tcW w:w="2059" w:type="pct"/>
          </w:tcPr>
          <w:p w14:paraId="7C026540" w14:textId="4346D8B6" w:rsidR="004F1996" w:rsidRPr="001468A9" w:rsidRDefault="004F1996" w:rsidP="004F1996">
            <w:pPr>
              <w:pStyle w:val="TblTextCenter"/>
              <w:rPr>
                <w:lang w:val="en-AU"/>
              </w:rPr>
            </w:pPr>
            <w:r w:rsidRPr="001468A9">
              <w:rPr>
                <w:lang w:val="en-AU"/>
              </w:rPr>
              <w:t>Not Reached</w:t>
            </w:r>
          </w:p>
        </w:tc>
      </w:tr>
      <w:tr w:rsidR="004F1996" w:rsidRPr="00D63A4F" w14:paraId="3022CD84" w14:textId="77777777" w:rsidTr="004F1996">
        <w:trPr>
          <w:trHeight w:val="83"/>
        </w:trPr>
        <w:tc>
          <w:tcPr>
            <w:tcW w:w="2941" w:type="pct"/>
          </w:tcPr>
          <w:p w14:paraId="4BFE26FE" w14:textId="0F7FD9B8" w:rsidR="004F1996" w:rsidRPr="001468A9" w:rsidRDefault="004F1996" w:rsidP="004F1996">
            <w:pPr>
              <w:pStyle w:val="TblTextLeft"/>
              <w:tabs>
                <w:tab w:val="left" w:pos="263"/>
              </w:tabs>
              <w:rPr>
                <w:lang w:val="en-AU"/>
              </w:rPr>
            </w:pPr>
            <w:r w:rsidRPr="001468A9">
              <w:rPr>
                <w:lang w:val="en-AU"/>
              </w:rPr>
              <w:tab/>
              <w:t xml:space="preserve">Among patients with SD, n=48 </w:t>
            </w:r>
          </w:p>
        </w:tc>
        <w:tc>
          <w:tcPr>
            <w:tcW w:w="2059" w:type="pct"/>
          </w:tcPr>
          <w:p w14:paraId="702AAC59" w14:textId="3CF09223" w:rsidR="004F1996" w:rsidRPr="001468A9" w:rsidRDefault="004F1996" w:rsidP="004F1996">
            <w:pPr>
              <w:pStyle w:val="TblTextCenter"/>
              <w:rPr>
                <w:lang w:val="en-AU"/>
              </w:rPr>
            </w:pPr>
            <w:r w:rsidRPr="001468A9">
              <w:rPr>
                <w:lang w:val="en-AU"/>
              </w:rPr>
              <w:t xml:space="preserve">6.3 </w:t>
            </w:r>
          </w:p>
        </w:tc>
      </w:tr>
      <w:tr w:rsidR="004F1996" w:rsidRPr="00D63A4F" w14:paraId="114862B2" w14:textId="77777777" w:rsidTr="004F1996">
        <w:trPr>
          <w:trHeight w:val="83"/>
        </w:trPr>
        <w:tc>
          <w:tcPr>
            <w:tcW w:w="2941" w:type="pct"/>
          </w:tcPr>
          <w:p w14:paraId="42330C1B" w14:textId="008A4EF0" w:rsidR="004F1996" w:rsidRPr="001468A9" w:rsidRDefault="004F1996" w:rsidP="004F1996">
            <w:pPr>
              <w:pStyle w:val="TblTextLeft"/>
              <w:tabs>
                <w:tab w:val="left" w:pos="263"/>
              </w:tabs>
              <w:rPr>
                <w:lang w:val="en-AU"/>
              </w:rPr>
            </w:pPr>
            <w:r w:rsidRPr="001468A9">
              <w:rPr>
                <w:lang w:val="en-AU"/>
              </w:rPr>
              <w:tab/>
              <w:t xml:space="preserve">Among patients with PD or NE, n=27 </w:t>
            </w:r>
          </w:p>
        </w:tc>
        <w:tc>
          <w:tcPr>
            <w:tcW w:w="2059" w:type="pct"/>
          </w:tcPr>
          <w:p w14:paraId="3B6448C4" w14:textId="77777777" w:rsidR="004F1996" w:rsidRPr="001468A9" w:rsidRDefault="004F1996" w:rsidP="004F1996">
            <w:pPr>
              <w:pStyle w:val="TblTextCenter"/>
              <w:rPr>
                <w:lang w:val="en-AU"/>
              </w:rPr>
            </w:pPr>
            <w:r w:rsidRPr="001468A9">
              <w:rPr>
                <w:lang w:val="en-AU"/>
              </w:rPr>
              <w:t xml:space="preserve">1.9 </w:t>
            </w:r>
          </w:p>
        </w:tc>
      </w:tr>
    </w:tbl>
    <w:p w14:paraId="0D1EB84D" w14:textId="205391E7" w:rsidR="004F1996" w:rsidRPr="001468A9" w:rsidRDefault="004F1996" w:rsidP="004F1996">
      <w:pPr>
        <w:pStyle w:val="TblFigFootnote"/>
        <w:rPr>
          <w:lang w:val="en-AU"/>
        </w:rPr>
      </w:pPr>
      <w:r w:rsidRPr="001468A9">
        <w:rPr>
          <w:vertAlign w:val="superscript"/>
          <w:lang w:val="en-AU"/>
        </w:rPr>
        <w:t>1</w:t>
      </w:r>
      <w:r w:rsidRPr="001468A9">
        <w:rPr>
          <w:lang w:val="en-AU"/>
        </w:rPr>
        <w:t xml:space="preserve"> </w:t>
      </w:r>
      <w:proofErr w:type="spellStart"/>
      <w:r w:rsidRPr="001468A9">
        <w:rPr>
          <w:lang w:val="en-AU"/>
        </w:rPr>
        <w:t>sCR</w:t>
      </w:r>
      <w:proofErr w:type="spellEnd"/>
      <w:r w:rsidRPr="001468A9">
        <w:rPr>
          <w:lang w:val="en-AU"/>
        </w:rPr>
        <w:t>= stringent complete response, VGPR= very good partial response, PR= partial response</w:t>
      </w:r>
    </w:p>
    <w:p w14:paraId="6F1ACCFB" w14:textId="00722ED6" w:rsidR="004F1996" w:rsidRDefault="004F1996" w:rsidP="004F1996">
      <w:pPr>
        <w:rPr>
          <w:lang w:val="en-AU"/>
        </w:rPr>
      </w:pPr>
      <w:r w:rsidRPr="001468A9">
        <w:rPr>
          <w:lang w:val="en-AU"/>
        </w:rPr>
        <w:t xml:space="preserve">No difference in ORR was observed based on baseline characteristics. Both patients relapsing from prior CAR-T therapy had a PR on </w:t>
      </w:r>
      <w:proofErr w:type="spellStart"/>
      <w:r w:rsidRPr="001468A9">
        <w:rPr>
          <w:lang w:val="en-AU"/>
        </w:rPr>
        <w:t>selinexor</w:t>
      </w:r>
      <w:proofErr w:type="spellEnd"/>
      <w:r w:rsidRPr="001468A9">
        <w:rPr>
          <w:lang w:val="en-AU"/>
        </w:rPr>
        <w:t xml:space="preserve"> plus dexamethasone.</w:t>
      </w:r>
    </w:p>
    <w:p w14:paraId="4E333C6B" w14:textId="77777777" w:rsidR="00FD1F94" w:rsidRPr="00FA1502" w:rsidRDefault="00FD1F94" w:rsidP="00124389">
      <w:pPr>
        <w:pStyle w:val="Heading2"/>
        <w:rPr>
          <w:lang w:val="en-AU"/>
        </w:rPr>
      </w:pPr>
      <w:bookmarkStart w:id="42" w:name="_Ref48221633"/>
      <w:bookmarkStart w:id="43" w:name="_Ref94179019"/>
      <w:r w:rsidRPr="00FA1502">
        <w:rPr>
          <w:lang w:val="en-AU"/>
        </w:rPr>
        <w:t>PHARMACOKINETIC PROPERTIES</w:t>
      </w:r>
      <w:bookmarkEnd w:id="42"/>
      <w:bookmarkEnd w:id="43"/>
    </w:p>
    <w:p w14:paraId="3CA6552F" w14:textId="77777777" w:rsidR="002A2D13" w:rsidRPr="001468A9" w:rsidRDefault="002A2D13" w:rsidP="001468A9">
      <w:r w:rsidRPr="001468A9">
        <w:t>Following a single-dose administration of XPOVIO 100 mg, the mean (standard deviation) peak plasma concentration (</w:t>
      </w:r>
      <w:proofErr w:type="spellStart"/>
      <w:r w:rsidRPr="001468A9">
        <w:t>Cmax</w:t>
      </w:r>
      <w:proofErr w:type="spellEnd"/>
      <w:r w:rsidRPr="001468A9">
        <w:t>) was 693 (201) ng/</w:t>
      </w:r>
      <w:proofErr w:type="gramStart"/>
      <w:r w:rsidRPr="001468A9">
        <w:t>mL</w:t>
      </w:r>
      <w:proofErr w:type="gramEnd"/>
      <w:r w:rsidRPr="001468A9">
        <w:t xml:space="preserve"> and the mean AUC was 6998 (818) </w:t>
      </w:r>
      <w:proofErr w:type="spellStart"/>
      <w:r w:rsidRPr="001468A9">
        <w:t>ng•h</w:t>
      </w:r>
      <w:proofErr w:type="spellEnd"/>
      <w:r w:rsidRPr="001468A9">
        <w:t>/</w:t>
      </w:r>
      <w:proofErr w:type="spellStart"/>
      <w:r w:rsidRPr="001468A9">
        <w:t>mL.</w:t>
      </w:r>
      <w:proofErr w:type="spellEnd"/>
      <w:r w:rsidRPr="001468A9">
        <w:t xml:space="preserve"> </w:t>
      </w:r>
    </w:p>
    <w:p w14:paraId="3C69A9DD" w14:textId="541EB401" w:rsidR="002A2D13" w:rsidRPr="001468A9" w:rsidRDefault="002A2D13" w:rsidP="001468A9">
      <w:r w:rsidRPr="001468A9">
        <w:t xml:space="preserve">Selinexor </w:t>
      </w:r>
      <w:proofErr w:type="spellStart"/>
      <w:r w:rsidRPr="001468A9">
        <w:t>C</w:t>
      </w:r>
      <w:r w:rsidRPr="001468A9">
        <w:rPr>
          <w:vertAlign w:val="subscript"/>
        </w:rPr>
        <w:t>max</w:t>
      </w:r>
      <w:proofErr w:type="spellEnd"/>
      <w:r w:rsidRPr="001468A9">
        <w:rPr>
          <w:vertAlign w:val="subscript"/>
        </w:rPr>
        <w:t xml:space="preserve"> </w:t>
      </w:r>
      <w:r w:rsidRPr="001468A9">
        <w:t xml:space="preserve">and AUC increased proportionally </w:t>
      </w:r>
      <w:proofErr w:type="gramStart"/>
      <w:r w:rsidRPr="001468A9">
        <w:t>over doses</w:t>
      </w:r>
      <w:proofErr w:type="gramEnd"/>
      <w:r w:rsidRPr="001468A9">
        <w:t xml:space="preserve"> from 3 mg/m2 to 85 mg/m</w:t>
      </w:r>
      <w:r w:rsidRPr="001468A9">
        <w:rPr>
          <w:vertAlign w:val="subscript"/>
        </w:rPr>
        <w:t>2</w:t>
      </w:r>
      <w:r w:rsidRPr="001468A9">
        <w:t xml:space="preserve"> (0.045 to 1.8 times the approved recommended dose based on 1.7 m2 body surface area). No clinically relevant accumulation at steady state was observed</w:t>
      </w:r>
    </w:p>
    <w:p w14:paraId="17D1D54C" w14:textId="3E2C168B" w:rsidR="00FD1F94" w:rsidRPr="00FA1502" w:rsidRDefault="00FD1F94" w:rsidP="0055703C">
      <w:pPr>
        <w:pStyle w:val="Heading3"/>
        <w:numPr>
          <w:ilvl w:val="0"/>
          <w:numId w:val="0"/>
        </w:numPr>
        <w:rPr>
          <w:lang w:val="en-AU"/>
        </w:rPr>
      </w:pPr>
      <w:r w:rsidRPr="00FA1502">
        <w:rPr>
          <w:lang w:val="en-AU"/>
        </w:rPr>
        <w:t>Absorption</w:t>
      </w:r>
    </w:p>
    <w:p w14:paraId="67F07336" w14:textId="0AD7DF35" w:rsidR="00A114B2" w:rsidRPr="00FA1502" w:rsidRDefault="004F1996" w:rsidP="00A114B2">
      <w:pPr>
        <w:rPr>
          <w:lang w:val="en-AU"/>
        </w:rPr>
      </w:pPr>
      <w:r w:rsidRPr="001468A9">
        <w:rPr>
          <w:lang w:val="en-AU"/>
        </w:rPr>
        <w:t xml:space="preserve">Following oral administration of </w:t>
      </w:r>
      <w:proofErr w:type="spellStart"/>
      <w:r w:rsidRPr="001468A9">
        <w:rPr>
          <w:lang w:val="en-AU"/>
        </w:rPr>
        <w:t>selinexor</w:t>
      </w:r>
      <w:proofErr w:type="spellEnd"/>
      <w:r w:rsidRPr="001468A9">
        <w:rPr>
          <w:lang w:val="en-AU"/>
        </w:rPr>
        <w:t xml:space="preserve"> peak plasma concentration, </w:t>
      </w:r>
      <w:proofErr w:type="spellStart"/>
      <w:r w:rsidRPr="001468A9">
        <w:rPr>
          <w:lang w:val="en-AU"/>
        </w:rPr>
        <w:t>C</w:t>
      </w:r>
      <w:r w:rsidRPr="001468A9">
        <w:rPr>
          <w:vertAlign w:val="subscript"/>
          <w:lang w:val="en-AU"/>
        </w:rPr>
        <w:t>max</w:t>
      </w:r>
      <w:proofErr w:type="spellEnd"/>
      <w:r w:rsidRPr="001468A9">
        <w:rPr>
          <w:lang w:val="en-AU"/>
        </w:rPr>
        <w:t xml:space="preserve"> is reached within 4 hours. Concomitant administration of a high fat meal (800-1,000 calories with approximately 50% of total caloric content of the meal from fat) did not have a clinically significant </w:t>
      </w:r>
      <w:r w:rsidR="00D63A4F" w:rsidRPr="001468A9">
        <w:rPr>
          <w:lang w:val="en-AU"/>
        </w:rPr>
        <w:t>effect</w:t>
      </w:r>
      <w:r w:rsidR="00740642">
        <w:rPr>
          <w:lang w:val="en-AU"/>
        </w:rPr>
        <w:t xml:space="preserve"> </w:t>
      </w:r>
      <w:r w:rsidRPr="001468A9">
        <w:rPr>
          <w:lang w:val="en-AU"/>
        </w:rPr>
        <w:t xml:space="preserve">on the pharmacokinetics of </w:t>
      </w:r>
      <w:proofErr w:type="spellStart"/>
      <w:r w:rsidRPr="001468A9">
        <w:rPr>
          <w:lang w:val="en-AU"/>
        </w:rPr>
        <w:t>selinexor</w:t>
      </w:r>
      <w:proofErr w:type="spellEnd"/>
      <w:r w:rsidRPr="001468A9">
        <w:rPr>
          <w:lang w:val="en-AU"/>
        </w:rPr>
        <w:t>.</w:t>
      </w:r>
    </w:p>
    <w:p w14:paraId="0E80DE13" w14:textId="77777777" w:rsidR="00FD1F94" w:rsidRPr="00FA1502" w:rsidRDefault="00FD1F94" w:rsidP="0055703C">
      <w:pPr>
        <w:pStyle w:val="Heading3"/>
        <w:numPr>
          <w:ilvl w:val="0"/>
          <w:numId w:val="0"/>
        </w:numPr>
        <w:rPr>
          <w:lang w:val="en-AU"/>
        </w:rPr>
      </w:pPr>
      <w:r w:rsidRPr="00FA1502">
        <w:rPr>
          <w:lang w:val="en-AU"/>
        </w:rPr>
        <w:t>Distribution</w:t>
      </w:r>
    </w:p>
    <w:p w14:paraId="00D43142" w14:textId="0AC6732C" w:rsidR="00A114B2" w:rsidRPr="00FA1502" w:rsidRDefault="004F1996" w:rsidP="00A114B2">
      <w:pPr>
        <w:rPr>
          <w:lang w:val="en-AU"/>
        </w:rPr>
      </w:pPr>
      <w:r w:rsidRPr="001468A9">
        <w:rPr>
          <w:lang w:val="en-AU"/>
        </w:rPr>
        <w:t xml:space="preserve">Selinexor is </w:t>
      </w:r>
      <w:r w:rsidR="00CA38B4">
        <w:rPr>
          <w:lang w:val="en-AU"/>
        </w:rPr>
        <w:t>95%</w:t>
      </w:r>
      <w:r w:rsidRPr="001468A9">
        <w:rPr>
          <w:lang w:val="en-AU"/>
        </w:rPr>
        <w:t xml:space="preserve"> bound to human plasma proteins. In a population pharmacokinetic (PK) analysis, the apparent volume of distribution (</w:t>
      </w:r>
      <w:proofErr w:type="spellStart"/>
      <w:r w:rsidRPr="001468A9">
        <w:rPr>
          <w:lang w:val="en-AU"/>
        </w:rPr>
        <w:t>Vd</w:t>
      </w:r>
      <w:proofErr w:type="spellEnd"/>
      <w:r w:rsidRPr="001468A9">
        <w:rPr>
          <w:lang w:val="en-AU"/>
        </w:rPr>
        <w:t xml:space="preserve">/F) of </w:t>
      </w:r>
      <w:proofErr w:type="spellStart"/>
      <w:r w:rsidRPr="001468A9">
        <w:rPr>
          <w:lang w:val="en-AU"/>
        </w:rPr>
        <w:t>selinexor</w:t>
      </w:r>
      <w:proofErr w:type="spellEnd"/>
      <w:r w:rsidRPr="001468A9">
        <w:rPr>
          <w:lang w:val="en-AU"/>
        </w:rPr>
        <w:t xml:space="preserve"> was </w:t>
      </w:r>
      <w:r w:rsidR="00EE3278" w:rsidRPr="001468A9">
        <w:rPr>
          <w:lang w:val="en-AU"/>
        </w:rPr>
        <w:t>133</w:t>
      </w:r>
      <w:r w:rsidRPr="001468A9">
        <w:rPr>
          <w:lang w:val="en-AU"/>
        </w:rPr>
        <w:t xml:space="preserve"> L in cancer patients</w:t>
      </w:r>
      <w:r w:rsidRPr="009651FC">
        <w:rPr>
          <w:lang w:val="en-AU"/>
        </w:rPr>
        <w:t>.</w:t>
      </w:r>
    </w:p>
    <w:p w14:paraId="677266D9" w14:textId="77777777" w:rsidR="00FD1F94" w:rsidRPr="00FA1502" w:rsidRDefault="00FD1F94" w:rsidP="0055703C">
      <w:pPr>
        <w:pStyle w:val="Heading3"/>
        <w:numPr>
          <w:ilvl w:val="0"/>
          <w:numId w:val="0"/>
        </w:numPr>
        <w:rPr>
          <w:lang w:val="en-AU"/>
        </w:rPr>
      </w:pPr>
      <w:bookmarkStart w:id="44" w:name="page6"/>
      <w:bookmarkEnd w:id="44"/>
      <w:r w:rsidRPr="00FA1502">
        <w:rPr>
          <w:lang w:val="en-AU"/>
        </w:rPr>
        <w:lastRenderedPageBreak/>
        <w:t>Metabolism</w:t>
      </w:r>
    </w:p>
    <w:p w14:paraId="2AE083AD" w14:textId="7A3D14EE" w:rsidR="00A114B2" w:rsidRPr="00FA1502" w:rsidRDefault="004F1996" w:rsidP="00A114B2">
      <w:pPr>
        <w:rPr>
          <w:lang w:val="en-AU"/>
        </w:rPr>
      </w:pPr>
      <w:r w:rsidRPr="001468A9">
        <w:rPr>
          <w:lang w:val="en-AU"/>
        </w:rPr>
        <w:t xml:space="preserve">Selinexor is </w:t>
      </w:r>
      <w:r w:rsidR="00CA38B4">
        <w:rPr>
          <w:lang w:val="en-AU"/>
        </w:rPr>
        <w:t>metabolised</w:t>
      </w:r>
      <w:r w:rsidRPr="001468A9">
        <w:rPr>
          <w:lang w:val="en-AU"/>
        </w:rPr>
        <w:t xml:space="preserve"> by CYP3A4, multiple UDP-glucuronosyltransferases (UGTs) and glutathione S-transferases (GSTs)</w:t>
      </w:r>
      <w:r w:rsidR="00CA38B4">
        <w:rPr>
          <w:lang w:val="en-AU"/>
        </w:rPr>
        <w:t>.</w:t>
      </w:r>
    </w:p>
    <w:p w14:paraId="022857EC" w14:textId="140E7D3F" w:rsidR="00FD1F94" w:rsidRPr="00FA1502" w:rsidRDefault="00D132F6" w:rsidP="0055703C">
      <w:pPr>
        <w:pStyle w:val="Heading3"/>
        <w:numPr>
          <w:ilvl w:val="0"/>
          <w:numId w:val="0"/>
        </w:numPr>
        <w:rPr>
          <w:lang w:val="en-AU"/>
        </w:rPr>
      </w:pPr>
      <w:r w:rsidRPr="00FA1502">
        <w:rPr>
          <w:lang w:val="en-AU"/>
        </w:rPr>
        <w:t>Excretion</w:t>
      </w:r>
    </w:p>
    <w:p w14:paraId="60C1A491" w14:textId="482677C6" w:rsidR="00A114B2" w:rsidRDefault="004F1996" w:rsidP="00A114B2">
      <w:pPr>
        <w:rPr>
          <w:lang w:val="en-AU"/>
        </w:rPr>
      </w:pPr>
      <w:r w:rsidRPr="001468A9">
        <w:rPr>
          <w:lang w:val="en-AU"/>
        </w:rPr>
        <w:t xml:space="preserve">Following a single dose of 80 mg </w:t>
      </w:r>
      <w:proofErr w:type="spellStart"/>
      <w:r w:rsidRPr="001468A9">
        <w:rPr>
          <w:lang w:val="en-AU"/>
        </w:rPr>
        <w:t>selinexor</w:t>
      </w:r>
      <w:proofErr w:type="spellEnd"/>
      <w:r w:rsidRPr="001468A9">
        <w:rPr>
          <w:lang w:val="en-AU"/>
        </w:rPr>
        <w:t xml:space="preserve"> the mean half-life (t</w:t>
      </w:r>
      <w:r w:rsidRPr="001468A9">
        <w:rPr>
          <w:vertAlign w:val="subscript"/>
          <w:lang w:val="en-AU"/>
        </w:rPr>
        <w:t>1/2</w:t>
      </w:r>
      <w:r w:rsidRPr="001468A9">
        <w:rPr>
          <w:lang w:val="en-AU"/>
        </w:rPr>
        <w:t xml:space="preserve">) is 6 to 8 hours. In a population PK analysis, the apparent total clearance (CL/F) of </w:t>
      </w:r>
      <w:proofErr w:type="spellStart"/>
      <w:r w:rsidRPr="001468A9">
        <w:rPr>
          <w:lang w:val="en-AU"/>
        </w:rPr>
        <w:t>selinexor</w:t>
      </w:r>
      <w:proofErr w:type="spellEnd"/>
      <w:r w:rsidRPr="001468A9">
        <w:rPr>
          <w:lang w:val="en-AU"/>
        </w:rPr>
        <w:t xml:space="preserve"> was </w:t>
      </w:r>
      <w:r w:rsidR="00EE3278" w:rsidRPr="001468A9">
        <w:rPr>
          <w:lang w:val="en-AU"/>
        </w:rPr>
        <w:t>18.6</w:t>
      </w:r>
      <w:r w:rsidRPr="001468A9">
        <w:rPr>
          <w:lang w:val="en-AU"/>
        </w:rPr>
        <w:t xml:space="preserve"> L/h in cancer patients.</w:t>
      </w:r>
    </w:p>
    <w:p w14:paraId="70971569" w14:textId="7A1C4C19" w:rsidR="00D132F6" w:rsidRDefault="00D132F6" w:rsidP="00D132F6">
      <w:pPr>
        <w:pStyle w:val="Heading3"/>
        <w:numPr>
          <w:ilvl w:val="0"/>
          <w:numId w:val="0"/>
        </w:numPr>
        <w:ind w:left="680" w:hanging="680"/>
        <w:rPr>
          <w:lang w:val="en-AU"/>
        </w:rPr>
      </w:pPr>
      <w:r>
        <w:rPr>
          <w:lang w:val="en-AU"/>
        </w:rPr>
        <w:t>Special Populations</w:t>
      </w:r>
    </w:p>
    <w:p w14:paraId="554C1491" w14:textId="514B650D" w:rsidR="00A229C1" w:rsidRDefault="00A229C1" w:rsidP="00A5717D">
      <w:pPr>
        <w:pStyle w:val="Heading4"/>
        <w:numPr>
          <w:ilvl w:val="0"/>
          <w:numId w:val="0"/>
        </w:numPr>
        <w:ind w:left="862" w:hanging="862"/>
        <w:rPr>
          <w:lang w:val="en-AU"/>
        </w:rPr>
      </w:pPr>
      <w:bookmarkStart w:id="45" w:name="_Ref48734692"/>
      <w:r>
        <w:rPr>
          <w:lang w:val="en-AU"/>
        </w:rPr>
        <w:t>Age, Sex, Race</w:t>
      </w:r>
      <w:bookmarkEnd w:id="45"/>
    </w:p>
    <w:p w14:paraId="7A7AC0BE" w14:textId="0066FA15" w:rsidR="00922B4D" w:rsidRPr="001468A9" w:rsidRDefault="00922B4D" w:rsidP="00922B4D">
      <w:pPr>
        <w:rPr>
          <w:lang w:val="en-AU"/>
        </w:rPr>
      </w:pPr>
      <w:r w:rsidRPr="001468A9">
        <w:rPr>
          <w:lang w:val="en-AU"/>
        </w:rPr>
        <w:t xml:space="preserve">Age (18 to 94 years of age), </w:t>
      </w:r>
      <w:r w:rsidR="006517BA">
        <w:rPr>
          <w:lang w:val="en-AU"/>
        </w:rPr>
        <w:t xml:space="preserve">body weight (36 to 168 kg) </w:t>
      </w:r>
      <w:r w:rsidRPr="001468A9">
        <w:rPr>
          <w:lang w:val="en-AU"/>
        </w:rPr>
        <w:t xml:space="preserve">sex, or race had no clinically significant effect on the pharmacokinetics of </w:t>
      </w:r>
      <w:proofErr w:type="spellStart"/>
      <w:r w:rsidRPr="001468A9">
        <w:rPr>
          <w:lang w:val="en-AU"/>
        </w:rPr>
        <w:t>selinexor</w:t>
      </w:r>
      <w:proofErr w:type="spellEnd"/>
      <w:r w:rsidRPr="001468A9">
        <w:rPr>
          <w:lang w:val="en-AU"/>
        </w:rPr>
        <w:t>.</w:t>
      </w:r>
    </w:p>
    <w:p w14:paraId="52413CE5" w14:textId="77777777" w:rsidR="00922B4D" w:rsidRPr="001468A9" w:rsidRDefault="00922B4D" w:rsidP="00922B4D">
      <w:pPr>
        <w:rPr>
          <w:lang w:val="en-AU"/>
        </w:rPr>
      </w:pPr>
      <w:r w:rsidRPr="001468A9">
        <w:rPr>
          <w:lang w:val="en-AU"/>
        </w:rPr>
        <w:t>In the population pharmacokinetic dataset, the median age was 68 years. Although age was identified as a significant covariate for the absorption rate constant (k</w:t>
      </w:r>
      <w:r w:rsidRPr="001468A9">
        <w:rPr>
          <w:vertAlign w:val="subscript"/>
          <w:lang w:val="en-AU"/>
        </w:rPr>
        <w:t>a</w:t>
      </w:r>
      <w:r w:rsidRPr="001468A9">
        <w:rPr>
          <w:lang w:val="en-AU"/>
        </w:rPr>
        <w:t xml:space="preserve">), the estimate was very small. The overall exposure (AUC and </w:t>
      </w:r>
      <w:proofErr w:type="spellStart"/>
      <w:r w:rsidRPr="001468A9">
        <w:rPr>
          <w:lang w:val="en-AU"/>
        </w:rPr>
        <w:t>C</w:t>
      </w:r>
      <w:r w:rsidRPr="001468A9">
        <w:rPr>
          <w:vertAlign w:val="subscript"/>
          <w:lang w:val="en-AU"/>
        </w:rPr>
        <w:t>max</w:t>
      </w:r>
      <w:proofErr w:type="spellEnd"/>
      <w:r w:rsidRPr="001468A9">
        <w:rPr>
          <w:lang w:val="en-AU"/>
        </w:rPr>
        <w:t>) was similar between younger (18-64 years of age) and older patients (65 years of age and older).</w:t>
      </w:r>
    </w:p>
    <w:p w14:paraId="1BDD643A" w14:textId="68F73407" w:rsidR="00922B4D" w:rsidRDefault="00922B4D" w:rsidP="00A114B2">
      <w:pPr>
        <w:rPr>
          <w:lang w:val="en-AU"/>
        </w:rPr>
      </w:pPr>
      <w:r w:rsidRPr="001468A9">
        <w:rPr>
          <w:lang w:val="en-AU"/>
        </w:rPr>
        <w:t xml:space="preserve">There was no clinically significant effect of </w:t>
      </w:r>
      <w:proofErr w:type="gramStart"/>
      <w:r w:rsidRPr="001468A9">
        <w:rPr>
          <w:lang w:val="en-AU"/>
        </w:rPr>
        <w:t>gender;</w:t>
      </w:r>
      <w:proofErr w:type="gramEnd"/>
      <w:r w:rsidRPr="001468A9">
        <w:rPr>
          <w:lang w:val="en-AU"/>
        </w:rPr>
        <w:t xml:space="preserve"> although it was identified as a significant covariate.</w:t>
      </w:r>
    </w:p>
    <w:p w14:paraId="00A32A3B" w14:textId="3796B580" w:rsidR="00D132F6" w:rsidRDefault="00D132F6" w:rsidP="00D132F6">
      <w:pPr>
        <w:pStyle w:val="Heading4"/>
        <w:numPr>
          <w:ilvl w:val="0"/>
          <w:numId w:val="0"/>
        </w:numPr>
        <w:ind w:left="862" w:hanging="862"/>
        <w:rPr>
          <w:lang w:val="en-AU"/>
        </w:rPr>
      </w:pPr>
      <w:bookmarkStart w:id="46" w:name="_Ref48221898"/>
      <w:r>
        <w:rPr>
          <w:lang w:val="en-AU"/>
        </w:rPr>
        <w:t>Renal Impairment</w:t>
      </w:r>
      <w:bookmarkEnd w:id="46"/>
    </w:p>
    <w:p w14:paraId="33769975" w14:textId="61600819" w:rsidR="00334F8F" w:rsidRPr="00334F8F" w:rsidRDefault="009651FC" w:rsidP="00334F8F">
      <w:pPr>
        <w:rPr>
          <w:lang w:val="en-AU"/>
        </w:rPr>
      </w:pPr>
      <w:r w:rsidRPr="00334F8F">
        <w:rPr>
          <w:lang w:val="en-AU"/>
        </w:rPr>
        <w:t xml:space="preserve">No clinically significant differences in the pharmacokinetics of </w:t>
      </w:r>
      <w:proofErr w:type="spellStart"/>
      <w:r w:rsidRPr="00334F8F">
        <w:rPr>
          <w:lang w:val="en-AU"/>
        </w:rPr>
        <w:t>selinexor</w:t>
      </w:r>
      <w:proofErr w:type="spellEnd"/>
      <w:r w:rsidRPr="00334F8F">
        <w:rPr>
          <w:lang w:val="en-AU"/>
        </w:rPr>
        <w:t xml:space="preserve"> were observed based on age, mild to severe renal impairment (CLCR: 15 to 89 mL/min, estimated by the Cockcroft-Gault equation), and disease type (</w:t>
      </w:r>
      <w:proofErr w:type="spellStart"/>
      <w:r w:rsidRPr="00334F8F">
        <w:rPr>
          <w:lang w:val="en-AU"/>
        </w:rPr>
        <w:t>hematological</w:t>
      </w:r>
      <w:proofErr w:type="spellEnd"/>
      <w:r w:rsidRPr="00334F8F">
        <w:rPr>
          <w:lang w:val="en-AU"/>
        </w:rPr>
        <w:t xml:space="preserve"> non-DLBCL, solid </w:t>
      </w:r>
      <w:proofErr w:type="spellStart"/>
      <w:r w:rsidRPr="00334F8F">
        <w:rPr>
          <w:lang w:val="en-AU"/>
        </w:rPr>
        <w:t>tumor</w:t>
      </w:r>
      <w:proofErr w:type="spellEnd"/>
      <w:r w:rsidRPr="00334F8F">
        <w:rPr>
          <w:lang w:val="en-AU"/>
        </w:rPr>
        <w:t xml:space="preserve">, DLBCL). The effect of end-stage renal disease (CLCR &lt;15 mL/min) or </w:t>
      </w:r>
      <w:proofErr w:type="spellStart"/>
      <w:r w:rsidRPr="00334F8F">
        <w:rPr>
          <w:lang w:val="en-AU"/>
        </w:rPr>
        <w:t>hemodialysis</w:t>
      </w:r>
      <w:proofErr w:type="spellEnd"/>
      <w:r w:rsidRPr="00334F8F">
        <w:rPr>
          <w:lang w:val="en-AU"/>
        </w:rPr>
        <w:t xml:space="preserve"> on </w:t>
      </w:r>
      <w:proofErr w:type="spellStart"/>
      <w:r w:rsidRPr="00334F8F">
        <w:rPr>
          <w:lang w:val="en-AU"/>
        </w:rPr>
        <w:t>selinexor</w:t>
      </w:r>
      <w:proofErr w:type="spellEnd"/>
      <w:r w:rsidRPr="00334F8F">
        <w:rPr>
          <w:lang w:val="en-AU"/>
        </w:rPr>
        <w:t xml:space="preserve"> pharmacokinetics is unknown. Mild </w:t>
      </w:r>
      <w:r w:rsidR="00B17095">
        <w:rPr>
          <w:lang w:val="en-AU"/>
        </w:rPr>
        <w:t>renal</w:t>
      </w:r>
      <w:r w:rsidR="00B17095" w:rsidRPr="00334F8F">
        <w:rPr>
          <w:lang w:val="en-AU"/>
        </w:rPr>
        <w:t xml:space="preserve"> </w:t>
      </w:r>
      <w:r w:rsidRPr="00334F8F">
        <w:rPr>
          <w:lang w:val="en-AU"/>
        </w:rPr>
        <w:t xml:space="preserve">impairment had no clinically significant effect on the pharmacokinetics of </w:t>
      </w:r>
      <w:proofErr w:type="spellStart"/>
      <w:r w:rsidRPr="00334F8F">
        <w:rPr>
          <w:lang w:val="en-AU"/>
        </w:rPr>
        <w:t>selinexor</w:t>
      </w:r>
      <w:proofErr w:type="spellEnd"/>
      <w:r w:rsidRPr="00334F8F">
        <w:rPr>
          <w:lang w:val="en-AU"/>
        </w:rPr>
        <w:t xml:space="preserve">. </w:t>
      </w:r>
      <w:bookmarkStart w:id="47" w:name="_Ref48734882"/>
    </w:p>
    <w:p w14:paraId="6222A456" w14:textId="629FFEE0" w:rsidR="00A5717D" w:rsidRDefault="00A5717D" w:rsidP="00A5717D">
      <w:pPr>
        <w:pStyle w:val="Heading4"/>
        <w:numPr>
          <w:ilvl w:val="0"/>
          <w:numId w:val="0"/>
        </w:numPr>
        <w:ind w:left="862" w:hanging="862"/>
        <w:rPr>
          <w:lang w:val="en-AU"/>
        </w:rPr>
      </w:pPr>
      <w:r>
        <w:rPr>
          <w:lang w:val="en-AU"/>
        </w:rPr>
        <w:t>Hepatic Impairment</w:t>
      </w:r>
      <w:bookmarkEnd w:id="47"/>
    </w:p>
    <w:p w14:paraId="6E93D671" w14:textId="38A3B1DA" w:rsidR="00D132F6" w:rsidRPr="00A5717D" w:rsidRDefault="00A5717D" w:rsidP="00A5717D">
      <w:pPr>
        <w:rPr>
          <w:lang w:val="en-AU"/>
        </w:rPr>
      </w:pPr>
      <w:r w:rsidRPr="001468A9">
        <w:rPr>
          <w:lang w:val="en-AU"/>
        </w:rPr>
        <w:t xml:space="preserve">Mild hepatic impairment had no clinically significant effect on the pharmacokinetics of </w:t>
      </w:r>
      <w:proofErr w:type="spellStart"/>
      <w:r w:rsidRPr="001468A9">
        <w:rPr>
          <w:lang w:val="en-AU"/>
        </w:rPr>
        <w:t>selinexor</w:t>
      </w:r>
      <w:proofErr w:type="spellEnd"/>
      <w:r w:rsidRPr="001468A9">
        <w:rPr>
          <w:lang w:val="en-AU"/>
        </w:rPr>
        <w:t xml:space="preserve">. The effect of moderate and severe hepatic impairment on </w:t>
      </w:r>
      <w:proofErr w:type="spellStart"/>
      <w:r w:rsidRPr="001468A9">
        <w:rPr>
          <w:lang w:val="en-AU"/>
        </w:rPr>
        <w:t>selinexor</w:t>
      </w:r>
      <w:proofErr w:type="spellEnd"/>
      <w:r w:rsidRPr="001468A9">
        <w:rPr>
          <w:lang w:val="en-AU"/>
        </w:rPr>
        <w:t xml:space="preserve"> pharmacokinetics is unknown. No dose adjustment is needed in patients with mild to moderate hepatic impairment according to the National Cancer Institute – Organ Dysfunction Working Group (NCI-ODWG) criteria.</w:t>
      </w:r>
    </w:p>
    <w:p w14:paraId="7FD3327B" w14:textId="77777777" w:rsidR="00FD1F94" w:rsidRPr="00FA1502" w:rsidRDefault="00FD1F94" w:rsidP="00124389">
      <w:pPr>
        <w:pStyle w:val="Heading2"/>
        <w:rPr>
          <w:lang w:val="en-AU"/>
        </w:rPr>
      </w:pPr>
      <w:bookmarkStart w:id="48" w:name="_Ref71121467"/>
      <w:r w:rsidRPr="00FA1502">
        <w:rPr>
          <w:lang w:val="en-AU"/>
        </w:rPr>
        <w:t>PRECLINICAL</w:t>
      </w:r>
      <w:r w:rsidR="008438F1" w:rsidRPr="00FA1502">
        <w:rPr>
          <w:lang w:val="en-AU"/>
        </w:rPr>
        <w:t xml:space="preserve"> </w:t>
      </w:r>
      <w:r w:rsidRPr="00FA1502">
        <w:rPr>
          <w:lang w:val="en-AU"/>
        </w:rPr>
        <w:t>SAFETY DATA</w:t>
      </w:r>
      <w:bookmarkEnd w:id="48"/>
    </w:p>
    <w:p w14:paraId="66266492" w14:textId="3747520D" w:rsidR="00FD1F94" w:rsidRPr="00FA1502" w:rsidRDefault="00FD1F94" w:rsidP="0055703C">
      <w:pPr>
        <w:pStyle w:val="Heading3"/>
        <w:numPr>
          <w:ilvl w:val="0"/>
          <w:numId w:val="0"/>
        </w:numPr>
        <w:rPr>
          <w:lang w:val="en-AU"/>
        </w:rPr>
      </w:pPr>
      <w:r w:rsidRPr="00FA1502">
        <w:rPr>
          <w:lang w:val="en-AU"/>
        </w:rPr>
        <w:t>Genotoxicity</w:t>
      </w:r>
    </w:p>
    <w:p w14:paraId="4158BB47" w14:textId="2BB73462" w:rsidR="004F1996" w:rsidRPr="00FA1502" w:rsidRDefault="004F1996" w:rsidP="004F1996">
      <w:pPr>
        <w:rPr>
          <w:lang w:val="en-AU"/>
        </w:rPr>
      </w:pPr>
      <w:r w:rsidRPr="001468A9">
        <w:rPr>
          <w:lang w:val="en-AU"/>
        </w:rPr>
        <w:t xml:space="preserve">Selinexor was not mutagenic </w:t>
      </w:r>
      <w:r w:rsidRPr="00F53F5F">
        <w:rPr>
          <w:i/>
          <w:iCs/>
          <w:lang w:val="en-AU"/>
        </w:rPr>
        <w:t>in vitro</w:t>
      </w:r>
      <w:r w:rsidRPr="001468A9">
        <w:rPr>
          <w:lang w:val="en-AU"/>
        </w:rPr>
        <w:t xml:space="preserve"> in a bacterial reverse mutation (Ames) assay and was not clastogenic in either the </w:t>
      </w:r>
      <w:r w:rsidRPr="00F53F5F">
        <w:rPr>
          <w:i/>
          <w:iCs/>
          <w:lang w:val="en-AU"/>
        </w:rPr>
        <w:t>in vitro</w:t>
      </w:r>
      <w:r w:rsidR="00CA38B4">
        <w:rPr>
          <w:lang w:val="en-AU"/>
        </w:rPr>
        <w:t xml:space="preserve"> chromosomal aberration</w:t>
      </w:r>
      <w:r w:rsidRPr="001468A9">
        <w:rPr>
          <w:lang w:val="en-AU"/>
        </w:rPr>
        <w:t xml:space="preserve"> assay in human lymphocytes or in the </w:t>
      </w:r>
      <w:r w:rsidRPr="00F53F5F">
        <w:rPr>
          <w:i/>
          <w:iCs/>
          <w:lang w:val="en-AU"/>
        </w:rPr>
        <w:t>in vivo</w:t>
      </w:r>
      <w:r w:rsidRPr="001468A9">
        <w:rPr>
          <w:lang w:val="en-AU"/>
        </w:rPr>
        <w:t xml:space="preserve"> rat micronucleus assay.</w:t>
      </w:r>
    </w:p>
    <w:p w14:paraId="6BABA623" w14:textId="5097D330" w:rsidR="00FD1F94" w:rsidRPr="00FA1502" w:rsidRDefault="00FD1F94" w:rsidP="0055703C">
      <w:pPr>
        <w:pStyle w:val="Heading3"/>
        <w:numPr>
          <w:ilvl w:val="0"/>
          <w:numId w:val="0"/>
        </w:numPr>
        <w:rPr>
          <w:lang w:val="en-AU"/>
        </w:rPr>
      </w:pPr>
      <w:r w:rsidRPr="00FA1502">
        <w:rPr>
          <w:lang w:val="en-AU"/>
        </w:rPr>
        <w:lastRenderedPageBreak/>
        <w:t>Carcinogenicity</w:t>
      </w:r>
    </w:p>
    <w:p w14:paraId="6B8DBC51" w14:textId="377DB92D" w:rsidR="004F1996" w:rsidRPr="00FA1502" w:rsidRDefault="004F1996" w:rsidP="004F1996">
      <w:pPr>
        <w:rPr>
          <w:lang w:val="en-AU"/>
        </w:rPr>
      </w:pPr>
      <w:r w:rsidRPr="001468A9">
        <w:rPr>
          <w:lang w:val="en-AU"/>
        </w:rPr>
        <w:t xml:space="preserve">Carcinogenicity studies have not been conducted with </w:t>
      </w:r>
      <w:proofErr w:type="spellStart"/>
      <w:r w:rsidRPr="001468A9">
        <w:rPr>
          <w:lang w:val="en-AU"/>
        </w:rPr>
        <w:t>selinexor</w:t>
      </w:r>
      <w:proofErr w:type="spellEnd"/>
      <w:r w:rsidRPr="001468A9">
        <w:rPr>
          <w:lang w:val="en-AU"/>
        </w:rPr>
        <w:t>.</w:t>
      </w:r>
    </w:p>
    <w:p w14:paraId="3E6D1C9F" w14:textId="77777777" w:rsidR="00FD1F94" w:rsidRPr="00FA1502" w:rsidRDefault="00FD1F94" w:rsidP="0055703C">
      <w:pPr>
        <w:pStyle w:val="Heading1"/>
        <w:pageBreakBefore w:val="0"/>
        <w:rPr>
          <w:lang w:val="en-AU"/>
        </w:rPr>
      </w:pPr>
      <w:r w:rsidRPr="00FA1502">
        <w:rPr>
          <w:lang w:val="en-AU"/>
        </w:rPr>
        <w:t>PHARMACEUTICAL PARTICULARS</w:t>
      </w:r>
    </w:p>
    <w:p w14:paraId="7AEFCB70" w14:textId="4668AA40" w:rsidR="00FD1F94" w:rsidRPr="00FA1502" w:rsidRDefault="00FD1F94" w:rsidP="00124389">
      <w:pPr>
        <w:pStyle w:val="Heading2"/>
        <w:rPr>
          <w:lang w:val="en-AU"/>
        </w:rPr>
      </w:pPr>
      <w:bookmarkStart w:id="49" w:name="_Ref45709874"/>
      <w:r w:rsidRPr="00FA1502">
        <w:rPr>
          <w:lang w:val="en-AU"/>
        </w:rPr>
        <w:t>LIST OF EXCIPIENTS</w:t>
      </w:r>
      <w:bookmarkEnd w:id="49"/>
    </w:p>
    <w:p w14:paraId="49B6C50B" w14:textId="096B7B0E" w:rsidR="002216CA" w:rsidRPr="00FA1502" w:rsidRDefault="002216CA" w:rsidP="002216CA">
      <w:pPr>
        <w:rPr>
          <w:lang w:val="en-AU"/>
        </w:rPr>
      </w:pPr>
      <w:r w:rsidRPr="00FA1502">
        <w:rPr>
          <w:lang w:val="en-AU"/>
        </w:rPr>
        <w:t>Microcrystalline cellulose</w:t>
      </w:r>
      <w:r w:rsidR="00B77BDA" w:rsidRPr="00FA1502">
        <w:rPr>
          <w:lang w:val="en-AU"/>
        </w:rPr>
        <w:t xml:space="preserve"> (PH-101)</w:t>
      </w:r>
    </w:p>
    <w:p w14:paraId="03B20BD2" w14:textId="6DD2AB1A" w:rsidR="002216CA" w:rsidRPr="00FA1502" w:rsidRDefault="002216CA" w:rsidP="002216CA">
      <w:pPr>
        <w:rPr>
          <w:lang w:val="en-AU"/>
        </w:rPr>
      </w:pPr>
      <w:r w:rsidRPr="00FA1502">
        <w:rPr>
          <w:lang w:val="en-AU"/>
        </w:rPr>
        <w:t>Croscarmellose sodium</w:t>
      </w:r>
    </w:p>
    <w:p w14:paraId="38583770" w14:textId="1D548156" w:rsidR="002216CA" w:rsidRPr="00FA1502" w:rsidRDefault="002216CA" w:rsidP="002216CA">
      <w:pPr>
        <w:rPr>
          <w:lang w:val="en-AU"/>
        </w:rPr>
      </w:pPr>
      <w:r w:rsidRPr="00FA1502">
        <w:rPr>
          <w:lang w:val="en-AU"/>
        </w:rPr>
        <w:t>Povidone</w:t>
      </w:r>
    </w:p>
    <w:p w14:paraId="414BEC9A" w14:textId="1CA57D41" w:rsidR="002216CA" w:rsidRPr="00FA1502" w:rsidRDefault="00B77BDA" w:rsidP="002216CA">
      <w:pPr>
        <w:rPr>
          <w:lang w:val="en-AU"/>
        </w:rPr>
      </w:pPr>
      <w:r w:rsidRPr="00FA1502">
        <w:rPr>
          <w:lang w:val="en-AU"/>
        </w:rPr>
        <w:t>S</w:t>
      </w:r>
      <w:r w:rsidR="002216CA" w:rsidRPr="00FA1502">
        <w:rPr>
          <w:lang w:val="en-AU"/>
        </w:rPr>
        <w:t>ilicon dioxide</w:t>
      </w:r>
    </w:p>
    <w:p w14:paraId="18C09C4D" w14:textId="0BB6CD85" w:rsidR="002216CA" w:rsidRPr="00FA1502" w:rsidRDefault="002216CA" w:rsidP="002216CA">
      <w:pPr>
        <w:rPr>
          <w:lang w:val="en-AU"/>
        </w:rPr>
      </w:pPr>
      <w:r w:rsidRPr="00FA1502">
        <w:rPr>
          <w:lang w:val="en-AU"/>
        </w:rPr>
        <w:t>Magnesium stearate</w:t>
      </w:r>
    </w:p>
    <w:p w14:paraId="303903F9" w14:textId="7B988F13" w:rsidR="002216CA" w:rsidRPr="00FA1502" w:rsidRDefault="002216CA" w:rsidP="002216CA">
      <w:pPr>
        <w:rPr>
          <w:lang w:val="en-AU"/>
        </w:rPr>
      </w:pPr>
      <w:r w:rsidRPr="00FA1502">
        <w:rPr>
          <w:lang w:val="en-AU"/>
        </w:rPr>
        <w:t>Microcrystalline cellulose</w:t>
      </w:r>
      <w:r w:rsidR="00B77BDA" w:rsidRPr="00FA1502">
        <w:rPr>
          <w:lang w:val="en-AU"/>
        </w:rPr>
        <w:t xml:space="preserve"> (PH-102)</w:t>
      </w:r>
    </w:p>
    <w:p w14:paraId="165A44AC" w14:textId="0A46A6D3" w:rsidR="002216CA" w:rsidRPr="00FA1502" w:rsidRDefault="002216CA" w:rsidP="002216CA">
      <w:pPr>
        <w:rPr>
          <w:lang w:val="en-AU"/>
        </w:rPr>
      </w:pPr>
      <w:r w:rsidRPr="00FA1502">
        <w:rPr>
          <w:lang w:val="en-AU"/>
        </w:rPr>
        <w:t>Sodium laur</w:t>
      </w:r>
      <w:r w:rsidR="00B77BDA" w:rsidRPr="00FA1502">
        <w:rPr>
          <w:lang w:val="en-AU"/>
        </w:rPr>
        <w:t>y</w:t>
      </w:r>
      <w:r w:rsidRPr="00FA1502">
        <w:rPr>
          <w:lang w:val="en-AU"/>
        </w:rPr>
        <w:t xml:space="preserve">l </w:t>
      </w:r>
      <w:proofErr w:type="spellStart"/>
      <w:r w:rsidRPr="00FA1502">
        <w:rPr>
          <w:lang w:val="en-AU"/>
        </w:rPr>
        <w:t>sulfate</w:t>
      </w:r>
      <w:proofErr w:type="spellEnd"/>
    </w:p>
    <w:p w14:paraId="47CEC823" w14:textId="77777777" w:rsidR="00445132" w:rsidRDefault="00445132" w:rsidP="00445132">
      <w:bookmarkStart w:id="50" w:name="_Ref511901602"/>
      <w:r>
        <w:t>OPADRY 200 Optimized Performance Coatings 203A190001 Clear</w:t>
      </w:r>
    </w:p>
    <w:p w14:paraId="0492DA78" w14:textId="2EC7F355" w:rsidR="00445132" w:rsidRPr="00445132" w:rsidRDefault="00B921F2" w:rsidP="00445132">
      <w:r w:rsidRPr="00AB47B9">
        <w:t>OPADRY II Complete Film Coating System 85F90892 Blue</w:t>
      </w:r>
    </w:p>
    <w:p w14:paraId="40F8C008" w14:textId="2A93D659" w:rsidR="00FD1F94" w:rsidRPr="00FA1502" w:rsidRDefault="00FD1F94" w:rsidP="00124389">
      <w:pPr>
        <w:pStyle w:val="Heading2"/>
        <w:rPr>
          <w:lang w:val="en-AU"/>
        </w:rPr>
      </w:pPr>
      <w:r w:rsidRPr="00FA1502">
        <w:rPr>
          <w:lang w:val="en-AU"/>
        </w:rPr>
        <w:t>INCOMPATIBILITIES</w:t>
      </w:r>
      <w:bookmarkEnd w:id="50"/>
    </w:p>
    <w:p w14:paraId="6C2F032C" w14:textId="7099CAEC" w:rsidR="008A0618" w:rsidRPr="00FA1502" w:rsidRDefault="00944393" w:rsidP="00C77721">
      <w:pPr>
        <w:rPr>
          <w:lang w:val="en-AU"/>
        </w:rPr>
      </w:pPr>
      <w:r w:rsidRPr="00B27025">
        <w:rPr>
          <w:lang w:val="en-AU"/>
        </w:rPr>
        <w:t>Not applicable.</w:t>
      </w:r>
    </w:p>
    <w:p w14:paraId="752C7CE3" w14:textId="77777777" w:rsidR="00FD1F94" w:rsidRPr="00FA1502" w:rsidRDefault="00FD1F94" w:rsidP="00124389">
      <w:pPr>
        <w:pStyle w:val="Heading2"/>
        <w:rPr>
          <w:lang w:val="en-AU"/>
        </w:rPr>
      </w:pPr>
      <w:r w:rsidRPr="00FA1502">
        <w:rPr>
          <w:lang w:val="en-AU"/>
        </w:rPr>
        <w:t>SHELF LIFE</w:t>
      </w:r>
    </w:p>
    <w:p w14:paraId="523DB701" w14:textId="77777777" w:rsidR="00B73883" w:rsidRPr="00FA1502" w:rsidRDefault="00B73883" w:rsidP="00C77721">
      <w:pPr>
        <w:rPr>
          <w:lang w:val="en-AU"/>
        </w:rPr>
      </w:pPr>
      <w:r w:rsidRPr="00FA1502">
        <w:rPr>
          <w:lang w:val="en-AU"/>
        </w:rPr>
        <w:t>In Australia, information on the shelf life can be found on the public summary of the Australian Register of Therapeutic Goods (ARTG). The expiry date can be found on the packaging.</w:t>
      </w:r>
    </w:p>
    <w:p w14:paraId="476DD1AF" w14:textId="77777777" w:rsidR="00FD1F94" w:rsidRPr="00FA1502" w:rsidRDefault="00FD1F94" w:rsidP="00124389">
      <w:pPr>
        <w:pStyle w:val="Heading2"/>
        <w:rPr>
          <w:lang w:val="en-AU"/>
        </w:rPr>
      </w:pPr>
      <w:r w:rsidRPr="00FA1502">
        <w:rPr>
          <w:lang w:val="en-AU"/>
        </w:rPr>
        <w:t>SPECIAL PRECAUTIONS FOR STORAGE</w:t>
      </w:r>
    </w:p>
    <w:p w14:paraId="5B12135E" w14:textId="08FED931" w:rsidR="00B73883" w:rsidRPr="00FA1502" w:rsidRDefault="003C7E5F" w:rsidP="00121F85">
      <w:pPr>
        <w:rPr>
          <w:lang w:val="en-AU"/>
        </w:rPr>
      </w:pPr>
      <w:r w:rsidRPr="00FA1502">
        <w:rPr>
          <w:lang w:val="en-AU"/>
        </w:rPr>
        <w:t>Store below 30</w:t>
      </w:r>
      <w:r w:rsidRPr="00FA1502">
        <w:rPr>
          <w:rFonts w:ascii="Calibri" w:hAnsi="Calibri" w:cs="Calibri"/>
          <w:lang w:val="en-AU"/>
        </w:rPr>
        <w:t>°</w:t>
      </w:r>
      <w:r w:rsidRPr="00FA1502">
        <w:rPr>
          <w:lang w:val="en-AU"/>
        </w:rPr>
        <w:t>C</w:t>
      </w:r>
    </w:p>
    <w:p w14:paraId="3FA350F9" w14:textId="77777777" w:rsidR="00FD1F94" w:rsidRPr="00FA1502" w:rsidRDefault="00FD1F94" w:rsidP="00124389">
      <w:pPr>
        <w:pStyle w:val="Heading2"/>
        <w:rPr>
          <w:lang w:val="en-AU"/>
        </w:rPr>
      </w:pPr>
      <w:r w:rsidRPr="00FA1502">
        <w:rPr>
          <w:lang w:val="en-AU"/>
        </w:rPr>
        <w:t>NATURE AND CONTENTS OF CONTAINER</w:t>
      </w:r>
    </w:p>
    <w:p w14:paraId="2D5C6F6E" w14:textId="77777777" w:rsidR="003C7E5F" w:rsidRPr="00B27025" w:rsidRDefault="003C7E5F" w:rsidP="00B73883">
      <w:pPr>
        <w:pStyle w:val="ListBulletLevel2"/>
        <w:numPr>
          <w:ilvl w:val="0"/>
          <w:numId w:val="0"/>
        </w:numPr>
        <w:rPr>
          <w:lang w:val="en-AU"/>
        </w:rPr>
      </w:pPr>
      <w:r w:rsidRPr="00B27025">
        <w:rPr>
          <w:lang w:val="en-AU"/>
        </w:rPr>
        <w:t>PVC/PCTFE/PVC-aluminium blisters.</w:t>
      </w:r>
    </w:p>
    <w:p w14:paraId="44ECE2A3" w14:textId="77C1C8E3" w:rsidR="00293BCE" w:rsidRPr="00FA1502" w:rsidRDefault="00293BCE" w:rsidP="00293BCE">
      <w:pPr>
        <w:pStyle w:val="ListBulletLevel2"/>
        <w:numPr>
          <w:ilvl w:val="0"/>
          <w:numId w:val="0"/>
        </w:numPr>
        <w:rPr>
          <w:lang w:val="en-AU"/>
        </w:rPr>
      </w:pPr>
      <w:r w:rsidRPr="00B27025">
        <w:rPr>
          <w:lang w:val="en-AU"/>
        </w:rPr>
        <w:t xml:space="preserve">Each pack contains an outer carton </w:t>
      </w:r>
      <w:r w:rsidR="004752DC" w:rsidRPr="00B27025">
        <w:rPr>
          <w:lang w:val="en-AU"/>
        </w:rPr>
        <w:t xml:space="preserve">containing </w:t>
      </w:r>
      <w:r w:rsidRPr="00B27025">
        <w:rPr>
          <w:lang w:val="en-AU"/>
        </w:rPr>
        <w:t>16, 20</w:t>
      </w:r>
      <w:r w:rsidR="005B0E93" w:rsidRPr="00B27025">
        <w:rPr>
          <w:lang w:val="en-AU"/>
        </w:rPr>
        <w:t>, 24</w:t>
      </w:r>
      <w:r w:rsidRPr="00B27025">
        <w:rPr>
          <w:lang w:val="en-AU"/>
        </w:rPr>
        <w:t xml:space="preserve"> or 32 tablets.</w:t>
      </w:r>
      <w:r w:rsidRPr="00FA1502">
        <w:rPr>
          <w:lang w:val="en-AU"/>
        </w:rPr>
        <w:t xml:space="preserve"> </w:t>
      </w:r>
    </w:p>
    <w:p w14:paraId="18319739" w14:textId="77777777" w:rsidR="00FD1F94" w:rsidRPr="00FA1502" w:rsidRDefault="00FD1F94" w:rsidP="00124389">
      <w:pPr>
        <w:pStyle w:val="Heading2"/>
        <w:rPr>
          <w:lang w:val="en-AU"/>
        </w:rPr>
      </w:pPr>
      <w:r w:rsidRPr="00FA1502">
        <w:rPr>
          <w:lang w:val="en-AU"/>
        </w:rPr>
        <w:lastRenderedPageBreak/>
        <w:t>SPECIAL PRECAUTIONS FOR DISPOSAL</w:t>
      </w:r>
    </w:p>
    <w:p w14:paraId="600BF736" w14:textId="77777777" w:rsidR="00B73883" w:rsidRPr="00FA1502" w:rsidRDefault="00B73883" w:rsidP="00B73883">
      <w:pPr>
        <w:pStyle w:val="ListBulletLevel2"/>
        <w:numPr>
          <w:ilvl w:val="0"/>
          <w:numId w:val="0"/>
        </w:numPr>
        <w:rPr>
          <w:lang w:val="en-AU"/>
        </w:rPr>
      </w:pPr>
      <w:r w:rsidRPr="00FA1502">
        <w:rPr>
          <w:lang w:val="en-AU"/>
        </w:rPr>
        <w:t>In Australia, any unused medicine or waste material should be disposed of in accordance with local requirements.</w:t>
      </w:r>
    </w:p>
    <w:p w14:paraId="2C840609" w14:textId="7849B816" w:rsidR="00FD1F94" w:rsidRDefault="00FD1F94" w:rsidP="00124389">
      <w:pPr>
        <w:pStyle w:val="Heading2"/>
        <w:rPr>
          <w:lang w:val="en-AU"/>
        </w:rPr>
      </w:pPr>
      <w:r w:rsidRPr="00FA1502">
        <w:rPr>
          <w:lang w:val="en-AU"/>
        </w:rPr>
        <w:t>PHYSICOCHEMICAL PROPERTIES</w:t>
      </w:r>
    </w:p>
    <w:p w14:paraId="3F282518" w14:textId="1FD16370" w:rsidR="00BE7C2F" w:rsidRPr="00BE7C2F" w:rsidRDefault="00BE7C2F" w:rsidP="00BE7C2F">
      <w:r w:rsidRPr="000E7A3B">
        <w:t>Selinexor is (2</w:t>
      </w:r>
      <w:r w:rsidRPr="000E7A3B">
        <w:rPr>
          <w:i/>
          <w:iCs/>
        </w:rPr>
        <w:t>Z</w:t>
      </w:r>
      <w:r w:rsidRPr="000E7A3B">
        <w:t>)-3-{3-[3,5-bis(trifluoromethyl)phenyl]-1</w:t>
      </w:r>
      <w:r w:rsidRPr="000E7A3B">
        <w:rPr>
          <w:i/>
          <w:iCs/>
        </w:rPr>
        <w:t>H</w:t>
      </w:r>
      <w:r w:rsidRPr="000E7A3B">
        <w:t>-1,2,4-triazol-1-yl}-</w:t>
      </w:r>
      <w:r w:rsidRPr="000E7A3B">
        <w:rPr>
          <w:i/>
          <w:iCs/>
        </w:rPr>
        <w:t>N</w:t>
      </w:r>
      <w:r w:rsidRPr="000E7A3B">
        <w:t>'-(pyrazin-2-</w:t>
      </w:r>
      <w:proofErr w:type="gramStart"/>
      <w:r w:rsidRPr="000E7A3B">
        <w:t>yl)prop</w:t>
      </w:r>
      <w:proofErr w:type="gramEnd"/>
      <w:r w:rsidRPr="000E7A3B">
        <w:t>-2-enehydrazide. It is a white to off-white powder and has the molecular formula C</w:t>
      </w:r>
      <w:r w:rsidRPr="000E7A3B">
        <w:rPr>
          <w:vertAlign w:val="subscript"/>
        </w:rPr>
        <w:t>17</w:t>
      </w:r>
      <w:r w:rsidRPr="000E7A3B">
        <w:t>H</w:t>
      </w:r>
      <w:r w:rsidRPr="000E7A3B">
        <w:rPr>
          <w:vertAlign w:val="subscript"/>
        </w:rPr>
        <w:t>11</w:t>
      </w:r>
      <w:r w:rsidRPr="000E7A3B">
        <w:t>F</w:t>
      </w:r>
      <w:r w:rsidRPr="000E7A3B">
        <w:rPr>
          <w:vertAlign w:val="subscript"/>
        </w:rPr>
        <w:t>6</w:t>
      </w:r>
      <w:r w:rsidRPr="000E7A3B">
        <w:t>N</w:t>
      </w:r>
      <w:r w:rsidRPr="000E7A3B">
        <w:rPr>
          <w:vertAlign w:val="subscript"/>
        </w:rPr>
        <w:t>7</w:t>
      </w:r>
      <w:r w:rsidRPr="000E7A3B">
        <w:t>O and a molecular mass of 443.31 g/mol.</w:t>
      </w:r>
      <w:r w:rsidRPr="00882C96">
        <w:t xml:space="preserve"> </w:t>
      </w:r>
    </w:p>
    <w:p w14:paraId="5FE84F59" w14:textId="6DF4CD07" w:rsidR="00FD1F94" w:rsidRPr="00FA1502" w:rsidRDefault="00FD1F94" w:rsidP="00C77721">
      <w:pPr>
        <w:pStyle w:val="Heading3"/>
        <w:numPr>
          <w:ilvl w:val="0"/>
          <w:numId w:val="0"/>
        </w:numPr>
        <w:rPr>
          <w:lang w:val="en-AU"/>
        </w:rPr>
      </w:pPr>
      <w:r w:rsidRPr="00FA1502">
        <w:rPr>
          <w:lang w:val="en-AU"/>
        </w:rPr>
        <w:t>Chemical structure</w:t>
      </w:r>
    </w:p>
    <w:p w14:paraId="636A7E67" w14:textId="50A3FCD1" w:rsidR="00293BCE" w:rsidRPr="00FA1502" w:rsidRDefault="00293BCE" w:rsidP="00293BCE">
      <w:pPr>
        <w:rPr>
          <w:lang w:val="en-AU"/>
        </w:rPr>
      </w:pPr>
      <w:r w:rsidRPr="00FA1502">
        <w:rPr>
          <w:noProof/>
          <w:lang w:val="en-AU"/>
        </w:rPr>
        <w:drawing>
          <wp:inline distT="0" distB="0" distL="0" distR="0" wp14:anchorId="1F3536AD" wp14:editId="6C38AA25">
            <wp:extent cx="1876425" cy="93027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930275"/>
                    </a:xfrm>
                    <a:prstGeom prst="rect">
                      <a:avLst/>
                    </a:prstGeom>
                    <a:noFill/>
                    <a:ln>
                      <a:noFill/>
                    </a:ln>
                  </pic:spPr>
                </pic:pic>
              </a:graphicData>
            </a:graphic>
          </wp:inline>
        </w:drawing>
      </w:r>
    </w:p>
    <w:p w14:paraId="3E26AFBF" w14:textId="168BBBAE" w:rsidR="00293BCE" w:rsidRPr="00FA1502" w:rsidRDefault="00293BCE" w:rsidP="00293BCE">
      <w:pPr>
        <w:rPr>
          <w:lang w:val="en-AU"/>
        </w:rPr>
      </w:pPr>
      <w:r w:rsidRPr="00FA1502">
        <w:rPr>
          <w:lang w:val="en-AU"/>
        </w:rPr>
        <w:t>Molecular Formula: C</w:t>
      </w:r>
      <w:r w:rsidRPr="00FA1502">
        <w:rPr>
          <w:vertAlign w:val="subscript"/>
          <w:lang w:val="en-AU"/>
        </w:rPr>
        <w:t>17</w:t>
      </w:r>
      <w:r w:rsidRPr="00FA1502">
        <w:rPr>
          <w:lang w:val="en-AU"/>
        </w:rPr>
        <w:t>H</w:t>
      </w:r>
      <w:r w:rsidRPr="00FA1502">
        <w:rPr>
          <w:vertAlign w:val="subscript"/>
          <w:lang w:val="en-AU"/>
        </w:rPr>
        <w:t>11</w:t>
      </w:r>
      <w:r w:rsidRPr="00FA1502">
        <w:rPr>
          <w:lang w:val="en-AU"/>
        </w:rPr>
        <w:t>F</w:t>
      </w:r>
      <w:r w:rsidRPr="00FA1502">
        <w:rPr>
          <w:vertAlign w:val="subscript"/>
          <w:lang w:val="en-AU"/>
        </w:rPr>
        <w:t>6</w:t>
      </w:r>
      <w:r w:rsidRPr="00FA1502">
        <w:rPr>
          <w:lang w:val="en-AU"/>
        </w:rPr>
        <w:t>N</w:t>
      </w:r>
      <w:r w:rsidRPr="00FA1502">
        <w:rPr>
          <w:vertAlign w:val="subscript"/>
          <w:lang w:val="en-AU"/>
        </w:rPr>
        <w:t>7</w:t>
      </w:r>
      <w:r w:rsidRPr="00FA1502">
        <w:rPr>
          <w:lang w:val="en-AU"/>
        </w:rPr>
        <w:t>O</w:t>
      </w:r>
    </w:p>
    <w:p w14:paraId="7A74B1ED" w14:textId="1E6C8517" w:rsidR="00FD1F94" w:rsidRPr="00FA1502" w:rsidRDefault="00FD1F94" w:rsidP="00C77721">
      <w:pPr>
        <w:pStyle w:val="Heading3"/>
        <w:numPr>
          <w:ilvl w:val="0"/>
          <w:numId w:val="0"/>
        </w:numPr>
        <w:rPr>
          <w:lang w:val="en-AU"/>
        </w:rPr>
      </w:pPr>
      <w:r w:rsidRPr="00FA1502">
        <w:rPr>
          <w:lang w:val="en-AU"/>
        </w:rPr>
        <w:t>CAS number</w:t>
      </w:r>
    </w:p>
    <w:p w14:paraId="443A745C" w14:textId="0A947863" w:rsidR="002F392E" w:rsidRPr="00FA1502" w:rsidRDefault="002F392E" w:rsidP="002F392E">
      <w:pPr>
        <w:rPr>
          <w:lang w:val="en-AU"/>
        </w:rPr>
      </w:pPr>
      <w:r w:rsidRPr="00FA1502">
        <w:rPr>
          <w:lang w:val="en-AU"/>
        </w:rPr>
        <w:t>1393477-72-9</w:t>
      </w:r>
    </w:p>
    <w:p w14:paraId="26197BFD" w14:textId="4BABA4A1" w:rsidR="00FD1F94" w:rsidRPr="00FA1502" w:rsidRDefault="00FD1F94" w:rsidP="00C77721">
      <w:pPr>
        <w:pStyle w:val="Heading1"/>
        <w:pageBreakBefore w:val="0"/>
        <w:rPr>
          <w:lang w:val="en-AU"/>
        </w:rPr>
      </w:pPr>
      <w:r w:rsidRPr="00FA1502">
        <w:rPr>
          <w:lang w:val="en-AU"/>
        </w:rPr>
        <w:t>MEDICINE SCHEDULE (POISONS STANDARD)</w:t>
      </w:r>
    </w:p>
    <w:p w14:paraId="12D79AD8" w14:textId="25AA4AFA" w:rsidR="002F392E" w:rsidRPr="00FA1502" w:rsidRDefault="002F392E" w:rsidP="002F392E">
      <w:pPr>
        <w:rPr>
          <w:lang w:val="en-AU"/>
        </w:rPr>
      </w:pPr>
      <w:r w:rsidRPr="00FA1502">
        <w:rPr>
          <w:lang w:val="en-AU"/>
        </w:rPr>
        <w:t>Schedule 4 – Prescription Only Medicine</w:t>
      </w:r>
    </w:p>
    <w:p w14:paraId="363D1406" w14:textId="77777777" w:rsidR="00FD1F94" w:rsidRPr="00FA1502" w:rsidRDefault="00FD1F94" w:rsidP="00C77721">
      <w:pPr>
        <w:pStyle w:val="Heading1"/>
        <w:pageBreakBefore w:val="0"/>
        <w:rPr>
          <w:lang w:val="en-AU"/>
        </w:rPr>
      </w:pPr>
      <w:r w:rsidRPr="00FA1502">
        <w:rPr>
          <w:lang w:val="en-AU"/>
        </w:rPr>
        <w:t>SPONSOR</w:t>
      </w:r>
    </w:p>
    <w:p w14:paraId="6CB1038F" w14:textId="77777777" w:rsidR="00C7157C" w:rsidRDefault="002F392E" w:rsidP="005C7D6F">
      <w:pPr>
        <w:rPr>
          <w:lang w:val="en-AU"/>
        </w:rPr>
      </w:pPr>
      <w:bookmarkStart w:id="51" w:name="_Hlk72830208"/>
      <w:proofErr w:type="spellStart"/>
      <w:r w:rsidRPr="00FA1502">
        <w:rPr>
          <w:lang w:val="en-AU"/>
        </w:rPr>
        <w:t>Antengene</w:t>
      </w:r>
      <w:proofErr w:type="spellEnd"/>
      <w:r w:rsidRPr="00FA1502">
        <w:rPr>
          <w:lang w:val="en-AU"/>
        </w:rPr>
        <w:t xml:space="preserve"> (</w:t>
      </w:r>
      <w:proofErr w:type="spellStart"/>
      <w:r w:rsidRPr="00FA1502">
        <w:rPr>
          <w:lang w:val="en-AU"/>
        </w:rPr>
        <w:t>Aus</w:t>
      </w:r>
      <w:proofErr w:type="spellEnd"/>
      <w:r w:rsidRPr="00FA1502">
        <w:rPr>
          <w:lang w:val="en-AU"/>
        </w:rPr>
        <w:t>) Pty Ltd</w:t>
      </w:r>
    </w:p>
    <w:p w14:paraId="0EA55F61" w14:textId="3951294B" w:rsidR="00C7157C" w:rsidRDefault="00CD4B2D">
      <w:pPr>
        <w:spacing w:before="0"/>
        <w:rPr>
          <w:lang w:val="en-AU"/>
        </w:rPr>
      </w:pPr>
      <w:r>
        <w:rPr>
          <w:lang w:val="en-AU"/>
        </w:rPr>
        <w:t>Level 17, 31 Queen St</w:t>
      </w:r>
    </w:p>
    <w:p w14:paraId="76FB20A2" w14:textId="31AB2CEC" w:rsidR="00C7157C" w:rsidRDefault="00CD4B2D" w:rsidP="00F53F5F">
      <w:pPr>
        <w:spacing w:before="0"/>
        <w:rPr>
          <w:lang w:val="en-AU"/>
        </w:rPr>
      </w:pPr>
      <w:r>
        <w:rPr>
          <w:lang w:val="en-AU"/>
        </w:rPr>
        <w:t>Melbourne</w:t>
      </w:r>
      <w:r w:rsidR="00C7157C" w:rsidRPr="00F53F5F">
        <w:rPr>
          <w:lang w:val="en-AU"/>
        </w:rPr>
        <w:t xml:space="preserve"> </w:t>
      </w:r>
    </w:p>
    <w:p w14:paraId="2F6BF2CE" w14:textId="29BB439C" w:rsidR="00C7157C" w:rsidRDefault="00C7157C" w:rsidP="00C7157C">
      <w:pPr>
        <w:spacing w:before="0"/>
        <w:rPr>
          <w:lang w:val="en-AU"/>
        </w:rPr>
      </w:pPr>
      <w:r w:rsidRPr="00F53F5F">
        <w:rPr>
          <w:lang w:val="en-AU"/>
        </w:rPr>
        <w:t>Victoria, 3</w:t>
      </w:r>
      <w:r w:rsidR="00CD4B2D">
        <w:rPr>
          <w:lang w:val="en-AU"/>
        </w:rPr>
        <w:t>000</w:t>
      </w:r>
    </w:p>
    <w:p w14:paraId="7E38E4EE" w14:textId="67E2E743" w:rsidR="00C7157C" w:rsidRDefault="00C7157C" w:rsidP="00C7157C">
      <w:pPr>
        <w:spacing w:before="0"/>
        <w:rPr>
          <w:lang w:val="en-AU"/>
        </w:rPr>
      </w:pPr>
      <w:r w:rsidRPr="00E34C50">
        <w:rPr>
          <w:lang w:val="en-AU"/>
        </w:rPr>
        <w:t>Australia</w:t>
      </w:r>
    </w:p>
    <w:bookmarkStart w:id="52" w:name="_Hlk72830215"/>
    <w:bookmarkEnd w:id="51"/>
    <w:p w14:paraId="241AE5B0" w14:textId="5B0A1168" w:rsidR="00C7157C" w:rsidRPr="00F53F5F" w:rsidRDefault="00C7157C" w:rsidP="00C7157C">
      <w:pPr>
        <w:spacing w:before="100" w:beforeAutospacing="1" w:after="100" w:afterAutospacing="1"/>
        <w:rPr>
          <w:rFonts w:eastAsia="Times New Roman"/>
          <w:color w:val="auto"/>
          <w:lang w:val="en-AU" w:eastAsia="en-AU"/>
        </w:rPr>
      </w:pPr>
      <w:r w:rsidRPr="00F53F5F">
        <w:rPr>
          <w:rFonts w:eastAsia="Times New Roman"/>
          <w:color w:val="auto"/>
          <w:lang w:val="en-AU" w:eastAsia="en-AU"/>
        </w:rPr>
        <w:fldChar w:fldCharType="begin"/>
      </w:r>
      <w:r w:rsidRPr="00F53F5F">
        <w:rPr>
          <w:rFonts w:eastAsia="Times New Roman"/>
          <w:color w:val="auto"/>
          <w:lang w:val="en-AU" w:eastAsia="en-AU"/>
        </w:rPr>
        <w:instrText xml:space="preserve"> HYPERLINK "https://www.antengene.com/" </w:instrText>
      </w:r>
      <w:r w:rsidRPr="00F53F5F">
        <w:rPr>
          <w:rFonts w:eastAsia="Times New Roman"/>
          <w:color w:val="auto"/>
          <w:lang w:val="en-AU" w:eastAsia="en-AU"/>
        </w:rPr>
        <w:fldChar w:fldCharType="separate"/>
      </w:r>
      <w:r w:rsidRPr="00F53F5F">
        <w:rPr>
          <w:rStyle w:val="Hyperlink"/>
          <w:rFonts w:eastAsia="Times New Roman"/>
          <w:lang w:val="en-AU" w:eastAsia="en-AU"/>
        </w:rPr>
        <w:t>https://www.antengene.com/</w:t>
      </w:r>
      <w:r w:rsidRPr="00F53F5F">
        <w:rPr>
          <w:rFonts w:eastAsia="Times New Roman"/>
          <w:color w:val="auto"/>
          <w:lang w:val="en-AU" w:eastAsia="en-AU"/>
        </w:rPr>
        <w:fldChar w:fldCharType="end"/>
      </w:r>
    </w:p>
    <w:bookmarkEnd w:id="52"/>
    <w:p w14:paraId="65652119" w14:textId="7473C4A4" w:rsidR="00FD1F94" w:rsidRPr="00FA1502" w:rsidRDefault="00FD1F94" w:rsidP="00C77721">
      <w:pPr>
        <w:pStyle w:val="Heading1"/>
        <w:pageBreakBefore w:val="0"/>
        <w:rPr>
          <w:lang w:val="en-AU"/>
        </w:rPr>
      </w:pPr>
      <w:r w:rsidRPr="00FA1502">
        <w:rPr>
          <w:lang w:val="en-AU"/>
        </w:rPr>
        <w:t>DATE OF FIRST APPROVAL</w:t>
      </w:r>
    </w:p>
    <w:p w14:paraId="184BB74D" w14:textId="41E61A0A" w:rsidR="004A160A" w:rsidRPr="00FA1502" w:rsidRDefault="00187E93" w:rsidP="004A160A">
      <w:pPr>
        <w:rPr>
          <w:lang w:val="en-AU"/>
        </w:rPr>
      </w:pPr>
      <w:r>
        <w:rPr>
          <w:lang w:val="en-AU"/>
        </w:rPr>
        <w:t>08 March 2022</w:t>
      </w:r>
    </w:p>
    <w:p w14:paraId="70E34F70" w14:textId="77777777" w:rsidR="00FD1F94" w:rsidRPr="00FA1502" w:rsidRDefault="00FD1F94" w:rsidP="00C77721">
      <w:pPr>
        <w:pStyle w:val="Heading1"/>
        <w:pageBreakBefore w:val="0"/>
        <w:rPr>
          <w:lang w:val="en-AU"/>
        </w:rPr>
      </w:pPr>
      <w:r w:rsidRPr="00FA1502">
        <w:rPr>
          <w:lang w:val="en-AU"/>
        </w:rPr>
        <w:t>DATE OF REVISION</w:t>
      </w:r>
    </w:p>
    <w:p w14:paraId="42800DFA" w14:textId="3381C361" w:rsidR="008A0618" w:rsidRPr="00FA1502" w:rsidRDefault="006F5FA3" w:rsidP="00C77721">
      <w:pPr>
        <w:rPr>
          <w:lang w:val="en-AU"/>
        </w:rPr>
      </w:pPr>
      <w:r>
        <w:rPr>
          <w:lang w:val="en-AU"/>
        </w:rPr>
        <w:t xml:space="preserve">08 </w:t>
      </w:r>
      <w:r w:rsidR="00C64EB0">
        <w:rPr>
          <w:lang w:val="en-AU"/>
        </w:rPr>
        <w:t>March 2022</w:t>
      </w:r>
    </w:p>
    <w:p w14:paraId="54306956" w14:textId="77777777" w:rsidR="00FD1F94" w:rsidRPr="00FA1502" w:rsidRDefault="00FD1F94" w:rsidP="00F30850">
      <w:pPr>
        <w:pStyle w:val="Heading3"/>
        <w:numPr>
          <w:ilvl w:val="0"/>
          <w:numId w:val="0"/>
        </w:numPr>
        <w:spacing w:after="120"/>
        <w:rPr>
          <w:lang w:val="en-AU"/>
        </w:rPr>
      </w:pPr>
      <w:r w:rsidRPr="00FA1502">
        <w:rPr>
          <w:lang w:val="en-AU"/>
        </w:rPr>
        <w:lastRenderedPageBreak/>
        <w:t>SUMMARY TABLE OF CHANGES</w:t>
      </w:r>
    </w:p>
    <w:tbl>
      <w:tblPr>
        <w:tblW w:w="9180" w:type="dxa"/>
        <w:tblInd w:w="10" w:type="dxa"/>
        <w:tblLayout w:type="fixed"/>
        <w:tblCellMar>
          <w:left w:w="0" w:type="dxa"/>
          <w:right w:w="0" w:type="dxa"/>
        </w:tblCellMar>
        <w:tblLook w:val="0000" w:firstRow="0" w:lastRow="0" w:firstColumn="0" w:lastColumn="0" w:noHBand="0" w:noVBand="0"/>
      </w:tblPr>
      <w:tblGrid>
        <w:gridCol w:w="2127"/>
        <w:gridCol w:w="7053"/>
      </w:tblGrid>
      <w:tr w:rsidR="00FD1F94" w:rsidRPr="00FA1502" w14:paraId="0FF7F073" w14:textId="77777777" w:rsidTr="004A160A">
        <w:trPr>
          <w:tblHeader/>
        </w:trPr>
        <w:tc>
          <w:tcPr>
            <w:tcW w:w="2127" w:type="dxa"/>
            <w:tcBorders>
              <w:top w:val="single" w:sz="8" w:space="0" w:color="002C47"/>
              <w:left w:val="single" w:sz="8" w:space="0" w:color="002C47"/>
              <w:bottom w:val="single" w:sz="4" w:space="0" w:color="auto"/>
              <w:right w:val="single" w:sz="8" w:space="0" w:color="auto"/>
            </w:tcBorders>
            <w:shd w:val="clear" w:color="auto" w:fill="auto"/>
            <w:vAlign w:val="center"/>
          </w:tcPr>
          <w:p w14:paraId="5CD78F6F" w14:textId="77777777" w:rsidR="00FD1F94" w:rsidRPr="00FA1502" w:rsidRDefault="00FD1F94" w:rsidP="00F30850">
            <w:pPr>
              <w:spacing w:before="40" w:after="40" w:line="0" w:lineRule="atLeast"/>
              <w:ind w:left="120"/>
              <w:rPr>
                <w:rFonts w:eastAsia="Cambria"/>
                <w:b/>
                <w:sz w:val="22"/>
                <w:lang w:val="en-AU"/>
              </w:rPr>
            </w:pPr>
            <w:r w:rsidRPr="00FA1502">
              <w:rPr>
                <w:rFonts w:eastAsia="Cambria"/>
                <w:b/>
                <w:sz w:val="22"/>
                <w:lang w:val="en-AU"/>
              </w:rPr>
              <w:t>Section</w:t>
            </w:r>
            <w:r w:rsidR="00F30850" w:rsidRPr="00FA1502">
              <w:rPr>
                <w:rFonts w:eastAsia="Cambria"/>
                <w:b/>
                <w:sz w:val="22"/>
                <w:lang w:val="en-AU"/>
              </w:rPr>
              <w:t xml:space="preserve"> </w:t>
            </w:r>
            <w:r w:rsidR="00C77721" w:rsidRPr="00FA1502">
              <w:rPr>
                <w:rFonts w:eastAsia="Cambria"/>
                <w:b/>
                <w:sz w:val="22"/>
                <w:lang w:val="en-AU"/>
              </w:rPr>
              <w:t>changed</w:t>
            </w:r>
          </w:p>
        </w:tc>
        <w:tc>
          <w:tcPr>
            <w:tcW w:w="7053" w:type="dxa"/>
            <w:tcBorders>
              <w:top w:val="single" w:sz="8" w:space="0" w:color="002C47"/>
              <w:bottom w:val="single" w:sz="4" w:space="0" w:color="auto"/>
              <w:right w:val="single" w:sz="8" w:space="0" w:color="002C47"/>
            </w:tcBorders>
            <w:shd w:val="clear" w:color="auto" w:fill="auto"/>
            <w:vAlign w:val="center"/>
          </w:tcPr>
          <w:p w14:paraId="54A66EDD" w14:textId="77777777" w:rsidR="00FD1F94" w:rsidRPr="00FA1502" w:rsidRDefault="00FD1F94" w:rsidP="00F30850">
            <w:pPr>
              <w:spacing w:before="40" w:after="40" w:line="0" w:lineRule="atLeast"/>
              <w:ind w:left="100"/>
              <w:rPr>
                <w:rFonts w:eastAsia="Cambria"/>
                <w:b/>
                <w:sz w:val="22"/>
                <w:lang w:val="en-AU"/>
              </w:rPr>
            </w:pPr>
            <w:r w:rsidRPr="00FA1502">
              <w:rPr>
                <w:rFonts w:eastAsia="Cambria"/>
                <w:b/>
                <w:sz w:val="22"/>
                <w:lang w:val="en-AU"/>
              </w:rPr>
              <w:t>Summary of new information</w:t>
            </w:r>
          </w:p>
        </w:tc>
      </w:tr>
      <w:tr w:rsidR="00FD1F94" w:rsidRPr="00FA1502" w14:paraId="02AB9884" w14:textId="16CD6A5E" w:rsidTr="006F5FA3">
        <w:tc>
          <w:tcPr>
            <w:tcW w:w="2127" w:type="dxa"/>
            <w:tcBorders>
              <w:top w:val="single" w:sz="4" w:space="0" w:color="auto"/>
              <w:left w:val="single" w:sz="8" w:space="0" w:color="002C47"/>
              <w:bottom w:val="single" w:sz="4" w:space="0" w:color="auto"/>
              <w:right w:val="single" w:sz="8" w:space="0" w:color="002C47"/>
            </w:tcBorders>
            <w:shd w:val="clear" w:color="auto" w:fill="auto"/>
            <w:vAlign w:val="center"/>
          </w:tcPr>
          <w:p w14:paraId="35D02F4A" w14:textId="74AC1ED0" w:rsidR="00FD1F94" w:rsidRPr="00FA1502" w:rsidRDefault="004A160A" w:rsidP="00F30850">
            <w:pPr>
              <w:spacing w:before="40" w:after="40" w:line="0" w:lineRule="atLeast"/>
              <w:ind w:left="120"/>
              <w:rPr>
                <w:rFonts w:eastAsia="Cambria"/>
                <w:sz w:val="22"/>
                <w:lang w:val="en-AU"/>
              </w:rPr>
            </w:pPr>
            <w:r w:rsidRPr="00FA1502">
              <w:rPr>
                <w:rFonts w:eastAsia="Cambria"/>
                <w:sz w:val="22"/>
                <w:lang w:val="en-AU"/>
              </w:rPr>
              <w:t>All</w:t>
            </w:r>
          </w:p>
        </w:tc>
        <w:tc>
          <w:tcPr>
            <w:tcW w:w="7053" w:type="dxa"/>
            <w:tcBorders>
              <w:top w:val="single" w:sz="4" w:space="0" w:color="auto"/>
              <w:bottom w:val="single" w:sz="4" w:space="0" w:color="auto"/>
              <w:right w:val="single" w:sz="8" w:space="0" w:color="002C47"/>
            </w:tcBorders>
            <w:shd w:val="clear" w:color="auto" w:fill="auto"/>
            <w:vAlign w:val="center"/>
          </w:tcPr>
          <w:p w14:paraId="0EB2F69D" w14:textId="0A270A93" w:rsidR="00FD1F94" w:rsidRPr="00FA1502" w:rsidRDefault="004A160A" w:rsidP="00F30850">
            <w:pPr>
              <w:spacing w:before="40" w:after="40" w:line="0" w:lineRule="atLeast"/>
              <w:ind w:left="120"/>
              <w:rPr>
                <w:rFonts w:eastAsia="Cambria"/>
                <w:sz w:val="22"/>
                <w:lang w:val="en-AU"/>
              </w:rPr>
            </w:pPr>
            <w:r w:rsidRPr="00FA1502">
              <w:rPr>
                <w:rFonts w:eastAsia="Cambria"/>
                <w:sz w:val="22"/>
                <w:lang w:val="en-AU"/>
              </w:rPr>
              <w:t>New Product Information</w:t>
            </w:r>
          </w:p>
        </w:tc>
      </w:tr>
    </w:tbl>
    <w:p w14:paraId="2C854D99" w14:textId="77777777" w:rsidR="0009649F" w:rsidRPr="0009649F" w:rsidRDefault="0009649F" w:rsidP="004956FD">
      <w:pPr>
        <w:jc w:val="center"/>
        <w:rPr>
          <w:lang w:val="en-AU"/>
        </w:rPr>
      </w:pPr>
    </w:p>
    <w:sectPr w:rsidR="0009649F" w:rsidRPr="0009649F" w:rsidSect="003B7375">
      <w:headerReference w:type="default" r:id="rId12"/>
      <w:footerReference w:type="default" r:id="rId13"/>
      <w:pgSz w:w="11900" w:h="16838"/>
      <w:pgMar w:top="1135" w:right="1440" w:bottom="709" w:left="1300" w:header="567" w:footer="755" w:gutter="0"/>
      <w:cols w:space="0" w:equalWidth="0">
        <w:col w:w="916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AEB4" w14:textId="77777777" w:rsidR="00BB549E" w:rsidRDefault="00BB549E" w:rsidP="00761728">
      <w:pPr>
        <w:spacing w:before="0"/>
      </w:pPr>
      <w:r>
        <w:separator/>
      </w:r>
    </w:p>
  </w:endnote>
  <w:endnote w:type="continuationSeparator" w:id="0">
    <w:p w14:paraId="2C2EB102" w14:textId="77777777" w:rsidR="00BB549E" w:rsidRDefault="00BB549E" w:rsidP="007617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85C8" w14:textId="3B35E711" w:rsidR="006F5CD9" w:rsidRPr="003F5E44" w:rsidRDefault="006F5CD9">
    <w:pPr>
      <w:pStyle w:val="Footer"/>
      <w:rPr>
        <w:rFonts w:ascii="Times New Roman" w:hAnsi="Times New Roman"/>
      </w:rPr>
    </w:pPr>
    <w:r>
      <w:rPr>
        <w:rFonts w:ascii="Times New Roman" w:hAnsi="Times New Roman"/>
      </w:rPr>
      <w:t>XPOVIO</w:t>
    </w:r>
    <w:r w:rsidRPr="003F5E44">
      <w:rPr>
        <w:rFonts w:ascii="Times New Roman" w:hAnsi="Times New Roman"/>
      </w:rPr>
      <w:ptab w:relativeTo="margin" w:alignment="center" w:leader="none"/>
    </w:r>
    <w:r>
      <w:rPr>
        <w:rFonts w:ascii="Times New Roman" w:hAnsi="Times New Roman"/>
      </w:rPr>
      <w:t xml:space="preserve"> Version </w:t>
    </w:r>
    <w:r w:rsidR="005F187A">
      <w:rPr>
        <w:rFonts w:ascii="Times New Roman" w:hAnsi="Times New Roman"/>
      </w:rPr>
      <w:t>1.0</w:t>
    </w:r>
    <w:r>
      <w:rPr>
        <w:rFonts w:ascii="Times New Roman" w:hAnsi="Times New Roman"/>
      </w:rPr>
      <w:t xml:space="preserve"> –</w:t>
    </w:r>
    <w:r w:rsidR="00040C3D">
      <w:rPr>
        <w:rFonts w:ascii="Times New Roman" w:hAnsi="Times New Roman"/>
      </w:rPr>
      <w:t xml:space="preserve"> </w:t>
    </w:r>
    <w:r w:rsidR="006F5FA3">
      <w:rPr>
        <w:rFonts w:ascii="Times New Roman" w:hAnsi="Times New Roman"/>
      </w:rPr>
      <w:t>08</w:t>
    </w:r>
    <w:r w:rsidR="005F187A">
      <w:rPr>
        <w:rFonts w:ascii="Times New Roman" w:hAnsi="Times New Roman"/>
      </w:rPr>
      <w:t xml:space="preserve"> March </w:t>
    </w:r>
    <w:r>
      <w:rPr>
        <w:rFonts w:ascii="Times New Roman" w:hAnsi="Times New Roman"/>
      </w:rPr>
      <w:t>2022</w:t>
    </w:r>
    <w:r w:rsidRPr="003F5E44">
      <w:rPr>
        <w:rFonts w:ascii="Times New Roman" w:hAnsi="Times New Roman"/>
      </w:rPr>
      <w:ptab w:relativeTo="margin" w:alignment="right" w:leader="none"/>
    </w:r>
    <w:r w:rsidRPr="003F5E44">
      <w:rPr>
        <w:rFonts w:ascii="Times New Roman" w:hAnsi="Times New Roman"/>
      </w:rPr>
      <w:fldChar w:fldCharType="begin"/>
    </w:r>
    <w:r w:rsidRPr="003F5E44">
      <w:rPr>
        <w:rFonts w:ascii="Times New Roman" w:hAnsi="Times New Roman"/>
      </w:rPr>
      <w:instrText xml:space="preserve"> PAGE   \* MERGEFORMAT </w:instrText>
    </w:r>
    <w:r w:rsidRPr="003F5E44">
      <w:rPr>
        <w:rFonts w:ascii="Times New Roman" w:hAnsi="Times New Roman"/>
      </w:rPr>
      <w:fldChar w:fldCharType="separate"/>
    </w:r>
    <w:r w:rsidRPr="003F5E44">
      <w:rPr>
        <w:rFonts w:ascii="Times New Roman" w:hAnsi="Times New Roman"/>
        <w:noProof/>
      </w:rPr>
      <w:t>1</w:t>
    </w:r>
    <w:r w:rsidRPr="003F5E44">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5934" w14:textId="77777777" w:rsidR="00BB549E" w:rsidRDefault="00BB549E" w:rsidP="00761728">
      <w:pPr>
        <w:spacing w:before="0"/>
      </w:pPr>
      <w:r>
        <w:separator/>
      </w:r>
    </w:p>
  </w:footnote>
  <w:footnote w:type="continuationSeparator" w:id="0">
    <w:p w14:paraId="520368B5" w14:textId="77777777" w:rsidR="00BB549E" w:rsidRDefault="00BB549E" w:rsidP="0076172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shd w:val="clear" w:color="auto" w:fill="E4F2E0"/>
      <w:tblLook w:val="04A0" w:firstRow="1" w:lastRow="0" w:firstColumn="1" w:lastColumn="0" w:noHBand="0" w:noVBand="1"/>
    </w:tblPr>
    <w:tblGrid>
      <w:gridCol w:w="9039"/>
    </w:tblGrid>
    <w:tr w:rsidR="00C776ED" w:rsidRPr="000B2145" w14:paraId="4ABC6300" w14:textId="77777777" w:rsidTr="00C776ED">
      <w:trPr>
        <w:trHeight w:val="1012"/>
        <w:jc w:val="center"/>
      </w:trPr>
      <w:tc>
        <w:tcPr>
          <w:tcW w:w="9039" w:type="dxa"/>
          <w:shd w:val="clear" w:color="auto" w:fill="E4F2E0"/>
        </w:tcPr>
        <w:p w14:paraId="27AB041A" w14:textId="77777777" w:rsidR="00C776ED" w:rsidRPr="002F66AD" w:rsidRDefault="00C776ED" w:rsidP="00C776ED">
          <w:pPr>
            <w:pStyle w:val="Footer"/>
            <w:tabs>
              <w:tab w:val="center" w:pos="4513"/>
              <w:tab w:val="right" w:pos="9026"/>
            </w:tabs>
            <w:rPr>
              <w:b/>
              <w:szCs w:val="18"/>
            </w:rPr>
          </w:pPr>
          <w:bookmarkStart w:id="53" w:name="_Hlk80611440"/>
          <w:r w:rsidRPr="000E4791">
            <w:rPr>
              <w:b/>
              <w:szCs w:val="18"/>
            </w:rPr>
            <w:t>Attachment 1</w:t>
          </w:r>
          <w:r>
            <w:t xml:space="preserve"> </w:t>
          </w:r>
          <w:proofErr w:type="spellStart"/>
          <w:r w:rsidRPr="002F66AD">
            <w:rPr>
              <w:b/>
              <w:szCs w:val="18"/>
            </w:rPr>
            <w:t>AusPAR</w:t>
          </w:r>
          <w:proofErr w:type="spellEnd"/>
          <w:r w:rsidRPr="002F66AD">
            <w:rPr>
              <w:b/>
              <w:szCs w:val="18"/>
            </w:rPr>
            <w:t xml:space="preserve"> - </w:t>
          </w:r>
          <w:proofErr w:type="spellStart"/>
          <w:r w:rsidRPr="002F66AD">
            <w:rPr>
              <w:b/>
              <w:szCs w:val="18"/>
            </w:rPr>
            <w:t>Xpovio</w:t>
          </w:r>
          <w:proofErr w:type="spellEnd"/>
          <w:r w:rsidRPr="002F66AD">
            <w:rPr>
              <w:b/>
              <w:szCs w:val="18"/>
            </w:rPr>
            <w:t xml:space="preserve"> - </w:t>
          </w:r>
          <w:proofErr w:type="spellStart"/>
          <w:r w:rsidRPr="002F66AD">
            <w:rPr>
              <w:b/>
              <w:szCs w:val="18"/>
            </w:rPr>
            <w:t>selinexor</w:t>
          </w:r>
          <w:proofErr w:type="spellEnd"/>
          <w:r w:rsidRPr="002F66AD">
            <w:rPr>
              <w:b/>
              <w:szCs w:val="18"/>
            </w:rPr>
            <w:t xml:space="preserve"> - </w:t>
          </w:r>
          <w:proofErr w:type="spellStart"/>
          <w:r w:rsidRPr="002F66AD">
            <w:rPr>
              <w:b/>
              <w:szCs w:val="18"/>
            </w:rPr>
            <w:t>Antengene</w:t>
          </w:r>
          <w:proofErr w:type="spellEnd"/>
          <w:r w:rsidRPr="002F66AD">
            <w:rPr>
              <w:b/>
              <w:szCs w:val="18"/>
            </w:rPr>
            <w:t xml:space="preserve"> (</w:t>
          </w:r>
          <w:proofErr w:type="spellStart"/>
          <w:r w:rsidRPr="002F66AD">
            <w:rPr>
              <w:b/>
              <w:szCs w:val="18"/>
            </w:rPr>
            <w:t>Aus</w:t>
          </w:r>
          <w:proofErr w:type="spellEnd"/>
          <w:r w:rsidRPr="002F66AD">
            <w:rPr>
              <w:b/>
              <w:szCs w:val="18"/>
            </w:rPr>
            <w:t>) Pty Ltd - PM-2020-05458-1-6</w:t>
          </w:r>
        </w:p>
        <w:p w14:paraId="66C911CA" w14:textId="77777777" w:rsidR="00C776ED" w:rsidRPr="000E4791" w:rsidRDefault="00C776ED" w:rsidP="00C776ED">
          <w:pPr>
            <w:pStyle w:val="Footer"/>
            <w:rPr>
              <w:b/>
              <w:szCs w:val="18"/>
            </w:rPr>
          </w:pPr>
          <w:r w:rsidRPr="002F66AD">
            <w:rPr>
              <w:b/>
              <w:szCs w:val="18"/>
            </w:rPr>
            <w:t>FINAL 1 November 2022</w:t>
          </w:r>
          <w:r w:rsidRPr="000E4791">
            <w:rPr>
              <w:b/>
            </w:rPr>
            <w:t>.</w:t>
          </w:r>
          <w:r w:rsidRPr="000E4791">
            <w:rPr>
              <w:b/>
              <w:szCs w:val="18"/>
            </w:rPr>
            <w:t xml:space="preserve"> This is the Product Information that was approved with the submission described in this </w:t>
          </w:r>
          <w:proofErr w:type="spellStart"/>
          <w:r w:rsidRPr="000E4791">
            <w:rPr>
              <w:b/>
              <w:szCs w:val="18"/>
            </w:rPr>
            <w:t>AusPAR</w:t>
          </w:r>
          <w:proofErr w:type="spellEnd"/>
          <w:r w:rsidRPr="000E4791">
            <w:rPr>
              <w:b/>
              <w:szCs w:val="18"/>
            </w:rPr>
            <w:t>. It may have been superseded. For the most recent PI, please refer to the TGA website at &lt;</w:t>
          </w:r>
          <w:hyperlink r:id="rId1" w:history="1">
            <w:r w:rsidRPr="000E4791">
              <w:rPr>
                <w:rStyle w:val="Hyperlink"/>
                <w:b/>
                <w:szCs w:val="18"/>
              </w:rPr>
              <w:t>https://www.tga.gov.au/product-information-pi</w:t>
            </w:r>
          </w:hyperlink>
          <w:r w:rsidRPr="000E4791">
            <w:rPr>
              <w:b/>
              <w:szCs w:val="18"/>
              <w:u w:val="single"/>
            </w:rPr>
            <w:t>&gt;</w:t>
          </w:r>
        </w:p>
      </w:tc>
    </w:tr>
    <w:bookmarkEnd w:id="53"/>
  </w:tbl>
  <w:p w14:paraId="43D23710" w14:textId="77777777" w:rsidR="00C776ED" w:rsidRDefault="00C776ED" w:rsidP="00C77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AAED130"/>
    <w:lvl w:ilvl="0">
      <w:start w:val="1"/>
      <w:numFmt w:val="bullet"/>
      <w:lvlRestart w:val="0"/>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1" w15:restartNumberingAfterBreak="0">
    <w:nsid w:val="00000005"/>
    <w:multiLevelType w:val="hybridMultilevel"/>
    <w:tmpl w:val="431BD7B6"/>
    <w:lvl w:ilvl="0" w:tplc="D2C4672E">
      <w:start w:val="1"/>
      <w:numFmt w:val="bullet"/>
      <w:pStyle w:val="ListAlphabeticalLevel1"/>
      <w:lvlText w:val="·"/>
      <w:lvlJc w:val="left"/>
    </w:lvl>
    <w:lvl w:ilvl="1" w:tplc="E24AD90A">
      <w:start w:val="1"/>
      <w:numFmt w:val="bullet"/>
      <w:lvlText w:val=""/>
      <w:lvlJc w:val="left"/>
    </w:lvl>
    <w:lvl w:ilvl="2" w:tplc="02D61D22">
      <w:start w:val="1"/>
      <w:numFmt w:val="bullet"/>
      <w:lvlText w:val=""/>
      <w:lvlJc w:val="left"/>
    </w:lvl>
    <w:lvl w:ilvl="3" w:tplc="25F446BA">
      <w:start w:val="1"/>
      <w:numFmt w:val="bullet"/>
      <w:lvlText w:val=""/>
      <w:lvlJc w:val="left"/>
    </w:lvl>
    <w:lvl w:ilvl="4" w:tplc="A1F47FF8">
      <w:start w:val="1"/>
      <w:numFmt w:val="bullet"/>
      <w:lvlText w:val=""/>
      <w:lvlJc w:val="left"/>
    </w:lvl>
    <w:lvl w:ilvl="5" w:tplc="CEF424C8">
      <w:start w:val="1"/>
      <w:numFmt w:val="bullet"/>
      <w:lvlText w:val=""/>
      <w:lvlJc w:val="left"/>
    </w:lvl>
    <w:lvl w:ilvl="6" w:tplc="8BB63216">
      <w:start w:val="1"/>
      <w:numFmt w:val="bullet"/>
      <w:lvlText w:val=""/>
      <w:lvlJc w:val="left"/>
    </w:lvl>
    <w:lvl w:ilvl="7" w:tplc="05084920">
      <w:start w:val="1"/>
      <w:numFmt w:val="bullet"/>
      <w:lvlText w:val=""/>
      <w:lvlJc w:val="left"/>
    </w:lvl>
    <w:lvl w:ilvl="8" w:tplc="A6B86ABC">
      <w:start w:val="1"/>
      <w:numFmt w:val="bullet"/>
      <w:lvlText w:val=""/>
      <w:lvlJc w:val="left"/>
    </w:lvl>
  </w:abstractNum>
  <w:abstractNum w:abstractNumId="2" w15:restartNumberingAfterBreak="0">
    <w:nsid w:val="00000006"/>
    <w:multiLevelType w:val="hybridMultilevel"/>
    <w:tmpl w:val="3F2DBA30"/>
    <w:lvl w:ilvl="0" w:tplc="B7389082">
      <w:start w:val="1"/>
      <w:numFmt w:val="bullet"/>
      <w:pStyle w:val="ListNumbered"/>
      <w:lvlText w:val="·"/>
      <w:lvlJc w:val="left"/>
    </w:lvl>
    <w:lvl w:ilvl="1" w:tplc="609C9A88">
      <w:start w:val="1"/>
      <w:numFmt w:val="bullet"/>
      <w:lvlText w:val=""/>
      <w:lvlJc w:val="left"/>
    </w:lvl>
    <w:lvl w:ilvl="2" w:tplc="01EAD5DE">
      <w:start w:val="1"/>
      <w:numFmt w:val="bullet"/>
      <w:lvlText w:val=""/>
      <w:lvlJc w:val="left"/>
    </w:lvl>
    <w:lvl w:ilvl="3" w:tplc="38162A60">
      <w:start w:val="1"/>
      <w:numFmt w:val="bullet"/>
      <w:lvlText w:val=""/>
      <w:lvlJc w:val="left"/>
    </w:lvl>
    <w:lvl w:ilvl="4" w:tplc="196477D4">
      <w:start w:val="1"/>
      <w:numFmt w:val="bullet"/>
      <w:lvlText w:val=""/>
      <w:lvlJc w:val="left"/>
    </w:lvl>
    <w:lvl w:ilvl="5" w:tplc="7CE26B60">
      <w:start w:val="1"/>
      <w:numFmt w:val="bullet"/>
      <w:lvlText w:val=""/>
      <w:lvlJc w:val="left"/>
    </w:lvl>
    <w:lvl w:ilvl="6" w:tplc="C33ED5A4">
      <w:start w:val="1"/>
      <w:numFmt w:val="bullet"/>
      <w:lvlText w:val=""/>
      <w:lvlJc w:val="left"/>
    </w:lvl>
    <w:lvl w:ilvl="7" w:tplc="972A9EF0">
      <w:start w:val="1"/>
      <w:numFmt w:val="bullet"/>
      <w:lvlText w:val=""/>
      <w:lvlJc w:val="left"/>
    </w:lvl>
    <w:lvl w:ilvl="8" w:tplc="0BB69F68">
      <w:start w:val="1"/>
      <w:numFmt w:val="bullet"/>
      <w:lvlText w:val=""/>
      <w:lvlJc w:val="left"/>
    </w:lvl>
  </w:abstractNum>
  <w:abstractNum w:abstractNumId="3" w15:restartNumberingAfterBreak="0">
    <w:nsid w:val="00000008"/>
    <w:multiLevelType w:val="multilevel"/>
    <w:tmpl w:val="9458800E"/>
    <w:lvl w:ilvl="0">
      <w:start w:val="1"/>
      <w:numFmt w:val="bullet"/>
      <w:lvlRestart w:val="0"/>
      <w:pStyle w:val="ListAlphabeticalLevel2"/>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4" w15:restartNumberingAfterBreak="0">
    <w:nsid w:val="00000009"/>
    <w:multiLevelType w:val="hybridMultilevel"/>
    <w:tmpl w:val="62BBD95A"/>
    <w:lvl w:ilvl="0" w:tplc="6F5CB970">
      <w:start w:val="1"/>
      <w:numFmt w:val="bullet"/>
      <w:pStyle w:val="ListBullet"/>
      <w:lvlText w:val="·"/>
      <w:lvlJc w:val="left"/>
    </w:lvl>
    <w:lvl w:ilvl="1" w:tplc="A43AE844">
      <w:start w:val="1"/>
      <w:numFmt w:val="bullet"/>
      <w:lvlText w:val=""/>
      <w:lvlJc w:val="left"/>
    </w:lvl>
    <w:lvl w:ilvl="2" w:tplc="2C2AACDC">
      <w:start w:val="1"/>
      <w:numFmt w:val="bullet"/>
      <w:lvlText w:val=""/>
      <w:lvlJc w:val="left"/>
    </w:lvl>
    <w:lvl w:ilvl="3" w:tplc="F4B8C3B4">
      <w:start w:val="1"/>
      <w:numFmt w:val="bullet"/>
      <w:lvlText w:val=""/>
      <w:lvlJc w:val="left"/>
    </w:lvl>
    <w:lvl w:ilvl="4" w:tplc="69D47C36">
      <w:start w:val="1"/>
      <w:numFmt w:val="bullet"/>
      <w:lvlText w:val=""/>
      <w:lvlJc w:val="left"/>
    </w:lvl>
    <w:lvl w:ilvl="5" w:tplc="A740C210">
      <w:start w:val="1"/>
      <w:numFmt w:val="bullet"/>
      <w:lvlText w:val=""/>
      <w:lvlJc w:val="left"/>
    </w:lvl>
    <w:lvl w:ilvl="6" w:tplc="83642A08">
      <w:start w:val="1"/>
      <w:numFmt w:val="bullet"/>
      <w:lvlText w:val=""/>
      <w:lvlJc w:val="left"/>
    </w:lvl>
    <w:lvl w:ilvl="7" w:tplc="FCE21082">
      <w:start w:val="1"/>
      <w:numFmt w:val="bullet"/>
      <w:lvlText w:val=""/>
      <w:lvlJc w:val="left"/>
    </w:lvl>
    <w:lvl w:ilvl="8" w:tplc="A0707394">
      <w:start w:val="1"/>
      <w:numFmt w:val="bullet"/>
      <w:lvlText w:val=""/>
      <w:lvlJc w:val="left"/>
    </w:lvl>
  </w:abstractNum>
  <w:abstractNum w:abstractNumId="5" w15:restartNumberingAfterBreak="0">
    <w:nsid w:val="00000010"/>
    <w:multiLevelType w:val="multilevel"/>
    <w:tmpl w:val="C658B390"/>
    <w:lvl w:ilvl="0">
      <w:start w:val="1"/>
      <w:numFmt w:val="bullet"/>
      <w:lvlRestart w:val="0"/>
      <w:pStyle w:val="ListBulletLevel2"/>
      <w:lvlText w:val="-"/>
      <w:lvlJc w:val="left"/>
      <w:pPr>
        <w:tabs>
          <w:tab w:val="num" w:pos="363"/>
        </w:tabs>
        <w:ind w:left="363" w:hanging="363"/>
      </w:pPr>
      <w:rPr>
        <w:rFonts w:ascii="Times New Roman" w:hAnsi="Times New Roman" w:cs="Times New Roman" w:hint="default"/>
      </w:rPr>
    </w:lvl>
    <w:lvl w:ilvl="1">
      <w:start w:val="1"/>
      <w:numFmt w:val="bullet"/>
      <w:lvlText w:val="-"/>
      <w:lvlJc w:val="left"/>
      <w:pPr>
        <w:tabs>
          <w:tab w:val="num" w:pos="720"/>
        </w:tabs>
        <w:ind w:left="720" w:hanging="357"/>
      </w:pPr>
      <w:rPr>
        <w:rFonts w:ascii="Times New Roman" w:hAnsi="Times New Roman" w:cs="Times New Roman" w:hint="default"/>
      </w:rPr>
    </w:lvl>
    <w:lvl w:ilvl="2">
      <w:start w:val="1"/>
      <w:numFmt w:val="bullet"/>
      <w:lvlText w:val="-"/>
      <w:lvlJc w:val="left"/>
      <w:pPr>
        <w:tabs>
          <w:tab w:val="num" w:pos="1083"/>
        </w:tabs>
        <w:ind w:left="1083" w:hanging="363"/>
      </w:pPr>
      <w:rPr>
        <w:rFonts w:ascii="Times New Roman" w:hAnsi="Times New Roman" w:cs="Times New Roman" w:hint="default"/>
      </w:rPr>
    </w:lvl>
    <w:lvl w:ilvl="3">
      <w:start w:val="1"/>
      <w:numFmt w:val="bullet"/>
      <w:lvlText w:val="-"/>
      <w:lvlJc w:val="left"/>
      <w:pPr>
        <w:tabs>
          <w:tab w:val="num" w:pos="1440"/>
        </w:tabs>
        <w:ind w:left="1440" w:hanging="357"/>
      </w:pPr>
      <w:rPr>
        <w:rFonts w:ascii="Times New Roman" w:hAnsi="Times New Roman" w:cs="Times New Roman" w:hint="default"/>
      </w:rPr>
    </w:lvl>
    <w:lvl w:ilvl="4">
      <w:start w:val="1"/>
      <w:numFmt w:val="bullet"/>
      <w:lvlText w:val="-"/>
      <w:lvlJc w:val="left"/>
      <w:pPr>
        <w:tabs>
          <w:tab w:val="num" w:pos="1803"/>
        </w:tabs>
        <w:ind w:left="1803" w:hanging="363"/>
      </w:pPr>
      <w:rPr>
        <w:rFonts w:ascii="Times New Roman" w:hAnsi="Times New Roman" w:cs="Times New Roman" w:hint="default"/>
      </w:rPr>
    </w:lvl>
    <w:lvl w:ilvl="5">
      <w:start w:val="1"/>
      <w:numFmt w:val="bullet"/>
      <w:lvlText w:val="-"/>
      <w:lvlJc w:val="left"/>
      <w:pPr>
        <w:tabs>
          <w:tab w:val="num" w:pos="2160"/>
        </w:tabs>
        <w:ind w:left="2160" w:hanging="357"/>
      </w:pPr>
      <w:rPr>
        <w:rFonts w:ascii="Times New Roman" w:hAnsi="Times New Roman" w:cs="Times New Roman" w:hint="default"/>
      </w:rPr>
    </w:lvl>
    <w:lvl w:ilvl="6">
      <w:start w:val="1"/>
      <w:numFmt w:val="bullet"/>
      <w:lvlText w:val="-"/>
      <w:lvlJc w:val="left"/>
      <w:pPr>
        <w:tabs>
          <w:tab w:val="num" w:pos="2523"/>
        </w:tabs>
        <w:ind w:left="2523" w:hanging="363"/>
      </w:pPr>
      <w:rPr>
        <w:rFonts w:ascii="Times New Roman" w:hAnsi="Times New Roman" w:cs="Times New Roman" w:hint="default"/>
      </w:rPr>
    </w:lvl>
    <w:lvl w:ilvl="7">
      <w:start w:val="1"/>
      <w:numFmt w:val="bullet"/>
      <w:lvlText w:val="-"/>
      <w:lvlJc w:val="left"/>
      <w:pPr>
        <w:tabs>
          <w:tab w:val="num" w:pos="2880"/>
        </w:tabs>
        <w:ind w:left="2880" w:hanging="357"/>
      </w:pPr>
      <w:rPr>
        <w:rFonts w:ascii="Times New Roman" w:hAnsi="Times New Roman" w:cs="Times New Roman" w:hint="default"/>
      </w:rPr>
    </w:lvl>
    <w:lvl w:ilvl="8">
      <w:start w:val="1"/>
      <w:numFmt w:val="bullet"/>
      <w:lvlText w:val="-"/>
      <w:lvlJc w:val="left"/>
      <w:pPr>
        <w:tabs>
          <w:tab w:val="num" w:pos="3237"/>
        </w:tabs>
        <w:ind w:left="3237" w:hanging="357"/>
      </w:pPr>
      <w:rPr>
        <w:rFonts w:ascii="Times New Roman" w:hAnsi="Times New Roman" w:cs="Times New Roman" w:hint="default"/>
      </w:rPr>
    </w:lvl>
  </w:abstractNum>
  <w:abstractNum w:abstractNumId="6" w15:restartNumberingAfterBreak="0">
    <w:nsid w:val="04E6084C"/>
    <w:multiLevelType w:val="hybridMultilevel"/>
    <w:tmpl w:val="EAE633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050D69"/>
    <w:multiLevelType w:val="hybridMultilevel"/>
    <w:tmpl w:val="2C92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E261D"/>
    <w:multiLevelType w:val="hybridMultilevel"/>
    <w:tmpl w:val="9BF6B51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945795"/>
    <w:multiLevelType w:val="hybridMultilevel"/>
    <w:tmpl w:val="0554C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0268D4"/>
    <w:multiLevelType w:val="multilevel"/>
    <w:tmpl w:val="2C82DE68"/>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633"/>
        </w:tabs>
        <w:ind w:left="6633"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11" w15:restartNumberingAfterBreak="0">
    <w:nsid w:val="0F444F47"/>
    <w:multiLevelType w:val="hybridMultilevel"/>
    <w:tmpl w:val="2E3E77D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10FE2130"/>
    <w:multiLevelType w:val="hybridMultilevel"/>
    <w:tmpl w:val="A39E5334"/>
    <w:lvl w:ilvl="0" w:tplc="0C090001">
      <w:start w:val="1"/>
      <w:numFmt w:val="bullet"/>
      <w:lvlText w:val=""/>
      <w:lvlJc w:val="left"/>
      <w:pPr>
        <w:ind w:left="720" w:hanging="360"/>
      </w:pPr>
      <w:rPr>
        <w:rFonts w:ascii="Symbol" w:hAnsi="Symbol" w:hint="default"/>
      </w:rPr>
    </w:lvl>
    <w:lvl w:ilvl="1" w:tplc="4AA61020">
      <w:numFmt w:val="bullet"/>
      <w:lvlText w:val="•"/>
      <w:lvlJc w:val="left"/>
      <w:pPr>
        <w:ind w:left="1440" w:hanging="360"/>
      </w:pPr>
      <w:rPr>
        <w:rFonts w:ascii="Times New Roman" w:eastAsia="MS Gothic"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B7D57"/>
    <w:multiLevelType w:val="hybridMultilevel"/>
    <w:tmpl w:val="F0EE780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4B2AF7"/>
    <w:multiLevelType w:val="hybridMultilevel"/>
    <w:tmpl w:val="DF1CF818"/>
    <w:lvl w:ilvl="0" w:tplc="BB3A4D42">
      <w:numFmt w:val="bullet"/>
      <w:lvlText w:val="•"/>
      <w:lvlJc w:val="left"/>
      <w:pPr>
        <w:ind w:left="897" w:hanging="360"/>
      </w:pPr>
      <w:rPr>
        <w:rFonts w:ascii="Times New Roman" w:eastAsiaTheme="minorEastAsia" w:hAnsi="Times New Roman" w:cs="Times New Roman" w:hint="default"/>
        <w:sz w:val="16"/>
        <w:szCs w:val="16"/>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5" w15:restartNumberingAfterBreak="0">
    <w:nsid w:val="23150E98"/>
    <w:multiLevelType w:val="hybridMultilevel"/>
    <w:tmpl w:val="03C86B74"/>
    <w:lvl w:ilvl="0" w:tplc="BB3A4D42">
      <w:numFmt w:val="bullet"/>
      <w:lvlText w:val="•"/>
      <w:lvlJc w:val="left"/>
      <w:pPr>
        <w:ind w:left="720" w:hanging="360"/>
      </w:pPr>
      <w:rPr>
        <w:rFonts w:ascii="Times New Roman" w:eastAsiaTheme="minorEastAsia" w:hAnsi="Times New Roman" w:cs="Times New Roman"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5A0C2F"/>
    <w:multiLevelType w:val="hybridMultilevel"/>
    <w:tmpl w:val="3FC4C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A3703C"/>
    <w:multiLevelType w:val="hybridMultilevel"/>
    <w:tmpl w:val="F0EE78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D01C3"/>
    <w:multiLevelType w:val="hybridMultilevel"/>
    <w:tmpl w:val="86307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12"/>
  </w:num>
  <w:num w:numId="9">
    <w:abstractNumId w:val="6"/>
  </w:num>
  <w:num w:numId="10">
    <w:abstractNumId w:val="15"/>
  </w:num>
  <w:num w:numId="11">
    <w:abstractNumId w:val="16"/>
  </w:num>
  <w:num w:numId="12">
    <w:abstractNumId w:val="11"/>
  </w:num>
  <w:num w:numId="13">
    <w:abstractNumId w:val="7"/>
  </w:num>
  <w:num w:numId="14">
    <w:abstractNumId w:val="17"/>
  </w:num>
  <w:num w:numId="15">
    <w:abstractNumId w:val="13"/>
  </w:num>
  <w:num w:numId="16">
    <w:abstractNumId w:val="14"/>
  </w:num>
  <w:num w:numId="17">
    <w:abstractNumId w:val="8"/>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9"/>
  </w:num>
  <w:num w:numId="2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B6"/>
    <w:rsid w:val="00000E52"/>
    <w:rsid w:val="0000133E"/>
    <w:rsid w:val="0000156B"/>
    <w:rsid w:val="000022BF"/>
    <w:rsid w:val="00004838"/>
    <w:rsid w:val="00006450"/>
    <w:rsid w:val="0002378F"/>
    <w:rsid w:val="000339D8"/>
    <w:rsid w:val="00040C3D"/>
    <w:rsid w:val="0004689E"/>
    <w:rsid w:val="0005453E"/>
    <w:rsid w:val="000557AF"/>
    <w:rsid w:val="00060279"/>
    <w:rsid w:val="000647C4"/>
    <w:rsid w:val="00070454"/>
    <w:rsid w:val="000712B2"/>
    <w:rsid w:val="00073EB6"/>
    <w:rsid w:val="00075240"/>
    <w:rsid w:val="0007787B"/>
    <w:rsid w:val="00077EF6"/>
    <w:rsid w:val="00082283"/>
    <w:rsid w:val="00083DA3"/>
    <w:rsid w:val="00084085"/>
    <w:rsid w:val="00084627"/>
    <w:rsid w:val="0008588D"/>
    <w:rsid w:val="0009484D"/>
    <w:rsid w:val="0009573F"/>
    <w:rsid w:val="00095EAE"/>
    <w:rsid w:val="0009649F"/>
    <w:rsid w:val="000A0847"/>
    <w:rsid w:val="000A15CB"/>
    <w:rsid w:val="000A222B"/>
    <w:rsid w:val="000A5801"/>
    <w:rsid w:val="000A5CBE"/>
    <w:rsid w:val="000A7393"/>
    <w:rsid w:val="000A7C29"/>
    <w:rsid w:val="000B0A29"/>
    <w:rsid w:val="000B2F53"/>
    <w:rsid w:val="000B44AE"/>
    <w:rsid w:val="000B5CE2"/>
    <w:rsid w:val="000D1907"/>
    <w:rsid w:val="000D1AF2"/>
    <w:rsid w:val="000D5C69"/>
    <w:rsid w:val="000D6CDC"/>
    <w:rsid w:val="000E02B6"/>
    <w:rsid w:val="000E148B"/>
    <w:rsid w:val="000E2333"/>
    <w:rsid w:val="000E4E72"/>
    <w:rsid w:val="000E5D3B"/>
    <w:rsid w:val="000E7A3B"/>
    <w:rsid w:val="000F2667"/>
    <w:rsid w:val="000F5B9E"/>
    <w:rsid w:val="001041C3"/>
    <w:rsid w:val="00111EB2"/>
    <w:rsid w:val="0011399F"/>
    <w:rsid w:val="00121F85"/>
    <w:rsid w:val="001238CD"/>
    <w:rsid w:val="00123A0A"/>
    <w:rsid w:val="00124389"/>
    <w:rsid w:val="00125763"/>
    <w:rsid w:val="00126D18"/>
    <w:rsid w:val="00133C54"/>
    <w:rsid w:val="001468A9"/>
    <w:rsid w:val="00160EE6"/>
    <w:rsid w:val="001613A7"/>
    <w:rsid w:val="001624F4"/>
    <w:rsid w:val="00167C93"/>
    <w:rsid w:val="00170D90"/>
    <w:rsid w:val="00172302"/>
    <w:rsid w:val="00173488"/>
    <w:rsid w:val="00176610"/>
    <w:rsid w:val="00187E93"/>
    <w:rsid w:val="00194230"/>
    <w:rsid w:val="001958BC"/>
    <w:rsid w:val="00195EE4"/>
    <w:rsid w:val="00196085"/>
    <w:rsid w:val="001A2029"/>
    <w:rsid w:val="001A4534"/>
    <w:rsid w:val="001B40D6"/>
    <w:rsid w:val="001B520D"/>
    <w:rsid w:val="001B5F58"/>
    <w:rsid w:val="001B6676"/>
    <w:rsid w:val="001C1555"/>
    <w:rsid w:val="001C168D"/>
    <w:rsid w:val="001C2ADD"/>
    <w:rsid w:val="001C72EA"/>
    <w:rsid w:val="001D2D8F"/>
    <w:rsid w:val="001D6055"/>
    <w:rsid w:val="001D749C"/>
    <w:rsid w:val="001E3B96"/>
    <w:rsid w:val="001E5098"/>
    <w:rsid w:val="001F4DB2"/>
    <w:rsid w:val="001F7DCF"/>
    <w:rsid w:val="002003CA"/>
    <w:rsid w:val="002033D8"/>
    <w:rsid w:val="0020579A"/>
    <w:rsid w:val="00206D53"/>
    <w:rsid w:val="00221539"/>
    <w:rsid w:val="00221643"/>
    <w:rsid w:val="002216CA"/>
    <w:rsid w:val="00222CF3"/>
    <w:rsid w:val="00235FF8"/>
    <w:rsid w:val="00237F75"/>
    <w:rsid w:val="00245645"/>
    <w:rsid w:val="002463CF"/>
    <w:rsid w:val="00250410"/>
    <w:rsid w:val="00254DB1"/>
    <w:rsid w:val="0026457F"/>
    <w:rsid w:val="002726BE"/>
    <w:rsid w:val="0027282F"/>
    <w:rsid w:val="00277F37"/>
    <w:rsid w:val="002842BC"/>
    <w:rsid w:val="00284D84"/>
    <w:rsid w:val="002850AD"/>
    <w:rsid w:val="00285925"/>
    <w:rsid w:val="002867DC"/>
    <w:rsid w:val="00286936"/>
    <w:rsid w:val="00293BCE"/>
    <w:rsid w:val="00295584"/>
    <w:rsid w:val="002A15D3"/>
    <w:rsid w:val="002A2D13"/>
    <w:rsid w:val="002A3625"/>
    <w:rsid w:val="002A6FEA"/>
    <w:rsid w:val="002A757A"/>
    <w:rsid w:val="002B3896"/>
    <w:rsid w:val="002B5FD1"/>
    <w:rsid w:val="002B6831"/>
    <w:rsid w:val="002B6F41"/>
    <w:rsid w:val="002C1A90"/>
    <w:rsid w:val="002C3E4A"/>
    <w:rsid w:val="002C789C"/>
    <w:rsid w:val="002D3BC0"/>
    <w:rsid w:val="002D4D7E"/>
    <w:rsid w:val="002E236E"/>
    <w:rsid w:val="002E4C34"/>
    <w:rsid w:val="002F392E"/>
    <w:rsid w:val="002F57BA"/>
    <w:rsid w:val="002F6F89"/>
    <w:rsid w:val="003002EE"/>
    <w:rsid w:val="00303530"/>
    <w:rsid w:val="003052AF"/>
    <w:rsid w:val="0031188C"/>
    <w:rsid w:val="00312C44"/>
    <w:rsid w:val="00313DA2"/>
    <w:rsid w:val="0031401C"/>
    <w:rsid w:val="003142EB"/>
    <w:rsid w:val="0031515E"/>
    <w:rsid w:val="00315481"/>
    <w:rsid w:val="003165F0"/>
    <w:rsid w:val="0032289F"/>
    <w:rsid w:val="00326E65"/>
    <w:rsid w:val="00330EAB"/>
    <w:rsid w:val="00334F8F"/>
    <w:rsid w:val="0035666A"/>
    <w:rsid w:val="00357194"/>
    <w:rsid w:val="00367D22"/>
    <w:rsid w:val="00371234"/>
    <w:rsid w:val="0037225D"/>
    <w:rsid w:val="0037353A"/>
    <w:rsid w:val="00374EFB"/>
    <w:rsid w:val="00376498"/>
    <w:rsid w:val="0038025A"/>
    <w:rsid w:val="003812A8"/>
    <w:rsid w:val="0038775A"/>
    <w:rsid w:val="0039079C"/>
    <w:rsid w:val="00390F4D"/>
    <w:rsid w:val="003A1904"/>
    <w:rsid w:val="003A1D3A"/>
    <w:rsid w:val="003A3613"/>
    <w:rsid w:val="003A3839"/>
    <w:rsid w:val="003B1037"/>
    <w:rsid w:val="003B7375"/>
    <w:rsid w:val="003B7A90"/>
    <w:rsid w:val="003C7E5F"/>
    <w:rsid w:val="003D153D"/>
    <w:rsid w:val="003D404B"/>
    <w:rsid w:val="003D55F8"/>
    <w:rsid w:val="003D68FA"/>
    <w:rsid w:val="003E28BC"/>
    <w:rsid w:val="003E4B29"/>
    <w:rsid w:val="003E6758"/>
    <w:rsid w:val="003E6BC0"/>
    <w:rsid w:val="003F1264"/>
    <w:rsid w:val="003F5E44"/>
    <w:rsid w:val="003F6332"/>
    <w:rsid w:val="003F72B4"/>
    <w:rsid w:val="0040623B"/>
    <w:rsid w:val="00410012"/>
    <w:rsid w:val="00414A94"/>
    <w:rsid w:val="00421C6F"/>
    <w:rsid w:val="00422C1F"/>
    <w:rsid w:val="004238E6"/>
    <w:rsid w:val="004269E0"/>
    <w:rsid w:val="00426E1A"/>
    <w:rsid w:val="0042731D"/>
    <w:rsid w:val="0044180E"/>
    <w:rsid w:val="00441C24"/>
    <w:rsid w:val="00442008"/>
    <w:rsid w:val="0044354C"/>
    <w:rsid w:val="00445132"/>
    <w:rsid w:val="00453043"/>
    <w:rsid w:val="004572E5"/>
    <w:rsid w:val="00465EA9"/>
    <w:rsid w:val="00472625"/>
    <w:rsid w:val="004752DC"/>
    <w:rsid w:val="004804FA"/>
    <w:rsid w:val="0048228C"/>
    <w:rsid w:val="0048437D"/>
    <w:rsid w:val="004854FB"/>
    <w:rsid w:val="00485A15"/>
    <w:rsid w:val="00486288"/>
    <w:rsid w:val="00486D53"/>
    <w:rsid w:val="00492E34"/>
    <w:rsid w:val="004956FD"/>
    <w:rsid w:val="00496666"/>
    <w:rsid w:val="004A04DB"/>
    <w:rsid w:val="004A1262"/>
    <w:rsid w:val="004A160A"/>
    <w:rsid w:val="004A1C63"/>
    <w:rsid w:val="004A401C"/>
    <w:rsid w:val="004B0968"/>
    <w:rsid w:val="004B0BAF"/>
    <w:rsid w:val="004B1391"/>
    <w:rsid w:val="004B15BD"/>
    <w:rsid w:val="004B425F"/>
    <w:rsid w:val="004B7030"/>
    <w:rsid w:val="004C0813"/>
    <w:rsid w:val="004C1C34"/>
    <w:rsid w:val="004C3AFE"/>
    <w:rsid w:val="004D09F7"/>
    <w:rsid w:val="004D52B7"/>
    <w:rsid w:val="004D5C81"/>
    <w:rsid w:val="004E164D"/>
    <w:rsid w:val="004E27F9"/>
    <w:rsid w:val="004E3A0F"/>
    <w:rsid w:val="004E3AD7"/>
    <w:rsid w:val="004F1996"/>
    <w:rsid w:val="004F1EB3"/>
    <w:rsid w:val="004F2BC9"/>
    <w:rsid w:val="004F5DD7"/>
    <w:rsid w:val="004F7BBB"/>
    <w:rsid w:val="00501227"/>
    <w:rsid w:val="0050383D"/>
    <w:rsid w:val="005100BB"/>
    <w:rsid w:val="00510CAC"/>
    <w:rsid w:val="005122FF"/>
    <w:rsid w:val="005159B8"/>
    <w:rsid w:val="00524D00"/>
    <w:rsid w:val="005307DC"/>
    <w:rsid w:val="00530F6F"/>
    <w:rsid w:val="00531527"/>
    <w:rsid w:val="005438F5"/>
    <w:rsid w:val="00551BA8"/>
    <w:rsid w:val="005547D7"/>
    <w:rsid w:val="00555145"/>
    <w:rsid w:val="00556D95"/>
    <w:rsid w:val="0055703C"/>
    <w:rsid w:val="005602FD"/>
    <w:rsid w:val="005647F4"/>
    <w:rsid w:val="005723CD"/>
    <w:rsid w:val="005730D5"/>
    <w:rsid w:val="00573455"/>
    <w:rsid w:val="005754FE"/>
    <w:rsid w:val="00577DBF"/>
    <w:rsid w:val="0058075B"/>
    <w:rsid w:val="00596DA1"/>
    <w:rsid w:val="005A0C59"/>
    <w:rsid w:val="005A3BF5"/>
    <w:rsid w:val="005A6879"/>
    <w:rsid w:val="005B0E93"/>
    <w:rsid w:val="005B4887"/>
    <w:rsid w:val="005B5DC5"/>
    <w:rsid w:val="005B7E84"/>
    <w:rsid w:val="005C0A9F"/>
    <w:rsid w:val="005C1479"/>
    <w:rsid w:val="005C4B7F"/>
    <w:rsid w:val="005C5BDE"/>
    <w:rsid w:val="005C7D6F"/>
    <w:rsid w:val="005D2786"/>
    <w:rsid w:val="005E05F4"/>
    <w:rsid w:val="005E3646"/>
    <w:rsid w:val="005E5089"/>
    <w:rsid w:val="005F187A"/>
    <w:rsid w:val="005F64D9"/>
    <w:rsid w:val="00601BEC"/>
    <w:rsid w:val="00606A82"/>
    <w:rsid w:val="006109FC"/>
    <w:rsid w:val="00615647"/>
    <w:rsid w:val="006168F5"/>
    <w:rsid w:val="0061742D"/>
    <w:rsid w:val="00620E7A"/>
    <w:rsid w:val="00621BAA"/>
    <w:rsid w:val="006220ED"/>
    <w:rsid w:val="00626CF7"/>
    <w:rsid w:val="00634485"/>
    <w:rsid w:val="00635D24"/>
    <w:rsid w:val="0064064D"/>
    <w:rsid w:val="0064180B"/>
    <w:rsid w:val="00642014"/>
    <w:rsid w:val="00642472"/>
    <w:rsid w:val="00644006"/>
    <w:rsid w:val="0064733F"/>
    <w:rsid w:val="0065001B"/>
    <w:rsid w:val="006517BA"/>
    <w:rsid w:val="00656161"/>
    <w:rsid w:val="00661109"/>
    <w:rsid w:val="00661390"/>
    <w:rsid w:val="006633ED"/>
    <w:rsid w:val="00672FA9"/>
    <w:rsid w:val="006735AA"/>
    <w:rsid w:val="006854A2"/>
    <w:rsid w:val="0069332B"/>
    <w:rsid w:val="00694C58"/>
    <w:rsid w:val="006952FA"/>
    <w:rsid w:val="0069618E"/>
    <w:rsid w:val="00696E06"/>
    <w:rsid w:val="006A1ECA"/>
    <w:rsid w:val="006A230D"/>
    <w:rsid w:val="006A27EE"/>
    <w:rsid w:val="006A3FE5"/>
    <w:rsid w:val="006A6E5B"/>
    <w:rsid w:val="006B2275"/>
    <w:rsid w:val="006B2C83"/>
    <w:rsid w:val="006B466E"/>
    <w:rsid w:val="006B4A37"/>
    <w:rsid w:val="006B58B0"/>
    <w:rsid w:val="006C3CBC"/>
    <w:rsid w:val="006D07C0"/>
    <w:rsid w:val="006D0FE5"/>
    <w:rsid w:val="006D62E3"/>
    <w:rsid w:val="006D6417"/>
    <w:rsid w:val="006E1C79"/>
    <w:rsid w:val="006E566B"/>
    <w:rsid w:val="006F4685"/>
    <w:rsid w:val="006F4DCF"/>
    <w:rsid w:val="006F5CD9"/>
    <w:rsid w:val="006F5DCB"/>
    <w:rsid w:val="006F5FA3"/>
    <w:rsid w:val="006F6046"/>
    <w:rsid w:val="006F7E0E"/>
    <w:rsid w:val="00702A32"/>
    <w:rsid w:val="00704823"/>
    <w:rsid w:val="00704FCF"/>
    <w:rsid w:val="00706B5E"/>
    <w:rsid w:val="00707E53"/>
    <w:rsid w:val="007107B1"/>
    <w:rsid w:val="00710937"/>
    <w:rsid w:val="007120F8"/>
    <w:rsid w:val="0071331B"/>
    <w:rsid w:val="00714118"/>
    <w:rsid w:val="00720609"/>
    <w:rsid w:val="00721A05"/>
    <w:rsid w:val="00721F59"/>
    <w:rsid w:val="00725059"/>
    <w:rsid w:val="00726FD7"/>
    <w:rsid w:val="007275A8"/>
    <w:rsid w:val="00731593"/>
    <w:rsid w:val="00735384"/>
    <w:rsid w:val="007404BD"/>
    <w:rsid w:val="00740642"/>
    <w:rsid w:val="007407DC"/>
    <w:rsid w:val="0074446F"/>
    <w:rsid w:val="007456BA"/>
    <w:rsid w:val="00745F40"/>
    <w:rsid w:val="007470DA"/>
    <w:rsid w:val="007474B4"/>
    <w:rsid w:val="00751838"/>
    <w:rsid w:val="0075562B"/>
    <w:rsid w:val="00757177"/>
    <w:rsid w:val="00757894"/>
    <w:rsid w:val="00761728"/>
    <w:rsid w:val="00762345"/>
    <w:rsid w:val="0076591D"/>
    <w:rsid w:val="00767824"/>
    <w:rsid w:val="00770640"/>
    <w:rsid w:val="0077493B"/>
    <w:rsid w:val="0077751F"/>
    <w:rsid w:val="007811F0"/>
    <w:rsid w:val="00782AAD"/>
    <w:rsid w:val="00783171"/>
    <w:rsid w:val="00790C1D"/>
    <w:rsid w:val="0079109C"/>
    <w:rsid w:val="00791656"/>
    <w:rsid w:val="00796238"/>
    <w:rsid w:val="007B6080"/>
    <w:rsid w:val="007B6720"/>
    <w:rsid w:val="007B7880"/>
    <w:rsid w:val="007C0526"/>
    <w:rsid w:val="007C2454"/>
    <w:rsid w:val="007C3C9A"/>
    <w:rsid w:val="007C560D"/>
    <w:rsid w:val="007D046A"/>
    <w:rsid w:val="007D0520"/>
    <w:rsid w:val="007D1C27"/>
    <w:rsid w:val="007D23C0"/>
    <w:rsid w:val="007D76AB"/>
    <w:rsid w:val="007E09E3"/>
    <w:rsid w:val="007E1216"/>
    <w:rsid w:val="007E2215"/>
    <w:rsid w:val="007E4797"/>
    <w:rsid w:val="007E7C60"/>
    <w:rsid w:val="007F0C63"/>
    <w:rsid w:val="007F0CC0"/>
    <w:rsid w:val="007F121A"/>
    <w:rsid w:val="007F3C37"/>
    <w:rsid w:val="007F415C"/>
    <w:rsid w:val="007F6635"/>
    <w:rsid w:val="007F7A2B"/>
    <w:rsid w:val="008035CF"/>
    <w:rsid w:val="00803819"/>
    <w:rsid w:val="00803B5A"/>
    <w:rsid w:val="008136F6"/>
    <w:rsid w:val="008146E1"/>
    <w:rsid w:val="00817E48"/>
    <w:rsid w:val="008204EF"/>
    <w:rsid w:val="00821D48"/>
    <w:rsid w:val="00823840"/>
    <w:rsid w:val="008277D1"/>
    <w:rsid w:val="00831D66"/>
    <w:rsid w:val="00832D99"/>
    <w:rsid w:val="00840662"/>
    <w:rsid w:val="008438F1"/>
    <w:rsid w:val="00843FA1"/>
    <w:rsid w:val="008465DE"/>
    <w:rsid w:val="0085196E"/>
    <w:rsid w:val="008522D8"/>
    <w:rsid w:val="00852C26"/>
    <w:rsid w:val="008644D4"/>
    <w:rsid w:val="008671F1"/>
    <w:rsid w:val="0087503D"/>
    <w:rsid w:val="0087709B"/>
    <w:rsid w:val="0087712D"/>
    <w:rsid w:val="00877D39"/>
    <w:rsid w:val="00887952"/>
    <w:rsid w:val="00890C13"/>
    <w:rsid w:val="00892F70"/>
    <w:rsid w:val="00894B89"/>
    <w:rsid w:val="008A0618"/>
    <w:rsid w:val="008A0AFE"/>
    <w:rsid w:val="008A0D0C"/>
    <w:rsid w:val="008A7571"/>
    <w:rsid w:val="008B1052"/>
    <w:rsid w:val="008B22FD"/>
    <w:rsid w:val="008B3F91"/>
    <w:rsid w:val="008B7028"/>
    <w:rsid w:val="008C7DA7"/>
    <w:rsid w:val="008D003F"/>
    <w:rsid w:val="008D3253"/>
    <w:rsid w:val="008E0FD8"/>
    <w:rsid w:val="008E1604"/>
    <w:rsid w:val="008E4A7E"/>
    <w:rsid w:val="008E60BF"/>
    <w:rsid w:val="008F705C"/>
    <w:rsid w:val="00900FE7"/>
    <w:rsid w:val="00903C83"/>
    <w:rsid w:val="00914273"/>
    <w:rsid w:val="00916D9D"/>
    <w:rsid w:val="00922B4D"/>
    <w:rsid w:val="00931506"/>
    <w:rsid w:val="00932F07"/>
    <w:rsid w:val="00933716"/>
    <w:rsid w:val="00934C01"/>
    <w:rsid w:val="0093753F"/>
    <w:rsid w:val="00942DF8"/>
    <w:rsid w:val="009438AB"/>
    <w:rsid w:val="00944393"/>
    <w:rsid w:val="00947EFB"/>
    <w:rsid w:val="0095069F"/>
    <w:rsid w:val="009545E5"/>
    <w:rsid w:val="00962DD7"/>
    <w:rsid w:val="009630A9"/>
    <w:rsid w:val="009651FC"/>
    <w:rsid w:val="00967BC2"/>
    <w:rsid w:val="00976796"/>
    <w:rsid w:val="00977EB2"/>
    <w:rsid w:val="00984E77"/>
    <w:rsid w:val="00986507"/>
    <w:rsid w:val="009878E2"/>
    <w:rsid w:val="00987BAA"/>
    <w:rsid w:val="00997EC5"/>
    <w:rsid w:val="009A13E7"/>
    <w:rsid w:val="009A1D67"/>
    <w:rsid w:val="009A748F"/>
    <w:rsid w:val="009B0113"/>
    <w:rsid w:val="009B2E7B"/>
    <w:rsid w:val="009B4EB9"/>
    <w:rsid w:val="009B5946"/>
    <w:rsid w:val="009C1743"/>
    <w:rsid w:val="009C4D0C"/>
    <w:rsid w:val="009C56E8"/>
    <w:rsid w:val="009C7D6C"/>
    <w:rsid w:val="009D0FE4"/>
    <w:rsid w:val="009D61EF"/>
    <w:rsid w:val="009D68DA"/>
    <w:rsid w:val="009D6B8B"/>
    <w:rsid w:val="009D6BA6"/>
    <w:rsid w:val="009E535E"/>
    <w:rsid w:val="009F088F"/>
    <w:rsid w:val="009F3A4E"/>
    <w:rsid w:val="009F5376"/>
    <w:rsid w:val="009F662B"/>
    <w:rsid w:val="00A00D1F"/>
    <w:rsid w:val="00A02171"/>
    <w:rsid w:val="00A03B57"/>
    <w:rsid w:val="00A068D9"/>
    <w:rsid w:val="00A075EF"/>
    <w:rsid w:val="00A114B2"/>
    <w:rsid w:val="00A2064E"/>
    <w:rsid w:val="00A2069E"/>
    <w:rsid w:val="00A213CF"/>
    <w:rsid w:val="00A2141F"/>
    <w:rsid w:val="00A229C1"/>
    <w:rsid w:val="00A22E2F"/>
    <w:rsid w:val="00A23E60"/>
    <w:rsid w:val="00A24341"/>
    <w:rsid w:val="00A24BCB"/>
    <w:rsid w:val="00A301F1"/>
    <w:rsid w:val="00A317DC"/>
    <w:rsid w:val="00A3471C"/>
    <w:rsid w:val="00A34C23"/>
    <w:rsid w:val="00A37EFE"/>
    <w:rsid w:val="00A4747A"/>
    <w:rsid w:val="00A50767"/>
    <w:rsid w:val="00A5417C"/>
    <w:rsid w:val="00A56A66"/>
    <w:rsid w:val="00A5717D"/>
    <w:rsid w:val="00A61261"/>
    <w:rsid w:val="00A61436"/>
    <w:rsid w:val="00A61C52"/>
    <w:rsid w:val="00A624F7"/>
    <w:rsid w:val="00A64136"/>
    <w:rsid w:val="00A650A6"/>
    <w:rsid w:val="00A7183B"/>
    <w:rsid w:val="00A72039"/>
    <w:rsid w:val="00A7342F"/>
    <w:rsid w:val="00A734F2"/>
    <w:rsid w:val="00A7374A"/>
    <w:rsid w:val="00A806EE"/>
    <w:rsid w:val="00A817E3"/>
    <w:rsid w:val="00A827AA"/>
    <w:rsid w:val="00A85141"/>
    <w:rsid w:val="00A857B6"/>
    <w:rsid w:val="00A8692D"/>
    <w:rsid w:val="00A9010D"/>
    <w:rsid w:val="00A90621"/>
    <w:rsid w:val="00A91EE3"/>
    <w:rsid w:val="00A96ACC"/>
    <w:rsid w:val="00AA0E25"/>
    <w:rsid w:val="00AA1172"/>
    <w:rsid w:val="00AA2629"/>
    <w:rsid w:val="00AA272B"/>
    <w:rsid w:val="00AA2865"/>
    <w:rsid w:val="00AA3CFC"/>
    <w:rsid w:val="00AB648C"/>
    <w:rsid w:val="00AC159C"/>
    <w:rsid w:val="00AC2C40"/>
    <w:rsid w:val="00AC506A"/>
    <w:rsid w:val="00AD6883"/>
    <w:rsid w:val="00AE0DF2"/>
    <w:rsid w:val="00AE1274"/>
    <w:rsid w:val="00AF1D26"/>
    <w:rsid w:val="00AF7249"/>
    <w:rsid w:val="00AF7386"/>
    <w:rsid w:val="00B00254"/>
    <w:rsid w:val="00B01B7C"/>
    <w:rsid w:val="00B0639E"/>
    <w:rsid w:val="00B14E30"/>
    <w:rsid w:val="00B17095"/>
    <w:rsid w:val="00B23C4C"/>
    <w:rsid w:val="00B25DEF"/>
    <w:rsid w:val="00B27025"/>
    <w:rsid w:val="00B31C96"/>
    <w:rsid w:val="00B407B7"/>
    <w:rsid w:val="00B42024"/>
    <w:rsid w:val="00B42448"/>
    <w:rsid w:val="00B514EC"/>
    <w:rsid w:val="00B60AA0"/>
    <w:rsid w:val="00B61F53"/>
    <w:rsid w:val="00B62972"/>
    <w:rsid w:val="00B64288"/>
    <w:rsid w:val="00B656AC"/>
    <w:rsid w:val="00B65B8B"/>
    <w:rsid w:val="00B706A0"/>
    <w:rsid w:val="00B73883"/>
    <w:rsid w:val="00B75C0E"/>
    <w:rsid w:val="00B75CBD"/>
    <w:rsid w:val="00B77BDA"/>
    <w:rsid w:val="00B82933"/>
    <w:rsid w:val="00B83BB0"/>
    <w:rsid w:val="00B8546A"/>
    <w:rsid w:val="00B86585"/>
    <w:rsid w:val="00B87A5D"/>
    <w:rsid w:val="00B921F2"/>
    <w:rsid w:val="00B93688"/>
    <w:rsid w:val="00B977EC"/>
    <w:rsid w:val="00B97A3A"/>
    <w:rsid w:val="00BA1316"/>
    <w:rsid w:val="00BA2F77"/>
    <w:rsid w:val="00BA4495"/>
    <w:rsid w:val="00BA637B"/>
    <w:rsid w:val="00BB4952"/>
    <w:rsid w:val="00BB549E"/>
    <w:rsid w:val="00BB5822"/>
    <w:rsid w:val="00BB6FDA"/>
    <w:rsid w:val="00BB7D54"/>
    <w:rsid w:val="00BC2292"/>
    <w:rsid w:val="00BC29B1"/>
    <w:rsid w:val="00BC2DAD"/>
    <w:rsid w:val="00BC565F"/>
    <w:rsid w:val="00BC6B28"/>
    <w:rsid w:val="00BD099D"/>
    <w:rsid w:val="00BD10B5"/>
    <w:rsid w:val="00BD2423"/>
    <w:rsid w:val="00BD49EA"/>
    <w:rsid w:val="00BE304B"/>
    <w:rsid w:val="00BE7C2F"/>
    <w:rsid w:val="00BF7046"/>
    <w:rsid w:val="00C01672"/>
    <w:rsid w:val="00C03E27"/>
    <w:rsid w:val="00C067F8"/>
    <w:rsid w:val="00C10829"/>
    <w:rsid w:val="00C145B8"/>
    <w:rsid w:val="00C15283"/>
    <w:rsid w:val="00C170CC"/>
    <w:rsid w:val="00C25CDA"/>
    <w:rsid w:val="00C26A1B"/>
    <w:rsid w:val="00C30087"/>
    <w:rsid w:val="00C3349A"/>
    <w:rsid w:val="00C37ACF"/>
    <w:rsid w:val="00C37AF4"/>
    <w:rsid w:val="00C37BD9"/>
    <w:rsid w:val="00C43842"/>
    <w:rsid w:val="00C4446D"/>
    <w:rsid w:val="00C44BE9"/>
    <w:rsid w:val="00C45A52"/>
    <w:rsid w:val="00C51D9F"/>
    <w:rsid w:val="00C54134"/>
    <w:rsid w:val="00C56535"/>
    <w:rsid w:val="00C608C5"/>
    <w:rsid w:val="00C63B6F"/>
    <w:rsid w:val="00C64EB0"/>
    <w:rsid w:val="00C7118C"/>
    <w:rsid w:val="00C7157C"/>
    <w:rsid w:val="00C73578"/>
    <w:rsid w:val="00C73F16"/>
    <w:rsid w:val="00C756BC"/>
    <w:rsid w:val="00C757F9"/>
    <w:rsid w:val="00C776ED"/>
    <w:rsid w:val="00C77721"/>
    <w:rsid w:val="00C805EB"/>
    <w:rsid w:val="00C82108"/>
    <w:rsid w:val="00C84FF4"/>
    <w:rsid w:val="00C92EB6"/>
    <w:rsid w:val="00C96C59"/>
    <w:rsid w:val="00C9769E"/>
    <w:rsid w:val="00CA3719"/>
    <w:rsid w:val="00CA38B4"/>
    <w:rsid w:val="00CB072B"/>
    <w:rsid w:val="00CB2140"/>
    <w:rsid w:val="00CB260F"/>
    <w:rsid w:val="00CB3D00"/>
    <w:rsid w:val="00CB56D6"/>
    <w:rsid w:val="00CC0559"/>
    <w:rsid w:val="00CC14B5"/>
    <w:rsid w:val="00CC44FD"/>
    <w:rsid w:val="00CC63DF"/>
    <w:rsid w:val="00CD233C"/>
    <w:rsid w:val="00CD2344"/>
    <w:rsid w:val="00CD481A"/>
    <w:rsid w:val="00CD4B2D"/>
    <w:rsid w:val="00CD5832"/>
    <w:rsid w:val="00CD76DA"/>
    <w:rsid w:val="00CE7787"/>
    <w:rsid w:val="00CF6347"/>
    <w:rsid w:val="00D01B6B"/>
    <w:rsid w:val="00D0277F"/>
    <w:rsid w:val="00D1082D"/>
    <w:rsid w:val="00D1259A"/>
    <w:rsid w:val="00D132F6"/>
    <w:rsid w:val="00D14FE9"/>
    <w:rsid w:val="00D17170"/>
    <w:rsid w:val="00D268E3"/>
    <w:rsid w:val="00D3032A"/>
    <w:rsid w:val="00D32110"/>
    <w:rsid w:val="00D36DE5"/>
    <w:rsid w:val="00D421FC"/>
    <w:rsid w:val="00D42314"/>
    <w:rsid w:val="00D43C0A"/>
    <w:rsid w:val="00D45F2F"/>
    <w:rsid w:val="00D46BCF"/>
    <w:rsid w:val="00D47838"/>
    <w:rsid w:val="00D55815"/>
    <w:rsid w:val="00D61327"/>
    <w:rsid w:val="00D62257"/>
    <w:rsid w:val="00D63A4F"/>
    <w:rsid w:val="00D65D3C"/>
    <w:rsid w:val="00D6651A"/>
    <w:rsid w:val="00D737E3"/>
    <w:rsid w:val="00D7564F"/>
    <w:rsid w:val="00D80093"/>
    <w:rsid w:val="00D81802"/>
    <w:rsid w:val="00D8740E"/>
    <w:rsid w:val="00D90EDA"/>
    <w:rsid w:val="00D91E54"/>
    <w:rsid w:val="00DA0D9D"/>
    <w:rsid w:val="00DA1EEB"/>
    <w:rsid w:val="00DA3589"/>
    <w:rsid w:val="00DA77AA"/>
    <w:rsid w:val="00DB3E73"/>
    <w:rsid w:val="00DB5B40"/>
    <w:rsid w:val="00DB78F6"/>
    <w:rsid w:val="00DC1EA5"/>
    <w:rsid w:val="00DC30C1"/>
    <w:rsid w:val="00DC768A"/>
    <w:rsid w:val="00DD00A1"/>
    <w:rsid w:val="00DD2314"/>
    <w:rsid w:val="00DD4618"/>
    <w:rsid w:val="00DD4FDA"/>
    <w:rsid w:val="00DD6C34"/>
    <w:rsid w:val="00DE1F33"/>
    <w:rsid w:val="00DE6B34"/>
    <w:rsid w:val="00DE72A4"/>
    <w:rsid w:val="00DF4908"/>
    <w:rsid w:val="00DF5632"/>
    <w:rsid w:val="00DF6EF2"/>
    <w:rsid w:val="00E00CEC"/>
    <w:rsid w:val="00E04472"/>
    <w:rsid w:val="00E050E9"/>
    <w:rsid w:val="00E119EF"/>
    <w:rsid w:val="00E12BD8"/>
    <w:rsid w:val="00E17C91"/>
    <w:rsid w:val="00E251DB"/>
    <w:rsid w:val="00E259CB"/>
    <w:rsid w:val="00E25A22"/>
    <w:rsid w:val="00E32968"/>
    <w:rsid w:val="00E35F68"/>
    <w:rsid w:val="00E361AD"/>
    <w:rsid w:val="00E43D63"/>
    <w:rsid w:val="00E45EDC"/>
    <w:rsid w:val="00E508B8"/>
    <w:rsid w:val="00E51CB7"/>
    <w:rsid w:val="00E567F3"/>
    <w:rsid w:val="00E60CD6"/>
    <w:rsid w:val="00E61D25"/>
    <w:rsid w:val="00E622F3"/>
    <w:rsid w:val="00E65C80"/>
    <w:rsid w:val="00E7733A"/>
    <w:rsid w:val="00E7763F"/>
    <w:rsid w:val="00E77762"/>
    <w:rsid w:val="00E80494"/>
    <w:rsid w:val="00E81082"/>
    <w:rsid w:val="00E85D6E"/>
    <w:rsid w:val="00E862AB"/>
    <w:rsid w:val="00E900FA"/>
    <w:rsid w:val="00E9416E"/>
    <w:rsid w:val="00E94C3B"/>
    <w:rsid w:val="00EA28AD"/>
    <w:rsid w:val="00EA3962"/>
    <w:rsid w:val="00EB38AB"/>
    <w:rsid w:val="00EB517E"/>
    <w:rsid w:val="00EB6B89"/>
    <w:rsid w:val="00EC0B86"/>
    <w:rsid w:val="00EC2C08"/>
    <w:rsid w:val="00ED1211"/>
    <w:rsid w:val="00ED154B"/>
    <w:rsid w:val="00ED1FEB"/>
    <w:rsid w:val="00ED3A1A"/>
    <w:rsid w:val="00ED5570"/>
    <w:rsid w:val="00ED7B57"/>
    <w:rsid w:val="00EE14A4"/>
    <w:rsid w:val="00EE3278"/>
    <w:rsid w:val="00EE4DEF"/>
    <w:rsid w:val="00EE55A9"/>
    <w:rsid w:val="00EF0251"/>
    <w:rsid w:val="00F01891"/>
    <w:rsid w:val="00F11FBA"/>
    <w:rsid w:val="00F122B1"/>
    <w:rsid w:val="00F200BA"/>
    <w:rsid w:val="00F23D3A"/>
    <w:rsid w:val="00F30850"/>
    <w:rsid w:val="00F35962"/>
    <w:rsid w:val="00F40949"/>
    <w:rsid w:val="00F43AB8"/>
    <w:rsid w:val="00F44351"/>
    <w:rsid w:val="00F50DEC"/>
    <w:rsid w:val="00F5205B"/>
    <w:rsid w:val="00F531E4"/>
    <w:rsid w:val="00F53F5F"/>
    <w:rsid w:val="00F54308"/>
    <w:rsid w:val="00F55528"/>
    <w:rsid w:val="00F60079"/>
    <w:rsid w:val="00F6638C"/>
    <w:rsid w:val="00F66919"/>
    <w:rsid w:val="00F66939"/>
    <w:rsid w:val="00F6716D"/>
    <w:rsid w:val="00F673FA"/>
    <w:rsid w:val="00F754C3"/>
    <w:rsid w:val="00F77D32"/>
    <w:rsid w:val="00F82E7B"/>
    <w:rsid w:val="00F85555"/>
    <w:rsid w:val="00F9441E"/>
    <w:rsid w:val="00F96773"/>
    <w:rsid w:val="00F97DE6"/>
    <w:rsid w:val="00FA1502"/>
    <w:rsid w:val="00FA73D7"/>
    <w:rsid w:val="00FB0A13"/>
    <w:rsid w:val="00FB3EE8"/>
    <w:rsid w:val="00FC013F"/>
    <w:rsid w:val="00FC16F7"/>
    <w:rsid w:val="00FC2196"/>
    <w:rsid w:val="00FC5822"/>
    <w:rsid w:val="00FC727F"/>
    <w:rsid w:val="00FD17D2"/>
    <w:rsid w:val="00FD1F94"/>
    <w:rsid w:val="00FD7886"/>
    <w:rsid w:val="00FE1870"/>
    <w:rsid w:val="00FE1C33"/>
    <w:rsid w:val="00FE64B7"/>
    <w:rsid w:val="00FF10E4"/>
    <w:rsid w:val="00FF3C48"/>
    <w:rsid w:val="00FF562D"/>
    <w:rsid w:val="00FF59B1"/>
    <w:rsid w:val="00FF772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4C741B"/>
  <w15:chartTrackingRefBased/>
  <w15:docId w15:val="{FA385866-8FC7-468E-8594-B5ACC9DF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28"/>
    <w:pPr>
      <w:spacing w:before="240"/>
    </w:pPr>
    <w:rPr>
      <w:rFonts w:ascii="Times New Roman" w:eastAsia="MS Mincho" w:hAnsi="Times New Roman" w:cs="Times New Roman"/>
      <w:color w:val="000000"/>
      <w:sz w:val="24"/>
      <w:szCs w:val="24"/>
      <w:lang w:val="en-US" w:eastAsia="en-US"/>
    </w:rPr>
  </w:style>
  <w:style w:type="paragraph" w:styleId="Heading1">
    <w:name w:val="heading 1"/>
    <w:next w:val="Normal"/>
    <w:link w:val="Heading1Char"/>
    <w:qFormat/>
    <w:rsid w:val="0058075B"/>
    <w:pPr>
      <w:keepNext/>
      <w:pageBreakBefore/>
      <w:numPr>
        <w:numId w:val="7"/>
      </w:numPr>
      <w:spacing w:before="480"/>
      <w:outlineLvl w:val="0"/>
    </w:pPr>
    <w:rPr>
      <w:rFonts w:ascii="Arial" w:eastAsia="MS Gothic" w:hAnsi="Arial"/>
      <w:b/>
      <w:bCs/>
      <w:caps/>
      <w:kern w:val="32"/>
      <w:sz w:val="28"/>
      <w:szCs w:val="32"/>
      <w:lang w:val="en-US" w:eastAsia="en-US"/>
    </w:rPr>
  </w:style>
  <w:style w:type="paragraph" w:styleId="Heading2">
    <w:name w:val="heading 2"/>
    <w:basedOn w:val="Heading1"/>
    <w:next w:val="Normal"/>
    <w:link w:val="Heading2Char"/>
    <w:qFormat/>
    <w:rsid w:val="00124389"/>
    <w:pPr>
      <w:pageBreakBefore w:val="0"/>
      <w:numPr>
        <w:ilvl w:val="1"/>
      </w:numPr>
      <w:tabs>
        <w:tab w:val="clear" w:pos="6633"/>
        <w:tab w:val="left" w:pos="680"/>
      </w:tabs>
      <w:ind w:left="680"/>
      <w:outlineLvl w:val="1"/>
    </w:pPr>
    <w:rPr>
      <w:bCs w:val="0"/>
      <w:iCs/>
      <w:sz w:val="22"/>
      <w:szCs w:val="28"/>
    </w:rPr>
  </w:style>
  <w:style w:type="paragraph" w:styleId="Heading3">
    <w:name w:val="heading 3"/>
    <w:basedOn w:val="Heading1"/>
    <w:next w:val="Normal"/>
    <w:link w:val="Heading3Char"/>
    <w:qFormat/>
    <w:rsid w:val="0058075B"/>
    <w:pPr>
      <w:pageBreakBefore w:val="0"/>
      <w:numPr>
        <w:ilvl w:val="2"/>
      </w:numPr>
      <w:spacing w:before="360"/>
      <w:outlineLvl w:val="2"/>
    </w:pPr>
    <w:rPr>
      <w:bCs w:val="0"/>
      <w:caps w:val="0"/>
      <w:sz w:val="22"/>
      <w:szCs w:val="26"/>
    </w:rPr>
  </w:style>
  <w:style w:type="paragraph" w:styleId="Heading4">
    <w:name w:val="heading 4"/>
    <w:basedOn w:val="Heading1"/>
    <w:next w:val="Normal"/>
    <w:link w:val="Heading4Char"/>
    <w:qFormat/>
    <w:rsid w:val="0058075B"/>
    <w:pPr>
      <w:pageBreakBefore w:val="0"/>
      <w:numPr>
        <w:ilvl w:val="3"/>
      </w:numPr>
      <w:spacing w:before="360"/>
      <w:outlineLvl w:val="3"/>
    </w:pPr>
    <w:rPr>
      <w:bCs w:val="0"/>
      <w:i/>
      <w:caps w:val="0"/>
      <w:sz w:val="22"/>
      <w:szCs w:val="28"/>
    </w:rPr>
  </w:style>
  <w:style w:type="paragraph" w:styleId="Heading5">
    <w:name w:val="heading 5"/>
    <w:basedOn w:val="Heading1"/>
    <w:next w:val="Normal"/>
    <w:link w:val="Heading5Char"/>
    <w:qFormat/>
    <w:rsid w:val="0058075B"/>
    <w:pPr>
      <w:pageBreakBefore w:val="0"/>
      <w:numPr>
        <w:ilvl w:val="4"/>
      </w:numPr>
      <w:spacing w:before="360"/>
      <w:outlineLvl w:val="4"/>
    </w:pPr>
    <w:rPr>
      <w:b w:val="0"/>
      <w:bCs w:val="0"/>
      <w:i/>
      <w:iCs/>
      <w:caps w:val="0"/>
      <w:sz w:val="22"/>
      <w:szCs w:val="26"/>
    </w:rPr>
  </w:style>
  <w:style w:type="paragraph" w:styleId="Heading6">
    <w:name w:val="heading 6"/>
    <w:basedOn w:val="Heading1"/>
    <w:next w:val="Normal"/>
    <w:link w:val="Heading6Char"/>
    <w:qFormat/>
    <w:rsid w:val="0058075B"/>
    <w:pPr>
      <w:pageBreakBefore w:val="0"/>
      <w:numPr>
        <w:ilvl w:val="5"/>
      </w:numPr>
      <w:spacing w:before="360"/>
      <w:outlineLvl w:val="5"/>
    </w:pPr>
    <w:rPr>
      <w:b w:val="0"/>
      <w:bCs w:val="0"/>
      <w:caps w:val="0"/>
      <w:sz w:val="22"/>
      <w:szCs w:val="22"/>
    </w:rPr>
  </w:style>
  <w:style w:type="paragraph" w:styleId="Heading7">
    <w:name w:val="heading 7"/>
    <w:basedOn w:val="Heading6"/>
    <w:next w:val="Normal"/>
    <w:link w:val="Heading7Char"/>
    <w:qFormat/>
    <w:rsid w:val="0058075B"/>
    <w:pPr>
      <w:numPr>
        <w:ilvl w:val="6"/>
      </w:numPr>
      <w:outlineLvl w:val="6"/>
    </w:pPr>
  </w:style>
  <w:style w:type="paragraph" w:styleId="Heading8">
    <w:name w:val="heading 8"/>
    <w:basedOn w:val="Heading6"/>
    <w:next w:val="Normal"/>
    <w:link w:val="Heading8Char"/>
    <w:qFormat/>
    <w:rsid w:val="0058075B"/>
    <w:pPr>
      <w:numPr>
        <w:ilvl w:val="7"/>
      </w:numPr>
      <w:outlineLvl w:val="7"/>
    </w:pPr>
    <w:rPr>
      <w:iCs/>
    </w:rPr>
  </w:style>
  <w:style w:type="paragraph" w:styleId="Heading9">
    <w:name w:val="heading 9"/>
    <w:basedOn w:val="Heading6"/>
    <w:next w:val="Normal"/>
    <w:link w:val="Heading9Char"/>
    <w:qFormat/>
    <w:rsid w:val="0058075B"/>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7A3A"/>
    <w:rPr>
      <w:rFonts w:ascii="Arial" w:eastAsia="MS Gothic" w:hAnsi="Arial"/>
      <w:b/>
      <w:bCs/>
      <w:caps/>
      <w:kern w:val="32"/>
      <w:sz w:val="28"/>
      <w:szCs w:val="32"/>
      <w:lang w:val="en-US" w:eastAsia="en-US"/>
    </w:rPr>
  </w:style>
  <w:style w:type="character" w:customStyle="1" w:styleId="Heading2Char">
    <w:name w:val="Heading 2 Char"/>
    <w:link w:val="Heading2"/>
    <w:rsid w:val="00124389"/>
    <w:rPr>
      <w:rFonts w:ascii="Arial" w:eastAsia="MS Gothic" w:hAnsi="Arial"/>
      <w:b/>
      <w:iCs/>
      <w:caps/>
      <w:kern w:val="32"/>
      <w:sz w:val="22"/>
      <w:szCs w:val="28"/>
      <w:lang w:val="en-US" w:eastAsia="en-US"/>
    </w:rPr>
  </w:style>
  <w:style w:type="character" w:customStyle="1" w:styleId="Heading3Char">
    <w:name w:val="Heading 3 Char"/>
    <w:link w:val="Heading3"/>
    <w:rsid w:val="00B97A3A"/>
    <w:rPr>
      <w:rFonts w:ascii="Arial" w:eastAsia="MS Gothic" w:hAnsi="Arial"/>
      <w:b/>
      <w:kern w:val="32"/>
      <w:sz w:val="22"/>
      <w:szCs w:val="26"/>
      <w:lang w:val="en-US" w:eastAsia="en-US"/>
    </w:rPr>
  </w:style>
  <w:style w:type="character" w:customStyle="1" w:styleId="Heading4Char">
    <w:name w:val="Heading 4 Char"/>
    <w:link w:val="Heading4"/>
    <w:rsid w:val="00B97A3A"/>
    <w:rPr>
      <w:rFonts w:ascii="Arial" w:eastAsia="MS Gothic" w:hAnsi="Arial"/>
      <w:b/>
      <w:i/>
      <w:kern w:val="32"/>
      <w:sz w:val="22"/>
      <w:szCs w:val="28"/>
      <w:lang w:val="en-US" w:eastAsia="en-US"/>
    </w:rPr>
  </w:style>
  <w:style w:type="character" w:customStyle="1" w:styleId="Heading5Char">
    <w:name w:val="Heading 5 Char"/>
    <w:link w:val="Heading5"/>
    <w:rsid w:val="00B97A3A"/>
    <w:rPr>
      <w:rFonts w:ascii="Arial" w:eastAsia="MS Gothic" w:hAnsi="Arial"/>
      <w:i/>
      <w:iCs/>
      <w:kern w:val="32"/>
      <w:sz w:val="22"/>
      <w:szCs w:val="26"/>
      <w:lang w:val="en-US" w:eastAsia="en-US"/>
    </w:rPr>
  </w:style>
  <w:style w:type="character" w:customStyle="1" w:styleId="Heading6Char">
    <w:name w:val="Heading 6 Char"/>
    <w:link w:val="Heading6"/>
    <w:rsid w:val="00B97A3A"/>
    <w:rPr>
      <w:rFonts w:ascii="Arial" w:eastAsia="MS Gothic" w:hAnsi="Arial"/>
      <w:kern w:val="32"/>
      <w:sz w:val="22"/>
      <w:szCs w:val="22"/>
      <w:lang w:val="en-US" w:eastAsia="en-US"/>
    </w:rPr>
  </w:style>
  <w:style w:type="character" w:customStyle="1" w:styleId="Heading7Char">
    <w:name w:val="Heading 7 Char"/>
    <w:link w:val="Heading7"/>
    <w:rsid w:val="00B97A3A"/>
    <w:rPr>
      <w:rFonts w:ascii="Arial" w:eastAsia="MS Gothic" w:hAnsi="Arial"/>
      <w:kern w:val="32"/>
      <w:sz w:val="22"/>
      <w:szCs w:val="22"/>
      <w:lang w:val="en-US" w:eastAsia="en-US"/>
    </w:rPr>
  </w:style>
  <w:style w:type="character" w:customStyle="1" w:styleId="Heading8Char">
    <w:name w:val="Heading 8 Char"/>
    <w:link w:val="Heading8"/>
    <w:rsid w:val="00B97A3A"/>
    <w:rPr>
      <w:rFonts w:ascii="Arial" w:eastAsia="MS Gothic" w:hAnsi="Arial"/>
      <w:iCs/>
      <w:kern w:val="32"/>
      <w:sz w:val="22"/>
      <w:szCs w:val="22"/>
      <w:lang w:val="en-US" w:eastAsia="en-US"/>
    </w:rPr>
  </w:style>
  <w:style w:type="character" w:customStyle="1" w:styleId="Heading9Char">
    <w:name w:val="Heading 9 Char"/>
    <w:link w:val="Heading9"/>
    <w:rsid w:val="00B97A3A"/>
    <w:rPr>
      <w:rFonts w:ascii="Arial" w:eastAsia="MS Gothic" w:hAnsi="Arial"/>
      <w:kern w:val="32"/>
      <w:sz w:val="22"/>
      <w:szCs w:val="22"/>
      <w:lang w:val="en-US" w:eastAsia="en-US"/>
    </w:rPr>
  </w:style>
  <w:style w:type="paragraph" w:styleId="Header">
    <w:name w:val="header"/>
    <w:link w:val="HeaderChar"/>
    <w:rsid w:val="00761728"/>
    <w:pPr>
      <w:tabs>
        <w:tab w:val="left" w:pos="4536"/>
        <w:tab w:val="right" w:pos="9480"/>
      </w:tabs>
    </w:pPr>
    <w:rPr>
      <w:rFonts w:ascii="Arial" w:eastAsia="MS Gothic" w:hAnsi="Arial" w:cs="Times New Roman"/>
      <w:sz w:val="18"/>
      <w:lang w:val="en-US" w:eastAsia="en-US"/>
    </w:rPr>
  </w:style>
  <w:style w:type="character" w:customStyle="1" w:styleId="HeaderChar">
    <w:name w:val="Header Char"/>
    <w:link w:val="Header"/>
    <w:rsid w:val="00B97A3A"/>
    <w:rPr>
      <w:rFonts w:ascii="Arial" w:eastAsia="MS Gothic" w:hAnsi="Arial" w:cs="Times New Roman"/>
      <w:sz w:val="18"/>
      <w:lang w:val="en-US" w:eastAsia="en-US"/>
    </w:rPr>
  </w:style>
  <w:style w:type="paragraph" w:styleId="Footer">
    <w:name w:val="footer"/>
    <w:link w:val="FooterChar"/>
    <w:rsid w:val="00761728"/>
    <w:pPr>
      <w:tabs>
        <w:tab w:val="right" w:pos="9469"/>
      </w:tabs>
    </w:pPr>
    <w:rPr>
      <w:rFonts w:ascii="Arial" w:eastAsia="MS Gothic" w:hAnsi="Arial" w:cs="Times New Roman"/>
      <w:sz w:val="18"/>
      <w:lang w:val="en-US" w:eastAsia="en-US"/>
    </w:rPr>
  </w:style>
  <w:style w:type="character" w:customStyle="1" w:styleId="FooterChar">
    <w:name w:val="Footer Char"/>
    <w:link w:val="Footer"/>
    <w:rsid w:val="00B97A3A"/>
    <w:rPr>
      <w:rFonts w:ascii="Arial" w:eastAsia="MS Gothic" w:hAnsi="Arial" w:cs="Times New Roman"/>
      <w:sz w:val="18"/>
      <w:lang w:val="en-US" w:eastAsia="en-US"/>
    </w:rPr>
  </w:style>
  <w:style w:type="paragraph" w:customStyle="1" w:styleId="Heading1NoTOC">
    <w:name w:val="Heading 1 NoTOC"/>
    <w:basedOn w:val="Heading1"/>
    <w:rsid w:val="00761728"/>
    <w:pPr>
      <w:numPr>
        <w:numId w:val="0"/>
      </w:numPr>
      <w:outlineLvl w:val="9"/>
    </w:pPr>
  </w:style>
  <w:style w:type="paragraph" w:styleId="Title">
    <w:name w:val="Title"/>
    <w:next w:val="Normal"/>
    <w:link w:val="TitleChar"/>
    <w:qFormat/>
    <w:rsid w:val="00761728"/>
    <w:pPr>
      <w:keepNext/>
      <w:spacing w:before="600" w:after="480"/>
      <w:jc w:val="center"/>
      <w:outlineLvl w:val="0"/>
    </w:pPr>
    <w:rPr>
      <w:rFonts w:ascii="Arial" w:eastAsia="MS Gothic" w:hAnsi="Arial"/>
      <w:b/>
      <w:bCs/>
      <w:caps/>
      <w:sz w:val="22"/>
      <w:szCs w:val="32"/>
      <w:lang w:val="en-US" w:eastAsia="en-US"/>
    </w:rPr>
  </w:style>
  <w:style w:type="character" w:customStyle="1" w:styleId="TitleChar">
    <w:name w:val="Title Char"/>
    <w:link w:val="Title"/>
    <w:rsid w:val="00B97A3A"/>
    <w:rPr>
      <w:rFonts w:ascii="Arial" w:eastAsia="MS Gothic" w:hAnsi="Arial"/>
      <w:b/>
      <w:bCs/>
      <w:caps/>
      <w:sz w:val="22"/>
      <w:szCs w:val="32"/>
      <w:lang w:val="en-US" w:eastAsia="en-US"/>
    </w:rPr>
  </w:style>
  <w:style w:type="paragraph" w:customStyle="1" w:styleId="TitleNoToc">
    <w:name w:val="Title NoToc"/>
    <w:basedOn w:val="Title"/>
    <w:next w:val="Normal"/>
    <w:rsid w:val="00761728"/>
    <w:pPr>
      <w:outlineLvl w:val="9"/>
    </w:pPr>
  </w:style>
  <w:style w:type="character" w:customStyle="1" w:styleId="InstructionsTextChar">
    <w:name w:val="Instructions Text Char"/>
    <w:link w:val="InstructionsText"/>
    <w:rsid w:val="00761728"/>
    <w:rPr>
      <w:rFonts w:eastAsia="MS Mincho"/>
      <w:color w:val="000000"/>
      <w:sz w:val="24"/>
      <w:szCs w:val="24"/>
      <w:shd w:val="clear" w:color="auto" w:fill="FFCC66"/>
      <w:lang w:val="en-US" w:eastAsia="en-US"/>
    </w:rPr>
  </w:style>
  <w:style w:type="paragraph" w:customStyle="1" w:styleId="ListNumbered">
    <w:name w:val="List Numbered"/>
    <w:basedOn w:val="Normal"/>
    <w:rsid w:val="00761728"/>
    <w:pPr>
      <w:numPr>
        <w:numId w:val="3"/>
      </w:numPr>
      <w:spacing w:before="120"/>
    </w:pPr>
  </w:style>
  <w:style w:type="paragraph" w:customStyle="1" w:styleId="ListBulletLevel1">
    <w:name w:val="List Bullet Level 1"/>
    <w:basedOn w:val="Normal"/>
    <w:rsid w:val="00761728"/>
    <w:pPr>
      <w:numPr>
        <w:numId w:val="1"/>
      </w:numPr>
      <w:spacing w:before="120"/>
    </w:pPr>
  </w:style>
  <w:style w:type="paragraph" w:customStyle="1" w:styleId="ListAlphabeticalLevel1">
    <w:name w:val="List Alphabetical Level 1"/>
    <w:basedOn w:val="Normal"/>
    <w:rsid w:val="00761728"/>
    <w:pPr>
      <w:numPr>
        <w:numId w:val="2"/>
      </w:numPr>
      <w:spacing w:before="120"/>
    </w:pPr>
  </w:style>
  <w:style w:type="paragraph" w:customStyle="1" w:styleId="ListBulletLevel2">
    <w:name w:val="List Bullet Level 2"/>
    <w:basedOn w:val="Normal"/>
    <w:rsid w:val="00761728"/>
    <w:pPr>
      <w:numPr>
        <w:numId w:val="6"/>
      </w:numPr>
      <w:spacing w:before="120"/>
    </w:pPr>
    <w:rPr>
      <w:szCs w:val="20"/>
    </w:rPr>
  </w:style>
  <w:style w:type="paragraph" w:styleId="Caption">
    <w:name w:val="caption"/>
    <w:next w:val="Normal"/>
    <w:qFormat/>
    <w:rsid w:val="00A37EFE"/>
    <w:pPr>
      <w:keepNext/>
      <w:spacing w:before="360" w:after="120"/>
      <w:jc w:val="center"/>
    </w:pPr>
    <w:rPr>
      <w:rFonts w:ascii="Times New Roman" w:eastAsia="MS Gothic" w:hAnsi="Times New Roman" w:cs="Times New Roman"/>
      <w:b/>
      <w:bCs/>
      <w:lang w:val="en-US" w:eastAsia="en-US"/>
    </w:rPr>
  </w:style>
  <w:style w:type="paragraph" w:customStyle="1" w:styleId="InstructionsText">
    <w:name w:val="Instructions Text"/>
    <w:basedOn w:val="Normal"/>
    <w:next w:val="Normal"/>
    <w:link w:val="InstructionsTextChar"/>
    <w:rsid w:val="00761728"/>
    <w:pPr>
      <w:shd w:val="clear" w:color="auto" w:fill="FFCC66"/>
      <w:spacing w:before="40" w:after="40"/>
    </w:pPr>
    <w:rPr>
      <w:rFonts w:ascii="Calibri" w:hAnsi="Calibri" w:cs="Arial"/>
    </w:rPr>
  </w:style>
  <w:style w:type="character" w:styleId="FootnoteReference">
    <w:name w:val="footnote reference"/>
    <w:rsid w:val="00761728"/>
    <w:rPr>
      <w:rFonts w:ascii="Times New Roman" w:eastAsia="MS Mincho" w:hAnsi="Times New Roman"/>
      <w:color w:val="0000FF"/>
      <w:sz w:val="18"/>
      <w:vertAlign w:val="superscript"/>
    </w:rPr>
  </w:style>
  <w:style w:type="paragraph" w:styleId="FootnoteText">
    <w:name w:val="footnote text"/>
    <w:basedOn w:val="Normal"/>
    <w:link w:val="FootnoteTextChar"/>
    <w:uiPriority w:val="99"/>
    <w:rsid w:val="00761728"/>
    <w:pPr>
      <w:spacing w:before="20"/>
      <w:ind w:left="113" w:hanging="113"/>
    </w:pPr>
    <w:rPr>
      <w:sz w:val="22"/>
      <w:szCs w:val="20"/>
    </w:rPr>
  </w:style>
  <w:style w:type="character" w:customStyle="1" w:styleId="FootnoteTextChar">
    <w:name w:val="Footnote Text Char"/>
    <w:link w:val="FootnoteText"/>
    <w:uiPriority w:val="99"/>
    <w:rsid w:val="00B97A3A"/>
    <w:rPr>
      <w:rFonts w:ascii="Times New Roman" w:eastAsia="MS Mincho" w:hAnsi="Times New Roman" w:cs="Times New Roman"/>
      <w:color w:val="000000"/>
      <w:sz w:val="22"/>
      <w:lang w:val="en-US" w:eastAsia="en-US"/>
    </w:rPr>
  </w:style>
  <w:style w:type="paragraph" w:customStyle="1" w:styleId="Heading1NoNumbering">
    <w:name w:val="Heading 1 NoNumbering"/>
    <w:basedOn w:val="Heading1"/>
    <w:next w:val="Normal"/>
    <w:rsid w:val="00761728"/>
    <w:pPr>
      <w:numPr>
        <w:numId w:val="0"/>
      </w:numPr>
      <w:tabs>
        <w:tab w:val="num" w:pos="1083"/>
      </w:tabs>
      <w:ind w:left="1083" w:hanging="363"/>
    </w:pPr>
  </w:style>
  <w:style w:type="paragraph" w:customStyle="1" w:styleId="TblTextCenter">
    <w:name w:val="Tbl Text Center"/>
    <w:basedOn w:val="TblTextLeft"/>
    <w:rsid w:val="00761728"/>
    <w:pPr>
      <w:jc w:val="center"/>
    </w:pPr>
  </w:style>
  <w:style w:type="paragraph" w:customStyle="1" w:styleId="TblTextLeft">
    <w:name w:val="Tbl Text Left"/>
    <w:rsid w:val="00A37EFE"/>
    <w:pPr>
      <w:spacing w:before="60" w:after="60"/>
    </w:pPr>
    <w:rPr>
      <w:rFonts w:ascii="Times New Roman" w:eastAsia="MS Gothic" w:hAnsi="Times New Roman" w:cs="Times New Roman"/>
      <w:lang w:val="en-US" w:eastAsia="en-US"/>
    </w:rPr>
  </w:style>
  <w:style w:type="paragraph" w:customStyle="1" w:styleId="TblHeadingLeft">
    <w:name w:val="Tbl Heading Left"/>
    <w:rsid w:val="00A37EFE"/>
    <w:pPr>
      <w:spacing w:before="60" w:after="60"/>
    </w:pPr>
    <w:rPr>
      <w:rFonts w:ascii="Times New Roman" w:eastAsia="MS Gothic" w:hAnsi="Times New Roman" w:cs="Times New Roman"/>
      <w:b/>
      <w:noProof/>
      <w:lang w:val="de-DE" w:eastAsia="en-US"/>
    </w:rPr>
  </w:style>
  <w:style w:type="paragraph" w:customStyle="1" w:styleId="TblFigFootnote">
    <w:name w:val="Tbl Fig Footnote"/>
    <w:rsid w:val="00BB7D54"/>
    <w:pPr>
      <w:keepLines/>
      <w:adjustRightInd w:val="0"/>
      <w:snapToGrid w:val="0"/>
      <w:spacing w:before="20" w:after="20"/>
    </w:pPr>
    <w:rPr>
      <w:rFonts w:ascii="Times New Roman" w:eastAsia="MS Gothic" w:hAnsi="Times New Roman" w:cs="Times New Roman"/>
      <w:szCs w:val="22"/>
      <w:lang w:val="en-US" w:eastAsia="en-US"/>
    </w:rPr>
  </w:style>
  <w:style w:type="paragraph" w:customStyle="1" w:styleId="TblHeadingCenter">
    <w:name w:val="Tbl Heading Center"/>
    <w:basedOn w:val="TblHeadingLeft"/>
    <w:rsid w:val="00761728"/>
    <w:pPr>
      <w:jc w:val="center"/>
    </w:pPr>
  </w:style>
  <w:style w:type="paragraph" w:customStyle="1" w:styleId="HeaderLandscape">
    <w:name w:val="Header Landscape"/>
    <w:basedOn w:val="Header"/>
    <w:rsid w:val="00761728"/>
    <w:pPr>
      <w:tabs>
        <w:tab w:val="clear" w:pos="4536"/>
        <w:tab w:val="clear" w:pos="9480"/>
        <w:tab w:val="left" w:pos="6804"/>
        <w:tab w:val="right" w:pos="14118"/>
      </w:tabs>
    </w:pPr>
  </w:style>
  <w:style w:type="paragraph" w:customStyle="1" w:styleId="FooterLandscape">
    <w:name w:val="Footer Landscape"/>
    <w:basedOn w:val="Footer"/>
    <w:rsid w:val="00761728"/>
    <w:pPr>
      <w:tabs>
        <w:tab w:val="clear" w:pos="9469"/>
        <w:tab w:val="right" w:pos="14118"/>
      </w:tabs>
    </w:pPr>
  </w:style>
  <w:style w:type="character" w:customStyle="1" w:styleId="TblFigFootnoteReference">
    <w:name w:val="Tbl Fig Footnote Reference"/>
    <w:rsid w:val="00761728"/>
    <w:rPr>
      <w:rFonts w:ascii="Arial Narrow" w:eastAsia="MS Gothic" w:hAnsi="Arial Narrow"/>
      <w:i/>
      <w:dstrike w:val="0"/>
      <w:noProof w:val="0"/>
      <w:position w:val="6"/>
      <w:sz w:val="18"/>
      <w:vertAlign w:val="baseline"/>
      <w:lang w:val="en-US"/>
    </w:rPr>
  </w:style>
  <w:style w:type="paragraph" w:customStyle="1" w:styleId="xCover">
    <w:name w:val="xCover"/>
    <w:rsid w:val="00761728"/>
    <w:pPr>
      <w:spacing w:before="120"/>
    </w:pPr>
    <w:rPr>
      <w:rFonts w:ascii="Arial" w:eastAsia="MS Gothic" w:hAnsi="Arial" w:cs="Times New Roman"/>
      <w:lang w:val="en-US" w:eastAsia="en-US"/>
    </w:rPr>
  </w:style>
  <w:style w:type="paragraph" w:customStyle="1" w:styleId="xCoverAddress">
    <w:name w:val="xCoverAddress"/>
    <w:basedOn w:val="xCover"/>
    <w:rsid w:val="00761728"/>
    <w:pPr>
      <w:spacing w:before="0"/>
    </w:pPr>
  </w:style>
  <w:style w:type="paragraph" w:customStyle="1" w:styleId="xCoverDocType">
    <w:name w:val="xCoverDocType"/>
    <w:basedOn w:val="xCover"/>
    <w:rsid w:val="00761728"/>
    <w:pPr>
      <w:spacing w:before="360"/>
      <w:jc w:val="center"/>
    </w:pPr>
    <w:rPr>
      <w:b/>
      <w:caps/>
      <w:sz w:val="28"/>
    </w:rPr>
  </w:style>
  <w:style w:type="paragraph" w:customStyle="1" w:styleId="xCoverDocTitle">
    <w:name w:val="xCoverDocTitle"/>
    <w:basedOn w:val="xCover"/>
    <w:rsid w:val="00761728"/>
    <w:pPr>
      <w:spacing w:before="240"/>
      <w:jc w:val="center"/>
    </w:pPr>
    <w:rPr>
      <w:b/>
      <w:sz w:val="24"/>
    </w:rPr>
  </w:style>
  <w:style w:type="paragraph" w:styleId="EndnoteText">
    <w:name w:val="endnote text"/>
    <w:basedOn w:val="Normal"/>
    <w:link w:val="EndnoteTextChar"/>
    <w:semiHidden/>
    <w:rsid w:val="00761728"/>
    <w:rPr>
      <w:sz w:val="22"/>
      <w:szCs w:val="20"/>
    </w:rPr>
  </w:style>
  <w:style w:type="character" w:customStyle="1" w:styleId="EndnoteTextChar">
    <w:name w:val="Endnote Text Char"/>
    <w:link w:val="EndnoteText"/>
    <w:semiHidden/>
    <w:rsid w:val="00B97A3A"/>
    <w:rPr>
      <w:rFonts w:ascii="Times New Roman" w:eastAsia="MS Mincho" w:hAnsi="Times New Roman" w:cs="Times New Roman"/>
      <w:color w:val="000000"/>
      <w:sz w:val="22"/>
      <w:lang w:val="en-US" w:eastAsia="en-US"/>
    </w:rPr>
  </w:style>
  <w:style w:type="character" w:styleId="EndnoteReference">
    <w:name w:val="endnote reference"/>
    <w:semiHidden/>
    <w:rsid w:val="00761728"/>
    <w:rPr>
      <w:vertAlign w:val="superscript"/>
    </w:rPr>
  </w:style>
  <w:style w:type="paragraph" w:styleId="MacroText">
    <w:name w:val="macro"/>
    <w:link w:val="MacroTextChar"/>
    <w:semiHidden/>
    <w:rsid w:val="007617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lang w:val="en-US" w:eastAsia="en-US"/>
    </w:rPr>
  </w:style>
  <w:style w:type="character" w:customStyle="1" w:styleId="MacroTextChar">
    <w:name w:val="Macro Text Char"/>
    <w:link w:val="MacroText"/>
    <w:semiHidden/>
    <w:rsid w:val="00B97A3A"/>
    <w:rPr>
      <w:rFonts w:ascii="Courier New" w:eastAsia="Times New Roman" w:hAnsi="Courier New" w:cs="Times New Roman"/>
      <w:lang w:val="en-US" w:eastAsia="en-US"/>
    </w:rPr>
  </w:style>
  <w:style w:type="paragraph" w:styleId="TableofFigures">
    <w:name w:val="table of figures"/>
    <w:next w:val="Normal"/>
    <w:semiHidden/>
    <w:rsid w:val="00761728"/>
    <w:pPr>
      <w:tabs>
        <w:tab w:val="right" w:leader="dot" w:pos="9468"/>
      </w:tabs>
      <w:spacing w:before="120"/>
    </w:pPr>
    <w:rPr>
      <w:rFonts w:ascii="Arial" w:eastAsia="Times New Roman" w:hAnsi="Arial" w:cs="Times New Roman"/>
      <w:lang w:val="en-US" w:eastAsia="en-US"/>
    </w:rPr>
  </w:style>
  <w:style w:type="paragraph" w:styleId="TableofAuthorities">
    <w:name w:val="table of authorities"/>
    <w:basedOn w:val="Normal"/>
    <w:next w:val="Normal"/>
    <w:semiHidden/>
    <w:rsid w:val="00761728"/>
    <w:pPr>
      <w:ind w:left="240" w:hanging="240"/>
    </w:pPr>
  </w:style>
  <w:style w:type="character" w:styleId="Hyperlink">
    <w:name w:val="Hyperlink"/>
    <w:uiPriority w:val="99"/>
    <w:rsid w:val="00761728"/>
    <w:rPr>
      <w:color w:val="0000FF"/>
      <w:u w:val="single"/>
    </w:rPr>
  </w:style>
  <w:style w:type="paragraph" w:styleId="Bibliography">
    <w:name w:val="Bibliography"/>
    <w:basedOn w:val="Normal"/>
    <w:next w:val="Normal"/>
    <w:rsid w:val="00761728"/>
    <w:pPr>
      <w:ind w:left="357" w:hanging="357"/>
    </w:pPr>
  </w:style>
  <w:style w:type="character" w:customStyle="1" w:styleId="ReplaceText">
    <w:name w:val="Replace Text"/>
    <w:rsid w:val="00761728"/>
    <w:rPr>
      <w:color w:val="FF00FF"/>
    </w:rPr>
  </w:style>
  <w:style w:type="paragraph" w:styleId="TOC1">
    <w:name w:val="toc 1"/>
    <w:next w:val="Normal"/>
    <w:semiHidden/>
    <w:rsid w:val="00761728"/>
    <w:pPr>
      <w:tabs>
        <w:tab w:val="right" w:leader="dot" w:pos="9468"/>
      </w:tabs>
      <w:spacing w:before="240"/>
      <w:ind w:left="851" w:right="567" w:hanging="851"/>
    </w:pPr>
    <w:rPr>
      <w:rFonts w:ascii="Arial" w:eastAsia="Times New Roman" w:hAnsi="Arial" w:cs="Times New Roman"/>
      <w:b/>
      <w:caps/>
      <w:lang w:val="en-US" w:eastAsia="en-US"/>
    </w:rPr>
  </w:style>
  <w:style w:type="paragraph" w:customStyle="1" w:styleId="ListAlphabeticalLevel2">
    <w:name w:val="List Alphabetical Level 2"/>
    <w:basedOn w:val="ListNumbered"/>
    <w:rsid w:val="00761728"/>
    <w:pPr>
      <w:numPr>
        <w:numId w:val="4"/>
      </w:numPr>
    </w:pPr>
  </w:style>
  <w:style w:type="paragraph" w:styleId="Index1">
    <w:name w:val="index 1"/>
    <w:basedOn w:val="Normal"/>
    <w:next w:val="Normal"/>
    <w:semiHidden/>
    <w:rsid w:val="00761728"/>
    <w:pPr>
      <w:tabs>
        <w:tab w:val="left" w:pos="1701"/>
        <w:tab w:val="left" w:pos="3402"/>
        <w:tab w:val="left" w:pos="5103"/>
      </w:tabs>
      <w:spacing w:before="0"/>
      <w:ind w:left="1701" w:hanging="1701"/>
    </w:pPr>
  </w:style>
  <w:style w:type="paragraph" w:styleId="TOAHeading">
    <w:name w:val="toa heading"/>
    <w:basedOn w:val="Normal"/>
    <w:next w:val="Normal"/>
    <w:semiHidden/>
    <w:rsid w:val="00761728"/>
    <w:pPr>
      <w:spacing w:before="120"/>
    </w:pPr>
    <w:rPr>
      <w:rFonts w:ascii="Arial" w:hAnsi="Arial" w:cs="Arial"/>
      <w:b/>
      <w:bCs/>
    </w:rPr>
  </w:style>
  <w:style w:type="character" w:customStyle="1" w:styleId="Reference">
    <w:name w:val="Reference"/>
    <w:rsid w:val="00761728"/>
    <w:rPr>
      <w:color w:val="0000FF"/>
    </w:rPr>
  </w:style>
  <w:style w:type="paragraph" w:customStyle="1" w:styleId="TblTextbulletedlist">
    <w:name w:val="Tbl Text bulleted list"/>
    <w:basedOn w:val="TblTextLeft"/>
    <w:rsid w:val="00761728"/>
    <w:pPr>
      <w:tabs>
        <w:tab w:val="left" w:pos="216"/>
        <w:tab w:val="num" w:pos="680"/>
      </w:tabs>
      <w:spacing w:before="0" w:after="0"/>
      <w:ind w:left="216" w:hanging="216"/>
    </w:pPr>
  </w:style>
  <w:style w:type="paragraph" w:styleId="TOC2">
    <w:name w:val="toc 2"/>
    <w:basedOn w:val="TOC1"/>
    <w:next w:val="Normal"/>
    <w:semiHidden/>
    <w:rsid w:val="00761728"/>
    <w:rPr>
      <w:b w:val="0"/>
    </w:rPr>
  </w:style>
  <w:style w:type="character" w:styleId="PageNumber">
    <w:name w:val="page number"/>
    <w:rsid w:val="00761728"/>
  </w:style>
  <w:style w:type="paragraph" w:styleId="ListBullet">
    <w:name w:val="List Bullet"/>
    <w:basedOn w:val="Normal"/>
    <w:rsid w:val="00761728"/>
    <w:pPr>
      <w:numPr>
        <w:numId w:val="5"/>
      </w:numPr>
    </w:pPr>
  </w:style>
  <w:style w:type="paragraph" w:styleId="TOC3">
    <w:name w:val="toc 3"/>
    <w:basedOn w:val="TOC1"/>
    <w:next w:val="Normal"/>
    <w:semiHidden/>
    <w:rsid w:val="00761728"/>
    <w:pPr>
      <w:spacing w:before="120"/>
    </w:pPr>
    <w:rPr>
      <w:b w:val="0"/>
      <w:caps w:val="0"/>
    </w:rPr>
  </w:style>
  <w:style w:type="paragraph" w:styleId="TOC4">
    <w:name w:val="toc 4"/>
    <w:basedOn w:val="TOC1"/>
    <w:next w:val="Normal"/>
    <w:semiHidden/>
    <w:rsid w:val="00761728"/>
    <w:pPr>
      <w:spacing w:before="40"/>
    </w:pPr>
    <w:rPr>
      <w:b w:val="0"/>
      <w:caps w:val="0"/>
      <w:szCs w:val="22"/>
    </w:rPr>
  </w:style>
  <w:style w:type="paragraph" w:styleId="TOC5">
    <w:name w:val="toc 5"/>
    <w:basedOn w:val="TOC1"/>
    <w:next w:val="Normal"/>
    <w:semiHidden/>
    <w:rsid w:val="00761728"/>
    <w:pPr>
      <w:spacing w:before="0"/>
    </w:pPr>
    <w:rPr>
      <w:b w:val="0"/>
      <w:caps w:val="0"/>
    </w:rPr>
  </w:style>
  <w:style w:type="paragraph" w:styleId="TOC6">
    <w:name w:val="toc 6"/>
    <w:basedOn w:val="TOC1"/>
    <w:next w:val="Normal"/>
    <w:semiHidden/>
    <w:rsid w:val="00761728"/>
    <w:pPr>
      <w:spacing w:before="0"/>
    </w:pPr>
    <w:rPr>
      <w:b w:val="0"/>
      <w:caps w:val="0"/>
    </w:rPr>
  </w:style>
  <w:style w:type="paragraph" w:styleId="TOC7">
    <w:name w:val="toc 7"/>
    <w:basedOn w:val="TOC6"/>
    <w:next w:val="Normal"/>
    <w:semiHidden/>
    <w:rsid w:val="00761728"/>
  </w:style>
  <w:style w:type="paragraph" w:styleId="TOC8">
    <w:name w:val="toc 8"/>
    <w:basedOn w:val="TOC6"/>
    <w:next w:val="Normal"/>
    <w:semiHidden/>
    <w:rsid w:val="00761728"/>
  </w:style>
  <w:style w:type="paragraph" w:styleId="TOC9">
    <w:name w:val="toc 9"/>
    <w:basedOn w:val="TOC6"/>
    <w:next w:val="Normal"/>
    <w:semiHidden/>
    <w:rsid w:val="00761728"/>
  </w:style>
  <w:style w:type="character" w:customStyle="1" w:styleId="TblFigFootnoteChar">
    <w:name w:val="Tbl Fig Footnote Char"/>
    <w:rsid w:val="00761728"/>
    <w:rPr>
      <w:rFonts w:ascii="Arial Narrow" w:eastAsia="MS Gothic" w:hAnsi="Arial Narrow"/>
      <w:sz w:val="18"/>
      <w:lang w:val="en-US" w:eastAsia="en-US" w:bidi="ar-SA"/>
    </w:rPr>
  </w:style>
  <w:style w:type="character" w:styleId="FollowedHyperlink">
    <w:name w:val="FollowedHyperlink"/>
    <w:rsid w:val="00761728"/>
    <w:rPr>
      <w:color w:val="800080"/>
      <w:u w:val="single"/>
    </w:rPr>
  </w:style>
  <w:style w:type="character" w:styleId="UnresolvedMention">
    <w:name w:val="Unresolved Mention"/>
    <w:uiPriority w:val="99"/>
    <w:semiHidden/>
    <w:unhideWhenUsed/>
    <w:rsid w:val="0055703C"/>
    <w:rPr>
      <w:color w:val="808080"/>
      <w:shd w:val="clear" w:color="auto" w:fill="E6E6E6"/>
    </w:rPr>
  </w:style>
  <w:style w:type="paragraph" w:styleId="NormalWeb">
    <w:name w:val="Normal (Web)"/>
    <w:basedOn w:val="Normal"/>
    <w:uiPriority w:val="99"/>
    <w:semiHidden/>
    <w:unhideWhenUsed/>
    <w:rsid w:val="00414A94"/>
    <w:pPr>
      <w:spacing w:before="100" w:beforeAutospacing="1" w:after="100" w:afterAutospacing="1"/>
    </w:pPr>
    <w:rPr>
      <w:rFonts w:eastAsia="Times New Roman"/>
      <w:color w:val="auto"/>
      <w:lang w:val="en-AU" w:eastAsia="en-AU"/>
    </w:rPr>
  </w:style>
  <w:style w:type="paragraph" w:styleId="ListParagraph">
    <w:name w:val="List Paragraph"/>
    <w:basedOn w:val="Normal"/>
    <w:uiPriority w:val="34"/>
    <w:qFormat/>
    <w:rsid w:val="001B6676"/>
    <w:pPr>
      <w:ind w:left="720"/>
      <w:contextualSpacing/>
    </w:pPr>
  </w:style>
  <w:style w:type="paragraph" w:customStyle="1" w:styleId="TemplateInstructions">
    <w:name w:val="Template Instructions"/>
    <w:basedOn w:val="Normal"/>
    <w:rsid w:val="00A3471C"/>
    <w:pPr>
      <w:spacing w:before="120" w:after="120"/>
    </w:pPr>
    <w:rPr>
      <w:rFonts w:ascii="Arial" w:eastAsiaTheme="minorHAnsi" w:hAnsi="Arial" w:cstheme="minorBidi"/>
      <w:i/>
      <w:color w:val="0070C0"/>
      <w:sz w:val="20"/>
      <w:szCs w:val="20"/>
      <w:lang w:val="en-AU"/>
    </w:rPr>
  </w:style>
  <w:style w:type="table" w:styleId="TableGrid">
    <w:name w:val="Table Grid"/>
    <w:aliases w:val="Table Grid No Line"/>
    <w:basedOn w:val="TableNormal"/>
    <w:uiPriority w:val="59"/>
    <w:rsid w:val="00E6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085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50"/>
    <w:rPr>
      <w:rFonts w:ascii="Segoe UI" w:eastAsia="MS Mincho" w:hAnsi="Segoe UI" w:cs="Segoe UI"/>
      <w:color w:val="000000"/>
      <w:sz w:val="18"/>
      <w:szCs w:val="18"/>
      <w:lang w:val="en-US" w:eastAsia="en-US"/>
    </w:rPr>
  </w:style>
  <w:style w:type="character" w:styleId="CommentReference">
    <w:name w:val="annotation reference"/>
    <w:basedOn w:val="DefaultParagraphFont"/>
    <w:uiPriority w:val="99"/>
    <w:unhideWhenUsed/>
    <w:rsid w:val="00173488"/>
    <w:rPr>
      <w:sz w:val="16"/>
      <w:szCs w:val="16"/>
    </w:rPr>
  </w:style>
  <w:style w:type="paragraph" w:styleId="CommentText">
    <w:name w:val="annotation text"/>
    <w:aliases w:val="Annotationtext,Comment Text Char2 Char,Comment Text Char1 Char Char,Comment Text Char Char Char Char,Comment Text Char Char1 Char,Comment Text Char Char,Comment Text Char Char1,- H19,Car6"/>
    <w:basedOn w:val="Normal"/>
    <w:link w:val="CommentTextChar"/>
    <w:uiPriority w:val="99"/>
    <w:unhideWhenUsed/>
    <w:qFormat/>
    <w:rsid w:val="00173488"/>
    <w:pPr>
      <w:spacing w:before="0"/>
      <w:jc w:val="both"/>
    </w:pPr>
    <w:rPr>
      <w:rFonts w:ascii="Cambria" w:eastAsiaTheme="minorHAnsi" w:hAnsi="Cambria" w:cstheme="minorBidi"/>
      <w:color w:val="auto"/>
      <w:sz w:val="20"/>
      <w:szCs w:val="20"/>
      <w:lang w:val="en-AU"/>
    </w:rPr>
  </w:style>
  <w:style w:type="character" w:customStyle="1" w:styleId="CommentTextChar">
    <w:name w:val="Comment Text Char"/>
    <w:aliases w:val="Annotationtext Char,Comment Text Char2 Char Char,Comment Text Char1 Char Char Char,Comment Text Char Char Char Char Char,Comment Text Char Char1 Char Char,Comment Text Char Char Char,Comment Text Char Char1 Char1,- H19 Char,Car6 Char"/>
    <w:basedOn w:val="DefaultParagraphFont"/>
    <w:link w:val="CommentText"/>
    <w:uiPriority w:val="99"/>
    <w:rsid w:val="00173488"/>
    <w:rPr>
      <w:rFonts w:ascii="Cambria" w:eastAsiaTheme="minorHAnsi" w:hAnsi="Cambria" w:cstheme="minorBidi"/>
      <w:lang w:eastAsia="en-US"/>
    </w:rPr>
  </w:style>
  <w:style w:type="paragraph" w:customStyle="1" w:styleId="NormalIndent1">
    <w:name w:val="Normal Indent1"/>
    <w:basedOn w:val="Normal"/>
    <w:qFormat/>
    <w:rsid w:val="00173488"/>
    <w:pPr>
      <w:spacing w:before="0"/>
      <w:ind w:left="425"/>
      <w:jc w:val="both"/>
    </w:pPr>
    <w:rPr>
      <w:rFonts w:asciiTheme="minorHAnsi" w:eastAsiaTheme="minorHAnsi" w:hAnsiTheme="minorHAnsi" w:cstheme="minorBidi"/>
      <w:color w:val="auto"/>
      <w:sz w:val="22"/>
      <w:szCs w:val="22"/>
      <w:lang w:val="en-AU"/>
    </w:rPr>
  </w:style>
  <w:style w:type="paragraph" w:styleId="CommentSubject">
    <w:name w:val="annotation subject"/>
    <w:basedOn w:val="CommentText"/>
    <w:next w:val="CommentText"/>
    <w:link w:val="CommentSubjectChar"/>
    <w:uiPriority w:val="99"/>
    <w:semiHidden/>
    <w:unhideWhenUsed/>
    <w:rsid w:val="00124389"/>
    <w:pPr>
      <w:spacing w:before="240"/>
      <w:jc w:val="left"/>
    </w:pPr>
    <w:rPr>
      <w:rFonts w:ascii="Times New Roman" w:eastAsia="MS Mincho" w:hAnsi="Times New Roman" w:cs="Times New Roman"/>
      <w:b/>
      <w:bCs/>
      <w:color w:val="000000"/>
      <w:lang w:val="en-US"/>
    </w:rPr>
  </w:style>
  <w:style w:type="character" w:customStyle="1" w:styleId="CommentSubjectChar">
    <w:name w:val="Comment Subject Char"/>
    <w:basedOn w:val="CommentTextChar"/>
    <w:link w:val="CommentSubject"/>
    <w:uiPriority w:val="99"/>
    <w:semiHidden/>
    <w:rsid w:val="00124389"/>
    <w:rPr>
      <w:rFonts w:ascii="Times New Roman" w:eastAsia="MS Mincho" w:hAnsi="Times New Roman" w:cs="Times New Roman"/>
      <w:b/>
      <w:bCs/>
      <w:color w:val="000000"/>
      <w:lang w:val="en-US" w:eastAsia="en-US"/>
    </w:rPr>
  </w:style>
  <w:style w:type="paragraph" w:customStyle="1" w:styleId="Default">
    <w:name w:val="Default"/>
    <w:rsid w:val="00124389"/>
    <w:pPr>
      <w:autoSpaceDE w:val="0"/>
      <w:autoSpaceDN w:val="0"/>
      <w:adjustRightInd w:val="0"/>
    </w:pPr>
    <w:rPr>
      <w:rFonts w:ascii="Times New Roman" w:hAnsi="Times New Roman" w:cs="Times New Roman"/>
      <w:color w:val="000000"/>
      <w:sz w:val="24"/>
      <w:szCs w:val="24"/>
    </w:rPr>
  </w:style>
  <w:style w:type="paragraph" w:customStyle="1" w:styleId="C-BodyText">
    <w:name w:val="C-Body Text"/>
    <w:link w:val="C-BodyTextChar"/>
    <w:rsid w:val="005159B8"/>
    <w:pPr>
      <w:spacing w:before="120" w:after="120" w:line="280" w:lineRule="atLeast"/>
    </w:pPr>
    <w:rPr>
      <w:rFonts w:ascii="Times New Roman" w:eastAsia="Times New Roman" w:hAnsi="Times New Roman" w:cs="Times New Roman"/>
      <w:sz w:val="24"/>
      <w:lang w:val="en-US" w:eastAsia="en-US"/>
    </w:rPr>
  </w:style>
  <w:style w:type="character" w:customStyle="1" w:styleId="C-BodyTextChar">
    <w:name w:val="C-Body Text Char"/>
    <w:link w:val="C-BodyText"/>
    <w:rsid w:val="005159B8"/>
    <w:rPr>
      <w:rFonts w:ascii="Times New Roman" w:eastAsia="Times New Roman" w:hAnsi="Times New Roman" w:cs="Times New Roman"/>
      <w:sz w:val="24"/>
      <w:lang w:val="en-US" w:eastAsia="en-US"/>
    </w:rPr>
  </w:style>
  <w:style w:type="paragraph" w:customStyle="1" w:styleId="SectionHeadings">
    <w:name w:val="Section Headings"/>
    <w:basedOn w:val="Normal"/>
    <w:next w:val="Normal"/>
    <w:rsid w:val="004238E6"/>
    <w:pPr>
      <w:keepNext/>
      <w:keepLines/>
      <w:spacing w:after="120"/>
    </w:pPr>
    <w:rPr>
      <w:rFonts w:eastAsia="Times New Roman"/>
      <w:b/>
      <w:caps/>
      <w:color w:val="auto"/>
    </w:rPr>
  </w:style>
  <w:style w:type="paragraph" w:customStyle="1" w:styleId="TableParagraph">
    <w:name w:val="Table Paragraph"/>
    <w:basedOn w:val="Normal"/>
    <w:uiPriority w:val="1"/>
    <w:qFormat/>
    <w:rsid w:val="00C9769E"/>
    <w:pPr>
      <w:widowControl w:val="0"/>
      <w:spacing w:before="0"/>
    </w:pPr>
    <w:rPr>
      <w:rFonts w:asciiTheme="minorHAnsi" w:eastAsiaTheme="minorHAnsi" w:hAnsiTheme="minorHAnsi" w:cstheme="minorBidi"/>
      <w:color w:val="auto"/>
      <w:sz w:val="22"/>
      <w:szCs w:val="22"/>
    </w:rPr>
  </w:style>
  <w:style w:type="paragraph" w:customStyle="1" w:styleId="C-Footnote">
    <w:name w:val="C-Footnote"/>
    <w:basedOn w:val="Normal"/>
    <w:qFormat/>
    <w:rsid w:val="0000133E"/>
    <w:pPr>
      <w:tabs>
        <w:tab w:val="left" w:pos="144"/>
      </w:tabs>
      <w:spacing w:before="0"/>
    </w:pPr>
    <w:rPr>
      <w:rFonts w:eastAsia="Times New Roman" w:cs="Arial"/>
      <w:color w:val="auto"/>
      <w:sz w:val="20"/>
      <w:szCs w:val="20"/>
    </w:rPr>
  </w:style>
  <w:style w:type="table" w:customStyle="1" w:styleId="C-Table">
    <w:name w:val="C-Table"/>
    <w:basedOn w:val="TableNormal"/>
    <w:rsid w:val="000B2F53"/>
    <w:rPr>
      <w:rFonts w:ascii="Times New Roman" w:eastAsia="Times New Roman" w:hAnsi="Times New Roman" w:cs="Times New Roman"/>
      <w:lang w:val="en-US" w:eastAsia="en-US"/>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BodyText">
    <w:name w:val="Body Text"/>
    <w:basedOn w:val="Normal"/>
    <w:link w:val="BodyTextChar"/>
    <w:semiHidden/>
    <w:unhideWhenUsed/>
    <w:rsid w:val="00D42314"/>
    <w:pPr>
      <w:tabs>
        <w:tab w:val="left" w:pos="900"/>
      </w:tabs>
      <w:spacing w:before="180" w:after="180"/>
    </w:pPr>
    <w:rPr>
      <w:rFonts w:ascii="Arial" w:eastAsia="Times New Roman" w:hAnsi="Arial"/>
      <w:sz w:val="16"/>
      <w:szCs w:val="20"/>
    </w:rPr>
  </w:style>
  <w:style w:type="character" w:customStyle="1" w:styleId="BodyTextChar">
    <w:name w:val="Body Text Char"/>
    <w:basedOn w:val="DefaultParagraphFont"/>
    <w:link w:val="BodyText"/>
    <w:semiHidden/>
    <w:rsid w:val="00D42314"/>
    <w:rPr>
      <w:rFonts w:ascii="Arial" w:eastAsia="Times New Roman" w:hAnsi="Arial" w:cs="Times New Roman"/>
      <w:color w:val="000000"/>
      <w:sz w:val="16"/>
      <w:lang w:val="en-US" w:eastAsia="en-US"/>
    </w:rPr>
  </w:style>
  <w:style w:type="paragraph" w:customStyle="1" w:styleId="CM33">
    <w:name w:val="CM33"/>
    <w:basedOn w:val="Default"/>
    <w:next w:val="Default"/>
    <w:uiPriority w:val="99"/>
    <w:rsid w:val="00EE55A9"/>
    <w:rPr>
      <w:rFonts w:ascii="Calibri" w:hAnsi="Calibri" w:cs="Calibri"/>
      <w:color w:val="auto"/>
    </w:rPr>
  </w:style>
  <w:style w:type="paragraph" w:styleId="Revision">
    <w:name w:val="Revision"/>
    <w:hidden/>
    <w:uiPriority w:val="99"/>
    <w:semiHidden/>
    <w:rsid w:val="0031188C"/>
    <w:rPr>
      <w:rFonts w:ascii="Times New Roman" w:eastAsia="MS Mincho" w:hAnsi="Times New Roman" w:cs="Times New Roman"/>
      <w:color w:val="000000"/>
      <w:sz w:val="24"/>
      <w:szCs w:val="24"/>
      <w:lang w:val="en-US" w:eastAsia="en-US"/>
    </w:rPr>
  </w:style>
  <w:style w:type="table" w:customStyle="1" w:styleId="TableGridNoLine1">
    <w:name w:val="Table Grid No Line1"/>
    <w:basedOn w:val="TableNormal"/>
    <w:next w:val="TableGrid"/>
    <w:uiPriority w:val="39"/>
    <w:rsid w:val="007107B1"/>
    <w:rPr>
      <w:rFonts w:eastAsia="Yu Mincho"/>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C7D6F"/>
    <w:pPr>
      <w:spacing w:before="100" w:beforeAutospacing="1" w:after="100" w:afterAutospacing="1"/>
    </w:pPr>
    <w:rPr>
      <w:rFonts w:eastAsia="Times New Roman"/>
      <w:color w:val="auto"/>
    </w:rPr>
  </w:style>
  <w:style w:type="character" w:customStyle="1" w:styleId="cf01">
    <w:name w:val="cf01"/>
    <w:basedOn w:val="DefaultParagraphFont"/>
    <w:rsid w:val="00C715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100">
      <w:bodyDiv w:val="1"/>
      <w:marLeft w:val="0"/>
      <w:marRight w:val="0"/>
      <w:marTop w:val="0"/>
      <w:marBottom w:val="0"/>
      <w:divBdr>
        <w:top w:val="none" w:sz="0" w:space="0" w:color="auto"/>
        <w:left w:val="none" w:sz="0" w:space="0" w:color="auto"/>
        <w:bottom w:val="none" w:sz="0" w:space="0" w:color="auto"/>
        <w:right w:val="none" w:sz="0" w:space="0" w:color="auto"/>
      </w:divBdr>
    </w:div>
    <w:div w:id="3481765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7917555">
      <w:bodyDiv w:val="1"/>
      <w:marLeft w:val="0"/>
      <w:marRight w:val="0"/>
      <w:marTop w:val="0"/>
      <w:marBottom w:val="0"/>
      <w:divBdr>
        <w:top w:val="none" w:sz="0" w:space="0" w:color="auto"/>
        <w:left w:val="none" w:sz="0" w:space="0" w:color="auto"/>
        <w:bottom w:val="none" w:sz="0" w:space="0" w:color="auto"/>
        <w:right w:val="none" w:sz="0" w:space="0" w:color="auto"/>
      </w:divBdr>
    </w:div>
    <w:div w:id="177550846">
      <w:bodyDiv w:val="1"/>
      <w:marLeft w:val="0"/>
      <w:marRight w:val="0"/>
      <w:marTop w:val="0"/>
      <w:marBottom w:val="0"/>
      <w:divBdr>
        <w:top w:val="none" w:sz="0" w:space="0" w:color="auto"/>
        <w:left w:val="none" w:sz="0" w:space="0" w:color="auto"/>
        <w:bottom w:val="none" w:sz="0" w:space="0" w:color="auto"/>
        <w:right w:val="none" w:sz="0" w:space="0" w:color="auto"/>
      </w:divBdr>
    </w:div>
    <w:div w:id="189805028">
      <w:bodyDiv w:val="1"/>
      <w:marLeft w:val="0"/>
      <w:marRight w:val="0"/>
      <w:marTop w:val="0"/>
      <w:marBottom w:val="0"/>
      <w:divBdr>
        <w:top w:val="none" w:sz="0" w:space="0" w:color="auto"/>
        <w:left w:val="none" w:sz="0" w:space="0" w:color="auto"/>
        <w:bottom w:val="none" w:sz="0" w:space="0" w:color="auto"/>
        <w:right w:val="none" w:sz="0" w:space="0" w:color="auto"/>
      </w:divBdr>
    </w:div>
    <w:div w:id="215121605">
      <w:bodyDiv w:val="1"/>
      <w:marLeft w:val="0"/>
      <w:marRight w:val="0"/>
      <w:marTop w:val="0"/>
      <w:marBottom w:val="0"/>
      <w:divBdr>
        <w:top w:val="none" w:sz="0" w:space="0" w:color="auto"/>
        <w:left w:val="none" w:sz="0" w:space="0" w:color="auto"/>
        <w:bottom w:val="none" w:sz="0" w:space="0" w:color="auto"/>
        <w:right w:val="none" w:sz="0" w:space="0" w:color="auto"/>
      </w:divBdr>
    </w:div>
    <w:div w:id="379863752">
      <w:bodyDiv w:val="1"/>
      <w:marLeft w:val="0"/>
      <w:marRight w:val="0"/>
      <w:marTop w:val="0"/>
      <w:marBottom w:val="0"/>
      <w:divBdr>
        <w:top w:val="none" w:sz="0" w:space="0" w:color="auto"/>
        <w:left w:val="none" w:sz="0" w:space="0" w:color="auto"/>
        <w:bottom w:val="none" w:sz="0" w:space="0" w:color="auto"/>
        <w:right w:val="none" w:sz="0" w:space="0" w:color="auto"/>
      </w:divBdr>
    </w:div>
    <w:div w:id="393705441">
      <w:bodyDiv w:val="1"/>
      <w:marLeft w:val="0"/>
      <w:marRight w:val="0"/>
      <w:marTop w:val="0"/>
      <w:marBottom w:val="0"/>
      <w:divBdr>
        <w:top w:val="none" w:sz="0" w:space="0" w:color="auto"/>
        <w:left w:val="none" w:sz="0" w:space="0" w:color="auto"/>
        <w:bottom w:val="none" w:sz="0" w:space="0" w:color="auto"/>
        <w:right w:val="none" w:sz="0" w:space="0" w:color="auto"/>
      </w:divBdr>
    </w:div>
    <w:div w:id="395517038">
      <w:bodyDiv w:val="1"/>
      <w:marLeft w:val="0"/>
      <w:marRight w:val="0"/>
      <w:marTop w:val="0"/>
      <w:marBottom w:val="0"/>
      <w:divBdr>
        <w:top w:val="none" w:sz="0" w:space="0" w:color="auto"/>
        <w:left w:val="none" w:sz="0" w:space="0" w:color="auto"/>
        <w:bottom w:val="none" w:sz="0" w:space="0" w:color="auto"/>
        <w:right w:val="none" w:sz="0" w:space="0" w:color="auto"/>
      </w:divBdr>
    </w:div>
    <w:div w:id="412434010">
      <w:bodyDiv w:val="1"/>
      <w:marLeft w:val="0"/>
      <w:marRight w:val="0"/>
      <w:marTop w:val="0"/>
      <w:marBottom w:val="0"/>
      <w:divBdr>
        <w:top w:val="none" w:sz="0" w:space="0" w:color="auto"/>
        <w:left w:val="none" w:sz="0" w:space="0" w:color="auto"/>
        <w:bottom w:val="none" w:sz="0" w:space="0" w:color="auto"/>
        <w:right w:val="none" w:sz="0" w:space="0" w:color="auto"/>
      </w:divBdr>
    </w:div>
    <w:div w:id="483477105">
      <w:bodyDiv w:val="1"/>
      <w:marLeft w:val="0"/>
      <w:marRight w:val="0"/>
      <w:marTop w:val="0"/>
      <w:marBottom w:val="0"/>
      <w:divBdr>
        <w:top w:val="none" w:sz="0" w:space="0" w:color="auto"/>
        <w:left w:val="none" w:sz="0" w:space="0" w:color="auto"/>
        <w:bottom w:val="none" w:sz="0" w:space="0" w:color="auto"/>
        <w:right w:val="none" w:sz="0" w:space="0" w:color="auto"/>
      </w:divBdr>
      <w:divsChild>
        <w:div w:id="789322371">
          <w:marLeft w:val="240"/>
          <w:marRight w:val="0"/>
          <w:marTop w:val="0"/>
          <w:marBottom w:val="0"/>
          <w:divBdr>
            <w:top w:val="none" w:sz="0" w:space="0" w:color="auto"/>
            <w:left w:val="none" w:sz="0" w:space="0" w:color="auto"/>
            <w:bottom w:val="none" w:sz="0" w:space="0" w:color="auto"/>
            <w:right w:val="none" w:sz="0" w:space="0" w:color="auto"/>
          </w:divBdr>
        </w:div>
      </w:divsChild>
    </w:div>
    <w:div w:id="600407404">
      <w:bodyDiv w:val="1"/>
      <w:marLeft w:val="0"/>
      <w:marRight w:val="0"/>
      <w:marTop w:val="0"/>
      <w:marBottom w:val="0"/>
      <w:divBdr>
        <w:top w:val="none" w:sz="0" w:space="0" w:color="auto"/>
        <w:left w:val="none" w:sz="0" w:space="0" w:color="auto"/>
        <w:bottom w:val="none" w:sz="0" w:space="0" w:color="auto"/>
        <w:right w:val="none" w:sz="0" w:space="0" w:color="auto"/>
      </w:divBdr>
    </w:div>
    <w:div w:id="601766803">
      <w:bodyDiv w:val="1"/>
      <w:marLeft w:val="0"/>
      <w:marRight w:val="0"/>
      <w:marTop w:val="0"/>
      <w:marBottom w:val="0"/>
      <w:divBdr>
        <w:top w:val="none" w:sz="0" w:space="0" w:color="auto"/>
        <w:left w:val="none" w:sz="0" w:space="0" w:color="auto"/>
        <w:bottom w:val="none" w:sz="0" w:space="0" w:color="auto"/>
        <w:right w:val="none" w:sz="0" w:space="0" w:color="auto"/>
      </w:divBdr>
    </w:div>
    <w:div w:id="663364018">
      <w:bodyDiv w:val="1"/>
      <w:marLeft w:val="0"/>
      <w:marRight w:val="0"/>
      <w:marTop w:val="0"/>
      <w:marBottom w:val="0"/>
      <w:divBdr>
        <w:top w:val="none" w:sz="0" w:space="0" w:color="auto"/>
        <w:left w:val="none" w:sz="0" w:space="0" w:color="auto"/>
        <w:bottom w:val="none" w:sz="0" w:space="0" w:color="auto"/>
        <w:right w:val="none" w:sz="0" w:space="0" w:color="auto"/>
      </w:divBdr>
    </w:div>
    <w:div w:id="722948891">
      <w:bodyDiv w:val="1"/>
      <w:marLeft w:val="0"/>
      <w:marRight w:val="0"/>
      <w:marTop w:val="0"/>
      <w:marBottom w:val="0"/>
      <w:divBdr>
        <w:top w:val="none" w:sz="0" w:space="0" w:color="auto"/>
        <w:left w:val="none" w:sz="0" w:space="0" w:color="auto"/>
        <w:bottom w:val="none" w:sz="0" w:space="0" w:color="auto"/>
        <w:right w:val="none" w:sz="0" w:space="0" w:color="auto"/>
      </w:divBdr>
    </w:div>
    <w:div w:id="751312780">
      <w:bodyDiv w:val="1"/>
      <w:marLeft w:val="0"/>
      <w:marRight w:val="0"/>
      <w:marTop w:val="0"/>
      <w:marBottom w:val="0"/>
      <w:divBdr>
        <w:top w:val="none" w:sz="0" w:space="0" w:color="auto"/>
        <w:left w:val="none" w:sz="0" w:space="0" w:color="auto"/>
        <w:bottom w:val="none" w:sz="0" w:space="0" w:color="auto"/>
        <w:right w:val="none" w:sz="0" w:space="0" w:color="auto"/>
      </w:divBdr>
    </w:div>
    <w:div w:id="779421114">
      <w:bodyDiv w:val="1"/>
      <w:marLeft w:val="0"/>
      <w:marRight w:val="0"/>
      <w:marTop w:val="0"/>
      <w:marBottom w:val="0"/>
      <w:divBdr>
        <w:top w:val="none" w:sz="0" w:space="0" w:color="auto"/>
        <w:left w:val="none" w:sz="0" w:space="0" w:color="auto"/>
        <w:bottom w:val="none" w:sz="0" w:space="0" w:color="auto"/>
        <w:right w:val="none" w:sz="0" w:space="0" w:color="auto"/>
      </w:divBdr>
    </w:div>
    <w:div w:id="813521202">
      <w:bodyDiv w:val="1"/>
      <w:marLeft w:val="0"/>
      <w:marRight w:val="0"/>
      <w:marTop w:val="0"/>
      <w:marBottom w:val="0"/>
      <w:divBdr>
        <w:top w:val="none" w:sz="0" w:space="0" w:color="auto"/>
        <w:left w:val="none" w:sz="0" w:space="0" w:color="auto"/>
        <w:bottom w:val="none" w:sz="0" w:space="0" w:color="auto"/>
        <w:right w:val="none" w:sz="0" w:space="0" w:color="auto"/>
      </w:divBdr>
    </w:div>
    <w:div w:id="886995408">
      <w:bodyDiv w:val="1"/>
      <w:marLeft w:val="0"/>
      <w:marRight w:val="0"/>
      <w:marTop w:val="0"/>
      <w:marBottom w:val="0"/>
      <w:divBdr>
        <w:top w:val="none" w:sz="0" w:space="0" w:color="auto"/>
        <w:left w:val="none" w:sz="0" w:space="0" w:color="auto"/>
        <w:bottom w:val="none" w:sz="0" w:space="0" w:color="auto"/>
        <w:right w:val="none" w:sz="0" w:space="0" w:color="auto"/>
      </w:divBdr>
    </w:div>
    <w:div w:id="984431912">
      <w:bodyDiv w:val="1"/>
      <w:marLeft w:val="0"/>
      <w:marRight w:val="0"/>
      <w:marTop w:val="0"/>
      <w:marBottom w:val="0"/>
      <w:divBdr>
        <w:top w:val="none" w:sz="0" w:space="0" w:color="auto"/>
        <w:left w:val="none" w:sz="0" w:space="0" w:color="auto"/>
        <w:bottom w:val="none" w:sz="0" w:space="0" w:color="auto"/>
        <w:right w:val="none" w:sz="0" w:space="0" w:color="auto"/>
      </w:divBdr>
    </w:div>
    <w:div w:id="985085815">
      <w:bodyDiv w:val="1"/>
      <w:marLeft w:val="0"/>
      <w:marRight w:val="0"/>
      <w:marTop w:val="0"/>
      <w:marBottom w:val="0"/>
      <w:divBdr>
        <w:top w:val="none" w:sz="0" w:space="0" w:color="auto"/>
        <w:left w:val="none" w:sz="0" w:space="0" w:color="auto"/>
        <w:bottom w:val="none" w:sz="0" w:space="0" w:color="auto"/>
        <w:right w:val="none" w:sz="0" w:space="0" w:color="auto"/>
      </w:divBdr>
    </w:div>
    <w:div w:id="1006595674">
      <w:bodyDiv w:val="1"/>
      <w:marLeft w:val="0"/>
      <w:marRight w:val="0"/>
      <w:marTop w:val="0"/>
      <w:marBottom w:val="0"/>
      <w:divBdr>
        <w:top w:val="none" w:sz="0" w:space="0" w:color="auto"/>
        <w:left w:val="none" w:sz="0" w:space="0" w:color="auto"/>
        <w:bottom w:val="none" w:sz="0" w:space="0" w:color="auto"/>
        <w:right w:val="none" w:sz="0" w:space="0" w:color="auto"/>
      </w:divBdr>
    </w:div>
    <w:div w:id="1181044535">
      <w:bodyDiv w:val="1"/>
      <w:marLeft w:val="0"/>
      <w:marRight w:val="0"/>
      <w:marTop w:val="0"/>
      <w:marBottom w:val="0"/>
      <w:divBdr>
        <w:top w:val="none" w:sz="0" w:space="0" w:color="auto"/>
        <w:left w:val="none" w:sz="0" w:space="0" w:color="auto"/>
        <w:bottom w:val="none" w:sz="0" w:space="0" w:color="auto"/>
        <w:right w:val="none" w:sz="0" w:space="0" w:color="auto"/>
      </w:divBdr>
    </w:div>
    <w:div w:id="1183206244">
      <w:bodyDiv w:val="1"/>
      <w:marLeft w:val="0"/>
      <w:marRight w:val="0"/>
      <w:marTop w:val="0"/>
      <w:marBottom w:val="0"/>
      <w:divBdr>
        <w:top w:val="none" w:sz="0" w:space="0" w:color="auto"/>
        <w:left w:val="none" w:sz="0" w:space="0" w:color="auto"/>
        <w:bottom w:val="none" w:sz="0" w:space="0" w:color="auto"/>
        <w:right w:val="none" w:sz="0" w:space="0" w:color="auto"/>
      </w:divBdr>
    </w:div>
    <w:div w:id="1232156139">
      <w:bodyDiv w:val="1"/>
      <w:marLeft w:val="0"/>
      <w:marRight w:val="0"/>
      <w:marTop w:val="0"/>
      <w:marBottom w:val="0"/>
      <w:divBdr>
        <w:top w:val="none" w:sz="0" w:space="0" w:color="auto"/>
        <w:left w:val="none" w:sz="0" w:space="0" w:color="auto"/>
        <w:bottom w:val="none" w:sz="0" w:space="0" w:color="auto"/>
        <w:right w:val="none" w:sz="0" w:space="0" w:color="auto"/>
      </w:divBdr>
    </w:div>
    <w:div w:id="1280992089">
      <w:bodyDiv w:val="1"/>
      <w:marLeft w:val="0"/>
      <w:marRight w:val="0"/>
      <w:marTop w:val="0"/>
      <w:marBottom w:val="0"/>
      <w:divBdr>
        <w:top w:val="none" w:sz="0" w:space="0" w:color="auto"/>
        <w:left w:val="none" w:sz="0" w:space="0" w:color="auto"/>
        <w:bottom w:val="none" w:sz="0" w:space="0" w:color="auto"/>
        <w:right w:val="none" w:sz="0" w:space="0" w:color="auto"/>
      </w:divBdr>
    </w:div>
    <w:div w:id="1285817823">
      <w:bodyDiv w:val="1"/>
      <w:marLeft w:val="0"/>
      <w:marRight w:val="0"/>
      <w:marTop w:val="0"/>
      <w:marBottom w:val="0"/>
      <w:divBdr>
        <w:top w:val="none" w:sz="0" w:space="0" w:color="auto"/>
        <w:left w:val="none" w:sz="0" w:space="0" w:color="auto"/>
        <w:bottom w:val="none" w:sz="0" w:space="0" w:color="auto"/>
        <w:right w:val="none" w:sz="0" w:space="0" w:color="auto"/>
      </w:divBdr>
    </w:div>
    <w:div w:id="1380782575">
      <w:bodyDiv w:val="1"/>
      <w:marLeft w:val="0"/>
      <w:marRight w:val="0"/>
      <w:marTop w:val="0"/>
      <w:marBottom w:val="0"/>
      <w:divBdr>
        <w:top w:val="none" w:sz="0" w:space="0" w:color="auto"/>
        <w:left w:val="none" w:sz="0" w:space="0" w:color="auto"/>
        <w:bottom w:val="none" w:sz="0" w:space="0" w:color="auto"/>
        <w:right w:val="none" w:sz="0" w:space="0" w:color="auto"/>
      </w:divBdr>
    </w:div>
    <w:div w:id="1406076537">
      <w:bodyDiv w:val="1"/>
      <w:marLeft w:val="0"/>
      <w:marRight w:val="0"/>
      <w:marTop w:val="0"/>
      <w:marBottom w:val="0"/>
      <w:divBdr>
        <w:top w:val="none" w:sz="0" w:space="0" w:color="auto"/>
        <w:left w:val="none" w:sz="0" w:space="0" w:color="auto"/>
        <w:bottom w:val="none" w:sz="0" w:space="0" w:color="auto"/>
        <w:right w:val="none" w:sz="0" w:space="0" w:color="auto"/>
      </w:divBdr>
    </w:div>
    <w:div w:id="1406301296">
      <w:bodyDiv w:val="1"/>
      <w:marLeft w:val="0"/>
      <w:marRight w:val="0"/>
      <w:marTop w:val="0"/>
      <w:marBottom w:val="0"/>
      <w:divBdr>
        <w:top w:val="none" w:sz="0" w:space="0" w:color="auto"/>
        <w:left w:val="none" w:sz="0" w:space="0" w:color="auto"/>
        <w:bottom w:val="none" w:sz="0" w:space="0" w:color="auto"/>
        <w:right w:val="none" w:sz="0" w:space="0" w:color="auto"/>
      </w:divBdr>
    </w:div>
    <w:div w:id="1729300120">
      <w:bodyDiv w:val="1"/>
      <w:marLeft w:val="0"/>
      <w:marRight w:val="0"/>
      <w:marTop w:val="0"/>
      <w:marBottom w:val="0"/>
      <w:divBdr>
        <w:top w:val="none" w:sz="0" w:space="0" w:color="auto"/>
        <w:left w:val="none" w:sz="0" w:space="0" w:color="auto"/>
        <w:bottom w:val="none" w:sz="0" w:space="0" w:color="auto"/>
        <w:right w:val="none" w:sz="0" w:space="0" w:color="auto"/>
      </w:divBdr>
    </w:div>
    <w:div w:id="1731613869">
      <w:bodyDiv w:val="1"/>
      <w:marLeft w:val="0"/>
      <w:marRight w:val="0"/>
      <w:marTop w:val="0"/>
      <w:marBottom w:val="0"/>
      <w:divBdr>
        <w:top w:val="none" w:sz="0" w:space="0" w:color="auto"/>
        <w:left w:val="none" w:sz="0" w:space="0" w:color="auto"/>
        <w:bottom w:val="none" w:sz="0" w:space="0" w:color="auto"/>
        <w:right w:val="none" w:sz="0" w:space="0" w:color="auto"/>
      </w:divBdr>
    </w:div>
    <w:div w:id="1757358669">
      <w:bodyDiv w:val="1"/>
      <w:marLeft w:val="0"/>
      <w:marRight w:val="0"/>
      <w:marTop w:val="0"/>
      <w:marBottom w:val="0"/>
      <w:divBdr>
        <w:top w:val="none" w:sz="0" w:space="0" w:color="auto"/>
        <w:left w:val="none" w:sz="0" w:space="0" w:color="auto"/>
        <w:bottom w:val="none" w:sz="0" w:space="0" w:color="auto"/>
        <w:right w:val="none" w:sz="0" w:space="0" w:color="auto"/>
      </w:divBdr>
    </w:div>
    <w:div w:id="1759788990">
      <w:bodyDiv w:val="1"/>
      <w:marLeft w:val="0"/>
      <w:marRight w:val="0"/>
      <w:marTop w:val="0"/>
      <w:marBottom w:val="0"/>
      <w:divBdr>
        <w:top w:val="none" w:sz="0" w:space="0" w:color="auto"/>
        <w:left w:val="none" w:sz="0" w:space="0" w:color="auto"/>
        <w:bottom w:val="none" w:sz="0" w:space="0" w:color="auto"/>
        <w:right w:val="none" w:sz="0" w:space="0" w:color="auto"/>
      </w:divBdr>
    </w:div>
    <w:div w:id="1945261808">
      <w:bodyDiv w:val="1"/>
      <w:marLeft w:val="0"/>
      <w:marRight w:val="0"/>
      <w:marTop w:val="0"/>
      <w:marBottom w:val="0"/>
      <w:divBdr>
        <w:top w:val="none" w:sz="0" w:space="0" w:color="auto"/>
        <w:left w:val="none" w:sz="0" w:space="0" w:color="auto"/>
        <w:bottom w:val="none" w:sz="0" w:space="0" w:color="auto"/>
        <w:right w:val="none" w:sz="0" w:space="0" w:color="auto"/>
      </w:divBdr>
    </w:div>
    <w:div w:id="21270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reporting-probl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CEPL%20docs\AU\Rx\1a.%20PI%20CMI%20&amp;%20Label\1031%20Product%20Information_with%20instructions%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D8D68-72D6-4F3E-8532-C5460DBD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1031 Product Information_with instructions v3.dotx</Template>
  <TotalTime>9</TotalTime>
  <Pages>32</Pages>
  <Words>9706</Words>
  <Characters>59224</Characters>
  <Application>Microsoft Office Word</Application>
  <DocSecurity>0</DocSecurity>
  <Lines>493</Lines>
  <Paragraphs>137</Paragraphs>
  <ScaleCrop>false</ScaleCrop>
  <HeadingPairs>
    <vt:vector size="2" baseType="variant">
      <vt:variant>
        <vt:lpstr>Title</vt:lpstr>
      </vt:variant>
      <vt:variant>
        <vt:i4>1</vt:i4>
      </vt:variant>
    </vt:vector>
  </HeadingPairs>
  <TitlesOfParts>
    <vt:vector size="1" baseType="lpstr">
      <vt:lpstr>Product Information</vt:lpstr>
    </vt:vector>
  </TitlesOfParts>
  <Company>Department of Health and Aged Care</Company>
  <LinksUpToDate>false</LinksUpToDate>
  <CharactersWithSpaces>68793</CharactersWithSpaces>
  <SharedDoc>false</SharedDoc>
  <HLinks>
    <vt:vector size="24" baseType="variant">
      <vt:variant>
        <vt:i4>6684796</vt:i4>
      </vt:variant>
      <vt:variant>
        <vt:i4>12</vt:i4>
      </vt:variant>
      <vt:variant>
        <vt:i4>0</vt:i4>
      </vt:variant>
      <vt:variant>
        <vt:i4>5</vt:i4>
      </vt:variant>
      <vt:variant>
        <vt:lpwstr>https://www.tga.gov.au/sites/default/files/reformatting-product-information-frequently-asked-questions.pdf</vt:lpwstr>
      </vt:variant>
      <vt:variant>
        <vt:lpwstr/>
      </vt:variant>
      <vt:variant>
        <vt:i4>5898317</vt:i4>
      </vt:variant>
      <vt:variant>
        <vt:i4>9</vt:i4>
      </vt:variant>
      <vt:variant>
        <vt:i4>0</vt:i4>
      </vt:variant>
      <vt:variant>
        <vt:i4>5</vt:i4>
      </vt:variant>
      <vt:variant>
        <vt:lpwstr>http://www.tga.gov.au/reporting-problems</vt:lpwstr>
      </vt:variant>
      <vt:variant>
        <vt:lpwstr/>
      </vt:variant>
      <vt:variant>
        <vt:i4>6357099</vt:i4>
      </vt:variant>
      <vt:variant>
        <vt:i4>6</vt:i4>
      </vt:variant>
      <vt:variant>
        <vt:i4>0</vt:i4>
      </vt:variant>
      <vt:variant>
        <vt:i4>5</vt:i4>
      </vt:variant>
      <vt:variant>
        <vt:lpwstr>https://www.tga.gov.au/where-find-approved-terminology</vt:lpwstr>
      </vt:variant>
      <vt:variant>
        <vt:lpwstr/>
      </vt:variant>
      <vt:variant>
        <vt:i4>5570626</vt:i4>
      </vt:variant>
      <vt:variant>
        <vt:i4>3</vt:i4>
      </vt:variant>
      <vt:variant>
        <vt:i4>0</vt:i4>
      </vt:variant>
      <vt:variant>
        <vt:i4>5</vt:i4>
      </vt:variant>
      <vt:variant>
        <vt:lpwstr>https://www.tga.gov.au/reporting-problems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Xpovio</dc:title>
  <dc:subject>prescription medicine regulation</dc:subject>
  <dc:creator>Therapeutic Goods Administration</dc:creator>
  <cp:keywords/>
  <cp:lastModifiedBy>KOLARIK-O'REILLY, Kristy</cp:lastModifiedBy>
  <cp:revision>3</cp:revision>
  <cp:lastPrinted>2022-03-10T02:31:00Z</cp:lastPrinted>
  <dcterms:created xsi:type="dcterms:W3CDTF">2022-11-01T21:15:00Z</dcterms:created>
  <dcterms:modified xsi:type="dcterms:W3CDTF">2022-11-14T21:57:00Z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Type of Document</vt:lpwstr>
  </property>
  <property fmtid="{D5CDD505-2E9C-101B-9397-08002B2CF9AE}" pid="3" name="INN">
    <vt:lpwstr>INN</vt:lpwstr>
  </property>
  <property fmtid="{D5CDD505-2E9C-101B-9397-08002B2CF9AE}" pid="4" name="Date">
    <vt:lpwstr>Date</vt:lpwstr>
  </property>
  <property fmtid="{D5CDD505-2E9C-101B-9397-08002B2CF9AE}" pid="5" name="Product Code">
    <vt:lpwstr>Product Code / Study Number</vt:lpwstr>
  </property>
  <property fmtid="{D5CDD505-2E9C-101B-9397-08002B2CF9AE}" pid="6" name="LastRefNum">
    <vt:i4>0</vt:i4>
  </property>
  <property fmtid="{D5CDD505-2E9C-101B-9397-08002B2CF9AE}" pid="7" name="Custom1">
    <vt:lpwstr/>
  </property>
  <property fmtid="{D5CDD505-2E9C-101B-9397-08002B2CF9AE}" pid="8" name="Custom2">
    <vt:lpwstr/>
  </property>
  <property fmtid="{D5CDD505-2E9C-101B-9397-08002B2CF9AE}" pid="9" name="Custom3">
    <vt:lpwstr/>
  </property>
  <property fmtid="{D5CDD505-2E9C-101B-9397-08002B2CF9AE}" pid="10" name="Custom4">
    <vt:lpwstr/>
  </property>
</Properties>
</file>