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59FC" w14:textId="706A6B85" w:rsidR="00AD7E4E" w:rsidRPr="008467D1" w:rsidRDefault="00D65068" w:rsidP="000D1DC3">
      <w:r w:rsidRPr="00E6093E">
        <w:rPr>
          <w:noProof/>
          <w:lang w:eastAsia="en-CA"/>
        </w:rPr>
        <w:drawing>
          <wp:inline distT="0" distB="0" distL="0" distR="0" wp14:anchorId="6F3463FB" wp14:editId="47EC815B">
            <wp:extent cx="1962150" cy="149098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2150" cy="1490980"/>
                    </a:xfrm>
                    <a:prstGeom prst="rect">
                      <a:avLst/>
                    </a:prstGeom>
                  </pic:spPr>
                </pic:pic>
              </a:graphicData>
            </a:graphic>
          </wp:inline>
        </w:drawing>
      </w:r>
    </w:p>
    <w:p w14:paraId="23BA59FE" w14:textId="0AA839DA" w:rsidR="00AD7E4E" w:rsidRPr="00322B42" w:rsidRDefault="6BA6688C" w:rsidP="00322B42">
      <w:pPr>
        <w:pStyle w:val="Title"/>
      </w:pPr>
      <w:r w:rsidRPr="00471631">
        <w:t>Operational Procedures (OP)</w:t>
      </w:r>
    </w:p>
    <w:p w14:paraId="23BA5A03" w14:textId="77777777" w:rsidR="00AD7E4E" w:rsidRPr="008467D1" w:rsidRDefault="00AD7E4E" w:rsidP="00627D02"/>
    <w:p w14:paraId="3F81CA2B" w14:textId="3C586F7F" w:rsidR="001835F2" w:rsidRPr="00322B42" w:rsidRDefault="00D03D70" w:rsidP="00322B42">
      <w:pPr>
        <w:pStyle w:val="Subtitle"/>
      </w:pPr>
      <w:bookmarkStart w:id="0" w:name="_Hlk215038854"/>
      <w:r w:rsidRPr="1CD7BA4D">
        <w:t>Access</w:t>
      </w:r>
      <w:r w:rsidR="6BA6688C" w:rsidRPr="1CD7BA4D">
        <w:t xml:space="preserve"> Consortium</w:t>
      </w:r>
    </w:p>
    <w:p w14:paraId="23BA5A04" w14:textId="4BA46F62" w:rsidR="00AD7E4E" w:rsidRPr="001B1596" w:rsidRDefault="001C3A48" w:rsidP="00322B42">
      <w:pPr>
        <w:pStyle w:val="Subtitle"/>
      </w:pPr>
      <w:r w:rsidRPr="00AA7BF3">
        <w:t>Operational procedures for the Generic Medicines Work-Sharing Initiative (GMWSI)</w:t>
      </w:r>
    </w:p>
    <w:bookmarkEnd w:id="0"/>
    <w:p w14:paraId="23BA5A0A" w14:textId="77777777" w:rsidR="00AD7E4E" w:rsidRDefault="00AD7E4E" w:rsidP="00627D02">
      <w:pPr>
        <w:rPr>
          <w:lang w:val="en-US"/>
        </w:rPr>
      </w:pPr>
    </w:p>
    <w:p w14:paraId="56B3AC50" w14:textId="27E923CE" w:rsidR="00471631" w:rsidRPr="008467D1" w:rsidRDefault="00471631" w:rsidP="00627D02">
      <w:pPr>
        <w:rPr>
          <w:lang w:val="en-US"/>
        </w:rPr>
      </w:pPr>
    </w:p>
    <w:p w14:paraId="23BA5A0B" w14:textId="524D3B81" w:rsidR="00AD7E4E" w:rsidRPr="008467D1" w:rsidRDefault="001C3A48" w:rsidP="00627D02">
      <w:pPr>
        <w:rPr>
          <w:lang w:val="en-US"/>
        </w:rPr>
      </w:pPr>
      <w:r w:rsidRPr="001C3A48">
        <w:t>Document change log</w:t>
      </w:r>
    </w:p>
    <w:tbl>
      <w:tblPr>
        <w:tblStyle w:val="TableGrid"/>
        <w:tblW w:w="5000" w:type="pct"/>
        <w:tblInd w:w="0" w:type="dxa"/>
        <w:tblLook w:val="04A0" w:firstRow="1" w:lastRow="0" w:firstColumn="1" w:lastColumn="0" w:noHBand="0" w:noVBand="1"/>
      </w:tblPr>
      <w:tblGrid>
        <w:gridCol w:w="957"/>
        <w:gridCol w:w="4528"/>
        <w:gridCol w:w="1800"/>
        <w:gridCol w:w="1731"/>
      </w:tblGrid>
      <w:tr w:rsidR="00B4447D" w:rsidRPr="00C76376" w14:paraId="23BA5A10" w14:textId="77777777" w:rsidTr="00627D02">
        <w:tc>
          <w:tcPr>
            <w:tcW w:w="531" w:type="pct"/>
            <w:tcBorders>
              <w:top w:val="single" w:sz="4" w:space="0" w:color="auto"/>
              <w:left w:val="single" w:sz="4" w:space="0" w:color="auto"/>
              <w:bottom w:val="single" w:sz="4" w:space="0" w:color="auto"/>
              <w:right w:val="single" w:sz="4" w:space="0" w:color="auto"/>
            </w:tcBorders>
            <w:shd w:val="clear" w:color="auto" w:fill="000000" w:themeFill="text1"/>
            <w:hideMark/>
          </w:tcPr>
          <w:p w14:paraId="23BA5A0C" w14:textId="77777777" w:rsidR="00AD7E4E" w:rsidRPr="00C76376" w:rsidRDefault="6BA6688C" w:rsidP="00627D02">
            <w:pPr>
              <w:rPr>
                <w:sz w:val="22"/>
              </w:rPr>
            </w:pPr>
            <w:r w:rsidRPr="00C76376">
              <w:rPr>
                <w:sz w:val="22"/>
              </w:rPr>
              <w:t xml:space="preserve">Version </w:t>
            </w:r>
          </w:p>
        </w:tc>
        <w:tc>
          <w:tcPr>
            <w:tcW w:w="2511" w:type="pct"/>
            <w:tcBorders>
              <w:top w:val="single" w:sz="4" w:space="0" w:color="auto"/>
              <w:left w:val="single" w:sz="4" w:space="0" w:color="auto"/>
              <w:bottom w:val="single" w:sz="4" w:space="0" w:color="auto"/>
              <w:right w:val="single" w:sz="4" w:space="0" w:color="auto"/>
            </w:tcBorders>
            <w:shd w:val="clear" w:color="auto" w:fill="000000" w:themeFill="text1"/>
            <w:hideMark/>
          </w:tcPr>
          <w:p w14:paraId="23BA5A0D" w14:textId="77777777" w:rsidR="00AD7E4E" w:rsidRPr="00C76376" w:rsidRDefault="6BA6688C" w:rsidP="00627D02">
            <w:pPr>
              <w:rPr>
                <w:sz w:val="22"/>
              </w:rPr>
            </w:pPr>
            <w:r w:rsidRPr="00C76376">
              <w:rPr>
                <w:sz w:val="22"/>
              </w:rPr>
              <w:t>Description of Change</w:t>
            </w:r>
          </w:p>
        </w:tc>
        <w:tc>
          <w:tcPr>
            <w:tcW w:w="998" w:type="pct"/>
            <w:tcBorders>
              <w:top w:val="single" w:sz="4" w:space="0" w:color="auto"/>
              <w:left w:val="single" w:sz="4" w:space="0" w:color="auto"/>
              <w:bottom w:val="single" w:sz="4" w:space="0" w:color="auto"/>
              <w:right w:val="single" w:sz="4" w:space="0" w:color="auto"/>
            </w:tcBorders>
            <w:shd w:val="clear" w:color="auto" w:fill="000000" w:themeFill="text1"/>
            <w:hideMark/>
          </w:tcPr>
          <w:p w14:paraId="23BA5A0E" w14:textId="77777777" w:rsidR="00AD7E4E" w:rsidRPr="00C76376" w:rsidRDefault="6BA6688C" w:rsidP="00627D02">
            <w:pPr>
              <w:rPr>
                <w:sz w:val="22"/>
              </w:rPr>
            </w:pPr>
            <w:r w:rsidRPr="00C76376">
              <w:rPr>
                <w:sz w:val="22"/>
              </w:rPr>
              <w:t>Author</w:t>
            </w:r>
          </w:p>
        </w:tc>
        <w:tc>
          <w:tcPr>
            <w:tcW w:w="960" w:type="pct"/>
            <w:tcBorders>
              <w:top w:val="single" w:sz="4" w:space="0" w:color="auto"/>
              <w:left w:val="single" w:sz="4" w:space="0" w:color="auto"/>
              <w:bottom w:val="single" w:sz="4" w:space="0" w:color="auto"/>
              <w:right w:val="single" w:sz="4" w:space="0" w:color="auto"/>
            </w:tcBorders>
            <w:shd w:val="clear" w:color="auto" w:fill="000000" w:themeFill="text1"/>
            <w:hideMark/>
          </w:tcPr>
          <w:p w14:paraId="23BA5A0F" w14:textId="77777777" w:rsidR="00AD7E4E" w:rsidRPr="00C76376" w:rsidRDefault="6BA6688C" w:rsidP="00627D02">
            <w:pPr>
              <w:rPr>
                <w:sz w:val="22"/>
              </w:rPr>
            </w:pPr>
            <w:r w:rsidRPr="00C76376">
              <w:rPr>
                <w:sz w:val="22"/>
              </w:rPr>
              <w:t>Effective Date</w:t>
            </w:r>
          </w:p>
        </w:tc>
      </w:tr>
      <w:tr w:rsidR="001C3A48" w:rsidRPr="00CB344F" w14:paraId="23BA5A15" w14:textId="77777777" w:rsidTr="00627D02">
        <w:tc>
          <w:tcPr>
            <w:tcW w:w="531" w:type="pct"/>
            <w:tcBorders>
              <w:top w:val="single" w:sz="4" w:space="0" w:color="auto"/>
              <w:left w:val="single" w:sz="4" w:space="0" w:color="auto"/>
              <w:bottom w:val="single" w:sz="4" w:space="0" w:color="auto"/>
              <w:right w:val="single" w:sz="4" w:space="0" w:color="auto"/>
            </w:tcBorders>
          </w:tcPr>
          <w:p w14:paraId="23BA5A11" w14:textId="3908F84E" w:rsidR="001C3A48" w:rsidRPr="00CB344F" w:rsidRDefault="001C3A48" w:rsidP="00627D02">
            <w:pPr>
              <w:rPr>
                <w:sz w:val="22"/>
                <w:szCs w:val="22"/>
              </w:rPr>
            </w:pPr>
            <w:r w:rsidRPr="00CB344F">
              <w:rPr>
                <w:sz w:val="22"/>
                <w:lang w:eastAsia="en-CA"/>
              </w:rPr>
              <w:t>v 1.0</w:t>
            </w:r>
          </w:p>
        </w:tc>
        <w:tc>
          <w:tcPr>
            <w:tcW w:w="2511" w:type="pct"/>
            <w:tcBorders>
              <w:top w:val="single" w:sz="4" w:space="0" w:color="auto"/>
              <w:left w:val="single" w:sz="4" w:space="0" w:color="auto"/>
              <w:bottom w:val="single" w:sz="4" w:space="0" w:color="auto"/>
              <w:right w:val="single" w:sz="4" w:space="0" w:color="auto"/>
            </w:tcBorders>
          </w:tcPr>
          <w:p w14:paraId="23BA5A12" w14:textId="282A9776" w:rsidR="001C3A48" w:rsidRPr="00CB344F" w:rsidRDefault="001C3A48" w:rsidP="00627D02">
            <w:pPr>
              <w:rPr>
                <w:sz w:val="22"/>
                <w:szCs w:val="22"/>
              </w:rPr>
            </w:pPr>
            <w:r w:rsidRPr="00CB344F">
              <w:rPr>
                <w:sz w:val="22"/>
                <w:lang w:eastAsia="en-CA"/>
              </w:rPr>
              <w:t>Original publication</w:t>
            </w:r>
          </w:p>
        </w:tc>
        <w:tc>
          <w:tcPr>
            <w:tcW w:w="998" w:type="pct"/>
            <w:tcBorders>
              <w:top w:val="single" w:sz="4" w:space="0" w:color="auto"/>
              <w:left w:val="single" w:sz="4" w:space="0" w:color="auto"/>
              <w:bottom w:val="single" w:sz="4" w:space="0" w:color="auto"/>
              <w:right w:val="single" w:sz="4" w:space="0" w:color="auto"/>
            </w:tcBorders>
          </w:tcPr>
          <w:p w14:paraId="23BA5A13" w14:textId="05015C84" w:rsidR="001C3A48" w:rsidRPr="00CB344F" w:rsidRDefault="001C3A48" w:rsidP="00627D02">
            <w:pPr>
              <w:rPr>
                <w:sz w:val="22"/>
                <w:szCs w:val="22"/>
              </w:rPr>
            </w:pPr>
            <w:r w:rsidRPr="00CB344F">
              <w:rPr>
                <w:sz w:val="22"/>
                <w:lang w:eastAsia="en-CA"/>
              </w:rPr>
              <w:t>ACSS Generic Medicines WG</w:t>
            </w:r>
          </w:p>
        </w:tc>
        <w:tc>
          <w:tcPr>
            <w:tcW w:w="960" w:type="pct"/>
            <w:tcBorders>
              <w:top w:val="single" w:sz="4" w:space="0" w:color="auto"/>
              <w:left w:val="single" w:sz="4" w:space="0" w:color="auto"/>
              <w:bottom w:val="single" w:sz="4" w:space="0" w:color="auto"/>
              <w:right w:val="single" w:sz="4" w:space="0" w:color="auto"/>
            </w:tcBorders>
          </w:tcPr>
          <w:p w14:paraId="23BA5A14" w14:textId="2046F4D8" w:rsidR="001C3A48" w:rsidRPr="00CB344F" w:rsidRDefault="001C3A48" w:rsidP="00627D02">
            <w:pPr>
              <w:rPr>
                <w:sz w:val="22"/>
                <w:szCs w:val="22"/>
              </w:rPr>
            </w:pPr>
            <w:r w:rsidRPr="00CB344F">
              <w:rPr>
                <w:sz w:val="22"/>
                <w:lang w:eastAsia="en-CA"/>
              </w:rPr>
              <w:t>2016-05-20</w:t>
            </w:r>
          </w:p>
        </w:tc>
      </w:tr>
      <w:tr w:rsidR="001C3A48" w:rsidRPr="00CB344F" w14:paraId="23BA5A1A" w14:textId="77777777" w:rsidTr="00627D02">
        <w:tc>
          <w:tcPr>
            <w:tcW w:w="531" w:type="pct"/>
            <w:tcBorders>
              <w:top w:val="single" w:sz="4" w:space="0" w:color="auto"/>
              <w:left w:val="single" w:sz="4" w:space="0" w:color="auto"/>
              <w:bottom w:val="single" w:sz="4" w:space="0" w:color="auto"/>
              <w:right w:val="single" w:sz="4" w:space="0" w:color="auto"/>
            </w:tcBorders>
          </w:tcPr>
          <w:p w14:paraId="23BA5A16" w14:textId="5D2BC17B" w:rsidR="001C3A48" w:rsidRPr="00CB344F" w:rsidRDefault="001C3A48" w:rsidP="00627D02">
            <w:pPr>
              <w:rPr>
                <w:sz w:val="22"/>
                <w:szCs w:val="22"/>
              </w:rPr>
            </w:pPr>
            <w:r w:rsidRPr="00CB344F">
              <w:rPr>
                <w:sz w:val="22"/>
                <w:lang w:eastAsia="en-CA"/>
              </w:rPr>
              <w:t>v 2.0</w:t>
            </w:r>
          </w:p>
        </w:tc>
        <w:tc>
          <w:tcPr>
            <w:tcW w:w="2511" w:type="pct"/>
            <w:tcBorders>
              <w:top w:val="single" w:sz="4" w:space="0" w:color="auto"/>
              <w:left w:val="single" w:sz="4" w:space="0" w:color="auto"/>
              <w:bottom w:val="single" w:sz="4" w:space="0" w:color="auto"/>
              <w:right w:val="single" w:sz="4" w:space="0" w:color="auto"/>
            </w:tcBorders>
          </w:tcPr>
          <w:p w14:paraId="23BA5A17" w14:textId="72AA82AB" w:rsidR="001C3A48" w:rsidRPr="00CB344F" w:rsidRDefault="001C3A48" w:rsidP="00627D02">
            <w:pPr>
              <w:rPr>
                <w:sz w:val="22"/>
                <w:szCs w:val="22"/>
              </w:rPr>
            </w:pPr>
            <w:r w:rsidRPr="00CB344F">
              <w:rPr>
                <w:sz w:val="22"/>
                <w:lang w:eastAsia="en-CA"/>
              </w:rPr>
              <w:t>Updated following the first application with the GMWST</w:t>
            </w:r>
          </w:p>
        </w:tc>
        <w:tc>
          <w:tcPr>
            <w:tcW w:w="998" w:type="pct"/>
            <w:tcBorders>
              <w:top w:val="single" w:sz="4" w:space="0" w:color="auto"/>
              <w:left w:val="single" w:sz="4" w:space="0" w:color="auto"/>
              <w:bottom w:val="single" w:sz="4" w:space="0" w:color="auto"/>
              <w:right w:val="single" w:sz="4" w:space="0" w:color="auto"/>
            </w:tcBorders>
          </w:tcPr>
          <w:p w14:paraId="23BA5A18" w14:textId="1263C50C" w:rsidR="001C3A48" w:rsidRPr="00CB344F" w:rsidRDefault="001C3A48" w:rsidP="00627D02">
            <w:pPr>
              <w:rPr>
                <w:sz w:val="22"/>
                <w:szCs w:val="22"/>
              </w:rPr>
            </w:pPr>
            <w:r w:rsidRPr="00CB344F">
              <w:rPr>
                <w:sz w:val="22"/>
                <w:lang w:eastAsia="en-CA"/>
              </w:rPr>
              <w:t>ACSS Generic Medicines WG</w:t>
            </w:r>
          </w:p>
        </w:tc>
        <w:tc>
          <w:tcPr>
            <w:tcW w:w="960" w:type="pct"/>
            <w:tcBorders>
              <w:top w:val="single" w:sz="4" w:space="0" w:color="auto"/>
              <w:left w:val="single" w:sz="4" w:space="0" w:color="auto"/>
              <w:bottom w:val="single" w:sz="4" w:space="0" w:color="auto"/>
              <w:right w:val="single" w:sz="4" w:space="0" w:color="auto"/>
            </w:tcBorders>
          </w:tcPr>
          <w:p w14:paraId="23BA5A19" w14:textId="188B18A1" w:rsidR="001C3A48" w:rsidRPr="00CB344F" w:rsidRDefault="001C3A48" w:rsidP="00627D02">
            <w:pPr>
              <w:rPr>
                <w:sz w:val="22"/>
                <w:szCs w:val="22"/>
              </w:rPr>
            </w:pPr>
            <w:r w:rsidRPr="00CB344F">
              <w:rPr>
                <w:sz w:val="22"/>
                <w:lang w:eastAsia="en-CA"/>
              </w:rPr>
              <w:t>2017-10-05</w:t>
            </w:r>
          </w:p>
        </w:tc>
      </w:tr>
      <w:tr w:rsidR="001C3A48" w:rsidRPr="00CB344F" w14:paraId="23BA5A1F" w14:textId="77777777" w:rsidTr="00627D02">
        <w:tc>
          <w:tcPr>
            <w:tcW w:w="531" w:type="pct"/>
            <w:tcBorders>
              <w:top w:val="single" w:sz="4" w:space="0" w:color="auto"/>
              <w:left w:val="single" w:sz="4" w:space="0" w:color="auto"/>
              <w:bottom w:val="single" w:sz="4" w:space="0" w:color="auto"/>
              <w:right w:val="single" w:sz="4" w:space="0" w:color="auto"/>
            </w:tcBorders>
          </w:tcPr>
          <w:p w14:paraId="23BA5A1B" w14:textId="2B3CA5F7" w:rsidR="001C3A48" w:rsidRPr="00CB344F" w:rsidRDefault="001C3A48" w:rsidP="00627D02">
            <w:pPr>
              <w:rPr>
                <w:sz w:val="22"/>
                <w:szCs w:val="22"/>
              </w:rPr>
            </w:pPr>
            <w:r w:rsidRPr="00CB344F">
              <w:rPr>
                <w:sz w:val="22"/>
                <w:lang w:eastAsia="en-CA"/>
              </w:rPr>
              <w:t>v 3.0</w:t>
            </w:r>
          </w:p>
        </w:tc>
        <w:tc>
          <w:tcPr>
            <w:tcW w:w="2511" w:type="pct"/>
            <w:tcBorders>
              <w:top w:val="single" w:sz="4" w:space="0" w:color="auto"/>
              <w:left w:val="single" w:sz="4" w:space="0" w:color="auto"/>
              <w:bottom w:val="single" w:sz="4" w:space="0" w:color="auto"/>
              <w:right w:val="single" w:sz="4" w:space="0" w:color="auto"/>
            </w:tcBorders>
          </w:tcPr>
          <w:p w14:paraId="23BA5A1C" w14:textId="50B7C787" w:rsidR="001C3A48" w:rsidRPr="00CB344F" w:rsidRDefault="001C3A48" w:rsidP="00627D02">
            <w:pPr>
              <w:rPr>
                <w:sz w:val="22"/>
                <w:szCs w:val="22"/>
              </w:rPr>
            </w:pPr>
            <w:r w:rsidRPr="00CB344F">
              <w:rPr>
                <w:sz w:val="22"/>
                <w:lang w:eastAsia="en-CA"/>
              </w:rPr>
              <w:t>Updated to include process enhancements based on experiences with the work sharing model, recent developments (e.g., addition of UK’s MHRA to the Access Consortium) and feedback received from stakeholders.</w:t>
            </w:r>
          </w:p>
        </w:tc>
        <w:tc>
          <w:tcPr>
            <w:tcW w:w="998" w:type="pct"/>
            <w:tcBorders>
              <w:top w:val="single" w:sz="4" w:space="0" w:color="auto"/>
              <w:left w:val="single" w:sz="4" w:space="0" w:color="auto"/>
              <w:bottom w:val="single" w:sz="4" w:space="0" w:color="auto"/>
              <w:right w:val="single" w:sz="4" w:space="0" w:color="auto"/>
            </w:tcBorders>
          </w:tcPr>
          <w:p w14:paraId="23BA5A1D" w14:textId="356E54DE" w:rsidR="001C3A48" w:rsidRPr="00CB344F" w:rsidRDefault="001C3A48" w:rsidP="00627D02">
            <w:pPr>
              <w:rPr>
                <w:sz w:val="22"/>
                <w:szCs w:val="22"/>
              </w:rPr>
            </w:pPr>
            <w:r w:rsidRPr="00CB344F">
              <w:rPr>
                <w:sz w:val="22"/>
                <w:lang w:eastAsia="en-CA"/>
              </w:rPr>
              <w:t>Access Generic Medicines WG</w:t>
            </w:r>
          </w:p>
        </w:tc>
        <w:tc>
          <w:tcPr>
            <w:tcW w:w="960" w:type="pct"/>
            <w:tcBorders>
              <w:top w:val="single" w:sz="4" w:space="0" w:color="auto"/>
              <w:left w:val="single" w:sz="4" w:space="0" w:color="auto"/>
              <w:bottom w:val="single" w:sz="4" w:space="0" w:color="auto"/>
              <w:right w:val="single" w:sz="4" w:space="0" w:color="auto"/>
            </w:tcBorders>
          </w:tcPr>
          <w:p w14:paraId="23BA5A1E" w14:textId="64BAA5C8" w:rsidR="001C3A48" w:rsidRPr="00CB344F" w:rsidRDefault="001C3A48" w:rsidP="00627D02">
            <w:pPr>
              <w:rPr>
                <w:sz w:val="22"/>
                <w:szCs w:val="22"/>
              </w:rPr>
            </w:pPr>
            <w:r w:rsidRPr="00CB344F">
              <w:rPr>
                <w:sz w:val="22"/>
                <w:lang w:eastAsia="en-CA"/>
              </w:rPr>
              <w:t>2022-10-30</w:t>
            </w:r>
          </w:p>
        </w:tc>
      </w:tr>
      <w:tr w:rsidR="00F80ACB" w:rsidRPr="00F80ACB" w14:paraId="07325034" w14:textId="77777777" w:rsidTr="00627D02">
        <w:tc>
          <w:tcPr>
            <w:tcW w:w="531" w:type="pct"/>
            <w:tcBorders>
              <w:top w:val="single" w:sz="4" w:space="0" w:color="auto"/>
              <w:left w:val="single" w:sz="4" w:space="0" w:color="auto"/>
              <w:bottom w:val="single" w:sz="4" w:space="0" w:color="auto"/>
              <w:right w:val="single" w:sz="4" w:space="0" w:color="auto"/>
            </w:tcBorders>
          </w:tcPr>
          <w:p w14:paraId="1B5F79E4" w14:textId="2128808F" w:rsidR="00F80ACB" w:rsidRPr="00F80ACB" w:rsidRDefault="00F80ACB" w:rsidP="00627D02">
            <w:pPr>
              <w:rPr>
                <w:sz w:val="22"/>
                <w:szCs w:val="22"/>
                <w:lang w:eastAsia="en-CA"/>
              </w:rPr>
            </w:pPr>
            <w:r w:rsidRPr="00F80ACB">
              <w:rPr>
                <w:sz w:val="22"/>
                <w:szCs w:val="22"/>
                <w:lang w:eastAsia="en-CA"/>
              </w:rPr>
              <w:t>v 4.0</w:t>
            </w:r>
          </w:p>
        </w:tc>
        <w:tc>
          <w:tcPr>
            <w:tcW w:w="2511" w:type="pct"/>
            <w:tcBorders>
              <w:top w:val="single" w:sz="4" w:space="0" w:color="auto"/>
              <w:left w:val="single" w:sz="4" w:space="0" w:color="auto"/>
              <w:bottom w:val="single" w:sz="4" w:space="0" w:color="auto"/>
              <w:right w:val="single" w:sz="4" w:space="0" w:color="auto"/>
            </w:tcBorders>
          </w:tcPr>
          <w:p w14:paraId="38D3DAB9" w14:textId="79F56AE4" w:rsidR="00F80ACB" w:rsidRPr="00F80ACB" w:rsidRDefault="00F80ACB" w:rsidP="00627D02">
            <w:pPr>
              <w:rPr>
                <w:sz w:val="22"/>
                <w:szCs w:val="22"/>
                <w:lang w:eastAsia="en-CA"/>
              </w:rPr>
            </w:pPr>
            <w:r w:rsidRPr="00F80ACB">
              <w:rPr>
                <w:sz w:val="22"/>
                <w:szCs w:val="22"/>
                <w:lang w:eastAsia="en-CA"/>
              </w:rPr>
              <w:t xml:space="preserve">Updated to include Appendix 1 and 2 to include more detail on </w:t>
            </w:r>
            <w:r>
              <w:rPr>
                <w:sz w:val="22"/>
                <w:szCs w:val="22"/>
                <w:lang w:eastAsia="en-CA"/>
              </w:rPr>
              <w:t>acceptance of</w:t>
            </w:r>
            <w:r w:rsidRPr="00F80ACB">
              <w:rPr>
                <w:sz w:val="22"/>
                <w:szCs w:val="22"/>
                <w:lang w:eastAsia="en-CA"/>
              </w:rPr>
              <w:t xml:space="preserve"> foreign comparator products in bioequivalence studies</w:t>
            </w:r>
            <w:r>
              <w:rPr>
                <w:sz w:val="22"/>
                <w:szCs w:val="22"/>
                <w:lang w:eastAsia="en-CA"/>
              </w:rPr>
              <w:t xml:space="preserve"> in each Access Country</w:t>
            </w:r>
          </w:p>
        </w:tc>
        <w:tc>
          <w:tcPr>
            <w:tcW w:w="998" w:type="pct"/>
            <w:tcBorders>
              <w:top w:val="single" w:sz="4" w:space="0" w:color="auto"/>
              <w:left w:val="single" w:sz="4" w:space="0" w:color="auto"/>
              <w:bottom w:val="single" w:sz="4" w:space="0" w:color="auto"/>
              <w:right w:val="single" w:sz="4" w:space="0" w:color="auto"/>
            </w:tcBorders>
          </w:tcPr>
          <w:p w14:paraId="327ABC35" w14:textId="5E6F509D" w:rsidR="00F80ACB" w:rsidRPr="00F80ACB" w:rsidRDefault="00F80ACB" w:rsidP="00627D02">
            <w:pPr>
              <w:rPr>
                <w:sz w:val="22"/>
                <w:szCs w:val="22"/>
                <w:lang w:eastAsia="en-CA"/>
              </w:rPr>
            </w:pPr>
            <w:r w:rsidRPr="00F80ACB">
              <w:rPr>
                <w:sz w:val="22"/>
                <w:szCs w:val="22"/>
                <w:lang w:eastAsia="en-CA"/>
              </w:rPr>
              <w:t>Access Generic Medicines WG</w:t>
            </w:r>
          </w:p>
        </w:tc>
        <w:tc>
          <w:tcPr>
            <w:tcW w:w="960" w:type="pct"/>
            <w:tcBorders>
              <w:top w:val="single" w:sz="4" w:space="0" w:color="auto"/>
              <w:left w:val="single" w:sz="4" w:space="0" w:color="auto"/>
              <w:bottom w:val="single" w:sz="4" w:space="0" w:color="auto"/>
              <w:right w:val="single" w:sz="4" w:space="0" w:color="auto"/>
            </w:tcBorders>
          </w:tcPr>
          <w:p w14:paraId="2992FE4B" w14:textId="52DAE590" w:rsidR="00F80ACB" w:rsidRPr="00F80ACB" w:rsidRDefault="00F80ACB" w:rsidP="00627D02">
            <w:pPr>
              <w:rPr>
                <w:sz w:val="22"/>
                <w:szCs w:val="22"/>
                <w:lang w:eastAsia="en-CA"/>
              </w:rPr>
            </w:pPr>
            <w:r w:rsidRPr="00F80ACB">
              <w:rPr>
                <w:sz w:val="22"/>
                <w:szCs w:val="22"/>
                <w:lang w:eastAsia="en-CA"/>
              </w:rPr>
              <w:t>202</w:t>
            </w:r>
            <w:r w:rsidR="008A02FF">
              <w:rPr>
                <w:sz w:val="22"/>
                <w:szCs w:val="22"/>
                <w:lang w:eastAsia="en-CA"/>
              </w:rPr>
              <w:t>4</w:t>
            </w:r>
            <w:r w:rsidRPr="00F80ACB">
              <w:rPr>
                <w:sz w:val="22"/>
                <w:szCs w:val="22"/>
                <w:lang w:eastAsia="en-CA"/>
              </w:rPr>
              <w:t>-</w:t>
            </w:r>
            <w:r w:rsidR="00057337">
              <w:rPr>
                <w:sz w:val="22"/>
                <w:szCs w:val="22"/>
                <w:lang w:eastAsia="en-CA"/>
              </w:rPr>
              <w:t>08</w:t>
            </w:r>
            <w:r w:rsidRPr="00F80ACB">
              <w:rPr>
                <w:sz w:val="22"/>
                <w:szCs w:val="22"/>
                <w:lang w:eastAsia="en-CA"/>
              </w:rPr>
              <w:t>-</w:t>
            </w:r>
            <w:r w:rsidR="00057337">
              <w:rPr>
                <w:sz w:val="22"/>
                <w:szCs w:val="22"/>
                <w:lang w:eastAsia="en-CA"/>
              </w:rPr>
              <w:t>01</w:t>
            </w:r>
          </w:p>
        </w:tc>
      </w:tr>
      <w:tr w:rsidR="00425ABD" w:rsidRPr="00425ABD" w14:paraId="456F04B3" w14:textId="77777777" w:rsidTr="00627D02">
        <w:tc>
          <w:tcPr>
            <w:tcW w:w="531" w:type="pct"/>
            <w:tcBorders>
              <w:top w:val="single" w:sz="4" w:space="0" w:color="auto"/>
              <w:left w:val="single" w:sz="4" w:space="0" w:color="auto"/>
              <w:bottom w:val="single" w:sz="4" w:space="0" w:color="auto"/>
              <w:right w:val="single" w:sz="4" w:space="0" w:color="auto"/>
            </w:tcBorders>
          </w:tcPr>
          <w:p w14:paraId="584FB489" w14:textId="76FFF02B" w:rsidR="00425ABD" w:rsidRPr="00727941" w:rsidRDefault="00EC465D" w:rsidP="00627D02">
            <w:pPr>
              <w:rPr>
                <w:sz w:val="22"/>
                <w:szCs w:val="22"/>
                <w:lang w:eastAsia="en-CA"/>
              </w:rPr>
            </w:pPr>
            <w:r w:rsidRPr="00EC465D">
              <w:rPr>
                <w:lang w:eastAsia="en-CA"/>
              </w:rPr>
              <w:t>v</w:t>
            </w:r>
            <w:r w:rsidR="00425ABD" w:rsidRPr="00EC465D">
              <w:rPr>
                <w:lang w:eastAsia="en-CA"/>
              </w:rPr>
              <w:t xml:space="preserve"> 5.0</w:t>
            </w:r>
          </w:p>
        </w:tc>
        <w:tc>
          <w:tcPr>
            <w:tcW w:w="2511" w:type="pct"/>
            <w:tcBorders>
              <w:top w:val="single" w:sz="4" w:space="0" w:color="auto"/>
              <w:left w:val="single" w:sz="4" w:space="0" w:color="auto"/>
              <w:bottom w:val="single" w:sz="4" w:space="0" w:color="auto"/>
              <w:right w:val="single" w:sz="4" w:space="0" w:color="auto"/>
            </w:tcBorders>
          </w:tcPr>
          <w:p w14:paraId="34BA124C" w14:textId="77777777" w:rsidR="0023693C" w:rsidRDefault="00425ABD" w:rsidP="00627D02">
            <w:pPr>
              <w:rPr>
                <w:sz w:val="22"/>
                <w:szCs w:val="22"/>
                <w:lang w:eastAsia="en-CA"/>
              </w:rPr>
            </w:pPr>
            <w:r>
              <w:rPr>
                <w:sz w:val="22"/>
                <w:szCs w:val="22"/>
                <w:lang w:eastAsia="en-CA"/>
              </w:rPr>
              <w:t>Update to Appendix 1</w:t>
            </w:r>
            <w:r w:rsidR="00870455">
              <w:rPr>
                <w:sz w:val="22"/>
                <w:szCs w:val="22"/>
                <w:lang w:eastAsia="en-CA"/>
              </w:rPr>
              <w:t xml:space="preserve"> and 2</w:t>
            </w:r>
          </w:p>
          <w:p w14:paraId="04CDE216" w14:textId="2266B91F" w:rsidR="00425ABD" w:rsidRPr="00727941" w:rsidRDefault="0023693C" w:rsidP="00627D02">
            <w:pPr>
              <w:rPr>
                <w:sz w:val="22"/>
                <w:szCs w:val="22"/>
                <w:lang w:eastAsia="en-CA"/>
              </w:rPr>
            </w:pPr>
            <w:r>
              <w:rPr>
                <w:sz w:val="22"/>
                <w:szCs w:val="22"/>
                <w:lang w:eastAsia="en-CA"/>
              </w:rPr>
              <w:t>Other minor editorial changes</w:t>
            </w:r>
            <w:r w:rsidR="00EC465D">
              <w:rPr>
                <w:sz w:val="22"/>
                <w:szCs w:val="22"/>
                <w:lang w:eastAsia="en-CA"/>
              </w:rPr>
              <w:t xml:space="preserve">  </w:t>
            </w:r>
          </w:p>
        </w:tc>
        <w:tc>
          <w:tcPr>
            <w:tcW w:w="998" w:type="pct"/>
            <w:tcBorders>
              <w:top w:val="single" w:sz="4" w:space="0" w:color="auto"/>
              <w:left w:val="single" w:sz="4" w:space="0" w:color="auto"/>
              <w:bottom w:val="single" w:sz="4" w:space="0" w:color="auto"/>
              <w:right w:val="single" w:sz="4" w:space="0" w:color="auto"/>
            </w:tcBorders>
          </w:tcPr>
          <w:p w14:paraId="69671233" w14:textId="77BA5FB1" w:rsidR="00425ABD" w:rsidRPr="00727941" w:rsidRDefault="00425ABD" w:rsidP="00627D02">
            <w:pPr>
              <w:rPr>
                <w:sz w:val="22"/>
                <w:szCs w:val="22"/>
                <w:lang w:eastAsia="en-CA"/>
              </w:rPr>
            </w:pPr>
            <w:r w:rsidRPr="00F80ACB">
              <w:rPr>
                <w:sz w:val="22"/>
                <w:szCs w:val="22"/>
                <w:lang w:eastAsia="en-CA"/>
              </w:rPr>
              <w:t>Access Generic Medicines WG</w:t>
            </w:r>
          </w:p>
        </w:tc>
        <w:tc>
          <w:tcPr>
            <w:tcW w:w="960" w:type="pct"/>
            <w:tcBorders>
              <w:top w:val="single" w:sz="4" w:space="0" w:color="auto"/>
              <w:left w:val="single" w:sz="4" w:space="0" w:color="auto"/>
              <w:bottom w:val="single" w:sz="4" w:space="0" w:color="auto"/>
              <w:right w:val="single" w:sz="4" w:space="0" w:color="auto"/>
            </w:tcBorders>
          </w:tcPr>
          <w:p w14:paraId="32320ED0" w14:textId="7CEA9DA3" w:rsidR="00425ABD" w:rsidRPr="00727941" w:rsidRDefault="0023693C" w:rsidP="00627D02">
            <w:pPr>
              <w:rPr>
                <w:sz w:val="22"/>
                <w:szCs w:val="22"/>
                <w:lang w:eastAsia="en-CA"/>
              </w:rPr>
            </w:pPr>
            <w:r>
              <w:rPr>
                <w:sz w:val="22"/>
                <w:szCs w:val="22"/>
                <w:lang w:eastAsia="en-CA"/>
              </w:rPr>
              <w:t>2025-</w:t>
            </w:r>
            <w:r w:rsidR="00727941">
              <w:rPr>
                <w:sz w:val="22"/>
                <w:szCs w:val="22"/>
                <w:lang w:eastAsia="en-CA"/>
              </w:rPr>
              <w:t>05</w:t>
            </w:r>
            <w:r>
              <w:rPr>
                <w:sz w:val="22"/>
                <w:szCs w:val="22"/>
                <w:lang w:eastAsia="en-CA"/>
              </w:rPr>
              <w:t>-</w:t>
            </w:r>
            <w:r w:rsidR="00727941">
              <w:rPr>
                <w:sz w:val="22"/>
                <w:szCs w:val="22"/>
                <w:lang w:eastAsia="en-CA"/>
              </w:rPr>
              <w:t>08</w:t>
            </w:r>
          </w:p>
        </w:tc>
      </w:tr>
    </w:tbl>
    <w:p w14:paraId="732269C1" w14:textId="77777777" w:rsidR="001C3A48" w:rsidRDefault="001C3A48" w:rsidP="00627D02">
      <w:pPr>
        <w:sectPr w:rsidR="001C3A48" w:rsidSect="00ED77DC">
          <w:headerReference w:type="even" r:id="rId12"/>
          <w:headerReference w:type="default" r:id="rId13"/>
          <w:footerReference w:type="even" r:id="rId14"/>
          <w:footerReference w:type="default" r:id="rId15"/>
          <w:headerReference w:type="first" r:id="rId16"/>
          <w:footerReference w:type="first" r:id="rId17"/>
          <w:pgSz w:w="11906" w:h="16838"/>
          <w:pgMar w:top="1952" w:right="1440" w:bottom="1440" w:left="1440" w:header="708" w:footer="708" w:gutter="0"/>
          <w:cols w:space="708"/>
          <w:titlePg/>
          <w:docGrid w:linePitch="360"/>
        </w:sectPr>
      </w:pPr>
    </w:p>
    <w:p w14:paraId="009DA874" w14:textId="7785F7BE" w:rsidR="001B1596" w:rsidRPr="005C1670" w:rsidRDefault="001B1596" w:rsidP="00627D02">
      <w:pPr>
        <w:rPr>
          <w:lang w:val="fr-CA"/>
        </w:rPr>
      </w:pPr>
      <w:r w:rsidRPr="005C1670">
        <w:rPr>
          <w:lang w:val="fr-FR"/>
        </w:rPr>
        <w:lastRenderedPageBreak/>
        <w:t>Également disponible en français sous le titre :</w:t>
      </w:r>
      <w:r w:rsidRPr="005C1670">
        <w:rPr>
          <w:lang w:val="fr-FR"/>
        </w:rPr>
        <w:br/>
      </w:r>
      <w:r w:rsidR="005C1670" w:rsidRPr="00627D02">
        <w:rPr>
          <w:lang w:val="fr-FR"/>
        </w:rPr>
        <w:t>Consortium Access : Procédures opérationnelles pour l’Initiative de partage du travail concernant les médicaments génériques (IPTMG)</w:t>
      </w:r>
    </w:p>
    <w:p w14:paraId="2250BADA" w14:textId="77777777" w:rsidR="00627D02" w:rsidRPr="000D1DC3" w:rsidRDefault="00627D02" w:rsidP="00627D02">
      <w:pPr>
        <w:rPr>
          <w:lang w:val="fr-CA"/>
        </w:rPr>
      </w:pPr>
    </w:p>
    <w:p w14:paraId="136C346B" w14:textId="77777777" w:rsidR="001B1596" w:rsidRPr="005C1670" w:rsidRDefault="001B1596" w:rsidP="00627D02">
      <w:r w:rsidRPr="005C1670">
        <w:t xml:space="preserve">This publication may be reproduced for personal or internal use only without permission provided the source is fully acknowledged. </w:t>
      </w:r>
    </w:p>
    <w:p w14:paraId="3923AD76" w14:textId="77777777" w:rsidR="001B1596" w:rsidRPr="005C1670" w:rsidRDefault="001B1596" w:rsidP="00627D02"/>
    <w:p w14:paraId="28C25160" w14:textId="08EE9F31" w:rsidR="001B1596" w:rsidRPr="005C1670" w:rsidRDefault="001B1596" w:rsidP="00627D02">
      <w:r w:rsidRPr="005C1670">
        <w:t xml:space="preserve">Cat.: </w:t>
      </w:r>
      <w:r w:rsidR="005C1670" w:rsidRPr="005C1670">
        <w:t>H164-344/2022E-PDF</w:t>
      </w:r>
      <w:r w:rsidRPr="005C1670">
        <w:br/>
        <w:t xml:space="preserve">ISBN: </w:t>
      </w:r>
      <w:r w:rsidR="005C1670" w:rsidRPr="005C1670">
        <w:t>978-0-660-45703-1</w:t>
      </w:r>
      <w:r w:rsidRPr="005C1670">
        <w:br/>
        <w:t xml:space="preserve">Pub.: </w:t>
      </w:r>
      <w:r w:rsidR="005C1670" w:rsidRPr="005C1670">
        <w:t>220461</w:t>
      </w:r>
    </w:p>
    <w:p w14:paraId="2BB8EABD" w14:textId="77777777" w:rsidR="001B1596" w:rsidRDefault="001B1596" w:rsidP="00627D02"/>
    <w:p w14:paraId="467CB794" w14:textId="77777777" w:rsidR="001B1596" w:rsidRDefault="001B1596" w:rsidP="00627D02">
      <w:pPr>
        <w:sectPr w:rsidR="001B1596" w:rsidSect="00ED77DC">
          <w:pgSz w:w="11906" w:h="16838"/>
          <w:pgMar w:top="1952" w:right="1440" w:bottom="1440" w:left="1440" w:header="708" w:footer="708" w:gutter="0"/>
          <w:cols w:space="708"/>
          <w:titlePg/>
          <w:docGrid w:linePitch="360"/>
        </w:sectPr>
      </w:pPr>
    </w:p>
    <w:sdt>
      <w:sdtPr>
        <w:rPr>
          <w:rFonts w:eastAsiaTheme="minorEastAsia" w:cstheme="minorBidi"/>
          <w:color w:val="auto"/>
          <w:sz w:val="22"/>
          <w:szCs w:val="22"/>
          <w:lang w:val="en-CA"/>
        </w:rPr>
        <w:id w:val="1674066802"/>
        <w:docPartObj>
          <w:docPartGallery w:val="Table of Contents"/>
          <w:docPartUnique/>
        </w:docPartObj>
      </w:sdtPr>
      <w:sdtEndPr>
        <w:rPr>
          <w:b/>
          <w:bCs/>
          <w:noProof/>
        </w:rPr>
      </w:sdtEndPr>
      <w:sdtContent>
        <w:p w14:paraId="08FAC55D" w14:textId="44209AED" w:rsidR="00F91D75" w:rsidRDefault="00F91D75">
          <w:pPr>
            <w:pStyle w:val="TOCHeading"/>
          </w:pPr>
          <w:r>
            <w:t>Table of Contents</w:t>
          </w:r>
        </w:p>
        <w:p w14:paraId="71CC824F" w14:textId="3B1F674E" w:rsidR="00F91D75" w:rsidRDefault="00F91D75" w:rsidP="00F91D75">
          <w:pPr>
            <w:pStyle w:val="TOC1"/>
            <w:rPr>
              <w:rFonts w:asciiTheme="minorHAnsi" w:hAnsiTheme="minorHAnsi"/>
              <w:kern w:val="2"/>
              <w:sz w:val="24"/>
              <w:szCs w:val="24"/>
              <w:lang w:eastAsia="en-CA"/>
              <w14:ligatures w14:val="standardContextual"/>
            </w:rPr>
          </w:pPr>
          <w:r>
            <w:fldChar w:fldCharType="begin"/>
          </w:r>
          <w:r>
            <w:instrText xml:space="preserve"> TOC \o "1-3" \h \z \u </w:instrText>
          </w:r>
          <w:r>
            <w:fldChar w:fldCharType="separate"/>
          </w:r>
          <w:hyperlink w:anchor="_Toc167915930" w:history="1">
            <w:r w:rsidRPr="0065524D">
              <w:rPr>
                <w:rStyle w:val="Hyperlink"/>
              </w:rPr>
              <w:t>Introduction</w:t>
            </w:r>
            <w:r>
              <w:rPr>
                <w:webHidden/>
              </w:rPr>
              <w:tab/>
            </w:r>
            <w:r>
              <w:rPr>
                <w:webHidden/>
              </w:rPr>
              <w:fldChar w:fldCharType="begin"/>
            </w:r>
            <w:r>
              <w:rPr>
                <w:webHidden/>
              </w:rPr>
              <w:instrText xml:space="preserve"> PAGEREF _Toc167915930 \h </w:instrText>
            </w:r>
            <w:r>
              <w:rPr>
                <w:webHidden/>
              </w:rPr>
            </w:r>
            <w:r>
              <w:rPr>
                <w:webHidden/>
              </w:rPr>
              <w:fldChar w:fldCharType="separate"/>
            </w:r>
            <w:r w:rsidR="002C0F2A">
              <w:rPr>
                <w:webHidden/>
              </w:rPr>
              <w:t>1</w:t>
            </w:r>
            <w:r>
              <w:rPr>
                <w:webHidden/>
              </w:rPr>
              <w:fldChar w:fldCharType="end"/>
            </w:r>
          </w:hyperlink>
        </w:p>
        <w:p w14:paraId="4DB0183E" w14:textId="2B4C8D1A" w:rsidR="00F91D75" w:rsidRDefault="00F91D75" w:rsidP="00F91D75">
          <w:pPr>
            <w:pStyle w:val="TOC1"/>
            <w:rPr>
              <w:rFonts w:asciiTheme="minorHAnsi" w:hAnsiTheme="minorHAnsi"/>
              <w:kern w:val="2"/>
              <w:sz w:val="24"/>
              <w:szCs w:val="24"/>
              <w:lang w:eastAsia="en-CA"/>
              <w14:ligatures w14:val="standardContextual"/>
            </w:rPr>
          </w:pPr>
          <w:hyperlink w:anchor="_Toc167915931" w:history="1">
            <w:r w:rsidRPr="0065524D">
              <w:rPr>
                <w:rStyle w:val="Hyperlink"/>
              </w:rPr>
              <w:t>Scope</w:t>
            </w:r>
            <w:r>
              <w:rPr>
                <w:webHidden/>
              </w:rPr>
              <w:tab/>
            </w:r>
            <w:r>
              <w:rPr>
                <w:webHidden/>
              </w:rPr>
              <w:fldChar w:fldCharType="begin"/>
            </w:r>
            <w:r>
              <w:rPr>
                <w:webHidden/>
              </w:rPr>
              <w:instrText xml:space="preserve"> PAGEREF _Toc167915931 \h </w:instrText>
            </w:r>
            <w:r>
              <w:rPr>
                <w:webHidden/>
              </w:rPr>
            </w:r>
            <w:r>
              <w:rPr>
                <w:webHidden/>
              </w:rPr>
              <w:fldChar w:fldCharType="separate"/>
            </w:r>
            <w:r w:rsidR="002C0F2A">
              <w:rPr>
                <w:webHidden/>
              </w:rPr>
              <w:t>1</w:t>
            </w:r>
            <w:r>
              <w:rPr>
                <w:webHidden/>
              </w:rPr>
              <w:fldChar w:fldCharType="end"/>
            </w:r>
          </w:hyperlink>
        </w:p>
        <w:p w14:paraId="779EF2FD" w14:textId="226A5DD1" w:rsidR="00F91D75" w:rsidRDefault="00F91D75" w:rsidP="00F91D75">
          <w:pPr>
            <w:pStyle w:val="TOC1"/>
            <w:rPr>
              <w:rFonts w:asciiTheme="minorHAnsi" w:hAnsiTheme="minorHAnsi"/>
              <w:kern w:val="2"/>
              <w:sz w:val="24"/>
              <w:szCs w:val="24"/>
              <w:lang w:eastAsia="en-CA"/>
              <w14:ligatures w14:val="standardContextual"/>
            </w:rPr>
          </w:pPr>
          <w:hyperlink w:anchor="_Toc167915932" w:history="1">
            <w:r w:rsidRPr="0065524D">
              <w:rPr>
                <w:rStyle w:val="Hyperlink"/>
              </w:rPr>
              <w:t>Application considerations</w:t>
            </w:r>
            <w:r>
              <w:rPr>
                <w:webHidden/>
              </w:rPr>
              <w:tab/>
            </w:r>
            <w:r>
              <w:rPr>
                <w:webHidden/>
              </w:rPr>
              <w:fldChar w:fldCharType="begin"/>
            </w:r>
            <w:r>
              <w:rPr>
                <w:webHidden/>
              </w:rPr>
              <w:instrText xml:space="preserve"> PAGEREF _Toc167915932 \h </w:instrText>
            </w:r>
            <w:r>
              <w:rPr>
                <w:webHidden/>
              </w:rPr>
            </w:r>
            <w:r>
              <w:rPr>
                <w:webHidden/>
              </w:rPr>
              <w:fldChar w:fldCharType="separate"/>
            </w:r>
            <w:r w:rsidR="002C0F2A">
              <w:rPr>
                <w:webHidden/>
              </w:rPr>
              <w:t>1</w:t>
            </w:r>
            <w:r>
              <w:rPr>
                <w:webHidden/>
              </w:rPr>
              <w:fldChar w:fldCharType="end"/>
            </w:r>
          </w:hyperlink>
        </w:p>
        <w:p w14:paraId="27DCC667" w14:textId="71FE5759" w:rsidR="00F91D75" w:rsidRDefault="00F91D75" w:rsidP="00F91D75">
          <w:pPr>
            <w:pStyle w:val="TOC1"/>
            <w:rPr>
              <w:rFonts w:asciiTheme="minorHAnsi" w:hAnsiTheme="minorHAnsi"/>
              <w:kern w:val="2"/>
              <w:sz w:val="24"/>
              <w:szCs w:val="24"/>
              <w:lang w:eastAsia="en-CA"/>
              <w14:ligatures w14:val="standardContextual"/>
            </w:rPr>
          </w:pPr>
          <w:hyperlink w:anchor="_Toc167915933" w:history="1">
            <w:r w:rsidRPr="0065524D">
              <w:rPr>
                <w:rStyle w:val="Hyperlink"/>
              </w:rPr>
              <w:t>Operational approach</w:t>
            </w:r>
            <w:r>
              <w:rPr>
                <w:webHidden/>
              </w:rPr>
              <w:tab/>
            </w:r>
            <w:r>
              <w:rPr>
                <w:webHidden/>
              </w:rPr>
              <w:fldChar w:fldCharType="begin"/>
            </w:r>
            <w:r>
              <w:rPr>
                <w:webHidden/>
              </w:rPr>
              <w:instrText xml:space="preserve"> PAGEREF _Toc167915933 \h </w:instrText>
            </w:r>
            <w:r>
              <w:rPr>
                <w:webHidden/>
              </w:rPr>
            </w:r>
            <w:r>
              <w:rPr>
                <w:webHidden/>
              </w:rPr>
              <w:fldChar w:fldCharType="separate"/>
            </w:r>
            <w:r w:rsidR="002C0F2A">
              <w:rPr>
                <w:webHidden/>
              </w:rPr>
              <w:t>2</w:t>
            </w:r>
            <w:r>
              <w:rPr>
                <w:webHidden/>
              </w:rPr>
              <w:fldChar w:fldCharType="end"/>
            </w:r>
          </w:hyperlink>
        </w:p>
        <w:p w14:paraId="5BB425DF" w14:textId="07CF1B49" w:rsidR="00F91D75" w:rsidRDefault="00F91D75">
          <w:pPr>
            <w:pStyle w:val="TOC2"/>
            <w:rPr>
              <w:rFonts w:asciiTheme="minorHAnsi" w:hAnsiTheme="minorHAnsi"/>
              <w:kern w:val="2"/>
              <w:sz w:val="24"/>
              <w:szCs w:val="24"/>
              <w:lang w:eastAsia="en-CA"/>
              <w14:ligatures w14:val="standardContextual"/>
            </w:rPr>
          </w:pPr>
          <w:hyperlink w:anchor="_Toc167915934" w:history="1">
            <w:r w:rsidRPr="0065524D">
              <w:rPr>
                <w:rStyle w:val="Hyperlink"/>
              </w:rPr>
              <w:t>Pre-submission meeting/teleconference (minimum 2 months in advance)</w:t>
            </w:r>
            <w:r>
              <w:rPr>
                <w:webHidden/>
              </w:rPr>
              <w:tab/>
            </w:r>
            <w:r>
              <w:rPr>
                <w:webHidden/>
              </w:rPr>
              <w:fldChar w:fldCharType="begin"/>
            </w:r>
            <w:r>
              <w:rPr>
                <w:webHidden/>
              </w:rPr>
              <w:instrText xml:space="preserve"> PAGEREF _Toc167915934 \h </w:instrText>
            </w:r>
            <w:r>
              <w:rPr>
                <w:webHidden/>
              </w:rPr>
            </w:r>
            <w:r>
              <w:rPr>
                <w:webHidden/>
              </w:rPr>
              <w:fldChar w:fldCharType="separate"/>
            </w:r>
            <w:r w:rsidR="002C0F2A">
              <w:rPr>
                <w:webHidden/>
              </w:rPr>
              <w:t>2</w:t>
            </w:r>
            <w:r>
              <w:rPr>
                <w:webHidden/>
              </w:rPr>
              <w:fldChar w:fldCharType="end"/>
            </w:r>
          </w:hyperlink>
        </w:p>
        <w:p w14:paraId="291DCEA7" w14:textId="22839271" w:rsidR="00F91D75" w:rsidRDefault="00F91D75">
          <w:pPr>
            <w:pStyle w:val="TOC2"/>
            <w:rPr>
              <w:rFonts w:asciiTheme="minorHAnsi" w:hAnsiTheme="minorHAnsi"/>
              <w:kern w:val="2"/>
              <w:sz w:val="24"/>
              <w:szCs w:val="24"/>
              <w:lang w:eastAsia="en-CA"/>
              <w14:ligatures w14:val="standardContextual"/>
            </w:rPr>
          </w:pPr>
          <w:hyperlink w:anchor="_Toc167915935" w:history="1">
            <w:r w:rsidRPr="0065524D">
              <w:rPr>
                <w:rStyle w:val="Hyperlink"/>
              </w:rPr>
              <w:t>Submitting application (less than 15 days)</w:t>
            </w:r>
            <w:r>
              <w:rPr>
                <w:webHidden/>
              </w:rPr>
              <w:tab/>
            </w:r>
            <w:r>
              <w:rPr>
                <w:webHidden/>
              </w:rPr>
              <w:fldChar w:fldCharType="begin"/>
            </w:r>
            <w:r>
              <w:rPr>
                <w:webHidden/>
              </w:rPr>
              <w:instrText xml:space="preserve"> PAGEREF _Toc167915935 \h </w:instrText>
            </w:r>
            <w:r>
              <w:rPr>
                <w:webHidden/>
              </w:rPr>
            </w:r>
            <w:r>
              <w:rPr>
                <w:webHidden/>
              </w:rPr>
              <w:fldChar w:fldCharType="separate"/>
            </w:r>
            <w:r w:rsidR="002C0F2A">
              <w:rPr>
                <w:webHidden/>
              </w:rPr>
              <w:t>3</w:t>
            </w:r>
            <w:r>
              <w:rPr>
                <w:webHidden/>
              </w:rPr>
              <w:fldChar w:fldCharType="end"/>
            </w:r>
          </w:hyperlink>
        </w:p>
        <w:p w14:paraId="778DB30F" w14:textId="05956262" w:rsidR="00F91D75" w:rsidRDefault="00F91D75">
          <w:pPr>
            <w:pStyle w:val="TOC2"/>
            <w:rPr>
              <w:rFonts w:asciiTheme="minorHAnsi" w:hAnsiTheme="minorHAnsi"/>
              <w:kern w:val="2"/>
              <w:sz w:val="24"/>
              <w:szCs w:val="24"/>
              <w:lang w:eastAsia="en-CA"/>
              <w14:ligatures w14:val="standardContextual"/>
            </w:rPr>
          </w:pPr>
          <w:hyperlink w:anchor="_Toc167915936" w:history="1">
            <w:r w:rsidRPr="0065524D">
              <w:rPr>
                <w:rStyle w:val="Hyperlink"/>
              </w:rPr>
              <w:t>Accepting application (15 days)</w:t>
            </w:r>
            <w:r>
              <w:rPr>
                <w:webHidden/>
              </w:rPr>
              <w:tab/>
            </w:r>
            <w:r>
              <w:rPr>
                <w:webHidden/>
              </w:rPr>
              <w:fldChar w:fldCharType="begin"/>
            </w:r>
            <w:r>
              <w:rPr>
                <w:webHidden/>
              </w:rPr>
              <w:instrText xml:space="preserve"> PAGEREF _Toc167915936 \h </w:instrText>
            </w:r>
            <w:r>
              <w:rPr>
                <w:webHidden/>
              </w:rPr>
            </w:r>
            <w:r>
              <w:rPr>
                <w:webHidden/>
              </w:rPr>
              <w:fldChar w:fldCharType="separate"/>
            </w:r>
            <w:r w:rsidR="002C0F2A">
              <w:rPr>
                <w:webHidden/>
              </w:rPr>
              <w:t>3</w:t>
            </w:r>
            <w:r>
              <w:rPr>
                <w:webHidden/>
              </w:rPr>
              <w:fldChar w:fldCharType="end"/>
            </w:r>
          </w:hyperlink>
        </w:p>
        <w:p w14:paraId="121B30DA" w14:textId="4CC36C2C" w:rsidR="00F91D75" w:rsidRDefault="00F91D75" w:rsidP="00F91D75">
          <w:pPr>
            <w:pStyle w:val="TOC1"/>
            <w:rPr>
              <w:rFonts w:asciiTheme="minorHAnsi" w:hAnsiTheme="minorHAnsi"/>
              <w:kern w:val="2"/>
              <w:sz w:val="24"/>
              <w:szCs w:val="24"/>
              <w:lang w:eastAsia="en-CA"/>
              <w14:ligatures w14:val="standardContextual"/>
            </w:rPr>
          </w:pPr>
          <w:hyperlink w:anchor="_Toc167915937" w:history="1">
            <w:r w:rsidRPr="0065524D">
              <w:rPr>
                <w:rStyle w:val="Hyperlink"/>
              </w:rPr>
              <w:t>Round 1 assessment</w:t>
            </w:r>
            <w:r>
              <w:rPr>
                <w:webHidden/>
              </w:rPr>
              <w:tab/>
            </w:r>
            <w:r>
              <w:rPr>
                <w:webHidden/>
              </w:rPr>
              <w:fldChar w:fldCharType="begin"/>
            </w:r>
            <w:r>
              <w:rPr>
                <w:webHidden/>
              </w:rPr>
              <w:instrText xml:space="preserve"> PAGEREF _Toc167915937 \h </w:instrText>
            </w:r>
            <w:r>
              <w:rPr>
                <w:webHidden/>
              </w:rPr>
            </w:r>
            <w:r>
              <w:rPr>
                <w:webHidden/>
              </w:rPr>
              <w:fldChar w:fldCharType="separate"/>
            </w:r>
            <w:r w:rsidR="002C0F2A">
              <w:rPr>
                <w:webHidden/>
              </w:rPr>
              <w:t>3</w:t>
            </w:r>
            <w:r>
              <w:rPr>
                <w:webHidden/>
              </w:rPr>
              <w:fldChar w:fldCharType="end"/>
            </w:r>
          </w:hyperlink>
        </w:p>
        <w:p w14:paraId="382DCBF9" w14:textId="74F4A066" w:rsidR="00F91D75" w:rsidRDefault="00F91D75">
          <w:pPr>
            <w:pStyle w:val="TOC2"/>
            <w:rPr>
              <w:rFonts w:asciiTheme="minorHAnsi" w:hAnsiTheme="minorHAnsi"/>
              <w:kern w:val="2"/>
              <w:sz w:val="24"/>
              <w:szCs w:val="24"/>
              <w:lang w:eastAsia="en-CA"/>
              <w14:ligatures w14:val="standardContextual"/>
            </w:rPr>
          </w:pPr>
          <w:hyperlink w:anchor="_Toc167915938" w:history="1">
            <w:r w:rsidRPr="0065524D">
              <w:rPr>
                <w:rStyle w:val="Hyperlink"/>
              </w:rPr>
              <w:t>Initial assessment by the RRA (60 days)</w:t>
            </w:r>
            <w:r>
              <w:rPr>
                <w:webHidden/>
              </w:rPr>
              <w:tab/>
            </w:r>
            <w:r>
              <w:rPr>
                <w:webHidden/>
              </w:rPr>
              <w:fldChar w:fldCharType="begin"/>
            </w:r>
            <w:r>
              <w:rPr>
                <w:webHidden/>
              </w:rPr>
              <w:instrText xml:space="preserve"> PAGEREF _Toc167915938 \h </w:instrText>
            </w:r>
            <w:r>
              <w:rPr>
                <w:webHidden/>
              </w:rPr>
            </w:r>
            <w:r>
              <w:rPr>
                <w:webHidden/>
              </w:rPr>
              <w:fldChar w:fldCharType="separate"/>
            </w:r>
            <w:r w:rsidR="002C0F2A">
              <w:rPr>
                <w:webHidden/>
              </w:rPr>
              <w:t>3</w:t>
            </w:r>
            <w:r>
              <w:rPr>
                <w:webHidden/>
              </w:rPr>
              <w:fldChar w:fldCharType="end"/>
            </w:r>
          </w:hyperlink>
        </w:p>
        <w:p w14:paraId="4FF6F2D0" w14:textId="72F5247F" w:rsidR="00F91D75" w:rsidRDefault="00F91D75">
          <w:pPr>
            <w:pStyle w:val="TOC2"/>
            <w:rPr>
              <w:rFonts w:asciiTheme="minorHAnsi" w:hAnsiTheme="minorHAnsi"/>
              <w:kern w:val="2"/>
              <w:sz w:val="24"/>
              <w:szCs w:val="24"/>
              <w:lang w:eastAsia="en-CA"/>
              <w14:ligatures w14:val="standardContextual"/>
            </w:rPr>
          </w:pPr>
          <w:hyperlink w:anchor="_Toc167915939" w:history="1">
            <w:r w:rsidRPr="0065524D">
              <w:rPr>
                <w:rStyle w:val="Hyperlink"/>
              </w:rPr>
              <w:t>Peer review by CRAs (25 days)</w:t>
            </w:r>
            <w:r>
              <w:rPr>
                <w:webHidden/>
              </w:rPr>
              <w:tab/>
            </w:r>
            <w:r>
              <w:rPr>
                <w:webHidden/>
              </w:rPr>
              <w:fldChar w:fldCharType="begin"/>
            </w:r>
            <w:r>
              <w:rPr>
                <w:webHidden/>
              </w:rPr>
              <w:instrText xml:space="preserve"> PAGEREF _Toc167915939 \h </w:instrText>
            </w:r>
            <w:r>
              <w:rPr>
                <w:webHidden/>
              </w:rPr>
            </w:r>
            <w:r>
              <w:rPr>
                <w:webHidden/>
              </w:rPr>
              <w:fldChar w:fldCharType="separate"/>
            </w:r>
            <w:r w:rsidR="002C0F2A">
              <w:rPr>
                <w:webHidden/>
              </w:rPr>
              <w:t>3</w:t>
            </w:r>
            <w:r>
              <w:rPr>
                <w:webHidden/>
              </w:rPr>
              <w:fldChar w:fldCharType="end"/>
            </w:r>
          </w:hyperlink>
        </w:p>
        <w:p w14:paraId="4FCDE9DB" w14:textId="4F5EF9C5" w:rsidR="00F91D75" w:rsidRDefault="00F91D75">
          <w:pPr>
            <w:pStyle w:val="TOC2"/>
            <w:rPr>
              <w:rFonts w:asciiTheme="minorHAnsi" w:hAnsiTheme="minorHAnsi"/>
              <w:kern w:val="2"/>
              <w:sz w:val="24"/>
              <w:szCs w:val="24"/>
              <w:lang w:eastAsia="en-CA"/>
              <w14:ligatures w14:val="standardContextual"/>
            </w:rPr>
          </w:pPr>
          <w:hyperlink w:anchor="_Toc167915940" w:history="1">
            <w:r w:rsidRPr="0065524D">
              <w:rPr>
                <w:rStyle w:val="Hyperlink"/>
              </w:rPr>
              <w:t>Finalising ARs and LoQs (5 days)</w:t>
            </w:r>
            <w:r>
              <w:rPr>
                <w:webHidden/>
              </w:rPr>
              <w:tab/>
            </w:r>
            <w:r>
              <w:rPr>
                <w:webHidden/>
              </w:rPr>
              <w:fldChar w:fldCharType="begin"/>
            </w:r>
            <w:r>
              <w:rPr>
                <w:webHidden/>
              </w:rPr>
              <w:instrText xml:space="preserve"> PAGEREF _Toc167915940 \h </w:instrText>
            </w:r>
            <w:r>
              <w:rPr>
                <w:webHidden/>
              </w:rPr>
            </w:r>
            <w:r>
              <w:rPr>
                <w:webHidden/>
              </w:rPr>
              <w:fldChar w:fldCharType="separate"/>
            </w:r>
            <w:r w:rsidR="002C0F2A">
              <w:rPr>
                <w:webHidden/>
              </w:rPr>
              <w:t>3</w:t>
            </w:r>
            <w:r>
              <w:rPr>
                <w:webHidden/>
              </w:rPr>
              <w:fldChar w:fldCharType="end"/>
            </w:r>
          </w:hyperlink>
        </w:p>
        <w:p w14:paraId="29915DA9" w14:textId="7C03F44D" w:rsidR="00F91D75" w:rsidRDefault="00F91D75">
          <w:pPr>
            <w:pStyle w:val="TOC2"/>
            <w:rPr>
              <w:rFonts w:asciiTheme="minorHAnsi" w:hAnsiTheme="minorHAnsi"/>
              <w:kern w:val="2"/>
              <w:sz w:val="24"/>
              <w:szCs w:val="24"/>
              <w:lang w:eastAsia="en-CA"/>
              <w14:ligatures w14:val="standardContextual"/>
            </w:rPr>
          </w:pPr>
          <w:hyperlink w:anchor="_Toc167915941" w:history="1">
            <w:r w:rsidRPr="0065524D">
              <w:rPr>
                <w:rStyle w:val="Hyperlink"/>
              </w:rPr>
              <w:t>Submitting responses to the LoQ by applicant (30 or 60 days)</w:t>
            </w:r>
            <w:r>
              <w:rPr>
                <w:webHidden/>
              </w:rPr>
              <w:tab/>
            </w:r>
            <w:r>
              <w:rPr>
                <w:webHidden/>
              </w:rPr>
              <w:fldChar w:fldCharType="begin"/>
            </w:r>
            <w:r>
              <w:rPr>
                <w:webHidden/>
              </w:rPr>
              <w:instrText xml:space="preserve"> PAGEREF _Toc167915941 \h </w:instrText>
            </w:r>
            <w:r>
              <w:rPr>
                <w:webHidden/>
              </w:rPr>
            </w:r>
            <w:r>
              <w:rPr>
                <w:webHidden/>
              </w:rPr>
              <w:fldChar w:fldCharType="separate"/>
            </w:r>
            <w:r w:rsidR="002C0F2A">
              <w:rPr>
                <w:webHidden/>
              </w:rPr>
              <w:t>3</w:t>
            </w:r>
            <w:r>
              <w:rPr>
                <w:webHidden/>
              </w:rPr>
              <w:fldChar w:fldCharType="end"/>
            </w:r>
          </w:hyperlink>
        </w:p>
        <w:p w14:paraId="48C2F3D6" w14:textId="6C56B5ED" w:rsidR="00F91D75" w:rsidRDefault="00F91D75" w:rsidP="00F91D75">
          <w:pPr>
            <w:pStyle w:val="TOC1"/>
            <w:rPr>
              <w:rFonts w:asciiTheme="minorHAnsi" w:hAnsiTheme="minorHAnsi"/>
              <w:kern w:val="2"/>
              <w:sz w:val="24"/>
              <w:szCs w:val="24"/>
              <w:lang w:eastAsia="en-CA"/>
              <w14:ligatures w14:val="standardContextual"/>
            </w:rPr>
          </w:pPr>
          <w:hyperlink w:anchor="_Toc167915942" w:history="1">
            <w:r w:rsidRPr="0065524D">
              <w:rPr>
                <w:rStyle w:val="Hyperlink"/>
              </w:rPr>
              <w:t>Round 2 assessment</w:t>
            </w:r>
            <w:r>
              <w:rPr>
                <w:webHidden/>
              </w:rPr>
              <w:tab/>
            </w:r>
            <w:r>
              <w:rPr>
                <w:webHidden/>
              </w:rPr>
              <w:fldChar w:fldCharType="begin"/>
            </w:r>
            <w:r>
              <w:rPr>
                <w:webHidden/>
              </w:rPr>
              <w:instrText xml:space="preserve"> PAGEREF _Toc167915942 \h </w:instrText>
            </w:r>
            <w:r>
              <w:rPr>
                <w:webHidden/>
              </w:rPr>
            </w:r>
            <w:r>
              <w:rPr>
                <w:webHidden/>
              </w:rPr>
              <w:fldChar w:fldCharType="separate"/>
            </w:r>
            <w:r w:rsidR="002C0F2A">
              <w:rPr>
                <w:webHidden/>
              </w:rPr>
              <w:t>4</w:t>
            </w:r>
            <w:r>
              <w:rPr>
                <w:webHidden/>
              </w:rPr>
              <w:fldChar w:fldCharType="end"/>
            </w:r>
          </w:hyperlink>
        </w:p>
        <w:p w14:paraId="7A11319B" w14:textId="496DC1B0" w:rsidR="00F91D75" w:rsidRDefault="00F91D75">
          <w:pPr>
            <w:pStyle w:val="TOC2"/>
            <w:rPr>
              <w:rFonts w:asciiTheme="minorHAnsi" w:hAnsiTheme="minorHAnsi"/>
              <w:kern w:val="2"/>
              <w:sz w:val="24"/>
              <w:szCs w:val="24"/>
              <w:lang w:eastAsia="en-CA"/>
              <w14:ligatures w14:val="standardContextual"/>
            </w:rPr>
          </w:pPr>
          <w:hyperlink w:anchor="_Toc167915943" w:history="1">
            <w:r w:rsidRPr="0065524D">
              <w:rPr>
                <w:rStyle w:val="Hyperlink"/>
              </w:rPr>
              <w:t>Assessing responses to LoQ (30 days)</w:t>
            </w:r>
            <w:r>
              <w:rPr>
                <w:webHidden/>
              </w:rPr>
              <w:tab/>
            </w:r>
            <w:r>
              <w:rPr>
                <w:webHidden/>
              </w:rPr>
              <w:fldChar w:fldCharType="begin"/>
            </w:r>
            <w:r>
              <w:rPr>
                <w:webHidden/>
              </w:rPr>
              <w:instrText xml:space="preserve"> PAGEREF _Toc167915943 \h </w:instrText>
            </w:r>
            <w:r>
              <w:rPr>
                <w:webHidden/>
              </w:rPr>
            </w:r>
            <w:r>
              <w:rPr>
                <w:webHidden/>
              </w:rPr>
              <w:fldChar w:fldCharType="separate"/>
            </w:r>
            <w:r w:rsidR="002C0F2A">
              <w:rPr>
                <w:webHidden/>
              </w:rPr>
              <w:t>4</w:t>
            </w:r>
            <w:r>
              <w:rPr>
                <w:webHidden/>
              </w:rPr>
              <w:fldChar w:fldCharType="end"/>
            </w:r>
          </w:hyperlink>
        </w:p>
        <w:p w14:paraId="00A8F17C" w14:textId="7A306EF3" w:rsidR="00F91D75" w:rsidRDefault="00F91D75">
          <w:pPr>
            <w:pStyle w:val="TOC2"/>
            <w:rPr>
              <w:rFonts w:asciiTheme="minorHAnsi" w:hAnsiTheme="minorHAnsi"/>
              <w:kern w:val="2"/>
              <w:sz w:val="24"/>
              <w:szCs w:val="24"/>
              <w:lang w:eastAsia="en-CA"/>
              <w14:ligatures w14:val="standardContextual"/>
            </w:rPr>
          </w:pPr>
          <w:hyperlink w:anchor="_Toc167915944" w:history="1">
            <w:r w:rsidRPr="0065524D">
              <w:rPr>
                <w:rStyle w:val="Hyperlink"/>
              </w:rPr>
              <w:t>Peer review by CRAs (15 days)</w:t>
            </w:r>
            <w:r>
              <w:rPr>
                <w:webHidden/>
              </w:rPr>
              <w:tab/>
            </w:r>
            <w:r>
              <w:rPr>
                <w:webHidden/>
              </w:rPr>
              <w:fldChar w:fldCharType="begin"/>
            </w:r>
            <w:r>
              <w:rPr>
                <w:webHidden/>
              </w:rPr>
              <w:instrText xml:space="preserve"> PAGEREF _Toc167915944 \h </w:instrText>
            </w:r>
            <w:r>
              <w:rPr>
                <w:webHidden/>
              </w:rPr>
            </w:r>
            <w:r>
              <w:rPr>
                <w:webHidden/>
              </w:rPr>
              <w:fldChar w:fldCharType="separate"/>
            </w:r>
            <w:r w:rsidR="002C0F2A">
              <w:rPr>
                <w:webHidden/>
              </w:rPr>
              <w:t>4</w:t>
            </w:r>
            <w:r>
              <w:rPr>
                <w:webHidden/>
              </w:rPr>
              <w:fldChar w:fldCharType="end"/>
            </w:r>
          </w:hyperlink>
        </w:p>
        <w:p w14:paraId="6C44E45B" w14:textId="162D734C" w:rsidR="00F91D75" w:rsidRDefault="00F91D75">
          <w:pPr>
            <w:pStyle w:val="TOC2"/>
            <w:rPr>
              <w:rFonts w:asciiTheme="minorHAnsi" w:hAnsiTheme="minorHAnsi"/>
              <w:kern w:val="2"/>
              <w:sz w:val="24"/>
              <w:szCs w:val="24"/>
              <w:lang w:eastAsia="en-CA"/>
              <w14:ligatures w14:val="standardContextual"/>
            </w:rPr>
          </w:pPr>
          <w:hyperlink w:anchor="_Toc167915945" w:history="1">
            <w:r w:rsidRPr="0065524D">
              <w:rPr>
                <w:rStyle w:val="Hyperlink"/>
              </w:rPr>
              <w:t>Finalising ARs and additional LoQ (5 days)</w:t>
            </w:r>
            <w:r>
              <w:rPr>
                <w:webHidden/>
              </w:rPr>
              <w:tab/>
            </w:r>
            <w:r>
              <w:rPr>
                <w:webHidden/>
              </w:rPr>
              <w:fldChar w:fldCharType="begin"/>
            </w:r>
            <w:r>
              <w:rPr>
                <w:webHidden/>
              </w:rPr>
              <w:instrText xml:space="preserve"> PAGEREF _Toc167915945 \h </w:instrText>
            </w:r>
            <w:r>
              <w:rPr>
                <w:webHidden/>
              </w:rPr>
            </w:r>
            <w:r>
              <w:rPr>
                <w:webHidden/>
              </w:rPr>
              <w:fldChar w:fldCharType="separate"/>
            </w:r>
            <w:r w:rsidR="002C0F2A">
              <w:rPr>
                <w:webHidden/>
              </w:rPr>
              <w:t>4</w:t>
            </w:r>
            <w:r>
              <w:rPr>
                <w:webHidden/>
              </w:rPr>
              <w:fldChar w:fldCharType="end"/>
            </w:r>
          </w:hyperlink>
        </w:p>
        <w:p w14:paraId="29F96DBF" w14:textId="4B9CDA7B" w:rsidR="00F91D75" w:rsidRDefault="00F91D75">
          <w:pPr>
            <w:pStyle w:val="TOC2"/>
            <w:rPr>
              <w:rFonts w:asciiTheme="minorHAnsi" w:hAnsiTheme="minorHAnsi"/>
              <w:kern w:val="2"/>
              <w:sz w:val="24"/>
              <w:szCs w:val="24"/>
              <w:lang w:eastAsia="en-CA"/>
              <w14:ligatures w14:val="standardContextual"/>
            </w:rPr>
          </w:pPr>
          <w:hyperlink w:anchor="_Toc167915946" w:history="1">
            <w:r w:rsidRPr="0065524D">
              <w:rPr>
                <w:rStyle w:val="Hyperlink"/>
              </w:rPr>
              <w:t>Submitting responses to the additional LoQ (if applicable) (15 days)</w:t>
            </w:r>
            <w:r>
              <w:rPr>
                <w:webHidden/>
              </w:rPr>
              <w:tab/>
            </w:r>
            <w:r>
              <w:rPr>
                <w:webHidden/>
              </w:rPr>
              <w:fldChar w:fldCharType="begin"/>
            </w:r>
            <w:r>
              <w:rPr>
                <w:webHidden/>
              </w:rPr>
              <w:instrText xml:space="preserve"> PAGEREF _Toc167915946 \h </w:instrText>
            </w:r>
            <w:r>
              <w:rPr>
                <w:webHidden/>
              </w:rPr>
            </w:r>
            <w:r>
              <w:rPr>
                <w:webHidden/>
              </w:rPr>
              <w:fldChar w:fldCharType="separate"/>
            </w:r>
            <w:r w:rsidR="002C0F2A">
              <w:rPr>
                <w:webHidden/>
              </w:rPr>
              <w:t>4</w:t>
            </w:r>
            <w:r>
              <w:rPr>
                <w:webHidden/>
              </w:rPr>
              <w:fldChar w:fldCharType="end"/>
            </w:r>
          </w:hyperlink>
        </w:p>
        <w:p w14:paraId="60F412F9" w14:textId="6D5B006C" w:rsidR="00F91D75" w:rsidRDefault="00F91D75" w:rsidP="00F91D75">
          <w:pPr>
            <w:pStyle w:val="TOC1"/>
            <w:rPr>
              <w:rFonts w:asciiTheme="minorHAnsi" w:hAnsiTheme="minorHAnsi"/>
              <w:kern w:val="2"/>
              <w:sz w:val="24"/>
              <w:szCs w:val="24"/>
              <w:lang w:eastAsia="en-CA"/>
              <w14:ligatures w14:val="standardContextual"/>
            </w:rPr>
          </w:pPr>
          <w:hyperlink w:anchor="_Toc167915947" w:history="1">
            <w:r w:rsidRPr="0065524D">
              <w:rPr>
                <w:rStyle w:val="Hyperlink"/>
              </w:rPr>
              <w:t>Round 3 assessment (if applicable)</w:t>
            </w:r>
            <w:r>
              <w:rPr>
                <w:webHidden/>
              </w:rPr>
              <w:tab/>
            </w:r>
            <w:r>
              <w:rPr>
                <w:webHidden/>
              </w:rPr>
              <w:fldChar w:fldCharType="begin"/>
            </w:r>
            <w:r>
              <w:rPr>
                <w:webHidden/>
              </w:rPr>
              <w:instrText xml:space="preserve"> PAGEREF _Toc167915947 \h </w:instrText>
            </w:r>
            <w:r>
              <w:rPr>
                <w:webHidden/>
              </w:rPr>
            </w:r>
            <w:r>
              <w:rPr>
                <w:webHidden/>
              </w:rPr>
              <w:fldChar w:fldCharType="separate"/>
            </w:r>
            <w:r w:rsidR="002C0F2A">
              <w:rPr>
                <w:webHidden/>
              </w:rPr>
              <w:t>4</w:t>
            </w:r>
            <w:r>
              <w:rPr>
                <w:webHidden/>
              </w:rPr>
              <w:fldChar w:fldCharType="end"/>
            </w:r>
          </w:hyperlink>
        </w:p>
        <w:p w14:paraId="0E88CB74" w14:textId="55CE45E1" w:rsidR="00F91D75" w:rsidRDefault="00F91D75">
          <w:pPr>
            <w:pStyle w:val="TOC2"/>
            <w:rPr>
              <w:rFonts w:asciiTheme="minorHAnsi" w:hAnsiTheme="minorHAnsi"/>
              <w:kern w:val="2"/>
              <w:sz w:val="24"/>
              <w:szCs w:val="24"/>
              <w:lang w:eastAsia="en-CA"/>
              <w14:ligatures w14:val="standardContextual"/>
            </w:rPr>
          </w:pPr>
          <w:hyperlink w:anchor="_Toc167915948" w:history="1">
            <w:r w:rsidRPr="0065524D">
              <w:rPr>
                <w:rStyle w:val="Hyperlink"/>
              </w:rPr>
              <w:t>Assessing responses to the additional LoQ (15 days)</w:t>
            </w:r>
            <w:r>
              <w:rPr>
                <w:webHidden/>
              </w:rPr>
              <w:tab/>
            </w:r>
            <w:r>
              <w:rPr>
                <w:webHidden/>
              </w:rPr>
              <w:fldChar w:fldCharType="begin"/>
            </w:r>
            <w:r>
              <w:rPr>
                <w:webHidden/>
              </w:rPr>
              <w:instrText xml:space="preserve"> PAGEREF _Toc167915948 \h </w:instrText>
            </w:r>
            <w:r>
              <w:rPr>
                <w:webHidden/>
              </w:rPr>
            </w:r>
            <w:r>
              <w:rPr>
                <w:webHidden/>
              </w:rPr>
              <w:fldChar w:fldCharType="separate"/>
            </w:r>
            <w:r w:rsidR="002C0F2A">
              <w:rPr>
                <w:webHidden/>
              </w:rPr>
              <w:t>4</w:t>
            </w:r>
            <w:r>
              <w:rPr>
                <w:webHidden/>
              </w:rPr>
              <w:fldChar w:fldCharType="end"/>
            </w:r>
          </w:hyperlink>
        </w:p>
        <w:p w14:paraId="30F1D152" w14:textId="078CF889" w:rsidR="00F91D75" w:rsidRDefault="00F91D75">
          <w:pPr>
            <w:pStyle w:val="TOC2"/>
            <w:rPr>
              <w:rFonts w:asciiTheme="minorHAnsi" w:hAnsiTheme="minorHAnsi"/>
              <w:kern w:val="2"/>
              <w:sz w:val="24"/>
              <w:szCs w:val="24"/>
              <w:lang w:eastAsia="en-CA"/>
              <w14:ligatures w14:val="standardContextual"/>
            </w:rPr>
          </w:pPr>
          <w:hyperlink w:anchor="_Toc167915949" w:history="1">
            <w:r w:rsidRPr="0065524D">
              <w:rPr>
                <w:rStyle w:val="Hyperlink"/>
              </w:rPr>
              <w:t>Peer review of responses by the CRAs, finalising the ARs and additional LoQ (if applicable) (5 days)</w:t>
            </w:r>
            <w:r>
              <w:rPr>
                <w:webHidden/>
              </w:rPr>
              <w:tab/>
            </w:r>
            <w:r>
              <w:rPr>
                <w:webHidden/>
              </w:rPr>
              <w:fldChar w:fldCharType="begin"/>
            </w:r>
            <w:r>
              <w:rPr>
                <w:webHidden/>
              </w:rPr>
              <w:instrText xml:space="preserve"> PAGEREF _Toc167915949 \h </w:instrText>
            </w:r>
            <w:r>
              <w:rPr>
                <w:webHidden/>
              </w:rPr>
            </w:r>
            <w:r>
              <w:rPr>
                <w:webHidden/>
              </w:rPr>
              <w:fldChar w:fldCharType="separate"/>
            </w:r>
            <w:r w:rsidR="002C0F2A">
              <w:rPr>
                <w:webHidden/>
              </w:rPr>
              <w:t>4</w:t>
            </w:r>
            <w:r>
              <w:rPr>
                <w:webHidden/>
              </w:rPr>
              <w:fldChar w:fldCharType="end"/>
            </w:r>
          </w:hyperlink>
        </w:p>
        <w:p w14:paraId="47F808C3" w14:textId="6F0D39E8" w:rsidR="00F91D75" w:rsidRDefault="00F91D75" w:rsidP="00F91D75">
          <w:pPr>
            <w:pStyle w:val="TOC1"/>
            <w:rPr>
              <w:rFonts w:asciiTheme="minorHAnsi" w:hAnsiTheme="minorHAnsi"/>
              <w:kern w:val="2"/>
              <w:sz w:val="24"/>
              <w:szCs w:val="24"/>
              <w:lang w:eastAsia="en-CA"/>
              <w14:ligatures w14:val="standardContextual"/>
            </w:rPr>
          </w:pPr>
          <w:hyperlink w:anchor="_Toc167915950" w:history="1">
            <w:r w:rsidRPr="0065524D">
              <w:rPr>
                <w:rStyle w:val="Hyperlink"/>
              </w:rPr>
              <w:t>National steps</w:t>
            </w:r>
            <w:r>
              <w:rPr>
                <w:webHidden/>
              </w:rPr>
              <w:tab/>
            </w:r>
            <w:r>
              <w:rPr>
                <w:webHidden/>
              </w:rPr>
              <w:fldChar w:fldCharType="begin"/>
            </w:r>
            <w:r>
              <w:rPr>
                <w:webHidden/>
              </w:rPr>
              <w:instrText xml:space="preserve"> PAGEREF _Toc167915950 \h </w:instrText>
            </w:r>
            <w:r>
              <w:rPr>
                <w:webHidden/>
              </w:rPr>
            </w:r>
            <w:r>
              <w:rPr>
                <w:webHidden/>
              </w:rPr>
              <w:fldChar w:fldCharType="separate"/>
            </w:r>
            <w:r w:rsidR="002C0F2A">
              <w:rPr>
                <w:webHidden/>
              </w:rPr>
              <w:t>4</w:t>
            </w:r>
            <w:r>
              <w:rPr>
                <w:webHidden/>
              </w:rPr>
              <w:fldChar w:fldCharType="end"/>
            </w:r>
          </w:hyperlink>
        </w:p>
        <w:p w14:paraId="1174EFBE" w14:textId="0DF9FC85" w:rsidR="00F91D75" w:rsidRDefault="00F91D75" w:rsidP="00F91D75">
          <w:pPr>
            <w:pStyle w:val="TOC1"/>
            <w:rPr>
              <w:rFonts w:asciiTheme="minorHAnsi" w:hAnsiTheme="minorHAnsi"/>
              <w:kern w:val="2"/>
              <w:sz w:val="24"/>
              <w:szCs w:val="24"/>
              <w:lang w:eastAsia="en-CA"/>
              <w14:ligatures w14:val="standardContextual"/>
            </w:rPr>
          </w:pPr>
          <w:hyperlink w:anchor="_Toc167915951" w:history="1">
            <w:r w:rsidRPr="0065524D">
              <w:rPr>
                <w:rStyle w:val="Hyperlink"/>
              </w:rPr>
              <w:t>Related links</w:t>
            </w:r>
            <w:r>
              <w:rPr>
                <w:webHidden/>
              </w:rPr>
              <w:tab/>
            </w:r>
            <w:r>
              <w:rPr>
                <w:webHidden/>
              </w:rPr>
              <w:fldChar w:fldCharType="begin"/>
            </w:r>
            <w:r>
              <w:rPr>
                <w:webHidden/>
              </w:rPr>
              <w:instrText xml:space="preserve"> PAGEREF _Toc167915951 \h </w:instrText>
            </w:r>
            <w:r>
              <w:rPr>
                <w:webHidden/>
              </w:rPr>
            </w:r>
            <w:r>
              <w:rPr>
                <w:webHidden/>
              </w:rPr>
              <w:fldChar w:fldCharType="separate"/>
            </w:r>
            <w:r w:rsidR="002C0F2A">
              <w:rPr>
                <w:webHidden/>
              </w:rPr>
              <w:t>6</w:t>
            </w:r>
            <w:r>
              <w:rPr>
                <w:webHidden/>
              </w:rPr>
              <w:fldChar w:fldCharType="end"/>
            </w:r>
          </w:hyperlink>
        </w:p>
        <w:p w14:paraId="4E1E09C4" w14:textId="599ABDCA" w:rsidR="00F91D75" w:rsidRDefault="00F91D75" w:rsidP="00F91D75">
          <w:pPr>
            <w:pStyle w:val="TOC1"/>
            <w:rPr>
              <w:rFonts w:asciiTheme="minorHAnsi" w:hAnsiTheme="minorHAnsi"/>
              <w:kern w:val="2"/>
              <w:sz w:val="24"/>
              <w:szCs w:val="24"/>
              <w:lang w:eastAsia="en-CA"/>
              <w14:ligatures w14:val="standardContextual"/>
            </w:rPr>
          </w:pPr>
          <w:hyperlink w:anchor="_Toc167915952" w:history="1">
            <w:r w:rsidRPr="0065524D">
              <w:rPr>
                <w:rStyle w:val="Hyperlink"/>
              </w:rPr>
              <w:t>Appendix 1:  Access countries that will accept a previously conducted bioequivalence (BE) study using a Foreign Comparator Product (FCP)</w:t>
            </w:r>
            <w:r>
              <w:rPr>
                <w:webHidden/>
              </w:rPr>
              <w:tab/>
            </w:r>
            <w:r>
              <w:rPr>
                <w:webHidden/>
              </w:rPr>
              <w:fldChar w:fldCharType="begin"/>
            </w:r>
            <w:r>
              <w:rPr>
                <w:webHidden/>
              </w:rPr>
              <w:instrText xml:space="preserve"> PAGEREF _Toc167915952 \h </w:instrText>
            </w:r>
            <w:r>
              <w:rPr>
                <w:webHidden/>
              </w:rPr>
            </w:r>
            <w:r>
              <w:rPr>
                <w:webHidden/>
              </w:rPr>
              <w:fldChar w:fldCharType="separate"/>
            </w:r>
            <w:r w:rsidR="002C0F2A">
              <w:rPr>
                <w:webHidden/>
              </w:rPr>
              <w:t>7</w:t>
            </w:r>
            <w:r>
              <w:rPr>
                <w:webHidden/>
              </w:rPr>
              <w:fldChar w:fldCharType="end"/>
            </w:r>
          </w:hyperlink>
        </w:p>
        <w:p w14:paraId="71697174" w14:textId="7C04DD01" w:rsidR="00F91D75" w:rsidRDefault="00F91D75" w:rsidP="00F91D75">
          <w:pPr>
            <w:pStyle w:val="TOC1"/>
            <w:rPr>
              <w:rFonts w:asciiTheme="minorHAnsi" w:hAnsiTheme="minorHAnsi"/>
              <w:kern w:val="2"/>
              <w:sz w:val="24"/>
              <w:szCs w:val="24"/>
              <w:lang w:eastAsia="en-CA"/>
              <w14:ligatures w14:val="standardContextual"/>
            </w:rPr>
          </w:pPr>
          <w:hyperlink w:anchor="_Toc167915953" w:history="1">
            <w:r w:rsidRPr="0065524D">
              <w:rPr>
                <w:rStyle w:val="Hyperlink"/>
                <w:lang w:val="en-GB"/>
              </w:rPr>
              <w:t>Appendix 2: Current regulatory requirements regarding the acceptance of Foreign Comparator Products (FCPs)</w:t>
            </w:r>
            <w:r>
              <w:rPr>
                <w:webHidden/>
              </w:rPr>
              <w:tab/>
            </w:r>
            <w:r>
              <w:rPr>
                <w:webHidden/>
              </w:rPr>
              <w:fldChar w:fldCharType="begin"/>
            </w:r>
            <w:r>
              <w:rPr>
                <w:webHidden/>
              </w:rPr>
              <w:instrText xml:space="preserve"> PAGEREF _Toc167915953 \h </w:instrText>
            </w:r>
            <w:r>
              <w:rPr>
                <w:webHidden/>
              </w:rPr>
            </w:r>
            <w:r>
              <w:rPr>
                <w:webHidden/>
              </w:rPr>
              <w:fldChar w:fldCharType="separate"/>
            </w:r>
            <w:r w:rsidR="002C0F2A">
              <w:rPr>
                <w:webHidden/>
              </w:rPr>
              <w:t>22</w:t>
            </w:r>
            <w:r>
              <w:rPr>
                <w:webHidden/>
              </w:rPr>
              <w:fldChar w:fldCharType="end"/>
            </w:r>
          </w:hyperlink>
        </w:p>
        <w:p w14:paraId="17724246" w14:textId="75325364" w:rsidR="00F91D75" w:rsidRDefault="00F91D75">
          <w:r>
            <w:rPr>
              <w:b/>
              <w:bCs/>
              <w:noProof/>
            </w:rPr>
            <w:fldChar w:fldCharType="end"/>
          </w:r>
        </w:p>
      </w:sdtContent>
    </w:sdt>
    <w:p w14:paraId="41B88A9E" w14:textId="40ACF696" w:rsidR="001B1596" w:rsidRPr="001B1596" w:rsidRDefault="001B1596" w:rsidP="00627D02">
      <w:pPr>
        <w:sectPr w:rsidR="001B1596" w:rsidRPr="001B1596" w:rsidSect="00ED77DC">
          <w:headerReference w:type="first" r:id="rId18"/>
          <w:footerReference w:type="first" r:id="rId19"/>
          <w:pgSz w:w="11906" w:h="16838"/>
          <w:pgMar w:top="1952" w:right="1440" w:bottom="1440" w:left="1440" w:header="708" w:footer="708" w:gutter="0"/>
          <w:pgNumType w:fmt="lowerRoman" w:start="1"/>
          <w:cols w:space="708"/>
          <w:titlePg/>
          <w:docGrid w:linePitch="360"/>
        </w:sectPr>
      </w:pPr>
    </w:p>
    <w:p w14:paraId="23BA5A21" w14:textId="7E231735" w:rsidR="00AD7E4E" w:rsidRPr="00627D02" w:rsidRDefault="6BA6688C" w:rsidP="00627D02">
      <w:pPr>
        <w:pStyle w:val="Heading1"/>
      </w:pPr>
      <w:bookmarkStart w:id="1" w:name="_Toc167915930"/>
      <w:r w:rsidRPr="00627D02">
        <w:lastRenderedPageBreak/>
        <w:t>Introduction</w:t>
      </w:r>
      <w:bookmarkEnd w:id="1"/>
    </w:p>
    <w:p w14:paraId="1EE212DA" w14:textId="77777777" w:rsidR="001C3A48" w:rsidRPr="00627D02" w:rsidRDefault="001C3A48" w:rsidP="00627D02">
      <w:r w:rsidRPr="001C3A48">
        <w:t>This document outlines operational procedures and recommendations for planning and implementing the Generic Medicines Work-sharing Initiative (GMWSI) for the regulatory agencies within the Access Consortium. The agencies are:</w:t>
      </w:r>
    </w:p>
    <w:p w14:paraId="61F9EAFE" w14:textId="77777777" w:rsidR="001C3A48" w:rsidRPr="001C3A48" w:rsidRDefault="001C3A48" w:rsidP="00627D02">
      <w:pPr>
        <w:pStyle w:val="ListParagraph"/>
        <w:numPr>
          <w:ilvl w:val="0"/>
          <w:numId w:val="8"/>
        </w:numPr>
      </w:pPr>
      <w:r w:rsidRPr="001C3A48">
        <w:t>Therapeutic Goods Administration (TGA), Australia</w:t>
      </w:r>
    </w:p>
    <w:p w14:paraId="4BB8FC26" w14:textId="77777777" w:rsidR="001C3A48" w:rsidRPr="001C3A48" w:rsidRDefault="001C3A48" w:rsidP="00627D02">
      <w:pPr>
        <w:pStyle w:val="ListParagraph"/>
        <w:numPr>
          <w:ilvl w:val="0"/>
          <w:numId w:val="8"/>
        </w:numPr>
      </w:pPr>
      <w:r w:rsidRPr="001C3A48">
        <w:t>Health Canada (HC), Canada</w:t>
      </w:r>
    </w:p>
    <w:p w14:paraId="12AE0A89" w14:textId="77777777" w:rsidR="001C3A48" w:rsidRPr="001C3A48" w:rsidRDefault="001C3A48" w:rsidP="00627D02">
      <w:pPr>
        <w:pStyle w:val="ListParagraph"/>
        <w:numPr>
          <w:ilvl w:val="0"/>
          <w:numId w:val="8"/>
        </w:numPr>
      </w:pPr>
      <w:r w:rsidRPr="001C3A48">
        <w:t>Health Sciences Authority (HSA), Singapore</w:t>
      </w:r>
    </w:p>
    <w:p w14:paraId="39D6DD3F" w14:textId="77777777" w:rsidR="001C3A48" w:rsidRPr="001C3A48" w:rsidRDefault="001C3A48" w:rsidP="00627D02">
      <w:pPr>
        <w:pStyle w:val="ListParagraph"/>
        <w:numPr>
          <w:ilvl w:val="0"/>
          <w:numId w:val="8"/>
        </w:numPr>
      </w:pPr>
      <w:proofErr w:type="spellStart"/>
      <w:r w:rsidRPr="001C3A48">
        <w:t>Swissmedic</w:t>
      </w:r>
      <w:proofErr w:type="spellEnd"/>
      <w:r w:rsidRPr="001C3A48">
        <w:t xml:space="preserve"> (SMC), Switzerland</w:t>
      </w:r>
    </w:p>
    <w:p w14:paraId="02F28B90" w14:textId="77777777" w:rsidR="001C3A48" w:rsidRPr="001C3A48" w:rsidRDefault="001C3A48" w:rsidP="00627D02">
      <w:pPr>
        <w:pStyle w:val="ListParagraph"/>
        <w:numPr>
          <w:ilvl w:val="0"/>
          <w:numId w:val="8"/>
        </w:numPr>
      </w:pPr>
      <w:r w:rsidRPr="001C3A48">
        <w:t>Medicines and Healthcare products Regulatory Agency (MHRA), United Kingdom</w:t>
      </w:r>
    </w:p>
    <w:p w14:paraId="2DE0C657" w14:textId="77777777" w:rsidR="001C3A48" w:rsidRPr="001C3A48" w:rsidRDefault="001C3A48" w:rsidP="00627D02">
      <w:r w:rsidRPr="001C3A48">
        <w:t>The initiative is based on Europe’s decentralized procedure, where 1 agency acts as a reference regulatory agency (RRA) and will evaluate Modules 2 to 5. Each participating agency acts as a concerned regulatory agency (CRA) and, with the RRA, evaluates their respective module 1. The CRAs peer review the assessment reports (ARs) and the proposed List of Questions (</w:t>
      </w:r>
      <w:proofErr w:type="spellStart"/>
      <w:r w:rsidRPr="001C3A48">
        <w:t>LoQ</w:t>
      </w:r>
      <w:proofErr w:type="spellEnd"/>
      <w:r w:rsidRPr="001C3A48">
        <w:t>) provided by the RRA on Modules 2 to 5, consult the modules where necessary and provide supplementary comments as needed.</w:t>
      </w:r>
    </w:p>
    <w:p w14:paraId="2325C5D6" w14:textId="77777777" w:rsidR="001C3A48" w:rsidRPr="001C3A48" w:rsidRDefault="001C3A48" w:rsidP="00627D02">
      <w:r w:rsidRPr="001C3A48">
        <w:t>Each agency makes its own decision based on the recommendations made in the ARs. If, during the process, the participating agencies are unable to reconcile issues with the data, the agencies may seek additional information and undertake further independent review.</w:t>
      </w:r>
    </w:p>
    <w:p w14:paraId="7B235F22" w14:textId="77777777" w:rsidR="001C3A48" w:rsidRPr="001C3A48" w:rsidRDefault="001C3A48" w:rsidP="00627D02">
      <w:pPr>
        <w:pStyle w:val="Heading1"/>
      </w:pPr>
      <w:bookmarkStart w:id="2" w:name="_Toc167915931"/>
      <w:r w:rsidRPr="001C3A48">
        <w:t>Scope</w:t>
      </w:r>
      <w:bookmarkEnd w:id="2"/>
    </w:p>
    <w:p w14:paraId="170584A1" w14:textId="77777777" w:rsidR="001C3A48" w:rsidRPr="001C3A48" w:rsidRDefault="001C3A48" w:rsidP="00627D02">
      <w:r w:rsidRPr="001C3A48">
        <w:t>To be considered for this initiative, the proposed product should be regarded as a generic product by all the participating agencies. All pharmaceutical (dosage) forms are eligible.</w:t>
      </w:r>
    </w:p>
    <w:p w14:paraId="49BDCFE8" w14:textId="77777777" w:rsidR="001C3A48" w:rsidRPr="001C3A48" w:rsidRDefault="001C3A48" w:rsidP="00627D02">
      <w:pPr>
        <w:pStyle w:val="Heading1"/>
      </w:pPr>
      <w:bookmarkStart w:id="3" w:name="_Toc167915932"/>
      <w:r w:rsidRPr="001C3A48">
        <w:t>Application considerations</w:t>
      </w:r>
      <w:bookmarkEnd w:id="3"/>
    </w:p>
    <w:p w14:paraId="11DDD2B2" w14:textId="77777777" w:rsidR="001C3A48" w:rsidRPr="001C3A48" w:rsidRDefault="001C3A48" w:rsidP="00627D02">
      <w:r w:rsidRPr="001C3A48">
        <w:t>An applicant wishing to participate in this innovative work-sharing initiative must submit an Expression of Interest (EoI) form to each agency proposed for this initiative. The applicant should submit this form at least 3 months before the planned submission date.</w:t>
      </w:r>
    </w:p>
    <w:p w14:paraId="05E8C139" w14:textId="77777777" w:rsidR="001C3A48" w:rsidRPr="001C3A48" w:rsidRDefault="001C3A48" w:rsidP="00627D02">
      <w:r w:rsidRPr="001C3A48">
        <w:t>Applications for this initiative should be submitted at the same time to at least 2 of the Access Consortium members.</w:t>
      </w:r>
    </w:p>
    <w:p w14:paraId="4D4950EB" w14:textId="77777777" w:rsidR="001C3A48" w:rsidRPr="001C3A48" w:rsidRDefault="001C3A48" w:rsidP="00627D02">
      <w:r w:rsidRPr="001C3A48">
        <w:t xml:space="preserve">The applicant should submit the same Modules 2 to 5 to </w:t>
      </w:r>
      <w:proofErr w:type="gramStart"/>
      <w:r w:rsidRPr="001C3A48">
        <w:t>all of</w:t>
      </w:r>
      <w:proofErr w:type="gramEnd"/>
      <w:r w:rsidRPr="001C3A48">
        <w:t xml:space="preserve"> the agencies involved in the initiative. However, there may be </w:t>
      </w:r>
      <w:r w:rsidRPr="001C3A48">
        <w:rPr>
          <w:b/>
          <w:bCs/>
        </w:rPr>
        <w:t>minor</w:t>
      </w:r>
      <w:r w:rsidRPr="001C3A48">
        <w:t> differences in the applications submitted to the various agencies participating in the initiative. For example, there may be differences in packaging formats such as bottles versus unit dose blisters. </w:t>
      </w:r>
      <w:r w:rsidRPr="001C3A48">
        <w:rPr>
          <w:b/>
          <w:bCs/>
        </w:rPr>
        <w:t>Major</w:t>
      </w:r>
      <w:r w:rsidRPr="001C3A48">
        <w:t> differences between applications may make the work-sharing process more complicated, which may delay the assessment process. For example, submitting multiple studies using different comparator products would be considered a major difference.</w:t>
      </w:r>
    </w:p>
    <w:p w14:paraId="10B21D78" w14:textId="77777777" w:rsidR="001C3A48" w:rsidRPr="001C3A48" w:rsidRDefault="001C3A48" w:rsidP="00627D02">
      <w:r w:rsidRPr="001C3A48">
        <w:t>If there are minor differences between datasets, the applicant should provide a ‘Summary of Differences’ table. This table is part of the EoI form. The table should outline the differences in the quality and bioequivalence study information provided to each participating agency. The Access agencies will discuss these differences and determine if the application is suitable for GMWSI.</w:t>
      </w:r>
    </w:p>
    <w:p w14:paraId="1C212CC2" w14:textId="572A835D" w:rsidR="001C3A48" w:rsidRPr="001C3A48" w:rsidRDefault="001C3A48" w:rsidP="00627D02">
      <w:r w:rsidRPr="001C3A48">
        <w:t>Please note that all Access agencies accept the use of foreign comparator products in bioequivalence studies. Therefore, for submissions requiring clinical equivalence (whether pharmacokinetic bioequivalence or therapeutic equivalence), it may be possible to use a single comparator product, along with country-specific justifications for using the foreign comparator product</w:t>
      </w:r>
      <w:r w:rsidR="00B16835">
        <w:t xml:space="preserve">. </w:t>
      </w:r>
      <w:r w:rsidR="00B16835" w:rsidRPr="00B16835">
        <w:t xml:space="preserve">For further </w:t>
      </w:r>
      <w:r w:rsidR="00B16835" w:rsidRPr="00B16835">
        <w:lastRenderedPageBreak/>
        <w:t xml:space="preserve">information on </w:t>
      </w:r>
      <w:r w:rsidR="003F1B11">
        <w:t xml:space="preserve">the </w:t>
      </w:r>
      <w:r w:rsidR="00B16835" w:rsidRPr="00B16835">
        <w:t xml:space="preserve">acceptability of a foreign comparator product in each Access </w:t>
      </w:r>
      <w:r w:rsidR="003B0488">
        <w:t>jurisdiction</w:t>
      </w:r>
      <w:r w:rsidR="00B16835" w:rsidRPr="00B16835">
        <w:t xml:space="preserve"> please see Appendix 1: Access countries that will accept a previously conducted bioequivalence (BE) study using a Foreign Comparator Product (FCP), and Appendix 2: Current regulatory requirements regarding the acceptance of </w:t>
      </w:r>
      <w:r w:rsidR="003F1B11" w:rsidRPr="00B16835">
        <w:t xml:space="preserve">Foreign </w:t>
      </w:r>
      <w:r w:rsidR="003F1B11">
        <w:t>Comparator</w:t>
      </w:r>
      <w:r w:rsidR="003F1B11" w:rsidRPr="00B16835">
        <w:t xml:space="preserve"> Products</w:t>
      </w:r>
      <w:r w:rsidR="00B16835" w:rsidRPr="00B16835">
        <w:t>.</w:t>
      </w:r>
      <w:r w:rsidR="00B16835">
        <w:rPr>
          <w:lang w:val="en-GB"/>
        </w:rPr>
        <w:t xml:space="preserve">  </w:t>
      </w:r>
      <w:r w:rsidR="000C44DE">
        <w:t>Additional information</w:t>
      </w:r>
      <w:r w:rsidR="00527005">
        <w:t xml:space="preserve"> and references are</w:t>
      </w:r>
      <w:r w:rsidR="000C44DE">
        <w:t xml:space="preserve"> also included in </w:t>
      </w:r>
      <w:r w:rsidRPr="001C3A48">
        <w:t xml:space="preserve">the section </w:t>
      </w:r>
      <w:r w:rsidR="00527005">
        <w:t>Related Links</w:t>
      </w:r>
      <w:r w:rsidR="00323BA9">
        <w:t xml:space="preserve"> </w:t>
      </w:r>
      <w:r w:rsidR="00527005">
        <w:t>below</w:t>
      </w:r>
      <w:r w:rsidRPr="001C3A48">
        <w:t>.  </w:t>
      </w:r>
    </w:p>
    <w:p w14:paraId="3FBECFBD" w14:textId="2449DFFA" w:rsidR="001C3A48" w:rsidRPr="001C3A48" w:rsidRDefault="001C3A48" w:rsidP="00627D02">
      <w:r w:rsidRPr="001C3A48">
        <w:t xml:space="preserve">Also note that Module 1 is specific to each </w:t>
      </w:r>
      <w:r w:rsidR="003B0488">
        <w:t>Access agency</w:t>
      </w:r>
      <w:r w:rsidRPr="001C3A48">
        <w:t>. Thus, it will continue to be different for the applications filed in the different Access jurisdictions (as per national requirements).</w:t>
      </w:r>
    </w:p>
    <w:p w14:paraId="16346785" w14:textId="77777777" w:rsidR="001C3A48" w:rsidRPr="001C3A48" w:rsidRDefault="001C3A48" w:rsidP="00627D02">
      <w:r w:rsidRPr="001C3A48">
        <w:t>Although an applicant may propose a preferred RRA, the Access agencies will ultimately determine the RRA and CRAs for any submission. The agencies base their decision on factors such as the Access Consortium’s operational needs.</w:t>
      </w:r>
    </w:p>
    <w:p w14:paraId="73741555" w14:textId="77777777" w:rsidR="001C3A48" w:rsidRPr="001C3A48" w:rsidRDefault="001C3A48" w:rsidP="00627D02">
      <w:r w:rsidRPr="001C3A48">
        <w:t xml:space="preserve">In general, 1 agency (the RRA) will perform the </w:t>
      </w:r>
      <w:proofErr w:type="gramStart"/>
      <w:r w:rsidRPr="001C3A48">
        <w:t>evaluation</w:t>
      </w:r>
      <w:proofErr w:type="gramEnd"/>
      <w:r w:rsidRPr="001C3A48">
        <w:t xml:space="preserve"> and the other participating agencies will act as CRAs. However, in some cases, the application may be split up, with multiple agencies doing the initial assessment. The roles of each participating agency will be determined in line with operational requirements.</w:t>
      </w:r>
    </w:p>
    <w:p w14:paraId="47634AAD" w14:textId="77777777" w:rsidR="001C3A48" w:rsidRPr="001C3A48" w:rsidRDefault="001C3A48" w:rsidP="00627D02">
      <w:r w:rsidRPr="001C3A48">
        <w:t xml:space="preserve">In the EoI, the applicant should indicate their preferred timeframe for submitting their responses to the </w:t>
      </w:r>
      <w:proofErr w:type="spellStart"/>
      <w:r w:rsidRPr="001C3A48">
        <w:t>LoQs</w:t>
      </w:r>
      <w:proofErr w:type="spellEnd"/>
      <w:r w:rsidRPr="001C3A48">
        <w:t xml:space="preserve"> provided by the agencies. The timeframe should be either 30 or 60 calendar days.</w:t>
      </w:r>
    </w:p>
    <w:p w14:paraId="47349ECC" w14:textId="77777777" w:rsidR="001C3A48" w:rsidRPr="001C3A48" w:rsidRDefault="001C3A48" w:rsidP="00627D02">
      <w:r w:rsidRPr="001C3A48">
        <w:t>Applications should fully address the requirements of all jurisdictions to be included in the procedure. Applicants should also acknowledge that they will need to work collaboratively with the agencies. While a single application that covers broader issues for more than 1 agency may seem more onerous, it will ultimately reduce the overall regulatory burden.</w:t>
      </w:r>
    </w:p>
    <w:p w14:paraId="48BCCAAE" w14:textId="77777777" w:rsidR="001C3A48" w:rsidRPr="001C3A48" w:rsidRDefault="001C3A48" w:rsidP="00627D02">
      <w:pPr>
        <w:pStyle w:val="Heading1"/>
      </w:pPr>
      <w:bookmarkStart w:id="4" w:name="_Toc167915933"/>
      <w:r w:rsidRPr="001C3A48">
        <w:t>Operational approach</w:t>
      </w:r>
      <w:bookmarkEnd w:id="4"/>
    </w:p>
    <w:p w14:paraId="0DB8557F" w14:textId="77777777" w:rsidR="001C3A48" w:rsidRPr="001C3A48" w:rsidRDefault="001C3A48" w:rsidP="00627D02">
      <w:r w:rsidRPr="001C3A48">
        <w:t>The process needs to work concurrently within the regulatory systems of the participating agencies. This section outlines the steps and issues that need to be considered when implementing the procedure.</w:t>
      </w:r>
    </w:p>
    <w:p w14:paraId="73B4AC45" w14:textId="77777777" w:rsidR="001C3A48" w:rsidRPr="001C3A48" w:rsidRDefault="001C3A48" w:rsidP="00627D02">
      <w:r w:rsidRPr="001C3A48">
        <w:t>All timelines/days are based on calendar days. If a milestone falls on a weekend or a national holiday, the milestone is the preceding business day. Please note that the following timeframes are target timeframes and may be adjusted depending on the complexity of the application.</w:t>
      </w:r>
    </w:p>
    <w:p w14:paraId="7541C9AD" w14:textId="77777777" w:rsidR="001C3A48" w:rsidRPr="00B27F27" w:rsidRDefault="001C3A48" w:rsidP="00B27F27">
      <w:pPr>
        <w:pStyle w:val="Heading2"/>
      </w:pPr>
      <w:bookmarkStart w:id="5" w:name="_Toc167915934"/>
      <w:r w:rsidRPr="00B27F27">
        <w:t xml:space="preserve">Pre-submission meeting/teleconference </w:t>
      </w:r>
      <w:r w:rsidRPr="00B960C4">
        <w:rPr>
          <w:color w:val="365F91"/>
        </w:rPr>
        <w:t>(minimum 2 months in advance)</w:t>
      </w:r>
      <w:bookmarkEnd w:id="5"/>
    </w:p>
    <w:p w14:paraId="77E2E05D" w14:textId="77777777" w:rsidR="001C3A48" w:rsidRPr="001C3A48" w:rsidRDefault="001C3A48" w:rsidP="00627D02">
      <w:r w:rsidRPr="001C3A48">
        <w:t>Once the participating agencies receive an EoI form, they will work together to discuss the application, its suitability for inclusion in the work-sharing initiative, the RRA and CRAs, and next steps.</w:t>
      </w:r>
    </w:p>
    <w:p w14:paraId="55C64CFD" w14:textId="449B85E6" w:rsidR="001C3A48" w:rsidRPr="001C3A48" w:rsidRDefault="001C3A48" w:rsidP="00627D02">
      <w:r w:rsidRPr="001C3A48">
        <w:t xml:space="preserve">A pre-submission meeting/teleconference between the applicant and their local Access agency, or all participating </w:t>
      </w:r>
      <w:proofErr w:type="gramStart"/>
      <w:r w:rsidRPr="001C3A48">
        <w:t>agencies</w:t>
      </w:r>
      <w:proofErr w:type="gramEnd"/>
      <w:r w:rsidRPr="001C3A48">
        <w:t xml:space="preserve"> if possible (may not be granted due to operational and resource challenges), is recommended. This meeting is used to discuss the technical aspects of the submission, and to confirm the logistics and expectations related to requirements, timelines for assessment and the process. The meeting also gives agencies a chance to respond to any additional questions the applicant may have.</w:t>
      </w:r>
    </w:p>
    <w:p w14:paraId="338473D5" w14:textId="1D6C93B6" w:rsidR="001C3A48" w:rsidRPr="001C3A48" w:rsidRDefault="001C3A48" w:rsidP="00627D02">
      <w:r w:rsidRPr="001C3A48">
        <w:t>The teleconference should take place at least 2 months before the agreed submission date of the application. The applicant must follow the usual procedures of their local agency when requesting a pre-submission meeting.</w:t>
      </w:r>
    </w:p>
    <w:p w14:paraId="7B5C77C2" w14:textId="77777777" w:rsidR="001C3A48" w:rsidRPr="001C3A48" w:rsidRDefault="001C3A48" w:rsidP="00627D02">
      <w:r w:rsidRPr="001C3A48">
        <w:lastRenderedPageBreak/>
        <w:t>The applicant will be asked to provide their questions at least 2 weeks before the pre-submission teleconference. Within 2 weeks of this teleconference, the applicant must provide a record of the meeting, summarizing the points that have been agreed to.</w:t>
      </w:r>
    </w:p>
    <w:p w14:paraId="256B5553" w14:textId="77777777" w:rsidR="001C3A48" w:rsidRPr="001C3A48" w:rsidRDefault="001C3A48" w:rsidP="00B27F27">
      <w:pPr>
        <w:pStyle w:val="Heading2"/>
      </w:pPr>
      <w:bookmarkStart w:id="6" w:name="_Toc167915935"/>
      <w:r w:rsidRPr="001C3A48">
        <w:t xml:space="preserve">Submitting application </w:t>
      </w:r>
      <w:r w:rsidRPr="00B27F27">
        <w:rPr>
          <w:color w:val="365F91"/>
        </w:rPr>
        <w:t>(less than 15 days)</w:t>
      </w:r>
      <w:bookmarkEnd w:id="6"/>
    </w:p>
    <w:p w14:paraId="21B510C5" w14:textId="77777777" w:rsidR="001C3A48" w:rsidRPr="001C3A48" w:rsidRDefault="001C3A48" w:rsidP="00627D02">
      <w:r w:rsidRPr="001C3A48">
        <w:t>Applications should be submitted to each participating agency at the same time or as agreed with the participating agencies. The process begins as soon as all agencies have received the applications. This is “Day -15” of the process.</w:t>
      </w:r>
    </w:p>
    <w:p w14:paraId="3A511136" w14:textId="77777777" w:rsidR="001C3A48" w:rsidRPr="001C3A48" w:rsidRDefault="001C3A48" w:rsidP="00627D02">
      <w:r w:rsidRPr="001C3A48">
        <w:t>If applicable, the Active Substance Master File/Drug Master File must be submitted to each participating agency before the application is filed, with the appropriate local forms.</w:t>
      </w:r>
    </w:p>
    <w:p w14:paraId="530E0E92" w14:textId="77777777" w:rsidR="001C3A48" w:rsidRPr="001C3A48" w:rsidRDefault="001C3A48" w:rsidP="00B27F27">
      <w:pPr>
        <w:pStyle w:val="Heading2"/>
      </w:pPr>
      <w:bookmarkStart w:id="7" w:name="_Toc167915936"/>
      <w:r w:rsidRPr="001C3A48">
        <w:t xml:space="preserve">Accepting application </w:t>
      </w:r>
      <w:r w:rsidRPr="00B27F27">
        <w:rPr>
          <w:color w:val="365F91"/>
        </w:rPr>
        <w:t>(15 days)</w:t>
      </w:r>
      <w:bookmarkEnd w:id="7"/>
    </w:p>
    <w:p w14:paraId="5D51DB97" w14:textId="77777777" w:rsidR="001C3A48" w:rsidRPr="001C3A48" w:rsidRDefault="001C3A48" w:rsidP="00627D02">
      <w:r w:rsidRPr="001C3A48">
        <w:t>Once the participating agencies receive the application, the RRA and CRAs screen and validate the technical and administrative information. They check that their national legislation and data requirements (for example, application forms, user fees) have been met and that the application can be accepted for assessment.</w:t>
      </w:r>
    </w:p>
    <w:p w14:paraId="286226EB" w14:textId="77777777" w:rsidR="001C3A48" w:rsidRPr="001C3A48" w:rsidRDefault="001C3A48" w:rsidP="00627D02">
      <w:r w:rsidRPr="001C3A48">
        <w:t>The RRA and CRAs then inform the applicant if their application has been accepted for assessment. If accepted, the applicant is also given a summary of the target timeframes for each step in the process. The day of acceptance of the application for assessment by the RRA is “Day 0” of the process. The CRAs will make efforts to accept the application on the same day as the RRA.</w:t>
      </w:r>
    </w:p>
    <w:p w14:paraId="587BD0E6" w14:textId="77777777" w:rsidR="001C3A48" w:rsidRPr="001C3A48" w:rsidRDefault="001C3A48" w:rsidP="00627D02">
      <w:pPr>
        <w:pStyle w:val="Heading1"/>
      </w:pPr>
      <w:bookmarkStart w:id="8" w:name="_Toc167915937"/>
      <w:r w:rsidRPr="001C3A48">
        <w:t xml:space="preserve">Round 1 </w:t>
      </w:r>
      <w:r w:rsidRPr="00B27F27">
        <w:rPr>
          <w:color w:val="365F91"/>
        </w:rPr>
        <w:t>assessment</w:t>
      </w:r>
      <w:bookmarkEnd w:id="8"/>
    </w:p>
    <w:p w14:paraId="2109E4FE" w14:textId="77777777" w:rsidR="001C3A48" w:rsidRPr="00627D02" w:rsidRDefault="001C3A48" w:rsidP="00B27F27">
      <w:pPr>
        <w:pStyle w:val="Heading2"/>
      </w:pPr>
      <w:bookmarkStart w:id="9" w:name="_Toc167915938"/>
      <w:r w:rsidRPr="00627D02">
        <w:t xml:space="preserve">Initial assessment by the RRA </w:t>
      </w:r>
      <w:r w:rsidRPr="00B27F27">
        <w:rPr>
          <w:color w:val="365F91"/>
        </w:rPr>
        <w:t>(60 days)</w:t>
      </w:r>
      <w:bookmarkEnd w:id="9"/>
    </w:p>
    <w:p w14:paraId="13A2AB29" w14:textId="77777777" w:rsidR="001C3A48" w:rsidRPr="001C3A48" w:rsidRDefault="001C3A48" w:rsidP="00627D02">
      <w:r w:rsidRPr="001C3A48">
        <w:t xml:space="preserve">The RRA evaluates Modules 2 to 5 and prepares an AR and an </w:t>
      </w:r>
      <w:proofErr w:type="spellStart"/>
      <w:r w:rsidRPr="001C3A48">
        <w:t>LoQ.</w:t>
      </w:r>
      <w:proofErr w:type="spellEnd"/>
      <w:r w:rsidRPr="001C3A48">
        <w:t xml:space="preserve"> At the same time, the RRA and CRAs evaluate their national Module 1 and prepare an </w:t>
      </w:r>
      <w:proofErr w:type="spellStart"/>
      <w:r w:rsidRPr="001C3A48">
        <w:t>LoQ</w:t>
      </w:r>
      <w:proofErr w:type="spellEnd"/>
      <w:r w:rsidRPr="001C3A48">
        <w:t xml:space="preserve"> for this module. The RRA then shares the AR and LOQ on Modules 2 to 5 with the CRAs.</w:t>
      </w:r>
    </w:p>
    <w:p w14:paraId="628CF0ED" w14:textId="77777777" w:rsidR="001C3A48" w:rsidRPr="001C3A48" w:rsidRDefault="001C3A48" w:rsidP="00627D02">
      <w:r w:rsidRPr="001C3A48">
        <w:t xml:space="preserve">While a consolidated </w:t>
      </w:r>
      <w:proofErr w:type="spellStart"/>
      <w:r w:rsidRPr="001C3A48">
        <w:t>LoQ</w:t>
      </w:r>
      <w:proofErr w:type="spellEnd"/>
      <w:r w:rsidRPr="001C3A48">
        <w:t xml:space="preserve"> is the preferred option, the RRA may instead send rolling questions to the local applicant to seek clarification during the assessment process. If applicable, the responses to these clarification questions have a short timeframe (for example, 5 days). The RRA then shares these responses with the CRAs.</w:t>
      </w:r>
    </w:p>
    <w:p w14:paraId="5403944E" w14:textId="77777777" w:rsidR="001C3A48" w:rsidRPr="001C3A48" w:rsidRDefault="001C3A48" w:rsidP="00B27F27">
      <w:pPr>
        <w:pStyle w:val="Heading2"/>
      </w:pPr>
      <w:bookmarkStart w:id="10" w:name="_Toc167915939"/>
      <w:r w:rsidRPr="001C3A48">
        <w:t xml:space="preserve">Peer review by CRAs </w:t>
      </w:r>
      <w:r w:rsidRPr="00B27F27">
        <w:rPr>
          <w:color w:val="365F91"/>
        </w:rPr>
        <w:t>(25 days)</w:t>
      </w:r>
      <w:bookmarkEnd w:id="10"/>
    </w:p>
    <w:p w14:paraId="285D56DE" w14:textId="77777777" w:rsidR="001C3A48" w:rsidRPr="001C3A48" w:rsidRDefault="001C3A48" w:rsidP="00627D02">
      <w:r w:rsidRPr="001C3A48">
        <w:t>As part of the peer review process, the CRAs:</w:t>
      </w:r>
    </w:p>
    <w:p w14:paraId="1FDA5705" w14:textId="77777777" w:rsidR="001C3A48" w:rsidRPr="001C3A48" w:rsidRDefault="001C3A48" w:rsidP="00627D02">
      <w:pPr>
        <w:pStyle w:val="ListParagraph"/>
        <w:numPr>
          <w:ilvl w:val="0"/>
          <w:numId w:val="9"/>
        </w:numPr>
      </w:pPr>
      <w:r w:rsidRPr="001C3A48">
        <w:t xml:space="preserve">conduct a peer review of the AR and </w:t>
      </w:r>
      <w:proofErr w:type="spellStart"/>
      <w:r w:rsidRPr="001C3A48">
        <w:t>LoQ</w:t>
      </w:r>
      <w:proofErr w:type="spellEnd"/>
    </w:p>
    <w:p w14:paraId="16492287" w14:textId="77777777" w:rsidR="001C3A48" w:rsidRPr="001C3A48" w:rsidRDefault="001C3A48" w:rsidP="00627D02">
      <w:pPr>
        <w:pStyle w:val="ListParagraph"/>
        <w:numPr>
          <w:ilvl w:val="0"/>
          <w:numId w:val="9"/>
        </w:numPr>
      </w:pPr>
      <w:r w:rsidRPr="001C3A48">
        <w:t>consult the modules (as needed)</w:t>
      </w:r>
    </w:p>
    <w:p w14:paraId="0EBE4201" w14:textId="77777777" w:rsidR="001C3A48" w:rsidRPr="001C3A48" w:rsidRDefault="001C3A48" w:rsidP="00627D02">
      <w:pPr>
        <w:pStyle w:val="ListParagraph"/>
        <w:numPr>
          <w:ilvl w:val="0"/>
          <w:numId w:val="9"/>
        </w:numPr>
      </w:pPr>
      <w:r w:rsidRPr="001C3A48">
        <w:t>share comments and additional questions on Modules 2 to 5 with the RRA</w:t>
      </w:r>
    </w:p>
    <w:p w14:paraId="33F6D33E" w14:textId="77777777" w:rsidR="001C3A48" w:rsidRPr="001C3A48" w:rsidRDefault="001C3A48" w:rsidP="00B27F27">
      <w:pPr>
        <w:pStyle w:val="Heading2"/>
      </w:pPr>
      <w:bookmarkStart w:id="11" w:name="_Toc167915940"/>
      <w:r w:rsidRPr="001C3A48">
        <w:t xml:space="preserve">Finalising ARs and </w:t>
      </w:r>
      <w:proofErr w:type="spellStart"/>
      <w:r w:rsidRPr="001C3A48">
        <w:t>LoQs</w:t>
      </w:r>
      <w:proofErr w:type="spellEnd"/>
      <w:r w:rsidRPr="001C3A48">
        <w:t xml:space="preserve"> </w:t>
      </w:r>
      <w:r w:rsidRPr="00B27F27">
        <w:rPr>
          <w:color w:val="365F91"/>
        </w:rPr>
        <w:t>(5 days)</w:t>
      </w:r>
      <w:bookmarkEnd w:id="11"/>
    </w:p>
    <w:p w14:paraId="1F12B1D0" w14:textId="77777777" w:rsidR="001C3A48" w:rsidRPr="001C3A48" w:rsidRDefault="001C3A48" w:rsidP="00627D02">
      <w:r w:rsidRPr="001C3A48">
        <w:t xml:space="preserve">The RRA and CRAs discuss the </w:t>
      </w:r>
      <w:proofErr w:type="spellStart"/>
      <w:r w:rsidRPr="001C3A48">
        <w:t>LoQ</w:t>
      </w:r>
      <w:proofErr w:type="spellEnd"/>
      <w:r w:rsidRPr="001C3A48">
        <w:t xml:space="preserve"> and any additional questions. The RRA prepares the consolidated </w:t>
      </w:r>
      <w:proofErr w:type="spellStart"/>
      <w:r w:rsidRPr="001C3A48">
        <w:t>LoQ</w:t>
      </w:r>
      <w:proofErr w:type="spellEnd"/>
      <w:r w:rsidRPr="001C3A48">
        <w:t xml:space="preserve"> on Modules 2 to 5. The RRA and each CRA forward the consolidated </w:t>
      </w:r>
      <w:proofErr w:type="spellStart"/>
      <w:r w:rsidRPr="001C3A48">
        <w:t>LoQ</w:t>
      </w:r>
      <w:proofErr w:type="spellEnd"/>
      <w:r w:rsidRPr="001C3A48">
        <w:t>, as well as their questions on Module 1 (includes questions on product information and labelling), to their local applicant.</w:t>
      </w:r>
    </w:p>
    <w:p w14:paraId="2B3C4C8F" w14:textId="77777777" w:rsidR="001C3A48" w:rsidRPr="001C3A48" w:rsidRDefault="001C3A48" w:rsidP="00B27F27">
      <w:pPr>
        <w:pStyle w:val="Heading2"/>
      </w:pPr>
      <w:bookmarkStart w:id="12" w:name="_Toc167915941"/>
      <w:r w:rsidRPr="001C3A48">
        <w:lastRenderedPageBreak/>
        <w:t xml:space="preserve">Submitting responses to the </w:t>
      </w:r>
      <w:proofErr w:type="spellStart"/>
      <w:r w:rsidRPr="001C3A48">
        <w:t>LoQ</w:t>
      </w:r>
      <w:proofErr w:type="spellEnd"/>
      <w:r w:rsidRPr="001C3A48">
        <w:t xml:space="preserve"> by applicant </w:t>
      </w:r>
      <w:r w:rsidRPr="00B27F27">
        <w:rPr>
          <w:color w:val="365F91"/>
        </w:rPr>
        <w:t>(30 or 60 days)</w:t>
      </w:r>
      <w:bookmarkEnd w:id="12"/>
    </w:p>
    <w:p w14:paraId="4351D52D" w14:textId="77777777" w:rsidR="001C3A48" w:rsidRPr="001C3A48" w:rsidRDefault="001C3A48" w:rsidP="00627D02">
      <w:r w:rsidRPr="001C3A48">
        <w:t xml:space="preserve">The applicant prepares and sends the same responses to the </w:t>
      </w:r>
      <w:proofErr w:type="spellStart"/>
      <w:r w:rsidRPr="001C3A48">
        <w:t>LoQ</w:t>
      </w:r>
      <w:proofErr w:type="spellEnd"/>
      <w:r w:rsidRPr="001C3A48">
        <w:t xml:space="preserve"> on Modules 2 to 5 to the RRA </w:t>
      </w:r>
      <w:r w:rsidRPr="001C3A48">
        <w:rPr>
          <w:b/>
          <w:bCs/>
        </w:rPr>
        <w:t>and</w:t>
      </w:r>
      <w:r w:rsidRPr="001C3A48">
        <w:t> CRAs by way of the respective local applicants. At the same time, the local applicant sends responses to the Module 1 questions to their respective agencies.</w:t>
      </w:r>
    </w:p>
    <w:p w14:paraId="356C0746" w14:textId="77777777" w:rsidR="001C3A48" w:rsidRPr="001C3A48" w:rsidRDefault="001C3A48" w:rsidP="00627D02">
      <w:r w:rsidRPr="001C3A48">
        <w:t xml:space="preserve">As stated, the applicant should indicate in the EoI their preferred timeframe for submitting responses to the </w:t>
      </w:r>
      <w:proofErr w:type="spellStart"/>
      <w:r w:rsidRPr="001C3A48">
        <w:t>LoQ</w:t>
      </w:r>
      <w:proofErr w:type="spellEnd"/>
      <w:r w:rsidRPr="001C3A48">
        <w:t xml:space="preserve"> (either 30 or 60 days). However, the applicant will be able to respond any time after 30 days and before 60 days.</w:t>
      </w:r>
    </w:p>
    <w:p w14:paraId="0C5FDFCD" w14:textId="77777777" w:rsidR="001C3A48" w:rsidRPr="001C3A48" w:rsidRDefault="001C3A48" w:rsidP="00627D02">
      <w:pPr>
        <w:pStyle w:val="Heading1"/>
      </w:pPr>
      <w:bookmarkStart w:id="13" w:name="_Toc167915942"/>
      <w:r w:rsidRPr="001C3A48">
        <w:t>Round 2 assessment</w:t>
      </w:r>
      <w:bookmarkEnd w:id="13"/>
    </w:p>
    <w:p w14:paraId="55196701" w14:textId="77777777" w:rsidR="001C3A48" w:rsidRPr="00B27F27" w:rsidRDefault="001C3A48" w:rsidP="00B27F27">
      <w:pPr>
        <w:pStyle w:val="Heading2"/>
      </w:pPr>
      <w:bookmarkStart w:id="14" w:name="_Toc167915943"/>
      <w:r w:rsidRPr="00B27F27">
        <w:t xml:space="preserve">Assessing responses to </w:t>
      </w:r>
      <w:proofErr w:type="spellStart"/>
      <w:r w:rsidRPr="00B27F27">
        <w:t>LoQ</w:t>
      </w:r>
      <w:proofErr w:type="spellEnd"/>
      <w:r w:rsidRPr="00B27F27">
        <w:t xml:space="preserve"> </w:t>
      </w:r>
      <w:r w:rsidRPr="00B27F27">
        <w:rPr>
          <w:color w:val="365F91"/>
        </w:rPr>
        <w:t>(30 days)</w:t>
      </w:r>
      <w:bookmarkEnd w:id="14"/>
    </w:p>
    <w:p w14:paraId="4A917FA8" w14:textId="77777777" w:rsidR="001C3A48" w:rsidRPr="001C3A48" w:rsidRDefault="001C3A48" w:rsidP="00627D02">
      <w:r w:rsidRPr="001C3A48">
        <w:t xml:space="preserve">The RRA prepares an AR of the responses on the consolidated </w:t>
      </w:r>
      <w:proofErr w:type="spellStart"/>
      <w:r w:rsidRPr="001C3A48">
        <w:t>LoQ</w:t>
      </w:r>
      <w:proofErr w:type="spellEnd"/>
      <w:r w:rsidRPr="001C3A48">
        <w:t xml:space="preserve"> for Modules 2 to 5 and shares it with the CRAs. At the same time, the RRA and CRAs prepare an AR of the responses to their respective country-specific questions on Module 1.</w:t>
      </w:r>
    </w:p>
    <w:p w14:paraId="4ADB3842" w14:textId="77777777" w:rsidR="001C3A48" w:rsidRPr="001C3A48" w:rsidRDefault="001C3A48" w:rsidP="00B27F27">
      <w:pPr>
        <w:pStyle w:val="Heading2"/>
      </w:pPr>
      <w:bookmarkStart w:id="15" w:name="_Toc167915944"/>
      <w:r w:rsidRPr="001C3A48">
        <w:t xml:space="preserve">Peer review by CRAs </w:t>
      </w:r>
      <w:r w:rsidRPr="00B27F27">
        <w:rPr>
          <w:color w:val="365F91"/>
        </w:rPr>
        <w:t>(15 days)</w:t>
      </w:r>
      <w:bookmarkEnd w:id="15"/>
    </w:p>
    <w:p w14:paraId="570A08DA" w14:textId="77777777" w:rsidR="001C3A48" w:rsidRPr="001C3A48" w:rsidRDefault="001C3A48" w:rsidP="00627D02">
      <w:r w:rsidRPr="001C3A48">
        <w:t xml:space="preserve">The CRAs conduct a peer review of the AR of the responses to Modules 2 to 5 and provide feedback. If necessary, the RRA prepares an additional </w:t>
      </w:r>
      <w:proofErr w:type="spellStart"/>
      <w:r w:rsidRPr="001C3A48">
        <w:t>LoQ</w:t>
      </w:r>
      <w:proofErr w:type="spellEnd"/>
      <w:r w:rsidRPr="001C3A48">
        <w:t>, which each agency sends to the local applicant. The 15-day timeframe includes the time for peer review and for any coordination between the RRA and the CRAs.</w:t>
      </w:r>
    </w:p>
    <w:p w14:paraId="37027AF9" w14:textId="77777777" w:rsidR="001C3A48" w:rsidRPr="001C3A48" w:rsidRDefault="001C3A48" w:rsidP="00B27F27">
      <w:pPr>
        <w:pStyle w:val="Heading2"/>
      </w:pPr>
      <w:bookmarkStart w:id="16" w:name="_Toc167915945"/>
      <w:r w:rsidRPr="001C3A48">
        <w:t xml:space="preserve">Finalising ARs and additional </w:t>
      </w:r>
      <w:proofErr w:type="spellStart"/>
      <w:r w:rsidRPr="001C3A48">
        <w:t>LoQ</w:t>
      </w:r>
      <w:proofErr w:type="spellEnd"/>
      <w:r w:rsidRPr="001C3A48">
        <w:t xml:space="preserve"> </w:t>
      </w:r>
      <w:r w:rsidRPr="00B27F27">
        <w:rPr>
          <w:color w:val="365F91"/>
        </w:rPr>
        <w:t>(5 days)</w:t>
      </w:r>
      <w:bookmarkEnd w:id="16"/>
    </w:p>
    <w:p w14:paraId="75346BE2" w14:textId="77777777" w:rsidR="001C3A48" w:rsidRPr="001C3A48" w:rsidRDefault="001C3A48" w:rsidP="00627D02">
      <w:r w:rsidRPr="001C3A48">
        <w:t xml:space="preserve">If an additional </w:t>
      </w:r>
      <w:proofErr w:type="spellStart"/>
      <w:r w:rsidRPr="001C3A48">
        <w:t>LoQ</w:t>
      </w:r>
      <w:proofErr w:type="spellEnd"/>
      <w:r w:rsidRPr="001C3A48">
        <w:t xml:space="preserve"> (in general, this corresponds to the preliminary decision in Switzerland) is not necessary, each agency makes a final decision. The agencies also undertake the necessary administrative steps to finalise the process for their country.</w:t>
      </w:r>
    </w:p>
    <w:p w14:paraId="771BBD9A" w14:textId="77777777" w:rsidR="001C3A48" w:rsidRPr="001C3A48" w:rsidRDefault="001C3A48" w:rsidP="00B27F27">
      <w:pPr>
        <w:pStyle w:val="Heading2"/>
      </w:pPr>
      <w:bookmarkStart w:id="17" w:name="_Toc167915946"/>
      <w:r w:rsidRPr="001C3A48">
        <w:t xml:space="preserve">Submitting responses to the additional </w:t>
      </w:r>
      <w:proofErr w:type="spellStart"/>
      <w:r w:rsidRPr="001C3A48">
        <w:t>LoQ</w:t>
      </w:r>
      <w:proofErr w:type="spellEnd"/>
      <w:r w:rsidRPr="001C3A48">
        <w:t xml:space="preserve"> (if applicable) </w:t>
      </w:r>
      <w:r w:rsidRPr="00B27F27">
        <w:rPr>
          <w:color w:val="365F91"/>
        </w:rPr>
        <w:t>(15 days)</w:t>
      </w:r>
      <w:bookmarkEnd w:id="17"/>
    </w:p>
    <w:p w14:paraId="7E45AA90" w14:textId="77777777" w:rsidR="001C3A48" w:rsidRPr="001C3A48" w:rsidRDefault="001C3A48" w:rsidP="00627D02">
      <w:r w:rsidRPr="001C3A48">
        <w:t xml:space="preserve">The applicant prepares and sends responses to the additional </w:t>
      </w:r>
      <w:proofErr w:type="spellStart"/>
      <w:r w:rsidRPr="001C3A48">
        <w:t>LoQ</w:t>
      </w:r>
      <w:proofErr w:type="spellEnd"/>
      <w:r w:rsidRPr="001C3A48">
        <w:t xml:space="preserve"> (if applicable) to the RRA </w:t>
      </w:r>
      <w:r w:rsidRPr="001C3A48">
        <w:rPr>
          <w:b/>
          <w:bCs/>
        </w:rPr>
        <w:t>and </w:t>
      </w:r>
      <w:r w:rsidRPr="001C3A48">
        <w:t>CRAs.</w:t>
      </w:r>
    </w:p>
    <w:p w14:paraId="51AD4CA0" w14:textId="77777777" w:rsidR="001C3A48" w:rsidRPr="001C3A48" w:rsidRDefault="001C3A48" w:rsidP="00627D02">
      <w:pPr>
        <w:pStyle w:val="Heading1"/>
      </w:pPr>
      <w:bookmarkStart w:id="18" w:name="_Toc167915947"/>
      <w:r w:rsidRPr="001C3A48">
        <w:t>Round 3 assessment (if applicable)</w:t>
      </w:r>
      <w:bookmarkEnd w:id="18"/>
    </w:p>
    <w:p w14:paraId="006168C6" w14:textId="77777777" w:rsidR="001C3A48" w:rsidRPr="001C3A48" w:rsidRDefault="001C3A48" w:rsidP="00B27F27">
      <w:pPr>
        <w:pStyle w:val="Heading2"/>
      </w:pPr>
      <w:bookmarkStart w:id="19" w:name="_Toc167915948"/>
      <w:r w:rsidRPr="001C3A48">
        <w:t xml:space="preserve">Assessing responses to the additional </w:t>
      </w:r>
      <w:proofErr w:type="spellStart"/>
      <w:r w:rsidRPr="001C3A48">
        <w:t>LoQ</w:t>
      </w:r>
      <w:proofErr w:type="spellEnd"/>
      <w:r w:rsidRPr="001C3A48">
        <w:t xml:space="preserve"> </w:t>
      </w:r>
      <w:r w:rsidRPr="00B27F27">
        <w:rPr>
          <w:color w:val="365F91"/>
        </w:rPr>
        <w:t>(15 days)</w:t>
      </w:r>
      <w:bookmarkEnd w:id="19"/>
    </w:p>
    <w:p w14:paraId="33FD34D2" w14:textId="77777777" w:rsidR="001C3A48" w:rsidRPr="001C3A48" w:rsidRDefault="001C3A48" w:rsidP="00627D02">
      <w:r w:rsidRPr="001C3A48">
        <w:t xml:space="preserve">The RRA prepares an AR of the responses to the additional </w:t>
      </w:r>
      <w:proofErr w:type="spellStart"/>
      <w:r w:rsidRPr="001C3A48">
        <w:t>LoQ</w:t>
      </w:r>
      <w:proofErr w:type="spellEnd"/>
      <w:r w:rsidRPr="001C3A48">
        <w:t xml:space="preserve"> following the process described for round 2.</w:t>
      </w:r>
    </w:p>
    <w:p w14:paraId="13E01B4F" w14:textId="77777777" w:rsidR="001C3A48" w:rsidRPr="001C3A48" w:rsidRDefault="001C3A48" w:rsidP="00B27F27">
      <w:pPr>
        <w:pStyle w:val="Heading2"/>
      </w:pPr>
      <w:bookmarkStart w:id="20" w:name="_Toc167915949"/>
      <w:r w:rsidRPr="001C3A48">
        <w:t xml:space="preserve">Peer review of responses by the CRAs, finalising the ARs and additional </w:t>
      </w:r>
      <w:proofErr w:type="spellStart"/>
      <w:r w:rsidRPr="001C3A48">
        <w:t>LoQ</w:t>
      </w:r>
      <w:proofErr w:type="spellEnd"/>
      <w:r w:rsidRPr="001C3A48">
        <w:t xml:space="preserve"> (if applicable) </w:t>
      </w:r>
      <w:r w:rsidRPr="00B27F27">
        <w:rPr>
          <w:color w:val="365F91"/>
        </w:rPr>
        <w:t>(5 days)</w:t>
      </w:r>
      <w:bookmarkEnd w:id="20"/>
    </w:p>
    <w:p w14:paraId="17845E59" w14:textId="77777777" w:rsidR="001C3A48" w:rsidRPr="001C3A48" w:rsidRDefault="001C3A48" w:rsidP="00627D02">
      <w:r w:rsidRPr="001C3A48">
        <w:t xml:space="preserve">The CRAs conduct a peer review of the responses and provide feedback </w:t>
      </w:r>
      <w:proofErr w:type="gramStart"/>
      <w:r w:rsidRPr="001C3A48">
        <w:t>in order for</w:t>
      </w:r>
      <w:proofErr w:type="gramEnd"/>
      <w:r w:rsidRPr="001C3A48">
        <w:t xml:space="preserve"> the RRA</w:t>
      </w:r>
      <w:r w:rsidRPr="001C3A48">
        <w:rPr>
          <w:b/>
          <w:bCs/>
        </w:rPr>
        <w:t> </w:t>
      </w:r>
      <w:r w:rsidRPr="001C3A48">
        <w:t>to finalise the AR.</w:t>
      </w:r>
    </w:p>
    <w:p w14:paraId="4C243C18" w14:textId="77777777" w:rsidR="001C3A48" w:rsidRPr="001C3A48" w:rsidRDefault="001C3A48" w:rsidP="00627D02">
      <w:pPr>
        <w:pStyle w:val="Heading1"/>
      </w:pPr>
      <w:bookmarkStart w:id="21" w:name="_Toc167915950"/>
      <w:r w:rsidRPr="001C3A48">
        <w:t>National steps</w:t>
      </w:r>
      <w:bookmarkEnd w:id="21"/>
    </w:p>
    <w:p w14:paraId="252254AA" w14:textId="77777777" w:rsidR="001C3A48" w:rsidRPr="001C3A48" w:rsidRDefault="001C3A48" w:rsidP="00627D02">
      <w:r w:rsidRPr="001C3A48">
        <w:t>Each agency makes a final decision (or seeks further clarification on issues separately before making a final decision) and undertakes the necessary administrative steps to finalise the process nationally. Depending on each agency’s assessment outcome, an authorisation letter or additional questions is issued.</w:t>
      </w:r>
    </w:p>
    <w:p w14:paraId="50BC43E5" w14:textId="7ACE205B" w:rsidR="001C3A48" w:rsidRPr="001C3A48" w:rsidRDefault="001C3A48" w:rsidP="00627D02">
      <w:r w:rsidRPr="001C3A48">
        <w:lastRenderedPageBreak/>
        <w:t>These communications may not necessarily happen at the same time.</w:t>
      </w:r>
      <w:r w:rsidR="00E77180">
        <w:t xml:space="preserve"> </w:t>
      </w:r>
      <w:r w:rsidRPr="001C3A48">
        <w:t>Total maximum elapsed timeframe from when the application is accepted (day 0) to the start of the national steps:</w:t>
      </w:r>
    </w:p>
    <w:p w14:paraId="61859835" w14:textId="77777777" w:rsidR="001C3A48" w:rsidRPr="001C3A48" w:rsidRDefault="001C3A48" w:rsidP="00627D02">
      <w:pPr>
        <w:pStyle w:val="ListParagraph"/>
        <w:numPr>
          <w:ilvl w:val="0"/>
          <w:numId w:val="10"/>
        </w:numPr>
      </w:pPr>
      <w:r w:rsidRPr="001C3A48">
        <w:t>170 to 200 calendar days (including the applicant’s response time and if only 1 list of questions is required) </w:t>
      </w:r>
      <w:r w:rsidRPr="00627D02">
        <w:rPr>
          <w:b/>
          <w:bCs/>
        </w:rPr>
        <w:t>or</w:t>
      </w:r>
    </w:p>
    <w:p w14:paraId="5D2D184C" w14:textId="77777777" w:rsidR="001C3A48" w:rsidRPr="001C3A48" w:rsidRDefault="001C3A48" w:rsidP="00627D02">
      <w:pPr>
        <w:pStyle w:val="ListParagraph"/>
        <w:numPr>
          <w:ilvl w:val="0"/>
          <w:numId w:val="10"/>
        </w:numPr>
      </w:pPr>
      <w:r w:rsidRPr="001C3A48">
        <w:t>205 to 235 calendar days (if an additional list of questions is required)</w:t>
      </w:r>
    </w:p>
    <w:p w14:paraId="2609FCCB" w14:textId="5C78B710" w:rsidR="001C3A48" w:rsidRPr="00A8712D" w:rsidRDefault="00B960C4" w:rsidP="00A8712D">
      <w:pPr>
        <w:spacing w:before="240"/>
        <w:rPr>
          <w:b/>
        </w:rPr>
      </w:pPr>
      <w:r w:rsidRPr="001C3A48">
        <w:rPr>
          <w:noProof/>
          <w:lang w:eastAsia="en-CA"/>
        </w:rPr>
        <w:drawing>
          <wp:anchor distT="0" distB="0" distL="114300" distR="114300" simplePos="0" relativeHeight="251658240" behindDoc="0" locked="0" layoutInCell="1" allowOverlap="1" wp14:anchorId="74817DA1" wp14:editId="77B0AD39">
            <wp:simplePos x="0" y="0"/>
            <wp:positionH relativeFrom="column">
              <wp:posOffset>-209550</wp:posOffset>
            </wp:positionH>
            <wp:positionV relativeFrom="paragraph">
              <wp:posOffset>492125</wp:posOffset>
            </wp:positionV>
            <wp:extent cx="6197600" cy="5866765"/>
            <wp:effectExtent l="0" t="0" r="0" b="635"/>
            <wp:wrapSquare wrapText="bothSides"/>
            <wp:docPr id="59" name="Picture 59"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Fig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7600" cy="5866765"/>
                    </a:xfrm>
                    <a:prstGeom prst="rect">
                      <a:avLst/>
                    </a:prstGeom>
                    <a:noFill/>
                    <a:ln>
                      <a:noFill/>
                    </a:ln>
                  </pic:spPr>
                </pic:pic>
              </a:graphicData>
            </a:graphic>
          </wp:anchor>
        </w:drawing>
      </w:r>
      <w:r w:rsidR="001C3A48" w:rsidRPr="00A8712D">
        <w:rPr>
          <w:b/>
        </w:rPr>
        <w:t>Figure 1: Schematic representation of the expected milestones and timelines for the various steps in the process</w:t>
      </w:r>
    </w:p>
    <w:p w14:paraId="6833C1C6" w14:textId="5408462B" w:rsidR="001C3A48" w:rsidRPr="001C3A48" w:rsidRDefault="001C3A48" w:rsidP="00A8712D">
      <w:pPr>
        <w:jc w:val="center"/>
      </w:pPr>
    </w:p>
    <w:p w14:paraId="17366DD4" w14:textId="77777777" w:rsidR="00277B33" w:rsidRDefault="00277B33">
      <w:pPr>
        <w:spacing w:before="0" w:after="200" w:line="276" w:lineRule="auto"/>
      </w:pPr>
      <w:r>
        <w:br w:type="page"/>
      </w:r>
    </w:p>
    <w:p w14:paraId="512092B7" w14:textId="7B7D7675" w:rsidR="001C3A48" w:rsidRPr="001C3A48" w:rsidRDefault="001C3A48" w:rsidP="00627D02">
      <w:r w:rsidRPr="001C3A48">
        <w:lastRenderedPageBreak/>
        <w:t>Any further questions about this initiative can be directed to the local regulatory authority:</w:t>
      </w:r>
    </w:p>
    <w:p w14:paraId="69A968BE" w14:textId="77777777" w:rsidR="001C3A48" w:rsidRPr="001C3A48" w:rsidRDefault="001C3A48" w:rsidP="00627D02">
      <w:pPr>
        <w:pStyle w:val="ListParagraph"/>
        <w:numPr>
          <w:ilvl w:val="0"/>
          <w:numId w:val="11"/>
        </w:numPr>
      </w:pPr>
      <w:r w:rsidRPr="001C3A48">
        <w:t>Australia: </w:t>
      </w:r>
      <w:hyperlink r:id="rId21" w:history="1">
        <w:r w:rsidRPr="001C3A48">
          <w:rPr>
            <w:rStyle w:val="Hyperlink"/>
          </w:rPr>
          <w:t>PMABinternationalevaluations@health.gov.au</w:t>
        </w:r>
      </w:hyperlink>
    </w:p>
    <w:p w14:paraId="2324414E" w14:textId="77777777" w:rsidR="001C3A48" w:rsidRPr="001C3A48" w:rsidRDefault="001C3A48" w:rsidP="00627D02">
      <w:pPr>
        <w:pStyle w:val="ListParagraph"/>
        <w:numPr>
          <w:ilvl w:val="0"/>
          <w:numId w:val="11"/>
        </w:numPr>
      </w:pPr>
      <w:r w:rsidRPr="001C3A48">
        <w:t>Canada: </w:t>
      </w:r>
      <w:hyperlink r:id="rId22" w:history="1">
        <w:r w:rsidRPr="001C3A48">
          <w:rPr>
            <w:rStyle w:val="Hyperlink"/>
          </w:rPr>
          <w:t>collaboration@hc-sc.gc.ca</w:t>
        </w:r>
      </w:hyperlink>
    </w:p>
    <w:p w14:paraId="40E9FF9D" w14:textId="77777777" w:rsidR="001C3A48" w:rsidRPr="001C3A48" w:rsidRDefault="001C3A48" w:rsidP="00627D02">
      <w:pPr>
        <w:pStyle w:val="ListParagraph"/>
        <w:numPr>
          <w:ilvl w:val="0"/>
          <w:numId w:val="11"/>
        </w:numPr>
      </w:pPr>
      <w:r w:rsidRPr="001C3A48">
        <w:t>Singapore: </w:t>
      </w:r>
      <w:hyperlink r:id="rId23" w:history="1">
        <w:r w:rsidRPr="001C3A48">
          <w:rPr>
            <w:rStyle w:val="Hyperlink"/>
          </w:rPr>
          <w:t>HSA_TP_Enquiry@hsa.gov.sg</w:t>
        </w:r>
      </w:hyperlink>
    </w:p>
    <w:p w14:paraId="6BFFFF4D" w14:textId="7AF3F851" w:rsidR="001C3A48" w:rsidRPr="001C3A48" w:rsidRDefault="001C3A48" w:rsidP="00627D02">
      <w:pPr>
        <w:pStyle w:val="ListParagraph"/>
        <w:numPr>
          <w:ilvl w:val="0"/>
          <w:numId w:val="11"/>
        </w:numPr>
      </w:pPr>
      <w:r w:rsidRPr="001C3A48">
        <w:t>Switzerland: </w:t>
      </w:r>
      <w:hyperlink r:id="rId24" w:history="1">
        <w:r w:rsidR="004735FA">
          <w:rPr>
            <w:rStyle w:val="Hyperlink"/>
          </w:rPr>
          <w:t>Access</w:t>
        </w:r>
        <w:r w:rsidRPr="001C3A48">
          <w:rPr>
            <w:rStyle w:val="Hyperlink"/>
          </w:rPr>
          <w:t>@swissmedic.ch</w:t>
        </w:r>
      </w:hyperlink>
    </w:p>
    <w:p w14:paraId="56F221EF" w14:textId="77777777" w:rsidR="001C3A48" w:rsidRPr="001C3A48" w:rsidRDefault="001C3A48" w:rsidP="00627D02">
      <w:pPr>
        <w:pStyle w:val="ListParagraph"/>
        <w:numPr>
          <w:ilvl w:val="0"/>
          <w:numId w:val="11"/>
        </w:numPr>
      </w:pPr>
      <w:r w:rsidRPr="001C3A48">
        <w:t>United Kingdom: </w:t>
      </w:r>
      <w:hyperlink r:id="rId25" w:history="1">
        <w:r w:rsidRPr="001C3A48">
          <w:rPr>
            <w:rStyle w:val="Hyperlink"/>
          </w:rPr>
          <w:t>Access-MHRA@mhra.gov.uk</w:t>
        </w:r>
      </w:hyperlink>
    </w:p>
    <w:p w14:paraId="220CBC7F" w14:textId="77777777" w:rsidR="001C3A48" w:rsidRPr="001C3A48" w:rsidRDefault="001C3A48" w:rsidP="00627D02">
      <w:r w:rsidRPr="001C3A48">
        <w:t>Communications by e-mail should include “Access Consortium - GMWSI” in the subject line.</w:t>
      </w:r>
    </w:p>
    <w:p w14:paraId="5DA8127A" w14:textId="77777777" w:rsidR="001C3A48" w:rsidRPr="001C3A48" w:rsidRDefault="001C3A48" w:rsidP="00627D02">
      <w:pPr>
        <w:pStyle w:val="Heading1"/>
      </w:pPr>
      <w:bookmarkStart w:id="22" w:name="_Toc167915951"/>
      <w:r w:rsidRPr="001C3A48">
        <w:t>Related links</w:t>
      </w:r>
      <w:bookmarkEnd w:id="22"/>
    </w:p>
    <w:p w14:paraId="13D9B0F5" w14:textId="77777777" w:rsidR="001C3A48" w:rsidRPr="001C3A48" w:rsidRDefault="001C3A48" w:rsidP="00627D02">
      <w:pPr>
        <w:pStyle w:val="ListParagraph"/>
        <w:numPr>
          <w:ilvl w:val="0"/>
          <w:numId w:val="12"/>
        </w:numPr>
      </w:pPr>
      <w:hyperlink r:id="rId26" w:history="1">
        <w:r w:rsidRPr="001C3A48">
          <w:rPr>
            <w:rStyle w:val="Hyperlink"/>
          </w:rPr>
          <w:t>A survey of the regulatory requirements for the acceptance of foreign comparator products by participating regulators and organizations of the International Generic Drug Regulators Programme</w:t>
        </w:r>
      </w:hyperlink>
    </w:p>
    <w:p w14:paraId="21666A4B" w14:textId="77777777" w:rsidR="001C3A48" w:rsidRPr="001C3A48" w:rsidRDefault="001C3A48" w:rsidP="00627D02">
      <w:pPr>
        <w:pStyle w:val="ListParagraph"/>
        <w:numPr>
          <w:ilvl w:val="0"/>
          <w:numId w:val="12"/>
        </w:numPr>
      </w:pPr>
      <w:hyperlink r:id="rId27" w:history="1">
        <w:r w:rsidRPr="001C3A48">
          <w:rPr>
            <w:rStyle w:val="Hyperlink"/>
          </w:rPr>
          <w:t>Biopharmaceutic studies</w:t>
        </w:r>
      </w:hyperlink>
      <w:r w:rsidRPr="001C3A48">
        <w:t> (TGA guidance)</w:t>
      </w:r>
    </w:p>
    <w:p w14:paraId="71087711" w14:textId="77777777" w:rsidR="001C3A48" w:rsidRPr="001C3A48" w:rsidRDefault="001C3A48" w:rsidP="00627D02">
      <w:pPr>
        <w:pStyle w:val="ListParagraph"/>
        <w:numPr>
          <w:ilvl w:val="0"/>
          <w:numId w:val="12"/>
        </w:numPr>
      </w:pPr>
      <w:hyperlink r:id="rId28" w:history="1">
        <w:r w:rsidRPr="001C3A48">
          <w:rPr>
            <w:rStyle w:val="Hyperlink"/>
          </w:rPr>
          <w:t>Comparator products in bioequivalence/therapeutic equivalence studies</w:t>
        </w:r>
      </w:hyperlink>
      <w:r w:rsidRPr="001C3A48">
        <w:t> (MHRA guidance)</w:t>
      </w:r>
    </w:p>
    <w:p w14:paraId="6CCCAD60" w14:textId="77777777" w:rsidR="001C3A48" w:rsidRPr="001C3A48" w:rsidRDefault="001C3A48" w:rsidP="00627D02">
      <w:pPr>
        <w:pStyle w:val="ListParagraph"/>
        <w:numPr>
          <w:ilvl w:val="0"/>
          <w:numId w:val="12"/>
        </w:numPr>
      </w:pPr>
      <w:hyperlink r:id="rId29" w:history="1">
        <w:r w:rsidRPr="001C3A48">
          <w:rPr>
            <w:rStyle w:val="Hyperlink"/>
          </w:rPr>
          <w:t>Guidance document: Use of a foreign-sourced reference product as a Canadian reference product</w:t>
        </w:r>
      </w:hyperlink>
      <w:r w:rsidRPr="001C3A48">
        <w:t> (HC guidance)</w:t>
      </w:r>
    </w:p>
    <w:p w14:paraId="032432CA" w14:textId="3E8F02D3" w:rsidR="001C3A48" w:rsidRPr="001C3A48" w:rsidRDefault="001C3A48" w:rsidP="00627D02">
      <w:pPr>
        <w:pStyle w:val="ListParagraph"/>
        <w:numPr>
          <w:ilvl w:val="0"/>
          <w:numId w:val="12"/>
        </w:numPr>
      </w:pPr>
      <w:hyperlink r:id="rId30" w:history="1">
        <w:r w:rsidRPr="00627D02">
          <w:rPr>
            <w:rStyle w:val="Hyperlink"/>
            <w:lang w:val="en-SG"/>
          </w:rPr>
          <w:t>Guidance on therapeutic product registration in Singapore: Product interchangeability and biowaiver request for chemical generic drugs application</w:t>
        </w:r>
      </w:hyperlink>
      <w:r w:rsidRPr="001C3A48">
        <w:t xml:space="preserve"> (HSA guidance)</w:t>
      </w:r>
    </w:p>
    <w:p w14:paraId="1EBD2D0D" w14:textId="77777777" w:rsidR="001C3A48" w:rsidRDefault="001C3A48" w:rsidP="00627D02">
      <w:pPr>
        <w:pStyle w:val="ListParagraph"/>
        <w:numPr>
          <w:ilvl w:val="0"/>
          <w:numId w:val="12"/>
        </w:numPr>
      </w:pPr>
      <w:hyperlink r:id="rId31" w:tgtFrame="_blank" w:history="1">
        <w:r w:rsidRPr="001C3A48">
          <w:rPr>
            <w:rStyle w:val="Hyperlink"/>
          </w:rPr>
          <w:t>Guidance document: Authorisation of human medicinal product with known active pharmaceutical substances HMV4</w:t>
        </w:r>
      </w:hyperlink>
      <w:r w:rsidRPr="001C3A48">
        <w:t xml:space="preserve"> </w:t>
      </w:r>
      <w:hyperlink r:id="rId32" w:tgtFrame="_blank" w:history="1"/>
      <w:r w:rsidRPr="001C3A48">
        <w:t xml:space="preserve"> (SMC guidance)</w:t>
      </w:r>
    </w:p>
    <w:p w14:paraId="3271D362" w14:textId="77777777" w:rsidR="00D34E7B" w:rsidRDefault="00D34E7B" w:rsidP="00D34E7B"/>
    <w:p w14:paraId="7E966D60" w14:textId="77777777" w:rsidR="00D34E7B" w:rsidRDefault="00D34E7B" w:rsidP="00D34E7B">
      <w:pPr>
        <w:sectPr w:rsidR="00D34E7B" w:rsidSect="00ED77DC">
          <w:pgSz w:w="11906" w:h="16838"/>
          <w:pgMar w:top="1952" w:right="1440" w:bottom="1440" w:left="1440" w:header="708" w:footer="708" w:gutter="0"/>
          <w:pgNumType w:start="1"/>
          <w:cols w:space="708"/>
          <w:titlePg/>
          <w:docGrid w:linePitch="360"/>
        </w:sectPr>
      </w:pPr>
    </w:p>
    <w:p w14:paraId="34D48096" w14:textId="46F171D5" w:rsidR="000C44DE" w:rsidRPr="00497056" w:rsidRDefault="000C44DE" w:rsidP="0093728D">
      <w:pPr>
        <w:pStyle w:val="Heading1"/>
      </w:pPr>
      <w:bookmarkStart w:id="23" w:name="_Toc167915952"/>
      <w:r w:rsidRPr="00497056">
        <w:lastRenderedPageBreak/>
        <w:t>Appendix 1</w:t>
      </w:r>
      <w:r w:rsidR="00497056">
        <w:t>:  A</w:t>
      </w:r>
      <w:r w:rsidRPr="00497056">
        <w:t>ccess countries that will accept a previously conducted bioequivalence (BE) study using a Foreign Comparator Product (FCP)</w:t>
      </w:r>
      <w:bookmarkEnd w:id="23"/>
      <w:r w:rsidRPr="00497056">
        <w:t xml:space="preserve">  </w:t>
      </w:r>
    </w:p>
    <w:p w14:paraId="5755C545" w14:textId="77777777" w:rsidR="000C44DE" w:rsidRDefault="000C44DE" w:rsidP="000C44DE"/>
    <w:tbl>
      <w:tblPr>
        <w:tblStyle w:val="TableGrid"/>
        <w:tblW w:w="14170" w:type="dxa"/>
        <w:tblInd w:w="0" w:type="dxa"/>
        <w:tblLook w:val="04A0" w:firstRow="1" w:lastRow="0" w:firstColumn="1" w:lastColumn="0" w:noHBand="0" w:noVBand="1"/>
      </w:tblPr>
      <w:tblGrid>
        <w:gridCol w:w="2324"/>
        <w:gridCol w:w="2066"/>
        <w:gridCol w:w="1559"/>
        <w:gridCol w:w="4110"/>
        <w:gridCol w:w="4111"/>
      </w:tblGrid>
      <w:tr w:rsidR="000C44DE" w14:paraId="589DB551" w14:textId="77777777" w:rsidTr="00B514B7">
        <w:trPr>
          <w:tblHeader/>
        </w:trPr>
        <w:tc>
          <w:tcPr>
            <w:tcW w:w="2324" w:type="dxa"/>
            <w:tcBorders>
              <w:bottom w:val="double" w:sz="4" w:space="0" w:color="auto"/>
            </w:tcBorders>
            <w:vAlign w:val="center"/>
          </w:tcPr>
          <w:p w14:paraId="107DCC8C" w14:textId="77777777" w:rsidR="000C44DE" w:rsidRPr="00963A9D" w:rsidRDefault="000C44DE" w:rsidP="005C16E6">
            <w:pPr>
              <w:jc w:val="center"/>
              <w:rPr>
                <w:b/>
                <w:bCs/>
              </w:rPr>
            </w:pPr>
            <w:r w:rsidRPr="00963A9D">
              <w:rPr>
                <w:b/>
                <w:bCs/>
              </w:rPr>
              <w:t>BE stud</w:t>
            </w:r>
            <w:r>
              <w:rPr>
                <w:b/>
                <w:bCs/>
              </w:rPr>
              <w:t>y</w:t>
            </w:r>
            <w:r w:rsidRPr="00963A9D">
              <w:rPr>
                <w:b/>
                <w:bCs/>
              </w:rPr>
              <w:t xml:space="preserve"> used a Comparator</w:t>
            </w:r>
            <w:r>
              <w:rPr>
                <w:b/>
                <w:bCs/>
              </w:rPr>
              <w:t xml:space="preserve"> Product (CP)</w:t>
            </w:r>
            <w:r w:rsidRPr="00963A9D">
              <w:rPr>
                <w:b/>
                <w:bCs/>
              </w:rPr>
              <w:t xml:space="preserve"> from?</w:t>
            </w:r>
          </w:p>
        </w:tc>
        <w:tc>
          <w:tcPr>
            <w:tcW w:w="2066" w:type="dxa"/>
            <w:tcBorders>
              <w:bottom w:val="double" w:sz="4" w:space="0" w:color="auto"/>
            </w:tcBorders>
            <w:vAlign w:val="center"/>
          </w:tcPr>
          <w:p w14:paraId="451CE097" w14:textId="77777777" w:rsidR="000C44DE" w:rsidRPr="00963A9D" w:rsidRDefault="000C44DE" w:rsidP="005C16E6">
            <w:pPr>
              <w:jc w:val="center"/>
              <w:rPr>
                <w:b/>
                <w:bCs/>
              </w:rPr>
            </w:pPr>
            <w:r w:rsidRPr="00963A9D">
              <w:rPr>
                <w:b/>
                <w:bCs/>
              </w:rPr>
              <w:t>Access Country</w:t>
            </w:r>
          </w:p>
        </w:tc>
        <w:tc>
          <w:tcPr>
            <w:tcW w:w="1559" w:type="dxa"/>
            <w:tcBorders>
              <w:bottom w:val="double" w:sz="4" w:space="0" w:color="auto"/>
            </w:tcBorders>
            <w:vAlign w:val="center"/>
          </w:tcPr>
          <w:p w14:paraId="7FE0D080" w14:textId="77777777" w:rsidR="000C44DE" w:rsidRPr="00963A9D" w:rsidRDefault="000C44DE" w:rsidP="005C16E6">
            <w:pPr>
              <w:jc w:val="center"/>
              <w:rPr>
                <w:b/>
                <w:bCs/>
              </w:rPr>
            </w:pPr>
            <w:r w:rsidRPr="00963A9D">
              <w:rPr>
                <w:b/>
                <w:bCs/>
              </w:rPr>
              <w:t>Potentially Acceptable</w:t>
            </w:r>
          </w:p>
        </w:tc>
        <w:tc>
          <w:tcPr>
            <w:tcW w:w="4110" w:type="dxa"/>
            <w:tcBorders>
              <w:bottom w:val="double" w:sz="4" w:space="0" w:color="auto"/>
            </w:tcBorders>
            <w:vAlign w:val="center"/>
          </w:tcPr>
          <w:p w14:paraId="6EABC1EC" w14:textId="77777777" w:rsidR="000C44DE" w:rsidRPr="009C4437" w:rsidRDefault="000C44DE" w:rsidP="005C16E6">
            <w:pPr>
              <w:jc w:val="center"/>
              <w:rPr>
                <w:b/>
                <w:bCs/>
                <w:vertAlign w:val="superscript"/>
              </w:rPr>
            </w:pPr>
            <w:r>
              <w:rPr>
                <w:b/>
                <w:bCs/>
              </w:rPr>
              <w:t xml:space="preserve">Key </w:t>
            </w:r>
            <w:r w:rsidRPr="00963A9D">
              <w:rPr>
                <w:b/>
                <w:bCs/>
              </w:rPr>
              <w:t>Criteria</w:t>
            </w:r>
            <w:r>
              <w:rPr>
                <w:b/>
                <w:bCs/>
                <w:vertAlign w:val="superscript"/>
              </w:rPr>
              <w:t>1</w:t>
            </w:r>
          </w:p>
        </w:tc>
        <w:tc>
          <w:tcPr>
            <w:tcW w:w="4111" w:type="dxa"/>
            <w:tcBorders>
              <w:bottom w:val="double" w:sz="4" w:space="0" w:color="auto"/>
            </w:tcBorders>
            <w:vAlign w:val="center"/>
          </w:tcPr>
          <w:p w14:paraId="4E3B6BA7" w14:textId="77777777" w:rsidR="000C44DE" w:rsidRPr="00963A9D" w:rsidRDefault="000C44DE" w:rsidP="005C16E6">
            <w:pPr>
              <w:jc w:val="center"/>
              <w:rPr>
                <w:b/>
                <w:bCs/>
              </w:rPr>
            </w:pPr>
            <w:r>
              <w:rPr>
                <w:b/>
                <w:bCs/>
              </w:rPr>
              <w:t xml:space="preserve">Key </w:t>
            </w:r>
            <w:r w:rsidRPr="00963A9D">
              <w:rPr>
                <w:b/>
                <w:bCs/>
              </w:rPr>
              <w:t>Exceptions</w:t>
            </w:r>
            <w:r>
              <w:rPr>
                <w:b/>
                <w:bCs/>
              </w:rPr>
              <w:t>/other comments</w:t>
            </w:r>
            <w:r w:rsidRPr="00F7496D">
              <w:rPr>
                <w:b/>
                <w:bCs/>
                <w:vertAlign w:val="superscript"/>
              </w:rPr>
              <w:t>2</w:t>
            </w:r>
          </w:p>
        </w:tc>
      </w:tr>
      <w:tr w:rsidR="000C44DE" w14:paraId="6DEC8D91" w14:textId="77777777" w:rsidTr="005C16E6">
        <w:tc>
          <w:tcPr>
            <w:tcW w:w="2324" w:type="dxa"/>
            <w:vMerge w:val="restart"/>
            <w:tcBorders>
              <w:top w:val="double" w:sz="4" w:space="0" w:color="auto"/>
            </w:tcBorders>
            <w:vAlign w:val="center"/>
          </w:tcPr>
          <w:p w14:paraId="3541C17D" w14:textId="77777777" w:rsidR="000C44DE" w:rsidRDefault="000C44DE" w:rsidP="005C16E6">
            <w:pPr>
              <w:jc w:val="center"/>
            </w:pPr>
            <w:r>
              <w:t>Europe</w:t>
            </w:r>
          </w:p>
          <w:p w14:paraId="36A8A2D1" w14:textId="77777777" w:rsidR="000C44DE" w:rsidRDefault="000C44DE" w:rsidP="005C16E6">
            <w:pPr>
              <w:jc w:val="center"/>
            </w:pPr>
            <w:r>
              <w:t>(EMA Country)</w:t>
            </w:r>
          </w:p>
        </w:tc>
        <w:tc>
          <w:tcPr>
            <w:tcW w:w="2066" w:type="dxa"/>
            <w:tcBorders>
              <w:top w:val="double" w:sz="4" w:space="0" w:color="auto"/>
            </w:tcBorders>
            <w:vAlign w:val="center"/>
          </w:tcPr>
          <w:p w14:paraId="7E7AED8F" w14:textId="77777777" w:rsidR="000C44DE" w:rsidRDefault="000C44DE" w:rsidP="005C16E6">
            <w:pPr>
              <w:jc w:val="center"/>
            </w:pPr>
            <w:r>
              <w:t>Australia</w:t>
            </w:r>
          </w:p>
        </w:tc>
        <w:tc>
          <w:tcPr>
            <w:tcW w:w="1559" w:type="dxa"/>
            <w:tcBorders>
              <w:top w:val="double" w:sz="4" w:space="0" w:color="auto"/>
            </w:tcBorders>
            <w:vAlign w:val="center"/>
          </w:tcPr>
          <w:p w14:paraId="4CF88BA6" w14:textId="77777777" w:rsidR="000C44DE" w:rsidRPr="00256A23" w:rsidRDefault="000C44DE" w:rsidP="005C16E6">
            <w:pPr>
              <w:jc w:val="center"/>
              <w:rPr>
                <w:color w:val="00B050"/>
              </w:rPr>
            </w:pPr>
            <w:r w:rsidRPr="00256A23">
              <w:rPr>
                <w:color w:val="00B050"/>
              </w:rPr>
              <w:t>Y</w:t>
            </w:r>
          </w:p>
        </w:tc>
        <w:tc>
          <w:tcPr>
            <w:tcW w:w="4110" w:type="dxa"/>
            <w:tcBorders>
              <w:top w:val="double" w:sz="4" w:space="0" w:color="auto"/>
            </w:tcBorders>
          </w:tcPr>
          <w:p w14:paraId="76122D27" w14:textId="77777777" w:rsidR="000C44DE" w:rsidRDefault="000C44DE" w:rsidP="005C16E6">
            <w:pPr>
              <w:jc w:val="center"/>
            </w:pPr>
            <w:r>
              <w:t>FCP and local CP are identical in appearance</w:t>
            </w:r>
            <w:r>
              <w:rPr>
                <w:vertAlign w:val="superscript"/>
              </w:rPr>
              <w:t>3</w:t>
            </w:r>
            <w:r>
              <w:t>, are from the same global company and have similar dissolution.</w:t>
            </w:r>
          </w:p>
        </w:tc>
        <w:tc>
          <w:tcPr>
            <w:tcW w:w="4111" w:type="dxa"/>
            <w:tcBorders>
              <w:top w:val="double" w:sz="4" w:space="0" w:color="auto"/>
            </w:tcBorders>
          </w:tcPr>
          <w:p w14:paraId="325B26CE" w14:textId="77777777" w:rsidR="000C44DE" w:rsidRDefault="000C44DE" w:rsidP="005C16E6">
            <w:pPr>
              <w:jc w:val="center"/>
            </w:pPr>
            <w:r>
              <w:t>Only applies to oral dosage forms. Contact the TGA for other dosage forms.</w:t>
            </w:r>
          </w:p>
        </w:tc>
      </w:tr>
      <w:tr w:rsidR="000C44DE" w14:paraId="31F07C17" w14:textId="77777777" w:rsidTr="005C16E6">
        <w:tc>
          <w:tcPr>
            <w:tcW w:w="2324" w:type="dxa"/>
            <w:vMerge/>
            <w:vAlign w:val="center"/>
          </w:tcPr>
          <w:p w14:paraId="26FFE0A0" w14:textId="77777777" w:rsidR="000C44DE" w:rsidRDefault="000C44DE" w:rsidP="005C16E6">
            <w:pPr>
              <w:jc w:val="center"/>
            </w:pPr>
          </w:p>
        </w:tc>
        <w:tc>
          <w:tcPr>
            <w:tcW w:w="2066" w:type="dxa"/>
            <w:vAlign w:val="center"/>
          </w:tcPr>
          <w:p w14:paraId="415911CC" w14:textId="77777777" w:rsidR="000C44DE" w:rsidRDefault="000C44DE" w:rsidP="005C16E6">
            <w:pPr>
              <w:jc w:val="center"/>
            </w:pPr>
            <w:r>
              <w:t>Canada</w:t>
            </w:r>
          </w:p>
        </w:tc>
        <w:tc>
          <w:tcPr>
            <w:tcW w:w="1559" w:type="dxa"/>
            <w:vAlign w:val="center"/>
          </w:tcPr>
          <w:p w14:paraId="110C9761" w14:textId="77777777" w:rsidR="000C44DE" w:rsidRPr="00256A23" w:rsidRDefault="000C44DE" w:rsidP="005C16E6">
            <w:pPr>
              <w:jc w:val="center"/>
              <w:rPr>
                <w:color w:val="00B050"/>
              </w:rPr>
            </w:pPr>
            <w:r w:rsidRPr="00256A23">
              <w:rPr>
                <w:color w:val="00B050"/>
              </w:rPr>
              <w:t>Y</w:t>
            </w:r>
          </w:p>
        </w:tc>
        <w:tc>
          <w:tcPr>
            <w:tcW w:w="4110" w:type="dxa"/>
          </w:tcPr>
          <w:p w14:paraId="2B1816AB" w14:textId="77777777" w:rsidR="000C44DE" w:rsidRDefault="000C44DE" w:rsidP="005C16E6">
            <w:pPr>
              <w:jc w:val="center"/>
            </w:pPr>
            <w:r>
              <w:rPr>
                <w:rStyle w:val="ui-provider"/>
              </w:rPr>
              <w:t>The formulation of the FCP and the local CP are qualitatively and quantitatively the same</w:t>
            </w:r>
            <w:r w:rsidRPr="004C7DD9">
              <w:rPr>
                <w:rStyle w:val="ui-provider"/>
                <w:i/>
                <w:iCs/>
                <w:vertAlign w:val="superscript"/>
              </w:rPr>
              <w:t>1</w:t>
            </w:r>
            <w:r w:rsidRPr="004C7DD9">
              <w:rPr>
                <w:rStyle w:val="ui-provider"/>
                <w:vertAlign w:val="superscript"/>
              </w:rPr>
              <w:t xml:space="preserve"> </w:t>
            </w:r>
            <w:r>
              <w:rPr>
                <w:rStyle w:val="ui-provider"/>
              </w:rPr>
              <w:t xml:space="preserve">and are from the same innovator company or corporate entity.  The medicinal ingredient is considered to have high solubility. Depending on the drug product, comparative dissolution data, comparative physicochemical property data, </w:t>
            </w:r>
            <w:r>
              <w:rPr>
                <w:rStyle w:val="ui-provider"/>
                <w:i/>
                <w:iCs/>
              </w:rPr>
              <w:t>in-vitro</w:t>
            </w:r>
            <w:r>
              <w:rPr>
                <w:rStyle w:val="ui-provider"/>
              </w:rPr>
              <w:t xml:space="preserve"> performance data or device attribute data may also be required.</w:t>
            </w:r>
          </w:p>
        </w:tc>
        <w:tc>
          <w:tcPr>
            <w:tcW w:w="4111" w:type="dxa"/>
          </w:tcPr>
          <w:p w14:paraId="562A5AF6" w14:textId="77777777" w:rsidR="000C44DE" w:rsidRDefault="000C44DE" w:rsidP="005C16E6">
            <w:pPr>
              <w:jc w:val="center"/>
            </w:pPr>
            <w:r>
              <w:t>Modified release products (exceptions may apply). Immediate release drug products that contain Critical Dose Drugs or a drug substance that is not considered to have high solubility.</w:t>
            </w:r>
          </w:p>
        </w:tc>
      </w:tr>
      <w:tr w:rsidR="000C44DE" w14:paraId="24AF39BF" w14:textId="77777777" w:rsidTr="005C16E6">
        <w:tc>
          <w:tcPr>
            <w:tcW w:w="2324" w:type="dxa"/>
            <w:vMerge/>
            <w:vAlign w:val="center"/>
          </w:tcPr>
          <w:p w14:paraId="71D54755" w14:textId="77777777" w:rsidR="000C44DE" w:rsidRDefault="000C44DE" w:rsidP="005C16E6">
            <w:pPr>
              <w:jc w:val="center"/>
            </w:pPr>
          </w:p>
        </w:tc>
        <w:tc>
          <w:tcPr>
            <w:tcW w:w="2066" w:type="dxa"/>
            <w:vAlign w:val="center"/>
          </w:tcPr>
          <w:p w14:paraId="1E1E84F0" w14:textId="77777777" w:rsidR="000C44DE" w:rsidRDefault="000C44DE" w:rsidP="005C16E6">
            <w:pPr>
              <w:jc w:val="center"/>
            </w:pPr>
            <w:r>
              <w:t>Singapore</w:t>
            </w:r>
          </w:p>
        </w:tc>
        <w:tc>
          <w:tcPr>
            <w:tcW w:w="1559" w:type="dxa"/>
            <w:vAlign w:val="center"/>
          </w:tcPr>
          <w:p w14:paraId="13DEA4CF" w14:textId="77777777" w:rsidR="000C44DE" w:rsidRPr="00256A23" w:rsidRDefault="000C44DE" w:rsidP="005C16E6">
            <w:pPr>
              <w:jc w:val="center"/>
              <w:rPr>
                <w:color w:val="00B050"/>
              </w:rPr>
            </w:pPr>
            <w:r w:rsidRPr="00256A23">
              <w:rPr>
                <w:color w:val="00B050"/>
              </w:rPr>
              <w:t>Y</w:t>
            </w:r>
          </w:p>
        </w:tc>
        <w:tc>
          <w:tcPr>
            <w:tcW w:w="4110" w:type="dxa"/>
          </w:tcPr>
          <w:p w14:paraId="5F6566D3" w14:textId="77777777" w:rsidR="000C44DE" w:rsidRDefault="000C44DE" w:rsidP="005C16E6">
            <w:pPr>
              <w:jc w:val="center"/>
            </w:pPr>
            <w:r>
              <w:t xml:space="preserve">FCP is from the same global company as Singapore reference product (SRP) or marketed in its country of origin </w:t>
            </w:r>
            <w:r>
              <w:lastRenderedPageBreak/>
              <w:t>through a licensing arrangement with the Singapore Product Registrant.</w:t>
            </w:r>
          </w:p>
          <w:p w14:paraId="50268D62" w14:textId="77777777" w:rsidR="000C44DE" w:rsidRDefault="000C44DE" w:rsidP="005C16E6">
            <w:pPr>
              <w:jc w:val="center"/>
            </w:pPr>
            <w:r>
              <w:t>Comparative dissolution data are only required if the FCP is not manufactured at the same drug product manufacturing site as the SRP.</w:t>
            </w:r>
          </w:p>
        </w:tc>
        <w:tc>
          <w:tcPr>
            <w:tcW w:w="4111" w:type="dxa"/>
          </w:tcPr>
          <w:p w14:paraId="720AD58B" w14:textId="77777777" w:rsidR="000C44DE" w:rsidRDefault="000C44DE" w:rsidP="005C16E6">
            <w:pPr>
              <w:jc w:val="center"/>
            </w:pPr>
            <w:r>
              <w:lastRenderedPageBreak/>
              <w:t xml:space="preserve">FCP which are narrow therapeutic index drugs </w:t>
            </w:r>
            <w:r w:rsidRPr="005A03CF">
              <w:rPr>
                <w:u w:val="single"/>
              </w:rPr>
              <w:t>and</w:t>
            </w:r>
            <w:r>
              <w:t xml:space="preserve"> not manufactured at the same drug product manufacturing site as the SRP will not be accepted.</w:t>
            </w:r>
          </w:p>
        </w:tc>
      </w:tr>
      <w:tr w:rsidR="000C44DE" w14:paraId="655681F9" w14:textId="77777777" w:rsidTr="005C16E6">
        <w:tc>
          <w:tcPr>
            <w:tcW w:w="2324" w:type="dxa"/>
            <w:vMerge/>
            <w:vAlign w:val="center"/>
          </w:tcPr>
          <w:p w14:paraId="71471ECA" w14:textId="77777777" w:rsidR="000C44DE" w:rsidRDefault="000C44DE" w:rsidP="005C16E6">
            <w:pPr>
              <w:jc w:val="center"/>
            </w:pPr>
          </w:p>
        </w:tc>
        <w:tc>
          <w:tcPr>
            <w:tcW w:w="2066" w:type="dxa"/>
            <w:vAlign w:val="center"/>
          </w:tcPr>
          <w:p w14:paraId="50751362" w14:textId="77777777" w:rsidR="000C44DE" w:rsidRDefault="000C44DE" w:rsidP="005C16E6">
            <w:pPr>
              <w:jc w:val="center"/>
            </w:pPr>
            <w:r>
              <w:t>Switzerland</w:t>
            </w:r>
          </w:p>
        </w:tc>
        <w:tc>
          <w:tcPr>
            <w:tcW w:w="1559" w:type="dxa"/>
            <w:vAlign w:val="center"/>
          </w:tcPr>
          <w:p w14:paraId="367574F0" w14:textId="77777777" w:rsidR="000C44DE" w:rsidRPr="00256A23" w:rsidRDefault="000C44DE" w:rsidP="005C16E6">
            <w:pPr>
              <w:jc w:val="center"/>
              <w:rPr>
                <w:color w:val="00B050"/>
              </w:rPr>
            </w:pPr>
            <w:r w:rsidRPr="00256A23">
              <w:rPr>
                <w:color w:val="00B050"/>
              </w:rPr>
              <w:t>Y</w:t>
            </w:r>
          </w:p>
        </w:tc>
        <w:tc>
          <w:tcPr>
            <w:tcW w:w="4110" w:type="dxa"/>
          </w:tcPr>
          <w:p w14:paraId="5313E8F6" w14:textId="77777777" w:rsidR="000C44DE" w:rsidRDefault="000C44DE" w:rsidP="005C16E6">
            <w:pPr>
              <w:jc w:val="center"/>
            </w:pPr>
            <w:r>
              <w:t xml:space="preserve">Pharmaceutical bridging between FCP and local RP is eligible </w:t>
            </w:r>
            <w:proofErr w:type="gramStart"/>
            <w:r>
              <w:t>as long as</w:t>
            </w:r>
            <w:proofErr w:type="gramEnd"/>
            <w:r>
              <w:t xml:space="preserve"> the criteria listed in the respective guidance document</w:t>
            </w:r>
            <w:r w:rsidRPr="004C7DD9">
              <w:rPr>
                <w:vertAlign w:val="superscript"/>
              </w:rPr>
              <w:t>1</w:t>
            </w:r>
            <w:r>
              <w:t xml:space="preserve"> are fulfilled. These criteria cover, among others, composition, aspects concerning the pharmaceutical form including dimension/weight as well as release mechanism, and dissolution profiles.</w:t>
            </w:r>
          </w:p>
        </w:tc>
        <w:tc>
          <w:tcPr>
            <w:tcW w:w="4111" w:type="dxa"/>
          </w:tcPr>
          <w:p w14:paraId="3DDD1409" w14:textId="77777777" w:rsidR="000C44DE" w:rsidRDefault="000C44DE" w:rsidP="005C16E6">
            <w:pPr>
              <w:jc w:val="center"/>
            </w:pPr>
            <w:r>
              <w:t>No exceptions.</w:t>
            </w:r>
          </w:p>
        </w:tc>
      </w:tr>
      <w:tr w:rsidR="00D12938" w14:paraId="020E3E7D" w14:textId="77777777" w:rsidTr="005C16E6">
        <w:tc>
          <w:tcPr>
            <w:tcW w:w="2324" w:type="dxa"/>
            <w:vMerge/>
            <w:vAlign w:val="center"/>
          </w:tcPr>
          <w:p w14:paraId="42C50C17" w14:textId="77777777" w:rsidR="00D12938" w:rsidRDefault="00D12938" w:rsidP="00D12938">
            <w:pPr>
              <w:jc w:val="center"/>
            </w:pPr>
          </w:p>
        </w:tc>
        <w:tc>
          <w:tcPr>
            <w:tcW w:w="2066" w:type="dxa"/>
            <w:vAlign w:val="center"/>
          </w:tcPr>
          <w:p w14:paraId="1C6DB802" w14:textId="533524D9" w:rsidR="00D12938" w:rsidRPr="00727941" w:rsidRDefault="00D12938" w:rsidP="00D12938">
            <w:pPr>
              <w:jc w:val="center"/>
              <w:rPr>
                <w:vertAlign w:val="superscript"/>
              </w:rPr>
            </w:pPr>
            <w:r>
              <w:t>UK</w:t>
            </w:r>
            <w:r w:rsidR="002E03DB">
              <w:rPr>
                <w:vertAlign w:val="superscript"/>
              </w:rPr>
              <w:t>4</w:t>
            </w:r>
          </w:p>
        </w:tc>
        <w:tc>
          <w:tcPr>
            <w:tcW w:w="1559" w:type="dxa"/>
            <w:vAlign w:val="center"/>
          </w:tcPr>
          <w:p w14:paraId="3838DC8D" w14:textId="77777777" w:rsidR="00D12938" w:rsidRPr="00256A23" w:rsidRDefault="00D12938" w:rsidP="00D12938">
            <w:pPr>
              <w:jc w:val="center"/>
              <w:rPr>
                <w:color w:val="00B050"/>
              </w:rPr>
            </w:pPr>
            <w:r w:rsidRPr="00256A23">
              <w:rPr>
                <w:color w:val="00B050"/>
              </w:rPr>
              <w:t>Y</w:t>
            </w:r>
          </w:p>
        </w:tc>
        <w:tc>
          <w:tcPr>
            <w:tcW w:w="4110" w:type="dxa"/>
          </w:tcPr>
          <w:p w14:paraId="4F2530C6" w14:textId="77777777" w:rsidR="00D12938" w:rsidRPr="00B67DB4" w:rsidRDefault="00D12938" w:rsidP="00D12938">
            <w:pPr>
              <w:jc w:val="center"/>
            </w:pPr>
            <w:r w:rsidRPr="00B67DB4">
              <w:t xml:space="preserve">The </w:t>
            </w:r>
            <w:r>
              <w:t>F</w:t>
            </w:r>
            <w:r w:rsidRPr="00B67DB4">
              <w:t>CP would normally be expected to be:</w:t>
            </w:r>
          </w:p>
          <w:p w14:paraId="60CCE91B" w14:textId="77777777" w:rsidR="00D12938" w:rsidRPr="00B67DB4" w:rsidRDefault="00D12938" w:rsidP="00D12938">
            <w:pPr>
              <w:numPr>
                <w:ilvl w:val="0"/>
                <w:numId w:val="13"/>
              </w:numPr>
              <w:spacing w:before="0" w:after="75"/>
              <w:ind w:left="463"/>
              <w:jc w:val="center"/>
            </w:pPr>
            <w:r w:rsidRPr="00B67DB4">
              <w:t>part of the same GMA as the </w:t>
            </w:r>
            <w:r>
              <w:t xml:space="preserve">UK </w:t>
            </w:r>
            <w:r w:rsidRPr="00B67DB4">
              <w:t>RMP, or</w:t>
            </w:r>
          </w:p>
          <w:p w14:paraId="30178E18" w14:textId="77777777" w:rsidR="00D12938" w:rsidRPr="00B67DB4" w:rsidRDefault="00D12938" w:rsidP="00D12938">
            <w:pPr>
              <w:numPr>
                <w:ilvl w:val="0"/>
                <w:numId w:val="13"/>
              </w:numPr>
              <w:spacing w:before="0" w:after="75"/>
              <w:ind w:left="463"/>
              <w:jc w:val="center"/>
            </w:pPr>
            <w:r w:rsidRPr="00B67DB4">
              <w:t xml:space="preserve">marketed in the country of origin through a licensing arrangement with the innovator company or </w:t>
            </w:r>
            <w:r w:rsidRPr="00B67DB4">
              <w:lastRenderedPageBreak/>
              <w:t xml:space="preserve">corporate entity that currently markets the medicine in the </w:t>
            </w:r>
            <w:r>
              <w:t>UK</w:t>
            </w:r>
            <w:r w:rsidRPr="00B67DB4">
              <w:t>.</w:t>
            </w:r>
          </w:p>
          <w:p w14:paraId="7871CD0F" w14:textId="6DF6D5D5" w:rsidR="00D12938" w:rsidRDefault="00D12938" w:rsidP="00D12938">
            <w:pPr>
              <w:jc w:val="center"/>
            </w:pPr>
            <w:r w:rsidRPr="00B67DB4">
              <w:t xml:space="preserve">The </w:t>
            </w:r>
            <w:r>
              <w:t>F</w:t>
            </w:r>
            <w:r w:rsidRPr="00B67DB4">
              <w:t>CP used is required to be representative of the </w:t>
            </w:r>
            <w:r>
              <w:t xml:space="preserve">UK </w:t>
            </w:r>
            <w:r w:rsidRPr="00B67DB4">
              <w:t>RMP, but it is not required to be identical to it. This means that certain minor differences between both products may be accepted if justified, provided this is supported by bridging data (see published guidance on data requirements</w:t>
            </w:r>
            <w:r w:rsidR="002E03DB">
              <w:rPr>
                <w:vertAlign w:val="superscript"/>
              </w:rPr>
              <w:t>1</w:t>
            </w:r>
            <w:r w:rsidRPr="00B67DB4">
              <w:t>).</w:t>
            </w:r>
          </w:p>
        </w:tc>
        <w:tc>
          <w:tcPr>
            <w:tcW w:w="4111" w:type="dxa"/>
          </w:tcPr>
          <w:p w14:paraId="29180232" w14:textId="77777777" w:rsidR="00D12938" w:rsidRPr="00B67DB4" w:rsidRDefault="00D12938" w:rsidP="00D12938">
            <w:pPr>
              <w:jc w:val="center"/>
            </w:pPr>
            <w:r w:rsidRPr="00B67DB4">
              <w:lastRenderedPageBreak/>
              <w:t>Applies to BE, PK and TE studies provided in support of generic/hybrid applications. In case of complex products, it is recommended that MHRA are consulted for specific advice.</w:t>
            </w:r>
          </w:p>
          <w:p w14:paraId="258BDF9D" w14:textId="300B6836" w:rsidR="00D12938" w:rsidRDefault="00D12938" w:rsidP="00D12938">
            <w:pPr>
              <w:jc w:val="center"/>
            </w:pPr>
            <w:r w:rsidRPr="006D108A">
              <w:t xml:space="preserve">In </w:t>
            </w:r>
            <w:r>
              <w:t>some</w:t>
            </w:r>
            <w:r w:rsidRPr="006D108A">
              <w:t xml:space="preserve"> cases, it may be </w:t>
            </w:r>
            <w:r>
              <w:t xml:space="preserve">accepted </w:t>
            </w:r>
            <w:r w:rsidRPr="006D108A">
              <w:t xml:space="preserve">to perform studies </w:t>
            </w:r>
            <w:r>
              <w:t>using</w:t>
            </w:r>
            <w:r w:rsidRPr="006D108A">
              <w:t xml:space="preserve"> another </w:t>
            </w:r>
            <w:r>
              <w:t>CP</w:t>
            </w:r>
            <w:r w:rsidRPr="006D108A">
              <w:t xml:space="preserve">, product X, that was </w:t>
            </w:r>
            <w:r>
              <w:t xml:space="preserve">itself </w:t>
            </w:r>
            <w:r w:rsidRPr="006D108A">
              <w:t xml:space="preserve">submitted as </w:t>
            </w:r>
            <w:r>
              <w:lastRenderedPageBreak/>
              <w:t>an</w:t>
            </w:r>
            <w:r w:rsidRPr="006D108A">
              <w:t xml:space="preserve"> application referring to the RMP (e</w:t>
            </w:r>
            <w:r w:rsidR="005A4D2D">
              <w:t>.</w:t>
            </w:r>
            <w:r w:rsidRPr="006D108A">
              <w:t>g</w:t>
            </w:r>
            <w:r w:rsidR="005A4D2D">
              <w:t>.</w:t>
            </w:r>
            <w:r w:rsidRPr="006D108A">
              <w:t xml:space="preserve"> new indications, strength, route of administration, pharmaceutical form</w:t>
            </w:r>
            <w:proofErr w:type="gramStart"/>
            <w:r w:rsidRPr="006D108A">
              <w:t>)</w:t>
            </w:r>
            <w:r>
              <w:t xml:space="preserve">, </w:t>
            </w:r>
            <w:r w:rsidRPr="006D108A">
              <w:t>but</w:t>
            </w:r>
            <w:proofErr w:type="gramEnd"/>
            <w:r w:rsidRPr="006D108A">
              <w:t xml:space="preserve"> is not part of the same GMA as the RMP</w:t>
            </w:r>
            <w:r>
              <w:t>. A</w:t>
            </w:r>
            <w:r w:rsidRPr="006D108A">
              <w:t xml:space="preserve">dditional non-clinical and/or clinical studies </w:t>
            </w:r>
            <w:r>
              <w:t>would have been</w:t>
            </w:r>
            <w:r w:rsidRPr="006D108A">
              <w:t xml:space="preserve"> submitted in support of product X.  Applicants are advised to discuss the dossier requirements in such situations with the MHRA.</w:t>
            </w:r>
          </w:p>
        </w:tc>
      </w:tr>
      <w:tr w:rsidR="000C44DE" w14:paraId="5ACDD273" w14:textId="77777777" w:rsidTr="005C16E6">
        <w:tc>
          <w:tcPr>
            <w:tcW w:w="2324" w:type="dxa"/>
            <w:vMerge w:val="restart"/>
            <w:tcBorders>
              <w:top w:val="double" w:sz="4" w:space="0" w:color="auto"/>
            </w:tcBorders>
            <w:vAlign w:val="center"/>
          </w:tcPr>
          <w:p w14:paraId="12A222CE" w14:textId="77777777" w:rsidR="000C44DE" w:rsidRDefault="000C44DE" w:rsidP="005C16E6">
            <w:pPr>
              <w:jc w:val="center"/>
            </w:pPr>
            <w:r>
              <w:lastRenderedPageBreak/>
              <w:t>United States of America</w:t>
            </w:r>
          </w:p>
        </w:tc>
        <w:tc>
          <w:tcPr>
            <w:tcW w:w="2066" w:type="dxa"/>
            <w:tcBorders>
              <w:top w:val="double" w:sz="4" w:space="0" w:color="auto"/>
            </w:tcBorders>
            <w:vAlign w:val="center"/>
          </w:tcPr>
          <w:p w14:paraId="711DFCA5" w14:textId="77777777" w:rsidR="000C44DE" w:rsidRDefault="000C44DE" w:rsidP="005C16E6">
            <w:pPr>
              <w:jc w:val="center"/>
            </w:pPr>
            <w:r>
              <w:t>Australia</w:t>
            </w:r>
          </w:p>
        </w:tc>
        <w:tc>
          <w:tcPr>
            <w:tcW w:w="1559" w:type="dxa"/>
            <w:tcBorders>
              <w:top w:val="double" w:sz="4" w:space="0" w:color="auto"/>
            </w:tcBorders>
            <w:vAlign w:val="center"/>
          </w:tcPr>
          <w:p w14:paraId="26722E8B" w14:textId="77777777" w:rsidR="000C44DE" w:rsidRPr="00256A23" w:rsidRDefault="000C44DE" w:rsidP="005C16E6">
            <w:pPr>
              <w:jc w:val="center"/>
              <w:rPr>
                <w:color w:val="00B050"/>
              </w:rPr>
            </w:pPr>
            <w:r w:rsidRPr="00256A23">
              <w:rPr>
                <w:color w:val="00B050"/>
              </w:rPr>
              <w:t>Y</w:t>
            </w:r>
          </w:p>
        </w:tc>
        <w:tc>
          <w:tcPr>
            <w:tcW w:w="4110" w:type="dxa"/>
            <w:tcBorders>
              <w:top w:val="double" w:sz="4" w:space="0" w:color="auto"/>
            </w:tcBorders>
          </w:tcPr>
          <w:p w14:paraId="057053DB" w14:textId="374F8678" w:rsidR="000C44DE" w:rsidRDefault="006F1D4C" w:rsidP="005C16E6">
            <w:pPr>
              <w:jc w:val="center"/>
            </w:pPr>
            <w:r>
              <w:t>FCP and local CP are identical in appearance</w:t>
            </w:r>
            <w:r>
              <w:rPr>
                <w:vertAlign w:val="superscript"/>
              </w:rPr>
              <w:t>3</w:t>
            </w:r>
            <w:r>
              <w:t>, are from the same global company and have similar dissolution.</w:t>
            </w:r>
          </w:p>
        </w:tc>
        <w:tc>
          <w:tcPr>
            <w:tcW w:w="4111" w:type="dxa"/>
            <w:tcBorders>
              <w:top w:val="double" w:sz="4" w:space="0" w:color="auto"/>
            </w:tcBorders>
          </w:tcPr>
          <w:p w14:paraId="414DA55E" w14:textId="77777777" w:rsidR="000C44DE" w:rsidRDefault="000C44DE" w:rsidP="005C16E6">
            <w:pPr>
              <w:jc w:val="center"/>
            </w:pPr>
            <w:r>
              <w:t>Only applies to oral dosage forms. Contact the TGA for other dosage forms.</w:t>
            </w:r>
          </w:p>
        </w:tc>
      </w:tr>
      <w:tr w:rsidR="000C44DE" w14:paraId="0A72F2FE" w14:textId="77777777" w:rsidTr="005C16E6">
        <w:tc>
          <w:tcPr>
            <w:tcW w:w="2324" w:type="dxa"/>
            <w:vMerge/>
            <w:vAlign w:val="center"/>
          </w:tcPr>
          <w:p w14:paraId="250F74AC" w14:textId="77777777" w:rsidR="000C44DE" w:rsidRDefault="000C44DE" w:rsidP="005C16E6">
            <w:pPr>
              <w:jc w:val="center"/>
            </w:pPr>
          </w:p>
        </w:tc>
        <w:tc>
          <w:tcPr>
            <w:tcW w:w="2066" w:type="dxa"/>
            <w:vAlign w:val="center"/>
          </w:tcPr>
          <w:p w14:paraId="5CFBBDBA" w14:textId="77777777" w:rsidR="000C44DE" w:rsidRDefault="000C44DE" w:rsidP="005C16E6">
            <w:pPr>
              <w:jc w:val="center"/>
            </w:pPr>
            <w:r>
              <w:t>Canada</w:t>
            </w:r>
          </w:p>
        </w:tc>
        <w:tc>
          <w:tcPr>
            <w:tcW w:w="1559" w:type="dxa"/>
            <w:vAlign w:val="center"/>
          </w:tcPr>
          <w:p w14:paraId="40AA8135" w14:textId="77777777" w:rsidR="000C44DE" w:rsidRPr="00256A23" w:rsidRDefault="000C44DE" w:rsidP="005C16E6">
            <w:pPr>
              <w:jc w:val="center"/>
              <w:rPr>
                <w:color w:val="00B050"/>
              </w:rPr>
            </w:pPr>
            <w:r w:rsidRPr="00256A23">
              <w:rPr>
                <w:color w:val="00B050"/>
              </w:rPr>
              <w:t>Y</w:t>
            </w:r>
          </w:p>
        </w:tc>
        <w:tc>
          <w:tcPr>
            <w:tcW w:w="4110" w:type="dxa"/>
          </w:tcPr>
          <w:p w14:paraId="682B92A9" w14:textId="77777777" w:rsidR="000C44DE" w:rsidRDefault="000C44DE" w:rsidP="005C16E6">
            <w:pPr>
              <w:jc w:val="center"/>
            </w:pPr>
            <w:r>
              <w:rPr>
                <w:rStyle w:val="ui-provider"/>
              </w:rPr>
              <w:t>The formulation of the FCP and the local CP are qualitatively and quantitatively the same</w:t>
            </w:r>
            <w:r w:rsidRPr="004C7DD9">
              <w:rPr>
                <w:rStyle w:val="ui-provider"/>
                <w:i/>
                <w:iCs/>
                <w:vertAlign w:val="superscript"/>
              </w:rPr>
              <w:t>1</w:t>
            </w:r>
            <w:r>
              <w:rPr>
                <w:rStyle w:val="ui-provider"/>
              </w:rPr>
              <w:t xml:space="preserve"> and are from the same innovator company or corporate entity.  The medicinal ingredient is considered to have high solubility. Depending on the drug product, comparative dissolution data, comparative physicochemical property data, </w:t>
            </w:r>
            <w:r>
              <w:rPr>
                <w:rStyle w:val="ui-provider"/>
                <w:i/>
                <w:iCs/>
              </w:rPr>
              <w:t>in-vitro</w:t>
            </w:r>
            <w:r>
              <w:rPr>
                <w:rStyle w:val="ui-provider"/>
              </w:rPr>
              <w:t xml:space="preserve"> performance data or </w:t>
            </w:r>
            <w:r>
              <w:rPr>
                <w:rStyle w:val="ui-provider"/>
              </w:rPr>
              <w:lastRenderedPageBreak/>
              <w:t>device attribute data may also be required.</w:t>
            </w:r>
          </w:p>
        </w:tc>
        <w:tc>
          <w:tcPr>
            <w:tcW w:w="4111" w:type="dxa"/>
          </w:tcPr>
          <w:p w14:paraId="6AA65760" w14:textId="77777777" w:rsidR="000C44DE" w:rsidRDefault="000C44DE" w:rsidP="005C16E6">
            <w:pPr>
              <w:jc w:val="center"/>
            </w:pPr>
            <w:r>
              <w:lastRenderedPageBreak/>
              <w:t>Modified release products (exceptions may apply). Immediate release drug products that contain Critical Dose Drugs or a drug substance that is not considered to have high solubility.</w:t>
            </w:r>
          </w:p>
        </w:tc>
      </w:tr>
      <w:tr w:rsidR="000C44DE" w14:paraId="11580FCD" w14:textId="77777777" w:rsidTr="005C16E6">
        <w:tc>
          <w:tcPr>
            <w:tcW w:w="2324" w:type="dxa"/>
            <w:vMerge/>
            <w:vAlign w:val="center"/>
          </w:tcPr>
          <w:p w14:paraId="76E0AA13" w14:textId="77777777" w:rsidR="000C44DE" w:rsidRDefault="000C44DE" w:rsidP="005C16E6">
            <w:pPr>
              <w:jc w:val="center"/>
            </w:pPr>
          </w:p>
        </w:tc>
        <w:tc>
          <w:tcPr>
            <w:tcW w:w="2066" w:type="dxa"/>
            <w:vAlign w:val="center"/>
          </w:tcPr>
          <w:p w14:paraId="23E996C3" w14:textId="77777777" w:rsidR="000C44DE" w:rsidRDefault="000C44DE" w:rsidP="005C16E6">
            <w:pPr>
              <w:jc w:val="center"/>
            </w:pPr>
            <w:r>
              <w:t>Singapore</w:t>
            </w:r>
          </w:p>
        </w:tc>
        <w:tc>
          <w:tcPr>
            <w:tcW w:w="1559" w:type="dxa"/>
            <w:vAlign w:val="center"/>
          </w:tcPr>
          <w:p w14:paraId="5349740E" w14:textId="77777777" w:rsidR="000C44DE" w:rsidRPr="00256A23" w:rsidRDefault="000C44DE" w:rsidP="005C16E6">
            <w:pPr>
              <w:jc w:val="center"/>
              <w:rPr>
                <w:color w:val="00B050"/>
              </w:rPr>
            </w:pPr>
            <w:r w:rsidRPr="00256A23">
              <w:rPr>
                <w:color w:val="00B050"/>
              </w:rPr>
              <w:t>Y</w:t>
            </w:r>
          </w:p>
        </w:tc>
        <w:tc>
          <w:tcPr>
            <w:tcW w:w="4110" w:type="dxa"/>
          </w:tcPr>
          <w:p w14:paraId="43F62649" w14:textId="77777777" w:rsidR="000C44DE" w:rsidRDefault="000C44DE" w:rsidP="005C16E6">
            <w:pPr>
              <w:jc w:val="center"/>
            </w:pPr>
            <w:r>
              <w:t>FCP is from the same global company as Singapore reference product (SRP) or marketed in its country of origin through a licensing arrangement with the Singapore Product Registrant.</w:t>
            </w:r>
          </w:p>
          <w:p w14:paraId="55279942" w14:textId="77777777" w:rsidR="000C44DE" w:rsidRDefault="000C44DE" w:rsidP="005C16E6">
            <w:pPr>
              <w:jc w:val="center"/>
            </w:pPr>
            <w:r>
              <w:t>Comparative dissolution data are only required if the FCP is not manufactured at the same drug product manufacturing site as the SRP.</w:t>
            </w:r>
          </w:p>
        </w:tc>
        <w:tc>
          <w:tcPr>
            <w:tcW w:w="4111" w:type="dxa"/>
          </w:tcPr>
          <w:p w14:paraId="6B2F518A" w14:textId="77777777" w:rsidR="000C44DE" w:rsidRDefault="000C44DE" w:rsidP="005C16E6">
            <w:pPr>
              <w:jc w:val="center"/>
            </w:pPr>
            <w:r>
              <w:t xml:space="preserve">FCP which are narrow therapeutic index drugs </w:t>
            </w:r>
            <w:r w:rsidRPr="005A03CF">
              <w:rPr>
                <w:u w:val="single"/>
              </w:rPr>
              <w:t>and</w:t>
            </w:r>
            <w:r>
              <w:t xml:space="preserve"> not manufactured at the same drug product manufacturing site as the SRP will not be accepted.</w:t>
            </w:r>
          </w:p>
        </w:tc>
      </w:tr>
      <w:tr w:rsidR="000C44DE" w14:paraId="6D3C3EC3" w14:textId="77777777" w:rsidTr="005C16E6">
        <w:tc>
          <w:tcPr>
            <w:tcW w:w="2324" w:type="dxa"/>
            <w:vMerge/>
            <w:vAlign w:val="center"/>
          </w:tcPr>
          <w:p w14:paraId="7A62D7E7" w14:textId="77777777" w:rsidR="000C44DE" w:rsidRDefault="000C44DE" w:rsidP="005C16E6">
            <w:pPr>
              <w:jc w:val="center"/>
            </w:pPr>
          </w:p>
        </w:tc>
        <w:tc>
          <w:tcPr>
            <w:tcW w:w="2066" w:type="dxa"/>
            <w:vAlign w:val="center"/>
          </w:tcPr>
          <w:p w14:paraId="3D01AE1B" w14:textId="77777777" w:rsidR="000C44DE" w:rsidRDefault="000C44DE" w:rsidP="005C16E6">
            <w:pPr>
              <w:jc w:val="center"/>
            </w:pPr>
            <w:r>
              <w:t>Switzerland</w:t>
            </w:r>
          </w:p>
        </w:tc>
        <w:tc>
          <w:tcPr>
            <w:tcW w:w="1559" w:type="dxa"/>
            <w:vAlign w:val="center"/>
          </w:tcPr>
          <w:p w14:paraId="04811EF3" w14:textId="77777777" w:rsidR="000C44DE" w:rsidRPr="00256A23" w:rsidRDefault="000C44DE" w:rsidP="005C16E6">
            <w:pPr>
              <w:jc w:val="center"/>
              <w:rPr>
                <w:color w:val="00B050"/>
              </w:rPr>
            </w:pPr>
            <w:r w:rsidRPr="00256A23">
              <w:rPr>
                <w:color w:val="00B050"/>
              </w:rPr>
              <w:t>Y</w:t>
            </w:r>
          </w:p>
        </w:tc>
        <w:tc>
          <w:tcPr>
            <w:tcW w:w="4110" w:type="dxa"/>
          </w:tcPr>
          <w:p w14:paraId="688CFB49" w14:textId="77777777" w:rsidR="000C44DE" w:rsidRDefault="000C44DE" w:rsidP="005C16E6">
            <w:pPr>
              <w:jc w:val="center"/>
            </w:pPr>
            <w:r>
              <w:t xml:space="preserve">Pharmaceutical bridging between FCP and local RP is eligible </w:t>
            </w:r>
            <w:proofErr w:type="gramStart"/>
            <w:r>
              <w:t>as long as</w:t>
            </w:r>
            <w:proofErr w:type="gramEnd"/>
            <w:r>
              <w:t xml:space="preserve"> the criteria listed in the respective guidance document</w:t>
            </w:r>
            <w:r w:rsidRPr="00EA4A90">
              <w:rPr>
                <w:vertAlign w:val="superscript"/>
              </w:rPr>
              <w:t>1</w:t>
            </w:r>
            <w:r>
              <w:t xml:space="preserve"> are fulfilled. These criteria cover, among others, composition, aspects concerning the pharmaceutical form including dimension/weight as well as release mechanism, and dissolution profiles.</w:t>
            </w:r>
          </w:p>
        </w:tc>
        <w:tc>
          <w:tcPr>
            <w:tcW w:w="4111" w:type="dxa"/>
          </w:tcPr>
          <w:p w14:paraId="03910367" w14:textId="77777777" w:rsidR="000C44DE" w:rsidRDefault="000C44DE" w:rsidP="005C16E6">
            <w:pPr>
              <w:jc w:val="center"/>
            </w:pPr>
            <w:r>
              <w:t>No exceptions.</w:t>
            </w:r>
          </w:p>
        </w:tc>
      </w:tr>
      <w:tr w:rsidR="000C44DE" w14:paraId="3E797A69" w14:textId="77777777" w:rsidTr="005C16E6">
        <w:tc>
          <w:tcPr>
            <w:tcW w:w="2324" w:type="dxa"/>
            <w:vMerge/>
            <w:tcBorders>
              <w:bottom w:val="double" w:sz="4" w:space="0" w:color="auto"/>
            </w:tcBorders>
            <w:vAlign w:val="center"/>
          </w:tcPr>
          <w:p w14:paraId="5C9FC319" w14:textId="77777777" w:rsidR="000C44DE" w:rsidRDefault="000C44DE" w:rsidP="005C16E6">
            <w:pPr>
              <w:jc w:val="center"/>
            </w:pPr>
          </w:p>
        </w:tc>
        <w:tc>
          <w:tcPr>
            <w:tcW w:w="2066" w:type="dxa"/>
            <w:tcBorders>
              <w:bottom w:val="double" w:sz="4" w:space="0" w:color="auto"/>
            </w:tcBorders>
            <w:vAlign w:val="center"/>
          </w:tcPr>
          <w:p w14:paraId="780C7E74" w14:textId="5A879243" w:rsidR="000C44DE" w:rsidRDefault="00D12938" w:rsidP="005C16E6">
            <w:pPr>
              <w:jc w:val="center"/>
            </w:pPr>
            <w:r>
              <w:t>UK</w:t>
            </w:r>
            <w:r w:rsidR="000C44DE">
              <w:rPr>
                <w:vertAlign w:val="superscript"/>
              </w:rPr>
              <w:t>4</w:t>
            </w:r>
          </w:p>
        </w:tc>
        <w:tc>
          <w:tcPr>
            <w:tcW w:w="1559" w:type="dxa"/>
            <w:tcBorders>
              <w:bottom w:val="double" w:sz="4" w:space="0" w:color="auto"/>
            </w:tcBorders>
            <w:vAlign w:val="center"/>
          </w:tcPr>
          <w:p w14:paraId="125C2952" w14:textId="77777777" w:rsidR="000C44DE" w:rsidRDefault="000C44DE" w:rsidP="005C16E6">
            <w:pPr>
              <w:jc w:val="center"/>
            </w:pPr>
            <w:r w:rsidRPr="00256A23">
              <w:rPr>
                <w:color w:val="00B050"/>
              </w:rPr>
              <w:t>Y</w:t>
            </w:r>
          </w:p>
        </w:tc>
        <w:tc>
          <w:tcPr>
            <w:tcW w:w="4110" w:type="dxa"/>
            <w:tcBorders>
              <w:bottom w:val="double" w:sz="4" w:space="0" w:color="auto"/>
            </w:tcBorders>
          </w:tcPr>
          <w:p w14:paraId="74A9E7F5" w14:textId="71BBB961" w:rsidR="000C44DE" w:rsidRPr="00B67DB4" w:rsidRDefault="000C44DE" w:rsidP="00B67DB4">
            <w:pPr>
              <w:jc w:val="center"/>
            </w:pPr>
            <w:r w:rsidRPr="00B67DB4">
              <w:t xml:space="preserve">The </w:t>
            </w:r>
            <w:r w:rsidR="00D12938">
              <w:t>F</w:t>
            </w:r>
            <w:r w:rsidRPr="00B67DB4">
              <w:t>CP would normally be expected to be:</w:t>
            </w:r>
          </w:p>
          <w:p w14:paraId="3534928C" w14:textId="24A7608C" w:rsidR="000C44DE" w:rsidRPr="00B67DB4" w:rsidRDefault="000C44DE" w:rsidP="00B67DB4">
            <w:pPr>
              <w:numPr>
                <w:ilvl w:val="0"/>
                <w:numId w:val="13"/>
              </w:numPr>
              <w:spacing w:before="0" w:after="75"/>
              <w:ind w:left="463"/>
              <w:jc w:val="center"/>
            </w:pPr>
            <w:r w:rsidRPr="00B67DB4">
              <w:lastRenderedPageBreak/>
              <w:t>part of the same GMA as the </w:t>
            </w:r>
            <w:r w:rsidR="00D12938">
              <w:t xml:space="preserve">UK </w:t>
            </w:r>
            <w:r w:rsidRPr="00B67DB4">
              <w:t>RMP, or</w:t>
            </w:r>
          </w:p>
          <w:p w14:paraId="3CE6D81B" w14:textId="49C3AD5B" w:rsidR="000C44DE" w:rsidRPr="00B67DB4" w:rsidRDefault="000C44DE" w:rsidP="00B67DB4">
            <w:pPr>
              <w:numPr>
                <w:ilvl w:val="0"/>
                <w:numId w:val="13"/>
              </w:numPr>
              <w:spacing w:before="0" w:after="75"/>
              <w:ind w:left="463"/>
              <w:jc w:val="center"/>
            </w:pPr>
            <w:r w:rsidRPr="00B67DB4">
              <w:t xml:space="preserve">marketed in the country of origin through a licensing arrangement with the innovator company or corporate entity that currently markets the medicine in the </w:t>
            </w:r>
            <w:r w:rsidR="00D12938">
              <w:t>UK</w:t>
            </w:r>
            <w:r w:rsidRPr="00B67DB4">
              <w:t>.</w:t>
            </w:r>
          </w:p>
          <w:p w14:paraId="7EFD5614" w14:textId="58BA1165" w:rsidR="000C44DE" w:rsidRDefault="000C44DE" w:rsidP="00B67DB4">
            <w:pPr>
              <w:jc w:val="center"/>
            </w:pPr>
            <w:r w:rsidRPr="00B67DB4">
              <w:t xml:space="preserve">The </w:t>
            </w:r>
            <w:r w:rsidR="00D12938">
              <w:t>F</w:t>
            </w:r>
            <w:r w:rsidRPr="00B67DB4">
              <w:t>CP used is required to be representative of the </w:t>
            </w:r>
            <w:r w:rsidR="00D12938">
              <w:t xml:space="preserve">UK </w:t>
            </w:r>
            <w:r w:rsidRPr="00B67DB4">
              <w:t>RMP, but it is not required to be identical to it. This means that certain minor differences between both products may be accepted if justified, provided this is supported by bridging data (see published guidance on data requirements</w:t>
            </w:r>
            <w:r w:rsidR="002E03DB">
              <w:rPr>
                <w:vertAlign w:val="superscript"/>
              </w:rPr>
              <w:t>1</w:t>
            </w:r>
            <w:r w:rsidRPr="00B67DB4">
              <w:t>).</w:t>
            </w:r>
          </w:p>
        </w:tc>
        <w:tc>
          <w:tcPr>
            <w:tcW w:w="4111" w:type="dxa"/>
            <w:tcBorders>
              <w:bottom w:val="double" w:sz="4" w:space="0" w:color="auto"/>
            </w:tcBorders>
          </w:tcPr>
          <w:p w14:paraId="57DC280A" w14:textId="77777777" w:rsidR="000C44DE" w:rsidRPr="00B67DB4" w:rsidRDefault="000C44DE" w:rsidP="005C16E6">
            <w:pPr>
              <w:jc w:val="center"/>
            </w:pPr>
            <w:r w:rsidRPr="00B67DB4">
              <w:lastRenderedPageBreak/>
              <w:t xml:space="preserve">Applies to BE, PK and TE studies provided in support of generic/hybrid applications. In case of complex </w:t>
            </w:r>
            <w:r w:rsidRPr="00B67DB4">
              <w:lastRenderedPageBreak/>
              <w:t>products, it is recommended that MHRA are consulted for specific advice.</w:t>
            </w:r>
          </w:p>
          <w:p w14:paraId="266CFED8" w14:textId="18DC172B" w:rsidR="000C44DE" w:rsidRPr="00B67DB4" w:rsidRDefault="000C44DE" w:rsidP="00497056">
            <w:pPr>
              <w:jc w:val="center"/>
            </w:pPr>
            <w:r w:rsidRPr="00B67DB4">
              <w:t>In some cases, it may be accepted to perform studies using another CP, product X, that was itself submitted as an application referring to the RMP</w:t>
            </w:r>
            <w:r w:rsidRPr="006D108A">
              <w:t xml:space="preserve"> (e</w:t>
            </w:r>
            <w:r w:rsidR="005A4D2D">
              <w:t>.</w:t>
            </w:r>
            <w:r w:rsidRPr="006D108A">
              <w:t>g</w:t>
            </w:r>
            <w:r w:rsidR="005A4D2D">
              <w:t>.</w:t>
            </w:r>
            <w:r w:rsidRPr="006D108A">
              <w:t xml:space="preserve"> new indications, strength, route of administration, pharmaceutical form</w:t>
            </w:r>
            <w:proofErr w:type="gramStart"/>
            <w:r w:rsidRPr="006D108A">
              <w:t>)</w:t>
            </w:r>
            <w:r>
              <w:t xml:space="preserve">, </w:t>
            </w:r>
            <w:r w:rsidRPr="006D108A">
              <w:t>but</w:t>
            </w:r>
            <w:proofErr w:type="gramEnd"/>
            <w:r w:rsidRPr="006D108A">
              <w:t xml:space="preserve"> is not part of the same GMA as the RMP</w:t>
            </w:r>
            <w:r>
              <w:t>. A</w:t>
            </w:r>
            <w:r w:rsidRPr="006D108A">
              <w:t xml:space="preserve">dditional non-clinical and/or clinical studies </w:t>
            </w:r>
            <w:r>
              <w:t>would have been</w:t>
            </w:r>
            <w:r w:rsidRPr="006D108A">
              <w:t xml:space="preserve"> submitted in support of product X.  Applicants are advised to discuss the dossier requirements in such situations with the MHRA.</w:t>
            </w:r>
          </w:p>
        </w:tc>
      </w:tr>
      <w:tr w:rsidR="000C44DE" w14:paraId="0F2485EF" w14:textId="77777777" w:rsidTr="005C16E6">
        <w:tc>
          <w:tcPr>
            <w:tcW w:w="2324" w:type="dxa"/>
            <w:vMerge w:val="restart"/>
            <w:tcBorders>
              <w:top w:val="double" w:sz="4" w:space="0" w:color="auto"/>
            </w:tcBorders>
            <w:vAlign w:val="center"/>
          </w:tcPr>
          <w:p w14:paraId="5559F518" w14:textId="77777777" w:rsidR="000C44DE" w:rsidRDefault="000C44DE" w:rsidP="005C16E6">
            <w:pPr>
              <w:jc w:val="center"/>
            </w:pPr>
            <w:r>
              <w:lastRenderedPageBreak/>
              <w:t>Canada</w:t>
            </w:r>
          </w:p>
        </w:tc>
        <w:tc>
          <w:tcPr>
            <w:tcW w:w="2066" w:type="dxa"/>
            <w:tcBorders>
              <w:top w:val="double" w:sz="4" w:space="0" w:color="auto"/>
            </w:tcBorders>
            <w:vAlign w:val="center"/>
          </w:tcPr>
          <w:p w14:paraId="771C8995" w14:textId="77777777" w:rsidR="000C44DE" w:rsidRDefault="000C44DE" w:rsidP="005C16E6">
            <w:pPr>
              <w:jc w:val="center"/>
            </w:pPr>
            <w:r>
              <w:t>Australia</w:t>
            </w:r>
          </w:p>
        </w:tc>
        <w:tc>
          <w:tcPr>
            <w:tcW w:w="1559" w:type="dxa"/>
            <w:tcBorders>
              <w:top w:val="double" w:sz="4" w:space="0" w:color="auto"/>
            </w:tcBorders>
            <w:vAlign w:val="center"/>
          </w:tcPr>
          <w:p w14:paraId="1CD7209A" w14:textId="77777777" w:rsidR="000C44DE" w:rsidRPr="00D00F7C" w:rsidRDefault="000C44DE" w:rsidP="005C16E6">
            <w:pPr>
              <w:jc w:val="center"/>
              <w:rPr>
                <w:color w:val="00B050"/>
              </w:rPr>
            </w:pPr>
            <w:r w:rsidRPr="00D00F7C">
              <w:rPr>
                <w:color w:val="00B050"/>
              </w:rPr>
              <w:t>Y</w:t>
            </w:r>
          </w:p>
        </w:tc>
        <w:tc>
          <w:tcPr>
            <w:tcW w:w="4110" w:type="dxa"/>
            <w:tcBorders>
              <w:top w:val="double" w:sz="4" w:space="0" w:color="auto"/>
            </w:tcBorders>
          </w:tcPr>
          <w:p w14:paraId="040A7703" w14:textId="25E2A78F" w:rsidR="000C44DE" w:rsidRDefault="006F1D4C" w:rsidP="005C16E6">
            <w:pPr>
              <w:jc w:val="center"/>
            </w:pPr>
            <w:r>
              <w:t>FCP and local CP are identical in appearance</w:t>
            </w:r>
            <w:r>
              <w:rPr>
                <w:vertAlign w:val="superscript"/>
              </w:rPr>
              <w:t>3</w:t>
            </w:r>
            <w:r>
              <w:t>, are from the same global company and have similar dissolution.</w:t>
            </w:r>
          </w:p>
        </w:tc>
        <w:tc>
          <w:tcPr>
            <w:tcW w:w="4111" w:type="dxa"/>
            <w:tcBorders>
              <w:top w:val="double" w:sz="4" w:space="0" w:color="auto"/>
            </w:tcBorders>
          </w:tcPr>
          <w:p w14:paraId="20845102" w14:textId="77777777" w:rsidR="000C44DE" w:rsidRDefault="000C44DE" w:rsidP="005C16E6">
            <w:pPr>
              <w:jc w:val="center"/>
            </w:pPr>
            <w:r>
              <w:t>Only applies to oral dosage forms. Contact the TGA for other dosage forms.</w:t>
            </w:r>
          </w:p>
        </w:tc>
      </w:tr>
      <w:tr w:rsidR="000C44DE" w14:paraId="13DFA54C" w14:textId="77777777" w:rsidTr="005C16E6">
        <w:tc>
          <w:tcPr>
            <w:tcW w:w="2324" w:type="dxa"/>
            <w:vMerge/>
            <w:vAlign w:val="center"/>
          </w:tcPr>
          <w:p w14:paraId="0732CAE4" w14:textId="77777777" w:rsidR="000C44DE" w:rsidRDefault="000C44DE" w:rsidP="005C16E6">
            <w:pPr>
              <w:jc w:val="center"/>
            </w:pPr>
          </w:p>
        </w:tc>
        <w:tc>
          <w:tcPr>
            <w:tcW w:w="2066" w:type="dxa"/>
            <w:vAlign w:val="center"/>
          </w:tcPr>
          <w:p w14:paraId="429E2E9F" w14:textId="77777777" w:rsidR="000C44DE" w:rsidRDefault="000C44DE" w:rsidP="005C16E6">
            <w:pPr>
              <w:jc w:val="center"/>
            </w:pPr>
            <w:r>
              <w:t>Canada</w:t>
            </w:r>
          </w:p>
        </w:tc>
        <w:tc>
          <w:tcPr>
            <w:tcW w:w="1559" w:type="dxa"/>
            <w:vAlign w:val="center"/>
          </w:tcPr>
          <w:p w14:paraId="496F6087" w14:textId="77777777" w:rsidR="000C44DE" w:rsidRPr="00D00F7C" w:rsidRDefault="000C44DE" w:rsidP="005C16E6">
            <w:pPr>
              <w:jc w:val="center"/>
              <w:rPr>
                <w:color w:val="00B050"/>
              </w:rPr>
            </w:pPr>
            <w:r w:rsidRPr="00D00F7C">
              <w:rPr>
                <w:color w:val="00B050"/>
              </w:rPr>
              <w:t>Y</w:t>
            </w:r>
          </w:p>
        </w:tc>
        <w:tc>
          <w:tcPr>
            <w:tcW w:w="4110" w:type="dxa"/>
          </w:tcPr>
          <w:p w14:paraId="50D701EB" w14:textId="77777777" w:rsidR="000C44DE" w:rsidRDefault="000C44DE" w:rsidP="005C16E6">
            <w:pPr>
              <w:jc w:val="center"/>
            </w:pPr>
            <w:r>
              <w:t>Canadian Comparator Product always accepted</w:t>
            </w:r>
          </w:p>
        </w:tc>
        <w:tc>
          <w:tcPr>
            <w:tcW w:w="4111" w:type="dxa"/>
          </w:tcPr>
          <w:p w14:paraId="63717D45" w14:textId="77777777" w:rsidR="000C44DE" w:rsidRDefault="000C44DE" w:rsidP="005C16E6">
            <w:pPr>
              <w:jc w:val="center"/>
            </w:pPr>
            <w:r>
              <w:t>-----</w:t>
            </w:r>
          </w:p>
        </w:tc>
      </w:tr>
      <w:tr w:rsidR="000C44DE" w14:paraId="291511D3" w14:textId="77777777" w:rsidTr="005C16E6">
        <w:tc>
          <w:tcPr>
            <w:tcW w:w="2324" w:type="dxa"/>
            <w:vMerge/>
            <w:vAlign w:val="center"/>
          </w:tcPr>
          <w:p w14:paraId="05D5174D" w14:textId="77777777" w:rsidR="000C44DE" w:rsidRDefault="000C44DE" w:rsidP="005C16E6">
            <w:pPr>
              <w:jc w:val="center"/>
            </w:pPr>
          </w:p>
        </w:tc>
        <w:tc>
          <w:tcPr>
            <w:tcW w:w="2066" w:type="dxa"/>
            <w:vAlign w:val="center"/>
          </w:tcPr>
          <w:p w14:paraId="5AEB8B69" w14:textId="77777777" w:rsidR="000C44DE" w:rsidRDefault="000C44DE" w:rsidP="005C16E6">
            <w:pPr>
              <w:jc w:val="center"/>
            </w:pPr>
            <w:r>
              <w:t>Singapore</w:t>
            </w:r>
          </w:p>
        </w:tc>
        <w:tc>
          <w:tcPr>
            <w:tcW w:w="1559" w:type="dxa"/>
            <w:vAlign w:val="center"/>
          </w:tcPr>
          <w:p w14:paraId="19501BF4" w14:textId="77777777" w:rsidR="000C44DE" w:rsidRPr="00D00F7C" w:rsidRDefault="000C44DE" w:rsidP="005C16E6">
            <w:pPr>
              <w:jc w:val="center"/>
              <w:rPr>
                <w:color w:val="00B050"/>
              </w:rPr>
            </w:pPr>
            <w:r w:rsidRPr="00D00F7C">
              <w:rPr>
                <w:color w:val="00B050"/>
              </w:rPr>
              <w:t>Y</w:t>
            </w:r>
          </w:p>
        </w:tc>
        <w:tc>
          <w:tcPr>
            <w:tcW w:w="4110" w:type="dxa"/>
          </w:tcPr>
          <w:p w14:paraId="314D2D31" w14:textId="77777777" w:rsidR="000C44DE" w:rsidRDefault="000C44DE" w:rsidP="005C16E6">
            <w:pPr>
              <w:jc w:val="center"/>
            </w:pPr>
            <w:r>
              <w:t xml:space="preserve">FCP is from the same global company as Singapore reference product (SRP) or </w:t>
            </w:r>
            <w:r>
              <w:lastRenderedPageBreak/>
              <w:t>marketed in its country of origin through a licensing arrangement with the Singapore Product Registrant.</w:t>
            </w:r>
          </w:p>
          <w:p w14:paraId="78CB8A90" w14:textId="77777777" w:rsidR="000C44DE" w:rsidRDefault="000C44DE" w:rsidP="005C16E6">
            <w:pPr>
              <w:jc w:val="center"/>
            </w:pPr>
            <w:r>
              <w:t>Comparative dissolution data are only required if the FCP is not manufactured at the same drug product manufacturing site as the SRP.</w:t>
            </w:r>
          </w:p>
        </w:tc>
        <w:tc>
          <w:tcPr>
            <w:tcW w:w="4111" w:type="dxa"/>
          </w:tcPr>
          <w:p w14:paraId="338FA761" w14:textId="77777777" w:rsidR="000C44DE" w:rsidRDefault="000C44DE" w:rsidP="005C16E6">
            <w:pPr>
              <w:jc w:val="center"/>
            </w:pPr>
            <w:r>
              <w:lastRenderedPageBreak/>
              <w:t xml:space="preserve">FCP which are narrow therapeutic index drugs </w:t>
            </w:r>
            <w:r w:rsidRPr="005A03CF">
              <w:rPr>
                <w:u w:val="single"/>
              </w:rPr>
              <w:t>and</w:t>
            </w:r>
            <w:r>
              <w:t xml:space="preserve"> not manufactured at </w:t>
            </w:r>
            <w:r>
              <w:lastRenderedPageBreak/>
              <w:t>the same drug product manufacturing site as the SRP will not be accepted.</w:t>
            </w:r>
          </w:p>
        </w:tc>
      </w:tr>
      <w:tr w:rsidR="000C44DE" w14:paraId="14C32FED" w14:textId="77777777" w:rsidTr="005C16E6">
        <w:tc>
          <w:tcPr>
            <w:tcW w:w="2324" w:type="dxa"/>
            <w:vMerge/>
            <w:vAlign w:val="center"/>
          </w:tcPr>
          <w:p w14:paraId="2859A079" w14:textId="77777777" w:rsidR="000C44DE" w:rsidRDefault="000C44DE" w:rsidP="005C16E6">
            <w:pPr>
              <w:jc w:val="center"/>
            </w:pPr>
          </w:p>
        </w:tc>
        <w:tc>
          <w:tcPr>
            <w:tcW w:w="2066" w:type="dxa"/>
            <w:vAlign w:val="center"/>
          </w:tcPr>
          <w:p w14:paraId="116E0D1D" w14:textId="77777777" w:rsidR="000C44DE" w:rsidRDefault="000C44DE" w:rsidP="005C16E6">
            <w:pPr>
              <w:jc w:val="center"/>
            </w:pPr>
            <w:r>
              <w:t>Switzerland</w:t>
            </w:r>
          </w:p>
        </w:tc>
        <w:tc>
          <w:tcPr>
            <w:tcW w:w="1559" w:type="dxa"/>
            <w:vAlign w:val="center"/>
          </w:tcPr>
          <w:p w14:paraId="45F9CC21" w14:textId="77777777" w:rsidR="000C44DE" w:rsidRPr="00D00F7C" w:rsidRDefault="000C44DE" w:rsidP="005C16E6">
            <w:pPr>
              <w:jc w:val="center"/>
              <w:rPr>
                <w:color w:val="00B050"/>
              </w:rPr>
            </w:pPr>
            <w:r w:rsidRPr="00D00F7C">
              <w:rPr>
                <w:color w:val="00B050"/>
              </w:rPr>
              <w:t>Y</w:t>
            </w:r>
          </w:p>
        </w:tc>
        <w:tc>
          <w:tcPr>
            <w:tcW w:w="4110" w:type="dxa"/>
          </w:tcPr>
          <w:p w14:paraId="1B18E97A" w14:textId="77777777" w:rsidR="000C44DE" w:rsidRDefault="000C44DE" w:rsidP="005C16E6">
            <w:pPr>
              <w:jc w:val="center"/>
            </w:pPr>
            <w:r>
              <w:t xml:space="preserve">Pharmaceutical bridging between FCP and local RP is eligible </w:t>
            </w:r>
            <w:proofErr w:type="gramStart"/>
            <w:r>
              <w:t>as long as</w:t>
            </w:r>
            <w:proofErr w:type="gramEnd"/>
            <w:r>
              <w:t xml:space="preserve"> the criteria listed in the respective guidance document</w:t>
            </w:r>
            <w:r w:rsidRPr="00EA4A90">
              <w:rPr>
                <w:vertAlign w:val="superscript"/>
              </w:rPr>
              <w:t>1</w:t>
            </w:r>
            <w:r>
              <w:t xml:space="preserve"> are fulfilled. These criteria cover, among others, composition, aspects concerning the pharmaceutical form including dimension/weight as well as release mechanism, and dissolution profiles.</w:t>
            </w:r>
          </w:p>
        </w:tc>
        <w:tc>
          <w:tcPr>
            <w:tcW w:w="4111" w:type="dxa"/>
          </w:tcPr>
          <w:p w14:paraId="25C1BED8" w14:textId="77777777" w:rsidR="000C44DE" w:rsidRDefault="000C44DE" w:rsidP="005C16E6">
            <w:pPr>
              <w:jc w:val="center"/>
            </w:pPr>
            <w:r>
              <w:t>No exceptions.</w:t>
            </w:r>
          </w:p>
        </w:tc>
      </w:tr>
      <w:tr w:rsidR="000C44DE" w14:paraId="58FF304E" w14:textId="77777777" w:rsidTr="005C16E6">
        <w:tc>
          <w:tcPr>
            <w:tcW w:w="2324" w:type="dxa"/>
            <w:vMerge/>
            <w:vAlign w:val="center"/>
          </w:tcPr>
          <w:p w14:paraId="1F124734" w14:textId="77777777" w:rsidR="000C44DE" w:rsidRDefault="000C44DE" w:rsidP="005C16E6">
            <w:pPr>
              <w:jc w:val="center"/>
            </w:pPr>
          </w:p>
        </w:tc>
        <w:tc>
          <w:tcPr>
            <w:tcW w:w="2066" w:type="dxa"/>
            <w:vAlign w:val="center"/>
          </w:tcPr>
          <w:p w14:paraId="1B4260E5" w14:textId="753A379D" w:rsidR="000C44DE" w:rsidRDefault="000C44DE" w:rsidP="005C16E6">
            <w:pPr>
              <w:jc w:val="center"/>
            </w:pPr>
          </w:p>
        </w:tc>
        <w:tc>
          <w:tcPr>
            <w:tcW w:w="1559" w:type="dxa"/>
            <w:vAlign w:val="center"/>
          </w:tcPr>
          <w:p w14:paraId="5C8C0436" w14:textId="55747FC4" w:rsidR="000C44DE" w:rsidRPr="00D00F7C" w:rsidRDefault="000C44DE" w:rsidP="005C16E6">
            <w:pPr>
              <w:jc w:val="center"/>
              <w:rPr>
                <w:color w:val="00B050"/>
              </w:rPr>
            </w:pPr>
          </w:p>
        </w:tc>
        <w:tc>
          <w:tcPr>
            <w:tcW w:w="4110" w:type="dxa"/>
          </w:tcPr>
          <w:p w14:paraId="028A6F5A" w14:textId="7156543F" w:rsidR="000C44DE" w:rsidRDefault="000C44DE" w:rsidP="005C16E6">
            <w:pPr>
              <w:jc w:val="center"/>
            </w:pPr>
          </w:p>
        </w:tc>
        <w:tc>
          <w:tcPr>
            <w:tcW w:w="4111" w:type="dxa"/>
          </w:tcPr>
          <w:p w14:paraId="13DE7A1C" w14:textId="17EAF11F" w:rsidR="000C44DE" w:rsidRDefault="000C44DE" w:rsidP="005C16E6">
            <w:pPr>
              <w:jc w:val="center"/>
            </w:pPr>
          </w:p>
        </w:tc>
      </w:tr>
      <w:tr w:rsidR="000C44DE" w14:paraId="2D99CE09" w14:textId="77777777" w:rsidTr="005C16E6">
        <w:tc>
          <w:tcPr>
            <w:tcW w:w="2324" w:type="dxa"/>
            <w:vMerge/>
            <w:tcBorders>
              <w:bottom w:val="double" w:sz="4" w:space="0" w:color="auto"/>
            </w:tcBorders>
            <w:vAlign w:val="center"/>
          </w:tcPr>
          <w:p w14:paraId="50ED10A7" w14:textId="77777777" w:rsidR="000C44DE" w:rsidRDefault="000C44DE" w:rsidP="005C16E6">
            <w:pPr>
              <w:jc w:val="center"/>
            </w:pPr>
          </w:p>
        </w:tc>
        <w:tc>
          <w:tcPr>
            <w:tcW w:w="2066" w:type="dxa"/>
            <w:tcBorders>
              <w:bottom w:val="double" w:sz="4" w:space="0" w:color="auto"/>
            </w:tcBorders>
            <w:vAlign w:val="center"/>
          </w:tcPr>
          <w:p w14:paraId="31A4BB39" w14:textId="2B30EC08" w:rsidR="000C44DE" w:rsidRDefault="00D12938" w:rsidP="005C16E6">
            <w:pPr>
              <w:jc w:val="center"/>
            </w:pPr>
            <w:r>
              <w:t>UK</w:t>
            </w:r>
            <w:r w:rsidR="000C44DE" w:rsidRPr="00F7496D">
              <w:rPr>
                <w:vertAlign w:val="superscript"/>
              </w:rPr>
              <w:t>4</w:t>
            </w:r>
          </w:p>
        </w:tc>
        <w:tc>
          <w:tcPr>
            <w:tcW w:w="1559" w:type="dxa"/>
            <w:tcBorders>
              <w:bottom w:val="double" w:sz="4" w:space="0" w:color="auto"/>
            </w:tcBorders>
            <w:vAlign w:val="center"/>
          </w:tcPr>
          <w:p w14:paraId="17AF4A68" w14:textId="77777777" w:rsidR="000C44DE" w:rsidRPr="00D00F7C" w:rsidRDefault="000C44DE" w:rsidP="005C16E6">
            <w:pPr>
              <w:jc w:val="center"/>
              <w:rPr>
                <w:color w:val="00B050"/>
              </w:rPr>
            </w:pPr>
            <w:r w:rsidRPr="00D00F7C">
              <w:rPr>
                <w:color w:val="00B050"/>
              </w:rPr>
              <w:t>Y</w:t>
            </w:r>
          </w:p>
        </w:tc>
        <w:tc>
          <w:tcPr>
            <w:tcW w:w="4110" w:type="dxa"/>
            <w:tcBorders>
              <w:bottom w:val="double" w:sz="4" w:space="0" w:color="auto"/>
            </w:tcBorders>
          </w:tcPr>
          <w:p w14:paraId="3AC6434F" w14:textId="20F33616" w:rsidR="000C44DE" w:rsidRPr="00B67DB4" w:rsidRDefault="000C44DE" w:rsidP="00B67DB4">
            <w:pPr>
              <w:jc w:val="center"/>
            </w:pPr>
            <w:r w:rsidRPr="00B67DB4">
              <w:t xml:space="preserve">The </w:t>
            </w:r>
            <w:r w:rsidR="00D12938">
              <w:t>F</w:t>
            </w:r>
            <w:r w:rsidRPr="00B67DB4">
              <w:t>CP would normally be expected to be:</w:t>
            </w:r>
          </w:p>
          <w:p w14:paraId="63110B22" w14:textId="272087DC" w:rsidR="000C44DE" w:rsidRPr="00B67DB4" w:rsidRDefault="000C44DE" w:rsidP="00B67DB4">
            <w:pPr>
              <w:pStyle w:val="ListParagraph"/>
              <w:numPr>
                <w:ilvl w:val="0"/>
                <w:numId w:val="14"/>
              </w:numPr>
              <w:jc w:val="center"/>
              <w:rPr>
                <w:rFonts w:eastAsiaTheme="minorEastAsia"/>
              </w:rPr>
            </w:pPr>
            <w:r w:rsidRPr="00B67DB4">
              <w:rPr>
                <w:rFonts w:eastAsiaTheme="minorEastAsia"/>
              </w:rPr>
              <w:t>part of the same GMA as the </w:t>
            </w:r>
            <w:r w:rsidR="00D12938">
              <w:rPr>
                <w:rFonts w:eastAsiaTheme="minorEastAsia"/>
              </w:rPr>
              <w:t xml:space="preserve">UK </w:t>
            </w:r>
            <w:r w:rsidRPr="00B67DB4">
              <w:rPr>
                <w:rFonts w:eastAsiaTheme="minorEastAsia"/>
              </w:rPr>
              <w:t>RMP, or</w:t>
            </w:r>
          </w:p>
          <w:p w14:paraId="1FE50499" w14:textId="2D6EB153" w:rsidR="000C44DE" w:rsidRPr="00B67DB4" w:rsidRDefault="000C44DE" w:rsidP="00B67DB4">
            <w:pPr>
              <w:pStyle w:val="ListParagraph"/>
              <w:numPr>
                <w:ilvl w:val="0"/>
                <w:numId w:val="14"/>
              </w:numPr>
              <w:jc w:val="center"/>
              <w:rPr>
                <w:rFonts w:eastAsiaTheme="minorEastAsia"/>
              </w:rPr>
            </w:pPr>
            <w:r w:rsidRPr="00B67DB4">
              <w:rPr>
                <w:rFonts w:eastAsiaTheme="minorEastAsia"/>
              </w:rPr>
              <w:lastRenderedPageBreak/>
              <w:t xml:space="preserve">marketed in the country of origin through a licensing arrangement with the innovator company or corporate entity that currently markets the medicine in the </w:t>
            </w:r>
            <w:r w:rsidR="00D12938">
              <w:rPr>
                <w:rFonts w:eastAsiaTheme="minorEastAsia"/>
              </w:rPr>
              <w:t>UK</w:t>
            </w:r>
            <w:r w:rsidRPr="00B67DB4">
              <w:rPr>
                <w:rFonts w:eastAsiaTheme="minorEastAsia"/>
              </w:rPr>
              <w:t>.</w:t>
            </w:r>
          </w:p>
          <w:p w14:paraId="2FEE34FB" w14:textId="0A9593FF" w:rsidR="000C44DE" w:rsidRDefault="000C44DE" w:rsidP="005C16E6">
            <w:pPr>
              <w:jc w:val="center"/>
            </w:pPr>
            <w:r w:rsidRPr="00B67DB4">
              <w:t xml:space="preserve">The </w:t>
            </w:r>
            <w:r w:rsidR="00D12938">
              <w:t>F</w:t>
            </w:r>
            <w:r w:rsidRPr="00B67DB4">
              <w:t> CP used is required to be representative of the </w:t>
            </w:r>
            <w:r w:rsidR="00D12938">
              <w:t xml:space="preserve">UK </w:t>
            </w:r>
            <w:r w:rsidRPr="00B67DB4">
              <w:t>RMP, but it is not required to be identical to it. This means that certain minor differences between both products may be accepted if justified, provided this is supported by bridging data (see published guidance on data requirements</w:t>
            </w:r>
            <w:r w:rsidR="002E03DB">
              <w:rPr>
                <w:vertAlign w:val="superscript"/>
              </w:rPr>
              <w:t>1</w:t>
            </w:r>
            <w:r w:rsidRPr="00B67DB4">
              <w:t>).</w:t>
            </w:r>
          </w:p>
        </w:tc>
        <w:tc>
          <w:tcPr>
            <w:tcW w:w="4111" w:type="dxa"/>
            <w:tcBorders>
              <w:bottom w:val="double" w:sz="4" w:space="0" w:color="auto"/>
            </w:tcBorders>
          </w:tcPr>
          <w:p w14:paraId="60733B07" w14:textId="77777777" w:rsidR="000C44DE" w:rsidRPr="00B67DB4" w:rsidRDefault="000C44DE" w:rsidP="005C16E6">
            <w:pPr>
              <w:jc w:val="center"/>
            </w:pPr>
            <w:r w:rsidRPr="00B67DB4">
              <w:lastRenderedPageBreak/>
              <w:t>Applies to BE, PK and TE studies provided in support of generic/hybrid applications. In case of complex products, it is recommended that MHRA are consulted for specific advice.</w:t>
            </w:r>
          </w:p>
          <w:p w14:paraId="2532EC23" w14:textId="6D17B2A1" w:rsidR="000C44DE" w:rsidRDefault="000C44DE" w:rsidP="00497056">
            <w:pPr>
              <w:jc w:val="center"/>
            </w:pPr>
            <w:r w:rsidRPr="006D108A">
              <w:lastRenderedPageBreak/>
              <w:t xml:space="preserve">In </w:t>
            </w:r>
            <w:r>
              <w:t>some</w:t>
            </w:r>
            <w:r w:rsidRPr="006D108A">
              <w:t xml:space="preserve"> cases, it may be </w:t>
            </w:r>
            <w:r>
              <w:t xml:space="preserve">accepted </w:t>
            </w:r>
            <w:r w:rsidRPr="006D108A">
              <w:t xml:space="preserve">to perform studies </w:t>
            </w:r>
            <w:r>
              <w:t>using</w:t>
            </w:r>
            <w:r w:rsidRPr="006D108A">
              <w:t xml:space="preserve"> another </w:t>
            </w:r>
            <w:r>
              <w:t>CP</w:t>
            </w:r>
            <w:r w:rsidRPr="006D108A">
              <w:t xml:space="preserve">, product X, that was </w:t>
            </w:r>
            <w:r>
              <w:t xml:space="preserve">itself </w:t>
            </w:r>
            <w:r w:rsidRPr="006D108A">
              <w:t xml:space="preserve">submitted as </w:t>
            </w:r>
            <w:r>
              <w:t>an</w:t>
            </w:r>
            <w:r w:rsidRPr="006D108A">
              <w:t xml:space="preserve"> application referring to the RMP (e</w:t>
            </w:r>
            <w:r w:rsidR="005A4D2D">
              <w:t>.</w:t>
            </w:r>
            <w:r w:rsidRPr="006D108A">
              <w:t>g</w:t>
            </w:r>
            <w:r w:rsidR="005A4D2D">
              <w:t>.</w:t>
            </w:r>
            <w:r w:rsidRPr="006D108A">
              <w:t xml:space="preserve"> new indications, strength, route of administration, pharmaceutical form</w:t>
            </w:r>
            <w:proofErr w:type="gramStart"/>
            <w:r w:rsidRPr="006D108A">
              <w:t>)</w:t>
            </w:r>
            <w:r>
              <w:t xml:space="preserve">, </w:t>
            </w:r>
            <w:r w:rsidRPr="006D108A">
              <w:t>but</w:t>
            </w:r>
            <w:proofErr w:type="gramEnd"/>
            <w:r w:rsidRPr="006D108A">
              <w:t xml:space="preserve"> is not part of the same GMA as the RMP</w:t>
            </w:r>
            <w:r>
              <w:t>. A</w:t>
            </w:r>
            <w:r w:rsidRPr="006D108A">
              <w:t xml:space="preserve">dditional non-clinical and/or clinical studies </w:t>
            </w:r>
            <w:r>
              <w:t>would have been</w:t>
            </w:r>
            <w:r w:rsidRPr="006D108A">
              <w:t xml:space="preserve"> submitted in support of product X.  Applicants are advised to discuss the dossier requirements in such situations with the MHRA.</w:t>
            </w:r>
          </w:p>
        </w:tc>
      </w:tr>
      <w:tr w:rsidR="000C44DE" w14:paraId="7D7D5AE3" w14:textId="77777777" w:rsidTr="005C16E6">
        <w:tc>
          <w:tcPr>
            <w:tcW w:w="2324" w:type="dxa"/>
            <w:vMerge w:val="restart"/>
            <w:tcBorders>
              <w:top w:val="double" w:sz="4" w:space="0" w:color="auto"/>
            </w:tcBorders>
            <w:vAlign w:val="center"/>
          </w:tcPr>
          <w:p w14:paraId="00820883" w14:textId="77777777" w:rsidR="000C44DE" w:rsidRDefault="000C44DE" w:rsidP="005C16E6">
            <w:pPr>
              <w:jc w:val="center"/>
            </w:pPr>
            <w:r>
              <w:lastRenderedPageBreak/>
              <w:br w:type="page"/>
              <w:t>Australia</w:t>
            </w:r>
          </w:p>
        </w:tc>
        <w:tc>
          <w:tcPr>
            <w:tcW w:w="2066" w:type="dxa"/>
            <w:tcBorders>
              <w:top w:val="double" w:sz="4" w:space="0" w:color="auto"/>
            </w:tcBorders>
            <w:vAlign w:val="center"/>
          </w:tcPr>
          <w:p w14:paraId="178D49E2" w14:textId="77777777" w:rsidR="000C44DE" w:rsidRDefault="000C44DE" w:rsidP="005C16E6">
            <w:pPr>
              <w:jc w:val="center"/>
            </w:pPr>
            <w:r>
              <w:t>Australia</w:t>
            </w:r>
          </w:p>
        </w:tc>
        <w:tc>
          <w:tcPr>
            <w:tcW w:w="1559" w:type="dxa"/>
            <w:tcBorders>
              <w:top w:val="double" w:sz="4" w:space="0" w:color="auto"/>
            </w:tcBorders>
            <w:vAlign w:val="center"/>
          </w:tcPr>
          <w:p w14:paraId="225810BC" w14:textId="77777777" w:rsidR="000C44DE" w:rsidRPr="00D00F7C" w:rsidRDefault="000C44DE" w:rsidP="005C16E6">
            <w:pPr>
              <w:jc w:val="center"/>
              <w:rPr>
                <w:color w:val="00B050"/>
              </w:rPr>
            </w:pPr>
            <w:r w:rsidRPr="00D00F7C">
              <w:rPr>
                <w:color w:val="00B050"/>
              </w:rPr>
              <w:t>Y</w:t>
            </w:r>
          </w:p>
        </w:tc>
        <w:tc>
          <w:tcPr>
            <w:tcW w:w="4110" w:type="dxa"/>
            <w:tcBorders>
              <w:top w:val="double" w:sz="4" w:space="0" w:color="auto"/>
            </w:tcBorders>
          </w:tcPr>
          <w:p w14:paraId="2786D307" w14:textId="77777777" w:rsidR="000C44DE" w:rsidRDefault="000C44DE" w:rsidP="005C16E6">
            <w:pPr>
              <w:jc w:val="center"/>
            </w:pPr>
            <w:r>
              <w:t>Australian Comparator Product always accepted</w:t>
            </w:r>
          </w:p>
        </w:tc>
        <w:tc>
          <w:tcPr>
            <w:tcW w:w="4111" w:type="dxa"/>
            <w:tcBorders>
              <w:top w:val="double" w:sz="4" w:space="0" w:color="auto"/>
            </w:tcBorders>
          </w:tcPr>
          <w:p w14:paraId="7A5A83C0" w14:textId="77777777" w:rsidR="000C44DE" w:rsidRDefault="000C44DE" w:rsidP="005C16E6">
            <w:pPr>
              <w:jc w:val="center"/>
            </w:pPr>
            <w:r>
              <w:t>------</w:t>
            </w:r>
          </w:p>
        </w:tc>
      </w:tr>
      <w:tr w:rsidR="000C44DE" w14:paraId="7574B0CC" w14:textId="77777777" w:rsidTr="005C16E6">
        <w:tc>
          <w:tcPr>
            <w:tcW w:w="2324" w:type="dxa"/>
            <w:vMerge/>
            <w:vAlign w:val="center"/>
          </w:tcPr>
          <w:p w14:paraId="4D14C1E8" w14:textId="77777777" w:rsidR="000C44DE" w:rsidRDefault="000C44DE" w:rsidP="005C16E6">
            <w:pPr>
              <w:jc w:val="center"/>
            </w:pPr>
          </w:p>
        </w:tc>
        <w:tc>
          <w:tcPr>
            <w:tcW w:w="2066" w:type="dxa"/>
            <w:vAlign w:val="center"/>
          </w:tcPr>
          <w:p w14:paraId="305FBC78" w14:textId="77777777" w:rsidR="000C44DE" w:rsidRDefault="000C44DE" w:rsidP="005C16E6">
            <w:pPr>
              <w:jc w:val="center"/>
            </w:pPr>
            <w:r>
              <w:t>Canada</w:t>
            </w:r>
          </w:p>
        </w:tc>
        <w:tc>
          <w:tcPr>
            <w:tcW w:w="1559" w:type="dxa"/>
            <w:vAlign w:val="center"/>
          </w:tcPr>
          <w:p w14:paraId="63CE239B" w14:textId="77777777" w:rsidR="000C44DE" w:rsidRPr="00D00F7C" w:rsidRDefault="000C44DE" w:rsidP="005C16E6">
            <w:pPr>
              <w:jc w:val="center"/>
              <w:rPr>
                <w:color w:val="00B050"/>
              </w:rPr>
            </w:pPr>
            <w:r w:rsidRPr="00D00F7C">
              <w:rPr>
                <w:color w:val="00B050"/>
              </w:rPr>
              <w:t>Y</w:t>
            </w:r>
          </w:p>
        </w:tc>
        <w:tc>
          <w:tcPr>
            <w:tcW w:w="4110" w:type="dxa"/>
          </w:tcPr>
          <w:p w14:paraId="7638CD3E" w14:textId="77777777" w:rsidR="000C44DE" w:rsidRDefault="000C44DE" w:rsidP="005C16E6">
            <w:pPr>
              <w:jc w:val="center"/>
            </w:pPr>
            <w:r>
              <w:rPr>
                <w:rStyle w:val="ui-provider"/>
              </w:rPr>
              <w:t>The formulation of the FCP and the local CP are qualitatively and quantitatively the same</w:t>
            </w:r>
            <w:r w:rsidRPr="004C7DD9">
              <w:rPr>
                <w:rStyle w:val="ui-provider"/>
                <w:i/>
                <w:iCs/>
                <w:vertAlign w:val="superscript"/>
              </w:rPr>
              <w:t>1</w:t>
            </w:r>
            <w:r>
              <w:rPr>
                <w:rStyle w:val="ui-provider"/>
              </w:rPr>
              <w:t xml:space="preserve"> and are from the same innovator company or corporate entity.  The medicinal ingredient is considered to have high solubility. Depending on the drug product, comparative dissolution data, </w:t>
            </w:r>
            <w:r>
              <w:rPr>
                <w:rStyle w:val="ui-provider"/>
              </w:rPr>
              <w:lastRenderedPageBreak/>
              <w:t xml:space="preserve">comparative physicochemical property data, </w:t>
            </w:r>
            <w:r>
              <w:rPr>
                <w:rStyle w:val="ui-provider"/>
                <w:i/>
                <w:iCs/>
              </w:rPr>
              <w:t>in-vitro</w:t>
            </w:r>
            <w:r>
              <w:rPr>
                <w:rStyle w:val="ui-provider"/>
              </w:rPr>
              <w:t xml:space="preserve"> performance data or device attribute data may also be required.</w:t>
            </w:r>
          </w:p>
        </w:tc>
        <w:tc>
          <w:tcPr>
            <w:tcW w:w="4111" w:type="dxa"/>
          </w:tcPr>
          <w:p w14:paraId="7C26BEDA" w14:textId="77777777" w:rsidR="000C44DE" w:rsidRDefault="000C44DE" w:rsidP="005C16E6">
            <w:pPr>
              <w:jc w:val="center"/>
            </w:pPr>
            <w:r>
              <w:lastRenderedPageBreak/>
              <w:t>Modified release products (exceptions may apply). Immediate release drug products that contain Critical Dose Drugs or a drug substance that is not considered to have high solubility.</w:t>
            </w:r>
          </w:p>
        </w:tc>
      </w:tr>
      <w:tr w:rsidR="000C44DE" w14:paraId="733ED072" w14:textId="77777777" w:rsidTr="005C16E6">
        <w:tc>
          <w:tcPr>
            <w:tcW w:w="2324" w:type="dxa"/>
            <w:vMerge/>
            <w:vAlign w:val="center"/>
          </w:tcPr>
          <w:p w14:paraId="18AF68D7" w14:textId="77777777" w:rsidR="000C44DE" w:rsidRDefault="000C44DE" w:rsidP="005C16E6">
            <w:pPr>
              <w:jc w:val="center"/>
            </w:pPr>
          </w:p>
        </w:tc>
        <w:tc>
          <w:tcPr>
            <w:tcW w:w="2066" w:type="dxa"/>
            <w:vAlign w:val="center"/>
          </w:tcPr>
          <w:p w14:paraId="1C55B4C8" w14:textId="77777777" w:rsidR="000C44DE" w:rsidRDefault="000C44DE" w:rsidP="005C16E6">
            <w:pPr>
              <w:jc w:val="center"/>
            </w:pPr>
            <w:r>
              <w:t>Singapore</w:t>
            </w:r>
          </w:p>
        </w:tc>
        <w:tc>
          <w:tcPr>
            <w:tcW w:w="1559" w:type="dxa"/>
            <w:vAlign w:val="center"/>
          </w:tcPr>
          <w:p w14:paraId="1F052ABC" w14:textId="77777777" w:rsidR="000C44DE" w:rsidRPr="00D00F7C" w:rsidRDefault="000C44DE" w:rsidP="005C16E6">
            <w:pPr>
              <w:jc w:val="center"/>
              <w:rPr>
                <w:color w:val="00B050"/>
              </w:rPr>
            </w:pPr>
            <w:r w:rsidRPr="00D00F7C">
              <w:rPr>
                <w:color w:val="00B050"/>
              </w:rPr>
              <w:t>Y</w:t>
            </w:r>
          </w:p>
        </w:tc>
        <w:tc>
          <w:tcPr>
            <w:tcW w:w="4110" w:type="dxa"/>
          </w:tcPr>
          <w:p w14:paraId="24452C1D" w14:textId="77777777" w:rsidR="000C44DE" w:rsidRDefault="000C44DE" w:rsidP="005C16E6">
            <w:pPr>
              <w:jc w:val="center"/>
            </w:pPr>
            <w:r>
              <w:t>FCP is from the same global company as Singapore reference product (SRP) or marketed in its country of origin through a licensing arrangement with the Singapore Product Registrant.</w:t>
            </w:r>
          </w:p>
          <w:p w14:paraId="0CBA28C2" w14:textId="77777777" w:rsidR="000C44DE" w:rsidRDefault="000C44DE" w:rsidP="005C16E6">
            <w:pPr>
              <w:jc w:val="center"/>
            </w:pPr>
            <w:r>
              <w:t>Comparative dissolution data are only required if the FCP is not manufactured at the same drug product manufacturing site as the SRP.</w:t>
            </w:r>
          </w:p>
        </w:tc>
        <w:tc>
          <w:tcPr>
            <w:tcW w:w="4111" w:type="dxa"/>
          </w:tcPr>
          <w:p w14:paraId="5CBA543F" w14:textId="77777777" w:rsidR="000C44DE" w:rsidRDefault="000C44DE" w:rsidP="005C16E6">
            <w:pPr>
              <w:jc w:val="center"/>
            </w:pPr>
            <w:r>
              <w:t xml:space="preserve">FCP which are narrow therapeutic index drugs </w:t>
            </w:r>
            <w:r w:rsidRPr="005A03CF">
              <w:rPr>
                <w:u w:val="single"/>
              </w:rPr>
              <w:t>and</w:t>
            </w:r>
            <w:r>
              <w:t xml:space="preserve"> not manufactured at the same drug product manufacturing site as the SRP will not be accepted.</w:t>
            </w:r>
          </w:p>
        </w:tc>
      </w:tr>
      <w:tr w:rsidR="000C44DE" w14:paraId="290C7355" w14:textId="77777777" w:rsidTr="005C16E6">
        <w:tc>
          <w:tcPr>
            <w:tcW w:w="2324" w:type="dxa"/>
            <w:vMerge/>
            <w:vAlign w:val="center"/>
          </w:tcPr>
          <w:p w14:paraId="4BCFA444" w14:textId="77777777" w:rsidR="000C44DE" w:rsidRDefault="000C44DE" w:rsidP="005C16E6">
            <w:pPr>
              <w:jc w:val="center"/>
            </w:pPr>
          </w:p>
        </w:tc>
        <w:tc>
          <w:tcPr>
            <w:tcW w:w="2066" w:type="dxa"/>
            <w:vAlign w:val="center"/>
          </w:tcPr>
          <w:p w14:paraId="77DDB278" w14:textId="77777777" w:rsidR="000C44DE" w:rsidRDefault="000C44DE" w:rsidP="005C16E6">
            <w:pPr>
              <w:jc w:val="center"/>
            </w:pPr>
            <w:r>
              <w:t>Switzerland</w:t>
            </w:r>
          </w:p>
        </w:tc>
        <w:tc>
          <w:tcPr>
            <w:tcW w:w="1559" w:type="dxa"/>
            <w:vAlign w:val="center"/>
          </w:tcPr>
          <w:p w14:paraId="0F14A9C5" w14:textId="77777777" w:rsidR="000C44DE" w:rsidRPr="00D00F7C" w:rsidRDefault="000C44DE" w:rsidP="005C16E6">
            <w:pPr>
              <w:jc w:val="center"/>
              <w:rPr>
                <w:color w:val="00B050"/>
              </w:rPr>
            </w:pPr>
            <w:r w:rsidRPr="00D00F7C">
              <w:rPr>
                <w:color w:val="00B050"/>
              </w:rPr>
              <w:t>Y</w:t>
            </w:r>
          </w:p>
        </w:tc>
        <w:tc>
          <w:tcPr>
            <w:tcW w:w="4110" w:type="dxa"/>
          </w:tcPr>
          <w:p w14:paraId="26C1ADEE" w14:textId="77777777" w:rsidR="000C44DE" w:rsidRDefault="000C44DE" w:rsidP="005C16E6">
            <w:pPr>
              <w:jc w:val="center"/>
            </w:pPr>
            <w:r>
              <w:t xml:space="preserve">Pharmaceutical bridging between FCP and local RP is eligible </w:t>
            </w:r>
            <w:proofErr w:type="gramStart"/>
            <w:r>
              <w:t>as long as</w:t>
            </w:r>
            <w:proofErr w:type="gramEnd"/>
            <w:r>
              <w:t xml:space="preserve"> the criteria listed in the respective guidance document</w:t>
            </w:r>
            <w:r w:rsidRPr="00EA4A90">
              <w:rPr>
                <w:vertAlign w:val="superscript"/>
              </w:rPr>
              <w:t>1</w:t>
            </w:r>
            <w:r>
              <w:t xml:space="preserve"> are fulfilled. These criteria cover, among others, composition, aspects concerning the pharmaceutical form including dimension/weight as well as release mechanism, and dissolution profiles.</w:t>
            </w:r>
          </w:p>
        </w:tc>
        <w:tc>
          <w:tcPr>
            <w:tcW w:w="4111" w:type="dxa"/>
          </w:tcPr>
          <w:p w14:paraId="6F3A4240" w14:textId="77777777" w:rsidR="000C44DE" w:rsidRDefault="000C44DE" w:rsidP="005C16E6">
            <w:pPr>
              <w:jc w:val="center"/>
            </w:pPr>
            <w:r>
              <w:t>No exceptions.</w:t>
            </w:r>
          </w:p>
        </w:tc>
      </w:tr>
      <w:tr w:rsidR="000C44DE" w14:paraId="55966B47" w14:textId="77777777" w:rsidTr="005C16E6">
        <w:tc>
          <w:tcPr>
            <w:tcW w:w="2324" w:type="dxa"/>
            <w:vMerge/>
            <w:vAlign w:val="center"/>
          </w:tcPr>
          <w:p w14:paraId="5DB154E0" w14:textId="77777777" w:rsidR="000C44DE" w:rsidRDefault="000C44DE" w:rsidP="005C16E6">
            <w:pPr>
              <w:jc w:val="center"/>
            </w:pPr>
          </w:p>
        </w:tc>
        <w:tc>
          <w:tcPr>
            <w:tcW w:w="2066" w:type="dxa"/>
            <w:vAlign w:val="center"/>
          </w:tcPr>
          <w:p w14:paraId="7711FCC6" w14:textId="275B651F" w:rsidR="000C44DE" w:rsidRDefault="000C44DE" w:rsidP="005C16E6">
            <w:pPr>
              <w:jc w:val="center"/>
            </w:pPr>
          </w:p>
        </w:tc>
        <w:tc>
          <w:tcPr>
            <w:tcW w:w="1559" w:type="dxa"/>
            <w:vAlign w:val="center"/>
          </w:tcPr>
          <w:p w14:paraId="081B2B40" w14:textId="784314AD" w:rsidR="000C44DE" w:rsidRPr="00D00F7C" w:rsidRDefault="000C44DE" w:rsidP="005C16E6">
            <w:pPr>
              <w:jc w:val="center"/>
              <w:rPr>
                <w:color w:val="00B050"/>
              </w:rPr>
            </w:pPr>
          </w:p>
        </w:tc>
        <w:tc>
          <w:tcPr>
            <w:tcW w:w="4110" w:type="dxa"/>
          </w:tcPr>
          <w:p w14:paraId="1556D858" w14:textId="407D1673" w:rsidR="000C44DE" w:rsidRDefault="000C44DE" w:rsidP="005C16E6">
            <w:pPr>
              <w:jc w:val="center"/>
            </w:pPr>
          </w:p>
        </w:tc>
        <w:tc>
          <w:tcPr>
            <w:tcW w:w="4111" w:type="dxa"/>
          </w:tcPr>
          <w:p w14:paraId="3FB6743F" w14:textId="19D31F4F" w:rsidR="000C44DE" w:rsidRDefault="000C44DE" w:rsidP="005C16E6">
            <w:pPr>
              <w:jc w:val="center"/>
            </w:pPr>
          </w:p>
        </w:tc>
      </w:tr>
      <w:tr w:rsidR="000C44DE" w14:paraId="3582FCF6" w14:textId="77777777" w:rsidTr="005C16E6">
        <w:tc>
          <w:tcPr>
            <w:tcW w:w="2324" w:type="dxa"/>
            <w:vMerge/>
            <w:tcBorders>
              <w:bottom w:val="double" w:sz="4" w:space="0" w:color="auto"/>
            </w:tcBorders>
            <w:vAlign w:val="center"/>
          </w:tcPr>
          <w:p w14:paraId="069E6D32" w14:textId="77777777" w:rsidR="000C44DE" w:rsidRDefault="000C44DE" w:rsidP="005C16E6">
            <w:pPr>
              <w:jc w:val="center"/>
            </w:pPr>
          </w:p>
        </w:tc>
        <w:tc>
          <w:tcPr>
            <w:tcW w:w="2066" w:type="dxa"/>
            <w:tcBorders>
              <w:bottom w:val="double" w:sz="4" w:space="0" w:color="auto"/>
            </w:tcBorders>
            <w:vAlign w:val="center"/>
          </w:tcPr>
          <w:p w14:paraId="06CFC7F2" w14:textId="5364D1E5" w:rsidR="000C44DE" w:rsidRDefault="00D12938" w:rsidP="005C16E6">
            <w:pPr>
              <w:jc w:val="center"/>
            </w:pPr>
            <w:r>
              <w:t>UK</w:t>
            </w:r>
            <w:r w:rsidR="000C44DE">
              <w:rPr>
                <w:vertAlign w:val="superscript"/>
              </w:rPr>
              <w:t>4</w:t>
            </w:r>
          </w:p>
        </w:tc>
        <w:tc>
          <w:tcPr>
            <w:tcW w:w="1559" w:type="dxa"/>
            <w:tcBorders>
              <w:bottom w:val="double" w:sz="4" w:space="0" w:color="auto"/>
            </w:tcBorders>
            <w:vAlign w:val="center"/>
          </w:tcPr>
          <w:p w14:paraId="6C364BE7" w14:textId="77777777" w:rsidR="000C44DE" w:rsidRPr="00D00F7C" w:rsidRDefault="000C44DE" w:rsidP="005C16E6">
            <w:pPr>
              <w:jc w:val="center"/>
              <w:rPr>
                <w:color w:val="00B050"/>
              </w:rPr>
            </w:pPr>
            <w:r w:rsidRPr="00D00F7C">
              <w:rPr>
                <w:color w:val="00B050"/>
              </w:rPr>
              <w:t>Y</w:t>
            </w:r>
          </w:p>
        </w:tc>
        <w:tc>
          <w:tcPr>
            <w:tcW w:w="4110" w:type="dxa"/>
            <w:tcBorders>
              <w:bottom w:val="double" w:sz="4" w:space="0" w:color="auto"/>
            </w:tcBorders>
          </w:tcPr>
          <w:p w14:paraId="7A0AD793" w14:textId="5DD520DF" w:rsidR="000C44DE" w:rsidRPr="00B67DB4" w:rsidRDefault="000C44DE" w:rsidP="00B67DB4">
            <w:pPr>
              <w:jc w:val="center"/>
            </w:pPr>
            <w:r w:rsidRPr="00B67DB4">
              <w:t xml:space="preserve">The </w:t>
            </w:r>
            <w:r w:rsidR="00D12938">
              <w:t>F</w:t>
            </w:r>
            <w:r w:rsidRPr="00B67DB4">
              <w:t> CP would normally be expected to be:</w:t>
            </w:r>
          </w:p>
          <w:p w14:paraId="0CFD0995" w14:textId="2685B49F" w:rsidR="000C44DE" w:rsidRPr="00B67DB4" w:rsidRDefault="000C44DE" w:rsidP="00B67DB4">
            <w:pPr>
              <w:numPr>
                <w:ilvl w:val="0"/>
                <w:numId w:val="13"/>
              </w:numPr>
              <w:spacing w:before="0" w:after="75"/>
              <w:ind w:left="463"/>
              <w:jc w:val="center"/>
            </w:pPr>
            <w:r w:rsidRPr="00B67DB4">
              <w:t>part of the same GMA as the </w:t>
            </w:r>
            <w:r w:rsidR="00D12938">
              <w:t xml:space="preserve">UK </w:t>
            </w:r>
            <w:r w:rsidRPr="00B67DB4">
              <w:t>RMP, or</w:t>
            </w:r>
          </w:p>
          <w:p w14:paraId="62655140" w14:textId="545AED51" w:rsidR="000C44DE" w:rsidRPr="00B67DB4" w:rsidRDefault="000C44DE" w:rsidP="00B67DB4">
            <w:pPr>
              <w:numPr>
                <w:ilvl w:val="0"/>
                <w:numId w:val="13"/>
              </w:numPr>
              <w:spacing w:before="0" w:after="75"/>
              <w:ind w:left="463"/>
              <w:jc w:val="center"/>
            </w:pPr>
            <w:r w:rsidRPr="00B67DB4">
              <w:t xml:space="preserve">marketed in the country of origin through a licensing arrangement with the innovator company or corporate entity that currently markets the medicine in the </w:t>
            </w:r>
            <w:r w:rsidR="00D12938">
              <w:t>UK</w:t>
            </w:r>
            <w:r w:rsidRPr="00B67DB4">
              <w:t>.</w:t>
            </w:r>
          </w:p>
          <w:p w14:paraId="63EADFF6" w14:textId="3F4F2241" w:rsidR="000C44DE" w:rsidRDefault="000C44DE" w:rsidP="00B67DB4">
            <w:pPr>
              <w:jc w:val="center"/>
            </w:pPr>
            <w:r w:rsidRPr="00B67DB4">
              <w:t xml:space="preserve">The </w:t>
            </w:r>
            <w:r w:rsidR="00D12938">
              <w:t>F</w:t>
            </w:r>
            <w:r w:rsidRPr="00B67DB4">
              <w:t> CP used is required to be representative of the </w:t>
            </w:r>
            <w:r w:rsidR="00D12938">
              <w:t xml:space="preserve">UK </w:t>
            </w:r>
            <w:r w:rsidRPr="00B67DB4">
              <w:t>RMP, but it is not required to be identical to it. This means that certain minor differences between both products may be accepted if justified, provided this is supported by bridging data (see published guidance on data requirements</w:t>
            </w:r>
            <w:r w:rsidR="002E03DB">
              <w:rPr>
                <w:vertAlign w:val="superscript"/>
              </w:rPr>
              <w:t>1</w:t>
            </w:r>
            <w:r w:rsidRPr="00B67DB4">
              <w:t>).</w:t>
            </w:r>
          </w:p>
        </w:tc>
        <w:tc>
          <w:tcPr>
            <w:tcW w:w="4111" w:type="dxa"/>
            <w:tcBorders>
              <w:bottom w:val="double" w:sz="4" w:space="0" w:color="auto"/>
            </w:tcBorders>
          </w:tcPr>
          <w:p w14:paraId="449EC6CB" w14:textId="77777777" w:rsidR="000C44DE" w:rsidRPr="00B67DB4" w:rsidRDefault="000C44DE" w:rsidP="005C16E6">
            <w:pPr>
              <w:jc w:val="center"/>
            </w:pPr>
            <w:r w:rsidRPr="00B67DB4">
              <w:t>Applies to BE, PK and TE studies provided in support of generic/hybrid applications. In case of complex products, it is recommended that MHRA are consulted for specific advice.</w:t>
            </w:r>
          </w:p>
          <w:p w14:paraId="4E83E8B3" w14:textId="2CF16599" w:rsidR="000C44DE" w:rsidRDefault="000C44DE" w:rsidP="00497056">
            <w:pPr>
              <w:jc w:val="center"/>
            </w:pPr>
            <w:r w:rsidRPr="006D108A">
              <w:t xml:space="preserve">In </w:t>
            </w:r>
            <w:r>
              <w:t>some</w:t>
            </w:r>
            <w:r w:rsidRPr="006D108A">
              <w:t xml:space="preserve"> cases, it may be </w:t>
            </w:r>
            <w:r>
              <w:t xml:space="preserve">accepted </w:t>
            </w:r>
            <w:r w:rsidRPr="006D108A">
              <w:t xml:space="preserve">to perform studies </w:t>
            </w:r>
            <w:r>
              <w:t>using</w:t>
            </w:r>
            <w:r w:rsidRPr="006D108A">
              <w:t xml:space="preserve"> another </w:t>
            </w:r>
            <w:r>
              <w:t>CP</w:t>
            </w:r>
            <w:r w:rsidRPr="006D108A">
              <w:t xml:space="preserve">, product X, that was </w:t>
            </w:r>
            <w:r>
              <w:t xml:space="preserve">itself </w:t>
            </w:r>
            <w:r w:rsidRPr="006D108A">
              <w:t xml:space="preserve">submitted as </w:t>
            </w:r>
            <w:r>
              <w:t>an</w:t>
            </w:r>
            <w:r w:rsidRPr="006D108A">
              <w:t xml:space="preserve"> application referring to the RMP (e</w:t>
            </w:r>
            <w:r w:rsidR="005A4D2D">
              <w:t>.</w:t>
            </w:r>
            <w:r w:rsidRPr="006D108A">
              <w:t>g</w:t>
            </w:r>
            <w:r w:rsidR="005A4D2D">
              <w:t>.</w:t>
            </w:r>
            <w:r w:rsidRPr="006D108A">
              <w:t xml:space="preserve"> new indications, strength, route of administration, pharmaceutical form</w:t>
            </w:r>
            <w:proofErr w:type="gramStart"/>
            <w:r w:rsidRPr="006D108A">
              <w:t>)</w:t>
            </w:r>
            <w:r>
              <w:t xml:space="preserve">, </w:t>
            </w:r>
            <w:r w:rsidRPr="006D108A">
              <w:t>but</w:t>
            </w:r>
            <w:proofErr w:type="gramEnd"/>
            <w:r w:rsidRPr="006D108A">
              <w:t xml:space="preserve"> is not part of the same GMA as the RMP</w:t>
            </w:r>
            <w:r>
              <w:t>. A</w:t>
            </w:r>
            <w:r w:rsidRPr="006D108A">
              <w:t xml:space="preserve">dditional non-clinical and/or clinical studies </w:t>
            </w:r>
            <w:r>
              <w:t>would have been</w:t>
            </w:r>
            <w:r w:rsidRPr="006D108A">
              <w:t xml:space="preserve"> submitted in support of product X.  Applicants are advised to discuss the dossier requirements in such situations with the MHRA.</w:t>
            </w:r>
          </w:p>
        </w:tc>
      </w:tr>
      <w:tr w:rsidR="000C44DE" w14:paraId="5BF4B2CF" w14:textId="77777777" w:rsidTr="005C16E6">
        <w:tc>
          <w:tcPr>
            <w:tcW w:w="2324" w:type="dxa"/>
            <w:vMerge w:val="restart"/>
            <w:tcBorders>
              <w:top w:val="double" w:sz="4" w:space="0" w:color="auto"/>
            </w:tcBorders>
            <w:vAlign w:val="center"/>
          </w:tcPr>
          <w:p w14:paraId="7D2F2C5A" w14:textId="77777777" w:rsidR="000C44DE" w:rsidRDefault="000C44DE" w:rsidP="005C16E6">
            <w:pPr>
              <w:jc w:val="center"/>
            </w:pPr>
            <w:r>
              <w:t>Singapore</w:t>
            </w:r>
          </w:p>
        </w:tc>
        <w:tc>
          <w:tcPr>
            <w:tcW w:w="2066" w:type="dxa"/>
            <w:tcBorders>
              <w:top w:val="double" w:sz="4" w:space="0" w:color="auto"/>
            </w:tcBorders>
            <w:vAlign w:val="center"/>
          </w:tcPr>
          <w:p w14:paraId="15C5615F" w14:textId="77777777" w:rsidR="000C44DE" w:rsidRDefault="000C44DE" w:rsidP="005C16E6">
            <w:pPr>
              <w:jc w:val="center"/>
            </w:pPr>
            <w:r>
              <w:t>Australia</w:t>
            </w:r>
          </w:p>
        </w:tc>
        <w:tc>
          <w:tcPr>
            <w:tcW w:w="1559" w:type="dxa"/>
            <w:tcBorders>
              <w:top w:val="double" w:sz="4" w:space="0" w:color="auto"/>
            </w:tcBorders>
            <w:vAlign w:val="center"/>
          </w:tcPr>
          <w:p w14:paraId="503549E9" w14:textId="77777777" w:rsidR="000C44DE" w:rsidRPr="00D00F7C" w:rsidRDefault="000C44DE" w:rsidP="005C16E6">
            <w:pPr>
              <w:jc w:val="center"/>
              <w:rPr>
                <w:color w:val="00B050"/>
              </w:rPr>
            </w:pPr>
            <w:r w:rsidRPr="00D00F7C">
              <w:rPr>
                <w:color w:val="00B050"/>
              </w:rPr>
              <w:t>Y</w:t>
            </w:r>
          </w:p>
        </w:tc>
        <w:tc>
          <w:tcPr>
            <w:tcW w:w="4110" w:type="dxa"/>
            <w:tcBorders>
              <w:top w:val="double" w:sz="4" w:space="0" w:color="auto"/>
            </w:tcBorders>
          </w:tcPr>
          <w:p w14:paraId="276145AA" w14:textId="5AA3DFB8" w:rsidR="000C44DE" w:rsidRDefault="006F1D4C" w:rsidP="005C16E6">
            <w:pPr>
              <w:jc w:val="center"/>
            </w:pPr>
            <w:r>
              <w:t>FCP and local CP are identical in appearance</w:t>
            </w:r>
            <w:r>
              <w:rPr>
                <w:vertAlign w:val="superscript"/>
              </w:rPr>
              <w:t>3</w:t>
            </w:r>
            <w:r>
              <w:t>, are from the same global company and have similar dissolution.</w:t>
            </w:r>
          </w:p>
        </w:tc>
        <w:tc>
          <w:tcPr>
            <w:tcW w:w="4111" w:type="dxa"/>
            <w:tcBorders>
              <w:top w:val="double" w:sz="4" w:space="0" w:color="auto"/>
            </w:tcBorders>
          </w:tcPr>
          <w:p w14:paraId="59BA5250" w14:textId="77777777" w:rsidR="000C44DE" w:rsidRDefault="000C44DE" w:rsidP="005C16E6">
            <w:pPr>
              <w:jc w:val="center"/>
            </w:pPr>
            <w:r>
              <w:t>Only applies to oral dosage forms. Contact the TGA for other dosage forms.</w:t>
            </w:r>
          </w:p>
        </w:tc>
      </w:tr>
      <w:tr w:rsidR="000C44DE" w14:paraId="7DD4D3B7" w14:textId="77777777" w:rsidTr="005C16E6">
        <w:tc>
          <w:tcPr>
            <w:tcW w:w="2324" w:type="dxa"/>
            <w:vMerge/>
            <w:vAlign w:val="center"/>
          </w:tcPr>
          <w:p w14:paraId="557C90AE" w14:textId="77777777" w:rsidR="000C44DE" w:rsidRDefault="000C44DE" w:rsidP="005C16E6">
            <w:pPr>
              <w:jc w:val="center"/>
            </w:pPr>
          </w:p>
        </w:tc>
        <w:tc>
          <w:tcPr>
            <w:tcW w:w="2066" w:type="dxa"/>
            <w:vAlign w:val="center"/>
          </w:tcPr>
          <w:p w14:paraId="26C7491E" w14:textId="77777777" w:rsidR="000C44DE" w:rsidRDefault="000C44DE" w:rsidP="005C16E6">
            <w:pPr>
              <w:jc w:val="center"/>
            </w:pPr>
            <w:r>
              <w:t>Canada</w:t>
            </w:r>
          </w:p>
        </w:tc>
        <w:tc>
          <w:tcPr>
            <w:tcW w:w="1559" w:type="dxa"/>
            <w:vAlign w:val="center"/>
          </w:tcPr>
          <w:p w14:paraId="464CB893" w14:textId="77777777" w:rsidR="000C44DE" w:rsidRPr="00D00F7C" w:rsidRDefault="000C44DE" w:rsidP="005C16E6">
            <w:pPr>
              <w:jc w:val="center"/>
              <w:rPr>
                <w:color w:val="00B050"/>
              </w:rPr>
            </w:pPr>
            <w:r w:rsidRPr="00D00F7C">
              <w:rPr>
                <w:color w:val="00B050"/>
              </w:rPr>
              <w:t>Y</w:t>
            </w:r>
          </w:p>
        </w:tc>
        <w:tc>
          <w:tcPr>
            <w:tcW w:w="4110" w:type="dxa"/>
          </w:tcPr>
          <w:p w14:paraId="0851AD7B" w14:textId="77777777" w:rsidR="000C44DE" w:rsidRDefault="000C44DE" w:rsidP="005C16E6">
            <w:pPr>
              <w:jc w:val="center"/>
            </w:pPr>
            <w:r>
              <w:rPr>
                <w:rStyle w:val="ui-provider"/>
              </w:rPr>
              <w:t>The formulation of the FCP and the local CP are qualitatively and quantitatively the same</w:t>
            </w:r>
            <w:r w:rsidRPr="004C7DD9">
              <w:rPr>
                <w:rStyle w:val="ui-provider"/>
                <w:i/>
                <w:iCs/>
                <w:vertAlign w:val="superscript"/>
              </w:rPr>
              <w:t>1</w:t>
            </w:r>
            <w:r>
              <w:rPr>
                <w:rStyle w:val="ui-provider"/>
              </w:rPr>
              <w:t xml:space="preserve"> and are from the same innovator company or corporate entity.  The medicinal ingredient is considered to have high solubility. Depending on the drug product, comparative dissolution data, comparative physicochemical property data, </w:t>
            </w:r>
            <w:r>
              <w:rPr>
                <w:rStyle w:val="ui-provider"/>
                <w:i/>
                <w:iCs/>
              </w:rPr>
              <w:t>in-vitro</w:t>
            </w:r>
            <w:r>
              <w:rPr>
                <w:rStyle w:val="ui-provider"/>
              </w:rPr>
              <w:t xml:space="preserve"> performance data or device attribute data may also be required.</w:t>
            </w:r>
          </w:p>
        </w:tc>
        <w:tc>
          <w:tcPr>
            <w:tcW w:w="4111" w:type="dxa"/>
          </w:tcPr>
          <w:p w14:paraId="40790580" w14:textId="77777777" w:rsidR="000C44DE" w:rsidRDefault="000C44DE" w:rsidP="005C16E6">
            <w:pPr>
              <w:jc w:val="center"/>
            </w:pPr>
            <w:r>
              <w:t>Modified release products (exceptions may apply). Immediate release drug products that contain Critical Dose Drugs or a drug substance that is not considered to have high solubility.</w:t>
            </w:r>
          </w:p>
        </w:tc>
      </w:tr>
      <w:tr w:rsidR="000C44DE" w14:paraId="1BF27D87" w14:textId="77777777" w:rsidTr="005C16E6">
        <w:tc>
          <w:tcPr>
            <w:tcW w:w="2324" w:type="dxa"/>
            <w:vMerge/>
            <w:vAlign w:val="center"/>
          </w:tcPr>
          <w:p w14:paraId="68CB19F9" w14:textId="77777777" w:rsidR="000C44DE" w:rsidRDefault="000C44DE" w:rsidP="005C16E6">
            <w:pPr>
              <w:jc w:val="center"/>
            </w:pPr>
          </w:p>
        </w:tc>
        <w:tc>
          <w:tcPr>
            <w:tcW w:w="2066" w:type="dxa"/>
            <w:vAlign w:val="center"/>
          </w:tcPr>
          <w:p w14:paraId="52B06775" w14:textId="77777777" w:rsidR="000C44DE" w:rsidRDefault="000C44DE" w:rsidP="005C16E6">
            <w:pPr>
              <w:jc w:val="center"/>
            </w:pPr>
            <w:r>
              <w:t>Singapore</w:t>
            </w:r>
          </w:p>
        </w:tc>
        <w:tc>
          <w:tcPr>
            <w:tcW w:w="1559" w:type="dxa"/>
            <w:vAlign w:val="center"/>
          </w:tcPr>
          <w:p w14:paraId="547DD2F6" w14:textId="77777777" w:rsidR="000C44DE" w:rsidRPr="00D00F7C" w:rsidRDefault="000C44DE" w:rsidP="005C16E6">
            <w:pPr>
              <w:jc w:val="center"/>
              <w:rPr>
                <w:color w:val="00B050"/>
              </w:rPr>
            </w:pPr>
            <w:r w:rsidRPr="00D00F7C">
              <w:rPr>
                <w:color w:val="00B050"/>
              </w:rPr>
              <w:t>Y</w:t>
            </w:r>
          </w:p>
        </w:tc>
        <w:tc>
          <w:tcPr>
            <w:tcW w:w="4110" w:type="dxa"/>
          </w:tcPr>
          <w:p w14:paraId="7A1310F0" w14:textId="77777777" w:rsidR="000C44DE" w:rsidRDefault="000C44DE" w:rsidP="005C16E6">
            <w:pPr>
              <w:jc w:val="center"/>
            </w:pPr>
            <w:r>
              <w:t>Singaporean Comparator Product always accepted</w:t>
            </w:r>
          </w:p>
        </w:tc>
        <w:tc>
          <w:tcPr>
            <w:tcW w:w="4111" w:type="dxa"/>
          </w:tcPr>
          <w:p w14:paraId="487DC4C4" w14:textId="77777777" w:rsidR="000C44DE" w:rsidRDefault="000C44DE" w:rsidP="005C16E6">
            <w:pPr>
              <w:jc w:val="center"/>
            </w:pPr>
            <w:r>
              <w:t>-----</w:t>
            </w:r>
          </w:p>
        </w:tc>
      </w:tr>
      <w:tr w:rsidR="000C44DE" w14:paraId="0FA4CBC5" w14:textId="77777777" w:rsidTr="005C16E6">
        <w:tc>
          <w:tcPr>
            <w:tcW w:w="2324" w:type="dxa"/>
            <w:vMerge/>
            <w:vAlign w:val="center"/>
          </w:tcPr>
          <w:p w14:paraId="40C67437" w14:textId="77777777" w:rsidR="000C44DE" w:rsidRDefault="000C44DE" w:rsidP="005C16E6">
            <w:pPr>
              <w:jc w:val="center"/>
            </w:pPr>
          </w:p>
        </w:tc>
        <w:tc>
          <w:tcPr>
            <w:tcW w:w="2066" w:type="dxa"/>
            <w:vAlign w:val="center"/>
          </w:tcPr>
          <w:p w14:paraId="18654976" w14:textId="77777777" w:rsidR="000C44DE" w:rsidRDefault="000C44DE" w:rsidP="005C16E6">
            <w:pPr>
              <w:jc w:val="center"/>
            </w:pPr>
            <w:r>
              <w:t>Switzerland</w:t>
            </w:r>
          </w:p>
        </w:tc>
        <w:tc>
          <w:tcPr>
            <w:tcW w:w="1559" w:type="dxa"/>
            <w:vAlign w:val="center"/>
          </w:tcPr>
          <w:p w14:paraId="00BFE16E" w14:textId="77777777" w:rsidR="000C44DE" w:rsidRPr="00D00F7C" w:rsidRDefault="000C44DE" w:rsidP="005C16E6">
            <w:pPr>
              <w:jc w:val="center"/>
              <w:rPr>
                <w:color w:val="00B050"/>
              </w:rPr>
            </w:pPr>
            <w:r w:rsidRPr="00D00F7C">
              <w:rPr>
                <w:color w:val="00B050"/>
              </w:rPr>
              <w:t>Y</w:t>
            </w:r>
          </w:p>
        </w:tc>
        <w:tc>
          <w:tcPr>
            <w:tcW w:w="4110" w:type="dxa"/>
          </w:tcPr>
          <w:p w14:paraId="5C37D6DB" w14:textId="77777777" w:rsidR="000C44DE" w:rsidRDefault="000C44DE" w:rsidP="005C16E6">
            <w:pPr>
              <w:jc w:val="center"/>
            </w:pPr>
            <w:r>
              <w:t xml:space="preserve">Pharmaceutical bridging between FCP and local RP is eligible </w:t>
            </w:r>
            <w:proofErr w:type="gramStart"/>
            <w:r>
              <w:t>as long as</w:t>
            </w:r>
            <w:proofErr w:type="gramEnd"/>
            <w:r>
              <w:t xml:space="preserve"> the criteria listed in the respective guidance document</w:t>
            </w:r>
            <w:r w:rsidRPr="00EA4A90">
              <w:rPr>
                <w:vertAlign w:val="superscript"/>
              </w:rPr>
              <w:t>1</w:t>
            </w:r>
            <w:r>
              <w:t xml:space="preserve"> are fulfilled. These criteria cover, among others, composition, aspects concerning the pharmaceutical form including dimension/weight as well as release mechanism, and dissolution profiles.</w:t>
            </w:r>
          </w:p>
        </w:tc>
        <w:tc>
          <w:tcPr>
            <w:tcW w:w="4111" w:type="dxa"/>
          </w:tcPr>
          <w:p w14:paraId="653A7B9B" w14:textId="77777777" w:rsidR="000C44DE" w:rsidRDefault="000C44DE" w:rsidP="005C16E6">
            <w:pPr>
              <w:jc w:val="center"/>
            </w:pPr>
            <w:r>
              <w:t>No exceptions.</w:t>
            </w:r>
          </w:p>
        </w:tc>
      </w:tr>
      <w:tr w:rsidR="000C44DE" w14:paraId="068F0877" w14:textId="77777777" w:rsidTr="005C16E6">
        <w:tc>
          <w:tcPr>
            <w:tcW w:w="2324" w:type="dxa"/>
            <w:vMerge/>
            <w:vAlign w:val="center"/>
          </w:tcPr>
          <w:p w14:paraId="4029EB9B" w14:textId="77777777" w:rsidR="000C44DE" w:rsidRDefault="000C44DE" w:rsidP="005C16E6">
            <w:pPr>
              <w:jc w:val="center"/>
            </w:pPr>
          </w:p>
        </w:tc>
        <w:tc>
          <w:tcPr>
            <w:tcW w:w="2066" w:type="dxa"/>
            <w:vAlign w:val="center"/>
          </w:tcPr>
          <w:p w14:paraId="23406523" w14:textId="59E1EBAE" w:rsidR="000C44DE" w:rsidRDefault="000C44DE" w:rsidP="005C16E6">
            <w:pPr>
              <w:jc w:val="center"/>
            </w:pPr>
          </w:p>
        </w:tc>
        <w:tc>
          <w:tcPr>
            <w:tcW w:w="1559" w:type="dxa"/>
            <w:vAlign w:val="center"/>
          </w:tcPr>
          <w:p w14:paraId="7874C2A8" w14:textId="4B1B6AC5" w:rsidR="000C44DE" w:rsidRPr="00D00F7C" w:rsidRDefault="000C44DE" w:rsidP="005C16E6">
            <w:pPr>
              <w:jc w:val="center"/>
              <w:rPr>
                <w:color w:val="00B050"/>
              </w:rPr>
            </w:pPr>
          </w:p>
        </w:tc>
        <w:tc>
          <w:tcPr>
            <w:tcW w:w="4110" w:type="dxa"/>
          </w:tcPr>
          <w:p w14:paraId="325CAA28" w14:textId="75DBEB5E" w:rsidR="000C44DE" w:rsidRDefault="000C44DE" w:rsidP="005C16E6">
            <w:pPr>
              <w:jc w:val="center"/>
            </w:pPr>
          </w:p>
        </w:tc>
        <w:tc>
          <w:tcPr>
            <w:tcW w:w="4111" w:type="dxa"/>
          </w:tcPr>
          <w:p w14:paraId="27F89594" w14:textId="10E17342" w:rsidR="000C44DE" w:rsidRDefault="000C44DE" w:rsidP="005C16E6">
            <w:pPr>
              <w:jc w:val="center"/>
            </w:pPr>
          </w:p>
        </w:tc>
      </w:tr>
      <w:tr w:rsidR="000C44DE" w14:paraId="0C96632D" w14:textId="77777777" w:rsidTr="005C16E6">
        <w:tc>
          <w:tcPr>
            <w:tcW w:w="2324" w:type="dxa"/>
            <w:vMerge/>
            <w:tcBorders>
              <w:bottom w:val="double" w:sz="4" w:space="0" w:color="auto"/>
            </w:tcBorders>
            <w:vAlign w:val="center"/>
          </w:tcPr>
          <w:p w14:paraId="38446B76" w14:textId="77777777" w:rsidR="000C44DE" w:rsidRDefault="000C44DE" w:rsidP="005C16E6">
            <w:pPr>
              <w:jc w:val="center"/>
            </w:pPr>
          </w:p>
        </w:tc>
        <w:tc>
          <w:tcPr>
            <w:tcW w:w="2066" w:type="dxa"/>
            <w:tcBorders>
              <w:bottom w:val="double" w:sz="4" w:space="0" w:color="auto"/>
            </w:tcBorders>
            <w:vAlign w:val="center"/>
          </w:tcPr>
          <w:p w14:paraId="33DB6A7B" w14:textId="340F5310" w:rsidR="000C44DE" w:rsidRDefault="00D12938" w:rsidP="005C16E6">
            <w:pPr>
              <w:jc w:val="center"/>
            </w:pPr>
            <w:r>
              <w:t>UK</w:t>
            </w:r>
            <w:r w:rsidR="000C44DE">
              <w:rPr>
                <w:vertAlign w:val="superscript"/>
              </w:rPr>
              <w:t>4</w:t>
            </w:r>
          </w:p>
        </w:tc>
        <w:tc>
          <w:tcPr>
            <w:tcW w:w="1559" w:type="dxa"/>
            <w:tcBorders>
              <w:bottom w:val="double" w:sz="4" w:space="0" w:color="auto"/>
            </w:tcBorders>
            <w:vAlign w:val="center"/>
          </w:tcPr>
          <w:p w14:paraId="0390B7A5" w14:textId="77777777" w:rsidR="000C44DE" w:rsidRPr="00D00F7C" w:rsidRDefault="000C44DE" w:rsidP="005C16E6">
            <w:pPr>
              <w:jc w:val="center"/>
              <w:rPr>
                <w:color w:val="00B050"/>
              </w:rPr>
            </w:pPr>
            <w:r w:rsidRPr="00D00F7C">
              <w:rPr>
                <w:color w:val="00B050"/>
              </w:rPr>
              <w:t>Y</w:t>
            </w:r>
          </w:p>
        </w:tc>
        <w:tc>
          <w:tcPr>
            <w:tcW w:w="4110" w:type="dxa"/>
            <w:tcBorders>
              <w:bottom w:val="double" w:sz="4" w:space="0" w:color="auto"/>
            </w:tcBorders>
          </w:tcPr>
          <w:p w14:paraId="61E1E8F1" w14:textId="515E7A92" w:rsidR="000C44DE" w:rsidRPr="00B67DB4" w:rsidRDefault="000C44DE" w:rsidP="00B67DB4">
            <w:pPr>
              <w:jc w:val="center"/>
            </w:pPr>
            <w:r w:rsidRPr="00B67DB4">
              <w:t xml:space="preserve">The </w:t>
            </w:r>
            <w:r w:rsidR="00D12938">
              <w:t>F</w:t>
            </w:r>
            <w:r w:rsidRPr="00B67DB4">
              <w:t> CP would normally be expected to be:</w:t>
            </w:r>
          </w:p>
          <w:p w14:paraId="32B241A4" w14:textId="3836E371" w:rsidR="000C44DE" w:rsidRPr="00B67DB4" w:rsidRDefault="000C44DE" w:rsidP="00B67DB4">
            <w:pPr>
              <w:numPr>
                <w:ilvl w:val="0"/>
                <w:numId w:val="13"/>
              </w:numPr>
              <w:spacing w:before="0" w:after="75"/>
              <w:ind w:left="463"/>
              <w:jc w:val="center"/>
            </w:pPr>
            <w:r w:rsidRPr="00B67DB4">
              <w:t>part of the same GMA as the</w:t>
            </w:r>
            <w:r w:rsidR="00D12938">
              <w:t xml:space="preserve"> UK</w:t>
            </w:r>
            <w:r w:rsidRPr="00B67DB4">
              <w:t> RMP, or</w:t>
            </w:r>
          </w:p>
          <w:p w14:paraId="7B8CED1E" w14:textId="3091150C" w:rsidR="000C44DE" w:rsidRPr="00B67DB4" w:rsidRDefault="000C44DE" w:rsidP="00B67DB4">
            <w:pPr>
              <w:numPr>
                <w:ilvl w:val="0"/>
                <w:numId w:val="13"/>
              </w:numPr>
              <w:spacing w:before="0" w:after="75"/>
              <w:ind w:left="463"/>
              <w:jc w:val="center"/>
            </w:pPr>
            <w:r w:rsidRPr="00B67DB4">
              <w:t xml:space="preserve">marketed in the country of origin through a licensing arrangement with the innovator company or corporate entity that currently markets the medicine in the </w:t>
            </w:r>
            <w:r w:rsidR="00D12938">
              <w:t>UK</w:t>
            </w:r>
            <w:r w:rsidRPr="00B67DB4">
              <w:t>.</w:t>
            </w:r>
          </w:p>
          <w:p w14:paraId="68718F1B" w14:textId="48E13750" w:rsidR="000C44DE" w:rsidRDefault="000C44DE" w:rsidP="00B67DB4">
            <w:pPr>
              <w:jc w:val="center"/>
            </w:pPr>
            <w:r w:rsidRPr="00B67DB4">
              <w:t xml:space="preserve">The </w:t>
            </w:r>
            <w:r w:rsidR="00D12938">
              <w:t>F</w:t>
            </w:r>
            <w:r w:rsidRPr="00B67DB4">
              <w:t> CP used is required to be representative of the </w:t>
            </w:r>
            <w:r w:rsidR="00D12938">
              <w:t xml:space="preserve">UK </w:t>
            </w:r>
            <w:r w:rsidRPr="00B67DB4">
              <w:t>RMP, but it is not required to be identical to it. This means that certain minor differences between both products may be accepted if justified, provided this is supported by bridging data (see published guidance on data requirements</w:t>
            </w:r>
            <w:r w:rsidR="002E03DB">
              <w:rPr>
                <w:vertAlign w:val="superscript"/>
              </w:rPr>
              <w:t>1</w:t>
            </w:r>
            <w:r w:rsidRPr="00B67DB4">
              <w:t>).</w:t>
            </w:r>
          </w:p>
        </w:tc>
        <w:tc>
          <w:tcPr>
            <w:tcW w:w="4111" w:type="dxa"/>
            <w:tcBorders>
              <w:bottom w:val="double" w:sz="4" w:space="0" w:color="auto"/>
            </w:tcBorders>
          </w:tcPr>
          <w:p w14:paraId="00B76848" w14:textId="78D29092" w:rsidR="000C44DE" w:rsidRPr="00B67DB4" w:rsidRDefault="000C44DE" w:rsidP="005C16E6">
            <w:pPr>
              <w:jc w:val="center"/>
            </w:pPr>
            <w:r w:rsidRPr="00B67DB4">
              <w:t>Applies to BE, PK and TE studies provided in support of generic/hybrid applications. In case of complex products, it is recommended that MHRA are consulted for specific advice.</w:t>
            </w:r>
          </w:p>
          <w:p w14:paraId="016B4DDA" w14:textId="00C74FBB" w:rsidR="000C44DE" w:rsidRDefault="000C44DE" w:rsidP="00497056">
            <w:pPr>
              <w:jc w:val="center"/>
            </w:pPr>
            <w:r w:rsidRPr="006D108A">
              <w:t xml:space="preserve">In </w:t>
            </w:r>
            <w:r>
              <w:t>some</w:t>
            </w:r>
            <w:r w:rsidRPr="006D108A">
              <w:t xml:space="preserve"> cases, it may be </w:t>
            </w:r>
            <w:r>
              <w:t xml:space="preserve">accepted </w:t>
            </w:r>
            <w:r w:rsidRPr="006D108A">
              <w:t xml:space="preserve">to perform studies </w:t>
            </w:r>
            <w:r>
              <w:t>using</w:t>
            </w:r>
            <w:r w:rsidRPr="006D108A">
              <w:t xml:space="preserve"> another </w:t>
            </w:r>
            <w:r>
              <w:t>CP</w:t>
            </w:r>
            <w:r w:rsidRPr="006D108A">
              <w:t xml:space="preserve">, product X, that was </w:t>
            </w:r>
            <w:r>
              <w:t xml:space="preserve">itself </w:t>
            </w:r>
            <w:r w:rsidRPr="006D108A">
              <w:t xml:space="preserve">submitted as </w:t>
            </w:r>
            <w:r>
              <w:t>an</w:t>
            </w:r>
            <w:r w:rsidRPr="006D108A">
              <w:t xml:space="preserve"> application referring to the RMP (e</w:t>
            </w:r>
            <w:r w:rsidR="005A4D2D">
              <w:t>.</w:t>
            </w:r>
            <w:r w:rsidRPr="006D108A">
              <w:t>g</w:t>
            </w:r>
            <w:r w:rsidR="005A4D2D">
              <w:t>.</w:t>
            </w:r>
            <w:r w:rsidRPr="006D108A">
              <w:t xml:space="preserve"> new indications, strength, route of administration, pharmaceutical form</w:t>
            </w:r>
            <w:proofErr w:type="gramStart"/>
            <w:r w:rsidRPr="006D108A">
              <w:t>)</w:t>
            </w:r>
            <w:r>
              <w:t xml:space="preserve">, </w:t>
            </w:r>
            <w:r w:rsidRPr="006D108A">
              <w:t>but</w:t>
            </w:r>
            <w:proofErr w:type="gramEnd"/>
            <w:r w:rsidRPr="006D108A">
              <w:t xml:space="preserve"> is not part of the same GMA as the RMP</w:t>
            </w:r>
            <w:r>
              <w:t>. A</w:t>
            </w:r>
            <w:r w:rsidRPr="006D108A">
              <w:t xml:space="preserve">dditional non-clinical and/or clinical studies </w:t>
            </w:r>
            <w:r>
              <w:t>would have been</w:t>
            </w:r>
            <w:r w:rsidRPr="006D108A">
              <w:t xml:space="preserve"> submitted in support of product X.  Applicants are advised to discuss the dossier requirements in such situations with the MHRA.</w:t>
            </w:r>
          </w:p>
        </w:tc>
      </w:tr>
      <w:tr w:rsidR="000C44DE" w14:paraId="254B1DE7" w14:textId="77777777" w:rsidTr="005C16E6">
        <w:tc>
          <w:tcPr>
            <w:tcW w:w="2324" w:type="dxa"/>
            <w:vMerge w:val="restart"/>
            <w:tcBorders>
              <w:top w:val="double" w:sz="4" w:space="0" w:color="auto"/>
            </w:tcBorders>
            <w:vAlign w:val="center"/>
          </w:tcPr>
          <w:p w14:paraId="00676F4F" w14:textId="77777777" w:rsidR="000C44DE" w:rsidRDefault="000C44DE" w:rsidP="005C16E6">
            <w:pPr>
              <w:jc w:val="center"/>
            </w:pPr>
            <w:r>
              <w:t>Switzerland</w:t>
            </w:r>
          </w:p>
        </w:tc>
        <w:tc>
          <w:tcPr>
            <w:tcW w:w="2066" w:type="dxa"/>
            <w:tcBorders>
              <w:top w:val="double" w:sz="4" w:space="0" w:color="auto"/>
            </w:tcBorders>
            <w:vAlign w:val="center"/>
          </w:tcPr>
          <w:p w14:paraId="1B25E8A4" w14:textId="77777777" w:rsidR="000C44DE" w:rsidRDefault="000C44DE" w:rsidP="005C16E6">
            <w:pPr>
              <w:jc w:val="center"/>
            </w:pPr>
            <w:r>
              <w:t>Australia</w:t>
            </w:r>
          </w:p>
        </w:tc>
        <w:tc>
          <w:tcPr>
            <w:tcW w:w="1559" w:type="dxa"/>
            <w:tcBorders>
              <w:top w:val="double" w:sz="4" w:space="0" w:color="auto"/>
            </w:tcBorders>
            <w:vAlign w:val="center"/>
          </w:tcPr>
          <w:p w14:paraId="185AA53D" w14:textId="77777777" w:rsidR="000C44DE" w:rsidRPr="00D00F7C" w:rsidRDefault="000C44DE" w:rsidP="005C16E6">
            <w:pPr>
              <w:jc w:val="center"/>
              <w:rPr>
                <w:color w:val="00B050"/>
              </w:rPr>
            </w:pPr>
            <w:r w:rsidRPr="00D00F7C">
              <w:rPr>
                <w:color w:val="00B050"/>
              </w:rPr>
              <w:t>Y</w:t>
            </w:r>
          </w:p>
        </w:tc>
        <w:tc>
          <w:tcPr>
            <w:tcW w:w="4110" w:type="dxa"/>
            <w:tcBorders>
              <w:top w:val="double" w:sz="4" w:space="0" w:color="auto"/>
            </w:tcBorders>
          </w:tcPr>
          <w:p w14:paraId="6881C5DD" w14:textId="35AE1566" w:rsidR="000C44DE" w:rsidRDefault="006F1D4C" w:rsidP="005C16E6">
            <w:pPr>
              <w:jc w:val="center"/>
            </w:pPr>
            <w:r>
              <w:t>FCP and local CP are identical in appearance</w:t>
            </w:r>
            <w:r>
              <w:rPr>
                <w:vertAlign w:val="superscript"/>
              </w:rPr>
              <w:t>3</w:t>
            </w:r>
            <w:r>
              <w:t>, are from the same global company and have similar dissolution.</w:t>
            </w:r>
          </w:p>
        </w:tc>
        <w:tc>
          <w:tcPr>
            <w:tcW w:w="4111" w:type="dxa"/>
            <w:tcBorders>
              <w:top w:val="double" w:sz="4" w:space="0" w:color="auto"/>
            </w:tcBorders>
          </w:tcPr>
          <w:p w14:paraId="55908BAC" w14:textId="77777777" w:rsidR="000C44DE" w:rsidRDefault="000C44DE" w:rsidP="005C16E6">
            <w:pPr>
              <w:jc w:val="center"/>
            </w:pPr>
            <w:r>
              <w:t>Only applies to oral dosage forms. Contact the TGA for other dosage forms.</w:t>
            </w:r>
          </w:p>
        </w:tc>
      </w:tr>
      <w:tr w:rsidR="000C44DE" w14:paraId="2131446B" w14:textId="77777777" w:rsidTr="005C16E6">
        <w:tc>
          <w:tcPr>
            <w:tcW w:w="2324" w:type="dxa"/>
            <w:vMerge/>
            <w:vAlign w:val="center"/>
          </w:tcPr>
          <w:p w14:paraId="4DC6E748" w14:textId="77777777" w:rsidR="000C44DE" w:rsidRDefault="000C44DE" w:rsidP="005C16E6">
            <w:pPr>
              <w:jc w:val="center"/>
            </w:pPr>
          </w:p>
        </w:tc>
        <w:tc>
          <w:tcPr>
            <w:tcW w:w="2066" w:type="dxa"/>
            <w:vAlign w:val="center"/>
          </w:tcPr>
          <w:p w14:paraId="62A3901E" w14:textId="77777777" w:rsidR="000C44DE" w:rsidRDefault="000C44DE" w:rsidP="005C16E6">
            <w:pPr>
              <w:jc w:val="center"/>
            </w:pPr>
            <w:r>
              <w:t>Canada</w:t>
            </w:r>
          </w:p>
        </w:tc>
        <w:tc>
          <w:tcPr>
            <w:tcW w:w="1559" w:type="dxa"/>
            <w:vAlign w:val="center"/>
          </w:tcPr>
          <w:p w14:paraId="37DCBC5F" w14:textId="77777777" w:rsidR="000C44DE" w:rsidRPr="00D00F7C" w:rsidRDefault="000C44DE" w:rsidP="005C16E6">
            <w:pPr>
              <w:jc w:val="center"/>
              <w:rPr>
                <w:color w:val="00B050"/>
              </w:rPr>
            </w:pPr>
            <w:r w:rsidRPr="00D00F7C">
              <w:rPr>
                <w:color w:val="00B050"/>
              </w:rPr>
              <w:t>Y</w:t>
            </w:r>
          </w:p>
        </w:tc>
        <w:tc>
          <w:tcPr>
            <w:tcW w:w="4110" w:type="dxa"/>
          </w:tcPr>
          <w:p w14:paraId="2A334A73" w14:textId="77777777" w:rsidR="000C44DE" w:rsidRDefault="000C44DE" w:rsidP="005C16E6">
            <w:pPr>
              <w:jc w:val="center"/>
            </w:pPr>
            <w:r>
              <w:rPr>
                <w:rStyle w:val="ui-provider"/>
              </w:rPr>
              <w:t>The formulation of the FCP and the local CP are qualitatively and quantitatively the same</w:t>
            </w:r>
            <w:r w:rsidRPr="004C7DD9">
              <w:rPr>
                <w:rStyle w:val="ui-provider"/>
                <w:i/>
                <w:iCs/>
                <w:vertAlign w:val="superscript"/>
              </w:rPr>
              <w:t>1</w:t>
            </w:r>
            <w:r>
              <w:rPr>
                <w:rStyle w:val="ui-provider"/>
              </w:rPr>
              <w:t xml:space="preserve"> and are from the same innovator company or corporate entity.  The medicinal ingredient is considered to have high solubility. Depending on the drug product, comparative dissolution data, comparative physicochemical property data, </w:t>
            </w:r>
            <w:r>
              <w:rPr>
                <w:rStyle w:val="ui-provider"/>
                <w:i/>
                <w:iCs/>
              </w:rPr>
              <w:t>in-vitro</w:t>
            </w:r>
            <w:r>
              <w:rPr>
                <w:rStyle w:val="ui-provider"/>
              </w:rPr>
              <w:t xml:space="preserve"> performance data or device attribute data may also be required.</w:t>
            </w:r>
          </w:p>
        </w:tc>
        <w:tc>
          <w:tcPr>
            <w:tcW w:w="4111" w:type="dxa"/>
          </w:tcPr>
          <w:p w14:paraId="0CBBF1A0" w14:textId="77777777" w:rsidR="000C44DE" w:rsidRDefault="000C44DE" w:rsidP="005C16E6">
            <w:pPr>
              <w:jc w:val="center"/>
            </w:pPr>
            <w:r>
              <w:t>Modified release products (exceptions may apply). Immediate release drug products that contain Critical Dose Drugs or a drug substance that is not considered to have high solubility.</w:t>
            </w:r>
          </w:p>
        </w:tc>
      </w:tr>
      <w:tr w:rsidR="000C44DE" w14:paraId="2417DED6" w14:textId="77777777" w:rsidTr="005C16E6">
        <w:tc>
          <w:tcPr>
            <w:tcW w:w="2324" w:type="dxa"/>
            <w:vMerge/>
            <w:vAlign w:val="center"/>
          </w:tcPr>
          <w:p w14:paraId="7A1A86AC" w14:textId="77777777" w:rsidR="000C44DE" w:rsidRDefault="000C44DE" w:rsidP="005C16E6">
            <w:pPr>
              <w:jc w:val="center"/>
            </w:pPr>
          </w:p>
        </w:tc>
        <w:tc>
          <w:tcPr>
            <w:tcW w:w="2066" w:type="dxa"/>
            <w:vAlign w:val="center"/>
          </w:tcPr>
          <w:p w14:paraId="66AD7176" w14:textId="77777777" w:rsidR="000C44DE" w:rsidRDefault="000C44DE" w:rsidP="005C16E6">
            <w:pPr>
              <w:jc w:val="center"/>
            </w:pPr>
            <w:r>
              <w:t>Singapore</w:t>
            </w:r>
          </w:p>
        </w:tc>
        <w:tc>
          <w:tcPr>
            <w:tcW w:w="1559" w:type="dxa"/>
            <w:vAlign w:val="center"/>
          </w:tcPr>
          <w:p w14:paraId="26E6BB2C" w14:textId="77777777" w:rsidR="000C44DE" w:rsidRPr="00D00F7C" w:rsidRDefault="000C44DE" w:rsidP="005C16E6">
            <w:pPr>
              <w:jc w:val="center"/>
              <w:rPr>
                <w:color w:val="00B050"/>
              </w:rPr>
            </w:pPr>
            <w:r w:rsidRPr="00D00F7C">
              <w:rPr>
                <w:color w:val="00B050"/>
              </w:rPr>
              <w:t>Y</w:t>
            </w:r>
          </w:p>
        </w:tc>
        <w:tc>
          <w:tcPr>
            <w:tcW w:w="4110" w:type="dxa"/>
          </w:tcPr>
          <w:p w14:paraId="7CA751C2" w14:textId="77777777" w:rsidR="000C44DE" w:rsidRDefault="000C44DE" w:rsidP="005C16E6">
            <w:pPr>
              <w:jc w:val="center"/>
            </w:pPr>
            <w:r>
              <w:t>FCP is from same global company as Singapore reference product (SRP) or marketed in its country of origin through a licensing arrangement with the Singapore Product Registrant.</w:t>
            </w:r>
          </w:p>
          <w:p w14:paraId="39F88A52" w14:textId="77777777" w:rsidR="000C44DE" w:rsidRDefault="000C44DE" w:rsidP="005C16E6">
            <w:pPr>
              <w:jc w:val="center"/>
            </w:pPr>
            <w:r>
              <w:t>Comparative dissolution data are only required if the FCP is not manufactured at the same drug product manufacturing site as the SRP.</w:t>
            </w:r>
          </w:p>
        </w:tc>
        <w:tc>
          <w:tcPr>
            <w:tcW w:w="4111" w:type="dxa"/>
          </w:tcPr>
          <w:p w14:paraId="0EDF3599" w14:textId="77777777" w:rsidR="000C44DE" w:rsidRDefault="000C44DE" w:rsidP="005C16E6">
            <w:pPr>
              <w:jc w:val="center"/>
            </w:pPr>
            <w:r>
              <w:t xml:space="preserve">FCP which are narrow therapeutic index drugs </w:t>
            </w:r>
            <w:r w:rsidRPr="005A03CF">
              <w:rPr>
                <w:u w:val="single"/>
              </w:rPr>
              <w:t>and</w:t>
            </w:r>
            <w:r>
              <w:t xml:space="preserve"> not manufactured at the same drug product manufacturing site as the SRP will not be accepted.</w:t>
            </w:r>
          </w:p>
        </w:tc>
      </w:tr>
      <w:tr w:rsidR="000C44DE" w14:paraId="53230511" w14:textId="77777777" w:rsidTr="005C16E6">
        <w:tc>
          <w:tcPr>
            <w:tcW w:w="2324" w:type="dxa"/>
            <w:vMerge/>
            <w:vAlign w:val="center"/>
          </w:tcPr>
          <w:p w14:paraId="42CC90AF" w14:textId="77777777" w:rsidR="000C44DE" w:rsidRDefault="000C44DE" w:rsidP="005C16E6">
            <w:pPr>
              <w:jc w:val="center"/>
            </w:pPr>
          </w:p>
        </w:tc>
        <w:tc>
          <w:tcPr>
            <w:tcW w:w="2066" w:type="dxa"/>
            <w:vAlign w:val="center"/>
          </w:tcPr>
          <w:p w14:paraId="3CD7545A" w14:textId="77777777" w:rsidR="000C44DE" w:rsidRDefault="000C44DE" w:rsidP="005C16E6">
            <w:pPr>
              <w:jc w:val="center"/>
            </w:pPr>
            <w:r>
              <w:t>Switzerland</w:t>
            </w:r>
          </w:p>
        </w:tc>
        <w:tc>
          <w:tcPr>
            <w:tcW w:w="1559" w:type="dxa"/>
            <w:vAlign w:val="center"/>
          </w:tcPr>
          <w:p w14:paraId="2BCBE52D" w14:textId="77777777" w:rsidR="000C44DE" w:rsidRPr="00D00F7C" w:rsidRDefault="000C44DE" w:rsidP="005C16E6">
            <w:pPr>
              <w:jc w:val="center"/>
              <w:rPr>
                <w:color w:val="00B050"/>
              </w:rPr>
            </w:pPr>
            <w:r w:rsidRPr="00D00F7C">
              <w:rPr>
                <w:color w:val="00B050"/>
              </w:rPr>
              <w:t>Y</w:t>
            </w:r>
          </w:p>
        </w:tc>
        <w:tc>
          <w:tcPr>
            <w:tcW w:w="4110" w:type="dxa"/>
          </w:tcPr>
          <w:p w14:paraId="4823B914" w14:textId="77777777" w:rsidR="000C44DE" w:rsidRDefault="000C44DE" w:rsidP="005C16E6">
            <w:pPr>
              <w:jc w:val="center"/>
            </w:pPr>
            <w:r>
              <w:t>Swiss Comparator Product always accepted</w:t>
            </w:r>
          </w:p>
        </w:tc>
        <w:tc>
          <w:tcPr>
            <w:tcW w:w="4111" w:type="dxa"/>
          </w:tcPr>
          <w:p w14:paraId="1D8003EB" w14:textId="77777777" w:rsidR="000C44DE" w:rsidRDefault="000C44DE" w:rsidP="005C16E6">
            <w:pPr>
              <w:jc w:val="center"/>
            </w:pPr>
            <w:r>
              <w:t>-----</w:t>
            </w:r>
          </w:p>
        </w:tc>
      </w:tr>
      <w:tr w:rsidR="000C44DE" w14:paraId="69304B4B" w14:textId="77777777" w:rsidTr="005C16E6">
        <w:tc>
          <w:tcPr>
            <w:tcW w:w="2324" w:type="dxa"/>
            <w:vMerge/>
            <w:vAlign w:val="center"/>
          </w:tcPr>
          <w:p w14:paraId="01864DF2" w14:textId="77777777" w:rsidR="000C44DE" w:rsidRDefault="000C44DE" w:rsidP="005C16E6">
            <w:pPr>
              <w:jc w:val="center"/>
            </w:pPr>
          </w:p>
        </w:tc>
        <w:tc>
          <w:tcPr>
            <w:tcW w:w="2066" w:type="dxa"/>
            <w:vAlign w:val="center"/>
          </w:tcPr>
          <w:p w14:paraId="1868FE8E" w14:textId="0313DC9F" w:rsidR="000C44DE" w:rsidRDefault="000C44DE" w:rsidP="005C16E6">
            <w:pPr>
              <w:jc w:val="center"/>
            </w:pPr>
          </w:p>
        </w:tc>
        <w:tc>
          <w:tcPr>
            <w:tcW w:w="1559" w:type="dxa"/>
            <w:vAlign w:val="center"/>
          </w:tcPr>
          <w:p w14:paraId="0EFA4590" w14:textId="2C036A19" w:rsidR="000C44DE" w:rsidRPr="00D00F7C" w:rsidRDefault="000C44DE" w:rsidP="005C16E6">
            <w:pPr>
              <w:jc w:val="center"/>
              <w:rPr>
                <w:color w:val="00B050"/>
              </w:rPr>
            </w:pPr>
          </w:p>
        </w:tc>
        <w:tc>
          <w:tcPr>
            <w:tcW w:w="4110" w:type="dxa"/>
          </w:tcPr>
          <w:p w14:paraId="324B583A" w14:textId="1A0A0C9D" w:rsidR="000C44DE" w:rsidRDefault="000C44DE" w:rsidP="005C16E6">
            <w:pPr>
              <w:jc w:val="center"/>
            </w:pPr>
          </w:p>
        </w:tc>
        <w:tc>
          <w:tcPr>
            <w:tcW w:w="4111" w:type="dxa"/>
          </w:tcPr>
          <w:p w14:paraId="0F848007" w14:textId="0E92B11D" w:rsidR="000C44DE" w:rsidRDefault="000C44DE" w:rsidP="005C16E6">
            <w:pPr>
              <w:jc w:val="center"/>
            </w:pPr>
          </w:p>
        </w:tc>
      </w:tr>
      <w:tr w:rsidR="000C44DE" w14:paraId="04114C55" w14:textId="77777777" w:rsidTr="005C16E6">
        <w:tc>
          <w:tcPr>
            <w:tcW w:w="2324" w:type="dxa"/>
            <w:vMerge/>
            <w:tcBorders>
              <w:bottom w:val="double" w:sz="4" w:space="0" w:color="auto"/>
            </w:tcBorders>
            <w:vAlign w:val="center"/>
          </w:tcPr>
          <w:p w14:paraId="7CC56E05" w14:textId="77777777" w:rsidR="000C44DE" w:rsidRDefault="000C44DE" w:rsidP="005C16E6">
            <w:pPr>
              <w:jc w:val="center"/>
            </w:pPr>
          </w:p>
        </w:tc>
        <w:tc>
          <w:tcPr>
            <w:tcW w:w="2066" w:type="dxa"/>
            <w:tcBorders>
              <w:bottom w:val="double" w:sz="4" w:space="0" w:color="auto"/>
            </w:tcBorders>
            <w:vAlign w:val="center"/>
          </w:tcPr>
          <w:p w14:paraId="3D1AC262" w14:textId="2CA1635A" w:rsidR="000C44DE" w:rsidRDefault="00D12938" w:rsidP="005C16E6">
            <w:pPr>
              <w:jc w:val="center"/>
            </w:pPr>
            <w:r>
              <w:t>UK</w:t>
            </w:r>
            <w:r w:rsidR="000C44DE">
              <w:rPr>
                <w:vertAlign w:val="superscript"/>
              </w:rPr>
              <w:t>4</w:t>
            </w:r>
          </w:p>
        </w:tc>
        <w:tc>
          <w:tcPr>
            <w:tcW w:w="1559" w:type="dxa"/>
            <w:tcBorders>
              <w:bottom w:val="double" w:sz="4" w:space="0" w:color="auto"/>
            </w:tcBorders>
            <w:vAlign w:val="center"/>
          </w:tcPr>
          <w:p w14:paraId="469FFA26" w14:textId="77777777" w:rsidR="000C44DE" w:rsidRPr="00D00F7C" w:rsidRDefault="000C44DE" w:rsidP="005C16E6">
            <w:pPr>
              <w:jc w:val="center"/>
              <w:rPr>
                <w:color w:val="00B050"/>
              </w:rPr>
            </w:pPr>
            <w:r w:rsidRPr="00D00F7C">
              <w:rPr>
                <w:color w:val="00B050"/>
              </w:rPr>
              <w:t>Y</w:t>
            </w:r>
          </w:p>
        </w:tc>
        <w:tc>
          <w:tcPr>
            <w:tcW w:w="4110" w:type="dxa"/>
            <w:tcBorders>
              <w:bottom w:val="double" w:sz="4" w:space="0" w:color="auto"/>
            </w:tcBorders>
          </w:tcPr>
          <w:p w14:paraId="024C67C3" w14:textId="3A136D77" w:rsidR="000C44DE" w:rsidRPr="00B67DB4" w:rsidRDefault="000C44DE" w:rsidP="00B67DB4">
            <w:pPr>
              <w:jc w:val="center"/>
            </w:pPr>
            <w:r w:rsidRPr="00B67DB4">
              <w:t xml:space="preserve">The </w:t>
            </w:r>
            <w:r w:rsidR="00D12938">
              <w:t>F</w:t>
            </w:r>
            <w:r w:rsidRPr="00B67DB4">
              <w:t>CP would normally be expected to be:</w:t>
            </w:r>
          </w:p>
          <w:p w14:paraId="48356327" w14:textId="5008FEF0" w:rsidR="000C44DE" w:rsidRPr="00B67DB4" w:rsidRDefault="000C44DE" w:rsidP="00B67DB4">
            <w:pPr>
              <w:numPr>
                <w:ilvl w:val="0"/>
                <w:numId w:val="13"/>
              </w:numPr>
              <w:spacing w:before="0" w:after="75"/>
              <w:ind w:left="463"/>
              <w:jc w:val="center"/>
            </w:pPr>
            <w:r w:rsidRPr="00B67DB4">
              <w:t>part of the same GMA as the </w:t>
            </w:r>
            <w:r w:rsidR="00D12938">
              <w:t xml:space="preserve">UK </w:t>
            </w:r>
            <w:r w:rsidRPr="00B67DB4">
              <w:t>RMP, or</w:t>
            </w:r>
          </w:p>
          <w:p w14:paraId="4329BBAB" w14:textId="696CBC23" w:rsidR="000C44DE" w:rsidRPr="00B67DB4" w:rsidRDefault="000C44DE" w:rsidP="00B67DB4">
            <w:pPr>
              <w:numPr>
                <w:ilvl w:val="0"/>
                <w:numId w:val="13"/>
              </w:numPr>
              <w:spacing w:before="0" w:after="75"/>
              <w:ind w:left="463"/>
              <w:jc w:val="center"/>
            </w:pPr>
            <w:r w:rsidRPr="00B67DB4">
              <w:t xml:space="preserve">marketed in the country of origin through a licensing arrangement with the innovator company or corporate entity that currently markets the medicine in the </w:t>
            </w:r>
            <w:r w:rsidR="00D12938">
              <w:t>UK</w:t>
            </w:r>
            <w:r w:rsidRPr="00B67DB4">
              <w:t>.</w:t>
            </w:r>
          </w:p>
          <w:p w14:paraId="33115A33" w14:textId="0B7A8CA5" w:rsidR="000C44DE" w:rsidRDefault="000C44DE" w:rsidP="00B67DB4">
            <w:pPr>
              <w:jc w:val="center"/>
            </w:pPr>
            <w:r w:rsidRPr="00B67DB4">
              <w:t xml:space="preserve">The </w:t>
            </w:r>
            <w:r w:rsidR="00D12938">
              <w:t>F</w:t>
            </w:r>
            <w:r w:rsidRPr="00B67DB4">
              <w:t> CP used is required to be representative of the </w:t>
            </w:r>
            <w:r w:rsidR="00D12938">
              <w:t xml:space="preserve">UK </w:t>
            </w:r>
            <w:r w:rsidRPr="00B67DB4">
              <w:t>RMP, but it is not required to be identical to it. This means that certain minor differences between both products may be accepted if justified, provided this is supported by bridging data (see published guidance on data requirements</w:t>
            </w:r>
            <w:r w:rsidR="002E03DB">
              <w:rPr>
                <w:vertAlign w:val="superscript"/>
              </w:rPr>
              <w:t>1</w:t>
            </w:r>
            <w:r w:rsidRPr="00B67DB4">
              <w:t>).</w:t>
            </w:r>
          </w:p>
        </w:tc>
        <w:tc>
          <w:tcPr>
            <w:tcW w:w="4111" w:type="dxa"/>
            <w:tcBorders>
              <w:bottom w:val="double" w:sz="4" w:space="0" w:color="auto"/>
            </w:tcBorders>
          </w:tcPr>
          <w:p w14:paraId="3BBE3084" w14:textId="77777777" w:rsidR="000C44DE" w:rsidRPr="00B67DB4" w:rsidRDefault="000C44DE" w:rsidP="005C16E6">
            <w:pPr>
              <w:jc w:val="center"/>
            </w:pPr>
            <w:r w:rsidRPr="00B67DB4">
              <w:t>Applies to BE, PK and TE studies provided in support of generic/hybrid applications. In case of complex products, it is recommended that MHRA are consulted for specific advice.</w:t>
            </w:r>
          </w:p>
          <w:p w14:paraId="708CC075" w14:textId="387441EA" w:rsidR="000C44DE" w:rsidRPr="00B67DB4" w:rsidRDefault="000C44DE" w:rsidP="005C16E6">
            <w:pPr>
              <w:jc w:val="center"/>
            </w:pPr>
            <w:r w:rsidRPr="006D108A">
              <w:t xml:space="preserve">In </w:t>
            </w:r>
            <w:r>
              <w:t>some</w:t>
            </w:r>
            <w:r w:rsidRPr="006D108A">
              <w:t xml:space="preserve"> cases, it may be </w:t>
            </w:r>
            <w:r>
              <w:t xml:space="preserve">accepted </w:t>
            </w:r>
            <w:r w:rsidRPr="006D108A">
              <w:t xml:space="preserve">to perform studies </w:t>
            </w:r>
            <w:r>
              <w:t>using</w:t>
            </w:r>
            <w:r w:rsidRPr="006D108A">
              <w:t xml:space="preserve"> another </w:t>
            </w:r>
            <w:r>
              <w:t>CP</w:t>
            </w:r>
            <w:r w:rsidRPr="006D108A">
              <w:t xml:space="preserve">, product X, that was </w:t>
            </w:r>
            <w:r>
              <w:t xml:space="preserve">itself </w:t>
            </w:r>
            <w:r w:rsidRPr="006D108A">
              <w:t xml:space="preserve">submitted as </w:t>
            </w:r>
            <w:r>
              <w:t>an</w:t>
            </w:r>
            <w:r w:rsidRPr="006D108A">
              <w:t xml:space="preserve"> application referring to the RMP (e</w:t>
            </w:r>
            <w:r w:rsidR="005A4D2D">
              <w:t>.</w:t>
            </w:r>
            <w:r w:rsidRPr="006D108A">
              <w:t>g</w:t>
            </w:r>
            <w:r w:rsidR="005A4D2D">
              <w:t>.</w:t>
            </w:r>
            <w:r w:rsidRPr="006D108A">
              <w:t xml:space="preserve"> new indications, strength, route of administration, pharmaceutical form</w:t>
            </w:r>
            <w:proofErr w:type="gramStart"/>
            <w:r w:rsidRPr="006D108A">
              <w:t>)</w:t>
            </w:r>
            <w:r>
              <w:t xml:space="preserve">, </w:t>
            </w:r>
            <w:r w:rsidRPr="006D108A">
              <w:t>but</w:t>
            </w:r>
            <w:proofErr w:type="gramEnd"/>
            <w:r w:rsidRPr="006D108A">
              <w:t xml:space="preserve"> is not part of the same GMA as the RMP</w:t>
            </w:r>
            <w:r>
              <w:t>. A</w:t>
            </w:r>
            <w:r w:rsidRPr="006D108A">
              <w:t xml:space="preserve">dditional non-clinical and/or clinical studies </w:t>
            </w:r>
            <w:r>
              <w:t>would have been</w:t>
            </w:r>
            <w:r w:rsidRPr="006D108A">
              <w:t xml:space="preserve"> submitted in support of product X.  Applicants are advised to discuss the dossier requirements in such situations with the MHRA.</w:t>
            </w:r>
          </w:p>
          <w:p w14:paraId="62C03DD7" w14:textId="77777777" w:rsidR="000C44DE" w:rsidRDefault="000C44DE" w:rsidP="005C16E6">
            <w:pPr>
              <w:jc w:val="center"/>
            </w:pPr>
          </w:p>
        </w:tc>
      </w:tr>
      <w:tr w:rsidR="000C44DE" w14:paraId="41BF676B" w14:textId="77777777" w:rsidTr="005C16E6">
        <w:tc>
          <w:tcPr>
            <w:tcW w:w="2324" w:type="dxa"/>
            <w:vMerge w:val="restart"/>
            <w:tcBorders>
              <w:top w:val="double" w:sz="4" w:space="0" w:color="auto"/>
            </w:tcBorders>
            <w:vAlign w:val="center"/>
          </w:tcPr>
          <w:p w14:paraId="643E7583" w14:textId="40979F1E" w:rsidR="000C44DE" w:rsidRDefault="00D12938" w:rsidP="005C16E6">
            <w:pPr>
              <w:jc w:val="center"/>
            </w:pPr>
            <w:r>
              <w:lastRenderedPageBreak/>
              <w:t>UK</w:t>
            </w:r>
          </w:p>
        </w:tc>
        <w:tc>
          <w:tcPr>
            <w:tcW w:w="2066" w:type="dxa"/>
            <w:tcBorders>
              <w:top w:val="double" w:sz="4" w:space="0" w:color="auto"/>
            </w:tcBorders>
            <w:vAlign w:val="center"/>
          </w:tcPr>
          <w:p w14:paraId="4B2F215E" w14:textId="77777777" w:rsidR="000C44DE" w:rsidRDefault="000C44DE" w:rsidP="005C16E6">
            <w:pPr>
              <w:jc w:val="center"/>
            </w:pPr>
            <w:r>
              <w:t>Australia</w:t>
            </w:r>
          </w:p>
        </w:tc>
        <w:tc>
          <w:tcPr>
            <w:tcW w:w="1559" w:type="dxa"/>
            <w:tcBorders>
              <w:top w:val="double" w:sz="4" w:space="0" w:color="auto"/>
            </w:tcBorders>
            <w:vAlign w:val="center"/>
          </w:tcPr>
          <w:p w14:paraId="6A1FF9DF" w14:textId="77777777" w:rsidR="000C44DE" w:rsidRPr="00D00F7C" w:rsidRDefault="000C44DE" w:rsidP="005C16E6">
            <w:pPr>
              <w:jc w:val="center"/>
              <w:rPr>
                <w:color w:val="00B050"/>
              </w:rPr>
            </w:pPr>
            <w:r w:rsidRPr="00D00F7C">
              <w:rPr>
                <w:color w:val="00B050"/>
              </w:rPr>
              <w:t>Y</w:t>
            </w:r>
          </w:p>
        </w:tc>
        <w:tc>
          <w:tcPr>
            <w:tcW w:w="4110" w:type="dxa"/>
            <w:tcBorders>
              <w:top w:val="double" w:sz="4" w:space="0" w:color="auto"/>
            </w:tcBorders>
          </w:tcPr>
          <w:p w14:paraId="67C1E156" w14:textId="24D12FF0" w:rsidR="000C44DE" w:rsidRDefault="00DD1A76" w:rsidP="005C16E6">
            <w:pPr>
              <w:jc w:val="center"/>
            </w:pPr>
            <w:r>
              <w:t>FCP and local CP are identical in appearance</w:t>
            </w:r>
            <w:r>
              <w:rPr>
                <w:vertAlign w:val="superscript"/>
              </w:rPr>
              <w:t>3</w:t>
            </w:r>
            <w:r>
              <w:t>, are from the same global company and have similar dissolution.</w:t>
            </w:r>
          </w:p>
        </w:tc>
        <w:tc>
          <w:tcPr>
            <w:tcW w:w="4111" w:type="dxa"/>
            <w:tcBorders>
              <w:top w:val="double" w:sz="4" w:space="0" w:color="auto"/>
            </w:tcBorders>
          </w:tcPr>
          <w:p w14:paraId="13EE8DB7" w14:textId="77777777" w:rsidR="000C44DE" w:rsidRDefault="000C44DE" w:rsidP="005C16E6">
            <w:pPr>
              <w:jc w:val="center"/>
            </w:pPr>
            <w:r>
              <w:t>Only applies to oral dosage forms. Contact the TGA for other dosage forms.</w:t>
            </w:r>
          </w:p>
        </w:tc>
      </w:tr>
      <w:tr w:rsidR="000C44DE" w14:paraId="4DB7A5FB" w14:textId="77777777" w:rsidTr="005C16E6">
        <w:tc>
          <w:tcPr>
            <w:tcW w:w="2324" w:type="dxa"/>
            <w:vMerge/>
            <w:vAlign w:val="center"/>
          </w:tcPr>
          <w:p w14:paraId="66EF47B7" w14:textId="77777777" w:rsidR="000C44DE" w:rsidRDefault="000C44DE" w:rsidP="005C16E6">
            <w:pPr>
              <w:jc w:val="center"/>
            </w:pPr>
          </w:p>
        </w:tc>
        <w:tc>
          <w:tcPr>
            <w:tcW w:w="2066" w:type="dxa"/>
            <w:vAlign w:val="center"/>
          </w:tcPr>
          <w:p w14:paraId="049F1B24" w14:textId="77777777" w:rsidR="000C44DE" w:rsidRDefault="000C44DE" w:rsidP="005C16E6">
            <w:pPr>
              <w:jc w:val="center"/>
            </w:pPr>
            <w:r>
              <w:t>Canada</w:t>
            </w:r>
          </w:p>
        </w:tc>
        <w:tc>
          <w:tcPr>
            <w:tcW w:w="1559" w:type="dxa"/>
            <w:vAlign w:val="center"/>
          </w:tcPr>
          <w:p w14:paraId="66E0D784" w14:textId="77777777" w:rsidR="000C44DE" w:rsidRPr="00D00F7C" w:rsidRDefault="000C44DE" w:rsidP="005C16E6">
            <w:pPr>
              <w:jc w:val="center"/>
              <w:rPr>
                <w:color w:val="00B050"/>
              </w:rPr>
            </w:pPr>
            <w:r w:rsidRPr="00D00F7C">
              <w:rPr>
                <w:color w:val="00B050"/>
              </w:rPr>
              <w:t>Y</w:t>
            </w:r>
          </w:p>
        </w:tc>
        <w:tc>
          <w:tcPr>
            <w:tcW w:w="4110" w:type="dxa"/>
          </w:tcPr>
          <w:p w14:paraId="5AB8DFEF" w14:textId="77777777" w:rsidR="000C44DE" w:rsidRDefault="000C44DE" w:rsidP="005C16E6">
            <w:pPr>
              <w:jc w:val="center"/>
            </w:pPr>
            <w:r>
              <w:rPr>
                <w:rStyle w:val="ui-provider"/>
              </w:rPr>
              <w:t>The formulation of the FCP and the local CP are qualitatively and quantitatively the same</w:t>
            </w:r>
            <w:r w:rsidRPr="004C7DD9">
              <w:rPr>
                <w:rStyle w:val="ui-provider"/>
                <w:i/>
                <w:iCs/>
                <w:vertAlign w:val="superscript"/>
              </w:rPr>
              <w:t>1</w:t>
            </w:r>
            <w:r>
              <w:rPr>
                <w:rStyle w:val="ui-provider"/>
              </w:rPr>
              <w:t xml:space="preserve"> and are from the same innovator company or corporate entity.  The medicinal ingredient is considered to have high solubility. Depending on the drug product, comparative dissolution data, comparative physicochemical property data, </w:t>
            </w:r>
            <w:r>
              <w:rPr>
                <w:rStyle w:val="ui-provider"/>
                <w:i/>
                <w:iCs/>
              </w:rPr>
              <w:t>in-vitro</w:t>
            </w:r>
            <w:r>
              <w:rPr>
                <w:rStyle w:val="ui-provider"/>
              </w:rPr>
              <w:t xml:space="preserve"> performance data or device attribute data may also be required.</w:t>
            </w:r>
          </w:p>
        </w:tc>
        <w:tc>
          <w:tcPr>
            <w:tcW w:w="4111" w:type="dxa"/>
          </w:tcPr>
          <w:p w14:paraId="0173ACC5" w14:textId="77777777" w:rsidR="000C44DE" w:rsidRDefault="000C44DE" w:rsidP="005C16E6">
            <w:pPr>
              <w:jc w:val="center"/>
            </w:pPr>
            <w:r>
              <w:t>Modified release products (exceptions may apply). Immediate release drug products that contain Critical Dose Drugs or a drug substance that is not considered to have high solubility.</w:t>
            </w:r>
          </w:p>
        </w:tc>
      </w:tr>
      <w:tr w:rsidR="000C44DE" w14:paraId="092FA374" w14:textId="77777777" w:rsidTr="005C16E6">
        <w:tc>
          <w:tcPr>
            <w:tcW w:w="2324" w:type="dxa"/>
            <w:vMerge/>
            <w:vAlign w:val="center"/>
          </w:tcPr>
          <w:p w14:paraId="196772AB" w14:textId="77777777" w:rsidR="000C44DE" w:rsidRDefault="000C44DE" w:rsidP="005C16E6">
            <w:pPr>
              <w:jc w:val="center"/>
            </w:pPr>
          </w:p>
        </w:tc>
        <w:tc>
          <w:tcPr>
            <w:tcW w:w="2066" w:type="dxa"/>
            <w:vAlign w:val="center"/>
          </w:tcPr>
          <w:p w14:paraId="30A6B8F4" w14:textId="77777777" w:rsidR="000C44DE" w:rsidRDefault="000C44DE" w:rsidP="005C16E6">
            <w:pPr>
              <w:jc w:val="center"/>
            </w:pPr>
            <w:r>
              <w:t>Singapore</w:t>
            </w:r>
          </w:p>
        </w:tc>
        <w:tc>
          <w:tcPr>
            <w:tcW w:w="1559" w:type="dxa"/>
            <w:vAlign w:val="center"/>
          </w:tcPr>
          <w:p w14:paraId="07123047" w14:textId="77777777" w:rsidR="000C44DE" w:rsidRPr="00D00F7C" w:rsidRDefault="000C44DE" w:rsidP="005C16E6">
            <w:pPr>
              <w:jc w:val="center"/>
              <w:rPr>
                <w:color w:val="00B050"/>
              </w:rPr>
            </w:pPr>
            <w:r w:rsidRPr="00D00F7C">
              <w:rPr>
                <w:color w:val="00B050"/>
              </w:rPr>
              <w:t>Y</w:t>
            </w:r>
          </w:p>
        </w:tc>
        <w:tc>
          <w:tcPr>
            <w:tcW w:w="4110" w:type="dxa"/>
          </w:tcPr>
          <w:p w14:paraId="5FD2B9C8" w14:textId="77777777" w:rsidR="000C44DE" w:rsidRDefault="000C44DE" w:rsidP="005C16E6">
            <w:pPr>
              <w:jc w:val="center"/>
            </w:pPr>
            <w:r>
              <w:t>FCP is from same global company as Singapore reference product (SRP) or marketed in its country of origin through a licensing arrangement with the Singapore Product Registrant.</w:t>
            </w:r>
          </w:p>
          <w:p w14:paraId="322E0B05" w14:textId="77777777" w:rsidR="000C44DE" w:rsidRDefault="000C44DE" w:rsidP="005C16E6">
            <w:pPr>
              <w:jc w:val="center"/>
            </w:pPr>
            <w:r>
              <w:t xml:space="preserve">Comparative dissolution data are only required if the FCP is not manufactured </w:t>
            </w:r>
            <w:r>
              <w:lastRenderedPageBreak/>
              <w:t>at the same drug product manufacturing site as the SRP.</w:t>
            </w:r>
          </w:p>
        </w:tc>
        <w:tc>
          <w:tcPr>
            <w:tcW w:w="4111" w:type="dxa"/>
          </w:tcPr>
          <w:p w14:paraId="2B697EBB" w14:textId="77777777" w:rsidR="000C44DE" w:rsidRDefault="000C44DE" w:rsidP="005C16E6">
            <w:pPr>
              <w:jc w:val="center"/>
            </w:pPr>
            <w:r>
              <w:lastRenderedPageBreak/>
              <w:t xml:space="preserve">FCP which are narrow therapeutic index drugs </w:t>
            </w:r>
            <w:r w:rsidRPr="005A03CF">
              <w:rPr>
                <w:u w:val="single"/>
              </w:rPr>
              <w:t>and</w:t>
            </w:r>
            <w:r>
              <w:t xml:space="preserve"> not manufactured at the same drug product manufacturing site as the SRP will not be accepted.</w:t>
            </w:r>
          </w:p>
        </w:tc>
      </w:tr>
      <w:tr w:rsidR="000C44DE" w14:paraId="36CC3DAF" w14:textId="77777777" w:rsidTr="005C16E6">
        <w:tc>
          <w:tcPr>
            <w:tcW w:w="2324" w:type="dxa"/>
            <w:vMerge/>
            <w:vAlign w:val="center"/>
          </w:tcPr>
          <w:p w14:paraId="039E529D" w14:textId="77777777" w:rsidR="000C44DE" w:rsidRDefault="000C44DE" w:rsidP="005C16E6">
            <w:pPr>
              <w:jc w:val="center"/>
            </w:pPr>
          </w:p>
        </w:tc>
        <w:tc>
          <w:tcPr>
            <w:tcW w:w="2066" w:type="dxa"/>
            <w:vAlign w:val="center"/>
          </w:tcPr>
          <w:p w14:paraId="6BD410B9" w14:textId="77777777" w:rsidR="000C44DE" w:rsidRDefault="000C44DE" w:rsidP="005C16E6">
            <w:pPr>
              <w:jc w:val="center"/>
            </w:pPr>
            <w:r>
              <w:t>Switzerland</w:t>
            </w:r>
          </w:p>
        </w:tc>
        <w:tc>
          <w:tcPr>
            <w:tcW w:w="1559" w:type="dxa"/>
            <w:vAlign w:val="center"/>
          </w:tcPr>
          <w:p w14:paraId="4192722F" w14:textId="77777777" w:rsidR="000C44DE" w:rsidRPr="00D00F7C" w:rsidRDefault="000C44DE" w:rsidP="005C16E6">
            <w:pPr>
              <w:jc w:val="center"/>
              <w:rPr>
                <w:color w:val="00B050"/>
              </w:rPr>
            </w:pPr>
            <w:r w:rsidRPr="00D00F7C">
              <w:rPr>
                <w:color w:val="00B050"/>
              </w:rPr>
              <w:t>Y</w:t>
            </w:r>
          </w:p>
        </w:tc>
        <w:tc>
          <w:tcPr>
            <w:tcW w:w="4110" w:type="dxa"/>
          </w:tcPr>
          <w:p w14:paraId="2A333AFC" w14:textId="77777777" w:rsidR="000C44DE" w:rsidRDefault="000C44DE" w:rsidP="005C16E6">
            <w:pPr>
              <w:jc w:val="center"/>
            </w:pPr>
          </w:p>
        </w:tc>
        <w:tc>
          <w:tcPr>
            <w:tcW w:w="4111" w:type="dxa"/>
          </w:tcPr>
          <w:p w14:paraId="0A6A9B15" w14:textId="77777777" w:rsidR="000C44DE" w:rsidRDefault="000C44DE" w:rsidP="005C16E6">
            <w:pPr>
              <w:jc w:val="center"/>
            </w:pPr>
          </w:p>
        </w:tc>
      </w:tr>
      <w:tr w:rsidR="00424D4B" w14:paraId="55EDD225" w14:textId="77777777" w:rsidTr="005C16E6">
        <w:tc>
          <w:tcPr>
            <w:tcW w:w="2324" w:type="dxa"/>
            <w:vMerge/>
            <w:vAlign w:val="center"/>
          </w:tcPr>
          <w:p w14:paraId="5467403C" w14:textId="77777777" w:rsidR="00424D4B" w:rsidRDefault="00424D4B" w:rsidP="005C16E6">
            <w:pPr>
              <w:jc w:val="center"/>
            </w:pPr>
          </w:p>
        </w:tc>
        <w:tc>
          <w:tcPr>
            <w:tcW w:w="2066" w:type="dxa"/>
            <w:vAlign w:val="center"/>
          </w:tcPr>
          <w:p w14:paraId="18181996" w14:textId="6F657B68" w:rsidR="00424D4B" w:rsidRDefault="00424D4B" w:rsidP="005C16E6">
            <w:pPr>
              <w:jc w:val="center"/>
            </w:pPr>
            <w:r>
              <w:t xml:space="preserve">UK </w:t>
            </w:r>
          </w:p>
        </w:tc>
        <w:tc>
          <w:tcPr>
            <w:tcW w:w="1559" w:type="dxa"/>
            <w:vAlign w:val="center"/>
          </w:tcPr>
          <w:p w14:paraId="6F9A5686" w14:textId="77777777" w:rsidR="00424D4B" w:rsidRPr="00D00F7C" w:rsidRDefault="00424D4B" w:rsidP="005C16E6">
            <w:pPr>
              <w:jc w:val="center"/>
              <w:rPr>
                <w:color w:val="00B050"/>
              </w:rPr>
            </w:pPr>
            <w:r w:rsidRPr="00727941">
              <w:rPr>
                <w:color w:val="00B050"/>
              </w:rPr>
              <w:t>Y</w:t>
            </w:r>
          </w:p>
        </w:tc>
        <w:tc>
          <w:tcPr>
            <w:tcW w:w="4110" w:type="dxa"/>
          </w:tcPr>
          <w:p w14:paraId="0EF63404" w14:textId="13C00749" w:rsidR="00424D4B" w:rsidRDefault="00424D4B" w:rsidP="005C16E6">
            <w:pPr>
              <w:jc w:val="center"/>
            </w:pPr>
            <w:r>
              <w:t xml:space="preserve"> UK comparator always accepted</w:t>
            </w:r>
          </w:p>
        </w:tc>
        <w:tc>
          <w:tcPr>
            <w:tcW w:w="4111" w:type="dxa"/>
            <w:vMerge w:val="restart"/>
          </w:tcPr>
          <w:p w14:paraId="37BAEF3D" w14:textId="77777777" w:rsidR="00424D4B" w:rsidRDefault="00424D4B" w:rsidP="005C16E6">
            <w:pPr>
              <w:jc w:val="center"/>
            </w:pPr>
          </w:p>
          <w:p w14:paraId="48789B62" w14:textId="0ADA5C52" w:rsidR="00424D4B" w:rsidRDefault="00424D4B" w:rsidP="00497056">
            <w:pPr>
              <w:jc w:val="center"/>
            </w:pPr>
            <w:r w:rsidRPr="006D108A">
              <w:t xml:space="preserve">In </w:t>
            </w:r>
            <w:r>
              <w:t>some</w:t>
            </w:r>
            <w:r w:rsidRPr="006D108A">
              <w:t xml:space="preserve"> cases, it may be </w:t>
            </w:r>
            <w:r>
              <w:t xml:space="preserve">accepted </w:t>
            </w:r>
            <w:r w:rsidRPr="006D108A">
              <w:t xml:space="preserve">to perform studies </w:t>
            </w:r>
            <w:r>
              <w:t>using</w:t>
            </w:r>
            <w:r w:rsidRPr="006D108A">
              <w:t xml:space="preserve"> another </w:t>
            </w:r>
            <w:r>
              <w:t>CP</w:t>
            </w:r>
            <w:r w:rsidRPr="006D108A">
              <w:t xml:space="preserve">, product X, that was </w:t>
            </w:r>
            <w:r>
              <w:t xml:space="preserve">itself </w:t>
            </w:r>
            <w:r w:rsidRPr="006D108A">
              <w:t xml:space="preserve">submitted as </w:t>
            </w:r>
            <w:r>
              <w:t>an</w:t>
            </w:r>
            <w:r w:rsidRPr="006D108A">
              <w:t xml:space="preserve"> application referring to the RMP (e</w:t>
            </w:r>
            <w:r>
              <w:t>.</w:t>
            </w:r>
            <w:r w:rsidRPr="006D108A">
              <w:t>g</w:t>
            </w:r>
            <w:r>
              <w:t>.</w:t>
            </w:r>
            <w:r w:rsidRPr="006D108A">
              <w:t xml:space="preserve"> new indications, strength, route of administration, pharmaceutical form</w:t>
            </w:r>
            <w:proofErr w:type="gramStart"/>
            <w:r w:rsidRPr="006D108A">
              <w:t>)</w:t>
            </w:r>
            <w:r>
              <w:t xml:space="preserve">, </w:t>
            </w:r>
            <w:r w:rsidRPr="006D108A">
              <w:t>but</w:t>
            </w:r>
            <w:proofErr w:type="gramEnd"/>
            <w:r w:rsidRPr="006D108A">
              <w:t xml:space="preserve"> is not part of the same GMA as the RMP</w:t>
            </w:r>
            <w:r>
              <w:t>. A</w:t>
            </w:r>
            <w:r w:rsidRPr="006D108A">
              <w:t xml:space="preserve">dditional non-clinical and/or clinical studies </w:t>
            </w:r>
            <w:r>
              <w:t>would have been</w:t>
            </w:r>
            <w:r w:rsidRPr="006D108A">
              <w:t xml:space="preserve"> submitted in support of product X.  Applicants are advised to discuss the dossier requirements in such situations with the MHRA.</w:t>
            </w:r>
          </w:p>
        </w:tc>
      </w:tr>
      <w:tr w:rsidR="00424D4B" w14:paraId="6ADF7A06" w14:textId="77777777" w:rsidTr="005C16E6">
        <w:tc>
          <w:tcPr>
            <w:tcW w:w="2324" w:type="dxa"/>
            <w:vMerge/>
            <w:vAlign w:val="center"/>
          </w:tcPr>
          <w:p w14:paraId="1FA3C397" w14:textId="77777777" w:rsidR="00424D4B" w:rsidRDefault="00424D4B" w:rsidP="005C16E6">
            <w:pPr>
              <w:jc w:val="center"/>
            </w:pPr>
          </w:p>
        </w:tc>
        <w:tc>
          <w:tcPr>
            <w:tcW w:w="2066" w:type="dxa"/>
            <w:vAlign w:val="center"/>
          </w:tcPr>
          <w:p w14:paraId="68932BC7" w14:textId="5CFFF564" w:rsidR="00424D4B" w:rsidRDefault="00424D4B" w:rsidP="005C16E6">
            <w:pPr>
              <w:jc w:val="center"/>
            </w:pPr>
          </w:p>
        </w:tc>
        <w:tc>
          <w:tcPr>
            <w:tcW w:w="1559" w:type="dxa"/>
            <w:vAlign w:val="center"/>
          </w:tcPr>
          <w:p w14:paraId="71036CC6" w14:textId="6275E46B" w:rsidR="00424D4B" w:rsidRPr="00D00F7C" w:rsidRDefault="00424D4B" w:rsidP="005C16E6">
            <w:pPr>
              <w:jc w:val="center"/>
              <w:rPr>
                <w:color w:val="00B050"/>
              </w:rPr>
            </w:pPr>
          </w:p>
        </w:tc>
        <w:tc>
          <w:tcPr>
            <w:tcW w:w="4110" w:type="dxa"/>
          </w:tcPr>
          <w:p w14:paraId="2B70CEF5" w14:textId="5FC8CB64" w:rsidR="00424D4B" w:rsidRDefault="00424D4B" w:rsidP="005C16E6">
            <w:pPr>
              <w:jc w:val="center"/>
            </w:pPr>
          </w:p>
        </w:tc>
        <w:tc>
          <w:tcPr>
            <w:tcW w:w="4111" w:type="dxa"/>
            <w:vMerge/>
          </w:tcPr>
          <w:p w14:paraId="6BD1CE2D" w14:textId="30994B32" w:rsidR="00424D4B" w:rsidRDefault="00424D4B" w:rsidP="00B16835">
            <w:pPr>
              <w:jc w:val="center"/>
            </w:pPr>
          </w:p>
        </w:tc>
      </w:tr>
    </w:tbl>
    <w:p w14:paraId="68E3BB3B" w14:textId="77777777" w:rsidR="000C44DE" w:rsidRPr="00B16835" w:rsidRDefault="000C44DE" w:rsidP="000C44DE">
      <w:pPr>
        <w:pStyle w:val="FootnoteText"/>
        <w:tabs>
          <w:tab w:val="left" w:pos="284"/>
        </w:tabs>
        <w:rPr>
          <w:sz w:val="20"/>
          <w:szCs w:val="20"/>
        </w:rPr>
      </w:pPr>
      <w:r w:rsidRPr="00B16835">
        <w:rPr>
          <w:sz w:val="20"/>
          <w:szCs w:val="20"/>
        </w:rPr>
        <w:t>1</w:t>
      </w:r>
      <w:r w:rsidRPr="00B16835">
        <w:rPr>
          <w:sz w:val="20"/>
          <w:szCs w:val="20"/>
        </w:rPr>
        <w:tab/>
        <w:t>Further information can be found in Appendix 2 below and the Access Country specific guidelines.</w:t>
      </w:r>
    </w:p>
    <w:p w14:paraId="0392AC57" w14:textId="18DB684B" w:rsidR="000C44DE" w:rsidRPr="00B16835" w:rsidRDefault="000C44DE" w:rsidP="000C44DE">
      <w:pPr>
        <w:pStyle w:val="FootnoteText"/>
        <w:tabs>
          <w:tab w:val="left" w:pos="284"/>
        </w:tabs>
        <w:ind w:left="284" w:hanging="284"/>
        <w:rPr>
          <w:sz w:val="20"/>
          <w:szCs w:val="20"/>
        </w:rPr>
      </w:pPr>
      <w:r w:rsidRPr="00B16835">
        <w:rPr>
          <w:sz w:val="20"/>
          <w:szCs w:val="20"/>
        </w:rPr>
        <w:tab/>
        <w:t xml:space="preserve">Australia: </w:t>
      </w:r>
      <w:hyperlink r:id="rId33" w:history="1">
        <w:r w:rsidRPr="00A4196F">
          <w:rPr>
            <w:rStyle w:val="Hyperlink"/>
            <w:sz w:val="20"/>
            <w:szCs w:val="20"/>
            <w:lang w:val="en-US"/>
          </w:rPr>
          <w:t>The Australian Regulatory Guidelines for Prescription Medicines (ARGPM) presents both a decision tree and checklist to establish the requisite evidence</w:t>
        </w:r>
      </w:hyperlink>
      <w:r w:rsidRPr="00B16835">
        <w:rPr>
          <w:sz w:val="20"/>
          <w:szCs w:val="20"/>
          <w:lang w:val="en-US"/>
        </w:rPr>
        <w:t xml:space="preserve"> </w:t>
      </w:r>
    </w:p>
    <w:p w14:paraId="2CEA3A48" w14:textId="77777777" w:rsidR="000C44DE" w:rsidRPr="00B16835" w:rsidRDefault="000C44DE" w:rsidP="000C44DE">
      <w:pPr>
        <w:tabs>
          <w:tab w:val="left" w:pos="284"/>
        </w:tabs>
        <w:rPr>
          <w:sz w:val="20"/>
          <w:szCs w:val="20"/>
        </w:rPr>
      </w:pPr>
      <w:r w:rsidRPr="00B16835">
        <w:rPr>
          <w:sz w:val="20"/>
          <w:szCs w:val="20"/>
        </w:rPr>
        <w:tab/>
        <w:t xml:space="preserve">Canada: </w:t>
      </w:r>
      <w:hyperlink r:id="rId34" w:history="1">
        <w:r w:rsidRPr="00B16835">
          <w:rPr>
            <w:rStyle w:val="Hyperlink"/>
            <w:i/>
            <w:iCs/>
            <w:sz w:val="20"/>
            <w:szCs w:val="20"/>
            <w:lang w:val="en-GB"/>
          </w:rPr>
          <w:t>Guidance Document: Use of a Foreign-sourced Reference Product as a Canadian Reference Product (2018)</w:t>
        </w:r>
      </w:hyperlink>
      <w:r w:rsidRPr="00B16835">
        <w:rPr>
          <w:sz w:val="20"/>
          <w:szCs w:val="20"/>
        </w:rPr>
        <w:t>.</w:t>
      </w:r>
    </w:p>
    <w:p w14:paraId="30CAAA3C" w14:textId="77777777" w:rsidR="000C44DE" w:rsidRPr="00B16835" w:rsidRDefault="000C44DE" w:rsidP="000C44DE">
      <w:pPr>
        <w:tabs>
          <w:tab w:val="left" w:pos="284"/>
        </w:tabs>
        <w:rPr>
          <w:sz w:val="20"/>
          <w:szCs w:val="20"/>
        </w:rPr>
      </w:pPr>
      <w:r w:rsidRPr="00B16835">
        <w:rPr>
          <w:sz w:val="20"/>
          <w:szCs w:val="20"/>
        </w:rPr>
        <w:tab/>
        <w:t xml:space="preserve">Singapore: </w:t>
      </w:r>
      <w:hyperlink r:id="rId35" w:history="1">
        <w:r w:rsidRPr="00B16835">
          <w:rPr>
            <w:rStyle w:val="Hyperlink"/>
            <w:sz w:val="20"/>
            <w:szCs w:val="20"/>
          </w:rPr>
          <w:t>Appendix 10 Product Interchangeability and Biowaiver Request for Chemical Generic Drug Applications (April 2022)</w:t>
        </w:r>
      </w:hyperlink>
    </w:p>
    <w:p w14:paraId="69F17D9C" w14:textId="4D3A38C7" w:rsidR="000C44DE" w:rsidRPr="00B16835" w:rsidRDefault="000C44DE" w:rsidP="000C44DE">
      <w:pPr>
        <w:tabs>
          <w:tab w:val="left" w:pos="284"/>
        </w:tabs>
        <w:rPr>
          <w:sz w:val="20"/>
          <w:szCs w:val="20"/>
        </w:rPr>
      </w:pPr>
      <w:r w:rsidRPr="00B16835">
        <w:rPr>
          <w:sz w:val="20"/>
          <w:szCs w:val="20"/>
        </w:rPr>
        <w:tab/>
        <w:t xml:space="preserve">Switzerland: </w:t>
      </w:r>
      <w:hyperlink r:id="rId36" w:history="1">
        <w:r w:rsidRPr="00B16835">
          <w:rPr>
            <w:rStyle w:val="Hyperlink"/>
            <w:sz w:val="20"/>
            <w:szCs w:val="20"/>
          </w:rPr>
          <w:t>Guidance document: Authorisation of human medicinal product with known active pharmaceutical substance HMV4</w:t>
        </w:r>
      </w:hyperlink>
    </w:p>
    <w:p w14:paraId="17B1D1C0" w14:textId="0AD6F58A" w:rsidR="000C44DE" w:rsidRPr="00B16835" w:rsidRDefault="000C44DE" w:rsidP="002E03DB">
      <w:pPr>
        <w:tabs>
          <w:tab w:val="left" w:pos="284"/>
        </w:tabs>
        <w:rPr>
          <w:sz w:val="20"/>
          <w:szCs w:val="20"/>
        </w:rPr>
      </w:pPr>
      <w:r w:rsidRPr="00B16835">
        <w:rPr>
          <w:sz w:val="20"/>
          <w:szCs w:val="20"/>
        </w:rPr>
        <w:lastRenderedPageBreak/>
        <w:tab/>
        <w:t xml:space="preserve">United Kingdom: </w:t>
      </w:r>
      <w:hyperlink r:id="rId37" w:history="1">
        <w:r w:rsidRPr="00B16835">
          <w:rPr>
            <w:rStyle w:val="Hyperlink"/>
            <w:sz w:val="20"/>
            <w:szCs w:val="20"/>
            <w:lang w:val="en-US"/>
          </w:rPr>
          <w:t>Comparator products in Bioequivalence/Therapeutic Equivalence studies - GOV.UK (www.gov.uk)</w:t>
        </w:r>
      </w:hyperlink>
      <w:r w:rsidRPr="00B16835">
        <w:rPr>
          <w:sz w:val="20"/>
          <w:szCs w:val="20"/>
        </w:rPr>
        <w:t>.</w:t>
      </w:r>
    </w:p>
    <w:p w14:paraId="1BC86807" w14:textId="14F5D044" w:rsidR="000C44DE" w:rsidRPr="00B16835" w:rsidRDefault="000C44DE" w:rsidP="000C44DE">
      <w:pPr>
        <w:tabs>
          <w:tab w:val="left" w:pos="284"/>
        </w:tabs>
        <w:ind w:left="284" w:hanging="284"/>
        <w:rPr>
          <w:sz w:val="20"/>
          <w:szCs w:val="20"/>
        </w:rPr>
      </w:pPr>
      <w:r w:rsidRPr="00B16835">
        <w:rPr>
          <w:sz w:val="20"/>
          <w:szCs w:val="20"/>
        </w:rPr>
        <w:t>2.</w:t>
      </w:r>
      <w:r w:rsidRPr="00B16835">
        <w:rPr>
          <w:sz w:val="20"/>
          <w:szCs w:val="20"/>
        </w:rPr>
        <w:tab/>
        <w:t xml:space="preserve">Additional exceptions to the criteria outlined in Appendix 1 may exist; as a result, the appropriate Access regulator should be consulted.  </w:t>
      </w:r>
    </w:p>
    <w:p w14:paraId="724B8DA3" w14:textId="77777777" w:rsidR="000C44DE" w:rsidRPr="00B16835" w:rsidRDefault="000C44DE" w:rsidP="000C44DE">
      <w:pPr>
        <w:tabs>
          <w:tab w:val="left" w:pos="284"/>
        </w:tabs>
        <w:ind w:left="284" w:hanging="284"/>
        <w:rPr>
          <w:sz w:val="20"/>
          <w:szCs w:val="20"/>
        </w:rPr>
      </w:pPr>
      <w:r w:rsidRPr="00B16835">
        <w:rPr>
          <w:sz w:val="20"/>
          <w:szCs w:val="20"/>
        </w:rPr>
        <w:t>3</w:t>
      </w:r>
      <w:r w:rsidRPr="00B16835">
        <w:rPr>
          <w:sz w:val="20"/>
          <w:szCs w:val="20"/>
        </w:rPr>
        <w:tab/>
        <w:t>Same appearance means same size, mass, shape, colour and markings.</w:t>
      </w:r>
    </w:p>
    <w:p w14:paraId="57858FCA" w14:textId="73966B5F" w:rsidR="000C44DE" w:rsidRPr="00B16835" w:rsidRDefault="000C44DE" w:rsidP="000C44DE">
      <w:pPr>
        <w:tabs>
          <w:tab w:val="left" w:pos="284"/>
        </w:tabs>
        <w:ind w:left="284" w:hanging="284"/>
        <w:rPr>
          <w:sz w:val="20"/>
          <w:szCs w:val="20"/>
        </w:rPr>
      </w:pPr>
      <w:r w:rsidRPr="00B16835">
        <w:rPr>
          <w:sz w:val="20"/>
          <w:szCs w:val="20"/>
        </w:rPr>
        <w:t>4</w:t>
      </w:r>
      <w:r w:rsidRPr="00B16835">
        <w:rPr>
          <w:sz w:val="20"/>
          <w:szCs w:val="20"/>
        </w:rPr>
        <w:tab/>
      </w:r>
      <w:r w:rsidR="002E03DB">
        <w:rPr>
          <w:sz w:val="20"/>
          <w:szCs w:val="20"/>
        </w:rPr>
        <w:t xml:space="preserve">Applications to Northern Ireland (NI) only need to comply with EU </w:t>
      </w:r>
      <w:r w:rsidR="00870455">
        <w:rPr>
          <w:sz w:val="20"/>
          <w:szCs w:val="20"/>
        </w:rPr>
        <w:t>requirements for comparator products</w:t>
      </w:r>
      <w:r w:rsidR="002E03DB">
        <w:rPr>
          <w:sz w:val="20"/>
          <w:szCs w:val="20"/>
        </w:rPr>
        <w:t xml:space="preserve"> as these will be submitted through EU mutual recognition or decentralised procedures. </w:t>
      </w:r>
    </w:p>
    <w:p w14:paraId="39EA0FAD" w14:textId="77777777" w:rsidR="000C44DE" w:rsidRDefault="000C44DE" w:rsidP="000C44DE">
      <w:pPr>
        <w:tabs>
          <w:tab w:val="left" w:pos="284"/>
        </w:tabs>
        <w:ind w:left="284" w:hanging="284"/>
        <w:rPr>
          <w:sz w:val="20"/>
          <w:szCs w:val="20"/>
        </w:rPr>
      </w:pPr>
    </w:p>
    <w:p w14:paraId="63682AC6" w14:textId="3D6E27EC" w:rsidR="000C44DE" w:rsidRDefault="000C44DE" w:rsidP="0093728D">
      <w:pPr>
        <w:pStyle w:val="Heading1"/>
        <w:rPr>
          <w:lang w:val="en-GB"/>
        </w:rPr>
      </w:pPr>
      <w:r>
        <w:rPr>
          <w:sz w:val="20"/>
          <w:szCs w:val="20"/>
        </w:rPr>
        <w:br w:type="page"/>
      </w:r>
      <w:bookmarkStart w:id="24" w:name="_Toc167915953"/>
      <w:r>
        <w:rPr>
          <w:lang w:val="en-GB"/>
        </w:rPr>
        <w:lastRenderedPageBreak/>
        <w:t xml:space="preserve">Appendix 2: Current regulatory requirements regarding the acceptance of </w:t>
      </w:r>
      <w:r w:rsidR="00BB6D1A">
        <w:rPr>
          <w:lang w:val="en-GB"/>
        </w:rPr>
        <w:t>Foreign</w:t>
      </w:r>
      <w:r w:rsidR="007C7FA7">
        <w:rPr>
          <w:lang w:val="en-GB"/>
        </w:rPr>
        <w:t xml:space="preserve"> Comparator Products</w:t>
      </w:r>
      <w:r w:rsidR="002D0B8C">
        <w:rPr>
          <w:lang w:val="en-GB"/>
        </w:rPr>
        <w:t xml:space="preserve"> (FCP</w:t>
      </w:r>
      <w:r w:rsidR="002E15C3">
        <w:rPr>
          <w:lang w:val="en-GB"/>
        </w:rPr>
        <w:t>s</w:t>
      </w:r>
      <w:r w:rsidR="002D0B8C">
        <w:rPr>
          <w:lang w:val="en-GB"/>
        </w:rPr>
        <w:t>)</w:t>
      </w:r>
      <w:bookmarkEnd w:id="24"/>
    </w:p>
    <w:p w14:paraId="2E3DE059" w14:textId="6B555883" w:rsidR="000C44DE" w:rsidRDefault="000C44DE" w:rsidP="000C44DE">
      <w:pPr>
        <w:rPr>
          <w:lang w:val="en-GB"/>
        </w:rPr>
      </w:pPr>
      <w:r>
        <w:rPr>
          <w:lang w:val="en-GB"/>
        </w:rPr>
        <w:t>The following table summarises the current criteria for accepting F</w:t>
      </w:r>
      <w:r w:rsidR="00507A0B">
        <w:rPr>
          <w:lang w:val="en-GB"/>
        </w:rPr>
        <w:t>C</w:t>
      </w:r>
      <w:r>
        <w:rPr>
          <w:lang w:val="en-GB"/>
        </w:rPr>
        <w:t>Ps among the Access countries.</w:t>
      </w:r>
    </w:p>
    <w:p w14:paraId="16D477D2" w14:textId="45FE5BFB" w:rsidR="000C44DE" w:rsidRDefault="000C44DE" w:rsidP="000C44DE">
      <w:pPr>
        <w:rPr>
          <w:i/>
          <w:iCs/>
        </w:rPr>
      </w:pPr>
      <w:r>
        <w:rPr>
          <w:i/>
          <w:iCs/>
        </w:rPr>
        <w:t xml:space="preserve">Core requirements for accepting foreign </w:t>
      </w:r>
      <w:r w:rsidR="007C7FA7">
        <w:rPr>
          <w:i/>
          <w:iCs/>
        </w:rPr>
        <w:t>comparator</w:t>
      </w:r>
      <w:r>
        <w:rPr>
          <w:i/>
          <w:iCs/>
        </w:rPr>
        <w:t xml:space="preserve"> products (</w:t>
      </w:r>
      <w:r>
        <w:rPr>
          <w:rFonts w:ascii="Wingdings" w:eastAsia="Wingdings" w:hAnsi="Wingdings" w:cs="Wingdings"/>
          <w:i/>
          <w:iCs/>
        </w:rPr>
        <w:t></w:t>
      </w:r>
      <w:r>
        <w:rPr>
          <w:i/>
          <w:iCs/>
        </w:rPr>
        <w:t>: Permitted; X: Not permitted)</w:t>
      </w:r>
    </w:p>
    <w:tbl>
      <w:tblPr>
        <w:tblStyle w:val="TableGrid"/>
        <w:tblW w:w="0" w:type="auto"/>
        <w:tblInd w:w="0" w:type="dxa"/>
        <w:tblLook w:val="04A0" w:firstRow="1" w:lastRow="0" w:firstColumn="1" w:lastColumn="0" w:noHBand="0" w:noVBand="1"/>
      </w:tblPr>
      <w:tblGrid>
        <w:gridCol w:w="4041"/>
        <w:gridCol w:w="1868"/>
        <w:gridCol w:w="1879"/>
        <w:gridCol w:w="1869"/>
        <w:gridCol w:w="1895"/>
        <w:gridCol w:w="1884"/>
      </w:tblGrid>
      <w:tr w:rsidR="000C44DE" w14:paraId="28F70D02" w14:textId="77777777" w:rsidTr="00B514B7">
        <w:trPr>
          <w:tblHeader/>
        </w:trPr>
        <w:tc>
          <w:tcPr>
            <w:tcW w:w="4106" w:type="dxa"/>
            <w:tcBorders>
              <w:top w:val="single" w:sz="4" w:space="0" w:color="auto"/>
              <w:left w:val="single" w:sz="4" w:space="0" w:color="auto"/>
              <w:bottom w:val="single" w:sz="4" w:space="0" w:color="auto"/>
              <w:right w:val="single" w:sz="4" w:space="0" w:color="auto"/>
            </w:tcBorders>
            <w:hideMark/>
          </w:tcPr>
          <w:p w14:paraId="700583AF" w14:textId="77777777" w:rsidR="000C44DE" w:rsidRDefault="000C44DE" w:rsidP="005C16E6">
            <w:pPr>
              <w:rPr>
                <w:b/>
                <w:bCs/>
                <w:sz w:val="20"/>
                <w:szCs w:val="20"/>
              </w:rPr>
            </w:pPr>
            <w:r>
              <w:rPr>
                <w:b/>
                <w:bCs/>
                <w:sz w:val="20"/>
                <w:szCs w:val="20"/>
              </w:rPr>
              <w:t>Foreign Comparator Criteria</w:t>
            </w:r>
          </w:p>
        </w:tc>
        <w:tc>
          <w:tcPr>
            <w:tcW w:w="1927" w:type="dxa"/>
            <w:tcBorders>
              <w:top w:val="single" w:sz="4" w:space="0" w:color="auto"/>
              <w:left w:val="single" w:sz="4" w:space="0" w:color="auto"/>
              <w:bottom w:val="single" w:sz="4" w:space="0" w:color="auto"/>
              <w:right w:val="single" w:sz="4" w:space="0" w:color="auto"/>
            </w:tcBorders>
            <w:hideMark/>
          </w:tcPr>
          <w:p w14:paraId="1E99CCF5" w14:textId="77777777" w:rsidR="000C44DE" w:rsidRDefault="000C44DE" w:rsidP="005C16E6">
            <w:pPr>
              <w:jc w:val="center"/>
              <w:rPr>
                <w:b/>
                <w:bCs/>
                <w:sz w:val="20"/>
                <w:szCs w:val="20"/>
              </w:rPr>
            </w:pPr>
            <w:r>
              <w:rPr>
                <w:b/>
                <w:bCs/>
                <w:sz w:val="20"/>
                <w:szCs w:val="20"/>
              </w:rPr>
              <w:t>TGA</w:t>
            </w:r>
          </w:p>
        </w:tc>
        <w:tc>
          <w:tcPr>
            <w:tcW w:w="1928" w:type="dxa"/>
            <w:tcBorders>
              <w:top w:val="single" w:sz="4" w:space="0" w:color="auto"/>
              <w:left w:val="single" w:sz="4" w:space="0" w:color="auto"/>
              <w:bottom w:val="single" w:sz="4" w:space="0" w:color="auto"/>
              <w:right w:val="single" w:sz="4" w:space="0" w:color="auto"/>
            </w:tcBorders>
            <w:hideMark/>
          </w:tcPr>
          <w:p w14:paraId="0D589A90" w14:textId="77777777" w:rsidR="000C44DE" w:rsidRDefault="000C44DE" w:rsidP="005C16E6">
            <w:pPr>
              <w:jc w:val="center"/>
              <w:rPr>
                <w:b/>
                <w:bCs/>
                <w:sz w:val="20"/>
                <w:szCs w:val="20"/>
              </w:rPr>
            </w:pPr>
            <w:r>
              <w:rPr>
                <w:b/>
                <w:bCs/>
                <w:sz w:val="20"/>
                <w:szCs w:val="20"/>
              </w:rPr>
              <w:t>HC</w:t>
            </w:r>
          </w:p>
        </w:tc>
        <w:tc>
          <w:tcPr>
            <w:tcW w:w="1928" w:type="dxa"/>
            <w:tcBorders>
              <w:top w:val="single" w:sz="4" w:space="0" w:color="auto"/>
              <w:left w:val="single" w:sz="4" w:space="0" w:color="auto"/>
              <w:bottom w:val="single" w:sz="4" w:space="0" w:color="auto"/>
              <w:right w:val="single" w:sz="4" w:space="0" w:color="auto"/>
            </w:tcBorders>
            <w:hideMark/>
          </w:tcPr>
          <w:p w14:paraId="1B2E4BB3" w14:textId="77777777" w:rsidR="000C44DE" w:rsidRDefault="000C44DE" w:rsidP="005C16E6">
            <w:pPr>
              <w:jc w:val="center"/>
              <w:rPr>
                <w:b/>
                <w:bCs/>
                <w:sz w:val="20"/>
                <w:szCs w:val="20"/>
              </w:rPr>
            </w:pPr>
            <w:r>
              <w:rPr>
                <w:b/>
                <w:bCs/>
                <w:sz w:val="20"/>
                <w:szCs w:val="20"/>
              </w:rPr>
              <w:t>HSA</w:t>
            </w:r>
          </w:p>
        </w:tc>
        <w:tc>
          <w:tcPr>
            <w:tcW w:w="1928" w:type="dxa"/>
            <w:tcBorders>
              <w:top w:val="single" w:sz="4" w:space="0" w:color="auto"/>
              <w:left w:val="single" w:sz="4" w:space="0" w:color="auto"/>
              <w:bottom w:val="single" w:sz="4" w:space="0" w:color="auto"/>
              <w:right w:val="single" w:sz="4" w:space="0" w:color="auto"/>
            </w:tcBorders>
            <w:hideMark/>
          </w:tcPr>
          <w:p w14:paraId="5A1ACD25" w14:textId="77777777" w:rsidR="000C44DE" w:rsidRDefault="000C44DE" w:rsidP="005C16E6">
            <w:pPr>
              <w:jc w:val="center"/>
              <w:rPr>
                <w:b/>
                <w:bCs/>
                <w:sz w:val="20"/>
                <w:szCs w:val="20"/>
              </w:rPr>
            </w:pPr>
            <w:proofErr w:type="spellStart"/>
            <w:r>
              <w:rPr>
                <w:b/>
                <w:bCs/>
                <w:sz w:val="20"/>
                <w:szCs w:val="20"/>
              </w:rPr>
              <w:t>Swissmedic</w:t>
            </w:r>
            <w:proofErr w:type="spellEnd"/>
          </w:p>
        </w:tc>
        <w:tc>
          <w:tcPr>
            <w:tcW w:w="1928" w:type="dxa"/>
            <w:tcBorders>
              <w:top w:val="single" w:sz="4" w:space="0" w:color="auto"/>
              <w:left w:val="single" w:sz="4" w:space="0" w:color="auto"/>
              <w:bottom w:val="single" w:sz="4" w:space="0" w:color="auto"/>
              <w:right w:val="single" w:sz="4" w:space="0" w:color="auto"/>
            </w:tcBorders>
            <w:hideMark/>
          </w:tcPr>
          <w:p w14:paraId="513CEA58" w14:textId="77777777" w:rsidR="000C44DE" w:rsidRDefault="000C44DE" w:rsidP="005C16E6">
            <w:pPr>
              <w:jc w:val="center"/>
              <w:rPr>
                <w:b/>
                <w:bCs/>
                <w:sz w:val="20"/>
                <w:szCs w:val="20"/>
              </w:rPr>
            </w:pPr>
            <w:r>
              <w:rPr>
                <w:b/>
                <w:bCs/>
                <w:sz w:val="20"/>
                <w:szCs w:val="20"/>
              </w:rPr>
              <w:t>MHRA*</w:t>
            </w:r>
          </w:p>
        </w:tc>
      </w:tr>
      <w:tr w:rsidR="000C44DE" w14:paraId="3253D528" w14:textId="77777777" w:rsidTr="005C16E6">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BAD3CE" w14:textId="77777777" w:rsidR="000C44DE" w:rsidRDefault="000C44DE" w:rsidP="005C16E6">
            <w:pPr>
              <w:rPr>
                <w:b/>
                <w:bCs/>
                <w:sz w:val="20"/>
                <w:szCs w:val="20"/>
              </w:rPr>
            </w:pPr>
            <w:r>
              <w:rPr>
                <w:b/>
                <w:bCs/>
                <w:sz w:val="20"/>
                <w:szCs w:val="20"/>
              </w:rPr>
              <w:t>Drug substance properties</w:t>
            </w:r>
          </w:p>
        </w:tc>
        <w:tc>
          <w:tcPr>
            <w:tcW w:w="1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5C43A7" w14:textId="77777777" w:rsidR="000C44DE" w:rsidRDefault="000C44DE" w:rsidP="005C16E6">
            <w:pPr>
              <w:jc w:val="center"/>
              <w:rPr>
                <w:b/>
                <w:bCs/>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9C31E3" w14:textId="77777777" w:rsidR="000C44DE" w:rsidRDefault="000C44DE" w:rsidP="005C16E6">
            <w:pPr>
              <w:jc w:val="center"/>
              <w:rPr>
                <w:b/>
                <w:bCs/>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2B199" w14:textId="77777777" w:rsidR="000C44DE" w:rsidRDefault="000C44DE" w:rsidP="005C16E6">
            <w:pPr>
              <w:jc w:val="center"/>
              <w:rPr>
                <w:b/>
                <w:bCs/>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41625" w14:textId="77777777" w:rsidR="000C44DE" w:rsidRDefault="000C44DE" w:rsidP="005C16E6">
            <w:pPr>
              <w:jc w:val="center"/>
              <w:rPr>
                <w:b/>
                <w:bCs/>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261EF" w14:textId="77777777" w:rsidR="000C44DE" w:rsidRDefault="000C44DE" w:rsidP="005C16E6">
            <w:pPr>
              <w:jc w:val="center"/>
              <w:rPr>
                <w:b/>
                <w:bCs/>
                <w:sz w:val="20"/>
                <w:szCs w:val="20"/>
              </w:rPr>
            </w:pPr>
          </w:p>
        </w:tc>
      </w:tr>
      <w:tr w:rsidR="000C44DE" w14:paraId="022FCC59" w14:textId="77777777" w:rsidTr="005C16E6">
        <w:tc>
          <w:tcPr>
            <w:tcW w:w="4106" w:type="dxa"/>
            <w:tcBorders>
              <w:top w:val="single" w:sz="4" w:space="0" w:color="auto"/>
              <w:left w:val="single" w:sz="4" w:space="0" w:color="auto"/>
              <w:bottom w:val="single" w:sz="4" w:space="0" w:color="auto"/>
              <w:right w:val="single" w:sz="4" w:space="0" w:color="auto"/>
            </w:tcBorders>
            <w:hideMark/>
          </w:tcPr>
          <w:p w14:paraId="5525365F" w14:textId="77777777" w:rsidR="000C44DE" w:rsidRDefault="000C44DE" w:rsidP="005C16E6">
            <w:pPr>
              <w:ind w:left="720" w:hanging="720"/>
              <w:rPr>
                <w:sz w:val="20"/>
                <w:szCs w:val="20"/>
              </w:rPr>
            </w:pPr>
            <w:r>
              <w:rPr>
                <w:rFonts w:cstheme="minorHAnsi"/>
                <w:sz w:val="20"/>
                <w:szCs w:val="20"/>
              </w:rPr>
              <w:tab/>
            </w:r>
            <w:r>
              <w:rPr>
                <w:sz w:val="20"/>
                <w:szCs w:val="20"/>
              </w:rPr>
              <w:t>Narrow Therapeutic Index/Critical Dose</w:t>
            </w:r>
          </w:p>
        </w:tc>
        <w:tc>
          <w:tcPr>
            <w:tcW w:w="1927" w:type="dxa"/>
            <w:tcBorders>
              <w:top w:val="single" w:sz="4" w:space="0" w:color="auto"/>
              <w:left w:val="single" w:sz="4" w:space="0" w:color="auto"/>
              <w:bottom w:val="single" w:sz="4" w:space="0" w:color="auto"/>
              <w:right w:val="single" w:sz="4" w:space="0" w:color="auto"/>
            </w:tcBorders>
            <w:hideMark/>
          </w:tcPr>
          <w:p w14:paraId="0FA3C85C"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194A2FD7" w14:textId="77777777" w:rsidR="000C44DE" w:rsidRDefault="000C44DE" w:rsidP="005C16E6">
            <w:pPr>
              <w:jc w:val="center"/>
              <w:rPr>
                <w:sz w:val="20"/>
                <w:szCs w:val="20"/>
              </w:rPr>
            </w:pPr>
            <w:r>
              <w:rPr>
                <w:sz w:val="20"/>
                <w:szCs w:val="20"/>
              </w:rPr>
              <w:t>X</w:t>
            </w:r>
          </w:p>
        </w:tc>
        <w:tc>
          <w:tcPr>
            <w:tcW w:w="1928" w:type="dxa"/>
            <w:tcBorders>
              <w:top w:val="single" w:sz="4" w:space="0" w:color="auto"/>
              <w:left w:val="single" w:sz="4" w:space="0" w:color="auto"/>
              <w:bottom w:val="single" w:sz="4" w:space="0" w:color="auto"/>
              <w:right w:val="single" w:sz="4" w:space="0" w:color="auto"/>
            </w:tcBorders>
            <w:hideMark/>
          </w:tcPr>
          <w:p w14:paraId="4E1A0A58" w14:textId="77777777" w:rsidR="000C44DE" w:rsidRDefault="000C44DE" w:rsidP="005C16E6">
            <w:pPr>
              <w:jc w:val="center"/>
              <w:rPr>
                <w:sz w:val="20"/>
                <w:szCs w:val="20"/>
              </w:rPr>
            </w:pPr>
            <w:r>
              <w:rPr>
                <w:rFonts w:ascii="Wingdings" w:eastAsia="Wingdings" w:hAnsi="Wingdings" w:cs="Wingdings"/>
              </w:rPr>
              <w:t></w:t>
            </w:r>
            <w:r>
              <w:rPr>
                <w:sz w:val="20"/>
                <w:szCs w:val="20"/>
                <w:vertAlign w:val="superscript"/>
              </w:rPr>
              <w:t>#</w:t>
            </w:r>
          </w:p>
        </w:tc>
        <w:tc>
          <w:tcPr>
            <w:tcW w:w="1928" w:type="dxa"/>
            <w:tcBorders>
              <w:top w:val="single" w:sz="4" w:space="0" w:color="auto"/>
              <w:left w:val="single" w:sz="4" w:space="0" w:color="auto"/>
              <w:bottom w:val="single" w:sz="4" w:space="0" w:color="auto"/>
              <w:right w:val="single" w:sz="4" w:space="0" w:color="auto"/>
            </w:tcBorders>
            <w:hideMark/>
          </w:tcPr>
          <w:p w14:paraId="580BB77F"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548B61B2" w14:textId="77777777" w:rsidR="000C44DE" w:rsidRDefault="000C44DE" w:rsidP="005C16E6">
            <w:pPr>
              <w:jc w:val="center"/>
            </w:pPr>
            <w:r>
              <w:t>(</w:t>
            </w:r>
            <w:r>
              <w:rPr>
                <w:rFonts w:ascii="Wingdings" w:eastAsia="Wingdings" w:hAnsi="Wingdings" w:cs="Wingdings"/>
              </w:rPr>
              <w:t></w:t>
            </w:r>
            <w:r>
              <w:t>)**</w:t>
            </w:r>
          </w:p>
        </w:tc>
      </w:tr>
      <w:tr w:rsidR="000C44DE" w14:paraId="3ACEE111" w14:textId="77777777" w:rsidTr="005C16E6">
        <w:tc>
          <w:tcPr>
            <w:tcW w:w="4106" w:type="dxa"/>
            <w:tcBorders>
              <w:top w:val="single" w:sz="4" w:space="0" w:color="auto"/>
              <w:left w:val="single" w:sz="4" w:space="0" w:color="auto"/>
              <w:bottom w:val="single" w:sz="4" w:space="0" w:color="auto"/>
              <w:right w:val="single" w:sz="4" w:space="0" w:color="auto"/>
            </w:tcBorders>
            <w:hideMark/>
          </w:tcPr>
          <w:p w14:paraId="7EBF2E45" w14:textId="77777777" w:rsidR="000C44DE" w:rsidRDefault="000C44DE" w:rsidP="005C16E6">
            <w:pPr>
              <w:ind w:left="720" w:hanging="720"/>
              <w:rPr>
                <w:sz w:val="20"/>
                <w:szCs w:val="20"/>
              </w:rPr>
            </w:pPr>
            <w:r>
              <w:rPr>
                <w:rFonts w:cstheme="minorHAnsi"/>
                <w:sz w:val="20"/>
                <w:szCs w:val="20"/>
              </w:rPr>
              <w:tab/>
            </w:r>
            <w:r>
              <w:rPr>
                <w:sz w:val="20"/>
                <w:szCs w:val="20"/>
              </w:rPr>
              <w:t>Complicated PK, variable/incomplete absorption, substantial first pass metabolism</w:t>
            </w:r>
          </w:p>
        </w:tc>
        <w:tc>
          <w:tcPr>
            <w:tcW w:w="1927" w:type="dxa"/>
            <w:tcBorders>
              <w:top w:val="single" w:sz="4" w:space="0" w:color="auto"/>
              <w:left w:val="single" w:sz="4" w:space="0" w:color="auto"/>
              <w:bottom w:val="single" w:sz="4" w:space="0" w:color="auto"/>
              <w:right w:val="single" w:sz="4" w:space="0" w:color="auto"/>
            </w:tcBorders>
            <w:hideMark/>
          </w:tcPr>
          <w:p w14:paraId="075F1943"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6658E40C" w14:textId="77777777" w:rsidR="000C44DE" w:rsidRDefault="000C44DE" w:rsidP="005C16E6">
            <w:pPr>
              <w:jc w:val="center"/>
              <w:rPr>
                <w:sz w:val="20"/>
                <w:szCs w:val="20"/>
              </w:rPr>
            </w:pPr>
            <w:r>
              <w:t>(</w:t>
            </w:r>
            <w:r>
              <w:rPr>
                <w:rFonts w:ascii="Wingdings" w:eastAsia="Wingdings" w:hAnsi="Wingdings" w:cs="Wingdings"/>
              </w:rPr>
              <w:t></w:t>
            </w:r>
            <w:r>
              <w:t>)**</w:t>
            </w:r>
          </w:p>
        </w:tc>
        <w:tc>
          <w:tcPr>
            <w:tcW w:w="1928" w:type="dxa"/>
            <w:tcBorders>
              <w:top w:val="single" w:sz="4" w:space="0" w:color="auto"/>
              <w:left w:val="single" w:sz="4" w:space="0" w:color="auto"/>
              <w:bottom w:val="single" w:sz="4" w:space="0" w:color="auto"/>
              <w:right w:val="single" w:sz="4" w:space="0" w:color="auto"/>
            </w:tcBorders>
            <w:hideMark/>
          </w:tcPr>
          <w:p w14:paraId="7B318FD9"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376882D3"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3F6FB065" w14:textId="77777777" w:rsidR="000C44DE" w:rsidRDefault="000C44DE" w:rsidP="005C16E6">
            <w:pPr>
              <w:jc w:val="center"/>
            </w:pPr>
            <w:r>
              <w:t>(</w:t>
            </w:r>
            <w:r>
              <w:rPr>
                <w:rFonts w:ascii="Wingdings" w:eastAsia="Wingdings" w:hAnsi="Wingdings" w:cs="Wingdings"/>
              </w:rPr>
              <w:t></w:t>
            </w:r>
            <w:r>
              <w:t>)**</w:t>
            </w:r>
          </w:p>
        </w:tc>
      </w:tr>
      <w:tr w:rsidR="000C44DE" w14:paraId="59648FA3" w14:textId="77777777" w:rsidTr="005C16E6">
        <w:tc>
          <w:tcPr>
            <w:tcW w:w="4106" w:type="dxa"/>
            <w:tcBorders>
              <w:top w:val="single" w:sz="4" w:space="0" w:color="auto"/>
              <w:left w:val="single" w:sz="4" w:space="0" w:color="auto"/>
              <w:bottom w:val="single" w:sz="4" w:space="0" w:color="auto"/>
              <w:right w:val="single" w:sz="4" w:space="0" w:color="auto"/>
            </w:tcBorders>
            <w:hideMark/>
          </w:tcPr>
          <w:p w14:paraId="2D9D22DE" w14:textId="77777777" w:rsidR="000C44DE" w:rsidRDefault="000C44DE" w:rsidP="005C16E6">
            <w:pPr>
              <w:ind w:left="720" w:hanging="720"/>
              <w:rPr>
                <w:sz w:val="20"/>
                <w:szCs w:val="20"/>
              </w:rPr>
            </w:pPr>
            <w:r>
              <w:rPr>
                <w:rFonts w:cstheme="minorHAnsi"/>
                <w:sz w:val="20"/>
                <w:szCs w:val="20"/>
              </w:rPr>
              <w:tab/>
            </w:r>
            <w:r>
              <w:rPr>
                <w:sz w:val="20"/>
                <w:szCs w:val="20"/>
              </w:rPr>
              <w:t xml:space="preserve">Low solubility </w:t>
            </w:r>
          </w:p>
        </w:tc>
        <w:tc>
          <w:tcPr>
            <w:tcW w:w="1927" w:type="dxa"/>
            <w:tcBorders>
              <w:top w:val="single" w:sz="4" w:space="0" w:color="auto"/>
              <w:left w:val="single" w:sz="4" w:space="0" w:color="auto"/>
              <w:bottom w:val="single" w:sz="4" w:space="0" w:color="auto"/>
              <w:right w:val="single" w:sz="4" w:space="0" w:color="auto"/>
            </w:tcBorders>
            <w:hideMark/>
          </w:tcPr>
          <w:p w14:paraId="004F6263"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007E2B3D" w14:textId="77777777" w:rsidR="000C44DE" w:rsidRDefault="000C44DE" w:rsidP="005C16E6">
            <w:pPr>
              <w:jc w:val="center"/>
              <w:rPr>
                <w:sz w:val="20"/>
                <w:szCs w:val="20"/>
              </w:rPr>
            </w:pPr>
            <w:r>
              <w:rPr>
                <w:sz w:val="20"/>
                <w:szCs w:val="20"/>
              </w:rPr>
              <w:t>X</w:t>
            </w:r>
          </w:p>
        </w:tc>
        <w:tc>
          <w:tcPr>
            <w:tcW w:w="1928" w:type="dxa"/>
            <w:tcBorders>
              <w:top w:val="single" w:sz="4" w:space="0" w:color="auto"/>
              <w:left w:val="single" w:sz="4" w:space="0" w:color="auto"/>
              <w:bottom w:val="single" w:sz="4" w:space="0" w:color="auto"/>
              <w:right w:val="single" w:sz="4" w:space="0" w:color="auto"/>
            </w:tcBorders>
            <w:hideMark/>
          </w:tcPr>
          <w:p w14:paraId="034D6A47"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4BF2E099"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3F9F3297" w14:textId="77777777" w:rsidR="000C44DE" w:rsidRDefault="000C44DE" w:rsidP="005C16E6">
            <w:pPr>
              <w:jc w:val="center"/>
            </w:pPr>
            <w:r>
              <w:rPr>
                <w:rFonts w:ascii="Wingdings" w:eastAsia="Wingdings" w:hAnsi="Wingdings" w:cs="Wingdings"/>
              </w:rPr>
              <w:t></w:t>
            </w:r>
          </w:p>
        </w:tc>
      </w:tr>
      <w:tr w:rsidR="000C44DE" w14:paraId="2953FCDE" w14:textId="77777777" w:rsidTr="005C16E6">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E756AE" w14:textId="77777777" w:rsidR="000C44DE" w:rsidRDefault="000C44DE" w:rsidP="005C16E6">
            <w:pPr>
              <w:rPr>
                <w:b/>
                <w:bCs/>
                <w:sz w:val="20"/>
                <w:szCs w:val="20"/>
              </w:rPr>
            </w:pPr>
            <w:r>
              <w:rPr>
                <w:b/>
                <w:bCs/>
                <w:sz w:val="20"/>
                <w:szCs w:val="20"/>
              </w:rPr>
              <w:t>Drug product properties</w:t>
            </w:r>
          </w:p>
        </w:tc>
        <w:tc>
          <w:tcPr>
            <w:tcW w:w="1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50B5B" w14:textId="77777777" w:rsidR="000C44DE" w:rsidRDefault="000C44DE" w:rsidP="005C16E6">
            <w:pPr>
              <w:jc w:val="center"/>
              <w:rPr>
                <w:rFonts w:cstheme="minorHAnsi"/>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17A1A" w14:textId="77777777" w:rsidR="000C44DE" w:rsidRDefault="000C44DE" w:rsidP="005C16E6">
            <w:pPr>
              <w:jc w:val="center"/>
              <w:rPr>
                <w:rFonts w:cstheme="minorHAnsi"/>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61255" w14:textId="77777777" w:rsidR="000C44DE" w:rsidRDefault="000C44DE" w:rsidP="005C16E6">
            <w:pPr>
              <w:jc w:val="center"/>
              <w:rPr>
                <w:rFonts w:cstheme="minorHAnsi"/>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A2D62" w14:textId="77777777" w:rsidR="000C44DE" w:rsidRDefault="000C44DE" w:rsidP="005C16E6">
            <w:pPr>
              <w:jc w:val="center"/>
              <w:rPr>
                <w:rFonts w:cstheme="minorHAnsi"/>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BCEA9" w14:textId="77777777" w:rsidR="000C44DE" w:rsidRDefault="000C44DE" w:rsidP="005C16E6">
            <w:pPr>
              <w:jc w:val="center"/>
              <w:rPr>
                <w:rFonts w:cstheme="minorHAnsi"/>
                <w:sz w:val="20"/>
                <w:szCs w:val="20"/>
              </w:rPr>
            </w:pPr>
          </w:p>
        </w:tc>
      </w:tr>
      <w:tr w:rsidR="000C44DE" w14:paraId="789F8ADC" w14:textId="77777777" w:rsidTr="005C16E6">
        <w:tc>
          <w:tcPr>
            <w:tcW w:w="4106" w:type="dxa"/>
            <w:tcBorders>
              <w:top w:val="single" w:sz="4" w:space="0" w:color="auto"/>
              <w:left w:val="single" w:sz="4" w:space="0" w:color="auto"/>
              <w:bottom w:val="single" w:sz="4" w:space="0" w:color="auto"/>
              <w:right w:val="single" w:sz="4" w:space="0" w:color="auto"/>
            </w:tcBorders>
            <w:hideMark/>
          </w:tcPr>
          <w:p w14:paraId="16189177" w14:textId="77777777" w:rsidR="000C44DE" w:rsidRDefault="000C44DE" w:rsidP="005C16E6">
            <w:pPr>
              <w:rPr>
                <w:sz w:val="20"/>
                <w:szCs w:val="20"/>
              </w:rPr>
            </w:pPr>
            <w:r>
              <w:rPr>
                <w:rFonts w:cstheme="minorHAnsi"/>
                <w:sz w:val="20"/>
                <w:szCs w:val="20"/>
              </w:rPr>
              <w:tab/>
            </w:r>
            <w:proofErr w:type="gramStart"/>
            <w:r>
              <w:rPr>
                <w:sz w:val="20"/>
                <w:szCs w:val="20"/>
              </w:rPr>
              <w:t>Immediate-release</w:t>
            </w:r>
            <w:proofErr w:type="gramEnd"/>
          </w:p>
        </w:tc>
        <w:tc>
          <w:tcPr>
            <w:tcW w:w="1927" w:type="dxa"/>
            <w:tcBorders>
              <w:top w:val="single" w:sz="4" w:space="0" w:color="auto"/>
              <w:left w:val="single" w:sz="4" w:space="0" w:color="auto"/>
              <w:bottom w:val="single" w:sz="4" w:space="0" w:color="auto"/>
              <w:right w:val="single" w:sz="4" w:space="0" w:color="auto"/>
            </w:tcBorders>
            <w:hideMark/>
          </w:tcPr>
          <w:p w14:paraId="47913A47"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29758A8A"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1D509452"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3756CC81"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17F04BFB" w14:textId="77777777" w:rsidR="000C44DE" w:rsidRDefault="000C44DE" w:rsidP="005C16E6">
            <w:pPr>
              <w:jc w:val="center"/>
            </w:pPr>
            <w:r>
              <w:rPr>
                <w:rFonts w:ascii="Wingdings" w:eastAsia="Wingdings" w:hAnsi="Wingdings" w:cs="Wingdings"/>
              </w:rPr>
              <w:t></w:t>
            </w:r>
          </w:p>
        </w:tc>
      </w:tr>
      <w:tr w:rsidR="000C44DE" w14:paraId="2EBD6801" w14:textId="77777777" w:rsidTr="005C16E6">
        <w:tc>
          <w:tcPr>
            <w:tcW w:w="4106" w:type="dxa"/>
            <w:tcBorders>
              <w:top w:val="single" w:sz="4" w:space="0" w:color="auto"/>
              <w:left w:val="single" w:sz="4" w:space="0" w:color="auto"/>
              <w:bottom w:val="single" w:sz="4" w:space="0" w:color="auto"/>
              <w:right w:val="single" w:sz="4" w:space="0" w:color="auto"/>
            </w:tcBorders>
            <w:hideMark/>
          </w:tcPr>
          <w:p w14:paraId="1B9F2059" w14:textId="77777777" w:rsidR="000C44DE" w:rsidRDefault="000C44DE" w:rsidP="005C16E6">
            <w:pPr>
              <w:ind w:left="720" w:hanging="720"/>
              <w:rPr>
                <w:sz w:val="20"/>
                <w:szCs w:val="20"/>
              </w:rPr>
            </w:pPr>
            <w:r>
              <w:rPr>
                <w:rFonts w:cstheme="minorHAnsi"/>
                <w:sz w:val="20"/>
                <w:szCs w:val="20"/>
              </w:rPr>
              <w:tab/>
            </w:r>
            <w:proofErr w:type="gramStart"/>
            <w:r>
              <w:rPr>
                <w:sz w:val="20"/>
                <w:szCs w:val="20"/>
              </w:rPr>
              <w:t>Modified-release</w:t>
            </w:r>
            <w:proofErr w:type="gramEnd"/>
            <w:r>
              <w:rPr>
                <w:sz w:val="20"/>
                <w:szCs w:val="20"/>
              </w:rPr>
              <w:t xml:space="preserve"> (delayed and sustained)</w:t>
            </w:r>
          </w:p>
        </w:tc>
        <w:tc>
          <w:tcPr>
            <w:tcW w:w="1927" w:type="dxa"/>
            <w:tcBorders>
              <w:top w:val="single" w:sz="4" w:space="0" w:color="auto"/>
              <w:left w:val="single" w:sz="4" w:space="0" w:color="auto"/>
              <w:bottom w:val="single" w:sz="4" w:space="0" w:color="auto"/>
              <w:right w:val="single" w:sz="4" w:space="0" w:color="auto"/>
            </w:tcBorders>
            <w:hideMark/>
          </w:tcPr>
          <w:p w14:paraId="42A8A4B6"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5AC3C4AA" w14:textId="77777777" w:rsidR="000C44DE" w:rsidRDefault="000C44DE" w:rsidP="005C16E6">
            <w:pPr>
              <w:jc w:val="center"/>
              <w:rPr>
                <w:sz w:val="20"/>
                <w:szCs w:val="20"/>
              </w:rPr>
            </w:pPr>
            <w:r>
              <w:t>(X)**</w:t>
            </w:r>
          </w:p>
        </w:tc>
        <w:tc>
          <w:tcPr>
            <w:tcW w:w="1928" w:type="dxa"/>
            <w:tcBorders>
              <w:top w:val="single" w:sz="4" w:space="0" w:color="auto"/>
              <w:left w:val="single" w:sz="4" w:space="0" w:color="auto"/>
              <w:bottom w:val="single" w:sz="4" w:space="0" w:color="auto"/>
              <w:right w:val="single" w:sz="4" w:space="0" w:color="auto"/>
            </w:tcBorders>
            <w:hideMark/>
          </w:tcPr>
          <w:p w14:paraId="235C92D7"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3179F6DB"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2F00049B" w14:textId="77777777" w:rsidR="000C44DE" w:rsidRDefault="000C44DE" w:rsidP="005C16E6">
            <w:pPr>
              <w:jc w:val="center"/>
            </w:pPr>
            <w:r>
              <w:t>(</w:t>
            </w:r>
            <w:r>
              <w:rPr>
                <w:rFonts w:ascii="Wingdings" w:eastAsia="Wingdings" w:hAnsi="Wingdings" w:cs="Wingdings"/>
              </w:rPr>
              <w:t></w:t>
            </w:r>
            <w:r>
              <w:t>)**</w:t>
            </w:r>
          </w:p>
        </w:tc>
      </w:tr>
      <w:tr w:rsidR="000C44DE" w14:paraId="0F879AB8" w14:textId="77777777" w:rsidTr="005C16E6">
        <w:tc>
          <w:tcPr>
            <w:tcW w:w="4106" w:type="dxa"/>
            <w:tcBorders>
              <w:top w:val="single" w:sz="4" w:space="0" w:color="auto"/>
              <w:left w:val="single" w:sz="4" w:space="0" w:color="auto"/>
              <w:bottom w:val="single" w:sz="4" w:space="0" w:color="auto"/>
              <w:right w:val="single" w:sz="4" w:space="0" w:color="auto"/>
            </w:tcBorders>
            <w:hideMark/>
          </w:tcPr>
          <w:p w14:paraId="334BC2F5" w14:textId="77777777" w:rsidR="000C44DE" w:rsidRDefault="000C44DE" w:rsidP="005C16E6">
            <w:pPr>
              <w:rPr>
                <w:sz w:val="20"/>
                <w:szCs w:val="20"/>
              </w:rPr>
            </w:pPr>
            <w:r>
              <w:rPr>
                <w:rFonts w:cstheme="minorHAnsi"/>
                <w:sz w:val="20"/>
                <w:szCs w:val="20"/>
              </w:rPr>
              <w:tab/>
            </w:r>
            <w:r>
              <w:rPr>
                <w:sz w:val="20"/>
                <w:szCs w:val="20"/>
              </w:rPr>
              <w:t>Inhalation products</w:t>
            </w:r>
          </w:p>
        </w:tc>
        <w:tc>
          <w:tcPr>
            <w:tcW w:w="1927" w:type="dxa"/>
            <w:tcBorders>
              <w:top w:val="single" w:sz="4" w:space="0" w:color="auto"/>
              <w:left w:val="single" w:sz="4" w:space="0" w:color="auto"/>
              <w:bottom w:val="single" w:sz="4" w:space="0" w:color="auto"/>
              <w:right w:val="single" w:sz="4" w:space="0" w:color="auto"/>
            </w:tcBorders>
            <w:hideMark/>
          </w:tcPr>
          <w:p w14:paraId="7C830D9D"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4AAE2D5B"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170ED680"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2F47A931"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6B329B95" w14:textId="77777777" w:rsidR="000C44DE" w:rsidRDefault="000C44DE" w:rsidP="005C16E6">
            <w:pPr>
              <w:jc w:val="center"/>
            </w:pPr>
            <w:r>
              <w:t>(</w:t>
            </w:r>
            <w:r>
              <w:rPr>
                <w:rFonts w:ascii="Wingdings" w:eastAsia="Wingdings" w:hAnsi="Wingdings" w:cs="Wingdings"/>
              </w:rPr>
              <w:t></w:t>
            </w:r>
            <w:r>
              <w:t>)**</w:t>
            </w:r>
          </w:p>
        </w:tc>
      </w:tr>
      <w:tr w:rsidR="000C44DE" w14:paraId="0AF0002C" w14:textId="77777777" w:rsidTr="005C16E6">
        <w:tc>
          <w:tcPr>
            <w:tcW w:w="4106" w:type="dxa"/>
            <w:tcBorders>
              <w:top w:val="single" w:sz="4" w:space="0" w:color="auto"/>
              <w:left w:val="single" w:sz="4" w:space="0" w:color="auto"/>
              <w:bottom w:val="single" w:sz="4" w:space="0" w:color="auto"/>
              <w:right w:val="single" w:sz="4" w:space="0" w:color="auto"/>
            </w:tcBorders>
            <w:hideMark/>
          </w:tcPr>
          <w:p w14:paraId="6047346C" w14:textId="77777777" w:rsidR="000C44DE" w:rsidRDefault="000C44DE" w:rsidP="005C16E6">
            <w:pPr>
              <w:rPr>
                <w:sz w:val="20"/>
                <w:szCs w:val="20"/>
              </w:rPr>
            </w:pPr>
            <w:r>
              <w:rPr>
                <w:rFonts w:cstheme="minorHAnsi"/>
                <w:sz w:val="20"/>
                <w:szCs w:val="20"/>
              </w:rPr>
              <w:tab/>
            </w:r>
            <w:r>
              <w:rPr>
                <w:sz w:val="20"/>
                <w:szCs w:val="20"/>
              </w:rPr>
              <w:t>Nasal products</w:t>
            </w:r>
          </w:p>
        </w:tc>
        <w:tc>
          <w:tcPr>
            <w:tcW w:w="1927" w:type="dxa"/>
            <w:tcBorders>
              <w:top w:val="single" w:sz="4" w:space="0" w:color="auto"/>
              <w:left w:val="single" w:sz="4" w:space="0" w:color="auto"/>
              <w:bottom w:val="single" w:sz="4" w:space="0" w:color="auto"/>
              <w:right w:val="single" w:sz="4" w:space="0" w:color="auto"/>
            </w:tcBorders>
            <w:hideMark/>
          </w:tcPr>
          <w:p w14:paraId="26B2FA30"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3B34CCF1"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73A71AA8"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6CB68874"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319DB9DC" w14:textId="77777777" w:rsidR="000C44DE" w:rsidRDefault="000C44DE" w:rsidP="005C16E6">
            <w:pPr>
              <w:jc w:val="center"/>
            </w:pPr>
            <w:r>
              <w:t>(</w:t>
            </w:r>
            <w:r>
              <w:rPr>
                <w:rFonts w:ascii="Wingdings" w:eastAsia="Wingdings" w:hAnsi="Wingdings" w:cs="Wingdings"/>
              </w:rPr>
              <w:t></w:t>
            </w:r>
            <w:r>
              <w:t>)**</w:t>
            </w:r>
          </w:p>
        </w:tc>
      </w:tr>
      <w:tr w:rsidR="000C44DE" w14:paraId="6B926EB8" w14:textId="77777777" w:rsidTr="005C16E6">
        <w:tc>
          <w:tcPr>
            <w:tcW w:w="4106" w:type="dxa"/>
            <w:tcBorders>
              <w:top w:val="single" w:sz="4" w:space="0" w:color="auto"/>
              <w:left w:val="single" w:sz="4" w:space="0" w:color="auto"/>
              <w:bottom w:val="single" w:sz="4" w:space="0" w:color="auto"/>
              <w:right w:val="single" w:sz="4" w:space="0" w:color="auto"/>
            </w:tcBorders>
            <w:hideMark/>
          </w:tcPr>
          <w:p w14:paraId="344343E5" w14:textId="77777777" w:rsidR="000C44DE" w:rsidRDefault="000C44DE" w:rsidP="005C16E6">
            <w:pPr>
              <w:rPr>
                <w:sz w:val="20"/>
                <w:szCs w:val="20"/>
              </w:rPr>
            </w:pPr>
            <w:r>
              <w:rPr>
                <w:sz w:val="20"/>
                <w:szCs w:val="20"/>
              </w:rPr>
              <w:t>Similar drug product physical characteristics</w:t>
            </w:r>
          </w:p>
          <w:p w14:paraId="13906C9B" w14:textId="77777777" w:rsidR="000C44DE" w:rsidRDefault="000C44DE" w:rsidP="005C16E6">
            <w:pPr>
              <w:rPr>
                <w:sz w:val="20"/>
                <w:szCs w:val="20"/>
              </w:rPr>
            </w:pPr>
            <w:r>
              <w:rPr>
                <w:sz w:val="20"/>
                <w:szCs w:val="20"/>
              </w:rPr>
              <w:t>(e.g. size, weight, shape, colour, scoring, coating)</w:t>
            </w:r>
          </w:p>
        </w:tc>
        <w:tc>
          <w:tcPr>
            <w:tcW w:w="1927" w:type="dxa"/>
            <w:tcBorders>
              <w:top w:val="single" w:sz="4" w:space="0" w:color="auto"/>
              <w:left w:val="single" w:sz="4" w:space="0" w:color="auto"/>
              <w:bottom w:val="single" w:sz="4" w:space="0" w:color="auto"/>
              <w:right w:val="single" w:sz="4" w:space="0" w:color="auto"/>
            </w:tcBorders>
            <w:hideMark/>
          </w:tcPr>
          <w:p w14:paraId="26A32391"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5B98406D"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7AEC6BC3"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5AEF13B2" w14:textId="77777777" w:rsidR="000C44DE" w:rsidRDefault="000C44DE" w:rsidP="005C16E6">
            <w:pPr>
              <w:jc w:val="center"/>
              <w:rPr>
                <w:sz w:val="20"/>
                <w:szCs w:val="20"/>
              </w:rPr>
            </w:pPr>
            <w:r>
              <w:rPr>
                <w:rFonts w:ascii="Wingdings" w:eastAsia="Wingdings" w:hAnsi="Wingdings" w:cs="Wingdings"/>
              </w:rPr>
              <w:t></w:t>
            </w:r>
            <w:r>
              <w:rPr>
                <w:sz w:val="20"/>
                <w:szCs w:val="20"/>
              </w:rPr>
              <w:t xml:space="preserve"> </w:t>
            </w:r>
          </w:p>
        </w:tc>
        <w:tc>
          <w:tcPr>
            <w:tcW w:w="1928" w:type="dxa"/>
            <w:tcBorders>
              <w:top w:val="single" w:sz="4" w:space="0" w:color="auto"/>
              <w:left w:val="single" w:sz="4" w:space="0" w:color="auto"/>
              <w:bottom w:val="single" w:sz="4" w:space="0" w:color="auto"/>
              <w:right w:val="single" w:sz="4" w:space="0" w:color="auto"/>
            </w:tcBorders>
            <w:hideMark/>
          </w:tcPr>
          <w:p w14:paraId="20D3773F" w14:textId="77777777" w:rsidR="000C44DE" w:rsidRDefault="000C44DE" w:rsidP="005C16E6">
            <w:pPr>
              <w:jc w:val="center"/>
            </w:pPr>
            <w:r>
              <w:t>(</w:t>
            </w:r>
            <w:r>
              <w:rPr>
                <w:rFonts w:ascii="Wingdings" w:eastAsia="Wingdings" w:hAnsi="Wingdings" w:cs="Wingdings"/>
              </w:rPr>
              <w:t></w:t>
            </w:r>
            <w:r>
              <w:t>)***</w:t>
            </w:r>
          </w:p>
        </w:tc>
      </w:tr>
      <w:tr w:rsidR="000C44DE" w14:paraId="5674468C" w14:textId="77777777" w:rsidTr="005C16E6">
        <w:tc>
          <w:tcPr>
            <w:tcW w:w="4106" w:type="dxa"/>
            <w:tcBorders>
              <w:top w:val="single" w:sz="4" w:space="0" w:color="auto"/>
              <w:left w:val="single" w:sz="4" w:space="0" w:color="auto"/>
              <w:bottom w:val="single" w:sz="4" w:space="0" w:color="auto"/>
              <w:right w:val="single" w:sz="4" w:space="0" w:color="auto"/>
            </w:tcBorders>
            <w:hideMark/>
          </w:tcPr>
          <w:p w14:paraId="6BAE89F1" w14:textId="77777777" w:rsidR="000C44DE" w:rsidRDefault="000C44DE" w:rsidP="005C16E6">
            <w:pPr>
              <w:rPr>
                <w:sz w:val="20"/>
                <w:szCs w:val="20"/>
              </w:rPr>
            </w:pPr>
            <w:r>
              <w:rPr>
                <w:sz w:val="20"/>
                <w:szCs w:val="20"/>
              </w:rPr>
              <w:lastRenderedPageBreak/>
              <w:t>Similar excipient composition</w:t>
            </w:r>
          </w:p>
        </w:tc>
        <w:tc>
          <w:tcPr>
            <w:tcW w:w="1927" w:type="dxa"/>
            <w:tcBorders>
              <w:top w:val="single" w:sz="4" w:space="0" w:color="auto"/>
              <w:left w:val="single" w:sz="4" w:space="0" w:color="auto"/>
              <w:bottom w:val="single" w:sz="4" w:space="0" w:color="auto"/>
              <w:right w:val="single" w:sz="4" w:space="0" w:color="auto"/>
            </w:tcBorders>
            <w:hideMark/>
          </w:tcPr>
          <w:p w14:paraId="21EEE18E"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644FD9ED"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66685507"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4B92D804"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5B75EF90" w14:textId="77777777" w:rsidR="000C44DE" w:rsidRDefault="000C44DE" w:rsidP="005C16E6">
            <w:pPr>
              <w:jc w:val="center"/>
            </w:pPr>
            <w:r>
              <w:rPr>
                <w:rFonts w:ascii="Wingdings" w:eastAsia="Wingdings" w:hAnsi="Wingdings" w:cs="Wingdings"/>
              </w:rPr>
              <w:t></w:t>
            </w:r>
          </w:p>
        </w:tc>
      </w:tr>
      <w:tr w:rsidR="000C44DE" w14:paraId="407D3112" w14:textId="77777777" w:rsidTr="005C16E6">
        <w:tc>
          <w:tcPr>
            <w:tcW w:w="4106" w:type="dxa"/>
            <w:tcBorders>
              <w:top w:val="single" w:sz="4" w:space="0" w:color="auto"/>
              <w:left w:val="single" w:sz="4" w:space="0" w:color="auto"/>
              <w:bottom w:val="single" w:sz="4" w:space="0" w:color="auto"/>
              <w:right w:val="single" w:sz="4" w:space="0" w:color="auto"/>
            </w:tcBorders>
            <w:hideMark/>
          </w:tcPr>
          <w:p w14:paraId="45C33D87" w14:textId="77777777" w:rsidR="000C44DE" w:rsidRDefault="000C44DE" w:rsidP="005C16E6">
            <w:pPr>
              <w:rPr>
                <w:sz w:val="20"/>
                <w:szCs w:val="20"/>
              </w:rPr>
            </w:pPr>
            <w:r>
              <w:rPr>
                <w:sz w:val="20"/>
                <w:szCs w:val="20"/>
              </w:rPr>
              <w:t>Comparable physicochemical testing other than dissolution</w:t>
            </w:r>
          </w:p>
        </w:tc>
        <w:tc>
          <w:tcPr>
            <w:tcW w:w="1927" w:type="dxa"/>
            <w:tcBorders>
              <w:top w:val="single" w:sz="4" w:space="0" w:color="auto"/>
              <w:left w:val="single" w:sz="4" w:space="0" w:color="auto"/>
              <w:bottom w:val="single" w:sz="4" w:space="0" w:color="auto"/>
              <w:right w:val="single" w:sz="4" w:space="0" w:color="auto"/>
            </w:tcBorders>
            <w:hideMark/>
          </w:tcPr>
          <w:p w14:paraId="6E1C479F"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4DF487F6"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3910C31B"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5319BB5F" w14:textId="77777777" w:rsidR="000C44DE" w:rsidRDefault="000C44DE" w:rsidP="005C16E6">
            <w:pPr>
              <w:jc w:val="center"/>
              <w:rPr>
                <w:sz w:val="20"/>
                <w:szCs w:val="20"/>
              </w:rPr>
            </w:pPr>
            <w:r>
              <w:rPr>
                <w:rFonts w:ascii="Wingdings" w:eastAsia="Wingdings" w:hAnsi="Wingdings" w:cs="Wingdings"/>
              </w:rPr>
              <w:t></w:t>
            </w:r>
          </w:p>
        </w:tc>
        <w:tc>
          <w:tcPr>
            <w:tcW w:w="1928" w:type="dxa"/>
            <w:tcBorders>
              <w:top w:val="single" w:sz="4" w:space="0" w:color="auto"/>
              <w:left w:val="single" w:sz="4" w:space="0" w:color="auto"/>
              <w:bottom w:val="single" w:sz="4" w:space="0" w:color="auto"/>
              <w:right w:val="single" w:sz="4" w:space="0" w:color="auto"/>
            </w:tcBorders>
            <w:hideMark/>
          </w:tcPr>
          <w:p w14:paraId="1D36202D" w14:textId="77777777" w:rsidR="000C44DE" w:rsidRDefault="000C44DE" w:rsidP="005C16E6">
            <w:pPr>
              <w:jc w:val="center"/>
            </w:pPr>
            <w:r>
              <w:rPr>
                <w:rFonts w:ascii="Wingdings" w:eastAsia="Wingdings" w:hAnsi="Wingdings" w:cs="Wingdings"/>
              </w:rPr>
              <w:t></w:t>
            </w:r>
          </w:p>
        </w:tc>
      </w:tr>
    </w:tbl>
    <w:p w14:paraId="1DD04766" w14:textId="77777777" w:rsidR="000C44DE" w:rsidRPr="008912FF" w:rsidRDefault="000C44DE" w:rsidP="000C44DE">
      <w:pPr>
        <w:tabs>
          <w:tab w:val="left" w:pos="284"/>
        </w:tabs>
        <w:ind w:left="720" w:hanging="720"/>
        <w:rPr>
          <w:sz w:val="12"/>
          <w:szCs w:val="12"/>
        </w:rPr>
      </w:pPr>
    </w:p>
    <w:p w14:paraId="20A55932" w14:textId="5D5F0167" w:rsidR="00BC3F26" w:rsidRPr="00BC3F26" w:rsidRDefault="000C44DE" w:rsidP="000C44DE">
      <w:pPr>
        <w:tabs>
          <w:tab w:val="left" w:pos="284"/>
        </w:tabs>
        <w:ind w:left="720" w:hanging="720"/>
        <w:rPr>
          <w:rFonts w:asciiTheme="minorHAnsi" w:hAnsi="Arial"/>
          <w:color w:val="0070C0"/>
          <w:kern w:val="24"/>
          <w:sz w:val="18"/>
          <w:szCs w:val="18"/>
          <w:lang w:val="en-US"/>
        </w:rPr>
      </w:pPr>
      <w:r>
        <w:rPr>
          <w:sz w:val="20"/>
          <w:szCs w:val="20"/>
        </w:rPr>
        <w:t xml:space="preserve">* </w:t>
      </w:r>
      <w:r>
        <w:rPr>
          <w:sz w:val="20"/>
          <w:szCs w:val="20"/>
        </w:rPr>
        <w:tab/>
      </w:r>
      <w:r>
        <w:rPr>
          <w:sz w:val="20"/>
          <w:szCs w:val="20"/>
        </w:rPr>
        <w:tab/>
      </w:r>
      <w:r w:rsidR="00870455" w:rsidRPr="00BC3F26">
        <w:rPr>
          <w:rFonts w:asciiTheme="minorHAnsi" w:hAnsi="Arial"/>
          <w:color w:val="000000" w:themeColor="text1"/>
          <w:kern w:val="24"/>
          <w:sz w:val="18"/>
          <w:szCs w:val="18"/>
          <w:lang w:val="en-US"/>
        </w:rPr>
        <w:t>FCPs may be used for applications made UK wide. Applications to Northern Ireland-only require compliance with EU requirements. See published guidance applicable from 1/1/25.</w:t>
      </w:r>
      <w:r w:rsidR="00870455" w:rsidRPr="00BC3F26">
        <w:rPr>
          <w:rFonts w:asciiTheme="minorHAnsi" w:hAnsi="Arial"/>
          <w:b/>
          <w:bCs/>
          <w:color w:val="000000" w:themeColor="text1"/>
          <w:kern w:val="24"/>
          <w:sz w:val="18"/>
          <w:szCs w:val="18"/>
          <w:lang w:val="en-US"/>
        </w:rPr>
        <w:t xml:space="preserve"> </w:t>
      </w:r>
      <w:hyperlink r:id="rId38" w:history="1">
        <w:r w:rsidR="00BC3F26" w:rsidRPr="00BC3F26">
          <w:rPr>
            <w:rStyle w:val="Hyperlink"/>
            <w:rFonts w:asciiTheme="minorHAnsi" w:hAnsi="Arial"/>
            <w:kern w:val="24"/>
            <w:sz w:val="18"/>
            <w:szCs w:val="18"/>
            <w:lang w:val="en-US"/>
          </w:rPr>
          <w:t>https://www.gov.uk/guidance/comparator-products-in-bioequivalencetherapeutic-equivalence-studies</w:t>
        </w:r>
      </w:hyperlink>
    </w:p>
    <w:p w14:paraId="42C31146" w14:textId="5E9BF8D1" w:rsidR="000C44DE" w:rsidRPr="00BC3F26" w:rsidRDefault="000C44DE" w:rsidP="000C44DE">
      <w:pPr>
        <w:tabs>
          <w:tab w:val="left" w:pos="284"/>
        </w:tabs>
        <w:ind w:left="720" w:hanging="720"/>
        <w:rPr>
          <w:sz w:val="18"/>
          <w:szCs w:val="18"/>
        </w:rPr>
      </w:pPr>
      <w:r w:rsidRPr="00BC3F26">
        <w:rPr>
          <w:sz w:val="18"/>
          <w:szCs w:val="18"/>
        </w:rPr>
        <w:t xml:space="preserve">** </w:t>
      </w:r>
      <w:r w:rsidRPr="00BC3F26">
        <w:rPr>
          <w:sz w:val="18"/>
          <w:szCs w:val="18"/>
        </w:rPr>
        <w:tab/>
      </w:r>
      <w:r w:rsidRPr="00BC3F26">
        <w:rPr>
          <w:sz w:val="18"/>
          <w:szCs w:val="18"/>
        </w:rPr>
        <w:tab/>
        <w:t>Pre-application discussion with MHRA or Health Canada is recommended in these cases to confirm acceptability of approach.</w:t>
      </w:r>
    </w:p>
    <w:p w14:paraId="507A91D4" w14:textId="77777777" w:rsidR="000C44DE" w:rsidRPr="00BC3F26" w:rsidRDefault="000C44DE" w:rsidP="000C44DE">
      <w:pPr>
        <w:tabs>
          <w:tab w:val="left" w:pos="284"/>
        </w:tabs>
        <w:ind w:left="720" w:hanging="720"/>
        <w:rPr>
          <w:sz w:val="18"/>
          <w:szCs w:val="18"/>
        </w:rPr>
      </w:pPr>
      <w:r w:rsidRPr="00BC3F26">
        <w:rPr>
          <w:sz w:val="18"/>
          <w:szCs w:val="18"/>
        </w:rPr>
        <w:t xml:space="preserve">*** </w:t>
      </w:r>
      <w:r w:rsidRPr="00BC3F26">
        <w:rPr>
          <w:sz w:val="18"/>
          <w:szCs w:val="18"/>
        </w:rPr>
        <w:tab/>
        <w:t>Certain minor differences between both products may be accepted if justified, provided this is supported by bridging data.</w:t>
      </w:r>
    </w:p>
    <w:p w14:paraId="09396555" w14:textId="77777777" w:rsidR="000C44DE" w:rsidRPr="00BC3F26" w:rsidRDefault="000C44DE" w:rsidP="000C44DE">
      <w:pPr>
        <w:ind w:left="720" w:hanging="720"/>
        <w:rPr>
          <w:sz w:val="18"/>
          <w:szCs w:val="18"/>
        </w:rPr>
      </w:pPr>
      <w:r w:rsidRPr="00BC3F26">
        <w:rPr>
          <w:sz w:val="18"/>
          <w:szCs w:val="18"/>
          <w:vertAlign w:val="superscript"/>
        </w:rPr>
        <w:t>#</w:t>
      </w:r>
      <w:r w:rsidRPr="00BC3F26">
        <w:rPr>
          <w:sz w:val="18"/>
          <w:szCs w:val="18"/>
          <w:vertAlign w:val="superscript"/>
        </w:rPr>
        <w:tab/>
      </w:r>
      <w:r w:rsidRPr="00BC3F26">
        <w:rPr>
          <w:sz w:val="18"/>
          <w:szCs w:val="18"/>
        </w:rPr>
        <w:t>FRPs can be accepted only if they were manufactured at the same drug product manufacturing site as the Singapore reference product.</w:t>
      </w:r>
    </w:p>
    <w:p w14:paraId="79F13642" w14:textId="77777777" w:rsidR="000C44DE" w:rsidRPr="009C4437" w:rsidRDefault="000C44DE" w:rsidP="000C44DE">
      <w:pPr>
        <w:tabs>
          <w:tab w:val="left" w:pos="284"/>
        </w:tabs>
        <w:ind w:left="284" w:hanging="284"/>
        <w:rPr>
          <w:sz w:val="20"/>
          <w:szCs w:val="20"/>
        </w:rPr>
      </w:pPr>
    </w:p>
    <w:p w14:paraId="74356B9D" w14:textId="77777777" w:rsidR="000C44DE" w:rsidRPr="001C3A48" w:rsidRDefault="000C44DE" w:rsidP="007B477B"/>
    <w:sectPr w:rsidR="000C44DE" w:rsidRPr="001C3A48" w:rsidSect="00F91D75">
      <w:pgSz w:w="16838" w:h="11906" w:orient="landscape"/>
      <w:pgMar w:top="1440" w:right="1952"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A7ADC" w14:textId="77777777" w:rsidR="002C5155" w:rsidRDefault="002C5155" w:rsidP="00627D02">
      <w:r>
        <w:separator/>
      </w:r>
    </w:p>
  </w:endnote>
  <w:endnote w:type="continuationSeparator" w:id="0">
    <w:p w14:paraId="73D4836F" w14:textId="77777777" w:rsidR="002C5155" w:rsidRDefault="002C5155" w:rsidP="00627D02">
      <w:r>
        <w:continuationSeparator/>
      </w:r>
    </w:p>
  </w:endnote>
  <w:endnote w:type="continuationNotice" w:id="1">
    <w:p w14:paraId="6B35A7CF" w14:textId="77777777" w:rsidR="002C5155" w:rsidRDefault="002C5155" w:rsidP="00627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5CA0" w14:textId="3B98D0BA" w:rsidR="002C0F2A" w:rsidRDefault="002C0F2A">
    <w:pPr>
      <w:pStyle w:val="Footer"/>
    </w:pPr>
    <w:r>
      <w:rPr>
        <w:noProof/>
      </w:rPr>
      <mc:AlternateContent>
        <mc:Choice Requires="wps">
          <w:drawing>
            <wp:anchor distT="0" distB="0" distL="0" distR="0" simplePos="0" relativeHeight="251663360" behindDoc="0" locked="0" layoutInCell="1" allowOverlap="1" wp14:anchorId="708C3C12" wp14:editId="09A9AF46">
              <wp:simplePos x="635" y="635"/>
              <wp:positionH relativeFrom="page">
                <wp:align>center</wp:align>
              </wp:positionH>
              <wp:positionV relativeFrom="page">
                <wp:align>bottom</wp:align>
              </wp:positionV>
              <wp:extent cx="622300" cy="452755"/>
              <wp:effectExtent l="0" t="0" r="6350" b="0"/>
              <wp:wrapNone/>
              <wp:docPr id="169729691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4BFEE8F" w14:textId="122FBCE4" w:rsidR="002C0F2A" w:rsidRPr="002C0F2A" w:rsidRDefault="002C0F2A" w:rsidP="002C0F2A">
                          <w:pPr>
                            <w:spacing w:after="0"/>
                            <w:rPr>
                              <w:rFonts w:ascii="Aptos" w:eastAsia="Aptos" w:hAnsi="Aptos" w:cs="Aptos"/>
                              <w:noProof/>
                              <w:color w:val="FF0000"/>
                              <w:sz w:val="24"/>
                              <w:szCs w:val="24"/>
                            </w:rPr>
                          </w:pPr>
                          <w:r w:rsidRPr="002C0F2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8C3C12" id="_x0000_t202" coordsize="21600,21600" o:spt="202" path="m,l,21600r21600,l21600,xe">
              <v:stroke joinstyle="miter"/>
              <v:path gradientshapeok="t" o:connecttype="rect"/>
            </v:shapetype>
            <v:shape id="Text Box 6" o:spid="_x0000_s1028" type="#_x0000_t202" alt="OFFICIAL" style="position:absolute;margin-left:0;margin-top:0;width:49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fill o:detectmouseclick="t"/>
              <v:textbox style="mso-fit-shape-to-text:t" inset="0,0,0,15pt">
                <w:txbxContent>
                  <w:p w14:paraId="44BFEE8F" w14:textId="122FBCE4" w:rsidR="002C0F2A" w:rsidRPr="002C0F2A" w:rsidRDefault="002C0F2A" w:rsidP="002C0F2A">
                    <w:pPr>
                      <w:spacing w:after="0"/>
                      <w:rPr>
                        <w:rFonts w:ascii="Aptos" w:eastAsia="Aptos" w:hAnsi="Aptos" w:cs="Aptos"/>
                        <w:noProof/>
                        <w:color w:val="FF0000"/>
                        <w:sz w:val="24"/>
                        <w:szCs w:val="24"/>
                      </w:rPr>
                    </w:pPr>
                    <w:r w:rsidRPr="002C0F2A">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7DCB" w14:textId="4F9F9EAC" w:rsidR="00742497" w:rsidRDefault="002C0F2A" w:rsidP="000D1DC3">
    <w:pPr>
      <w:pStyle w:val="Footer"/>
      <w:jc w:val="right"/>
    </w:pPr>
    <w:r>
      <w:rPr>
        <w:noProof/>
      </w:rPr>
      <mc:AlternateContent>
        <mc:Choice Requires="wps">
          <w:drawing>
            <wp:anchor distT="0" distB="0" distL="0" distR="0" simplePos="0" relativeHeight="251664384" behindDoc="0" locked="0" layoutInCell="1" allowOverlap="1" wp14:anchorId="3996FB03" wp14:editId="63B385CC">
              <wp:simplePos x="635" y="635"/>
              <wp:positionH relativeFrom="page">
                <wp:align>center</wp:align>
              </wp:positionH>
              <wp:positionV relativeFrom="page">
                <wp:align>bottom</wp:align>
              </wp:positionV>
              <wp:extent cx="622300" cy="452755"/>
              <wp:effectExtent l="0" t="0" r="6350" b="0"/>
              <wp:wrapNone/>
              <wp:docPr id="55009006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B76E4C2" w14:textId="3B32947C" w:rsidR="002C0F2A" w:rsidRPr="002C0F2A" w:rsidRDefault="002C0F2A" w:rsidP="002C0F2A">
                          <w:pPr>
                            <w:spacing w:after="0"/>
                            <w:rPr>
                              <w:rFonts w:ascii="Aptos" w:eastAsia="Aptos" w:hAnsi="Aptos" w:cs="Aptos"/>
                              <w:noProof/>
                              <w:color w:val="FF0000"/>
                              <w:sz w:val="24"/>
                              <w:szCs w:val="24"/>
                            </w:rPr>
                          </w:pPr>
                          <w:r w:rsidRPr="002C0F2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96FB03"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Lk/A0kNAgAAHAQA&#10;AA4AAAAAAAAAAAAAAAAALgIAAGRycy9lMm9Eb2MueG1sUEsBAi0AFAAGAAgAAAAhAKZfxHbaAAAA&#10;AwEAAA8AAAAAAAAAAAAAAAAAZwQAAGRycy9kb3ducmV2LnhtbFBLBQYAAAAABAAEAPMAAABuBQAA&#10;AAA=&#10;" filled="f" stroked="f">
              <v:fill o:detectmouseclick="t"/>
              <v:textbox style="mso-fit-shape-to-text:t" inset="0,0,0,15pt">
                <w:txbxContent>
                  <w:p w14:paraId="1B76E4C2" w14:textId="3B32947C" w:rsidR="002C0F2A" w:rsidRPr="002C0F2A" w:rsidRDefault="002C0F2A" w:rsidP="002C0F2A">
                    <w:pPr>
                      <w:spacing w:after="0"/>
                      <w:rPr>
                        <w:rFonts w:ascii="Aptos" w:eastAsia="Aptos" w:hAnsi="Aptos" w:cs="Aptos"/>
                        <w:noProof/>
                        <w:color w:val="FF0000"/>
                        <w:sz w:val="24"/>
                        <w:szCs w:val="24"/>
                      </w:rPr>
                    </w:pPr>
                    <w:r w:rsidRPr="002C0F2A">
                      <w:rPr>
                        <w:rFonts w:ascii="Aptos" w:eastAsia="Aptos" w:hAnsi="Aptos" w:cs="Aptos"/>
                        <w:noProof/>
                        <w:color w:val="FF0000"/>
                        <w:sz w:val="24"/>
                        <w:szCs w:val="24"/>
                      </w:rPr>
                      <w:t>OFFICIAL</w:t>
                    </w:r>
                  </w:p>
                </w:txbxContent>
              </v:textbox>
              <w10:wrap anchorx="page" anchory="page"/>
            </v:shape>
          </w:pict>
        </mc:Fallback>
      </mc:AlternateContent>
    </w:r>
  </w:p>
  <w:sdt>
    <w:sdtPr>
      <w:id w:val="1522047140"/>
      <w:docPartObj>
        <w:docPartGallery w:val="Page Numbers (Bottom of Page)"/>
        <w:docPartUnique/>
      </w:docPartObj>
    </w:sdtPr>
    <w:sdtEndPr>
      <w:rPr>
        <w:noProof/>
      </w:rPr>
    </w:sdtEndPr>
    <w:sdtContent>
      <w:p w14:paraId="55602721" w14:textId="77777777" w:rsidR="00742497" w:rsidRDefault="00742497" w:rsidP="000D1DC3">
        <w:pPr>
          <w:pStyle w:val="Footer"/>
          <w:jc w:val="right"/>
        </w:pPr>
        <w:r>
          <w:fldChar w:fldCharType="begin"/>
        </w:r>
        <w:r>
          <w:instrText xml:space="preserve"> PAGE   \* MERGEFORMAT </w:instrText>
        </w:r>
        <w:r>
          <w:fldChar w:fldCharType="separate"/>
        </w:r>
        <w:r w:rsidR="00322B42">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5218" w14:textId="0B249618" w:rsidR="002C0F2A" w:rsidRDefault="002C0F2A">
    <w:pPr>
      <w:pStyle w:val="Footer"/>
    </w:pPr>
    <w:r>
      <w:rPr>
        <w:noProof/>
      </w:rPr>
      <mc:AlternateContent>
        <mc:Choice Requires="wps">
          <w:drawing>
            <wp:anchor distT="0" distB="0" distL="0" distR="0" simplePos="0" relativeHeight="251662336" behindDoc="0" locked="0" layoutInCell="1" allowOverlap="1" wp14:anchorId="159ED2F7" wp14:editId="191FC6F5">
              <wp:simplePos x="914400" y="9915525"/>
              <wp:positionH relativeFrom="page">
                <wp:align>center</wp:align>
              </wp:positionH>
              <wp:positionV relativeFrom="page">
                <wp:align>bottom</wp:align>
              </wp:positionV>
              <wp:extent cx="622300" cy="452755"/>
              <wp:effectExtent l="0" t="0" r="6350" b="0"/>
              <wp:wrapNone/>
              <wp:docPr id="11250211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154E64D" w14:textId="4113EDB1" w:rsidR="002C0F2A" w:rsidRPr="002C0F2A" w:rsidRDefault="002C0F2A" w:rsidP="002C0F2A">
                          <w:pPr>
                            <w:spacing w:after="0"/>
                            <w:rPr>
                              <w:rFonts w:ascii="Aptos" w:eastAsia="Aptos" w:hAnsi="Aptos" w:cs="Aptos"/>
                              <w:noProof/>
                              <w:color w:val="FF0000"/>
                              <w:sz w:val="24"/>
                              <w:szCs w:val="24"/>
                            </w:rPr>
                          </w:pPr>
                          <w:r w:rsidRPr="002C0F2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9ED2F7" id="_x0000_t202" coordsize="21600,21600" o:spt="202" path="m,l,21600r21600,l21600,xe">
              <v:stroke joinstyle="miter"/>
              <v:path gradientshapeok="t" o:connecttype="rect"/>
            </v:shapetype>
            <v:shape id="Text Box 5" o:spid="_x0000_s1031" type="#_x0000_t202" alt="OFFICIAL" style="position:absolute;margin-left:0;margin-top:0;width:49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GNBZjINAgAAHAQA&#10;AA4AAAAAAAAAAAAAAAAALgIAAGRycy9lMm9Eb2MueG1sUEsBAi0AFAAGAAgAAAAhAKZfxHbaAAAA&#10;AwEAAA8AAAAAAAAAAAAAAAAAZwQAAGRycy9kb3ducmV2LnhtbFBLBQYAAAAABAAEAPMAAABuBQAA&#10;AAA=&#10;" filled="f" stroked="f">
              <v:fill o:detectmouseclick="t"/>
              <v:textbox style="mso-fit-shape-to-text:t" inset="0,0,0,15pt">
                <w:txbxContent>
                  <w:p w14:paraId="5154E64D" w14:textId="4113EDB1" w:rsidR="002C0F2A" w:rsidRPr="002C0F2A" w:rsidRDefault="002C0F2A" w:rsidP="002C0F2A">
                    <w:pPr>
                      <w:spacing w:after="0"/>
                      <w:rPr>
                        <w:rFonts w:ascii="Aptos" w:eastAsia="Aptos" w:hAnsi="Aptos" w:cs="Aptos"/>
                        <w:noProof/>
                        <w:color w:val="FF0000"/>
                        <w:sz w:val="24"/>
                        <w:szCs w:val="24"/>
                      </w:rPr>
                    </w:pPr>
                    <w:r w:rsidRPr="002C0F2A">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5AFE" w14:textId="7A19EFA2" w:rsidR="00E36594" w:rsidRDefault="002C0F2A" w:rsidP="00497056">
    <w:pPr>
      <w:pStyle w:val="Footer"/>
      <w:jc w:val="right"/>
    </w:pPr>
    <w:r>
      <w:rPr>
        <w:noProof/>
      </w:rPr>
      <mc:AlternateContent>
        <mc:Choice Requires="wps">
          <w:drawing>
            <wp:anchor distT="0" distB="0" distL="0" distR="0" simplePos="0" relativeHeight="251665408" behindDoc="0" locked="0" layoutInCell="1" allowOverlap="1" wp14:anchorId="500B1243" wp14:editId="611AF2B6">
              <wp:simplePos x="635" y="635"/>
              <wp:positionH relativeFrom="page">
                <wp:align>center</wp:align>
              </wp:positionH>
              <wp:positionV relativeFrom="page">
                <wp:align>bottom</wp:align>
              </wp:positionV>
              <wp:extent cx="622300" cy="452755"/>
              <wp:effectExtent l="0" t="0" r="6350" b="0"/>
              <wp:wrapNone/>
              <wp:docPr id="83582521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B8F82AD" w14:textId="5B9507F4" w:rsidR="002C0F2A" w:rsidRPr="002C0F2A" w:rsidRDefault="002C0F2A" w:rsidP="002C0F2A">
                          <w:pPr>
                            <w:spacing w:after="0"/>
                            <w:rPr>
                              <w:rFonts w:ascii="Aptos" w:eastAsia="Aptos" w:hAnsi="Aptos" w:cs="Aptos"/>
                              <w:noProof/>
                              <w:color w:val="FF0000"/>
                              <w:sz w:val="24"/>
                              <w:szCs w:val="24"/>
                            </w:rPr>
                          </w:pPr>
                          <w:r w:rsidRPr="002C0F2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0B1243" id="_x0000_t202" coordsize="21600,21600" o:spt="202" path="m,l,21600r21600,l21600,xe">
              <v:stroke joinstyle="miter"/>
              <v:path gradientshapeok="t" o:connecttype="rect"/>
            </v:shapetype>
            <v:shape id="Text Box 8" o:spid="_x0000_s1033" type="#_x0000_t202" alt="OFFICIAL" style="position:absolute;left:0;text-align:left;margin-left:0;margin-top:0;width:49pt;height:35.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DUgLF0DgIAABwE&#10;AAAOAAAAAAAAAAAAAAAAAC4CAABkcnMvZTJvRG9jLnhtbFBLAQItABQABgAIAAAAIQCmX8R22gAA&#10;AAMBAAAPAAAAAAAAAAAAAAAAAGgEAABkcnMvZG93bnJldi54bWxQSwUGAAAAAAQABADzAAAAbwUA&#10;AAAA&#10;" filled="f" stroked="f">
              <v:fill o:detectmouseclick="t"/>
              <v:textbox style="mso-fit-shape-to-text:t" inset="0,0,0,15pt">
                <w:txbxContent>
                  <w:p w14:paraId="4B8F82AD" w14:textId="5B9507F4" w:rsidR="002C0F2A" w:rsidRPr="002C0F2A" w:rsidRDefault="002C0F2A" w:rsidP="002C0F2A">
                    <w:pPr>
                      <w:spacing w:after="0"/>
                      <w:rPr>
                        <w:rFonts w:ascii="Aptos" w:eastAsia="Aptos" w:hAnsi="Aptos" w:cs="Aptos"/>
                        <w:noProof/>
                        <w:color w:val="FF0000"/>
                        <w:sz w:val="24"/>
                        <w:szCs w:val="24"/>
                      </w:rPr>
                    </w:pPr>
                    <w:r w:rsidRPr="002C0F2A">
                      <w:rPr>
                        <w:rFonts w:ascii="Aptos" w:eastAsia="Aptos" w:hAnsi="Aptos" w:cs="Aptos"/>
                        <w:noProof/>
                        <w:color w:val="FF0000"/>
                        <w:sz w:val="24"/>
                        <w:szCs w:val="24"/>
                      </w:rPr>
                      <w:t>OFFICIAL</w:t>
                    </w:r>
                  </w:p>
                </w:txbxContent>
              </v:textbox>
              <w10:wrap anchorx="page" anchory="page"/>
            </v:shape>
          </w:pict>
        </mc:Fallback>
      </mc:AlternateContent>
    </w:r>
    <w:sdt>
      <w:sdtPr>
        <w:id w:val="-2131311842"/>
        <w:docPartObj>
          <w:docPartGallery w:val="Page Numbers (Bottom of Page)"/>
          <w:docPartUnique/>
        </w:docPartObj>
      </w:sdtPr>
      <w:sdtEndPr>
        <w:rPr>
          <w:noProof/>
        </w:rPr>
      </w:sdtEndPr>
      <w:sdtContent>
        <w:r w:rsidR="00497056">
          <w:fldChar w:fldCharType="begin"/>
        </w:r>
        <w:r w:rsidR="00497056">
          <w:instrText xml:space="preserve"> PAGE   \* MERGEFORMAT </w:instrText>
        </w:r>
        <w:r w:rsidR="00497056">
          <w:fldChar w:fldCharType="separate"/>
        </w:r>
        <w:r w:rsidR="00497056">
          <w:t>1</w:t>
        </w:r>
        <w:r w:rsidR="0049705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7CA6" w14:textId="77777777" w:rsidR="002C5155" w:rsidRDefault="002C5155" w:rsidP="00627D02">
      <w:r>
        <w:separator/>
      </w:r>
    </w:p>
  </w:footnote>
  <w:footnote w:type="continuationSeparator" w:id="0">
    <w:p w14:paraId="05F33BCE" w14:textId="77777777" w:rsidR="002C5155" w:rsidRDefault="002C5155" w:rsidP="00627D02">
      <w:r>
        <w:continuationSeparator/>
      </w:r>
    </w:p>
  </w:footnote>
  <w:footnote w:type="continuationNotice" w:id="1">
    <w:p w14:paraId="34B9B064" w14:textId="77777777" w:rsidR="002C5155" w:rsidRDefault="002C5155" w:rsidP="00627D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6301" w14:textId="1176547F" w:rsidR="002C0F2A" w:rsidRDefault="002C0F2A">
    <w:pPr>
      <w:pStyle w:val="Header"/>
    </w:pPr>
    <w:r>
      <w:rPr>
        <w:noProof/>
      </w:rPr>
      <mc:AlternateContent>
        <mc:Choice Requires="wps">
          <w:drawing>
            <wp:anchor distT="0" distB="0" distL="0" distR="0" simplePos="0" relativeHeight="251659264" behindDoc="0" locked="0" layoutInCell="1" allowOverlap="1" wp14:anchorId="03943BB8" wp14:editId="19E9A531">
              <wp:simplePos x="635" y="635"/>
              <wp:positionH relativeFrom="page">
                <wp:align>center</wp:align>
              </wp:positionH>
              <wp:positionV relativeFrom="page">
                <wp:align>top</wp:align>
              </wp:positionV>
              <wp:extent cx="622300" cy="452755"/>
              <wp:effectExtent l="0" t="0" r="6350" b="4445"/>
              <wp:wrapNone/>
              <wp:docPr id="5523217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8ABD71F" w14:textId="5368A9AF" w:rsidR="002C0F2A" w:rsidRPr="002C0F2A" w:rsidRDefault="002C0F2A" w:rsidP="002C0F2A">
                          <w:pPr>
                            <w:spacing w:after="0"/>
                            <w:rPr>
                              <w:rFonts w:ascii="Aptos" w:eastAsia="Aptos" w:hAnsi="Aptos" w:cs="Aptos"/>
                              <w:noProof/>
                              <w:color w:val="FF0000"/>
                              <w:sz w:val="24"/>
                              <w:szCs w:val="24"/>
                            </w:rPr>
                          </w:pPr>
                          <w:r w:rsidRPr="002C0F2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943BB8"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fill o:detectmouseclick="t"/>
              <v:textbox style="mso-fit-shape-to-text:t" inset="0,15pt,0,0">
                <w:txbxContent>
                  <w:p w14:paraId="58ABD71F" w14:textId="5368A9AF" w:rsidR="002C0F2A" w:rsidRPr="002C0F2A" w:rsidRDefault="002C0F2A" w:rsidP="002C0F2A">
                    <w:pPr>
                      <w:spacing w:after="0"/>
                      <w:rPr>
                        <w:rFonts w:ascii="Aptos" w:eastAsia="Aptos" w:hAnsi="Aptos" w:cs="Aptos"/>
                        <w:noProof/>
                        <w:color w:val="FF0000"/>
                        <w:sz w:val="24"/>
                        <w:szCs w:val="24"/>
                      </w:rPr>
                    </w:pPr>
                    <w:r w:rsidRPr="002C0F2A">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22090" w14:textId="600DE164" w:rsidR="002C0F2A" w:rsidRDefault="002C0F2A">
    <w:pPr>
      <w:pStyle w:val="Header"/>
    </w:pPr>
    <w:r>
      <w:rPr>
        <w:noProof/>
      </w:rPr>
      <mc:AlternateContent>
        <mc:Choice Requires="wps">
          <w:drawing>
            <wp:anchor distT="0" distB="0" distL="0" distR="0" simplePos="0" relativeHeight="251660288" behindDoc="0" locked="0" layoutInCell="1" allowOverlap="1" wp14:anchorId="0F8CA082" wp14:editId="6F5F5113">
              <wp:simplePos x="635" y="635"/>
              <wp:positionH relativeFrom="page">
                <wp:align>center</wp:align>
              </wp:positionH>
              <wp:positionV relativeFrom="page">
                <wp:align>top</wp:align>
              </wp:positionV>
              <wp:extent cx="622300" cy="452755"/>
              <wp:effectExtent l="0" t="0" r="6350" b="4445"/>
              <wp:wrapNone/>
              <wp:docPr id="14343798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2667789" w14:textId="0004817D" w:rsidR="002C0F2A" w:rsidRPr="002C0F2A" w:rsidRDefault="002C0F2A" w:rsidP="002C0F2A">
                          <w:pPr>
                            <w:spacing w:after="0"/>
                            <w:rPr>
                              <w:rFonts w:ascii="Aptos" w:eastAsia="Aptos" w:hAnsi="Aptos" w:cs="Aptos"/>
                              <w:noProof/>
                              <w:color w:val="FF0000"/>
                              <w:sz w:val="24"/>
                              <w:szCs w:val="24"/>
                            </w:rPr>
                          </w:pPr>
                          <w:r w:rsidRPr="002C0F2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8CA082" id="_x0000_t202" coordsize="21600,21600" o:spt="202" path="m,l,21600r21600,l21600,xe">
              <v:stroke joinstyle="miter"/>
              <v:path gradientshapeok="t" o:connecttype="rect"/>
            </v:shapetype>
            <v:shape id="Text Box 3" o:spid="_x0000_s1027" type="#_x0000_t202" alt="OFFICIAL" style="position:absolute;margin-left:0;margin-top:0;width:49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gLDQIAABw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lP3e6jPOJSDYd/e8k2LpbfMhyfmcMHYLYo2&#10;POIhFXQVhdGipAH342/+mI+8Y5SSDgVTUYOKpkR9M7iPqK1kzD/ni0iGm9z7yTBHfQcowzm+CMuT&#10;GfOCmkzpQL+gnNexEIaY4ViuomEy78KgXHwOXKzXKQllZFnYmp3lETrSFbl87l+YsyPhATf1AJOa&#10;WPmK9yE33vR2fQzIflpKpHYgcmQcJZjWOj6XqPFf/1PW9VGvfgI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kwWYCw0CAAAcBAAA&#10;DgAAAAAAAAAAAAAAAAAuAgAAZHJzL2Uyb0RvYy54bWxQSwECLQAUAAYACAAAACEARawYydkAAAAD&#10;AQAADwAAAAAAAAAAAAAAAABnBAAAZHJzL2Rvd25yZXYueG1sUEsFBgAAAAAEAAQA8wAAAG0FAAAA&#10;AA==&#10;" filled="f" stroked="f">
              <v:fill o:detectmouseclick="t"/>
              <v:textbox style="mso-fit-shape-to-text:t" inset="0,15pt,0,0">
                <w:txbxContent>
                  <w:p w14:paraId="12667789" w14:textId="0004817D" w:rsidR="002C0F2A" w:rsidRPr="002C0F2A" w:rsidRDefault="002C0F2A" w:rsidP="002C0F2A">
                    <w:pPr>
                      <w:spacing w:after="0"/>
                      <w:rPr>
                        <w:rFonts w:ascii="Aptos" w:eastAsia="Aptos" w:hAnsi="Aptos" w:cs="Aptos"/>
                        <w:noProof/>
                        <w:color w:val="FF0000"/>
                        <w:sz w:val="24"/>
                        <w:szCs w:val="24"/>
                      </w:rPr>
                    </w:pPr>
                    <w:r w:rsidRPr="002C0F2A">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3AE8" w14:textId="32865C41" w:rsidR="002C0F2A" w:rsidRDefault="002C0F2A">
    <w:pPr>
      <w:pStyle w:val="Header"/>
    </w:pPr>
    <w:r>
      <w:rPr>
        <w:noProof/>
      </w:rPr>
      <mc:AlternateContent>
        <mc:Choice Requires="wps">
          <w:drawing>
            <wp:anchor distT="0" distB="0" distL="0" distR="0" simplePos="0" relativeHeight="251658240" behindDoc="0" locked="0" layoutInCell="1" allowOverlap="1" wp14:anchorId="678E06AC" wp14:editId="3B96EC40">
              <wp:simplePos x="914400" y="447675"/>
              <wp:positionH relativeFrom="page">
                <wp:align>center</wp:align>
              </wp:positionH>
              <wp:positionV relativeFrom="page">
                <wp:align>top</wp:align>
              </wp:positionV>
              <wp:extent cx="622300" cy="452755"/>
              <wp:effectExtent l="0" t="0" r="6350" b="4445"/>
              <wp:wrapNone/>
              <wp:docPr id="4724345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5136596" w14:textId="742CF944" w:rsidR="002C0F2A" w:rsidRPr="002C0F2A" w:rsidRDefault="002C0F2A" w:rsidP="002C0F2A">
                          <w:pPr>
                            <w:spacing w:after="0"/>
                            <w:rPr>
                              <w:rFonts w:ascii="Aptos" w:eastAsia="Aptos" w:hAnsi="Aptos" w:cs="Aptos"/>
                              <w:noProof/>
                              <w:color w:val="FF0000"/>
                              <w:sz w:val="24"/>
                              <w:szCs w:val="24"/>
                            </w:rPr>
                          </w:pPr>
                          <w:r w:rsidRPr="002C0F2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8E06AC" id="_x0000_t202" coordsize="21600,21600" o:spt="202" path="m,l,21600r21600,l21600,xe">
              <v:stroke joinstyle="miter"/>
              <v:path gradientshapeok="t" o:connecttype="rect"/>
            </v:shapetype>
            <v:shape id="Text Box 1" o:spid="_x0000_s1030" type="#_x0000_t202" alt="OFFICIAL" style="position:absolute;margin-left:0;margin-top:0;width:49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fill o:detectmouseclick="t"/>
              <v:textbox style="mso-fit-shape-to-text:t" inset="0,15pt,0,0">
                <w:txbxContent>
                  <w:p w14:paraId="25136596" w14:textId="742CF944" w:rsidR="002C0F2A" w:rsidRPr="002C0F2A" w:rsidRDefault="002C0F2A" w:rsidP="002C0F2A">
                    <w:pPr>
                      <w:spacing w:after="0"/>
                      <w:rPr>
                        <w:rFonts w:ascii="Aptos" w:eastAsia="Aptos" w:hAnsi="Aptos" w:cs="Aptos"/>
                        <w:noProof/>
                        <w:color w:val="FF0000"/>
                        <w:sz w:val="24"/>
                        <w:szCs w:val="24"/>
                      </w:rPr>
                    </w:pPr>
                    <w:r w:rsidRPr="002C0F2A">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0446" w14:textId="09DA497D" w:rsidR="00E36594" w:rsidRPr="00E36594" w:rsidRDefault="002C0F2A" w:rsidP="00627D02">
    <w:pPr>
      <w:pStyle w:val="Header"/>
    </w:pPr>
    <w:r>
      <w:rPr>
        <w:noProof/>
      </w:rPr>
      <mc:AlternateContent>
        <mc:Choice Requires="wps">
          <w:drawing>
            <wp:anchor distT="0" distB="0" distL="0" distR="0" simplePos="0" relativeHeight="251661312" behindDoc="0" locked="0" layoutInCell="1" allowOverlap="1" wp14:anchorId="16420532" wp14:editId="1C1AA22D">
              <wp:simplePos x="635" y="635"/>
              <wp:positionH relativeFrom="page">
                <wp:align>center</wp:align>
              </wp:positionH>
              <wp:positionV relativeFrom="page">
                <wp:align>top</wp:align>
              </wp:positionV>
              <wp:extent cx="622300" cy="452755"/>
              <wp:effectExtent l="0" t="0" r="6350" b="4445"/>
              <wp:wrapNone/>
              <wp:docPr id="54420359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DF5B5DF" w14:textId="064F1644" w:rsidR="002C0F2A" w:rsidRPr="002C0F2A" w:rsidRDefault="002C0F2A" w:rsidP="002C0F2A">
                          <w:pPr>
                            <w:spacing w:after="0"/>
                            <w:rPr>
                              <w:rFonts w:ascii="Aptos" w:eastAsia="Aptos" w:hAnsi="Aptos" w:cs="Aptos"/>
                              <w:noProof/>
                              <w:color w:val="FF0000"/>
                              <w:sz w:val="24"/>
                              <w:szCs w:val="24"/>
                            </w:rPr>
                          </w:pPr>
                          <w:r w:rsidRPr="002C0F2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420532" id="_x0000_t202" coordsize="21600,21600" o:spt="202" path="m,l,21600r21600,l21600,xe">
              <v:stroke joinstyle="miter"/>
              <v:path gradientshapeok="t" o:connecttype="rect"/>
            </v:shapetype>
            <v:shape id="Text Box 4" o:spid="_x0000_s1032" type="#_x0000_t202" alt="OFFICIAL" style="position:absolute;margin-left:0;margin-top:0;width:49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2DQIAABwEAAAOAAAAZHJzL2Uyb0RvYy54bWysU8Fu2zAMvQ/YPwi6L3bSpe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roqNg0CAAAcBAAA&#10;DgAAAAAAAAAAAAAAAAAuAgAAZHJzL2Uyb0RvYy54bWxQSwECLQAUAAYACAAAACEARawYydkAAAAD&#10;AQAADwAAAAAAAAAAAAAAAABnBAAAZHJzL2Rvd25yZXYueG1sUEsFBgAAAAAEAAQA8wAAAG0FAAAA&#10;AA==&#10;" filled="f" stroked="f">
              <v:fill o:detectmouseclick="t"/>
              <v:textbox style="mso-fit-shape-to-text:t" inset="0,15pt,0,0">
                <w:txbxContent>
                  <w:p w14:paraId="6DF5B5DF" w14:textId="064F1644" w:rsidR="002C0F2A" w:rsidRPr="002C0F2A" w:rsidRDefault="002C0F2A" w:rsidP="002C0F2A">
                    <w:pPr>
                      <w:spacing w:after="0"/>
                      <w:rPr>
                        <w:rFonts w:ascii="Aptos" w:eastAsia="Aptos" w:hAnsi="Aptos" w:cs="Aptos"/>
                        <w:noProof/>
                        <w:color w:val="FF0000"/>
                        <w:sz w:val="24"/>
                        <w:szCs w:val="24"/>
                      </w:rPr>
                    </w:pPr>
                    <w:r w:rsidRPr="002C0F2A">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4C6"/>
    <w:multiLevelType w:val="multilevel"/>
    <w:tmpl w:val="2AF0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81615"/>
    <w:multiLevelType w:val="hybridMultilevel"/>
    <w:tmpl w:val="CA8A8684"/>
    <w:lvl w:ilvl="0" w:tplc="FFFFFFFF">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AC85018"/>
    <w:multiLevelType w:val="hybridMultilevel"/>
    <w:tmpl w:val="F4CA83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5EC45BF"/>
    <w:multiLevelType w:val="multilevel"/>
    <w:tmpl w:val="D000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E47C6"/>
    <w:multiLevelType w:val="multilevel"/>
    <w:tmpl w:val="50C0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D64513"/>
    <w:multiLevelType w:val="multilevel"/>
    <w:tmpl w:val="4E14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6727F"/>
    <w:multiLevelType w:val="hybridMultilevel"/>
    <w:tmpl w:val="122691FC"/>
    <w:lvl w:ilvl="0" w:tplc="10090001">
      <w:start w:val="1"/>
      <w:numFmt w:val="bullet"/>
      <w:lvlText w:val=""/>
      <w:lvlJc w:val="left"/>
      <w:pPr>
        <w:ind w:left="463" w:hanging="360"/>
      </w:pPr>
      <w:rPr>
        <w:rFonts w:ascii="Symbol" w:hAnsi="Symbol" w:hint="default"/>
      </w:rPr>
    </w:lvl>
    <w:lvl w:ilvl="1" w:tplc="10090003" w:tentative="1">
      <w:start w:val="1"/>
      <w:numFmt w:val="bullet"/>
      <w:lvlText w:val="o"/>
      <w:lvlJc w:val="left"/>
      <w:pPr>
        <w:ind w:left="1183" w:hanging="360"/>
      </w:pPr>
      <w:rPr>
        <w:rFonts w:ascii="Courier New" w:hAnsi="Courier New" w:cs="Courier New" w:hint="default"/>
      </w:rPr>
    </w:lvl>
    <w:lvl w:ilvl="2" w:tplc="10090005" w:tentative="1">
      <w:start w:val="1"/>
      <w:numFmt w:val="bullet"/>
      <w:lvlText w:val=""/>
      <w:lvlJc w:val="left"/>
      <w:pPr>
        <w:ind w:left="1903" w:hanging="360"/>
      </w:pPr>
      <w:rPr>
        <w:rFonts w:ascii="Wingdings" w:hAnsi="Wingdings" w:hint="default"/>
      </w:rPr>
    </w:lvl>
    <w:lvl w:ilvl="3" w:tplc="10090001" w:tentative="1">
      <w:start w:val="1"/>
      <w:numFmt w:val="bullet"/>
      <w:lvlText w:val=""/>
      <w:lvlJc w:val="left"/>
      <w:pPr>
        <w:ind w:left="2623" w:hanging="360"/>
      </w:pPr>
      <w:rPr>
        <w:rFonts w:ascii="Symbol" w:hAnsi="Symbol" w:hint="default"/>
      </w:rPr>
    </w:lvl>
    <w:lvl w:ilvl="4" w:tplc="10090003" w:tentative="1">
      <w:start w:val="1"/>
      <w:numFmt w:val="bullet"/>
      <w:lvlText w:val="o"/>
      <w:lvlJc w:val="left"/>
      <w:pPr>
        <w:ind w:left="3343" w:hanging="360"/>
      </w:pPr>
      <w:rPr>
        <w:rFonts w:ascii="Courier New" w:hAnsi="Courier New" w:cs="Courier New" w:hint="default"/>
      </w:rPr>
    </w:lvl>
    <w:lvl w:ilvl="5" w:tplc="10090005" w:tentative="1">
      <w:start w:val="1"/>
      <w:numFmt w:val="bullet"/>
      <w:lvlText w:val=""/>
      <w:lvlJc w:val="left"/>
      <w:pPr>
        <w:ind w:left="4063" w:hanging="360"/>
      </w:pPr>
      <w:rPr>
        <w:rFonts w:ascii="Wingdings" w:hAnsi="Wingdings" w:hint="default"/>
      </w:rPr>
    </w:lvl>
    <w:lvl w:ilvl="6" w:tplc="10090001" w:tentative="1">
      <w:start w:val="1"/>
      <w:numFmt w:val="bullet"/>
      <w:lvlText w:val=""/>
      <w:lvlJc w:val="left"/>
      <w:pPr>
        <w:ind w:left="4783" w:hanging="360"/>
      </w:pPr>
      <w:rPr>
        <w:rFonts w:ascii="Symbol" w:hAnsi="Symbol" w:hint="default"/>
      </w:rPr>
    </w:lvl>
    <w:lvl w:ilvl="7" w:tplc="10090003" w:tentative="1">
      <w:start w:val="1"/>
      <w:numFmt w:val="bullet"/>
      <w:lvlText w:val="o"/>
      <w:lvlJc w:val="left"/>
      <w:pPr>
        <w:ind w:left="5503" w:hanging="360"/>
      </w:pPr>
      <w:rPr>
        <w:rFonts w:ascii="Courier New" w:hAnsi="Courier New" w:cs="Courier New" w:hint="default"/>
      </w:rPr>
    </w:lvl>
    <w:lvl w:ilvl="8" w:tplc="10090005" w:tentative="1">
      <w:start w:val="1"/>
      <w:numFmt w:val="bullet"/>
      <w:lvlText w:val=""/>
      <w:lvlJc w:val="left"/>
      <w:pPr>
        <w:ind w:left="6223" w:hanging="360"/>
      </w:pPr>
      <w:rPr>
        <w:rFonts w:ascii="Wingdings" w:hAnsi="Wingdings" w:hint="default"/>
      </w:rPr>
    </w:lvl>
  </w:abstractNum>
  <w:abstractNum w:abstractNumId="7" w15:restartNumberingAfterBreak="0">
    <w:nsid w:val="207B4211"/>
    <w:multiLevelType w:val="hybridMultilevel"/>
    <w:tmpl w:val="DEDC40BC"/>
    <w:lvl w:ilvl="0" w:tplc="2FFA0FA0">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5163CA8"/>
    <w:multiLevelType w:val="multilevel"/>
    <w:tmpl w:val="8308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968BF"/>
    <w:multiLevelType w:val="hybridMultilevel"/>
    <w:tmpl w:val="61AC8D12"/>
    <w:lvl w:ilvl="0" w:tplc="58F04610">
      <w:start w:val="2"/>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21F2F67"/>
    <w:multiLevelType w:val="hybridMultilevel"/>
    <w:tmpl w:val="976EB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367014"/>
    <w:multiLevelType w:val="hybridMultilevel"/>
    <w:tmpl w:val="233C3C68"/>
    <w:lvl w:ilvl="0" w:tplc="5F82875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21216F1"/>
    <w:multiLevelType w:val="multilevel"/>
    <w:tmpl w:val="BE34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0669A4"/>
    <w:multiLevelType w:val="hybridMultilevel"/>
    <w:tmpl w:val="2D964466"/>
    <w:lvl w:ilvl="0" w:tplc="F01C242C">
      <w:start w:val="5"/>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78017907">
    <w:abstractNumId w:val="2"/>
  </w:num>
  <w:num w:numId="2" w16cid:durableId="2056078264">
    <w:abstractNumId w:val="13"/>
  </w:num>
  <w:num w:numId="3" w16cid:durableId="2066291704">
    <w:abstractNumId w:val="9"/>
  </w:num>
  <w:num w:numId="4" w16cid:durableId="999507571">
    <w:abstractNumId w:val="11"/>
  </w:num>
  <w:num w:numId="5" w16cid:durableId="316152179">
    <w:abstractNumId w:val="7"/>
  </w:num>
  <w:num w:numId="6" w16cid:durableId="2094012066">
    <w:abstractNumId w:val="10"/>
  </w:num>
  <w:num w:numId="7" w16cid:durableId="430397154">
    <w:abstractNumId w:val="1"/>
  </w:num>
  <w:num w:numId="8" w16cid:durableId="1108548665">
    <w:abstractNumId w:val="12"/>
  </w:num>
  <w:num w:numId="9" w16cid:durableId="865675752">
    <w:abstractNumId w:val="0"/>
  </w:num>
  <w:num w:numId="10" w16cid:durableId="1804931551">
    <w:abstractNumId w:val="8"/>
  </w:num>
  <w:num w:numId="11" w16cid:durableId="1319387273">
    <w:abstractNumId w:val="3"/>
  </w:num>
  <w:num w:numId="12" w16cid:durableId="166096899">
    <w:abstractNumId w:val="5"/>
  </w:num>
  <w:num w:numId="13" w16cid:durableId="63262626">
    <w:abstractNumId w:val="4"/>
  </w:num>
  <w:num w:numId="14" w16cid:durableId="70466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E4E"/>
    <w:rsid w:val="00010C6B"/>
    <w:rsid w:val="000114B4"/>
    <w:rsid w:val="0001180A"/>
    <w:rsid w:val="00012EB2"/>
    <w:rsid w:val="0002668C"/>
    <w:rsid w:val="00031450"/>
    <w:rsid w:val="00031813"/>
    <w:rsid w:val="00037C02"/>
    <w:rsid w:val="000415A0"/>
    <w:rsid w:val="000509FE"/>
    <w:rsid w:val="00055FE3"/>
    <w:rsid w:val="00057337"/>
    <w:rsid w:val="00061E56"/>
    <w:rsid w:val="000640C4"/>
    <w:rsid w:val="000672F0"/>
    <w:rsid w:val="00075801"/>
    <w:rsid w:val="00077E48"/>
    <w:rsid w:val="00081D10"/>
    <w:rsid w:val="00085459"/>
    <w:rsid w:val="00091267"/>
    <w:rsid w:val="000A0A27"/>
    <w:rsid w:val="000A4DFA"/>
    <w:rsid w:val="000B1FBD"/>
    <w:rsid w:val="000B3158"/>
    <w:rsid w:val="000C44DE"/>
    <w:rsid w:val="000C55AB"/>
    <w:rsid w:val="000C5EEA"/>
    <w:rsid w:val="000C7CB6"/>
    <w:rsid w:val="000D1090"/>
    <w:rsid w:val="000D1DC3"/>
    <w:rsid w:val="000E0FF6"/>
    <w:rsid w:val="000E18B1"/>
    <w:rsid w:val="00100FB3"/>
    <w:rsid w:val="00105836"/>
    <w:rsid w:val="001107CF"/>
    <w:rsid w:val="00116881"/>
    <w:rsid w:val="00117EDA"/>
    <w:rsid w:val="001402ED"/>
    <w:rsid w:val="00180247"/>
    <w:rsid w:val="0018029C"/>
    <w:rsid w:val="001835F2"/>
    <w:rsid w:val="001863E7"/>
    <w:rsid w:val="00191815"/>
    <w:rsid w:val="001A0AB6"/>
    <w:rsid w:val="001A4753"/>
    <w:rsid w:val="001A55FE"/>
    <w:rsid w:val="001B1023"/>
    <w:rsid w:val="001B1596"/>
    <w:rsid w:val="001C3A48"/>
    <w:rsid w:val="001D4E25"/>
    <w:rsid w:val="001D4F06"/>
    <w:rsid w:val="001D5269"/>
    <w:rsid w:val="001E0CE0"/>
    <w:rsid w:val="001F0BF6"/>
    <w:rsid w:val="001F26E5"/>
    <w:rsid w:val="001F3D29"/>
    <w:rsid w:val="001F4AD2"/>
    <w:rsid w:val="002171C1"/>
    <w:rsid w:val="00221B39"/>
    <w:rsid w:val="0022368E"/>
    <w:rsid w:val="0023161E"/>
    <w:rsid w:val="00233408"/>
    <w:rsid w:val="0023405B"/>
    <w:rsid w:val="0023673D"/>
    <w:rsid w:val="0023693C"/>
    <w:rsid w:val="00237248"/>
    <w:rsid w:val="0024063D"/>
    <w:rsid w:val="00264167"/>
    <w:rsid w:val="002747CB"/>
    <w:rsid w:val="00275978"/>
    <w:rsid w:val="00277B33"/>
    <w:rsid w:val="0028215C"/>
    <w:rsid w:val="00284583"/>
    <w:rsid w:val="00296CC3"/>
    <w:rsid w:val="002979E2"/>
    <w:rsid w:val="002A4A0D"/>
    <w:rsid w:val="002A58C2"/>
    <w:rsid w:val="002B75EF"/>
    <w:rsid w:val="002C0817"/>
    <w:rsid w:val="002C0F2A"/>
    <w:rsid w:val="002C2E2C"/>
    <w:rsid w:val="002C2E47"/>
    <w:rsid w:val="002C5155"/>
    <w:rsid w:val="002C7D94"/>
    <w:rsid w:val="002D0B8C"/>
    <w:rsid w:val="002E03DB"/>
    <w:rsid w:val="002E098E"/>
    <w:rsid w:val="002E15C3"/>
    <w:rsid w:val="002E1867"/>
    <w:rsid w:val="002F52F9"/>
    <w:rsid w:val="0030041F"/>
    <w:rsid w:val="003077A3"/>
    <w:rsid w:val="003146E6"/>
    <w:rsid w:val="0032087D"/>
    <w:rsid w:val="00320CBA"/>
    <w:rsid w:val="00322B42"/>
    <w:rsid w:val="00323BA9"/>
    <w:rsid w:val="00331D9A"/>
    <w:rsid w:val="00334DD0"/>
    <w:rsid w:val="00334E79"/>
    <w:rsid w:val="00340EC0"/>
    <w:rsid w:val="00341C4E"/>
    <w:rsid w:val="0034699B"/>
    <w:rsid w:val="00350B02"/>
    <w:rsid w:val="00352889"/>
    <w:rsid w:val="00355958"/>
    <w:rsid w:val="00357E22"/>
    <w:rsid w:val="00366025"/>
    <w:rsid w:val="0037272A"/>
    <w:rsid w:val="00375365"/>
    <w:rsid w:val="003778DC"/>
    <w:rsid w:val="003855D7"/>
    <w:rsid w:val="00385E9B"/>
    <w:rsid w:val="00390C38"/>
    <w:rsid w:val="00392F85"/>
    <w:rsid w:val="00395556"/>
    <w:rsid w:val="003A2E5E"/>
    <w:rsid w:val="003A74D3"/>
    <w:rsid w:val="003B0488"/>
    <w:rsid w:val="003B3A91"/>
    <w:rsid w:val="003C16D5"/>
    <w:rsid w:val="003C23C3"/>
    <w:rsid w:val="003D3A26"/>
    <w:rsid w:val="003D6131"/>
    <w:rsid w:val="003F1B11"/>
    <w:rsid w:val="003F221A"/>
    <w:rsid w:val="003F5962"/>
    <w:rsid w:val="00401243"/>
    <w:rsid w:val="00413395"/>
    <w:rsid w:val="004135D6"/>
    <w:rsid w:val="00414245"/>
    <w:rsid w:val="004219D8"/>
    <w:rsid w:val="00424D4B"/>
    <w:rsid w:val="00425ABD"/>
    <w:rsid w:val="00441B7D"/>
    <w:rsid w:val="004601F5"/>
    <w:rsid w:val="004654DC"/>
    <w:rsid w:val="004674D4"/>
    <w:rsid w:val="00471631"/>
    <w:rsid w:val="004735FA"/>
    <w:rsid w:val="0048786B"/>
    <w:rsid w:val="00497056"/>
    <w:rsid w:val="004A243E"/>
    <w:rsid w:val="004B3D85"/>
    <w:rsid w:val="004D3013"/>
    <w:rsid w:val="004D4768"/>
    <w:rsid w:val="004D515C"/>
    <w:rsid w:val="004D52CD"/>
    <w:rsid w:val="004E23E5"/>
    <w:rsid w:val="004E38E7"/>
    <w:rsid w:val="004E68A9"/>
    <w:rsid w:val="00500726"/>
    <w:rsid w:val="00500D6B"/>
    <w:rsid w:val="00507A0B"/>
    <w:rsid w:val="0051210A"/>
    <w:rsid w:val="0051690D"/>
    <w:rsid w:val="00526E6E"/>
    <w:rsid w:val="00527005"/>
    <w:rsid w:val="00530A29"/>
    <w:rsid w:val="00552EA6"/>
    <w:rsid w:val="00562D32"/>
    <w:rsid w:val="00566899"/>
    <w:rsid w:val="00572606"/>
    <w:rsid w:val="00581943"/>
    <w:rsid w:val="00587286"/>
    <w:rsid w:val="005A39A6"/>
    <w:rsid w:val="005A45B4"/>
    <w:rsid w:val="005A4D2D"/>
    <w:rsid w:val="005A6B38"/>
    <w:rsid w:val="005C1670"/>
    <w:rsid w:val="005D150D"/>
    <w:rsid w:val="005D4646"/>
    <w:rsid w:val="005D51AB"/>
    <w:rsid w:val="005D7F73"/>
    <w:rsid w:val="005E2716"/>
    <w:rsid w:val="005E4E5E"/>
    <w:rsid w:val="005F56CD"/>
    <w:rsid w:val="006013E7"/>
    <w:rsid w:val="00604718"/>
    <w:rsid w:val="00613F8E"/>
    <w:rsid w:val="00617CA4"/>
    <w:rsid w:val="00617DC5"/>
    <w:rsid w:val="0062416C"/>
    <w:rsid w:val="00624731"/>
    <w:rsid w:val="006260F7"/>
    <w:rsid w:val="00627111"/>
    <w:rsid w:val="006272FC"/>
    <w:rsid w:val="00627D02"/>
    <w:rsid w:val="00627D12"/>
    <w:rsid w:val="00634175"/>
    <w:rsid w:val="00636981"/>
    <w:rsid w:val="00645640"/>
    <w:rsid w:val="00650627"/>
    <w:rsid w:val="0065566D"/>
    <w:rsid w:val="0067052C"/>
    <w:rsid w:val="00674282"/>
    <w:rsid w:val="00693BA1"/>
    <w:rsid w:val="006A057B"/>
    <w:rsid w:val="006B1100"/>
    <w:rsid w:val="006C5B5E"/>
    <w:rsid w:val="006D10F8"/>
    <w:rsid w:val="006D131F"/>
    <w:rsid w:val="006D71BA"/>
    <w:rsid w:val="006E49B6"/>
    <w:rsid w:val="006E4CD3"/>
    <w:rsid w:val="006E7428"/>
    <w:rsid w:val="006F1D4C"/>
    <w:rsid w:val="006F64F0"/>
    <w:rsid w:val="00703D5B"/>
    <w:rsid w:val="00710137"/>
    <w:rsid w:val="00720DCE"/>
    <w:rsid w:val="00722611"/>
    <w:rsid w:val="0072402C"/>
    <w:rsid w:val="00724598"/>
    <w:rsid w:val="00724A11"/>
    <w:rsid w:val="00725440"/>
    <w:rsid w:val="00727941"/>
    <w:rsid w:val="00742497"/>
    <w:rsid w:val="00742FCB"/>
    <w:rsid w:val="00764941"/>
    <w:rsid w:val="00770467"/>
    <w:rsid w:val="00770D3D"/>
    <w:rsid w:val="00771EB4"/>
    <w:rsid w:val="00775B0B"/>
    <w:rsid w:val="007803AD"/>
    <w:rsid w:val="007A60EF"/>
    <w:rsid w:val="007B477B"/>
    <w:rsid w:val="007B4F63"/>
    <w:rsid w:val="007C7464"/>
    <w:rsid w:val="007C7FA7"/>
    <w:rsid w:val="007D5303"/>
    <w:rsid w:val="007D58A4"/>
    <w:rsid w:val="007F728E"/>
    <w:rsid w:val="00813AB1"/>
    <w:rsid w:val="008173F8"/>
    <w:rsid w:val="0083094E"/>
    <w:rsid w:val="00844BD4"/>
    <w:rsid w:val="008467D1"/>
    <w:rsid w:val="00850F28"/>
    <w:rsid w:val="00870455"/>
    <w:rsid w:val="008741C3"/>
    <w:rsid w:val="00875EB1"/>
    <w:rsid w:val="00880F7B"/>
    <w:rsid w:val="00886616"/>
    <w:rsid w:val="008957C2"/>
    <w:rsid w:val="008A02FF"/>
    <w:rsid w:val="008A1261"/>
    <w:rsid w:val="008A2387"/>
    <w:rsid w:val="008A267D"/>
    <w:rsid w:val="008B07B0"/>
    <w:rsid w:val="008B4495"/>
    <w:rsid w:val="008B670D"/>
    <w:rsid w:val="008B698B"/>
    <w:rsid w:val="008B772E"/>
    <w:rsid w:val="008C391C"/>
    <w:rsid w:val="008D3B7F"/>
    <w:rsid w:val="008D63CF"/>
    <w:rsid w:val="008E59F9"/>
    <w:rsid w:val="008F0952"/>
    <w:rsid w:val="008F2575"/>
    <w:rsid w:val="008F52ED"/>
    <w:rsid w:val="008F56CB"/>
    <w:rsid w:val="0090305A"/>
    <w:rsid w:val="0093728D"/>
    <w:rsid w:val="00954E84"/>
    <w:rsid w:val="00962D19"/>
    <w:rsid w:val="00980E36"/>
    <w:rsid w:val="00981922"/>
    <w:rsid w:val="0098233A"/>
    <w:rsid w:val="0098BFDF"/>
    <w:rsid w:val="009924BD"/>
    <w:rsid w:val="00993E44"/>
    <w:rsid w:val="009975ED"/>
    <w:rsid w:val="0099794C"/>
    <w:rsid w:val="009A59F0"/>
    <w:rsid w:val="009B6ED2"/>
    <w:rsid w:val="009C662D"/>
    <w:rsid w:val="009E0BB7"/>
    <w:rsid w:val="009E7CC5"/>
    <w:rsid w:val="009F1605"/>
    <w:rsid w:val="00A00C52"/>
    <w:rsid w:val="00A05829"/>
    <w:rsid w:val="00A05F75"/>
    <w:rsid w:val="00A1061C"/>
    <w:rsid w:val="00A15140"/>
    <w:rsid w:val="00A17D22"/>
    <w:rsid w:val="00A20B60"/>
    <w:rsid w:val="00A220D3"/>
    <w:rsid w:val="00A31058"/>
    <w:rsid w:val="00A33199"/>
    <w:rsid w:val="00A4196F"/>
    <w:rsid w:val="00A47620"/>
    <w:rsid w:val="00A47996"/>
    <w:rsid w:val="00A66983"/>
    <w:rsid w:val="00A7359C"/>
    <w:rsid w:val="00A73E16"/>
    <w:rsid w:val="00A74873"/>
    <w:rsid w:val="00A80277"/>
    <w:rsid w:val="00A8184F"/>
    <w:rsid w:val="00A82224"/>
    <w:rsid w:val="00A84B7B"/>
    <w:rsid w:val="00A85AF0"/>
    <w:rsid w:val="00A8712D"/>
    <w:rsid w:val="00A943BA"/>
    <w:rsid w:val="00AA1563"/>
    <w:rsid w:val="00AA41CB"/>
    <w:rsid w:val="00AB5276"/>
    <w:rsid w:val="00AB7C29"/>
    <w:rsid w:val="00AC29BA"/>
    <w:rsid w:val="00AC2BD6"/>
    <w:rsid w:val="00AC2FD9"/>
    <w:rsid w:val="00AC3D2A"/>
    <w:rsid w:val="00AC4561"/>
    <w:rsid w:val="00AD1D3B"/>
    <w:rsid w:val="00AD32C8"/>
    <w:rsid w:val="00AD623D"/>
    <w:rsid w:val="00AD7E4E"/>
    <w:rsid w:val="00AE0075"/>
    <w:rsid w:val="00AE04CD"/>
    <w:rsid w:val="00AE6624"/>
    <w:rsid w:val="00AF16ED"/>
    <w:rsid w:val="00B002AB"/>
    <w:rsid w:val="00B07385"/>
    <w:rsid w:val="00B11FCE"/>
    <w:rsid w:val="00B14698"/>
    <w:rsid w:val="00B16512"/>
    <w:rsid w:val="00B16835"/>
    <w:rsid w:val="00B27F27"/>
    <w:rsid w:val="00B4095A"/>
    <w:rsid w:val="00B4447D"/>
    <w:rsid w:val="00B514B7"/>
    <w:rsid w:val="00B5667B"/>
    <w:rsid w:val="00B63EA1"/>
    <w:rsid w:val="00B67DB4"/>
    <w:rsid w:val="00B73C17"/>
    <w:rsid w:val="00B85C69"/>
    <w:rsid w:val="00B90EFE"/>
    <w:rsid w:val="00B92E82"/>
    <w:rsid w:val="00B960C4"/>
    <w:rsid w:val="00B97EEC"/>
    <w:rsid w:val="00BA596D"/>
    <w:rsid w:val="00BB6D1A"/>
    <w:rsid w:val="00BC3F26"/>
    <w:rsid w:val="00BD01E3"/>
    <w:rsid w:val="00BE196C"/>
    <w:rsid w:val="00BE27E2"/>
    <w:rsid w:val="00BE4B5B"/>
    <w:rsid w:val="00BE7CF2"/>
    <w:rsid w:val="00BF07A2"/>
    <w:rsid w:val="00BF2B2B"/>
    <w:rsid w:val="00BF4B3F"/>
    <w:rsid w:val="00BF7D53"/>
    <w:rsid w:val="00C11CD2"/>
    <w:rsid w:val="00C14190"/>
    <w:rsid w:val="00C14E75"/>
    <w:rsid w:val="00C20AB6"/>
    <w:rsid w:val="00C23569"/>
    <w:rsid w:val="00C24BBC"/>
    <w:rsid w:val="00C36A11"/>
    <w:rsid w:val="00C405CB"/>
    <w:rsid w:val="00C40804"/>
    <w:rsid w:val="00C502FD"/>
    <w:rsid w:val="00C6504E"/>
    <w:rsid w:val="00C67457"/>
    <w:rsid w:val="00C75194"/>
    <w:rsid w:val="00C76376"/>
    <w:rsid w:val="00C779E1"/>
    <w:rsid w:val="00C84C65"/>
    <w:rsid w:val="00C8649C"/>
    <w:rsid w:val="00C96221"/>
    <w:rsid w:val="00CA1C85"/>
    <w:rsid w:val="00CA2BF9"/>
    <w:rsid w:val="00CA3055"/>
    <w:rsid w:val="00CB073A"/>
    <w:rsid w:val="00CB344F"/>
    <w:rsid w:val="00CD71D3"/>
    <w:rsid w:val="00CE43F2"/>
    <w:rsid w:val="00D02D29"/>
    <w:rsid w:val="00D03D70"/>
    <w:rsid w:val="00D12938"/>
    <w:rsid w:val="00D16D52"/>
    <w:rsid w:val="00D228A6"/>
    <w:rsid w:val="00D31C37"/>
    <w:rsid w:val="00D34E7B"/>
    <w:rsid w:val="00D36002"/>
    <w:rsid w:val="00D45628"/>
    <w:rsid w:val="00D46181"/>
    <w:rsid w:val="00D559D0"/>
    <w:rsid w:val="00D579A7"/>
    <w:rsid w:val="00D62632"/>
    <w:rsid w:val="00D64B4E"/>
    <w:rsid w:val="00D65068"/>
    <w:rsid w:val="00D655FE"/>
    <w:rsid w:val="00D80618"/>
    <w:rsid w:val="00D839D9"/>
    <w:rsid w:val="00D90A73"/>
    <w:rsid w:val="00D91880"/>
    <w:rsid w:val="00D93BDD"/>
    <w:rsid w:val="00D95ADF"/>
    <w:rsid w:val="00D96BEB"/>
    <w:rsid w:val="00DA29E7"/>
    <w:rsid w:val="00DA36A9"/>
    <w:rsid w:val="00DA3F41"/>
    <w:rsid w:val="00DD0152"/>
    <w:rsid w:val="00DD1129"/>
    <w:rsid w:val="00DD12A3"/>
    <w:rsid w:val="00DD1A76"/>
    <w:rsid w:val="00DD1BAB"/>
    <w:rsid w:val="00DD1D37"/>
    <w:rsid w:val="00DD2232"/>
    <w:rsid w:val="00DD5AE4"/>
    <w:rsid w:val="00DD62D2"/>
    <w:rsid w:val="00DD658B"/>
    <w:rsid w:val="00DE3C65"/>
    <w:rsid w:val="00DE570B"/>
    <w:rsid w:val="00DF0AC5"/>
    <w:rsid w:val="00DF662B"/>
    <w:rsid w:val="00E00A00"/>
    <w:rsid w:val="00E06911"/>
    <w:rsid w:val="00E10479"/>
    <w:rsid w:val="00E1271E"/>
    <w:rsid w:val="00E15424"/>
    <w:rsid w:val="00E208A5"/>
    <w:rsid w:val="00E342A1"/>
    <w:rsid w:val="00E36594"/>
    <w:rsid w:val="00E51D88"/>
    <w:rsid w:val="00E5251E"/>
    <w:rsid w:val="00E52D54"/>
    <w:rsid w:val="00E70C1A"/>
    <w:rsid w:val="00E710B9"/>
    <w:rsid w:val="00E726C5"/>
    <w:rsid w:val="00E74E26"/>
    <w:rsid w:val="00E77180"/>
    <w:rsid w:val="00E77C7B"/>
    <w:rsid w:val="00E86567"/>
    <w:rsid w:val="00E9349B"/>
    <w:rsid w:val="00EA238B"/>
    <w:rsid w:val="00EA3560"/>
    <w:rsid w:val="00EA4592"/>
    <w:rsid w:val="00EA49FE"/>
    <w:rsid w:val="00EA5DE5"/>
    <w:rsid w:val="00EB2644"/>
    <w:rsid w:val="00EB30DA"/>
    <w:rsid w:val="00EC2C05"/>
    <w:rsid w:val="00EC465D"/>
    <w:rsid w:val="00ED77DC"/>
    <w:rsid w:val="00EE4990"/>
    <w:rsid w:val="00EE69E0"/>
    <w:rsid w:val="00F0512D"/>
    <w:rsid w:val="00F16EFA"/>
    <w:rsid w:val="00F21BDE"/>
    <w:rsid w:val="00F302E1"/>
    <w:rsid w:val="00F35FA2"/>
    <w:rsid w:val="00F42C96"/>
    <w:rsid w:val="00F469F9"/>
    <w:rsid w:val="00F523C1"/>
    <w:rsid w:val="00F54C69"/>
    <w:rsid w:val="00F613E7"/>
    <w:rsid w:val="00F61F45"/>
    <w:rsid w:val="00F63F36"/>
    <w:rsid w:val="00F759BE"/>
    <w:rsid w:val="00F80ACB"/>
    <w:rsid w:val="00F847BA"/>
    <w:rsid w:val="00F87497"/>
    <w:rsid w:val="00F91D75"/>
    <w:rsid w:val="00F95D50"/>
    <w:rsid w:val="00FA16CA"/>
    <w:rsid w:val="00FA5BD1"/>
    <w:rsid w:val="00FC0DCE"/>
    <w:rsid w:val="00FC4DDB"/>
    <w:rsid w:val="00FD57FE"/>
    <w:rsid w:val="00FD6320"/>
    <w:rsid w:val="00FE01E5"/>
    <w:rsid w:val="00FE26BD"/>
    <w:rsid w:val="017D627D"/>
    <w:rsid w:val="01F14F2C"/>
    <w:rsid w:val="04FBBC9E"/>
    <w:rsid w:val="06B3EA1F"/>
    <w:rsid w:val="071EDB9B"/>
    <w:rsid w:val="074E64AB"/>
    <w:rsid w:val="0ADFC308"/>
    <w:rsid w:val="0FFC2729"/>
    <w:rsid w:val="1495B516"/>
    <w:rsid w:val="15235CA0"/>
    <w:rsid w:val="16BD33C8"/>
    <w:rsid w:val="1777A840"/>
    <w:rsid w:val="19B5D7DD"/>
    <w:rsid w:val="1B78B01E"/>
    <w:rsid w:val="1CD7BA4D"/>
    <w:rsid w:val="1D9D8A2B"/>
    <w:rsid w:val="1DB0ED70"/>
    <w:rsid w:val="207A0830"/>
    <w:rsid w:val="215A1D76"/>
    <w:rsid w:val="222B0FF4"/>
    <w:rsid w:val="24CDA4B1"/>
    <w:rsid w:val="2B9CD55C"/>
    <w:rsid w:val="2CD44107"/>
    <w:rsid w:val="2D1D0633"/>
    <w:rsid w:val="2E1C6F58"/>
    <w:rsid w:val="328DFC27"/>
    <w:rsid w:val="3355263F"/>
    <w:rsid w:val="347BD7C6"/>
    <w:rsid w:val="355D2995"/>
    <w:rsid w:val="3B9C8510"/>
    <w:rsid w:val="3BCED9F3"/>
    <w:rsid w:val="3D18CEAC"/>
    <w:rsid w:val="3E748527"/>
    <w:rsid w:val="3F7A02BD"/>
    <w:rsid w:val="444E2007"/>
    <w:rsid w:val="45B15A44"/>
    <w:rsid w:val="45B7B338"/>
    <w:rsid w:val="46B25705"/>
    <w:rsid w:val="473C229F"/>
    <w:rsid w:val="480DFBC9"/>
    <w:rsid w:val="488450F0"/>
    <w:rsid w:val="4BCCEA26"/>
    <w:rsid w:val="4BE4019E"/>
    <w:rsid w:val="4EC62F50"/>
    <w:rsid w:val="4FC85B01"/>
    <w:rsid w:val="515CE5E1"/>
    <w:rsid w:val="53787BF9"/>
    <w:rsid w:val="5580F388"/>
    <w:rsid w:val="596907DC"/>
    <w:rsid w:val="62053929"/>
    <w:rsid w:val="6364B08A"/>
    <w:rsid w:val="660E2378"/>
    <w:rsid w:val="68BA233E"/>
    <w:rsid w:val="6BA6688C"/>
    <w:rsid w:val="6F8B801D"/>
    <w:rsid w:val="73FCB00F"/>
    <w:rsid w:val="77BC5BBA"/>
    <w:rsid w:val="7B938BDC"/>
    <w:rsid w:val="7D98BC1E"/>
    <w:rsid w:val="7E6B50BE"/>
    <w:rsid w:val="7ED7ACB0"/>
    <w:rsid w:val="7F1ED94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A59F9"/>
  <w15:docId w15:val="{A91230C0-5DBC-4BD5-AC0C-92B46EAF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D02"/>
    <w:pPr>
      <w:spacing w:before="120" w:after="120" w:line="240" w:lineRule="auto"/>
    </w:pPr>
    <w:rPr>
      <w:rFonts w:ascii="Calibri" w:eastAsiaTheme="minorEastAsia" w:hAnsi="Calibri"/>
      <w:lang w:val="en-CA"/>
    </w:rPr>
  </w:style>
  <w:style w:type="paragraph" w:styleId="Heading1">
    <w:name w:val="heading 1"/>
    <w:basedOn w:val="Normal"/>
    <w:next w:val="Normal"/>
    <w:link w:val="Heading1Char"/>
    <w:uiPriority w:val="9"/>
    <w:qFormat/>
    <w:rsid w:val="00627D02"/>
    <w:pPr>
      <w:keepNext/>
      <w:keepLines/>
      <w:spacing w:before="240"/>
      <w:outlineLvl w:val="0"/>
    </w:pPr>
    <w:rPr>
      <w:rFonts w:eastAsiaTheme="majorEastAsia" w:cstheme="minorHAnsi"/>
      <w:color w:val="365F91" w:themeColor="accent1" w:themeShade="BF"/>
      <w:sz w:val="32"/>
      <w:szCs w:val="32"/>
    </w:rPr>
  </w:style>
  <w:style w:type="paragraph" w:styleId="Heading2">
    <w:name w:val="heading 2"/>
    <w:basedOn w:val="Normal"/>
    <w:next w:val="Normal"/>
    <w:link w:val="Heading2Char"/>
    <w:uiPriority w:val="9"/>
    <w:unhideWhenUsed/>
    <w:qFormat/>
    <w:rsid w:val="00B27F27"/>
    <w:pPr>
      <w:keepNext/>
      <w:keepLines/>
      <w:spacing w:before="40"/>
      <w:outlineLvl w:val="1"/>
    </w:pPr>
    <w:rPr>
      <w:rFonts w:asciiTheme="minorHAnsi" w:eastAsiaTheme="majorEastAsia" w:hAnsiTheme="minorHAnsi" w:cstheme="minorHAns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7E4E"/>
  </w:style>
  <w:style w:type="character" w:customStyle="1" w:styleId="FootnoteTextChar">
    <w:name w:val="Footnote Text Char"/>
    <w:basedOn w:val="DefaultParagraphFont"/>
    <w:link w:val="FootnoteText"/>
    <w:uiPriority w:val="99"/>
    <w:semiHidden/>
    <w:rsid w:val="00AD7E4E"/>
    <w:rPr>
      <w:rFonts w:eastAsiaTheme="minorEastAsia"/>
      <w:sz w:val="24"/>
      <w:szCs w:val="24"/>
    </w:rPr>
  </w:style>
  <w:style w:type="paragraph" w:styleId="CommentText">
    <w:name w:val="annotation text"/>
    <w:basedOn w:val="Normal"/>
    <w:link w:val="CommentTextChar"/>
    <w:uiPriority w:val="99"/>
    <w:unhideWhenUsed/>
    <w:rsid w:val="00B16512"/>
    <w:rPr>
      <w:sz w:val="20"/>
      <w:szCs w:val="20"/>
    </w:rPr>
  </w:style>
  <w:style w:type="character" w:customStyle="1" w:styleId="CommentTextChar">
    <w:name w:val="Comment Text Char"/>
    <w:basedOn w:val="DefaultParagraphFont"/>
    <w:link w:val="CommentText"/>
    <w:uiPriority w:val="99"/>
    <w:rsid w:val="00AD7E4E"/>
    <w:rPr>
      <w:rFonts w:ascii="Calibri" w:eastAsiaTheme="minorEastAsia" w:hAnsi="Calibri"/>
      <w:sz w:val="20"/>
      <w:szCs w:val="20"/>
      <w:lang w:val="en-CA"/>
    </w:rPr>
  </w:style>
  <w:style w:type="paragraph" w:styleId="Title">
    <w:name w:val="Title"/>
    <w:basedOn w:val="Normal"/>
    <w:link w:val="TitleChar"/>
    <w:uiPriority w:val="10"/>
    <w:qFormat/>
    <w:rsid w:val="00322B42"/>
    <w:pPr>
      <w:spacing w:before="480"/>
      <w:jc w:val="center"/>
    </w:pPr>
    <w:rPr>
      <w:rFonts w:eastAsia="MS Mincho" w:cs="Calibri"/>
      <w:b/>
      <w:bCs/>
      <w:sz w:val="66"/>
      <w:szCs w:val="66"/>
    </w:rPr>
  </w:style>
  <w:style w:type="character" w:customStyle="1" w:styleId="TitleChar">
    <w:name w:val="Title Char"/>
    <w:basedOn w:val="DefaultParagraphFont"/>
    <w:link w:val="Title"/>
    <w:uiPriority w:val="10"/>
    <w:rsid w:val="00322B42"/>
    <w:rPr>
      <w:rFonts w:ascii="Calibri" w:eastAsia="MS Mincho" w:hAnsi="Calibri" w:cs="Calibri"/>
      <w:b/>
      <w:bCs/>
      <w:sz w:val="66"/>
      <w:szCs w:val="66"/>
      <w:lang w:val="en-CA"/>
    </w:rPr>
  </w:style>
  <w:style w:type="paragraph" w:styleId="Date">
    <w:name w:val="Date"/>
    <w:basedOn w:val="Normal"/>
    <w:next w:val="Normal"/>
    <w:link w:val="DateChar"/>
    <w:uiPriority w:val="99"/>
    <w:semiHidden/>
    <w:unhideWhenUsed/>
    <w:rsid w:val="00AD7E4E"/>
    <w:rPr>
      <w:rFonts w:ascii="Times New Roman" w:eastAsia="MS Mincho" w:hAnsi="Times New Roman" w:cs="Times New Roman"/>
      <w:lang w:val="en-US"/>
    </w:rPr>
  </w:style>
  <w:style w:type="character" w:customStyle="1" w:styleId="DateChar">
    <w:name w:val="Date Char"/>
    <w:basedOn w:val="DefaultParagraphFont"/>
    <w:link w:val="Date"/>
    <w:uiPriority w:val="99"/>
    <w:semiHidden/>
    <w:rsid w:val="00AD7E4E"/>
    <w:rPr>
      <w:rFonts w:ascii="Times New Roman" w:eastAsia="MS Mincho" w:hAnsi="Times New Roman" w:cs="Times New Roman"/>
      <w:lang w:val="en-US"/>
    </w:rPr>
  </w:style>
  <w:style w:type="character" w:customStyle="1" w:styleId="ListParagraphChar">
    <w:name w:val="List Paragraph Char"/>
    <w:link w:val="ListParagraph"/>
    <w:uiPriority w:val="34"/>
    <w:locked/>
    <w:rsid w:val="00AD7E4E"/>
  </w:style>
  <w:style w:type="paragraph" w:styleId="ListParagraph">
    <w:name w:val="List Paragraph"/>
    <w:basedOn w:val="Normal"/>
    <w:link w:val="ListParagraphChar"/>
    <w:uiPriority w:val="34"/>
    <w:qFormat/>
    <w:rsid w:val="00AD7E4E"/>
    <w:pPr>
      <w:ind w:left="720"/>
      <w:contextualSpacing/>
    </w:pPr>
    <w:rPr>
      <w:rFonts w:eastAsiaTheme="minorHAnsi"/>
    </w:rPr>
  </w:style>
  <w:style w:type="character" w:styleId="FootnoteReference">
    <w:name w:val="footnote reference"/>
    <w:basedOn w:val="DefaultParagraphFont"/>
    <w:uiPriority w:val="99"/>
    <w:semiHidden/>
    <w:unhideWhenUsed/>
    <w:rsid w:val="00AD7E4E"/>
    <w:rPr>
      <w:vertAlign w:val="superscript"/>
    </w:rPr>
  </w:style>
  <w:style w:type="character" w:styleId="CommentReference">
    <w:name w:val="annotation reference"/>
    <w:basedOn w:val="DefaultParagraphFont"/>
    <w:uiPriority w:val="99"/>
    <w:semiHidden/>
    <w:unhideWhenUsed/>
    <w:rsid w:val="00AD7E4E"/>
    <w:rPr>
      <w:sz w:val="16"/>
      <w:szCs w:val="16"/>
    </w:rPr>
  </w:style>
  <w:style w:type="table" w:styleId="TableGrid">
    <w:name w:val="Table Grid"/>
    <w:basedOn w:val="TableNormal"/>
    <w:uiPriority w:val="59"/>
    <w:rsid w:val="00AD7E4E"/>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E4E"/>
    <w:rPr>
      <w:rFonts w:ascii="Tahoma" w:hAnsi="Tahoma" w:cs="Tahoma"/>
      <w:sz w:val="16"/>
      <w:szCs w:val="16"/>
    </w:rPr>
  </w:style>
  <w:style w:type="character" w:customStyle="1" w:styleId="BalloonTextChar">
    <w:name w:val="Balloon Text Char"/>
    <w:basedOn w:val="DefaultParagraphFont"/>
    <w:link w:val="BalloonText"/>
    <w:uiPriority w:val="99"/>
    <w:semiHidden/>
    <w:rsid w:val="00AD7E4E"/>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AC2BD6"/>
    <w:rPr>
      <w:b/>
      <w:bCs/>
    </w:rPr>
  </w:style>
  <w:style w:type="character" w:customStyle="1" w:styleId="CommentSubjectChar">
    <w:name w:val="Comment Subject Char"/>
    <w:basedOn w:val="CommentTextChar"/>
    <w:link w:val="CommentSubject"/>
    <w:uiPriority w:val="99"/>
    <w:semiHidden/>
    <w:rsid w:val="00AC2BD6"/>
    <w:rPr>
      <w:rFonts w:ascii="Calibri" w:eastAsiaTheme="minorEastAsia" w:hAnsi="Calibri"/>
      <w:b/>
      <w:bCs/>
      <w:sz w:val="20"/>
      <w:szCs w:val="20"/>
      <w:lang w:val="en-CA"/>
    </w:rPr>
  </w:style>
  <w:style w:type="paragraph" w:styleId="Header">
    <w:name w:val="header"/>
    <w:basedOn w:val="Normal"/>
    <w:link w:val="HeaderChar"/>
    <w:uiPriority w:val="99"/>
    <w:unhideWhenUsed/>
    <w:rsid w:val="00055FE3"/>
    <w:pPr>
      <w:tabs>
        <w:tab w:val="center" w:pos="4536"/>
        <w:tab w:val="right" w:pos="9072"/>
      </w:tabs>
    </w:pPr>
  </w:style>
  <w:style w:type="character" w:customStyle="1" w:styleId="HeaderChar">
    <w:name w:val="Header Char"/>
    <w:basedOn w:val="DefaultParagraphFont"/>
    <w:link w:val="Header"/>
    <w:uiPriority w:val="99"/>
    <w:rsid w:val="00055FE3"/>
    <w:rPr>
      <w:rFonts w:eastAsiaTheme="minorEastAsia"/>
      <w:sz w:val="24"/>
      <w:szCs w:val="24"/>
    </w:rPr>
  </w:style>
  <w:style w:type="paragraph" w:styleId="Footer">
    <w:name w:val="footer"/>
    <w:basedOn w:val="Normal"/>
    <w:link w:val="FooterChar"/>
    <w:uiPriority w:val="99"/>
    <w:unhideWhenUsed/>
    <w:rsid w:val="00055FE3"/>
    <w:pPr>
      <w:tabs>
        <w:tab w:val="center" w:pos="4536"/>
        <w:tab w:val="right" w:pos="9072"/>
      </w:tabs>
    </w:pPr>
  </w:style>
  <w:style w:type="character" w:customStyle="1" w:styleId="FooterChar">
    <w:name w:val="Footer Char"/>
    <w:basedOn w:val="DefaultParagraphFont"/>
    <w:link w:val="Footer"/>
    <w:uiPriority w:val="99"/>
    <w:rsid w:val="00055FE3"/>
    <w:rPr>
      <w:rFonts w:eastAsiaTheme="minorEastAsia"/>
      <w:sz w:val="24"/>
      <w:szCs w:val="24"/>
    </w:rPr>
  </w:style>
  <w:style w:type="paragraph" w:styleId="Revision">
    <w:name w:val="Revision"/>
    <w:hidden/>
    <w:uiPriority w:val="99"/>
    <w:semiHidden/>
    <w:rsid w:val="00B5667B"/>
    <w:pPr>
      <w:spacing w:after="0" w:line="240" w:lineRule="auto"/>
    </w:pPr>
    <w:rPr>
      <w:rFonts w:eastAsiaTheme="minorEastAsia"/>
      <w:sz w:val="24"/>
      <w:szCs w:val="24"/>
    </w:rPr>
  </w:style>
  <w:style w:type="character" w:styleId="Hyperlink">
    <w:name w:val="Hyperlink"/>
    <w:basedOn w:val="DefaultParagraphFont"/>
    <w:uiPriority w:val="99"/>
    <w:unhideWhenUsed/>
    <w:rsid w:val="00D45628"/>
    <w:rPr>
      <w:color w:val="0000FF" w:themeColor="hyperlink"/>
      <w:u w:val="single"/>
    </w:rPr>
  </w:style>
  <w:style w:type="character" w:customStyle="1" w:styleId="UnresolvedMention1">
    <w:name w:val="Unresolved Mention1"/>
    <w:basedOn w:val="DefaultParagraphFont"/>
    <w:uiPriority w:val="99"/>
    <w:semiHidden/>
    <w:unhideWhenUsed/>
    <w:rsid w:val="00D45628"/>
    <w:rPr>
      <w:color w:val="605E5C"/>
      <w:shd w:val="clear" w:color="auto" w:fill="E1DFDD"/>
    </w:rPr>
  </w:style>
  <w:style w:type="character" w:customStyle="1" w:styleId="UnresolvedMention2">
    <w:name w:val="Unresolved Mention2"/>
    <w:basedOn w:val="DefaultParagraphFont"/>
    <w:uiPriority w:val="99"/>
    <w:semiHidden/>
    <w:unhideWhenUsed/>
    <w:rsid w:val="00037C02"/>
    <w:rPr>
      <w:color w:val="605E5C"/>
      <w:shd w:val="clear" w:color="auto" w:fill="E1DFDD"/>
    </w:rPr>
  </w:style>
  <w:style w:type="character" w:customStyle="1" w:styleId="Heading1Char">
    <w:name w:val="Heading 1 Char"/>
    <w:basedOn w:val="DefaultParagraphFont"/>
    <w:link w:val="Heading1"/>
    <w:uiPriority w:val="9"/>
    <w:rsid w:val="00627D02"/>
    <w:rPr>
      <w:rFonts w:eastAsiaTheme="majorEastAsia" w:cstheme="minorHAnsi"/>
      <w:color w:val="365F91" w:themeColor="accent1" w:themeShade="BF"/>
      <w:sz w:val="32"/>
      <w:szCs w:val="32"/>
      <w:lang w:val="en-CA"/>
    </w:rPr>
  </w:style>
  <w:style w:type="character" w:customStyle="1" w:styleId="Heading2Char">
    <w:name w:val="Heading 2 Char"/>
    <w:basedOn w:val="DefaultParagraphFont"/>
    <w:link w:val="Heading2"/>
    <w:uiPriority w:val="9"/>
    <w:rsid w:val="00B27F27"/>
    <w:rPr>
      <w:rFonts w:eastAsiaTheme="majorEastAsia" w:cstheme="minorHAnsi"/>
      <w:b/>
      <w:sz w:val="26"/>
      <w:szCs w:val="26"/>
      <w:lang w:val="en-CA"/>
    </w:rPr>
  </w:style>
  <w:style w:type="paragraph" w:styleId="Subtitle">
    <w:name w:val="Subtitle"/>
    <w:basedOn w:val="Normal"/>
    <w:next w:val="Normal"/>
    <w:link w:val="SubtitleChar"/>
    <w:uiPriority w:val="11"/>
    <w:qFormat/>
    <w:rsid w:val="00322B42"/>
    <w:pPr>
      <w:ind w:right="-850"/>
      <w:jc w:val="center"/>
    </w:pPr>
    <w:rPr>
      <w:rFonts w:eastAsia="MS Mincho" w:cstheme="minorHAnsi"/>
      <w:b/>
      <w:bCs/>
      <w:kern w:val="36"/>
      <w:sz w:val="46"/>
      <w:szCs w:val="46"/>
      <w:lang w:val="en-US" w:eastAsia="en-CA"/>
    </w:rPr>
  </w:style>
  <w:style w:type="character" w:customStyle="1" w:styleId="SubtitleChar">
    <w:name w:val="Subtitle Char"/>
    <w:basedOn w:val="DefaultParagraphFont"/>
    <w:link w:val="Subtitle"/>
    <w:uiPriority w:val="11"/>
    <w:rsid w:val="00322B42"/>
    <w:rPr>
      <w:rFonts w:ascii="Calibri" w:eastAsia="MS Mincho" w:hAnsi="Calibri" w:cstheme="minorHAnsi"/>
      <w:b/>
      <w:bCs/>
      <w:kern w:val="36"/>
      <w:sz w:val="46"/>
      <w:szCs w:val="46"/>
      <w:lang w:val="en-US" w:eastAsia="en-CA"/>
    </w:rPr>
  </w:style>
  <w:style w:type="paragraph" w:styleId="TOCHeading">
    <w:name w:val="TOC Heading"/>
    <w:basedOn w:val="Heading1"/>
    <w:next w:val="Normal"/>
    <w:uiPriority w:val="39"/>
    <w:unhideWhenUsed/>
    <w:qFormat/>
    <w:rsid w:val="00E36594"/>
    <w:pPr>
      <w:spacing w:line="259" w:lineRule="auto"/>
      <w:outlineLvl w:val="9"/>
    </w:pPr>
    <w:rPr>
      <w:lang w:val="en-US"/>
    </w:rPr>
  </w:style>
  <w:style w:type="paragraph" w:styleId="TOC1">
    <w:name w:val="toc 1"/>
    <w:basedOn w:val="Normal"/>
    <w:next w:val="Normal"/>
    <w:autoRedefine/>
    <w:uiPriority w:val="39"/>
    <w:unhideWhenUsed/>
    <w:rsid w:val="00F91D75"/>
    <w:pPr>
      <w:tabs>
        <w:tab w:val="right" w:leader="dot" w:pos="8820"/>
      </w:tabs>
      <w:spacing w:after="100"/>
    </w:pPr>
    <w:rPr>
      <w:noProof/>
    </w:rPr>
  </w:style>
  <w:style w:type="paragraph" w:styleId="TOC2">
    <w:name w:val="toc 2"/>
    <w:basedOn w:val="Normal"/>
    <w:next w:val="Normal"/>
    <w:autoRedefine/>
    <w:uiPriority w:val="39"/>
    <w:unhideWhenUsed/>
    <w:rsid w:val="00B27F27"/>
    <w:pPr>
      <w:tabs>
        <w:tab w:val="right" w:leader="dot" w:pos="8820"/>
      </w:tabs>
      <w:spacing w:after="100"/>
      <w:ind w:left="245"/>
    </w:pPr>
    <w:rPr>
      <w:noProof/>
    </w:rPr>
  </w:style>
  <w:style w:type="character" w:styleId="FollowedHyperlink">
    <w:name w:val="FollowedHyperlink"/>
    <w:basedOn w:val="DefaultParagraphFont"/>
    <w:uiPriority w:val="99"/>
    <w:semiHidden/>
    <w:unhideWhenUsed/>
    <w:rsid w:val="000C44DE"/>
    <w:rPr>
      <w:color w:val="800080" w:themeColor="followedHyperlink"/>
      <w:u w:val="single"/>
    </w:rPr>
  </w:style>
  <w:style w:type="character" w:customStyle="1" w:styleId="ui-provider">
    <w:name w:val="ui-provider"/>
    <w:basedOn w:val="DefaultParagraphFont"/>
    <w:rsid w:val="000C44DE"/>
  </w:style>
  <w:style w:type="character" w:styleId="UnresolvedMention">
    <w:name w:val="Unresolved Mention"/>
    <w:basedOn w:val="DefaultParagraphFont"/>
    <w:uiPriority w:val="99"/>
    <w:semiHidden/>
    <w:unhideWhenUsed/>
    <w:rsid w:val="00A41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734364">
      <w:bodyDiv w:val="1"/>
      <w:marLeft w:val="0"/>
      <w:marRight w:val="0"/>
      <w:marTop w:val="0"/>
      <w:marBottom w:val="0"/>
      <w:divBdr>
        <w:top w:val="none" w:sz="0" w:space="0" w:color="auto"/>
        <w:left w:val="none" w:sz="0" w:space="0" w:color="auto"/>
        <w:bottom w:val="none" w:sz="0" w:space="0" w:color="auto"/>
        <w:right w:val="none" w:sz="0" w:space="0" w:color="auto"/>
      </w:divBdr>
    </w:div>
    <w:div w:id="363942707">
      <w:bodyDiv w:val="1"/>
      <w:marLeft w:val="0"/>
      <w:marRight w:val="0"/>
      <w:marTop w:val="0"/>
      <w:marBottom w:val="0"/>
      <w:divBdr>
        <w:top w:val="none" w:sz="0" w:space="0" w:color="auto"/>
        <w:left w:val="none" w:sz="0" w:space="0" w:color="auto"/>
        <w:bottom w:val="none" w:sz="0" w:space="0" w:color="auto"/>
        <w:right w:val="none" w:sz="0" w:space="0" w:color="auto"/>
      </w:divBdr>
    </w:div>
    <w:div w:id="445933558">
      <w:bodyDiv w:val="1"/>
      <w:marLeft w:val="0"/>
      <w:marRight w:val="0"/>
      <w:marTop w:val="0"/>
      <w:marBottom w:val="0"/>
      <w:divBdr>
        <w:top w:val="none" w:sz="0" w:space="0" w:color="auto"/>
        <w:left w:val="none" w:sz="0" w:space="0" w:color="auto"/>
        <w:bottom w:val="none" w:sz="0" w:space="0" w:color="auto"/>
        <w:right w:val="none" w:sz="0" w:space="0" w:color="auto"/>
      </w:divBdr>
    </w:div>
    <w:div w:id="738328885">
      <w:bodyDiv w:val="1"/>
      <w:marLeft w:val="0"/>
      <w:marRight w:val="0"/>
      <w:marTop w:val="0"/>
      <w:marBottom w:val="0"/>
      <w:divBdr>
        <w:top w:val="none" w:sz="0" w:space="0" w:color="auto"/>
        <w:left w:val="none" w:sz="0" w:space="0" w:color="auto"/>
        <w:bottom w:val="none" w:sz="0" w:space="0" w:color="auto"/>
        <w:right w:val="none" w:sz="0" w:space="0" w:color="auto"/>
      </w:divBdr>
    </w:div>
    <w:div w:id="915019405">
      <w:bodyDiv w:val="1"/>
      <w:marLeft w:val="0"/>
      <w:marRight w:val="0"/>
      <w:marTop w:val="0"/>
      <w:marBottom w:val="0"/>
      <w:divBdr>
        <w:top w:val="none" w:sz="0" w:space="0" w:color="auto"/>
        <w:left w:val="none" w:sz="0" w:space="0" w:color="auto"/>
        <w:bottom w:val="none" w:sz="0" w:space="0" w:color="auto"/>
        <w:right w:val="none" w:sz="0" w:space="0" w:color="auto"/>
      </w:divBdr>
    </w:div>
    <w:div w:id="149567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journals.library.ualberta.ca/jpps/index.php/JPPS/article/view/30215" TargetMode="External"/><Relationship Id="rId39" Type="http://schemas.openxmlformats.org/officeDocument/2006/relationships/fontTable" Target="fontTable.xml"/><Relationship Id="rId21" Type="http://schemas.openxmlformats.org/officeDocument/2006/relationships/hyperlink" Target="mailto:PMABinternationalevaluations@health.gov.au" TargetMode="External"/><Relationship Id="rId34" Type="http://schemas.openxmlformats.org/officeDocument/2006/relationships/hyperlink" Target="https://www.canada.ca/en/health-canada/services/drugs-health-products/drug-products/applications-submissions/guidance-documents/canadian-reference-product-guidance.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Access-MHRA@mhra.gov.uk" TargetMode="External"/><Relationship Id="rId33" Type="http://schemas.openxmlformats.org/officeDocument/2006/relationships/hyperlink" Target="https://www.tga.gov.au/book-page/156-choice-reference-product-bioequivalence-generic-medicines" TargetMode="External"/><Relationship Id="rId38" Type="http://schemas.openxmlformats.org/officeDocument/2006/relationships/hyperlink" Target="https://www.gov.uk/guidance/comparator-products-in-bioequivalencetherapeutic-equivalence-studi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29" Type="http://schemas.openxmlformats.org/officeDocument/2006/relationships/hyperlink" Target="https://canada-preview.adobecqms.net/en/health-canada/services/drugs-health-products/drug-products/applications-submissions/guidance-documents/canadian-reference-product-guidanc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yperlink" Target="mailto:Networking@swissmedic.ch" TargetMode="External"/><Relationship Id="rId32" Type="http://schemas.openxmlformats.org/officeDocument/2006/relationships/hyperlink" Target="https://www.swissmedic.ch/dam/swissmedic/en/dokumente/zulassung/zl_hmv_iv/zl101_00_005d_vwlnleitungfuerdiezulassungvonhumanarzneimittelnmi.pdf.download.pdf/ZL101_00_005e_WL%20Guidance%20document%20Authorisation%20of%20human%20medicine%20with%20new%20active%20substance%20and%20major%20variatio.pdf" TargetMode="External"/><Relationship Id="rId37" Type="http://schemas.openxmlformats.org/officeDocument/2006/relationships/hyperlink" Target="https://www.gov.uk/guidance/comparator-products-in-bioequivalencetherapeutic-equivalence-studies"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HSA_TP_Enquiry@hsa.gov.sg" TargetMode="External"/><Relationship Id="rId28" Type="http://schemas.openxmlformats.org/officeDocument/2006/relationships/hyperlink" Target="https://www.gov.uk/guidance/comparator-products-in-bioequivalencetherapeutic-equivalence-studies" TargetMode="External"/><Relationship Id="rId36" Type="http://schemas.openxmlformats.org/officeDocument/2006/relationships/hyperlink" Target="https://www.swissmedic.ch/dam/swissmedic/en/dokumente/zulassung/zl_hmv_iv/zl101_00_007d_wlanleitungzulassungvonhumanarzneimittelnmitbekann.pdf.download.pdf/ZL101_00_007e_WL%20Guidance%20document%20Authorisation%20of%20human%20medcine%20with%20known%20active%20pharmaceutical%20ingredient.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swissmedic.ch/dam/swissmedic/en/dokumente/zulassung/zl_hmv_iv/zl101_00_007d_wlanleitungzulassungvonhumanarzneimittelnmitbekann.pdf.download.pdf/ZL101_00_007e_WL%20Guidance%20document%20Authorisation%20of%20human%20medcine%20with%20known%20active%20pharmaceutical%20ingredi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ollaboration@hc-sc.gc.ca" TargetMode="External"/><Relationship Id="rId27" Type="http://schemas.openxmlformats.org/officeDocument/2006/relationships/hyperlink" Target="https://www.tga.gov.au/publication/biopharmaceutic-studies" TargetMode="External"/><Relationship Id="rId30" Type="http://schemas.openxmlformats.org/officeDocument/2006/relationships/hyperlink" Target="https://www.hsa.gov.sg/therapeutic-products/guidance-documents" TargetMode="External"/><Relationship Id="rId35" Type="http://schemas.openxmlformats.org/officeDocument/2006/relationships/hyperlink" Target="https://www.hsa.gov.sg/docs/default-source/hprg-tpb/guidances/appendix-10_product-interchangeability-and-biowaiver-request-for-chemical-generic-drug-applications.pdf?sfvrsn=dfa51361_7"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56F95B87EEFC4EA9F933A3184E40C3" ma:contentTypeVersion="2" ma:contentTypeDescription="Create a new document." ma:contentTypeScope="" ma:versionID="877b9ad2fc0ae0e3c3ab0263daa70d13">
  <xsd:schema xmlns:xsd="http://www.w3.org/2001/XMLSchema" xmlns:xs="http://www.w3.org/2001/XMLSchema" xmlns:p="http://schemas.microsoft.com/office/2006/metadata/properties" xmlns:ns2="1152d500-e70f-408f-882f-388a4733b8c6" targetNamespace="http://schemas.microsoft.com/office/2006/metadata/properties" ma:root="true" ma:fieldsID="8a8029d4312897f207c4164022238a72" ns2:_="">
    <xsd:import namespace="1152d500-e70f-408f-882f-388a4733b8c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2d500-e70f-408f-882f-388a4733b8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9A46D-CA59-40AC-AF9F-572F9E45968D}">
  <ds:schemaRefs>
    <ds:schemaRef ds:uri="http://purl.org/dc/dcmitype/"/>
    <ds:schemaRef ds:uri="1152d500-e70f-408f-882f-388a4733b8c6"/>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06D6FA42-DD54-4371-8410-35D61E1AF810}">
  <ds:schemaRefs>
    <ds:schemaRef ds:uri="http://schemas.openxmlformats.org/officeDocument/2006/bibliography"/>
  </ds:schemaRefs>
</ds:datastoreItem>
</file>

<file path=customXml/itemProps3.xml><?xml version="1.0" encoding="utf-8"?>
<ds:datastoreItem xmlns:ds="http://schemas.openxmlformats.org/officeDocument/2006/customXml" ds:itemID="{251A91D7-5022-4DE7-AF9A-4979F62FD83F}">
  <ds:schemaRefs>
    <ds:schemaRef ds:uri="http://schemas.microsoft.com/sharepoint/v3/contenttype/forms"/>
  </ds:schemaRefs>
</ds:datastoreItem>
</file>

<file path=customXml/itemProps4.xml><?xml version="1.0" encoding="utf-8"?>
<ds:datastoreItem xmlns:ds="http://schemas.openxmlformats.org/officeDocument/2006/customXml" ds:itemID="{599D6D28-7FB0-46BC-9505-B5B0ADB70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2d500-e70f-408f-882f-388a4733b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5476</Words>
  <Characters>30133</Characters>
  <Application>Microsoft Office Word</Application>
  <DocSecurity>0</DocSecurity>
  <Lines>1039</Lines>
  <Paragraphs>408</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35280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procedures for the Generic Medicines Work-Sharing Initiative </dc:title>
  <dc:subject>procedures</dc:subject>
  <dc:creator>Therapeutic Goods Administration</dc:creator>
  <cp:keywords/>
  <cp:lastModifiedBy>LACK, Janet</cp:lastModifiedBy>
  <cp:revision>4</cp:revision>
  <cp:lastPrinted>2025-11-19T00:03:00Z</cp:lastPrinted>
  <dcterms:created xsi:type="dcterms:W3CDTF">2025-11-25T21:42:00Z</dcterms:created>
  <dcterms:modified xsi:type="dcterms:W3CDTF">2025-11-25T21:46:00Z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0x0101005556F95B87EEFC4EA9F933A3184E40C3</vt:lpwstr>
  </property>
  <property fmtid="{D5CDD505-2E9C-101B-9397-08002B2CF9AE}" pid="3" name="MSIP_Label_3f9331f7-95a2-472a-92bc-d73219eb516b_Enabled">
    <vt:lpwstr>True</vt:lpwstr>
  </property>
  <property fmtid="{D5CDD505-2E9C-101B-9397-08002B2CF9AE}" pid="4" name="MSIP_Label_3f9331f7-95a2-472a-92bc-d73219eb516b_SiteId">
    <vt:lpwstr>0b11c524-9a1c-4e1b-84cb-6336aefc2243</vt:lpwstr>
  </property>
  <property fmtid="{D5CDD505-2E9C-101B-9397-08002B2CF9AE}" pid="5" name="MSIP_Label_3f9331f7-95a2-472a-92bc-d73219eb516b_Owner">
    <vt:lpwstr>Clare_Louise_RODRIGUES@hsa.gov.sg</vt:lpwstr>
  </property>
  <property fmtid="{D5CDD505-2E9C-101B-9397-08002B2CF9AE}" pid="6" name="MSIP_Label_3f9331f7-95a2-472a-92bc-d73219eb516b_SetDate">
    <vt:lpwstr>2020-08-21T02:23:09.8511503Z</vt:lpwstr>
  </property>
  <property fmtid="{D5CDD505-2E9C-101B-9397-08002B2CF9AE}" pid="7" name="MSIP_Label_3f9331f7-95a2-472a-92bc-d73219eb516b_Name">
    <vt:lpwstr>CONFIDENTIAL</vt:lpwstr>
  </property>
  <property fmtid="{D5CDD505-2E9C-101B-9397-08002B2CF9AE}" pid="8" name="MSIP_Label_3f9331f7-95a2-472a-92bc-d73219eb516b_Application">
    <vt:lpwstr>Microsoft Azure Information Protection</vt:lpwstr>
  </property>
  <property fmtid="{D5CDD505-2E9C-101B-9397-08002B2CF9AE}" pid="9" name="MSIP_Label_3f9331f7-95a2-472a-92bc-d73219eb516b_ActionId">
    <vt:lpwstr>717577c7-6564-4508-9b9e-13f034764256</vt:lpwstr>
  </property>
  <property fmtid="{D5CDD505-2E9C-101B-9397-08002B2CF9AE}" pid="10" name="MSIP_Label_3f9331f7-95a2-472a-92bc-d73219eb516b_Extended_MSFT_Method">
    <vt:lpwstr>Automatic</vt:lpwstr>
  </property>
  <property fmtid="{D5CDD505-2E9C-101B-9397-08002B2CF9AE}" pid="11" name="MSIP_Label_4f288355-fb4c-44cd-b9ca-40cfc2aee5f8_Enabled">
    <vt:lpwstr>True</vt:lpwstr>
  </property>
  <property fmtid="{D5CDD505-2E9C-101B-9397-08002B2CF9AE}" pid="12" name="MSIP_Label_4f288355-fb4c-44cd-b9ca-40cfc2aee5f8_SiteId">
    <vt:lpwstr>0b11c524-9a1c-4e1b-84cb-6336aefc2243</vt:lpwstr>
  </property>
  <property fmtid="{D5CDD505-2E9C-101B-9397-08002B2CF9AE}" pid="13" name="MSIP_Label_4f288355-fb4c-44cd-b9ca-40cfc2aee5f8_Owner">
    <vt:lpwstr>Clare_Louise_RODRIGUES@hsa.gov.sg</vt:lpwstr>
  </property>
  <property fmtid="{D5CDD505-2E9C-101B-9397-08002B2CF9AE}" pid="14" name="MSIP_Label_4f288355-fb4c-44cd-b9ca-40cfc2aee5f8_SetDate">
    <vt:lpwstr>2020-08-21T02:23:09.8511503Z</vt:lpwstr>
  </property>
  <property fmtid="{D5CDD505-2E9C-101B-9397-08002B2CF9AE}" pid="15" name="MSIP_Label_4f288355-fb4c-44cd-b9ca-40cfc2aee5f8_Name">
    <vt:lpwstr>NON-SENSITIVE</vt:lpwstr>
  </property>
  <property fmtid="{D5CDD505-2E9C-101B-9397-08002B2CF9AE}" pid="16" name="MSIP_Label_4f288355-fb4c-44cd-b9ca-40cfc2aee5f8_Application">
    <vt:lpwstr>Microsoft Azure Information Protection</vt:lpwstr>
  </property>
  <property fmtid="{D5CDD505-2E9C-101B-9397-08002B2CF9AE}" pid="17" name="MSIP_Label_4f288355-fb4c-44cd-b9ca-40cfc2aee5f8_ActionId">
    <vt:lpwstr>717577c7-6564-4508-9b9e-13f034764256</vt:lpwstr>
  </property>
  <property fmtid="{D5CDD505-2E9C-101B-9397-08002B2CF9AE}" pid="18" name="MSIP_Label_4f288355-fb4c-44cd-b9ca-40cfc2aee5f8_Parent">
    <vt:lpwstr>3f9331f7-95a2-472a-92bc-d73219eb516b</vt:lpwstr>
  </property>
  <property fmtid="{D5CDD505-2E9C-101B-9397-08002B2CF9AE}" pid="19" name="MSIP_Label_4f288355-fb4c-44cd-b9ca-40cfc2aee5f8_Extended_MSFT_Method">
    <vt:lpwstr>Automatic</vt:lpwstr>
  </property>
  <property fmtid="{D5CDD505-2E9C-101B-9397-08002B2CF9AE}" pid="20" name="SecurityClassification">
    <vt:lpwstr>1;#Official|9d42bd58-89d2-4e46-94bb-80d8f31efd91</vt:lpwstr>
  </property>
  <property fmtid="{D5CDD505-2E9C-101B-9397-08002B2CF9AE}" pid="21" name="AgencyKeywords">
    <vt:lpwstr/>
  </property>
  <property fmtid="{D5CDD505-2E9C-101B-9397-08002B2CF9AE}" pid="22" name="ClassificationContentMarkingHeaderShapeIds">
    <vt:lpwstr>1c28c771,20ebc2aa,557ee628,206fe347</vt:lpwstr>
  </property>
  <property fmtid="{D5CDD505-2E9C-101B-9397-08002B2CF9AE}" pid="23" name="ClassificationContentMarkingHeaderFontProps">
    <vt:lpwstr>#ff0000,12,Aptos</vt:lpwstr>
  </property>
  <property fmtid="{D5CDD505-2E9C-101B-9397-08002B2CF9AE}" pid="24" name="ClassificationContentMarkingHeaderText">
    <vt:lpwstr>OFFICIAL</vt:lpwstr>
  </property>
  <property fmtid="{D5CDD505-2E9C-101B-9397-08002B2CF9AE}" pid="25" name="ClassificationContentMarkingFooterShapeIds">
    <vt:lpwstr>430e75f8,652ab216,20c9b54c,31d1ae3b</vt:lpwstr>
  </property>
  <property fmtid="{D5CDD505-2E9C-101B-9397-08002B2CF9AE}" pid="26" name="ClassificationContentMarkingFooterFontProps">
    <vt:lpwstr>#ff0000,12,Aptos</vt:lpwstr>
  </property>
  <property fmtid="{D5CDD505-2E9C-101B-9397-08002B2CF9AE}" pid="27" name="ClassificationContentMarkingFooterText">
    <vt:lpwstr>OFFICIAL</vt:lpwstr>
  </property>
  <property fmtid="{D5CDD505-2E9C-101B-9397-08002B2CF9AE}" pid="28" name="MSIP_Label_7cd3e8b9-ffed-43a8-b7f4-cc2fa0382d36_Enabled">
    <vt:lpwstr>true</vt:lpwstr>
  </property>
  <property fmtid="{D5CDD505-2E9C-101B-9397-08002B2CF9AE}" pid="29" name="MSIP_Label_7cd3e8b9-ffed-43a8-b7f4-cc2fa0382d36_SetDate">
    <vt:lpwstr>2025-11-19T00:03:44Z</vt:lpwstr>
  </property>
  <property fmtid="{D5CDD505-2E9C-101B-9397-08002B2CF9AE}" pid="30" name="MSIP_Label_7cd3e8b9-ffed-43a8-b7f4-cc2fa0382d36_Method">
    <vt:lpwstr>Privileged</vt:lpwstr>
  </property>
  <property fmtid="{D5CDD505-2E9C-101B-9397-08002B2CF9AE}" pid="31" name="MSIP_Label_7cd3e8b9-ffed-43a8-b7f4-cc2fa0382d36_Name">
    <vt:lpwstr>O</vt:lpwstr>
  </property>
  <property fmtid="{D5CDD505-2E9C-101B-9397-08002B2CF9AE}" pid="32" name="MSIP_Label_7cd3e8b9-ffed-43a8-b7f4-cc2fa0382d36_SiteId">
    <vt:lpwstr>34a3929c-73cf-4954-abfe-147dc3517892</vt:lpwstr>
  </property>
  <property fmtid="{D5CDD505-2E9C-101B-9397-08002B2CF9AE}" pid="33" name="MSIP_Label_7cd3e8b9-ffed-43a8-b7f4-cc2fa0382d36_ActionId">
    <vt:lpwstr>e26864dd-f213-4211-b84e-a2a9e774e325</vt:lpwstr>
  </property>
  <property fmtid="{D5CDD505-2E9C-101B-9397-08002B2CF9AE}" pid="34" name="MSIP_Label_7cd3e8b9-ffed-43a8-b7f4-cc2fa0382d36_ContentBits">
    <vt:lpwstr>3</vt:lpwstr>
  </property>
  <property fmtid="{D5CDD505-2E9C-101B-9397-08002B2CF9AE}" pid="35" name="MSIP_Label_7cd3e8b9-ffed-43a8-b7f4-cc2fa0382d36_Tag">
    <vt:lpwstr>10, 0, 1, 1</vt:lpwstr>
  </property>
</Properties>
</file>