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527BFD" w14:paraId="6424881C" w14:textId="77777777" w:rsidTr="00BF1190">
        <w:trPr>
          <w:trHeight w:val="1863"/>
        </w:trPr>
        <w:tc>
          <w:tcPr>
            <w:tcW w:w="3652" w:type="dxa"/>
            <w:tcBorders>
              <w:top w:val="nil"/>
              <w:left w:val="nil"/>
              <w:bottom w:val="nil"/>
              <w:right w:val="nil"/>
            </w:tcBorders>
          </w:tcPr>
          <w:p w14:paraId="2B227663" w14:textId="631735B9" w:rsidR="008E7846" w:rsidRPr="00527BFD" w:rsidRDefault="00127B93" w:rsidP="00F931CE">
            <w:pPr>
              <w:pStyle w:val="Date"/>
              <w:framePr w:hSpace="0" w:wrap="auto" w:vAnchor="margin" w:hAnchor="text" w:yAlign="inline"/>
              <w:suppressOverlap w:val="0"/>
            </w:pPr>
            <w:r>
              <w:t>November</w:t>
            </w:r>
            <w:r w:rsidRPr="00527BFD">
              <w:t xml:space="preserve"> </w:t>
            </w:r>
            <w:r w:rsidR="00484396" w:rsidRPr="00527BFD">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527BFD" w14:paraId="090389EE" w14:textId="77777777" w:rsidTr="0032583B">
        <w:trPr>
          <w:trHeight w:val="868"/>
        </w:trPr>
        <w:tc>
          <w:tcPr>
            <w:tcW w:w="9079" w:type="dxa"/>
          </w:tcPr>
          <w:p w14:paraId="68867356" w14:textId="02542899" w:rsidR="0032583B" w:rsidRPr="00527BFD" w:rsidRDefault="0032583B" w:rsidP="00F931CE">
            <w:pPr>
              <w:pStyle w:val="Title"/>
              <w:framePr w:hSpace="0" w:wrap="auto" w:vAnchor="margin" w:yAlign="inline"/>
            </w:pPr>
            <w:r w:rsidRPr="00527BFD">
              <w:t>Australian Public Assessment Report for</w:t>
            </w:r>
            <w:r w:rsidR="00AF2313" w:rsidRPr="00527BFD">
              <w:t xml:space="preserve"> </w:t>
            </w:r>
            <w:proofErr w:type="spellStart"/>
            <w:r w:rsidR="00645E5B" w:rsidRPr="00527BFD">
              <w:t>Apretude</w:t>
            </w:r>
            <w:proofErr w:type="spellEnd"/>
          </w:p>
        </w:tc>
      </w:tr>
      <w:tr w:rsidR="0032583B" w:rsidRPr="00527BFD" w14:paraId="103A05D6" w14:textId="77777777" w:rsidTr="0032583B">
        <w:tc>
          <w:tcPr>
            <w:tcW w:w="9079" w:type="dxa"/>
          </w:tcPr>
          <w:p w14:paraId="67CF2136" w14:textId="10945A2E" w:rsidR="0032583B" w:rsidRPr="00527BFD" w:rsidRDefault="00BB75D6" w:rsidP="00F931CE">
            <w:pPr>
              <w:pStyle w:val="Subtitle"/>
              <w:framePr w:hSpace="0" w:wrap="auto" w:vAnchor="margin" w:yAlign="inline"/>
            </w:pPr>
            <w:r w:rsidRPr="00527BFD">
              <w:t>Active ingredient</w:t>
            </w:r>
            <w:r w:rsidR="00F1155F">
              <w:t>s</w:t>
            </w:r>
            <w:r w:rsidR="0032583B" w:rsidRPr="00527BFD">
              <w:t xml:space="preserve">: </w:t>
            </w:r>
            <w:r w:rsidR="00645E5B" w:rsidRPr="00527BFD">
              <w:t>Cabotegravir</w:t>
            </w:r>
            <w:r w:rsidR="00916B19">
              <w:t xml:space="preserve"> (as sodium),</w:t>
            </w:r>
            <w:r w:rsidR="00A44ABA">
              <w:t xml:space="preserve"> and </w:t>
            </w:r>
            <w:r w:rsidR="005F28C3">
              <w:t>c</w:t>
            </w:r>
            <w:r w:rsidR="00916B19">
              <w:t>abotegravir</w:t>
            </w:r>
          </w:p>
        </w:tc>
      </w:tr>
      <w:tr w:rsidR="0032583B" w:rsidRPr="00527BFD" w14:paraId="7079359F" w14:textId="77777777" w:rsidTr="0032583B">
        <w:trPr>
          <w:trHeight w:val="486"/>
        </w:trPr>
        <w:tc>
          <w:tcPr>
            <w:tcW w:w="9079" w:type="dxa"/>
          </w:tcPr>
          <w:p w14:paraId="1CFEA7D4" w14:textId="1383877D" w:rsidR="0032583B" w:rsidRPr="00527BFD" w:rsidRDefault="00460036" w:rsidP="009556D7">
            <w:pPr>
              <w:pStyle w:val="Subtitle"/>
              <w:framePr w:hSpace="0" w:wrap="auto" w:vAnchor="margin" w:yAlign="inline"/>
            </w:pPr>
            <w:r w:rsidRPr="00527BFD">
              <w:t xml:space="preserve">Sponsor: </w:t>
            </w:r>
            <w:proofErr w:type="spellStart"/>
            <w:r w:rsidR="00484396" w:rsidRPr="00527BFD">
              <w:t>ViiV</w:t>
            </w:r>
            <w:proofErr w:type="spellEnd"/>
            <w:r w:rsidR="00484396" w:rsidRPr="00527BFD">
              <w:t xml:space="preserve"> Healthcare Pty Ltd</w:t>
            </w:r>
          </w:p>
        </w:tc>
      </w:tr>
    </w:tbl>
    <w:p w14:paraId="750B0B25" w14:textId="77777777" w:rsidR="008E7846" w:rsidRPr="00527BFD" w:rsidRDefault="008E7846" w:rsidP="0085156D">
      <w:r w:rsidRPr="00527BFD">
        <w:br w:type="page"/>
      </w:r>
    </w:p>
    <w:p w14:paraId="43B78A58" w14:textId="77777777" w:rsidR="008E7846" w:rsidRPr="00527BFD" w:rsidRDefault="008E7846" w:rsidP="008E7846">
      <w:pPr>
        <w:pStyle w:val="NonTOCHeading2"/>
      </w:pPr>
      <w:r w:rsidRPr="00527BFD">
        <w:lastRenderedPageBreak/>
        <w:t>About the Therapeutic Goods Administration (TGA)</w:t>
      </w:r>
    </w:p>
    <w:p w14:paraId="73432E34" w14:textId="77777777" w:rsidR="00AF2313" w:rsidRPr="00527BFD" w:rsidRDefault="00AF2313" w:rsidP="00AF2313">
      <w:pPr>
        <w:pStyle w:val="ListBullet"/>
      </w:pPr>
      <w:r w:rsidRPr="00527BFD">
        <w:t>The Therapeutic Goods Administration (TGA) is part of the Australian Government Department of Health and is responsible for regulating therapeutic goods, including medicines, medical devices, and biologicals.</w:t>
      </w:r>
    </w:p>
    <w:p w14:paraId="735071BB" w14:textId="77777777" w:rsidR="00AF2313" w:rsidRPr="00527BFD" w:rsidRDefault="00AF2313" w:rsidP="00AF2313">
      <w:pPr>
        <w:pStyle w:val="ListBullet"/>
      </w:pPr>
      <w:r w:rsidRPr="00527BFD">
        <w:t xml:space="preserve">The TGA administers the </w:t>
      </w:r>
      <w:r w:rsidRPr="00527BFD">
        <w:rPr>
          <w:i/>
          <w:iCs/>
        </w:rPr>
        <w:t>Therapeutic Goods Act 1989</w:t>
      </w:r>
      <w:r w:rsidRPr="00527BFD">
        <w:t xml:space="preserve"> (the Act), applying a risk management approach designed to ensure therapeutic goods supplied in Australia meet acceptable standards of quality, </w:t>
      </w:r>
      <w:r w:rsidR="00CC5044" w:rsidRPr="00527BFD">
        <w:t>safety,</w:t>
      </w:r>
      <w:r w:rsidRPr="00527BFD">
        <w:t xml:space="preserve"> and efficacy.</w:t>
      </w:r>
    </w:p>
    <w:p w14:paraId="7028020D" w14:textId="77777777" w:rsidR="00AF2313" w:rsidRPr="00527BFD" w:rsidRDefault="00AF2313" w:rsidP="00AF2313">
      <w:pPr>
        <w:pStyle w:val="ListBullet"/>
      </w:pPr>
      <w:r w:rsidRPr="00527BFD">
        <w:t>The work of the TGA is based on applying scientific and clinical expertise to decision-making, to ensure that the benefits to the Australian public outweigh any risks associated with the use of therapeutic goods.</w:t>
      </w:r>
    </w:p>
    <w:p w14:paraId="49E394F3" w14:textId="77777777" w:rsidR="00AF2313" w:rsidRPr="00527BFD" w:rsidRDefault="00AF2313" w:rsidP="00AF2313">
      <w:pPr>
        <w:pStyle w:val="ListBullet"/>
      </w:pPr>
      <w:r w:rsidRPr="00527BFD">
        <w:t>The TGA relies on the public, healthcare professionals and industry to report problems with therapeutic goods. The TGA investigates reports received to determine any necessary regulatory action.</w:t>
      </w:r>
    </w:p>
    <w:p w14:paraId="3AD5FB3B" w14:textId="4A3A8727" w:rsidR="00AF2313" w:rsidRPr="00527BFD" w:rsidRDefault="00AF2313" w:rsidP="00AF2313">
      <w:pPr>
        <w:pStyle w:val="ListBullet"/>
      </w:pPr>
      <w:r w:rsidRPr="00527BFD">
        <w:t xml:space="preserve">To report a problem with a therapeutic good, please see the information on the </w:t>
      </w:r>
      <w:hyperlink r:id="rId8" w:history="1">
        <w:r w:rsidRPr="00527BFD">
          <w:rPr>
            <w:rStyle w:val="Hyperlink"/>
          </w:rPr>
          <w:t>TGA website</w:t>
        </w:r>
      </w:hyperlink>
      <w:r w:rsidRPr="00527BFD">
        <w:t>.</w:t>
      </w:r>
    </w:p>
    <w:p w14:paraId="3E13CED1" w14:textId="77777777" w:rsidR="008E7846" w:rsidRPr="00527BFD" w:rsidRDefault="008E7846" w:rsidP="00875A6B">
      <w:pPr>
        <w:pStyle w:val="NonTOCHeading2"/>
      </w:pPr>
      <w:r w:rsidRPr="00527BFD">
        <w:t xml:space="preserve">About </w:t>
      </w:r>
      <w:proofErr w:type="spellStart"/>
      <w:r w:rsidRPr="00527BFD">
        <w:t>AusPARs</w:t>
      </w:r>
      <w:proofErr w:type="spellEnd"/>
    </w:p>
    <w:p w14:paraId="18F1ED3D" w14:textId="425FC865" w:rsidR="00AF2313" w:rsidRPr="00527BFD" w:rsidRDefault="00AF2313" w:rsidP="00AF2313">
      <w:pPr>
        <w:pStyle w:val="ListBullet"/>
      </w:pPr>
      <w:r w:rsidRPr="00527BFD">
        <w:t>The Australian Public Assessment Report (</w:t>
      </w:r>
      <w:proofErr w:type="spellStart"/>
      <w:r w:rsidRPr="00527BFD">
        <w:t>AusPAR</w:t>
      </w:r>
      <w:proofErr w:type="spellEnd"/>
      <w:r w:rsidRPr="00527BFD">
        <w:t xml:space="preserve">) provides information about the evaluation of a prescription medicine and the considerations that led the TGA to approve or not approve a prescription medicine submission. Further information can be found in </w:t>
      </w:r>
      <w:hyperlink r:id="rId9" w:history="1">
        <w:r w:rsidRPr="00527BFD">
          <w:rPr>
            <w:rStyle w:val="Hyperlink"/>
          </w:rPr>
          <w:t>Australian Public Assessment Report (</w:t>
        </w:r>
        <w:proofErr w:type="spellStart"/>
        <w:r w:rsidRPr="00527BFD">
          <w:rPr>
            <w:rStyle w:val="Hyperlink"/>
          </w:rPr>
          <w:t>AusPAR</w:t>
        </w:r>
        <w:proofErr w:type="spellEnd"/>
        <w:r w:rsidRPr="00527BFD">
          <w:rPr>
            <w:rStyle w:val="Hyperlink"/>
          </w:rPr>
          <w:t>) guidance</w:t>
        </w:r>
      </w:hyperlink>
      <w:r w:rsidRPr="00527BFD">
        <w:t>.</w:t>
      </w:r>
    </w:p>
    <w:p w14:paraId="1426F150" w14:textId="77777777" w:rsidR="00AF2313" w:rsidRPr="00527BFD" w:rsidRDefault="00AF2313" w:rsidP="00AF2313">
      <w:pPr>
        <w:pStyle w:val="ListBullet"/>
      </w:pPr>
      <w:proofErr w:type="spellStart"/>
      <w:r w:rsidRPr="00527BFD">
        <w:t>AusPARs</w:t>
      </w:r>
      <w:proofErr w:type="spellEnd"/>
      <w:r w:rsidRPr="00527BFD">
        <w:t xml:space="preserve"> are prepared and published by the TGA.</w:t>
      </w:r>
    </w:p>
    <w:p w14:paraId="35044DB9" w14:textId="77777777" w:rsidR="00AF2313" w:rsidRPr="00527BFD" w:rsidRDefault="00AF2313" w:rsidP="00AF2313">
      <w:pPr>
        <w:pStyle w:val="ListBullet"/>
      </w:pPr>
      <w:proofErr w:type="spellStart"/>
      <w:r w:rsidRPr="00527BFD">
        <w:t>AusPARs</w:t>
      </w:r>
      <w:proofErr w:type="spellEnd"/>
      <w:r w:rsidRPr="00527BFD">
        <w:t xml:space="preserve"> are static documents that provide information that relates to a submission at a particular point in time.</w:t>
      </w:r>
      <w:r w:rsidR="008110BC" w:rsidRPr="00527BFD">
        <w:t xml:space="preserve"> The publication of an </w:t>
      </w:r>
      <w:proofErr w:type="spellStart"/>
      <w:r w:rsidR="008110BC" w:rsidRPr="00527BFD">
        <w:t>AusPAR</w:t>
      </w:r>
      <w:proofErr w:type="spellEnd"/>
      <w:r w:rsidR="008110BC" w:rsidRPr="00527BFD">
        <w:t xml:space="preserve"> is an important part of the transparency of the TGA’s decision-making process.</w:t>
      </w:r>
    </w:p>
    <w:p w14:paraId="01268CE0" w14:textId="77777777" w:rsidR="00AF2313" w:rsidRPr="00527BFD" w:rsidRDefault="00AF2313" w:rsidP="00AF2313">
      <w:pPr>
        <w:pStyle w:val="ListBullet"/>
      </w:pPr>
      <w:r w:rsidRPr="00527BFD">
        <w:t xml:space="preserve">A new </w:t>
      </w:r>
      <w:proofErr w:type="spellStart"/>
      <w:r w:rsidRPr="00527BFD">
        <w:t>AusPAR</w:t>
      </w:r>
      <w:proofErr w:type="spellEnd"/>
      <w:r w:rsidRPr="00527BFD">
        <w:t xml:space="preserve"> may be provided to reflect changes to indications or major variations to a prescription medicine subject to evaluation by the TGA.</w:t>
      </w:r>
    </w:p>
    <w:p w14:paraId="3EF7189C" w14:textId="77777777" w:rsidR="00924482" w:rsidRPr="00527BFD" w:rsidRDefault="00924482" w:rsidP="00F54B65">
      <w:pPr>
        <w:pStyle w:val="LegalSubheading"/>
        <w:spacing w:before="3120"/>
      </w:pPr>
      <w:r w:rsidRPr="00527BFD">
        <w:t>Copyright</w:t>
      </w:r>
    </w:p>
    <w:p w14:paraId="2877EB19" w14:textId="6F97B3BD" w:rsidR="00924482" w:rsidRPr="00527BFD" w:rsidRDefault="00924482" w:rsidP="00924482">
      <w:pPr>
        <w:pStyle w:val="LegalCopy"/>
      </w:pPr>
      <w:r w:rsidRPr="00527BFD">
        <w:rPr>
          <w:rFonts w:cs="Arial"/>
          <w:lang w:val="en-GB"/>
        </w:rPr>
        <w:t>© Commonwealth of Australia 20</w:t>
      </w:r>
      <w:r w:rsidR="00460036" w:rsidRPr="00527BFD">
        <w:rPr>
          <w:rFonts w:cs="Arial"/>
          <w:lang w:val="en-GB"/>
        </w:rPr>
        <w:t>2</w:t>
      </w:r>
      <w:r w:rsidR="00AF2313" w:rsidRPr="00527BFD">
        <w:rPr>
          <w:rFonts w:cs="Arial"/>
          <w:lang w:val="en-GB"/>
        </w:rPr>
        <w:t>2</w:t>
      </w:r>
      <w:r w:rsidRPr="00527BFD">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527BFD">
        <w:rPr>
          <w:rFonts w:cs="Arial"/>
          <w:i/>
          <w:lang w:val="en-GB"/>
        </w:rPr>
        <w:t>Copyright Act 1968</w:t>
      </w:r>
      <w:r w:rsidRPr="00527BFD">
        <w:rPr>
          <w:rFonts w:cs="Arial"/>
          <w:lang w:val="en-GB"/>
        </w:rPr>
        <w:t xml:space="preserve"> or allowed by this copyright notice, all other rights are </w:t>
      </w:r>
      <w:r w:rsidR="00EB36D6" w:rsidRPr="00527BFD">
        <w:rPr>
          <w:rFonts w:cs="Arial"/>
          <w:lang w:val="en-GB"/>
        </w:rPr>
        <w:t>reserved,</w:t>
      </w:r>
      <w:r w:rsidRPr="00527BFD">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527BFD">
        <w:rPr>
          <w:rFonts w:cs="Arial"/>
          <w:lang w:val="en-GB"/>
        </w:rPr>
        <w:t>Woden</w:t>
      </w:r>
      <w:proofErr w:type="spellEnd"/>
      <w:r w:rsidRPr="00527BFD">
        <w:rPr>
          <w:rFonts w:cs="Arial"/>
          <w:lang w:val="en-GB"/>
        </w:rPr>
        <w:t xml:space="preserve"> ACT 2606 or emailed to &lt;</w:t>
      </w:r>
      <w:hyperlink r:id="rId10" w:history="1">
        <w:r w:rsidRPr="00527BFD">
          <w:rPr>
            <w:rStyle w:val="Hyperlink"/>
            <w:rFonts w:cs="Arial"/>
            <w:lang w:val="en-GB"/>
          </w:rPr>
          <w:t>tga.copyright@tga.gov.au</w:t>
        </w:r>
      </w:hyperlink>
      <w:r w:rsidRPr="00527BFD">
        <w:rPr>
          <w:rFonts w:cs="Arial"/>
        </w:rPr>
        <w:t>&gt;.</w:t>
      </w:r>
    </w:p>
    <w:p w14:paraId="1B82D588" w14:textId="77777777" w:rsidR="00924482" w:rsidRPr="00527BFD" w:rsidRDefault="00924482" w:rsidP="00924482">
      <w:pPr>
        <w:pStyle w:val="LegalCopy"/>
        <w:sectPr w:rsidR="00924482" w:rsidRPr="00527BFD"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054685C5" w14:textId="77777777" w:rsidR="0089635C" w:rsidRPr="00527BFD" w:rsidRDefault="0089635C" w:rsidP="0010788A">
          <w:pPr>
            <w:pStyle w:val="Contents"/>
          </w:pPr>
          <w:r w:rsidRPr="00527BFD">
            <w:t>Contents</w:t>
          </w:r>
        </w:p>
        <w:p w14:paraId="5622A9C1" w14:textId="36A31DF3" w:rsidR="001702C9" w:rsidRDefault="00C525A2">
          <w:pPr>
            <w:pStyle w:val="TOC1"/>
            <w:rPr>
              <w:rFonts w:asciiTheme="minorHAnsi" w:eastAsiaTheme="minorEastAsia" w:hAnsiTheme="minorHAnsi" w:cstheme="minorBidi"/>
              <w:b w:val="0"/>
              <w:noProof/>
              <w:sz w:val="22"/>
              <w:lang w:eastAsia="en-AU"/>
            </w:rPr>
          </w:pPr>
          <w:r w:rsidRPr="00527BFD">
            <w:fldChar w:fldCharType="begin"/>
          </w:r>
          <w:r w:rsidRPr="00527BFD">
            <w:instrText xml:space="preserve"> TOC \h \z \t "Heading 2,1,Heading 3,2" </w:instrText>
          </w:r>
          <w:r w:rsidRPr="00527BFD">
            <w:fldChar w:fldCharType="separate"/>
          </w:r>
          <w:hyperlink w:anchor="_Toc120100532" w:history="1">
            <w:r w:rsidR="001702C9" w:rsidRPr="008F6B79">
              <w:rPr>
                <w:rStyle w:val="Hyperlink"/>
                <w:noProof/>
              </w:rPr>
              <w:t>List of abbreviations</w:t>
            </w:r>
            <w:r w:rsidR="001702C9">
              <w:rPr>
                <w:noProof/>
                <w:webHidden/>
              </w:rPr>
              <w:tab/>
            </w:r>
            <w:r w:rsidR="001702C9">
              <w:rPr>
                <w:noProof/>
                <w:webHidden/>
              </w:rPr>
              <w:fldChar w:fldCharType="begin"/>
            </w:r>
            <w:r w:rsidR="001702C9">
              <w:rPr>
                <w:noProof/>
                <w:webHidden/>
              </w:rPr>
              <w:instrText xml:space="preserve"> PAGEREF _Toc120100532 \h </w:instrText>
            </w:r>
            <w:r w:rsidR="001702C9">
              <w:rPr>
                <w:noProof/>
                <w:webHidden/>
              </w:rPr>
            </w:r>
            <w:r w:rsidR="001702C9">
              <w:rPr>
                <w:noProof/>
                <w:webHidden/>
              </w:rPr>
              <w:fldChar w:fldCharType="separate"/>
            </w:r>
            <w:r w:rsidR="00234D1A">
              <w:rPr>
                <w:noProof/>
                <w:webHidden/>
              </w:rPr>
              <w:t>4</w:t>
            </w:r>
            <w:r w:rsidR="001702C9">
              <w:rPr>
                <w:noProof/>
                <w:webHidden/>
              </w:rPr>
              <w:fldChar w:fldCharType="end"/>
            </w:r>
          </w:hyperlink>
        </w:p>
        <w:p w14:paraId="0AD7342C" w14:textId="6A2AC673" w:rsidR="001702C9" w:rsidRDefault="00234D1A">
          <w:pPr>
            <w:pStyle w:val="TOC1"/>
            <w:rPr>
              <w:rFonts w:asciiTheme="minorHAnsi" w:eastAsiaTheme="minorEastAsia" w:hAnsiTheme="minorHAnsi" w:cstheme="minorBidi"/>
              <w:b w:val="0"/>
              <w:noProof/>
              <w:sz w:val="22"/>
              <w:lang w:eastAsia="en-AU"/>
            </w:rPr>
          </w:pPr>
          <w:hyperlink w:anchor="_Toc120100533" w:history="1">
            <w:r w:rsidR="001702C9" w:rsidRPr="008F6B79">
              <w:rPr>
                <w:rStyle w:val="Hyperlink"/>
                <w:noProof/>
              </w:rPr>
              <w:t>Product submission</w:t>
            </w:r>
            <w:r w:rsidR="001702C9">
              <w:rPr>
                <w:noProof/>
                <w:webHidden/>
              </w:rPr>
              <w:tab/>
            </w:r>
            <w:r w:rsidR="001702C9">
              <w:rPr>
                <w:noProof/>
                <w:webHidden/>
              </w:rPr>
              <w:fldChar w:fldCharType="begin"/>
            </w:r>
            <w:r w:rsidR="001702C9">
              <w:rPr>
                <w:noProof/>
                <w:webHidden/>
              </w:rPr>
              <w:instrText xml:space="preserve"> PAGEREF _Toc120100533 \h </w:instrText>
            </w:r>
            <w:r w:rsidR="001702C9">
              <w:rPr>
                <w:noProof/>
                <w:webHidden/>
              </w:rPr>
            </w:r>
            <w:r w:rsidR="001702C9">
              <w:rPr>
                <w:noProof/>
                <w:webHidden/>
              </w:rPr>
              <w:fldChar w:fldCharType="separate"/>
            </w:r>
            <w:r>
              <w:rPr>
                <w:noProof/>
                <w:webHidden/>
              </w:rPr>
              <w:t>6</w:t>
            </w:r>
            <w:r w:rsidR="001702C9">
              <w:rPr>
                <w:noProof/>
                <w:webHidden/>
              </w:rPr>
              <w:fldChar w:fldCharType="end"/>
            </w:r>
          </w:hyperlink>
        </w:p>
        <w:p w14:paraId="7CF93467" w14:textId="5B5E680E" w:rsidR="001702C9" w:rsidRDefault="00234D1A">
          <w:pPr>
            <w:pStyle w:val="TOC2"/>
            <w:rPr>
              <w:rFonts w:asciiTheme="minorHAnsi" w:eastAsiaTheme="minorEastAsia" w:hAnsiTheme="minorHAnsi" w:cstheme="minorBidi"/>
              <w:b w:val="0"/>
              <w:noProof/>
              <w:sz w:val="22"/>
              <w:lang w:eastAsia="en-AU"/>
            </w:rPr>
          </w:pPr>
          <w:hyperlink w:anchor="_Toc120100534" w:history="1">
            <w:r w:rsidR="001702C9" w:rsidRPr="008F6B79">
              <w:rPr>
                <w:rStyle w:val="Hyperlink"/>
                <w:noProof/>
                <w:lang w:eastAsia="en-AU"/>
              </w:rPr>
              <w:t>Submission details</w:t>
            </w:r>
            <w:r w:rsidR="001702C9">
              <w:rPr>
                <w:noProof/>
                <w:webHidden/>
              </w:rPr>
              <w:tab/>
            </w:r>
            <w:r w:rsidR="001702C9">
              <w:rPr>
                <w:noProof/>
                <w:webHidden/>
              </w:rPr>
              <w:fldChar w:fldCharType="begin"/>
            </w:r>
            <w:r w:rsidR="001702C9">
              <w:rPr>
                <w:noProof/>
                <w:webHidden/>
              </w:rPr>
              <w:instrText xml:space="preserve"> PAGEREF _Toc120100534 \h </w:instrText>
            </w:r>
            <w:r w:rsidR="001702C9">
              <w:rPr>
                <w:noProof/>
                <w:webHidden/>
              </w:rPr>
            </w:r>
            <w:r w:rsidR="001702C9">
              <w:rPr>
                <w:noProof/>
                <w:webHidden/>
              </w:rPr>
              <w:fldChar w:fldCharType="separate"/>
            </w:r>
            <w:r>
              <w:rPr>
                <w:noProof/>
                <w:webHidden/>
              </w:rPr>
              <w:t>6</w:t>
            </w:r>
            <w:r w:rsidR="001702C9">
              <w:rPr>
                <w:noProof/>
                <w:webHidden/>
              </w:rPr>
              <w:fldChar w:fldCharType="end"/>
            </w:r>
          </w:hyperlink>
        </w:p>
        <w:p w14:paraId="7F5C4B00" w14:textId="60A6E378" w:rsidR="001702C9" w:rsidRDefault="00234D1A">
          <w:pPr>
            <w:pStyle w:val="TOC2"/>
            <w:rPr>
              <w:rFonts w:asciiTheme="minorHAnsi" w:eastAsiaTheme="minorEastAsia" w:hAnsiTheme="minorHAnsi" w:cstheme="minorBidi"/>
              <w:b w:val="0"/>
              <w:noProof/>
              <w:sz w:val="22"/>
              <w:lang w:eastAsia="en-AU"/>
            </w:rPr>
          </w:pPr>
          <w:hyperlink w:anchor="_Toc120100535" w:history="1">
            <w:r w:rsidR="001702C9" w:rsidRPr="008F6B79">
              <w:rPr>
                <w:rStyle w:val="Hyperlink"/>
                <w:noProof/>
              </w:rPr>
              <w:t>Product background</w:t>
            </w:r>
            <w:r w:rsidR="001702C9">
              <w:rPr>
                <w:noProof/>
                <w:webHidden/>
              </w:rPr>
              <w:tab/>
            </w:r>
            <w:r w:rsidR="001702C9">
              <w:rPr>
                <w:noProof/>
                <w:webHidden/>
              </w:rPr>
              <w:fldChar w:fldCharType="begin"/>
            </w:r>
            <w:r w:rsidR="001702C9">
              <w:rPr>
                <w:noProof/>
                <w:webHidden/>
              </w:rPr>
              <w:instrText xml:space="preserve"> PAGEREF _Toc120100535 \h </w:instrText>
            </w:r>
            <w:r w:rsidR="001702C9">
              <w:rPr>
                <w:noProof/>
                <w:webHidden/>
              </w:rPr>
            </w:r>
            <w:r w:rsidR="001702C9">
              <w:rPr>
                <w:noProof/>
                <w:webHidden/>
              </w:rPr>
              <w:fldChar w:fldCharType="separate"/>
            </w:r>
            <w:r>
              <w:rPr>
                <w:noProof/>
                <w:webHidden/>
              </w:rPr>
              <w:t>8</w:t>
            </w:r>
            <w:r w:rsidR="001702C9">
              <w:rPr>
                <w:noProof/>
                <w:webHidden/>
              </w:rPr>
              <w:fldChar w:fldCharType="end"/>
            </w:r>
          </w:hyperlink>
        </w:p>
        <w:p w14:paraId="12B63B4F" w14:textId="64030D8E" w:rsidR="001702C9" w:rsidRDefault="00234D1A">
          <w:pPr>
            <w:pStyle w:val="TOC2"/>
            <w:rPr>
              <w:rFonts w:asciiTheme="minorHAnsi" w:eastAsiaTheme="minorEastAsia" w:hAnsiTheme="minorHAnsi" w:cstheme="minorBidi"/>
              <w:b w:val="0"/>
              <w:noProof/>
              <w:sz w:val="22"/>
              <w:lang w:eastAsia="en-AU"/>
            </w:rPr>
          </w:pPr>
          <w:hyperlink w:anchor="_Toc120100536" w:history="1">
            <w:r w:rsidR="001702C9" w:rsidRPr="008F6B79">
              <w:rPr>
                <w:rStyle w:val="Hyperlink"/>
                <w:noProof/>
              </w:rPr>
              <w:t>Regulatory status</w:t>
            </w:r>
            <w:r w:rsidR="001702C9">
              <w:rPr>
                <w:noProof/>
                <w:webHidden/>
              </w:rPr>
              <w:tab/>
            </w:r>
            <w:r w:rsidR="001702C9">
              <w:rPr>
                <w:noProof/>
                <w:webHidden/>
              </w:rPr>
              <w:fldChar w:fldCharType="begin"/>
            </w:r>
            <w:r w:rsidR="001702C9">
              <w:rPr>
                <w:noProof/>
                <w:webHidden/>
              </w:rPr>
              <w:instrText xml:space="preserve"> PAGEREF _Toc120100536 \h </w:instrText>
            </w:r>
            <w:r w:rsidR="001702C9">
              <w:rPr>
                <w:noProof/>
                <w:webHidden/>
              </w:rPr>
            </w:r>
            <w:r w:rsidR="001702C9">
              <w:rPr>
                <w:noProof/>
                <w:webHidden/>
              </w:rPr>
              <w:fldChar w:fldCharType="separate"/>
            </w:r>
            <w:r>
              <w:rPr>
                <w:noProof/>
                <w:webHidden/>
              </w:rPr>
              <w:t>10</w:t>
            </w:r>
            <w:r w:rsidR="001702C9">
              <w:rPr>
                <w:noProof/>
                <w:webHidden/>
              </w:rPr>
              <w:fldChar w:fldCharType="end"/>
            </w:r>
          </w:hyperlink>
        </w:p>
        <w:p w14:paraId="740E065C" w14:textId="4AF5FE67" w:rsidR="001702C9" w:rsidRDefault="00234D1A">
          <w:pPr>
            <w:pStyle w:val="TOC2"/>
            <w:rPr>
              <w:rFonts w:asciiTheme="minorHAnsi" w:eastAsiaTheme="minorEastAsia" w:hAnsiTheme="minorHAnsi" w:cstheme="minorBidi"/>
              <w:b w:val="0"/>
              <w:noProof/>
              <w:sz w:val="22"/>
              <w:lang w:eastAsia="en-AU"/>
            </w:rPr>
          </w:pPr>
          <w:hyperlink w:anchor="_Toc120100537" w:history="1">
            <w:r w:rsidR="001702C9" w:rsidRPr="008F6B79">
              <w:rPr>
                <w:rStyle w:val="Hyperlink"/>
                <w:noProof/>
              </w:rPr>
              <w:t>Product Information</w:t>
            </w:r>
            <w:r w:rsidR="001702C9">
              <w:rPr>
                <w:noProof/>
                <w:webHidden/>
              </w:rPr>
              <w:tab/>
            </w:r>
            <w:r w:rsidR="001702C9">
              <w:rPr>
                <w:noProof/>
                <w:webHidden/>
              </w:rPr>
              <w:fldChar w:fldCharType="begin"/>
            </w:r>
            <w:r w:rsidR="001702C9">
              <w:rPr>
                <w:noProof/>
                <w:webHidden/>
              </w:rPr>
              <w:instrText xml:space="preserve"> PAGEREF _Toc120100537 \h </w:instrText>
            </w:r>
            <w:r w:rsidR="001702C9">
              <w:rPr>
                <w:noProof/>
                <w:webHidden/>
              </w:rPr>
            </w:r>
            <w:r w:rsidR="001702C9">
              <w:rPr>
                <w:noProof/>
                <w:webHidden/>
              </w:rPr>
              <w:fldChar w:fldCharType="separate"/>
            </w:r>
            <w:r>
              <w:rPr>
                <w:noProof/>
                <w:webHidden/>
              </w:rPr>
              <w:t>11</w:t>
            </w:r>
            <w:r w:rsidR="001702C9">
              <w:rPr>
                <w:noProof/>
                <w:webHidden/>
              </w:rPr>
              <w:fldChar w:fldCharType="end"/>
            </w:r>
          </w:hyperlink>
        </w:p>
        <w:p w14:paraId="5916EE42" w14:textId="42E57158" w:rsidR="001702C9" w:rsidRDefault="00234D1A">
          <w:pPr>
            <w:pStyle w:val="TOC1"/>
            <w:rPr>
              <w:rFonts w:asciiTheme="minorHAnsi" w:eastAsiaTheme="minorEastAsia" w:hAnsiTheme="minorHAnsi" w:cstheme="minorBidi"/>
              <w:b w:val="0"/>
              <w:noProof/>
              <w:sz w:val="22"/>
              <w:lang w:eastAsia="en-AU"/>
            </w:rPr>
          </w:pPr>
          <w:hyperlink w:anchor="_Toc120100538" w:history="1">
            <w:r w:rsidR="001702C9" w:rsidRPr="008F6B79">
              <w:rPr>
                <w:rStyle w:val="Hyperlink"/>
                <w:noProof/>
              </w:rPr>
              <w:t>Registration timeline</w:t>
            </w:r>
            <w:r w:rsidR="001702C9">
              <w:rPr>
                <w:noProof/>
                <w:webHidden/>
              </w:rPr>
              <w:tab/>
            </w:r>
            <w:r w:rsidR="001702C9">
              <w:rPr>
                <w:noProof/>
                <w:webHidden/>
              </w:rPr>
              <w:fldChar w:fldCharType="begin"/>
            </w:r>
            <w:r w:rsidR="001702C9">
              <w:rPr>
                <w:noProof/>
                <w:webHidden/>
              </w:rPr>
              <w:instrText xml:space="preserve"> PAGEREF _Toc120100538 \h </w:instrText>
            </w:r>
            <w:r w:rsidR="001702C9">
              <w:rPr>
                <w:noProof/>
                <w:webHidden/>
              </w:rPr>
            </w:r>
            <w:r w:rsidR="001702C9">
              <w:rPr>
                <w:noProof/>
                <w:webHidden/>
              </w:rPr>
              <w:fldChar w:fldCharType="separate"/>
            </w:r>
            <w:r>
              <w:rPr>
                <w:noProof/>
                <w:webHidden/>
              </w:rPr>
              <w:t>11</w:t>
            </w:r>
            <w:r w:rsidR="001702C9">
              <w:rPr>
                <w:noProof/>
                <w:webHidden/>
              </w:rPr>
              <w:fldChar w:fldCharType="end"/>
            </w:r>
          </w:hyperlink>
        </w:p>
        <w:p w14:paraId="5FBF371C" w14:textId="17DF0990" w:rsidR="001702C9" w:rsidRDefault="00234D1A">
          <w:pPr>
            <w:pStyle w:val="TOC1"/>
            <w:rPr>
              <w:rFonts w:asciiTheme="minorHAnsi" w:eastAsiaTheme="minorEastAsia" w:hAnsiTheme="minorHAnsi" w:cstheme="minorBidi"/>
              <w:b w:val="0"/>
              <w:noProof/>
              <w:sz w:val="22"/>
              <w:lang w:eastAsia="en-AU"/>
            </w:rPr>
          </w:pPr>
          <w:hyperlink w:anchor="_Toc120100539" w:history="1">
            <w:r w:rsidR="001702C9" w:rsidRPr="008F6B79">
              <w:rPr>
                <w:rStyle w:val="Hyperlink"/>
                <w:noProof/>
              </w:rPr>
              <w:t>Submission overview and risk/benefit assessment</w:t>
            </w:r>
            <w:r w:rsidR="001702C9">
              <w:rPr>
                <w:noProof/>
                <w:webHidden/>
              </w:rPr>
              <w:tab/>
            </w:r>
            <w:r w:rsidR="001702C9">
              <w:rPr>
                <w:noProof/>
                <w:webHidden/>
              </w:rPr>
              <w:fldChar w:fldCharType="begin"/>
            </w:r>
            <w:r w:rsidR="001702C9">
              <w:rPr>
                <w:noProof/>
                <w:webHidden/>
              </w:rPr>
              <w:instrText xml:space="preserve"> PAGEREF _Toc120100539 \h </w:instrText>
            </w:r>
            <w:r w:rsidR="001702C9">
              <w:rPr>
                <w:noProof/>
                <w:webHidden/>
              </w:rPr>
            </w:r>
            <w:r w:rsidR="001702C9">
              <w:rPr>
                <w:noProof/>
                <w:webHidden/>
              </w:rPr>
              <w:fldChar w:fldCharType="separate"/>
            </w:r>
            <w:r>
              <w:rPr>
                <w:noProof/>
                <w:webHidden/>
              </w:rPr>
              <w:t>12</w:t>
            </w:r>
            <w:r w:rsidR="001702C9">
              <w:rPr>
                <w:noProof/>
                <w:webHidden/>
              </w:rPr>
              <w:fldChar w:fldCharType="end"/>
            </w:r>
          </w:hyperlink>
        </w:p>
        <w:p w14:paraId="45B224E8" w14:textId="50F7E235" w:rsidR="001702C9" w:rsidRDefault="00234D1A">
          <w:pPr>
            <w:pStyle w:val="TOC2"/>
            <w:rPr>
              <w:rFonts w:asciiTheme="minorHAnsi" w:eastAsiaTheme="minorEastAsia" w:hAnsiTheme="minorHAnsi" w:cstheme="minorBidi"/>
              <w:b w:val="0"/>
              <w:noProof/>
              <w:sz w:val="22"/>
              <w:lang w:eastAsia="en-AU"/>
            </w:rPr>
          </w:pPr>
          <w:hyperlink w:anchor="_Toc120100540" w:history="1">
            <w:r w:rsidR="001702C9" w:rsidRPr="008F6B79">
              <w:rPr>
                <w:rStyle w:val="Hyperlink"/>
                <w:noProof/>
              </w:rPr>
              <w:t>Quality</w:t>
            </w:r>
            <w:r w:rsidR="001702C9">
              <w:rPr>
                <w:noProof/>
                <w:webHidden/>
              </w:rPr>
              <w:tab/>
            </w:r>
            <w:r w:rsidR="001702C9">
              <w:rPr>
                <w:noProof/>
                <w:webHidden/>
              </w:rPr>
              <w:fldChar w:fldCharType="begin"/>
            </w:r>
            <w:r w:rsidR="001702C9">
              <w:rPr>
                <w:noProof/>
                <w:webHidden/>
              </w:rPr>
              <w:instrText xml:space="preserve"> PAGEREF _Toc120100540 \h </w:instrText>
            </w:r>
            <w:r w:rsidR="001702C9">
              <w:rPr>
                <w:noProof/>
                <w:webHidden/>
              </w:rPr>
            </w:r>
            <w:r w:rsidR="001702C9">
              <w:rPr>
                <w:noProof/>
                <w:webHidden/>
              </w:rPr>
              <w:fldChar w:fldCharType="separate"/>
            </w:r>
            <w:r>
              <w:rPr>
                <w:noProof/>
                <w:webHidden/>
              </w:rPr>
              <w:t>12</w:t>
            </w:r>
            <w:r w:rsidR="001702C9">
              <w:rPr>
                <w:noProof/>
                <w:webHidden/>
              </w:rPr>
              <w:fldChar w:fldCharType="end"/>
            </w:r>
          </w:hyperlink>
        </w:p>
        <w:p w14:paraId="5E3EBC29" w14:textId="65381B59" w:rsidR="001702C9" w:rsidRDefault="00234D1A">
          <w:pPr>
            <w:pStyle w:val="TOC2"/>
            <w:rPr>
              <w:rFonts w:asciiTheme="minorHAnsi" w:eastAsiaTheme="minorEastAsia" w:hAnsiTheme="minorHAnsi" w:cstheme="minorBidi"/>
              <w:b w:val="0"/>
              <w:noProof/>
              <w:sz w:val="22"/>
              <w:lang w:eastAsia="en-AU"/>
            </w:rPr>
          </w:pPr>
          <w:hyperlink w:anchor="_Toc120100541" w:history="1">
            <w:r w:rsidR="001702C9" w:rsidRPr="008F6B79">
              <w:rPr>
                <w:rStyle w:val="Hyperlink"/>
                <w:noProof/>
              </w:rPr>
              <w:t>Nonclinical</w:t>
            </w:r>
            <w:r w:rsidR="001702C9">
              <w:rPr>
                <w:noProof/>
                <w:webHidden/>
              </w:rPr>
              <w:tab/>
            </w:r>
            <w:r w:rsidR="001702C9">
              <w:rPr>
                <w:noProof/>
                <w:webHidden/>
              </w:rPr>
              <w:fldChar w:fldCharType="begin"/>
            </w:r>
            <w:r w:rsidR="001702C9">
              <w:rPr>
                <w:noProof/>
                <w:webHidden/>
              </w:rPr>
              <w:instrText xml:space="preserve"> PAGEREF _Toc120100541 \h </w:instrText>
            </w:r>
            <w:r w:rsidR="001702C9">
              <w:rPr>
                <w:noProof/>
                <w:webHidden/>
              </w:rPr>
            </w:r>
            <w:r w:rsidR="001702C9">
              <w:rPr>
                <w:noProof/>
                <w:webHidden/>
              </w:rPr>
              <w:fldChar w:fldCharType="separate"/>
            </w:r>
            <w:r>
              <w:rPr>
                <w:noProof/>
                <w:webHidden/>
              </w:rPr>
              <w:t>12</w:t>
            </w:r>
            <w:r w:rsidR="001702C9">
              <w:rPr>
                <w:noProof/>
                <w:webHidden/>
              </w:rPr>
              <w:fldChar w:fldCharType="end"/>
            </w:r>
          </w:hyperlink>
        </w:p>
        <w:p w14:paraId="27C54F9B" w14:textId="2D934E85" w:rsidR="001702C9" w:rsidRDefault="00234D1A">
          <w:pPr>
            <w:pStyle w:val="TOC2"/>
            <w:rPr>
              <w:rFonts w:asciiTheme="minorHAnsi" w:eastAsiaTheme="minorEastAsia" w:hAnsiTheme="minorHAnsi" w:cstheme="minorBidi"/>
              <w:b w:val="0"/>
              <w:noProof/>
              <w:sz w:val="22"/>
              <w:lang w:eastAsia="en-AU"/>
            </w:rPr>
          </w:pPr>
          <w:hyperlink w:anchor="_Toc120100542" w:history="1">
            <w:r w:rsidR="001702C9" w:rsidRPr="008F6B79">
              <w:rPr>
                <w:rStyle w:val="Hyperlink"/>
                <w:noProof/>
              </w:rPr>
              <w:t>Clinical</w:t>
            </w:r>
            <w:r w:rsidR="001702C9">
              <w:rPr>
                <w:noProof/>
                <w:webHidden/>
              </w:rPr>
              <w:tab/>
            </w:r>
            <w:r w:rsidR="001702C9">
              <w:rPr>
                <w:noProof/>
                <w:webHidden/>
              </w:rPr>
              <w:fldChar w:fldCharType="begin"/>
            </w:r>
            <w:r w:rsidR="001702C9">
              <w:rPr>
                <w:noProof/>
                <w:webHidden/>
              </w:rPr>
              <w:instrText xml:space="preserve"> PAGEREF _Toc120100542 \h </w:instrText>
            </w:r>
            <w:r w:rsidR="001702C9">
              <w:rPr>
                <w:noProof/>
                <w:webHidden/>
              </w:rPr>
            </w:r>
            <w:r w:rsidR="001702C9">
              <w:rPr>
                <w:noProof/>
                <w:webHidden/>
              </w:rPr>
              <w:fldChar w:fldCharType="separate"/>
            </w:r>
            <w:r>
              <w:rPr>
                <w:noProof/>
                <w:webHidden/>
              </w:rPr>
              <w:t>13</w:t>
            </w:r>
            <w:r w:rsidR="001702C9">
              <w:rPr>
                <w:noProof/>
                <w:webHidden/>
              </w:rPr>
              <w:fldChar w:fldCharType="end"/>
            </w:r>
          </w:hyperlink>
        </w:p>
        <w:p w14:paraId="578BB790" w14:textId="063C599E" w:rsidR="001702C9" w:rsidRDefault="00234D1A">
          <w:pPr>
            <w:pStyle w:val="TOC2"/>
            <w:rPr>
              <w:rFonts w:asciiTheme="minorHAnsi" w:eastAsiaTheme="minorEastAsia" w:hAnsiTheme="minorHAnsi" w:cstheme="minorBidi"/>
              <w:b w:val="0"/>
              <w:noProof/>
              <w:sz w:val="22"/>
              <w:lang w:eastAsia="en-AU"/>
            </w:rPr>
          </w:pPr>
          <w:hyperlink w:anchor="_Toc120100543" w:history="1">
            <w:r w:rsidR="001702C9" w:rsidRPr="008F6B79">
              <w:rPr>
                <w:rStyle w:val="Hyperlink"/>
                <w:noProof/>
                <w:lang w:eastAsia="en-AU"/>
              </w:rPr>
              <w:t>Risk management plan</w:t>
            </w:r>
            <w:r w:rsidR="001702C9">
              <w:rPr>
                <w:noProof/>
                <w:webHidden/>
              </w:rPr>
              <w:tab/>
            </w:r>
            <w:r w:rsidR="001702C9">
              <w:rPr>
                <w:noProof/>
                <w:webHidden/>
              </w:rPr>
              <w:fldChar w:fldCharType="begin"/>
            </w:r>
            <w:r w:rsidR="001702C9">
              <w:rPr>
                <w:noProof/>
                <w:webHidden/>
              </w:rPr>
              <w:instrText xml:space="preserve"> PAGEREF _Toc120100543 \h </w:instrText>
            </w:r>
            <w:r w:rsidR="001702C9">
              <w:rPr>
                <w:noProof/>
                <w:webHidden/>
              </w:rPr>
            </w:r>
            <w:r w:rsidR="001702C9">
              <w:rPr>
                <w:noProof/>
                <w:webHidden/>
              </w:rPr>
              <w:fldChar w:fldCharType="separate"/>
            </w:r>
            <w:r>
              <w:rPr>
                <w:noProof/>
                <w:webHidden/>
              </w:rPr>
              <w:t>48</w:t>
            </w:r>
            <w:r w:rsidR="001702C9">
              <w:rPr>
                <w:noProof/>
                <w:webHidden/>
              </w:rPr>
              <w:fldChar w:fldCharType="end"/>
            </w:r>
          </w:hyperlink>
        </w:p>
        <w:p w14:paraId="260DE961" w14:textId="35C7E96D" w:rsidR="001702C9" w:rsidRDefault="00234D1A">
          <w:pPr>
            <w:pStyle w:val="TOC2"/>
            <w:rPr>
              <w:rFonts w:asciiTheme="minorHAnsi" w:eastAsiaTheme="minorEastAsia" w:hAnsiTheme="minorHAnsi" w:cstheme="minorBidi"/>
              <w:b w:val="0"/>
              <w:noProof/>
              <w:sz w:val="22"/>
              <w:lang w:eastAsia="en-AU"/>
            </w:rPr>
          </w:pPr>
          <w:hyperlink w:anchor="_Toc120100544" w:history="1">
            <w:r w:rsidR="001702C9" w:rsidRPr="008F6B79">
              <w:rPr>
                <w:rStyle w:val="Hyperlink"/>
                <w:noProof/>
              </w:rPr>
              <w:t>Risk-benefit analysis</w:t>
            </w:r>
            <w:r w:rsidR="001702C9">
              <w:rPr>
                <w:noProof/>
                <w:webHidden/>
              </w:rPr>
              <w:tab/>
            </w:r>
            <w:r w:rsidR="001702C9">
              <w:rPr>
                <w:noProof/>
                <w:webHidden/>
              </w:rPr>
              <w:fldChar w:fldCharType="begin"/>
            </w:r>
            <w:r w:rsidR="001702C9">
              <w:rPr>
                <w:noProof/>
                <w:webHidden/>
              </w:rPr>
              <w:instrText xml:space="preserve"> PAGEREF _Toc120100544 \h </w:instrText>
            </w:r>
            <w:r w:rsidR="001702C9">
              <w:rPr>
                <w:noProof/>
                <w:webHidden/>
              </w:rPr>
            </w:r>
            <w:r w:rsidR="001702C9">
              <w:rPr>
                <w:noProof/>
                <w:webHidden/>
              </w:rPr>
              <w:fldChar w:fldCharType="separate"/>
            </w:r>
            <w:r>
              <w:rPr>
                <w:noProof/>
                <w:webHidden/>
              </w:rPr>
              <w:t>50</w:t>
            </w:r>
            <w:r w:rsidR="001702C9">
              <w:rPr>
                <w:noProof/>
                <w:webHidden/>
              </w:rPr>
              <w:fldChar w:fldCharType="end"/>
            </w:r>
          </w:hyperlink>
        </w:p>
        <w:p w14:paraId="7EBEEE73" w14:textId="5AF7121F" w:rsidR="001702C9" w:rsidRDefault="00234D1A">
          <w:pPr>
            <w:pStyle w:val="TOC1"/>
            <w:rPr>
              <w:rFonts w:asciiTheme="minorHAnsi" w:eastAsiaTheme="minorEastAsia" w:hAnsiTheme="minorHAnsi" w:cstheme="minorBidi"/>
              <w:b w:val="0"/>
              <w:noProof/>
              <w:sz w:val="22"/>
              <w:lang w:eastAsia="en-AU"/>
            </w:rPr>
          </w:pPr>
          <w:hyperlink w:anchor="_Toc120100545" w:history="1">
            <w:r w:rsidR="001702C9" w:rsidRPr="008F6B79">
              <w:rPr>
                <w:rStyle w:val="Hyperlink"/>
                <w:noProof/>
              </w:rPr>
              <w:t>Outcome</w:t>
            </w:r>
            <w:r w:rsidR="001702C9">
              <w:rPr>
                <w:noProof/>
                <w:webHidden/>
              </w:rPr>
              <w:tab/>
            </w:r>
            <w:r w:rsidR="001702C9">
              <w:rPr>
                <w:noProof/>
                <w:webHidden/>
              </w:rPr>
              <w:fldChar w:fldCharType="begin"/>
            </w:r>
            <w:r w:rsidR="001702C9">
              <w:rPr>
                <w:noProof/>
                <w:webHidden/>
              </w:rPr>
              <w:instrText xml:space="preserve"> PAGEREF _Toc120100545 \h </w:instrText>
            </w:r>
            <w:r w:rsidR="001702C9">
              <w:rPr>
                <w:noProof/>
                <w:webHidden/>
              </w:rPr>
            </w:r>
            <w:r w:rsidR="001702C9">
              <w:rPr>
                <w:noProof/>
                <w:webHidden/>
              </w:rPr>
              <w:fldChar w:fldCharType="separate"/>
            </w:r>
            <w:r>
              <w:rPr>
                <w:noProof/>
                <w:webHidden/>
              </w:rPr>
              <w:t>56</w:t>
            </w:r>
            <w:r w:rsidR="001702C9">
              <w:rPr>
                <w:noProof/>
                <w:webHidden/>
              </w:rPr>
              <w:fldChar w:fldCharType="end"/>
            </w:r>
          </w:hyperlink>
        </w:p>
        <w:p w14:paraId="7DCEA52A" w14:textId="58A827B4" w:rsidR="001702C9" w:rsidRDefault="00234D1A">
          <w:pPr>
            <w:pStyle w:val="TOC2"/>
            <w:rPr>
              <w:rFonts w:asciiTheme="minorHAnsi" w:eastAsiaTheme="minorEastAsia" w:hAnsiTheme="minorHAnsi" w:cstheme="minorBidi"/>
              <w:b w:val="0"/>
              <w:noProof/>
              <w:sz w:val="22"/>
              <w:lang w:eastAsia="en-AU"/>
            </w:rPr>
          </w:pPr>
          <w:hyperlink w:anchor="_Toc120100546" w:history="1">
            <w:r w:rsidR="001702C9" w:rsidRPr="008F6B79">
              <w:rPr>
                <w:rStyle w:val="Hyperlink"/>
                <w:noProof/>
              </w:rPr>
              <w:t>Specific conditions of registration applying to these goods</w:t>
            </w:r>
            <w:r w:rsidR="001702C9">
              <w:rPr>
                <w:noProof/>
                <w:webHidden/>
              </w:rPr>
              <w:tab/>
            </w:r>
            <w:r w:rsidR="001702C9">
              <w:rPr>
                <w:noProof/>
                <w:webHidden/>
              </w:rPr>
              <w:fldChar w:fldCharType="begin"/>
            </w:r>
            <w:r w:rsidR="001702C9">
              <w:rPr>
                <w:noProof/>
                <w:webHidden/>
              </w:rPr>
              <w:instrText xml:space="preserve"> PAGEREF _Toc120100546 \h </w:instrText>
            </w:r>
            <w:r w:rsidR="001702C9">
              <w:rPr>
                <w:noProof/>
                <w:webHidden/>
              </w:rPr>
            </w:r>
            <w:r w:rsidR="001702C9">
              <w:rPr>
                <w:noProof/>
                <w:webHidden/>
              </w:rPr>
              <w:fldChar w:fldCharType="separate"/>
            </w:r>
            <w:r>
              <w:rPr>
                <w:noProof/>
                <w:webHidden/>
              </w:rPr>
              <w:t>56</w:t>
            </w:r>
            <w:r w:rsidR="001702C9">
              <w:rPr>
                <w:noProof/>
                <w:webHidden/>
              </w:rPr>
              <w:fldChar w:fldCharType="end"/>
            </w:r>
          </w:hyperlink>
        </w:p>
        <w:p w14:paraId="7BA331F8" w14:textId="055C5C33" w:rsidR="001702C9" w:rsidRDefault="00234D1A">
          <w:pPr>
            <w:pStyle w:val="TOC1"/>
            <w:rPr>
              <w:rFonts w:asciiTheme="minorHAnsi" w:eastAsiaTheme="minorEastAsia" w:hAnsiTheme="minorHAnsi" w:cstheme="minorBidi"/>
              <w:b w:val="0"/>
              <w:noProof/>
              <w:sz w:val="22"/>
              <w:lang w:eastAsia="en-AU"/>
            </w:rPr>
          </w:pPr>
          <w:hyperlink w:anchor="_Toc120100547" w:history="1">
            <w:r w:rsidR="001702C9" w:rsidRPr="008F6B79">
              <w:rPr>
                <w:rStyle w:val="Hyperlink"/>
                <w:noProof/>
              </w:rPr>
              <w:t>Attachment 1. Product Information</w:t>
            </w:r>
            <w:r w:rsidR="001702C9">
              <w:rPr>
                <w:noProof/>
                <w:webHidden/>
              </w:rPr>
              <w:tab/>
            </w:r>
            <w:r w:rsidR="001702C9">
              <w:rPr>
                <w:noProof/>
                <w:webHidden/>
              </w:rPr>
              <w:fldChar w:fldCharType="begin"/>
            </w:r>
            <w:r w:rsidR="001702C9">
              <w:rPr>
                <w:noProof/>
                <w:webHidden/>
              </w:rPr>
              <w:instrText xml:space="preserve"> PAGEREF _Toc120100547 \h </w:instrText>
            </w:r>
            <w:r w:rsidR="001702C9">
              <w:rPr>
                <w:noProof/>
                <w:webHidden/>
              </w:rPr>
            </w:r>
            <w:r w:rsidR="001702C9">
              <w:rPr>
                <w:noProof/>
                <w:webHidden/>
              </w:rPr>
              <w:fldChar w:fldCharType="separate"/>
            </w:r>
            <w:r>
              <w:rPr>
                <w:noProof/>
                <w:webHidden/>
              </w:rPr>
              <w:t>57</w:t>
            </w:r>
            <w:r w:rsidR="001702C9">
              <w:rPr>
                <w:noProof/>
                <w:webHidden/>
              </w:rPr>
              <w:fldChar w:fldCharType="end"/>
            </w:r>
          </w:hyperlink>
        </w:p>
        <w:p w14:paraId="2374035F" w14:textId="3EC0DEB8" w:rsidR="003A7F6C" w:rsidRPr="00527BFD" w:rsidRDefault="00C525A2" w:rsidP="00EB36D6">
          <w:r w:rsidRPr="00527BFD">
            <w:fldChar w:fldCharType="end"/>
          </w:r>
        </w:p>
      </w:sdtContent>
    </w:sdt>
    <w:bookmarkStart w:id="2" w:name="_Toc314842482" w:displacedByCustomXml="prev"/>
    <w:p w14:paraId="34B21DEB" w14:textId="77777777" w:rsidR="00FD119B" w:rsidRPr="00527BFD" w:rsidRDefault="00FD119B">
      <w:pPr>
        <w:spacing w:before="0" w:after="200" w:line="0" w:lineRule="auto"/>
      </w:pPr>
      <w:r w:rsidRPr="00527BFD">
        <w:br w:type="page"/>
      </w:r>
    </w:p>
    <w:p w14:paraId="30328202" w14:textId="77777777" w:rsidR="00AF2313" w:rsidRPr="00527BFD" w:rsidRDefault="00AF2313" w:rsidP="00AF2313">
      <w:pPr>
        <w:pStyle w:val="Heading2"/>
      </w:pPr>
      <w:bookmarkStart w:id="3" w:name="_Toc98931917"/>
      <w:bookmarkStart w:id="4" w:name="_Toc120100532"/>
      <w:r w:rsidRPr="00527BFD">
        <w:lastRenderedPageBreak/>
        <w:t>List of abbreviations</w:t>
      </w:r>
      <w:bookmarkEnd w:id="3"/>
      <w:bookmarkEnd w:id="4"/>
    </w:p>
    <w:tbl>
      <w:tblPr>
        <w:tblStyle w:val="TableTGAblue"/>
        <w:tblW w:w="5000" w:type="pct"/>
        <w:tblLook w:val="04A0" w:firstRow="1" w:lastRow="0" w:firstColumn="1" w:lastColumn="0" w:noHBand="0" w:noVBand="1"/>
      </w:tblPr>
      <w:tblGrid>
        <w:gridCol w:w="1955"/>
        <w:gridCol w:w="1077"/>
        <w:gridCol w:w="5452"/>
      </w:tblGrid>
      <w:tr w:rsidR="00AF2313" w:rsidRPr="00527BFD" w14:paraId="45C4F9C4" w14:textId="77777777" w:rsidTr="00841D49">
        <w:trPr>
          <w:cnfStyle w:val="100000000000" w:firstRow="1" w:lastRow="0" w:firstColumn="0" w:lastColumn="0" w:oddVBand="0" w:evenVBand="0" w:oddHBand="0" w:evenHBand="0" w:firstRowFirstColumn="0" w:firstRowLastColumn="0" w:lastRowFirstColumn="0" w:lastRowLastColumn="0"/>
          <w:cantSplit/>
        </w:trPr>
        <w:tc>
          <w:tcPr>
            <w:tcW w:w="1787" w:type="pct"/>
            <w:gridSpan w:val="2"/>
            <w:hideMark/>
          </w:tcPr>
          <w:p w14:paraId="36574C1C" w14:textId="77777777" w:rsidR="00AF2313" w:rsidRPr="00527BFD" w:rsidRDefault="00AF2313">
            <w:pPr>
              <w:rPr>
                <w:color w:val="FFFFFF"/>
              </w:rPr>
            </w:pPr>
            <w:bookmarkStart w:id="5" w:name="_Hlk116032182"/>
            <w:r w:rsidRPr="00527BFD">
              <w:t>Abbreviation</w:t>
            </w:r>
          </w:p>
        </w:tc>
        <w:tc>
          <w:tcPr>
            <w:tcW w:w="3213" w:type="pct"/>
            <w:hideMark/>
          </w:tcPr>
          <w:p w14:paraId="4E0F8DEF" w14:textId="77777777" w:rsidR="00AF2313" w:rsidRPr="00527BFD" w:rsidRDefault="00AF2313">
            <w:r w:rsidRPr="00527BFD">
              <w:t>Meaning</w:t>
            </w:r>
          </w:p>
        </w:tc>
      </w:tr>
      <w:tr w:rsidR="00127B93" w:rsidRPr="00527BFD" w14:paraId="256919A9"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059575C0" w14:textId="0DF9E842" w:rsidR="00127B93" w:rsidRDefault="00127B93" w:rsidP="00EE5045">
            <w:r>
              <w:t>3TC</w:t>
            </w:r>
          </w:p>
        </w:tc>
        <w:tc>
          <w:tcPr>
            <w:tcW w:w="3848" w:type="pct"/>
            <w:gridSpan w:val="2"/>
            <w:tcBorders>
              <w:top w:val="single" w:sz="8" w:space="0" w:color="002C47"/>
              <w:left w:val="single" w:sz="8" w:space="0" w:color="002C47"/>
              <w:bottom w:val="single" w:sz="8" w:space="0" w:color="002C47"/>
              <w:right w:val="single" w:sz="8" w:space="0" w:color="002C47"/>
            </w:tcBorders>
          </w:tcPr>
          <w:p w14:paraId="51D2F761" w14:textId="410C3196" w:rsidR="00127B93" w:rsidRDefault="00127B93" w:rsidP="00EE5045">
            <w:r>
              <w:t>Lamivudine</w:t>
            </w:r>
          </w:p>
        </w:tc>
      </w:tr>
      <w:tr w:rsidR="00127B93" w:rsidRPr="00527BFD" w14:paraId="57EDF656"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140C38C7" w14:textId="0F15B3D2" w:rsidR="00127B93" w:rsidRPr="0022470C" w:rsidRDefault="00127B93" w:rsidP="00EE5045">
            <w:r>
              <w:t>ABC</w:t>
            </w:r>
          </w:p>
        </w:tc>
        <w:tc>
          <w:tcPr>
            <w:tcW w:w="3848" w:type="pct"/>
            <w:gridSpan w:val="2"/>
            <w:tcBorders>
              <w:top w:val="single" w:sz="8" w:space="0" w:color="002C47"/>
              <w:left w:val="single" w:sz="8" w:space="0" w:color="002C47"/>
              <w:bottom w:val="single" w:sz="8" w:space="0" w:color="002C47"/>
              <w:right w:val="single" w:sz="8" w:space="0" w:color="002C47"/>
            </w:tcBorders>
          </w:tcPr>
          <w:p w14:paraId="33EAF60C" w14:textId="58091C5B" w:rsidR="00127B93" w:rsidRPr="0022470C" w:rsidRDefault="00127B93" w:rsidP="00EE5045">
            <w:r>
              <w:t>Abacavir</w:t>
            </w:r>
          </w:p>
        </w:tc>
      </w:tr>
      <w:tr w:rsidR="0022470C" w:rsidRPr="00527BFD" w14:paraId="723092FF"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10017BE7" w14:textId="7C137BFC" w:rsidR="0022470C" w:rsidRPr="00527BFD" w:rsidRDefault="0022470C" w:rsidP="00EE5045">
            <w:r w:rsidRPr="0022470C">
              <w:t>ABC/DTG/3TC</w:t>
            </w:r>
          </w:p>
        </w:tc>
        <w:tc>
          <w:tcPr>
            <w:tcW w:w="3848" w:type="pct"/>
            <w:gridSpan w:val="2"/>
            <w:tcBorders>
              <w:top w:val="single" w:sz="8" w:space="0" w:color="002C47"/>
              <w:left w:val="single" w:sz="8" w:space="0" w:color="002C47"/>
              <w:bottom w:val="single" w:sz="8" w:space="0" w:color="002C47"/>
              <w:right w:val="single" w:sz="8" w:space="0" w:color="002C47"/>
            </w:tcBorders>
          </w:tcPr>
          <w:p w14:paraId="23FB13BA" w14:textId="4A5C193F" w:rsidR="0022470C" w:rsidRPr="00527BFD" w:rsidRDefault="0022470C" w:rsidP="00EE5045">
            <w:r w:rsidRPr="0022470C">
              <w:t>Abacavir/dolutegravir/lamivudine</w:t>
            </w:r>
            <w:r w:rsidR="00127B93">
              <w:t xml:space="preserve"> combination therapy</w:t>
            </w:r>
          </w:p>
        </w:tc>
      </w:tr>
      <w:tr w:rsidR="00EE5045" w:rsidRPr="00527BFD" w14:paraId="6EF0E9BC"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30AEBC48" w14:textId="74FDE8D7" w:rsidR="00EE5045" w:rsidRPr="00527BFD" w:rsidRDefault="00EE5045" w:rsidP="00EE5045">
            <w:r w:rsidRPr="00527BFD">
              <w:t>ACM</w:t>
            </w:r>
          </w:p>
        </w:tc>
        <w:tc>
          <w:tcPr>
            <w:tcW w:w="3848" w:type="pct"/>
            <w:gridSpan w:val="2"/>
            <w:tcBorders>
              <w:top w:val="single" w:sz="8" w:space="0" w:color="002C47"/>
              <w:left w:val="single" w:sz="8" w:space="0" w:color="002C47"/>
              <w:bottom w:val="single" w:sz="8" w:space="0" w:color="002C47"/>
              <w:right w:val="single" w:sz="8" w:space="0" w:color="002C47"/>
            </w:tcBorders>
          </w:tcPr>
          <w:p w14:paraId="3A79D519" w14:textId="4BDA8614" w:rsidR="00EE5045" w:rsidRPr="00527BFD" w:rsidRDefault="00EE5045" w:rsidP="00EE5045">
            <w:bookmarkStart w:id="6" w:name="_Hlk116210493"/>
            <w:r w:rsidRPr="00527BFD">
              <w:t>Advisory Committee on Medicines</w:t>
            </w:r>
            <w:bookmarkEnd w:id="6"/>
          </w:p>
        </w:tc>
      </w:tr>
      <w:tr w:rsidR="00EE5045" w:rsidRPr="00527BFD" w14:paraId="09489128"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2B43C058" w14:textId="19567E6A" w:rsidR="00EE5045" w:rsidRPr="00527BFD" w:rsidRDefault="00EE5045" w:rsidP="00EE5045">
            <w:r w:rsidRPr="00527BFD">
              <w:t>AE</w:t>
            </w:r>
          </w:p>
        </w:tc>
        <w:tc>
          <w:tcPr>
            <w:tcW w:w="3848" w:type="pct"/>
            <w:gridSpan w:val="2"/>
            <w:tcBorders>
              <w:top w:val="single" w:sz="8" w:space="0" w:color="002C47"/>
              <w:left w:val="single" w:sz="8" w:space="0" w:color="002C47"/>
              <w:bottom w:val="single" w:sz="8" w:space="0" w:color="002C47"/>
              <w:right w:val="single" w:sz="8" w:space="0" w:color="002C47"/>
            </w:tcBorders>
          </w:tcPr>
          <w:p w14:paraId="6136AAF0" w14:textId="263C777C" w:rsidR="00EE5045" w:rsidRPr="00527BFD" w:rsidRDefault="00EE5045" w:rsidP="00EE5045">
            <w:r w:rsidRPr="00527BFD">
              <w:t>Adverse event</w:t>
            </w:r>
          </w:p>
        </w:tc>
      </w:tr>
      <w:tr w:rsidR="00EE5045" w:rsidRPr="00527BFD" w14:paraId="67C6BDAA"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3FF56873" w14:textId="56C2765C" w:rsidR="00EE5045" w:rsidRPr="00527BFD" w:rsidRDefault="00EE5045" w:rsidP="00EE5045">
            <w:r w:rsidRPr="00527BFD">
              <w:t>AESI</w:t>
            </w:r>
          </w:p>
        </w:tc>
        <w:tc>
          <w:tcPr>
            <w:tcW w:w="3848" w:type="pct"/>
            <w:gridSpan w:val="2"/>
            <w:tcBorders>
              <w:top w:val="single" w:sz="8" w:space="0" w:color="002C47"/>
              <w:left w:val="single" w:sz="8" w:space="0" w:color="002C47"/>
              <w:bottom w:val="single" w:sz="8" w:space="0" w:color="002C47"/>
              <w:right w:val="single" w:sz="8" w:space="0" w:color="002C47"/>
            </w:tcBorders>
          </w:tcPr>
          <w:p w14:paraId="44B4D11A" w14:textId="0F179F9C" w:rsidR="00EE5045" w:rsidRPr="00527BFD" w:rsidRDefault="00EE5045" w:rsidP="00EE5045">
            <w:bookmarkStart w:id="7" w:name="_Hlk116032528"/>
            <w:r w:rsidRPr="00527BFD">
              <w:t>Adverse event of special interest</w:t>
            </w:r>
            <w:bookmarkEnd w:id="7"/>
          </w:p>
        </w:tc>
      </w:tr>
      <w:tr w:rsidR="00EE5045" w:rsidRPr="00527BFD" w14:paraId="7CFB5010"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4E672030" w14:textId="1852E1F1" w:rsidR="00EE5045" w:rsidRPr="00527BFD" w:rsidRDefault="00EE5045" w:rsidP="00EE5045">
            <w:r w:rsidRPr="00527BFD">
              <w:t>AIDS</w:t>
            </w:r>
          </w:p>
        </w:tc>
        <w:tc>
          <w:tcPr>
            <w:tcW w:w="3848" w:type="pct"/>
            <w:gridSpan w:val="2"/>
            <w:tcBorders>
              <w:top w:val="single" w:sz="8" w:space="0" w:color="002C47"/>
              <w:left w:val="single" w:sz="8" w:space="0" w:color="002C47"/>
              <w:bottom w:val="single" w:sz="8" w:space="0" w:color="002C47"/>
              <w:right w:val="single" w:sz="8" w:space="0" w:color="002C47"/>
            </w:tcBorders>
          </w:tcPr>
          <w:p w14:paraId="654AADD2" w14:textId="3EB28BDB" w:rsidR="00EE5045" w:rsidRPr="00527BFD" w:rsidRDefault="00EE5045" w:rsidP="00EE5045">
            <w:bookmarkStart w:id="8" w:name="_Hlk116210205"/>
            <w:r w:rsidRPr="00527BFD">
              <w:t>Immunodeficiency disease syndrome</w:t>
            </w:r>
            <w:bookmarkEnd w:id="8"/>
          </w:p>
        </w:tc>
      </w:tr>
      <w:tr w:rsidR="00EE5045" w:rsidRPr="00527BFD" w14:paraId="72F32F14"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503B82E7" w14:textId="7D43945D" w:rsidR="00EE5045" w:rsidRPr="00527BFD" w:rsidRDefault="00EE5045" w:rsidP="00EE5045">
            <w:r w:rsidRPr="00527BFD">
              <w:t>ALT</w:t>
            </w:r>
          </w:p>
        </w:tc>
        <w:tc>
          <w:tcPr>
            <w:tcW w:w="3848" w:type="pct"/>
            <w:gridSpan w:val="2"/>
            <w:tcBorders>
              <w:top w:val="single" w:sz="8" w:space="0" w:color="002C47"/>
              <w:left w:val="single" w:sz="8" w:space="0" w:color="002C47"/>
              <w:bottom w:val="single" w:sz="8" w:space="0" w:color="002C47"/>
              <w:right w:val="single" w:sz="8" w:space="0" w:color="002C47"/>
            </w:tcBorders>
          </w:tcPr>
          <w:p w14:paraId="1619B2F5" w14:textId="7F203C8A" w:rsidR="00EE5045" w:rsidRPr="00527BFD" w:rsidRDefault="00EE5045" w:rsidP="00EE5045">
            <w:bookmarkStart w:id="9" w:name="_Hlk116215577"/>
            <w:r w:rsidRPr="00527BFD">
              <w:t>Alanine aminotransferase</w:t>
            </w:r>
            <w:bookmarkEnd w:id="9"/>
          </w:p>
        </w:tc>
      </w:tr>
      <w:tr w:rsidR="00EE5045" w:rsidRPr="00527BFD" w14:paraId="3523D1EE"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7661F671" w14:textId="12BF63DC" w:rsidR="00EE5045" w:rsidRPr="00527BFD" w:rsidRDefault="00EE5045" w:rsidP="00EE5045">
            <w:r w:rsidRPr="00527BFD">
              <w:t>APR</w:t>
            </w:r>
          </w:p>
        </w:tc>
        <w:tc>
          <w:tcPr>
            <w:tcW w:w="3848" w:type="pct"/>
            <w:gridSpan w:val="2"/>
            <w:tcBorders>
              <w:top w:val="single" w:sz="8" w:space="0" w:color="002C47"/>
              <w:left w:val="single" w:sz="8" w:space="0" w:color="002C47"/>
              <w:bottom w:val="single" w:sz="8" w:space="0" w:color="002C47"/>
              <w:right w:val="single" w:sz="8" w:space="0" w:color="002C47"/>
            </w:tcBorders>
          </w:tcPr>
          <w:p w14:paraId="273847B6" w14:textId="5366ADC9" w:rsidR="00EE5045" w:rsidRPr="00527BFD" w:rsidRDefault="00EE5045" w:rsidP="00EE5045">
            <w:r w:rsidRPr="00527BFD">
              <w:t>Antiretroviral Pregnancy Registry</w:t>
            </w:r>
          </w:p>
        </w:tc>
      </w:tr>
      <w:tr w:rsidR="00EE5045" w:rsidRPr="00527BFD" w14:paraId="45CE96A9"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3A3975DF" w14:textId="2525E112" w:rsidR="00EE5045" w:rsidRPr="00527BFD" w:rsidRDefault="00EE5045" w:rsidP="00EE5045">
            <w:r w:rsidRPr="00527BFD">
              <w:t>ARTG</w:t>
            </w:r>
          </w:p>
        </w:tc>
        <w:tc>
          <w:tcPr>
            <w:tcW w:w="3848" w:type="pct"/>
            <w:gridSpan w:val="2"/>
            <w:tcBorders>
              <w:top w:val="single" w:sz="8" w:space="0" w:color="002C47"/>
              <w:left w:val="single" w:sz="8" w:space="0" w:color="002C47"/>
              <w:bottom w:val="single" w:sz="8" w:space="0" w:color="002C47"/>
              <w:right w:val="single" w:sz="8" w:space="0" w:color="002C47"/>
            </w:tcBorders>
          </w:tcPr>
          <w:p w14:paraId="496BC0C1" w14:textId="39383C57" w:rsidR="00EE5045" w:rsidRPr="00527BFD" w:rsidRDefault="00EE5045" w:rsidP="00EE5045">
            <w:r w:rsidRPr="00527BFD">
              <w:t>Australian Register of Therapeutic Goods</w:t>
            </w:r>
          </w:p>
        </w:tc>
      </w:tr>
      <w:tr w:rsidR="00EE5045" w:rsidRPr="00527BFD" w14:paraId="41C01DD4"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36401A5E" w14:textId="3D6FB66A" w:rsidR="00EE5045" w:rsidRPr="00527BFD" w:rsidRDefault="00EE5045" w:rsidP="00EE5045">
            <w:r w:rsidRPr="00527BFD">
              <w:t>ASA</w:t>
            </w:r>
          </w:p>
        </w:tc>
        <w:tc>
          <w:tcPr>
            <w:tcW w:w="3848" w:type="pct"/>
            <w:gridSpan w:val="2"/>
            <w:tcBorders>
              <w:top w:val="single" w:sz="8" w:space="0" w:color="002C47"/>
              <w:left w:val="single" w:sz="8" w:space="0" w:color="002C47"/>
              <w:bottom w:val="single" w:sz="8" w:space="0" w:color="002C47"/>
              <w:right w:val="single" w:sz="8" w:space="0" w:color="002C47"/>
            </w:tcBorders>
          </w:tcPr>
          <w:p w14:paraId="54404C68" w14:textId="01B5CE10" w:rsidR="00EE5045" w:rsidRPr="00527BFD" w:rsidRDefault="00EE5045" w:rsidP="00EE5045">
            <w:bookmarkStart w:id="10" w:name="_Hlk116210842"/>
            <w:r w:rsidRPr="00527BFD">
              <w:t>Australia specific annex</w:t>
            </w:r>
            <w:bookmarkEnd w:id="10"/>
          </w:p>
        </w:tc>
      </w:tr>
      <w:tr w:rsidR="00EE5045" w:rsidRPr="00527BFD" w14:paraId="43725695"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2176B67A" w14:textId="1E63FBAD" w:rsidR="00EE5045" w:rsidRPr="00527BFD" w:rsidRDefault="00EE5045" w:rsidP="00EE5045">
            <w:r w:rsidRPr="00527BFD">
              <w:t>AST</w:t>
            </w:r>
          </w:p>
        </w:tc>
        <w:tc>
          <w:tcPr>
            <w:tcW w:w="3848" w:type="pct"/>
            <w:gridSpan w:val="2"/>
            <w:tcBorders>
              <w:top w:val="single" w:sz="8" w:space="0" w:color="002C47"/>
              <w:left w:val="single" w:sz="8" w:space="0" w:color="002C47"/>
              <w:bottom w:val="single" w:sz="8" w:space="0" w:color="002C47"/>
              <w:right w:val="single" w:sz="8" w:space="0" w:color="002C47"/>
            </w:tcBorders>
          </w:tcPr>
          <w:p w14:paraId="62431B11" w14:textId="701BDBAF" w:rsidR="00EE5045" w:rsidRPr="00527BFD" w:rsidRDefault="00EE5045" w:rsidP="00EE5045">
            <w:bookmarkStart w:id="11" w:name="_Hlk116215616"/>
            <w:r w:rsidRPr="00527BFD">
              <w:t>Aspartate aminotransferase</w:t>
            </w:r>
            <w:bookmarkEnd w:id="11"/>
          </w:p>
        </w:tc>
      </w:tr>
      <w:tr w:rsidR="00EE5045" w:rsidRPr="00527BFD" w14:paraId="6CE5C0BE"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368AA4F7" w14:textId="249FB809" w:rsidR="00EE5045" w:rsidRPr="00527BFD" w:rsidRDefault="00EE5045" w:rsidP="00EE5045">
            <w:r w:rsidRPr="00527BFD">
              <w:t>CI</w:t>
            </w:r>
          </w:p>
        </w:tc>
        <w:tc>
          <w:tcPr>
            <w:tcW w:w="3848" w:type="pct"/>
            <w:gridSpan w:val="2"/>
            <w:tcBorders>
              <w:top w:val="single" w:sz="8" w:space="0" w:color="002C47"/>
              <w:left w:val="single" w:sz="8" w:space="0" w:color="002C47"/>
              <w:bottom w:val="single" w:sz="8" w:space="0" w:color="002C47"/>
              <w:right w:val="single" w:sz="8" w:space="0" w:color="002C47"/>
            </w:tcBorders>
          </w:tcPr>
          <w:p w14:paraId="7FE770F7" w14:textId="44ADE037" w:rsidR="00EE5045" w:rsidRPr="00527BFD" w:rsidRDefault="00EE5045" w:rsidP="00EE5045">
            <w:r w:rsidRPr="00527BFD">
              <w:t>Confidence interval</w:t>
            </w:r>
          </w:p>
        </w:tc>
      </w:tr>
      <w:tr w:rsidR="00EE5045" w:rsidRPr="00527BFD" w14:paraId="40B60060"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467B7D06" w14:textId="5D7F751F" w:rsidR="00EE5045" w:rsidRPr="00527BFD" w:rsidRDefault="00EE5045" w:rsidP="00EE5045">
            <w:r w:rsidRPr="00527BFD">
              <w:t>DLP</w:t>
            </w:r>
          </w:p>
        </w:tc>
        <w:tc>
          <w:tcPr>
            <w:tcW w:w="3848" w:type="pct"/>
            <w:gridSpan w:val="2"/>
            <w:tcBorders>
              <w:top w:val="single" w:sz="8" w:space="0" w:color="002C47"/>
              <w:left w:val="single" w:sz="8" w:space="0" w:color="002C47"/>
              <w:bottom w:val="single" w:sz="8" w:space="0" w:color="002C47"/>
              <w:right w:val="single" w:sz="8" w:space="0" w:color="002C47"/>
            </w:tcBorders>
          </w:tcPr>
          <w:p w14:paraId="0A7835D6" w14:textId="7DBD099D" w:rsidR="00EE5045" w:rsidRPr="00527BFD" w:rsidRDefault="00EE5045" w:rsidP="00EE5045">
            <w:bookmarkStart w:id="12" w:name="_Hlk116210868"/>
            <w:r w:rsidRPr="00527BFD">
              <w:t>Data lock point</w:t>
            </w:r>
            <w:bookmarkEnd w:id="12"/>
          </w:p>
        </w:tc>
      </w:tr>
      <w:tr w:rsidR="00EE5045" w:rsidRPr="00527BFD" w14:paraId="0A034800"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55587425" w14:textId="5826C6B1" w:rsidR="00EE5045" w:rsidRPr="00527BFD" w:rsidRDefault="00EE5045" w:rsidP="00EE5045">
            <w:r w:rsidRPr="00527BFD">
              <w:t>DNA</w:t>
            </w:r>
          </w:p>
        </w:tc>
        <w:tc>
          <w:tcPr>
            <w:tcW w:w="3848" w:type="pct"/>
            <w:gridSpan w:val="2"/>
            <w:tcBorders>
              <w:top w:val="single" w:sz="8" w:space="0" w:color="002C47"/>
              <w:left w:val="single" w:sz="8" w:space="0" w:color="002C47"/>
              <w:bottom w:val="single" w:sz="8" w:space="0" w:color="002C47"/>
              <w:right w:val="single" w:sz="8" w:space="0" w:color="002C47"/>
            </w:tcBorders>
          </w:tcPr>
          <w:p w14:paraId="3D6C97AB" w14:textId="62A15B7A" w:rsidR="00EE5045" w:rsidRPr="00527BFD" w:rsidRDefault="00EE5045" w:rsidP="00EE5045">
            <w:r w:rsidRPr="00527BFD">
              <w:t>Deoxyribonucleic acid</w:t>
            </w:r>
          </w:p>
        </w:tc>
      </w:tr>
      <w:tr w:rsidR="00EE5045" w:rsidRPr="00527BFD" w14:paraId="39A641AE"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2B1BA666" w14:textId="27CFBC62" w:rsidR="00EE5045" w:rsidRPr="00527BFD" w:rsidRDefault="00EE5045" w:rsidP="00EE5045">
            <w:r w:rsidRPr="00527BFD">
              <w:t>DSMB</w:t>
            </w:r>
          </w:p>
        </w:tc>
        <w:tc>
          <w:tcPr>
            <w:tcW w:w="3848" w:type="pct"/>
            <w:gridSpan w:val="2"/>
            <w:tcBorders>
              <w:top w:val="single" w:sz="8" w:space="0" w:color="002C47"/>
              <w:left w:val="single" w:sz="8" w:space="0" w:color="002C47"/>
              <w:bottom w:val="single" w:sz="8" w:space="0" w:color="002C47"/>
              <w:right w:val="single" w:sz="8" w:space="0" w:color="002C47"/>
            </w:tcBorders>
          </w:tcPr>
          <w:p w14:paraId="5ECB55C5" w14:textId="3F2EEEAC" w:rsidR="00EE5045" w:rsidRPr="00527BFD" w:rsidRDefault="00EE5045" w:rsidP="00EE5045">
            <w:bookmarkStart w:id="13" w:name="_Hlk116211765"/>
            <w:r w:rsidRPr="00527BFD">
              <w:t>Data and Safety Monitoring Board</w:t>
            </w:r>
            <w:bookmarkEnd w:id="13"/>
          </w:p>
        </w:tc>
      </w:tr>
      <w:tr w:rsidR="00127B93" w:rsidRPr="00527BFD" w14:paraId="49BDAC3B"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67805E65" w14:textId="57526FE1" w:rsidR="00127B93" w:rsidRPr="00527BFD" w:rsidRDefault="00127B93" w:rsidP="00EE5045">
            <w:r>
              <w:t>DTG</w:t>
            </w:r>
          </w:p>
        </w:tc>
        <w:tc>
          <w:tcPr>
            <w:tcW w:w="3848" w:type="pct"/>
            <w:gridSpan w:val="2"/>
            <w:tcBorders>
              <w:top w:val="single" w:sz="8" w:space="0" w:color="002C47"/>
              <w:left w:val="single" w:sz="8" w:space="0" w:color="002C47"/>
              <w:bottom w:val="single" w:sz="8" w:space="0" w:color="002C47"/>
              <w:right w:val="single" w:sz="8" w:space="0" w:color="002C47"/>
            </w:tcBorders>
          </w:tcPr>
          <w:p w14:paraId="42B23590" w14:textId="490895E8" w:rsidR="00127B93" w:rsidRPr="00527BFD" w:rsidRDefault="00127B93" w:rsidP="00EE5045">
            <w:r>
              <w:t>Dolutegravir</w:t>
            </w:r>
          </w:p>
        </w:tc>
      </w:tr>
      <w:tr w:rsidR="00EE5045" w:rsidRPr="00527BFD" w14:paraId="3A7E09A1"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510C66B2" w14:textId="7CBADD7B" w:rsidR="00EE5045" w:rsidRPr="00527BFD" w:rsidRDefault="00EE5045" w:rsidP="00EE5045">
            <w:r w:rsidRPr="00527BFD">
              <w:t>EU</w:t>
            </w:r>
          </w:p>
        </w:tc>
        <w:tc>
          <w:tcPr>
            <w:tcW w:w="3848" w:type="pct"/>
            <w:gridSpan w:val="2"/>
            <w:tcBorders>
              <w:top w:val="single" w:sz="8" w:space="0" w:color="002C47"/>
              <w:left w:val="single" w:sz="8" w:space="0" w:color="002C47"/>
              <w:bottom w:val="single" w:sz="8" w:space="0" w:color="002C47"/>
              <w:right w:val="single" w:sz="8" w:space="0" w:color="002C47"/>
            </w:tcBorders>
          </w:tcPr>
          <w:p w14:paraId="63CC9507" w14:textId="269A1B8A" w:rsidR="00EE5045" w:rsidRPr="00527BFD" w:rsidRDefault="00EE5045" w:rsidP="00EE5045">
            <w:r w:rsidRPr="00527BFD">
              <w:t>European Union</w:t>
            </w:r>
          </w:p>
        </w:tc>
      </w:tr>
      <w:tr w:rsidR="00EE5045" w:rsidRPr="00527BFD" w14:paraId="3B1D8666"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740C99EC" w14:textId="76B9D503" w:rsidR="00EE5045" w:rsidRPr="00527BFD" w:rsidRDefault="00EE5045" w:rsidP="00EE5045">
            <w:r w:rsidRPr="00527BFD">
              <w:t>GVP</w:t>
            </w:r>
          </w:p>
        </w:tc>
        <w:tc>
          <w:tcPr>
            <w:tcW w:w="3848" w:type="pct"/>
            <w:gridSpan w:val="2"/>
            <w:tcBorders>
              <w:top w:val="single" w:sz="8" w:space="0" w:color="002C47"/>
              <w:left w:val="single" w:sz="8" w:space="0" w:color="002C47"/>
              <w:bottom w:val="single" w:sz="8" w:space="0" w:color="002C47"/>
              <w:right w:val="single" w:sz="8" w:space="0" w:color="002C47"/>
            </w:tcBorders>
          </w:tcPr>
          <w:p w14:paraId="2279F0F4" w14:textId="522DCBC0" w:rsidR="00EE5045" w:rsidRPr="00527BFD" w:rsidRDefault="00EE5045" w:rsidP="00EE5045">
            <w:r w:rsidRPr="00527BFD">
              <w:t>Good Pharmacovigilance Practices</w:t>
            </w:r>
          </w:p>
        </w:tc>
      </w:tr>
      <w:tr w:rsidR="00EE5045" w:rsidRPr="00527BFD" w14:paraId="38C47E58"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3308ABD7" w14:textId="652FCEE8" w:rsidR="00EE5045" w:rsidRPr="00527BFD" w:rsidRDefault="00EE5045" w:rsidP="00EE5045">
            <w:r w:rsidRPr="00527BFD">
              <w:t>HIV</w:t>
            </w:r>
          </w:p>
        </w:tc>
        <w:tc>
          <w:tcPr>
            <w:tcW w:w="3848" w:type="pct"/>
            <w:gridSpan w:val="2"/>
            <w:tcBorders>
              <w:top w:val="single" w:sz="8" w:space="0" w:color="002C47"/>
              <w:left w:val="single" w:sz="8" w:space="0" w:color="002C47"/>
              <w:bottom w:val="single" w:sz="8" w:space="0" w:color="002C47"/>
              <w:right w:val="single" w:sz="8" w:space="0" w:color="002C47"/>
            </w:tcBorders>
          </w:tcPr>
          <w:p w14:paraId="6EB53523" w14:textId="76218B6C" w:rsidR="00EE5045" w:rsidRPr="00527BFD" w:rsidRDefault="00EE5045" w:rsidP="00EE5045">
            <w:bookmarkStart w:id="14" w:name="_Hlk116032664"/>
            <w:r w:rsidRPr="00527BFD">
              <w:t>Human immunodeficiency virus</w:t>
            </w:r>
            <w:bookmarkEnd w:id="14"/>
          </w:p>
        </w:tc>
      </w:tr>
      <w:tr w:rsidR="00EE5045" w:rsidRPr="00527BFD" w14:paraId="7D7E1BA4"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72D20735" w14:textId="677AC973" w:rsidR="00EE5045" w:rsidRPr="00527BFD" w:rsidRDefault="00EE5045" w:rsidP="00EE5045">
            <w:r w:rsidRPr="00527BFD">
              <w:t>HIV-1</w:t>
            </w:r>
          </w:p>
        </w:tc>
        <w:tc>
          <w:tcPr>
            <w:tcW w:w="3848" w:type="pct"/>
            <w:gridSpan w:val="2"/>
            <w:tcBorders>
              <w:top w:val="single" w:sz="8" w:space="0" w:color="002C47"/>
              <w:left w:val="single" w:sz="8" w:space="0" w:color="002C47"/>
              <w:bottom w:val="single" w:sz="8" w:space="0" w:color="002C47"/>
              <w:right w:val="single" w:sz="8" w:space="0" w:color="002C47"/>
            </w:tcBorders>
          </w:tcPr>
          <w:p w14:paraId="7E6B8299" w14:textId="54AC0C59" w:rsidR="00EE5045" w:rsidRPr="00527BFD" w:rsidRDefault="00EE5045" w:rsidP="00EE5045">
            <w:bookmarkStart w:id="15" w:name="_Hlk116032700"/>
            <w:r w:rsidRPr="00527BFD">
              <w:t>Human immunodeficiency virus type 1</w:t>
            </w:r>
            <w:bookmarkEnd w:id="15"/>
          </w:p>
        </w:tc>
      </w:tr>
      <w:tr w:rsidR="00EE5045" w:rsidRPr="00527BFD" w14:paraId="6CA00D7C"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7D3336D0" w14:textId="53324389" w:rsidR="00EE5045" w:rsidRPr="00527BFD" w:rsidRDefault="00EE5045" w:rsidP="00EE5045">
            <w:r w:rsidRPr="00527BFD">
              <w:t>IC</w:t>
            </w:r>
            <w:r w:rsidRPr="00527BFD">
              <w:rPr>
                <w:vertAlign w:val="subscript"/>
              </w:rPr>
              <w:t>90</w:t>
            </w:r>
          </w:p>
        </w:tc>
        <w:tc>
          <w:tcPr>
            <w:tcW w:w="3848" w:type="pct"/>
            <w:gridSpan w:val="2"/>
            <w:tcBorders>
              <w:top w:val="single" w:sz="8" w:space="0" w:color="002C47"/>
              <w:left w:val="single" w:sz="8" w:space="0" w:color="002C47"/>
              <w:bottom w:val="single" w:sz="8" w:space="0" w:color="002C47"/>
              <w:right w:val="single" w:sz="8" w:space="0" w:color="002C47"/>
            </w:tcBorders>
          </w:tcPr>
          <w:p w14:paraId="30CABC21" w14:textId="4A55B16A" w:rsidR="00EE5045" w:rsidRPr="00527BFD" w:rsidRDefault="00EE5045" w:rsidP="00EE5045">
            <w:r w:rsidRPr="00527BFD">
              <w:t>90% maximal inhibitory concentration</w:t>
            </w:r>
          </w:p>
        </w:tc>
      </w:tr>
      <w:tr w:rsidR="00EE5045" w:rsidRPr="00527BFD" w14:paraId="11F9567C"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7E09A32E" w14:textId="6C8F366A" w:rsidR="00EE5045" w:rsidRPr="00527BFD" w:rsidRDefault="00EE5045" w:rsidP="00EE5045">
            <w:r w:rsidRPr="00527BFD">
              <w:t>ISR</w:t>
            </w:r>
          </w:p>
        </w:tc>
        <w:tc>
          <w:tcPr>
            <w:tcW w:w="3848" w:type="pct"/>
            <w:gridSpan w:val="2"/>
            <w:tcBorders>
              <w:top w:val="single" w:sz="8" w:space="0" w:color="002C47"/>
              <w:left w:val="single" w:sz="8" w:space="0" w:color="002C47"/>
              <w:bottom w:val="single" w:sz="8" w:space="0" w:color="002C47"/>
              <w:right w:val="single" w:sz="8" w:space="0" w:color="002C47"/>
            </w:tcBorders>
          </w:tcPr>
          <w:p w14:paraId="52C606A2" w14:textId="0C4AEB5F" w:rsidR="00EE5045" w:rsidRPr="00527BFD" w:rsidRDefault="00527BFD" w:rsidP="00EE5045">
            <w:bookmarkStart w:id="16" w:name="_Hlk116212067"/>
            <w:r w:rsidRPr="00527BFD">
              <w:t xml:space="preserve">Injection </w:t>
            </w:r>
            <w:r w:rsidR="00EE5045" w:rsidRPr="00527BFD">
              <w:t>site reaction</w:t>
            </w:r>
            <w:bookmarkEnd w:id="16"/>
          </w:p>
        </w:tc>
      </w:tr>
      <w:tr w:rsidR="00EE5045" w:rsidRPr="00527BFD" w14:paraId="60D0EAF8"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6DCCF936" w14:textId="49D304BC" w:rsidR="00EE5045" w:rsidRPr="00527BFD" w:rsidRDefault="00EE5045" w:rsidP="00EE5045">
            <w:r w:rsidRPr="00527BFD">
              <w:t>ITT</w:t>
            </w:r>
          </w:p>
        </w:tc>
        <w:tc>
          <w:tcPr>
            <w:tcW w:w="3848" w:type="pct"/>
            <w:gridSpan w:val="2"/>
            <w:tcBorders>
              <w:top w:val="single" w:sz="8" w:space="0" w:color="002C47"/>
              <w:left w:val="single" w:sz="8" w:space="0" w:color="002C47"/>
              <w:bottom w:val="single" w:sz="8" w:space="0" w:color="002C47"/>
              <w:right w:val="single" w:sz="8" w:space="0" w:color="002C47"/>
            </w:tcBorders>
          </w:tcPr>
          <w:p w14:paraId="6B817776" w14:textId="3F697591" w:rsidR="00EE5045" w:rsidRPr="00527BFD" w:rsidRDefault="00EE5045" w:rsidP="00EE5045">
            <w:r w:rsidRPr="00527BFD">
              <w:t>Intent(ion)-to-treat</w:t>
            </w:r>
          </w:p>
        </w:tc>
      </w:tr>
      <w:tr w:rsidR="00F25AFD" w:rsidRPr="00527BFD" w14:paraId="16A590C7"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1CF6B30F" w14:textId="3EF03DFC" w:rsidR="00F25AFD" w:rsidRPr="00527BFD" w:rsidRDefault="00F25AFD" w:rsidP="00EE5045">
            <w:r>
              <w:t>LA</w:t>
            </w:r>
          </w:p>
        </w:tc>
        <w:tc>
          <w:tcPr>
            <w:tcW w:w="3848" w:type="pct"/>
            <w:gridSpan w:val="2"/>
            <w:tcBorders>
              <w:top w:val="single" w:sz="8" w:space="0" w:color="002C47"/>
              <w:left w:val="single" w:sz="8" w:space="0" w:color="002C47"/>
              <w:bottom w:val="single" w:sz="8" w:space="0" w:color="002C47"/>
              <w:right w:val="single" w:sz="8" w:space="0" w:color="002C47"/>
            </w:tcBorders>
          </w:tcPr>
          <w:p w14:paraId="3F4008FC" w14:textId="7529AC05" w:rsidR="00F25AFD" w:rsidRPr="00527BFD" w:rsidRDefault="00F25AFD" w:rsidP="00F25AFD">
            <w:proofErr w:type="gramStart"/>
            <w:r>
              <w:t>Long-acting</w:t>
            </w:r>
            <w:proofErr w:type="gramEnd"/>
          </w:p>
        </w:tc>
      </w:tr>
      <w:tr w:rsidR="00EE5045" w:rsidRPr="00527BFD" w14:paraId="2E1FCA1E"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0051D9EB" w14:textId="1499AAA1" w:rsidR="00EE5045" w:rsidRPr="00527BFD" w:rsidRDefault="00EE5045" w:rsidP="00EE5045">
            <w:proofErr w:type="spellStart"/>
            <w:r w:rsidRPr="00527BFD">
              <w:lastRenderedPageBreak/>
              <w:t>mITT</w:t>
            </w:r>
            <w:proofErr w:type="spellEnd"/>
          </w:p>
        </w:tc>
        <w:tc>
          <w:tcPr>
            <w:tcW w:w="3848" w:type="pct"/>
            <w:gridSpan w:val="2"/>
            <w:tcBorders>
              <w:top w:val="single" w:sz="8" w:space="0" w:color="002C47"/>
              <w:left w:val="single" w:sz="8" w:space="0" w:color="002C47"/>
              <w:bottom w:val="single" w:sz="8" w:space="0" w:color="002C47"/>
              <w:right w:val="single" w:sz="8" w:space="0" w:color="002C47"/>
            </w:tcBorders>
          </w:tcPr>
          <w:p w14:paraId="5F21C8C3" w14:textId="33AF2520" w:rsidR="00EE5045" w:rsidRPr="00527BFD" w:rsidRDefault="00527BFD" w:rsidP="00EE5045">
            <w:r w:rsidRPr="00527BFD">
              <w:t xml:space="preserve">Modified </w:t>
            </w:r>
            <w:r w:rsidR="00EE5045" w:rsidRPr="00527BFD">
              <w:t>intent-to-treat</w:t>
            </w:r>
          </w:p>
        </w:tc>
      </w:tr>
      <w:tr w:rsidR="00EE5045" w:rsidRPr="00527BFD" w14:paraId="5853737E"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2902EDAB" w14:textId="14829798" w:rsidR="00EE5045" w:rsidRPr="00527BFD" w:rsidRDefault="00EE5045" w:rsidP="00EE5045">
            <w:r w:rsidRPr="00527BFD">
              <w:t>mRNA</w:t>
            </w:r>
          </w:p>
        </w:tc>
        <w:tc>
          <w:tcPr>
            <w:tcW w:w="3848" w:type="pct"/>
            <w:gridSpan w:val="2"/>
            <w:tcBorders>
              <w:top w:val="single" w:sz="8" w:space="0" w:color="002C47"/>
              <w:left w:val="single" w:sz="8" w:space="0" w:color="002C47"/>
              <w:bottom w:val="single" w:sz="8" w:space="0" w:color="002C47"/>
              <w:right w:val="single" w:sz="8" w:space="0" w:color="002C47"/>
            </w:tcBorders>
          </w:tcPr>
          <w:p w14:paraId="70647117" w14:textId="1801FBBF" w:rsidR="00EE5045" w:rsidRPr="00527BFD" w:rsidRDefault="00527BFD" w:rsidP="00EE5045">
            <w:r w:rsidRPr="00527BFD">
              <w:t xml:space="preserve">Messenger </w:t>
            </w:r>
            <w:r w:rsidR="00EE5045" w:rsidRPr="00527BFD">
              <w:t>ribonucleic acid</w:t>
            </w:r>
          </w:p>
        </w:tc>
      </w:tr>
      <w:tr w:rsidR="00127B93" w:rsidRPr="00527BFD" w14:paraId="59ABCC1D"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0D1D8709" w14:textId="259A8C8C" w:rsidR="00127B93" w:rsidRPr="00527BFD" w:rsidRDefault="00127B93" w:rsidP="00EE5045">
            <w:r>
              <w:t>NDA</w:t>
            </w:r>
          </w:p>
        </w:tc>
        <w:tc>
          <w:tcPr>
            <w:tcW w:w="3848" w:type="pct"/>
            <w:gridSpan w:val="2"/>
            <w:tcBorders>
              <w:top w:val="single" w:sz="8" w:space="0" w:color="002C47"/>
              <w:left w:val="single" w:sz="8" w:space="0" w:color="002C47"/>
              <w:bottom w:val="single" w:sz="8" w:space="0" w:color="002C47"/>
              <w:right w:val="single" w:sz="8" w:space="0" w:color="002C47"/>
            </w:tcBorders>
          </w:tcPr>
          <w:p w14:paraId="40D22A41" w14:textId="7F4228B7" w:rsidR="00127B93" w:rsidRPr="00527BFD" w:rsidRDefault="00127B93" w:rsidP="00EE5045">
            <w:r>
              <w:t>New drug application (Food and Drug Administration, United States of America)</w:t>
            </w:r>
          </w:p>
        </w:tc>
      </w:tr>
      <w:tr w:rsidR="00EE5045" w:rsidRPr="00527BFD" w14:paraId="3E873EEB"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7B7C8B22" w14:textId="6585A166" w:rsidR="00EE5045" w:rsidRPr="00527BFD" w:rsidRDefault="00EE5045" w:rsidP="00EE5045">
            <w:r w:rsidRPr="00527BFD">
              <w:t>NIH-DAIDS</w:t>
            </w:r>
          </w:p>
        </w:tc>
        <w:tc>
          <w:tcPr>
            <w:tcW w:w="3848" w:type="pct"/>
            <w:gridSpan w:val="2"/>
            <w:tcBorders>
              <w:top w:val="single" w:sz="8" w:space="0" w:color="002C47"/>
              <w:left w:val="single" w:sz="8" w:space="0" w:color="002C47"/>
              <w:bottom w:val="single" w:sz="8" w:space="0" w:color="002C47"/>
              <w:right w:val="single" w:sz="8" w:space="0" w:color="002C47"/>
            </w:tcBorders>
          </w:tcPr>
          <w:p w14:paraId="73F2A3EA" w14:textId="528DB2B3" w:rsidR="00EE5045" w:rsidRPr="00527BFD" w:rsidRDefault="00EE5045" w:rsidP="00EE5045">
            <w:r w:rsidRPr="00527BFD">
              <w:t>National Institutes of Health Division of Immunodeficiency Disease Syndrome (United States of America)</w:t>
            </w:r>
          </w:p>
        </w:tc>
      </w:tr>
      <w:tr w:rsidR="00EE5045" w:rsidRPr="00527BFD" w14:paraId="1ACEC187"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596DE5F7" w14:textId="08E31C62" w:rsidR="00EE5045" w:rsidRPr="00527BFD" w:rsidRDefault="00EE5045" w:rsidP="00EE5045">
            <w:r w:rsidRPr="00527BFD">
              <w:t>PI</w:t>
            </w:r>
          </w:p>
        </w:tc>
        <w:tc>
          <w:tcPr>
            <w:tcW w:w="3848" w:type="pct"/>
            <w:gridSpan w:val="2"/>
            <w:tcBorders>
              <w:top w:val="single" w:sz="8" w:space="0" w:color="002C47"/>
              <w:left w:val="single" w:sz="8" w:space="0" w:color="002C47"/>
              <w:bottom w:val="single" w:sz="8" w:space="0" w:color="002C47"/>
              <w:right w:val="single" w:sz="8" w:space="0" w:color="002C47"/>
            </w:tcBorders>
          </w:tcPr>
          <w:p w14:paraId="681C2545" w14:textId="0BC481E5" w:rsidR="00EE5045" w:rsidRPr="00527BFD" w:rsidRDefault="00EE5045" w:rsidP="00EE5045">
            <w:r w:rsidRPr="00527BFD">
              <w:t>Product Information</w:t>
            </w:r>
          </w:p>
        </w:tc>
      </w:tr>
      <w:tr w:rsidR="00EE5045" w:rsidRPr="00527BFD" w14:paraId="28B11AFD"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39D0834E" w14:textId="2D652604" w:rsidR="00EE5045" w:rsidRPr="00527BFD" w:rsidRDefault="00EE5045" w:rsidP="00EE5045">
            <w:r w:rsidRPr="00527BFD">
              <w:t>PK</w:t>
            </w:r>
          </w:p>
        </w:tc>
        <w:tc>
          <w:tcPr>
            <w:tcW w:w="3848" w:type="pct"/>
            <w:gridSpan w:val="2"/>
            <w:tcBorders>
              <w:top w:val="single" w:sz="8" w:space="0" w:color="002C47"/>
              <w:left w:val="single" w:sz="8" w:space="0" w:color="002C47"/>
              <w:bottom w:val="single" w:sz="8" w:space="0" w:color="002C47"/>
              <w:right w:val="single" w:sz="8" w:space="0" w:color="002C47"/>
            </w:tcBorders>
          </w:tcPr>
          <w:p w14:paraId="0F4A1916" w14:textId="1C703395" w:rsidR="00EE5045" w:rsidRPr="00527BFD" w:rsidRDefault="00EE5045" w:rsidP="00EE5045">
            <w:bookmarkStart w:id="17" w:name="_Hlk116032783"/>
            <w:bookmarkStart w:id="18" w:name="_Hlk116214441"/>
            <w:r w:rsidRPr="00527BFD">
              <w:t>Pharmacokinetic</w:t>
            </w:r>
            <w:bookmarkEnd w:id="17"/>
            <w:r w:rsidRPr="00527BFD">
              <w:t>(s)</w:t>
            </w:r>
            <w:bookmarkEnd w:id="18"/>
          </w:p>
        </w:tc>
      </w:tr>
      <w:tr w:rsidR="00EE5045" w:rsidRPr="00527BFD" w14:paraId="4C1BA78F"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10A4C4F6" w14:textId="5BF7FC4E" w:rsidR="00EE5045" w:rsidRPr="00527BFD" w:rsidRDefault="00EE5045" w:rsidP="00EE5045">
            <w:proofErr w:type="spellStart"/>
            <w:r w:rsidRPr="00527BFD">
              <w:t>PopPK</w:t>
            </w:r>
            <w:proofErr w:type="spellEnd"/>
          </w:p>
        </w:tc>
        <w:tc>
          <w:tcPr>
            <w:tcW w:w="3848" w:type="pct"/>
            <w:gridSpan w:val="2"/>
            <w:tcBorders>
              <w:top w:val="single" w:sz="8" w:space="0" w:color="002C47"/>
              <w:left w:val="single" w:sz="8" w:space="0" w:color="002C47"/>
              <w:bottom w:val="single" w:sz="8" w:space="0" w:color="002C47"/>
              <w:right w:val="single" w:sz="8" w:space="0" w:color="002C47"/>
            </w:tcBorders>
          </w:tcPr>
          <w:p w14:paraId="1C24D568" w14:textId="539710A1" w:rsidR="00EE5045" w:rsidRPr="00527BFD" w:rsidRDefault="00EE5045" w:rsidP="00EE5045">
            <w:r w:rsidRPr="00527BFD">
              <w:t xml:space="preserve">Population </w:t>
            </w:r>
            <w:bookmarkStart w:id="19" w:name="_Hlk116215143"/>
            <w:r w:rsidRPr="00527BFD">
              <w:t>pharmacokinetic</w:t>
            </w:r>
            <w:bookmarkEnd w:id="19"/>
            <w:r w:rsidRPr="00527BFD">
              <w:t>(s)</w:t>
            </w:r>
          </w:p>
        </w:tc>
      </w:tr>
      <w:tr w:rsidR="00EE5045" w:rsidRPr="00527BFD" w14:paraId="468B31AA"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707BA379" w14:textId="64FD1714" w:rsidR="00EE5045" w:rsidRPr="00527BFD" w:rsidRDefault="00EE5045" w:rsidP="00EE5045">
            <w:proofErr w:type="spellStart"/>
            <w:r w:rsidRPr="00527BFD">
              <w:t>PrEP</w:t>
            </w:r>
            <w:proofErr w:type="spellEnd"/>
          </w:p>
        </w:tc>
        <w:tc>
          <w:tcPr>
            <w:tcW w:w="3848" w:type="pct"/>
            <w:gridSpan w:val="2"/>
            <w:tcBorders>
              <w:top w:val="single" w:sz="8" w:space="0" w:color="002C47"/>
              <w:left w:val="single" w:sz="8" w:space="0" w:color="002C47"/>
              <w:bottom w:val="single" w:sz="8" w:space="0" w:color="002C47"/>
              <w:right w:val="single" w:sz="8" w:space="0" w:color="002C47"/>
            </w:tcBorders>
          </w:tcPr>
          <w:p w14:paraId="523B4321" w14:textId="5C6B4FAD" w:rsidR="00EE5045" w:rsidRPr="00527BFD" w:rsidRDefault="00EE5045" w:rsidP="00EE5045">
            <w:bookmarkStart w:id="20" w:name="_Hlk116032611"/>
            <w:r w:rsidRPr="00527BFD">
              <w:t>Pre-exposure prophylaxis</w:t>
            </w:r>
            <w:bookmarkEnd w:id="20"/>
          </w:p>
        </w:tc>
      </w:tr>
      <w:tr w:rsidR="00EE5045" w:rsidRPr="00527BFD" w14:paraId="7F393391"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58EEA2BF" w14:textId="507C47B9" w:rsidR="00EE5045" w:rsidRPr="00527BFD" w:rsidRDefault="00EE5045" w:rsidP="00EE5045">
            <w:r w:rsidRPr="00527BFD">
              <w:t>PSUR</w:t>
            </w:r>
          </w:p>
        </w:tc>
        <w:tc>
          <w:tcPr>
            <w:tcW w:w="3848" w:type="pct"/>
            <w:gridSpan w:val="2"/>
            <w:tcBorders>
              <w:top w:val="single" w:sz="8" w:space="0" w:color="002C47"/>
              <w:left w:val="single" w:sz="8" w:space="0" w:color="002C47"/>
              <w:bottom w:val="single" w:sz="8" w:space="0" w:color="002C47"/>
              <w:right w:val="single" w:sz="8" w:space="0" w:color="002C47"/>
            </w:tcBorders>
          </w:tcPr>
          <w:p w14:paraId="55E64D88" w14:textId="4AD85C66" w:rsidR="00EE5045" w:rsidRPr="00527BFD" w:rsidRDefault="00EE5045" w:rsidP="00EE5045">
            <w:r w:rsidRPr="00527BFD">
              <w:t>Periodic safety update report</w:t>
            </w:r>
          </w:p>
        </w:tc>
      </w:tr>
      <w:tr w:rsidR="00EE5045" w:rsidRPr="00527BFD" w14:paraId="4C1A162C"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21358D60" w14:textId="4D276117" w:rsidR="00EE5045" w:rsidRPr="00527BFD" w:rsidRDefault="00EE5045" w:rsidP="00EE5045">
            <w:r w:rsidRPr="00527BFD">
              <w:t>PT</w:t>
            </w:r>
          </w:p>
        </w:tc>
        <w:tc>
          <w:tcPr>
            <w:tcW w:w="3848" w:type="pct"/>
            <w:gridSpan w:val="2"/>
            <w:tcBorders>
              <w:top w:val="single" w:sz="8" w:space="0" w:color="002C47"/>
              <w:left w:val="single" w:sz="8" w:space="0" w:color="002C47"/>
              <w:bottom w:val="single" w:sz="8" w:space="0" w:color="002C47"/>
              <w:right w:val="single" w:sz="8" w:space="0" w:color="002C47"/>
            </w:tcBorders>
          </w:tcPr>
          <w:p w14:paraId="1E7D6861" w14:textId="415CBC15" w:rsidR="00EE5045" w:rsidRPr="00527BFD" w:rsidRDefault="00EE5045" w:rsidP="00EE5045">
            <w:bookmarkStart w:id="21" w:name="_Hlk116215546"/>
            <w:r w:rsidRPr="00527BFD">
              <w:t>Preferred Term</w:t>
            </w:r>
            <w:bookmarkEnd w:id="21"/>
          </w:p>
        </w:tc>
      </w:tr>
      <w:tr w:rsidR="00EE5045" w:rsidRPr="00527BFD" w14:paraId="1B4B6CA7"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7D5D9B9F" w14:textId="37940A27" w:rsidR="00EE5045" w:rsidRPr="00527BFD" w:rsidRDefault="00EE5045" w:rsidP="00EE5045">
            <w:r w:rsidRPr="00527BFD">
              <w:t>RMP</w:t>
            </w:r>
          </w:p>
        </w:tc>
        <w:tc>
          <w:tcPr>
            <w:tcW w:w="3848" w:type="pct"/>
            <w:gridSpan w:val="2"/>
            <w:tcBorders>
              <w:top w:val="single" w:sz="8" w:space="0" w:color="002C47"/>
              <w:left w:val="single" w:sz="8" w:space="0" w:color="002C47"/>
              <w:bottom w:val="single" w:sz="8" w:space="0" w:color="002C47"/>
              <w:right w:val="single" w:sz="8" w:space="0" w:color="002C47"/>
            </w:tcBorders>
          </w:tcPr>
          <w:p w14:paraId="0B28121C" w14:textId="45563895" w:rsidR="00EE5045" w:rsidRPr="00527BFD" w:rsidRDefault="00EE5045" w:rsidP="00EE5045">
            <w:r w:rsidRPr="00527BFD">
              <w:t>Risk management plan</w:t>
            </w:r>
          </w:p>
        </w:tc>
      </w:tr>
      <w:tr w:rsidR="00EE5045" w:rsidRPr="00527BFD" w14:paraId="0D218B1A"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4109C56D" w14:textId="5AE223E9" w:rsidR="00EE5045" w:rsidRPr="00527BFD" w:rsidRDefault="00EE5045" w:rsidP="00EE5045">
            <w:r w:rsidRPr="00527BFD">
              <w:t>RNA</w:t>
            </w:r>
          </w:p>
        </w:tc>
        <w:tc>
          <w:tcPr>
            <w:tcW w:w="3848" w:type="pct"/>
            <w:gridSpan w:val="2"/>
            <w:tcBorders>
              <w:top w:val="single" w:sz="8" w:space="0" w:color="002C47"/>
              <w:left w:val="single" w:sz="8" w:space="0" w:color="002C47"/>
              <w:bottom w:val="single" w:sz="8" w:space="0" w:color="002C47"/>
              <w:right w:val="single" w:sz="8" w:space="0" w:color="002C47"/>
            </w:tcBorders>
          </w:tcPr>
          <w:p w14:paraId="2EE7C948" w14:textId="308875B7" w:rsidR="00EE5045" w:rsidRPr="00527BFD" w:rsidRDefault="00EE5045" w:rsidP="00EE5045">
            <w:r w:rsidRPr="00527BFD">
              <w:t>Ribonucleic acid</w:t>
            </w:r>
          </w:p>
        </w:tc>
      </w:tr>
      <w:tr w:rsidR="00EE5045" w:rsidRPr="00527BFD" w14:paraId="29EB3702"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0290656A" w14:textId="3FAA2277" w:rsidR="00EE5045" w:rsidRPr="00527BFD" w:rsidRDefault="00EE5045" w:rsidP="00EE5045">
            <w:r w:rsidRPr="00527BFD">
              <w:t>SAE</w:t>
            </w:r>
          </w:p>
        </w:tc>
        <w:tc>
          <w:tcPr>
            <w:tcW w:w="3848" w:type="pct"/>
            <w:gridSpan w:val="2"/>
            <w:tcBorders>
              <w:top w:val="single" w:sz="8" w:space="0" w:color="002C47"/>
              <w:left w:val="single" w:sz="8" w:space="0" w:color="002C47"/>
              <w:bottom w:val="single" w:sz="8" w:space="0" w:color="002C47"/>
              <w:right w:val="single" w:sz="8" w:space="0" w:color="002C47"/>
            </w:tcBorders>
          </w:tcPr>
          <w:p w14:paraId="788F3B84" w14:textId="7CF907CB" w:rsidR="00EE5045" w:rsidRPr="00527BFD" w:rsidRDefault="00EE5045" w:rsidP="00EE5045">
            <w:r w:rsidRPr="00527BFD">
              <w:t>Serious adverse event</w:t>
            </w:r>
          </w:p>
        </w:tc>
      </w:tr>
      <w:tr w:rsidR="00EE5045" w:rsidRPr="00527BFD" w14:paraId="5196DB5A"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6FE80573" w14:textId="2369EFF4" w:rsidR="00EE5045" w:rsidRPr="00527BFD" w:rsidRDefault="00EE5045" w:rsidP="00EE5045">
            <w:r w:rsidRPr="00527BFD">
              <w:t>SMC</w:t>
            </w:r>
          </w:p>
        </w:tc>
        <w:tc>
          <w:tcPr>
            <w:tcW w:w="3848" w:type="pct"/>
            <w:gridSpan w:val="2"/>
            <w:tcBorders>
              <w:top w:val="single" w:sz="8" w:space="0" w:color="002C47"/>
              <w:left w:val="single" w:sz="8" w:space="0" w:color="002C47"/>
              <w:bottom w:val="single" w:sz="8" w:space="0" w:color="002C47"/>
              <w:right w:val="single" w:sz="8" w:space="0" w:color="002C47"/>
            </w:tcBorders>
          </w:tcPr>
          <w:p w14:paraId="3325F0E2" w14:textId="32271877" w:rsidR="00EE5045" w:rsidRPr="00527BFD" w:rsidRDefault="00EE5045" w:rsidP="00EE5045">
            <w:r w:rsidRPr="00527BFD">
              <w:t>Study Monitoring Committee</w:t>
            </w:r>
          </w:p>
        </w:tc>
      </w:tr>
      <w:tr w:rsidR="00EE5045" w:rsidRPr="00527BFD" w14:paraId="6C1B1817"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0C17C2D7" w14:textId="7AC48E70" w:rsidR="00EE5045" w:rsidRPr="00527BFD" w:rsidRDefault="00EE5045" w:rsidP="00EE5045">
            <w:r w:rsidRPr="00527BFD">
              <w:t>TAF</w:t>
            </w:r>
          </w:p>
        </w:tc>
        <w:tc>
          <w:tcPr>
            <w:tcW w:w="3848" w:type="pct"/>
            <w:gridSpan w:val="2"/>
            <w:tcBorders>
              <w:top w:val="single" w:sz="8" w:space="0" w:color="002C47"/>
              <w:left w:val="single" w:sz="8" w:space="0" w:color="002C47"/>
              <w:bottom w:val="single" w:sz="8" w:space="0" w:color="002C47"/>
              <w:right w:val="single" w:sz="8" w:space="0" w:color="002C47"/>
            </w:tcBorders>
          </w:tcPr>
          <w:p w14:paraId="069A64D6" w14:textId="2B617D8F" w:rsidR="00EE5045" w:rsidRPr="00527BFD" w:rsidRDefault="00EE5045" w:rsidP="00EE5045">
            <w:r w:rsidRPr="00527BFD">
              <w:t>Tenofovir alafenamide</w:t>
            </w:r>
          </w:p>
        </w:tc>
      </w:tr>
      <w:tr w:rsidR="00EE5045" w:rsidRPr="00527BFD" w14:paraId="0B6CA823"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7A55D274" w14:textId="61994BC8" w:rsidR="00EE5045" w:rsidRPr="00527BFD" w:rsidRDefault="00EE5045" w:rsidP="00EE5045">
            <w:r w:rsidRPr="00527BFD">
              <w:t>TDF</w:t>
            </w:r>
          </w:p>
        </w:tc>
        <w:tc>
          <w:tcPr>
            <w:tcW w:w="3848" w:type="pct"/>
            <w:gridSpan w:val="2"/>
            <w:tcBorders>
              <w:top w:val="single" w:sz="8" w:space="0" w:color="002C47"/>
              <w:left w:val="single" w:sz="8" w:space="0" w:color="002C47"/>
              <w:bottom w:val="single" w:sz="8" w:space="0" w:color="002C47"/>
              <w:right w:val="single" w:sz="8" w:space="0" w:color="002C47"/>
            </w:tcBorders>
          </w:tcPr>
          <w:p w14:paraId="497793C4" w14:textId="253000B4" w:rsidR="00EE5045" w:rsidRPr="00527BFD" w:rsidRDefault="00EE5045" w:rsidP="00EE5045">
            <w:bookmarkStart w:id="22" w:name="_Hlk116032553"/>
            <w:r w:rsidRPr="00527BFD">
              <w:t>Tenofovir disoproxil fumarate</w:t>
            </w:r>
            <w:bookmarkEnd w:id="22"/>
          </w:p>
        </w:tc>
      </w:tr>
      <w:tr w:rsidR="00EE5045" w:rsidRPr="00527BFD" w14:paraId="4259BE02"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54126D15" w14:textId="07DB1DCF" w:rsidR="00EE5045" w:rsidRPr="00527BFD" w:rsidRDefault="00EE5045" w:rsidP="00EE5045">
            <w:r w:rsidRPr="00527BFD">
              <w:t>TGA</w:t>
            </w:r>
          </w:p>
        </w:tc>
        <w:tc>
          <w:tcPr>
            <w:tcW w:w="3848" w:type="pct"/>
            <w:gridSpan w:val="2"/>
            <w:tcBorders>
              <w:top w:val="single" w:sz="8" w:space="0" w:color="002C47"/>
              <w:left w:val="single" w:sz="8" w:space="0" w:color="002C47"/>
              <w:bottom w:val="single" w:sz="8" w:space="0" w:color="002C47"/>
              <w:right w:val="single" w:sz="8" w:space="0" w:color="002C47"/>
            </w:tcBorders>
          </w:tcPr>
          <w:p w14:paraId="61EFAA00" w14:textId="7C1341D2" w:rsidR="00EE5045" w:rsidRPr="00527BFD" w:rsidRDefault="00EE5045" w:rsidP="00EE5045">
            <w:r w:rsidRPr="00527BFD">
              <w:t>Therapeutic Goods Administration</w:t>
            </w:r>
          </w:p>
        </w:tc>
      </w:tr>
      <w:tr w:rsidR="00EE5045" w:rsidRPr="00527BFD" w14:paraId="6854D572" w14:textId="77777777" w:rsidTr="00841D49">
        <w:trPr>
          <w:cantSplit/>
        </w:trPr>
        <w:tc>
          <w:tcPr>
            <w:tcW w:w="1152" w:type="pct"/>
            <w:tcBorders>
              <w:top w:val="single" w:sz="8" w:space="0" w:color="002C47"/>
              <w:left w:val="single" w:sz="8" w:space="0" w:color="002C47"/>
              <w:bottom w:val="single" w:sz="8" w:space="0" w:color="002C47"/>
              <w:right w:val="single" w:sz="8" w:space="0" w:color="002C47"/>
            </w:tcBorders>
          </w:tcPr>
          <w:p w14:paraId="68146D13" w14:textId="198D6709" w:rsidR="00EE5045" w:rsidRPr="00527BFD" w:rsidRDefault="00EE5045" w:rsidP="00EE5045">
            <w:r w:rsidRPr="00527BFD">
              <w:t>US(A)</w:t>
            </w:r>
          </w:p>
        </w:tc>
        <w:tc>
          <w:tcPr>
            <w:tcW w:w="3848" w:type="pct"/>
            <w:gridSpan w:val="2"/>
            <w:tcBorders>
              <w:top w:val="single" w:sz="8" w:space="0" w:color="002C47"/>
              <w:left w:val="single" w:sz="8" w:space="0" w:color="002C47"/>
              <w:bottom w:val="single" w:sz="8" w:space="0" w:color="002C47"/>
              <w:right w:val="single" w:sz="8" w:space="0" w:color="002C47"/>
            </w:tcBorders>
          </w:tcPr>
          <w:p w14:paraId="72A96A02" w14:textId="60B677F8" w:rsidR="00EE5045" w:rsidRPr="00527BFD" w:rsidRDefault="00EE5045" w:rsidP="00EE5045">
            <w:r w:rsidRPr="00527BFD">
              <w:t>United States (of America)</w:t>
            </w:r>
          </w:p>
        </w:tc>
      </w:tr>
      <w:bookmarkEnd w:id="5"/>
    </w:tbl>
    <w:p w14:paraId="2219605D" w14:textId="77777777" w:rsidR="00FD119B" w:rsidRPr="00527BFD" w:rsidRDefault="00FD119B" w:rsidP="00FD119B">
      <w:pPr>
        <w:spacing w:before="0" w:after="200" w:line="0" w:lineRule="auto"/>
        <w:rPr>
          <w:b/>
          <w:i/>
          <w:sz w:val="24"/>
          <w:szCs w:val="24"/>
        </w:rPr>
      </w:pPr>
      <w:r w:rsidRPr="00527BFD">
        <w:rPr>
          <w:b/>
          <w:i/>
          <w:sz w:val="24"/>
          <w:szCs w:val="24"/>
        </w:rPr>
        <w:br w:type="page"/>
      </w:r>
    </w:p>
    <w:p w14:paraId="6255E86E" w14:textId="77777777" w:rsidR="008E7846" w:rsidRPr="00527BFD" w:rsidRDefault="009F2673" w:rsidP="008E7846">
      <w:pPr>
        <w:pStyle w:val="Heading2"/>
      </w:pPr>
      <w:bookmarkStart w:id="23" w:name="_Toc120100533"/>
      <w:r w:rsidRPr="00527BFD">
        <w:lastRenderedPageBreak/>
        <w:t>Pr</w:t>
      </w:r>
      <w:r w:rsidR="008E7846" w:rsidRPr="00527BFD">
        <w:t>oduct submission</w:t>
      </w:r>
      <w:bookmarkEnd w:id="23"/>
      <w:bookmarkEnd w:id="0"/>
      <w:bookmarkEnd w:id="2"/>
    </w:p>
    <w:p w14:paraId="0BAAB670" w14:textId="77777777" w:rsidR="008E7846" w:rsidRPr="00527BFD" w:rsidRDefault="008E7846" w:rsidP="009E5A87">
      <w:pPr>
        <w:pStyle w:val="Heading3"/>
        <w:rPr>
          <w:lang w:eastAsia="en-AU"/>
        </w:rPr>
      </w:pPr>
      <w:bookmarkStart w:id="24" w:name="_Toc247691502"/>
      <w:bookmarkStart w:id="25" w:name="_Toc314842483"/>
      <w:bookmarkStart w:id="26" w:name="_Toc120100534"/>
      <w:r w:rsidRPr="00527BFD">
        <w:rPr>
          <w:lang w:eastAsia="en-AU"/>
        </w:rPr>
        <w:t>Submission details</w:t>
      </w:r>
      <w:bookmarkEnd w:id="24"/>
      <w:bookmarkEnd w:id="25"/>
      <w:bookmarkEnd w:id="26"/>
    </w:p>
    <w:tbl>
      <w:tblPr>
        <w:tblW w:w="5000" w:type="pct"/>
        <w:tblLook w:val="01E0" w:firstRow="1" w:lastRow="1" w:firstColumn="1" w:lastColumn="1" w:noHBand="0" w:noVBand="0"/>
      </w:tblPr>
      <w:tblGrid>
        <w:gridCol w:w="2682"/>
        <w:gridCol w:w="5822"/>
      </w:tblGrid>
      <w:tr w:rsidR="009F2673" w:rsidRPr="00527BFD" w14:paraId="784F61FA" w14:textId="77777777" w:rsidTr="00645E5B">
        <w:tc>
          <w:tcPr>
            <w:tcW w:w="1577" w:type="pct"/>
          </w:tcPr>
          <w:p w14:paraId="2F259F8F" w14:textId="77777777" w:rsidR="009F2673" w:rsidRPr="00527BFD" w:rsidRDefault="009F2673" w:rsidP="009E5A87">
            <w:pPr>
              <w:rPr>
                <w:i/>
              </w:rPr>
            </w:pPr>
            <w:r w:rsidRPr="00527BFD">
              <w:rPr>
                <w:i/>
              </w:rPr>
              <w:t>Type of submission:</w:t>
            </w:r>
          </w:p>
        </w:tc>
        <w:tc>
          <w:tcPr>
            <w:tcW w:w="3423" w:type="pct"/>
          </w:tcPr>
          <w:p w14:paraId="5167059E" w14:textId="442E4181" w:rsidR="009F2673" w:rsidRPr="00527BFD" w:rsidRDefault="00737CEB" w:rsidP="009E5A87">
            <w:r w:rsidRPr="00527BFD">
              <w:t>Extension of indications</w:t>
            </w:r>
          </w:p>
        </w:tc>
      </w:tr>
      <w:tr w:rsidR="009F2673" w:rsidRPr="00527BFD" w14:paraId="6FB15726" w14:textId="77777777" w:rsidTr="00645E5B">
        <w:tc>
          <w:tcPr>
            <w:tcW w:w="1577" w:type="pct"/>
          </w:tcPr>
          <w:p w14:paraId="186E9D06" w14:textId="2F4236FE" w:rsidR="009F2673" w:rsidRPr="00527BFD" w:rsidRDefault="009F2673" w:rsidP="009E5A87">
            <w:pPr>
              <w:rPr>
                <w:i/>
              </w:rPr>
            </w:pPr>
            <w:r w:rsidRPr="00527BFD">
              <w:rPr>
                <w:i/>
              </w:rPr>
              <w:t>Product name:</w:t>
            </w:r>
          </w:p>
        </w:tc>
        <w:tc>
          <w:tcPr>
            <w:tcW w:w="3423" w:type="pct"/>
          </w:tcPr>
          <w:p w14:paraId="668AA38D" w14:textId="428EF10D" w:rsidR="009F2673" w:rsidRPr="00527BFD" w:rsidRDefault="00645E5B" w:rsidP="009E5A87">
            <w:proofErr w:type="spellStart"/>
            <w:r w:rsidRPr="00527BFD">
              <w:t>Apretude</w:t>
            </w:r>
            <w:proofErr w:type="spellEnd"/>
          </w:p>
        </w:tc>
      </w:tr>
      <w:tr w:rsidR="009F2673" w:rsidRPr="00527BFD" w14:paraId="5781AA27" w14:textId="77777777" w:rsidTr="00645E5B">
        <w:tc>
          <w:tcPr>
            <w:tcW w:w="1577" w:type="pct"/>
          </w:tcPr>
          <w:p w14:paraId="01694179" w14:textId="466254FF" w:rsidR="009F2673" w:rsidRPr="00527BFD" w:rsidRDefault="009F2673" w:rsidP="009E5A87">
            <w:pPr>
              <w:rPr>
                <w:i/>
              </w:rPr>
            </w:pPr>
            <w:r w:rsidRPr="00527BFD">
              <w:rPr>
                <w:i/>
              </w:rPr>
              <w:t>Active ingredient</w:t>
            </w:r>
            <w:r w:rsidR="006F3261">
              <w:rPr>
                <w:i/>
              </w:rPr>
              <w:t>s</w:t>
            </w:r>
            <w:r w:rsidRPr="00527BFD">
              <w:rPr>
                <w:i/>
              </w:rPr>
              <w:t>:</w:t>
            </w:r>
          </w:p>
        </w:tc>
        <w:tc>
          <w:tcPr>
            <w:tcW w:w="3423" w:type="pct"/>
          </w:tcPr>
          <w:p w14:paraId="3E016B64" w14:textId="5B770EB1" w:rsidR="00916B19" w:rsidRPr="00527BFD" w:rsidRDefault="00645E5B" w:rsidP="009E5A87">
            <w:r w:rsidRPr="00527BFD">
              <w:t>Cabotegravir</w:t>
            </w:r>
            <w:r w:rsidR="00484396" w:rsidRPr="00527BFD">
              <w:t xml:space="preserve"> (as sodium</w:t>
            </w:r>
            <w:r w:rsidR="00D03BB9">
              <w:t xml:space="preserve"> (tablet), and as free acid (suspension for injection)</w:t>
            </w:r>
            <w:r w:rsidR="00484396" w:rsidRPr="00527BFD">
              <w:t>)</w:t>
            </w:r>
          </w:p>
        </w:tc>
      </w:tr>
      <w:tr w:rsidR="009F2673" w:rsidRPr="00527BFD" w14:paraId="3AF398E8" w14:textId="77777777" w:rsidTr="00645E5B">
        <w:tc>
          <w:tcPr>
            <w:tcW w:w="1577" w:type="pct"/>
          </w:tcPr>
          <w:p w14:paraId="246982C5" w14:textId="77777777" w:rsidR="009F2673" w:rsidRPr="00527BFD" w:rsidRDefault="009F2673" w:rsidP="009E5A87">
            <w:pPr>
              <w:rPr>
                <w:i/>
              </w:rPr>
            </w:pPr>
            <w:r w:rsidRPr="00527BFD">
              <w:rPr>
                <w:i/>
              </w:rPr>
              <w:t>Decision:</w:t>
            </w:r>
          </w:p>
        </w:tc>
        <w:tc>
          <w:tcPr>
            <w:tcW w:w="3423" w:type="pct"/>
          </w:tcPr>
          <w:p w14:paraId="7ECA88EB" w14:textId="2DD6CC2A" w:rsidR="009F2673" w:rsidRPr="00527BFD" w:rsidRDefault="009F2673" w:rsidP="009E5A87">
            <w:r w:rsidRPr="00527BFD">
              <w:t>Approved</w:t>
            </w:r>
          </w:p>
        </w:tc>
      </w:tr>
      <w:tr w:rsidR="009F2673" w:rsidRPr="00527BFD" w14:paraId="72C82334" w14:textId="77777777" w:rsidTr="00645E5B">
        <w:tc>
          <w:tcPr>
            <w:tcW w:w="1577" w:type="pct"/>
          </w:tcPr>
          <w:p w14:paraId="2E3DC7BC" w14:textId="77777777" w:rsidR="009F2673" w:rsidRPr="00527BFD" w:rsidRDefault="009F2673" w:rsidP="009E5A87">
            <w:pPr>
              <w:rPr>
                <w:i/>
              </w:rPr>
            </w:pPr>
            <w:r w:rsidRPr="00527BFD">
              <w:rPr>
                <w:i/>
              </w:rPr>
              <w:t>Date of decision:</w:t>
            </w:r>
          </w:p>
        </w:tc>
        <w:tc>
          <w:tcPr>
            <w:tcW w:w="3423" w:type="pct"/>
          </w:tcPr>
          <w:p w14:paraId="13244DC4" w14:textId="737F19B1" w:rsidR="009F2673" w:rsidRPr="00527BFD" w:rsidRDefault="00484396" w:rsidP="009E5A87">
            <w:r w:rsidRPr="00527BFD">
              <w:t>8 August 2022</w:t>
            </w:r>
          </w:p>
        </w:tc>
      </w:tr>
      <w:tr w:rsidR="009F2673" w:rsidRPr="00527BFD" w14:paraId="3139C5AC" w14:textId="77777777" w:rsidTr="00645E5B">
        <w:tc>
          <w:tcPr>
            <w:tcW w:w="1577" w:type="pct"/>
          </w:tcPr>
          <w:p w14:paraId="02FB7B47" w14:textId="77777777" w:rsidR="009F2673" w:rsidRPr="00527BFD" w:rsidRDefault="009F2673" w:rsidP="009E5A87">
            <w:pPr>
              <w:rPr>
                <w:i/>
              </w:rPr>
            </w:pPr>
            <w:r w:rsidRPr="00527BFD">
              <w:rPr>
                <w:i/>
              </w:rPr>
              <w:t>Date of entry onto ARTG:</w:t>
            </w:r>
          </w:p>
        </w:tc>
        <w:tc>
          <w:tcPr>
            <w:tcW w:w="3423" w:type="pct"/>
          </w:tcPr>
          <w:p w14:paraId="04B5102A" w14:textId="46BE5964" w:rsidR="009F2673" w:rsidRPr="00527BFD" w:rsidRDefault="00484396" w:rsidP="009E5A87">
            <w:r w:rsidRPr="00527BFD">
              <w:t>11 August 2022</w:t>
            </w:r>
          </w:p>
        </w:tc>
      </w:tr>
      <w:tr w:rsidR="009F2673" w:rsidRPr="00527BFD" w14:paraId="4C5BC7EB" w14:textId="77777777" w:rsidTr="00645E5B">
        <w:tc>
          <w:tcPr>
            <w:tcW w:w="1577" w:type="pct"/>
          </w:tcPr>
          <w:p w14:paraId="10611A9D" w14:textId="59A95AAE" w:rsidR="009F2673" w:rsidRPr="00527BFD" w:rsidRDefault="009F2673" w:rsidP="009E5A87">
            <w:pPr>
              <w:rPr>
                <w:i/>
              </w:rPr>
            </w:pPr>
            <w:r w:rsidRPr="00527BFD">
              <w:rPr>
                <w:i/>
              </w:rPr>
              <w:t>ARTG numbers:</w:t>
            </w:r>
          </w:p>
        </w:tc>
        <w:tc>
          <w:tcPr>
            <w:tcW w:w="3423" w:type="pct"/>
          </w:tcPr>
          <w:p w14:paraId="7846BA08" w14:textId="327297F2" w:rsidR="009F2673" w:rsidRPr="00527BFD" w:rsidRDefault="00484396" w:rsidP="009E5A87">
            <w:r w:rsidRPr="00527BFD">
              <w:t>377442 and 377474</w:t>
            </w:r>
          </w:p>
        </w:tc>
      </w:tr>
      <w:tr w:rsidR="009F2673" w:rsidRPr="00527BFD" w14:paraId="6338329C" w14:textId="77777777" w:rsidTr="00645E5B">
        <w:tc>
          <w:tcPr>
            <w:tcW w:w="1577" w:type="pct"/>
          </w:tcPr>
          <w:p w14:paraId="7811601A" w14:textId="7996B0E1" w:rsidR="009F2673" w:rsidRPr="00527BFD" w:rsidRDefault="001B1DA4" w:rsidP="009E5A87">
            <w:pPr>
              <w:rPr>
                <w:i/>
              </w:rPr>
            </w:pPr>
            <w:r w:rsidRPr="00527BFD">
              <w:rPr>
                <w:rFonts w:ascii="Wingdings 3" w:hAnsi="Wingdings 3"/>
                <w:sz w:val="34"/>
                <w:szCs w:val="34"/>
                <w:lang w:eastAsia="en-AU"/>
              </w:rPr>
              <w:t></w:t>
            </w:r>
            <w:hyperlink r:id="rId14" w:history="1">
              <w:r w:rsidR="009F2673" w:rsidRPr="00527BFD">
                <w:rPr>
                  <w:rStyle w:val="Hyperlink"/>
                  <w:i/>
                </w:rPr>
                <w:t>Black Triangle Scheme</w:t>
              </w:r>
            </w:hyperlink>
            <w:r w:rsidR="009F2673" w:rsidRPr="00527BFD">
              <w:rPr>
                <w:i/>
              </w:rPr>
              <w:t>:</w:t>
            </w:r>
          </w:p>
        </w:tc>
        <w:tc>
          <w:tcPr>
            <w:tcW w:w="3423" w:type="pct"/>
          </w:tcPr>
          <w:p w14:paraId="4DA0CE90" w14:textId="30D77C3E" w:rsidR="009F2673" w:rsidRPr="00527BFD" w:rsidRDefault="009F2673" w:rsidP="009E5A87">
            <w:r w:rsidRPr="00527BFD">
              <w:t>Yes</w:t>
            </w:r>
            <w:r w:rsidR="00484396" w:rsidRPr="00527BFD">
              <w:t>.</w:t>
            </w:r>
          </w:p>
          <w:p w14:paraId="0992E3C2" w14:textId="04E254B3" w:rsidR="009F2673" w:rsidRPr="00527BFD" w:rsidRDefault="009F2673" w:rsidP="009E5A87">
            <w:r w:rsidRPr="00527BFD">
              <w:t>This product will remain in the scheme for 5 years, starting on the date the new indication was approved</w:t>
            </w:r>
            <w:r w:rsidR="00484396" w:rsidRPr="00527BFD">
              <w:t>.</w:t>
            </w:r>
          </w:p>
        </w:tc>
      </w:tr>
      <w:tr w:rsidR="009F2673" w:rsidRPr="00527BFD" w14:paraId="1BDDD076" w14:textId="77777777" w:rsidTr="00645E5B">
        <w:tc>
          <w:tcPr>
            <w:tcW w:w="1577" w:type="pct"/>
          </w:tcPr>
          <w:p w14:paraId="7DFA8028" w14:textId="77777777" w:rsidR="009F2673" w:rsidRPr="00527BFD" w:rsidRDefault="009F2673" w:rsidP="009E5A87">
            <w:pPr>
              <w:rPr>
                <w:i/>
              </w:rPr>
            </w:pPr>
            <w:r w:rsidRPr="00527BFD">
              <w:rPr>
                <w:i/>
              </w:rPr>
              <w:t>Sponsor’s name and address:</w:t>
            </w:r>
          </w:p>
        </w:tc>
        <w:tc>
          <w:tcPr>
            <w:tcW w:w="3423" w:type="pct"/>
          </w:tcPr>
          <w:p w14:paraId="6CC683DF" w14:textId="77777777" w:rsidR="00484396" w:rsidRPr="00527BFD" w:rsidRDefault="00484396" w:rsidP="00484396">
            <w:proofErr w:type="spellStart"/>
            <w:r w:rsidRPr="00527BFD">
              <w:t>ViiV</w:t>
            </w:r>
            <w:proofErr w:type="spellEnd"/>
            <w:r w:rsidRPr="00527BFD">
              <w:t xml:space="preserve"> Healthcare Pty Ltd</w:t>
            </w:r>
          </w:p>
          <w:p w14:paraId="16BDFFD2" w14:textId="63545ADE" w:rsidR="00484396" w:rsidRPr="00527BFD" w:rsidRDefault="00484396" w:rsidP="00484396">
            <w:r w:rsidRPr="00527BFD">
              <w:t>Level 4, 436 Johnston Street</w:t>
            </w:r>
          </w:p>
          <w:p w14:paraId="0E13778B" w14:textId="4CA2896A" w:rsidR="009F2673" w:rsidRPr="00527BFD" w:rsidRDefault="00484396" w:rsidP="00484396">
            <w:r w:rsidRPr="00527BFD">
              <w:t>Abbotsford, VIC</w:t>
            </w:r>
            <w:r w:rsidR="00135B20">
              <w:t>,</w:t>
            </w:r>
            <w:r w:rsidRPr="00527BFD">
              <w:t xml:space="preserve"> 3067</w:t>
            </w:r>
          </w:p>
        </w:tc>
      </w:tr>
      <w:tr w:rsidR="009F2673" w:rsidRPr="00527BFD" w14:paraId="52B7F6F6" w14:textId="77777777" w:rsidTr="00645E5B">
        <w:tc>
          <w:tcPr>
            <w:tcW w:w="1577" w:type="pct"/>
          </w:tcPr>
          <w:p w14:paraId="279304DA" w14:textId="2CC5A0AC" w:rsidR="009F2673" w:rsidRPr="00527BFD" w:rsidRDefault="009F2673" w:rsidP="009E5A87">
            <w:pPr>
              <w:rPr>
                <w:i/>
              </w:rPr>
            </w:pPr>
            <w:r w:rsidRPr="00527BFD">
              <w:rPr>
                <w:i/>
              </w:rPr>
              <w:t>Dose forms:</w:t>
            </w:r>
          </w:p>
        </w:tc>
        <w:tc>
          <w:tcPr>
            <w:tcW w:w="3423" w:type="pct"/>
          </w:tcPr>
          <w:p w14:paraId="4E2DEBB2" w14:textId="405F7649" w:rsidR="009F2673" w:rsidRPr="00527BFD" w:rsidRDefault="0035581C" w:rsidP="009E5A87">
            <w:r w:rsidRPr="00527BFD">
              <w:t>F</w:t>
            </w:r>
            <w:r w:rsidR="00484396" w:rsidRPr="00527BFD">
              <w:t>ilm</w:t>
            </w:r>
            <w:r w:rsidR="005F0BCE" w:rsidRPr="00527BFD">
              <w:t>-</w:t>
            </w:r>
            <w:r w:rsidR="00484396" w:rsidRPr="00527BFD">
              <w:t xml:space="preserve">coated </w:t>
            </w:r>
            <w:r w:rsidRPr="00527BFD">
              <w:t>t</w:t>
            </w:r>
            <w:r w:rsidR="00484396" w:rsidRPr="00527BFD">
              <w:t>ablet</w:t>
            </w:r>
            <w:r w:rsidRPr="00527BFD">
              <w:t xml:space="preserve"> and</w:t>
            </w:r>
            <w:r w:rsidR="00484396" w:rsidRPr="00527BFD">
              <w:t xml:space="preserve"> </w:t>
            </w:r>
            <w:r w:rsidR="00C66DDF" w:rsidRPr="00527BFD">
              <w:t xml:space="preserve">prolonged-release </w:t>
            </w:r>
            <w:r w:rsidRPr="00527BFD">
              <w:t>s</w:t>
            </w:r>
            <w:r w:rsidR="00484396" w:rsidRPr="00527BFD">
              <w:t>uspension for injection</w:t>
            </w:r>
          </w:p>
        </w:tc>
      </w:tr>
      <w:tr w:rsidR="009F2673" w:rsidRPr="00527BFD" w14:paraId="54D97E83" w14:textId="77777777" w:rsidTr="00645E5B">
        <w:tc>
          <w:tcPr>
            <w:tcW w:w="1577" w:type="pct"/>
          </w:tcPr>
          <w:p w14:paraId="768A1966" w14:textId="68AFB363" w:rsidR="009F2673" w:rsidRPr="00527BFD" w:rsidRDefault="009F2673" w:rsidP="009E5A87">
            <w:pPr>
              <w:rPr>
                <w:i/>
              </w:rPr>
            </w:pPr>
            <w:r w:rsidRPr="00527BFD">
              <w:rPr>
                <w:i/>
              </w:rPr>
              <w:t>Strengths:</w:t>
            </w:r>
          </w:p>
        </w:tc>
        <w:tc>
          <w:tcPr>
            <w:tcW w:w="3423" w:type="pct"/>
          </w:tcPr>
          <w:p w14:paraId="2AFD5CAF" w14:textId="49EB7A3C" w:rsidR="009F2673" w:rsidRPr="00527BFD" w:rsidRDefault="00484396" w:rsidP="009E5A87">
            <w:r w:rsidRPr="00527BFD">
              <w:t xml:space="preserve">30 mg </w:t>
            </w:r>
            <w:r w:rsidR="00135B20">
              <w:t xml:space="preserve">(tablet) </w:t>
            </w:r>
            <w:r w:rsidRPr="00527BFD">
              <w:t>and 600 mg/3 mL</w:t>
            </w:r>
            <w:r w:rsidR="00135B20">
              <w:t xml:space="preserve"> (suspension for injection)</w:t>
            </w:r>
          </w:p>
        </w:tc>
      </w:tr>
      <w:tr w:rsidR="009F2673" w:rsidRPr="00527BFD" w14:paraId="3EC1C63D" w14:textId="77777777" w:rsidTr="00645E5B">
        <w:tc>
          <w:tcPr>
            <w:tcW w:w="1577" w:type="pct"/>
          </w:tcPr>
          <w:p w14:paraId="36D758BC" w14:textId="0A3B5A49" w:rsidR="009F2673" w:rsidRPr="00527BFD" w:rsidRDefault="009F2673" w:rsidP="009E5A87">
            <w:pPr>
              <w:rPr>
                <w:i/>
              </w:rPr>
            </w:pPr>
            <w:r w:rsidRPr="00527BFD">
              <w:rPr>
                <w:i/>
              </w:rPr>
              <w:t>Containers:</w:t>
            </w:r>
          </w:p>
        </w:tc>
        <w:tc>
          <w:tcPr>
            <w:tcW w:w="3423" w:type="pct"/>
          </w:tcPr>
          <w:p w14:paraId="7E73E269" w14:textId="34E67763" w:rsidR="009F2673" w:rsidRPr="00527BFD" w:rsidRDefault="00484396" w:rsidP="009E5A87">
            <w:r w:rsidRPr="00527BFD">
              <w:t>Bottle</w:t>
            </w:r>
            <w:r w:rsidR="0035581C" w:rsidRPr="00527BFD">
              <w:t xml:space="preserve"> and</w:t>
            </w:r>
            <w:r w:rsidRPr="00527BFD">
              <w:t xml:space="preserve"> vial</w:t>
            </w:r>
          </w:p>
        </w:tc>
      </w:tr>
      <w:tr w:rsidR="009F2673" w:rsidRPr="00527BFD" w14:paraId="11AF97BF" w14:textId="77777777" w:rsidTr="00645E5B">
        <w:tc>
          <w:tcPr>
            <w:tcW w:w="1577" w:type="pct"/>
          </w:tcPr>
          <w:p w14:paraId="2ADEE1D0" w14:textId="05E08B15" w:rsidR="009F2673" w:rsidRPr="00527BFD" w:rsidRDefault="009F2673" w:rsidP="009E5A87">
            <w:pPr>
              <w:rPr>
                <w:i/>
              </w:rPr>
            </w:pPr>
            <w:r w:rsidRPr="00527BFD">
              <w:rPr>
                <w:i/>
              </w:rPr>
              <w:t>Pack sizes:</w:t>
            </w:r>
          </w:p>
        </w:tc>
        <w:tc>
          <w:tcPr>
            <w:tcW w:w="3423" w:type="pct"/>
          </w:tcPr>
          <w:p w14:paraId="2524F880" w14:textId="54BE79F0" w:rsidR="009F2673" w:rsidRPr="00527BFD" w:rsidRDefault="00484396" w:rsidP="009E5A87">
            <w:r w:rsidRPr="00527BFD">
              <w:t>30 tablets</w:t>
            </w:r>
          </w:p>
          <w:p w14:paraId="43899F43" w14:textId="6B36B5CF" w:rsidR="00484396" w:rsidRPr="00527BFD" w:rsidRDefault="0035581C" w:rsidP="0035581C">
            <w:r w:rsidRPr="00527BFD">
              <w:t xml:space="preserve">One </w:t>
            </w:r>
            <w:r w:rsidR="00484396" w:rsidRPr="00527BFD">
              <w:t xml:space="preserve">vial 600 mg/3 mL </w:t>
            </w:r>
            <w:r w:rsidRPr="00527BFD">
              <w:t xml:space="preserve">or </w:t>
            </w:r>
            <w:r w:rsidR="00135B20">
              <w:t xml:space="preserve">pack of </w:t>
            </w:r>
            <w:r w:rsidR="00484396" w:rsidRPr="00527BFD">
              <w:t>25 x 1 vial 600 mg/3</w:t>
            </w:r>
            <w:r w:rsidR="005864D6">
              <w:t> </w:t>
            </w:r>
            <w:r w:rsidR="00484396" w:rsidRPr="00527BFD">
              <w:t>mL</w:t>
            </w:r>
          </w:p>
        </w:tc>
      </w:tr>
      <w:tr w:rsidR="009F2673" w:rsidRPr="00527BFD" w14:paraId="34B8E5BB" w14:textId="77777777" w:rsidTr="00645E5B">
        <w:tc>
          <w:tcPr>
            <w:tcW w:w="1577" w:type="pct"/>
          </w:tcPr>
          <w:p w14:paraId="185D3C07" w14:textId="77777777" w:rsidR="009F2673" w:rsidRPr="00527BFD" w:rsidRDefault="009F2673" w:rsidP="009E5A87">
            <w:pPr>
              <w:rPr>
                <w:i/>
              </w:rPr>
            </w:pPr>
            <w:r w:rsidRPr="00527BFD">
              <w:rPr>
                <w:i/>
              </w:rPr>
              <w:t>Approved therapeutic use:</w:t>
            </w:r>
          </w:p>
        </w:tc>
        <w:tc>
          <w:tcPr>
            <w:tcW w:w="3423" w:type="pct"/>
          </w:tcPr>
          <w:p w14:paraId="2FD347C7" w14:textId="1F2B1211" w:rsidR="0035581C" w:rsidRPr="00527BFD" w:rsidRDefault="005F0BCE" w:rsidP="0035581C">
            <w:pPr>
              <w:rPr>
                <w:i/>
                <w:iCs/>
              </w:rPr>
            </w:pPr>
            <w:proofErr w:type="spellStart"/>
            <w:r w:rsidRPr="00527BFD">
              <w:rPr>
                <w:i/>
                <w:iCs/>
              </w:rPr>
              <w:t>Apretude</w:t>
            </w:r>
            <w:proofErr w:type="spellEnd"/>
            <w:r w:rsidR="0035581C" w:rsidRPr="00527BFD">
              <w:rPr>
                <w:i/>
                <w:iCs/>
              </w:rPr>
              <w:t xml:space="preserve"> is indicated in at-risk adults and adolescents (at least 12 years of age) and weighing at least 35 kg for pre</w:t>
            </w:r>
            <w:r w:rsidR="005864D6">
              <w:rPr>
                <w:i/>
                <w:iCs/>
              </w:rPr>
              <w:noBreakHyphen/>
            </w:r>
            <w:r w:rsidR="0035581C" w:rsidRPr="00527BFD">
              <w:rPr>
                <w:i/>
                <w:iCs/>
              </w:rPr>
              <w:t>exposure prophylaxis (</w:t>
            </w:r>
            <w:proofErr w:type="spellStart"/>
            <w:r w:rsidR="0035581C" w:rsidRPr="00527BFD">
              <w:rPr>
                <w:i/>
                <w:iCs/>
              </w:rPr>
              <w:t>PrEP</w:t>
            </w:r>
            <w:proofErr w:type="spellEnd"/>
            <w:r w:rsidR="0035581C" w:rsidRPr="00527BFD">
              <w:rPr>
                <w:i/>
                <w:iCs/>
              </w:rPr>
              <w:t>) to reduce the risk of sexually acquired HIV-1 infection.</w:t>
            </w:r>
          </w:p>
          <w:p w14:paraId="57757901" w14:textId="290D22F1" w:rsidR="0035581C" w:rsidRPr="00527BFD" w:rsidRDefault="005F0BCE" w:rsidP="0035581C">
            <w:pPr>
              <w:rPr>
                <w:i/>
                <w:iCs/>
              </w:rPr>
            </w:pPr>
            <w:proofErr w:type="spellStart"/>
            <w:r w:rsidRPr="00527BFD">
              <w:rPr>
                <w:i/>
                <w:iCs/>
              </w:rPr>
              <w:t>Apretude</w:t>
            </w:r>
            <w:proofErr w:type="spellEnd"/>
            <w:r w:rsidR="0035581C" w:rsidRPr="00527BFD">
              <w:rPr>
                <w:i/>
                <w:iCs/>
              </w:rPr>
              <w:t xml:space="preserve"> tablets may be used as an oral lead-in to assess tolerability of cabotegravir prior to administration of cabotegravir injections or as short-term oral </w:t>
            </w:r>
            <w:proofErr w:type="spellStart"/>
            <w:r w:rsidR="0035581C" w:rsidRPr="00527BFD">
              <w:rPr>
                <w:i/>
                <w:iCs/>
              </w:rPr>
              <w:t>PrEP</w:t>
            </w:r>
            <w:proofErr w:type="spellEnd"/>
            <w:r w:rsidR="0035581C" w:rsidRPr="00527BFD">
              <w:rPr>
                <w:i/>
                <w:iCs/>
              </w:rPr>
              <w:t xml:space="preserve"> in individuals who will miss planned dosing with cabotegravir injections.</w:t>
            </w:r>
          </w:p>
          <w:p w14:paraId="4BD49084" w14:textId="09447A2C" w:rsidR="0035581C" w:rsidRPr="00527BFD" w:rsidRDefault="0035581C" w:rsidP="0035581C">
            <w:r w:rsidRPr="00527BFD">
              <w:rPr>
                <w:i/>
                <w:iCs/>
              </w:rPr>
              <w:t xml:space="preserve">Individuals must have a documented negative HIV-1 test prior to initiating </w:t>
            </w:r>
            <w:proofErr w:type="spellStart"/>
            <w:r w:rsidR="005F0BCE" w:rsidRPr="00527BFD">
              <w:rPr>
                <w:i/>
                <w:iCs/>
              </w:rPr>
              <w:t>Apretude</w:t>
            </w:r>
            <w:proofErr w:type="spellEnd"/>
            <w:r w:rsidRPr="00527BFD">
              <w:rPr>
                <w:i/>
                <w:iCs/>
              </w:rPr>
              <w:t xml:space="preserve"> for HIV-1 </w:t>
            </w:r>
            <w:proofErr w:type="spellStart"/>
            <w:r w:rsidRPr="00527BFD">
              <w:rPr>
                <w:i/>
                <w:iCs/>
              </w:rPr>
              <w:t>PrEP.</w:t>
            </w:r>
            <w:proofErr w:type="spellEnd"/>
          </w:p>
        </w:tc>
      </w:tr>
      <w:tr w:rsidR="009F2673" w:rsidRPr="00527BFD" w14:paraId="16031BEC" w14:textId="77777777" w:rsidTr="00645E5B">
        <w:tc>
          <w:tcPr>
            <w:tcW w:w="1577" w:type="pct"/>
          </w:tcPr>
          <w:p w14:paraId="3451FF3E" w14:textId="3214ED2B" w:rsidR="009F2673" w:rsidRPr="00527BFD" w:rsidRDefault="009F2673" w:rsidP="009E5A87">
            <w:pPr>
              <w:rPr>
                <w:i/>
              </w:rPr>
            </w:pPr>
            <w:r w:rsidRPr="00527BFD">
              <w:rPr>
                <w:i/>
              </w:rPr>
              <w:t>Routes of administration:</w:t>
            </w:r>
          </w:p>
        </w:tc>
        <w:tc>
          <w:tcPr>
            <w:tcW w:w="3423" w:type="pct"/>
          </w:tcPr>
          <w:p w14:paraId="48B9ABDD" w14:textId="37185215" w:rsidR="009F2673" w:rsidRPr="00527BFD" w:rsidRDefault="00484396" w:rsidP="0035581C">
            <w:r w:rsidRPr="00527BFD">
              <w:t>Oral</w:t>
            </w:r>
            <w:r w:rsidR="0035581C" w:rsidRPr="00527BFD">
              <w:t xml:space="preserve"> and intramuscular</w:t>
            </w:r>
          </w:p>
        </w:tc>
      </w:tr>
      <w:tr w:rsidR="009F2673" w:rsidRPr="00527BFD" w14:paraId="735DE770" w14:textId="77777777" w:rsidTr="00645E5B">
        <w:tc>
          <w:tcPr>
            <w:tcW w:w="1577" w:type="pct"/>
          </w:tcPr>
          <w:p w14:paraId="1052F006" w14:textId="77777777" w:rsidR="009F2673" w:rsidRPr="00527BFD" w:rsidRDefault="009F2673" w:rsidP="009E5A87">
            <w:pPr>
              <w:rPr>
                <w:i/>
              </w:rPr>
            </w:pPr>
            <w:r w:rsidRPr="00527BFD">
              <w:rPr>
                <w:i/>
              </w:rPr>
              <w:lastRenderedPageBreak/>
              <w:t>Dosage:</w:t>
            </w:r>
          </w:p>
        </w:tc>
        <w:tc>
          <w:tcPr>
            <w:tcW w:w="3423" w:type="pct"/>
          </w:tcPr>
          <w:p w14:paraId="454B3010" w14:textId="13742A9E" w:rsidR="00022ABF" w:rsidRPr="00527BFD" w:rsidRDefault="00022ABF" w:rsidP="00022ABF">
            <w:r w:rsidRPr="00527BFD">
              <w:t xml:space="preserve">Individuals must have had a documented negative </w:t>
            </w:r>
            <w:r w:rsidR="00E83512" w:rsidRPr="00527BFD">
              <w:t xml:space="preserve">human immunodeficiency virus </w:t>
            </w:r>
            <w:r w:rsidR="00C24737" w:rsidRPr="00527BFD">
              <w:t xml:space="preserve">type 1 </w:t>
            </w:r>
            <w:r w:rsidR="00E83512" w:rsidRPr="00527BFD">
              <w:t>(</w:t>
            </w:r>
            <w:r w:rsidRPr="00527BFD">
              <w:t>HIV-1</w:t>
            </w:r>
            <w:r w:rsidR="00C24737" w:rsidRPr="00527BFD">
              <w:t>)</w:t>
            </w:r>
            <w:r w:rsidRPr="00527BFD">
              <w:t xml:space="preserve"> test, in accordance with applicable guidelines, prior to initiating </w:t>
            </w:r>
            <w:proofErr w:type="spellStart"/>
            <w:r w:rsidR="005F0BCE" w:rsidRPr="00527BFD">
              <w:t>Apretude</w:t>
            </w:r>
            <w:proofErr w:type="spellEnd"/>
            <w:r w:rsidRPr="00527BFD">
              <w:t>.</w:t>
            </w:r>
          </w:p>
          <w:p w14:paraId="1C781846" w14:textId="68C85EF2" w:rsidR="00022ABF" w:rsidRPr="00527BFD" w:rsidRDefault="00022ABF" w:rsidP="00022ABF">
            <w:r w:rsidRPr="00527BFD">
              <w:t xml:space="preserve">Prior to starting </w:t>
            </w:r>
            <w:proofErr w:type="spellStart"/>
            <w:r w:rsidR="005F0BCE" w:rsidRPr="00527BFD">
              <w:t>Apretude</w:t>
            </w:r>
            <w:proofErr w:type="spellEnd"/>
            <w:r w:rsidRPr="00527BFD">
              <w:t xml:space="preserve">, healthcare professionals should carefully select individuals who agree to the required injection dosing schedule and counsel individuals about the importance of adherence to scheduled dosing visits to help reduce the risk of acquiring HIV-1 infection (see </w:t>
            </w:r>
            <w:r w:rsidR="00E83512" w:rsidRPr="00527BFD">
              <w:t>Section </w:t>
            </w:r>
            <w:r w:rsidRPr="00527BFD">
              <w:t xml:space="preserve">4.4 </w:t>
            </w:r>
            <w:r w:rsidR="00E83512" w:rsidRPr="00527BFD">
              <w:t xml:space="preserve">Special </w:t>
            </w:r>
            <w:r w:rsidR="005864D6" w:rsidRPr="00527BFD">
              <w:t xml:space="preserve">warnings and precautions for use </w:t>
            </w:r>
            <w:r w:rsidR="00E83512" w:rsidRPr="00527BFD">
              <w:t>of the Product Information (PI)</w:t>
            </w:r>
            <w:r w:rsidRPr="00527BFD">
              <w:t>).</w:t>
            </w:r>
          </w:p>
          <w:p w14:paraId="53315640" w14:textId="74D543C7" w:rsidR="00022ABF" w:rsidRPr="00527BFD" w:rsidRDefault="00022ABF" w:rsidP="00022ABF">
            <w:r w:rsidRPr="00527BFD">
              <w:t xml:space="preserve">Dosage is based on multiple factors, including the routes of administration, </w:t>
            </w:r>
            <w:proofErr w:type="gramStart"/>
            <w:r w:rsidRPr="00527BFD">
              <w:t>age</w:t>
            </w:r>
            <w:proofErr w:type="gramEnd"/>
            <w:r w:rsidRPr="00527BFD">
              <w:t xml:space="preserve"> and weight of the patient.</w:t>
            </w:r>
          </w:p>
          <w:p w14:paraId="3D9E7E93" w14:textId="1FBDDF85" w:rsidR="00022ABF" w:rsidRPr="00527BFD" w:rsidRDefault="00022ABF" w:rsidP="00022ABF">
            <w:pPr>
              <w:rPr>
                <w:b/>
                <w:bCs/>
              </w:rPr>
            </w:pPr>
            <w:r w:rsidRPr="00527BFD">
              <w:rPr>
                <w:b/>
                <w:bCs/>
              </w:rPr>
              <w:t>Adults, adolescents weighing at least 35 kg</w:t>
            </w:r>
          </w:p>
          <w:p w14:paraId="046AB1CF" w14:textId="7C415F2D" w:rsidR="00022ABF" w:rsidRPr="00527BFD" w:rsidRDefault="00022ABF" w:rsidP="00022ABF">
            <w:r w:rsidRPr="00527BFD">
              <w:t xml:space="preserve">Following discussion with the individual, the physician may proceed directly to </w:t>
            </w:r>
            <w:proofErr w:type="spellStart"/>
            <w:r w:rsidR="005F0BCE" w:rsidRPr="00527BFD">
              <w:t>Apretude</w:t>
            </w:r>
            <w:proofErr w:type="spellEnd"/>
            <w:r w:rsidRPr="00527BFD">
              <w:t xml:space="preserve"> injection, (see Table 2 </w:t>
            </w:r>
            <w:r w:rsidRPr="00096C61">
              <w:t xml:space="preserve">Recommended </w:t>
            </w:r>
            <w:r w:rsidR="00E83512" w:rsidRPr="00096C61">
              <w:t xml:space="preserve">intramuscular dosing schedule </w:t>
            </w:r>
            <w:r w:rsidRPr="00096C61">
              <w:t xml:space="preserve">of the </w:t>
            </w:r>
            <w:r w:rsidR="00E83512" w:rsidRPr="00096C61">
              <w:t>PI</w:t>
            </w:r>
            <w:r w:rsidRPr="00527BFD">
              <w:t>).</w:t>
            </w:r>
          </w:p>
          <w:p w14:paraId="0C3414F7" w14:textId="5AA4997F" w:rsidR="00022ABF" w:rsidRPr="00527BFD" w:rsidRDefault="00022ABF" w:rsidP="00022ABF">
            <w:r w:rsidRPr="00527BFD">
              <w:t xml:space="preserve">Alternatively, </w:t>
            </w:r>
            <w:proofErr w:type="spellStart"/>
            <w:r w:rsidR="005F0BCE" w:rsidRPr="00527BFD">
              <w:t>Apretude</w:t>
            </w:r>
            <w:proofErr w:type="spellEnd"/>
            <w:r w:rsidRPr="00527BFD">
              <w:t xml:space="preserve"> tablets may be used as an oral lead</w:t>
            </w:r>
            <w:r w:rsidR="00665CD8" w:rsidRPr="00527BFD">
              <w:noBreakHyphen/>
            </w:r>
            <w:r w:rsidRPr="00527BFD">
              <w:t xml:space="preserve">in prior to the initiation of </w:t>
            </w:r>
            <w:proofErr w:type="spellStart"/>
            <w:r w:rsidR="005F0BCE" w:rsidRPr="00527BFD">
              <w:t>Apretude</w:t>
            </w:r>
            <w:proofErr w:type="spellEnd"/>
            <w:r w:rsidRPr="00527BFD">
              <w:t xml:space="preserve"> injection to assess tolerability to cabotegravir (see Table 1 </w:t>
            </w:r>
            <w:r w:rsidRPr="00230C10">
              <w:t xml:space="preserve">Oral </w:t>
            </w:r>
            <w:r w:rsidR="00E83512" w:rsidRPr="00230C10">
              <w:t>lead-in dosing schedule</w:t>
            </w:r>
            <w:r w:rsidRPr="00230C10">
              <w:t xml:space="preserve"> of the </w:t>
            </w:r>
            <w:r w:rsidR="00E83512" w:rsidRPr="00230C10">
              <w:t>PI</w:t>
            </w:r>
            <w:r w:rsidRPr="00527BFD">
              <w:t>).</w:t>
            </w:r>
          </w:p>
          <w:p w14:paraId="4514F523" w14:textId="4D5F90FC" w:rsidR="00022ABF" w:rsidRPr="00527BFD" w:rsidRDefault="00022ABF" w:rsidP="00022ABF">
            <w:pPr>
              <w:rPr>
                <w:b/>
                <w:bCs/>
              </w:rPr>
            </w:pPr>
            <w:r w:rsidRPr="00527BFD">
              <w:rPr>
                <w:b/>
                <w:bCs/>
              </w:rPr>
              <w:t xml:space="preserve">Oral </w:t>
            </w:r>
            <w:r w:rsidR="00E83512" w:rsidRPr="00527BFD">
              <w:rPr>
                <w:b/>
                <w:bCs/>
              </w:rPr>
              <w:t>lead-in (film-coated tablets)</w:t>
            </w:r>
          </w:p>
          <w:p w14:paraId="144A4011" w14:textId="3D331FFE" w:rsidR="00022ABF" w:rsidRPr="00527BFD" w:rsidRDefault="00022ABF" w:rsidP="00022ABF">
            <w:r w:rsidRPr="00527BFD">
              <w:t xml:space="preserve">When used for oral lead-in, </w:t>
            </w:r>
            <w:proofErr w:type="spellStart"/>
            <w:r w:rsidR="005F0BCE" w:rsidRPr="00527BFD">
              <w:t>Apretude</w:t>
            </w:r>
            <w:proofErr w:type="spellEnd"/>
            <w:r w:rsidRPr="00527BFD">
              <w:t xml:space="preserve"> tablets are recommended for approximately one month (at least 28</w:t>
            </w:r>
            <w:r w:rsidR="00E83512" w:rsidRPr="00527BFD">
              <w:t> </w:t>
            </w:r>
            <w:r w:rsidRPr="00527BFD">
              <w:t xml:space="preserve">days) prior to the initiation of </w:t>
            </w:r>
            <w:proofErr w:type="spellStart"/>
            <w:r w:rsidR="005F0BCE" w:rsidRPr="00527BFD">
              <w:t>Apretude</w:t>
            </w:r>
            <w:proofErr w:type="spellEnd"/>
            <w:r w:rsidRPr="00527BFD">
              <w:t xml:space="preserve"> injection to assess tolerability to cabotegravir.</w:t>
            </w:r>
          </w:p>
          <w:p w14:paraId="2E3B65E2" w14:textId="4CC1C1F4" w:rsidR="00022ABF" w:rsidRPr="00527BFD" w:rsidRDefault="00022ABF" w:rsidP="00022ABF">
            <w:pPr>
              <w:rPr>
                <w:b/>
                <w:bCs/>
              </w:rPr>
            </w:pPr>
            <w:r w:rsidRPr="00527BFD">
              <w:rPr>
                <w:b/>
                <w:bCs/>
              </w:rPr>
              <w:t>Prolonged-release suspension for injection</w:t>
            </w:r>
          </w:p>
          <w:p w14:paraId="37C05BFB" w14:textId="742AC78B" w:rsidR="00022ABF" w:rsidRPr="00527BFD" w:rsidRDefault="00022ABF" w:rsidP="00022ABF">
            <w:pPr>
              <w:rPr>
                <w:i/>
                <w:iCs/>
              </w:rPr>
            </w:pPr>
            <w:r w:rsidRPr="00527BFD">
              <w:rPr>
                <w:i/>
                <w:iCs/>
              </w:rPr>
              <w:t>Initiation</w:t>
            </w:r>
            <w:r w:rsidR="00E83512" w:rsidRPr="00527BFD">
              <w:rPr>
                <w:i/>
                <w:iCs/>
              </w:rPr>
              <w:t xml:space="preserve"> injections</w:t>
            </w:r>
          </w:p>
          <w:p w14:paraId="69956D98" w14:textId="03A34E3D" w:rsidR="00022ABF" w:rsidRPr="00527BFD" w:rsidRDefault="00022ABF" w:rsidP="00022ABF">
            <w:r w:rsidRPr="00527BFD">
              <w:t xml:space="preserve">The recommended initial </w:t>
            </w:r>
            <w:proofErr w:type="spellStart"/>
            <w:r w:rsidR="005F0BCE" w:rsidRPr="00527BFD">
              <w:t>Apretude</w:t>
            </w:r>
            <w:proofErr w:type="spellEnd"/>
            <w:r w:rsidRPr="00527BFD">
              <w:t xml:space="preserve"> injection dose is a single 3</w:t>
            </w:r>
            <w:r w:rsidR="00E83512" w:rsidRPr="00527BFD">
              <w:t> </w:t>
            </w:r>
            <w:r w:rsidRPr="00527BFD">
              <w:t>mL (600 mg) intramuscular injection. If oral lead</w:t>
            </w:r>
            <w:r w:rsidR="00E83512" w:rsidRPr="00527BFD">
              <w:noBreakHyphen/>
            </w:r>
            <w:r w:rsidRPr="00527BFD">
              <w:t>in has been used, the first injection should be planned for the last day of oral lead-in or within 3 days thereafter.</w:t>
            </w:r>
          </w:p>
          <w:p w14:paraId="249A5004" w14:textId="23AB05FB" w:rsidR="00022ABF" w:rsidRPr="00527BFD" w:rsidRDefault="00022ABF" w:rsidP="00022ABF">
            <w:r w:rsidRPr="00527BFD">
              <w:t>One month later, a second 3 mL (600 mg) intramuscular injection should be administered. Individuals may be given the second 3 mL (600 mg) initiation injection up to 7 days before or after the scheduled dosing date.</w:t>
            </w:r>
          </w:p>
          <w:p w14:paraId="4EFC5D3A" w14:textId="4FFD1EAB" w:rsidR="00022ABF" w:rsidRPr="00527BFD" w:rsidRDefault="00022ABF" w:rsidP="00022ABF">
            <w:pPr>
              <w:rPr>
                <w:i/>
                <w:iCs/>
              </w:rPr>
            </w:pPr>
            <w:r w:rsidRPr="00527BFD">
              <w:rPr>
                <w:i/>
                <w:iCs/>
              </w:rPr>
              <w:t xml:space="preserve">Continuation </w:t>
            </w:r>
            <w:r w:rsidR="00E83512" w:rsidRPr="00527BFD">
              <w:rPr>
                <w:i/>
                <w:iCs/>
              </w:rPr>
              <w:t>injections</w:t>
            </w:r>
          </w:p>
          <w:p w14:paraId="087A90F1" w14:textId="216EB3A0" w:rsidR="00022ABF" w:rsidRPr="00527BFD" w:rsidRDefault="00022ABF" w:rsidP="00022ABF">
            <w:r w:rsidRPr="00527BFD">
              <w:t xml:space="preserve">After the second initiation injection, the recommended </w:t>
            </w:r>
            <w:proofErr w:type="spellStart"/>
            <w:r w:rsidR="005F0BCE" w:rsidRPr="00527BFD">
              <w:t>Apretude</w:t>
            </w:r>
            <w:proofErr w:type="spellEnd"/>
            <w:r w:rsidRPr="00527BFD">
              <w:t xml:space="preserve"> continuation injection dose is a single 3</w:t>
            </w:r>
            <w:r w:rsidR="005864D6">
              <w:t> </w:t>
            </w:r>
            <w:r w:rsidRPr="00527BFD">
              <w:t>mL (600</w:t>
            </w:r>
            <w:r w:rsidR="00E83512" w:rsidRPr="00527BFD">
              <w:t> </w:t>
            </w:r>
            <w:r w:rsidRPr="00527BFD">
              <w:t>mg) intramuscular injection administered every 2</w:t>
            </w:r>
            <w:r w:rsidR="00E83512" w:rsidRPr="00527BFD">
              <w:t> </w:t>
            </w:r>
            <w:r w:rsidRPr="00527BFD">
              <w:t>months. Individuals may be given injections up to 7</w:t>
            </w:r>
            <w:r w:rsidR="005864D6">
              <w:t> </w:t>
            </w:r>
            <w:r w:rsidRPr="00527BFD">
              <w:t>days before or after the scheduled dosing date.</w:t>
            </w:r>
          </w:p>
          <w:p w14:paraId="10C1BC35" w14:textId="298BB468" w:rsidR="009F2673" w:rsidRPr="00527BFD" w:rsidRDefault="009F2673" w:rsidP="00022ABF">
            <w:r w:rsidRPr="00527BFD">
              <w:t>For further information regarding dosage, refer to the P</w:t>
            </w:r>
            <w:r w:rsidR="00E83512" w:rsidRPr="00527BFD">
              <w:t>I</w:t>
            </w:r>
            <w:r w:rsidRPr="00527BFD">
              <w:t>.</w:t>
            </w:r>
          </w:p>
        </w:tc>
      </w:tr>
      <w:tr w:rsidR="009F2673" w:rsidRPr="00527BFD" w14:paraId="5A443C76" w14:textId="77777777" w:rsidTr="00645E5B">
        <w:tc>
          <w:tcPr>
            <w:tcW w:w="1577" w:type="pct"/>
          </w:tcPr>
          <w:p w14:paraId="0A62F788" w14:textId="2EEDCDDA" w:rsidR="009A4CC0" w:rsidRPr="005864D6" w:rsidRDefault="009F2673" w:rsidP="009A4CC0">
            <w:pPr>
              <w:rPr>
                <w:i/>
              </w:rPr>
            </w:pPr>
            <w:r w:rsidRPr="00527BFD">
              <w:rPr>
                <w:i/>
              </w:rPr>
              <w:t>Pregnancy category:</w:t>
            </w:r>
          </w:p>
          <w:p w14:paraId="748497A4" w14:textId="6255A334" w:rsidR="009A4CC0" w:rsidRPr="009A4CC0" w:rsidRDefault="009A4CC0" w:rsidP="009A4CC0">
            <w:pPr>
              <w:jc w:val="right"/>
            </w:pPr>
          </w:p>
        </w:tc>
        <w:tc>
          <w:tcPr>
            <w:tcW w:w="3423" w:type="pct"/>
          </w:tcPr>
          <w:p w14:paraId="62778F87" w14:textId="77777777" w:rsidR="0035581C" w:rsidRPr="00527BFD" w:rsidRDefault="0035581C" w:rsidP="0035581C">
            <w:r w:rsidRPr="00527BFD">
              <w:t>B1</w:t>
            </w:r>
          </w:p>
          <w:p w14:paraId="7115F9D3" w14:textId="77777777" w:rsidR="0035581C" w:rsidRPr="00527BFD" w:rsidRDefault="0035581C" w:rsidP="0035581C">
            <w:r w:rsidRPr="00527BFD">
              <w:t xml:space="preserve">Drugs which have been taken by only a limited number of pregnant women and women of childbearing age, without an increase in the frequency of malformation or other </w:t>
            </w:r>
            <w:r w:rsidRPr="00527BFD">
              <w:lastRenderedPageBreak/>
              <w:t xml:space="preserve">direct or indirect harmful effects on the human </w:t>
            </w:r>
            <w:proofErr w:type="spellStart"/>
            <w:r w:rsidRPr="00527BFD">
              <w:t>fetus</w:t>
            </w:r>
            <w:proofErr w:type="spellEnd"/>
            <w:r w:rsidRPr="00527BFD">
              <w:t xml:space="preserve"> having been observed.</w:t>
            </w:r>
          </w:p>
          <w:p w14:paraId="3B0D50E3" w14:textId="77777777" w:rsidR="0035581C" w:rsidRPr="00527BFD" w:rsidRDefault="0035581C" w:rsidP="0035581C">
            <w:r w:rsidRPr="00527BFD">
              <w:t xml:space="preserve">Studies in animals have not shown evidence of an increased occurrence of </w:t>
            </w:r>
            <w:proofErr w:type="spellStart"/>
            <w:r w:rsidRPr="00527BFD">
              <w:t>fetal</w:t>
            </w:r>
            <w:proofErr w:type="spellEnd"/>
            <w:r w:rsidRPr="00527BFD">
              <w:t xml:space="preserve"> damage.</w:t>
            </w:r>
          </w:p>
          <w:p w14:paraId="4B3F664C" w14:textId="1934C996" w:rsidR="009F2673" w:rsidRPr="00527BFD" w:rsidRDefault="009F2673" w:rsidP="0035581C">
            <w:r w:rsidRPr="00527BFD">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6D06651" w14:textId="77777777" w:rsidR="008E7846" w:rsidRPr="00527BFD" w:rsidRDefault="008E7846" w:rsidP="008E7846">
      <w:pPr>
        <w:pStyle w:val="Heading3"/>
      </w:pPr>
      <w:bookmarkStart w:id="27" w:name="_Toc247691503"/>
      <w:bookmarkStart w:id="28" w:name="_Toc314842484"/>
      <w:bookmarkStart w:id="29" w:name="_Toc120100535"/>
      <w:r w:rsidRPr="00527BFD">
        <w:lastRenderedPageBreak/>
        <w:t>Product background</w:t>
      </w:r>
      <w:bookmarkEnd w:id="27"/>
      <w:bookmarkEnd w:id="28"/>
      <w:bookmarkEnd w:id="29"/>
    </w:p>
    <w:p w14:paraId="03F1F70A" w14:textId="01EF097A" w:rsidR="009F2673" w:rsidRPr="00527BFD" w:rsidRDefault="009F2673" w:rsidP="009F2673">
      <w:r w:rsidRPr="00527BFD">
        <w:t xml:space="preserve">This </w:t>
      </w:r>
      <w:proofErr w:type="spellStart"/>
      <w:r w:rsidRPr="00527BFD">
        <w:t>AusPAR</w:t>
      </w:r>
      <w:proofErr w:type="spellEnd"/>
      <w:r w:rsidRPr="00527BFD">
        <w:t xml:space="preserve"> describes the </w:t>
      </w:r>
      <w:r w:rsidR="001E359E" w:rsidRPr="00527BFD">
        <w:t>submission</w:t>
      </w:r>
      <w:r w:rsidRPr="00527BFD">
        <w:t xml:space="preserve"> by </w:t>
      </w:r>
      <w:proofErr w:type="spellStart"/>
      <w:r w:rsidR="00484396" w:rsidRPr="00527BFD">
        <w:t>ViiV</w:t>
      </w:r>
      <w:proofErr w:type="spellEnd"/>
      <w:r w:rsidR="00484396" w:rsidRPr="00527BFD">
        <w:t xml:space="preserve"> Healthcare Pty Ltd </w:t>
      </w:r>
      <w:r w:rsidRPr="00527BFD">
        <w:t xml:space="preserve">(the sponsor) to register </w:t>
      </w:r>
      <w:proofErr w:type="spellStart"/>
      <w:r w:rsidR="00645E5B" w:rsidRPr="00527BFD">
        <w:t>Apretude</w:t>
      </w:r>
      <w:proofErr w:type="spellEnd"/>
      <w:r w:rsidR="00645E5B" w:rsidRPr="00527BFD">
        <w:t xml:space="preserve"> </w:t>
      </w:r>
      <w:r w:rsidRPr="00527BFD">
        <w:t>(</w:t>
      </w:r>
      <w:r w:rsidR="00645E5B" w:rsidRPr="00527BFD">
        <w:t>cabotegravir</w:t>
      </w:r>
      <w:r w:rsidRPr="00527BFD">
        <w:t xml:space="preserve">) </w:t>
      </w:r>
      <w:r w:rsidR="00C66DDF" w:rsidRPr="00527BFD">
        <w:t>30 mg film</w:t>
      </w:r>
      <w:r w:rsidR="00E83512" w:rsidRPr="00527BFD">
        <w:t>-</w:t>
      </w:r>
      <w:r w:rsidR="00C66DDF" w:rsidRPr="00527BFD">
        <w:t>coated tablet and 600 mg/3 mL prolonged-release suspension for injection</w:t>
      </w:r>
      <w:r w:rsidRPr="00527BFD">
        <w:t xml:space="preserve"> for the following proposed extension of indications:</w:t>
      </w:r>
    </w:p>
    <w:p w14:paraId="2F32F37E" w14:textId="13CD1AF8" w:rsidR="00C66DDF" w:rsidRPr="00527BFD" w:rsidRDefault="005F0BCE" w:rsidP="003768A7">
      <w:pPr>
        <w:ind w:left="720"/>
        <w:rPr>
          <w:i/>
          <w:iCs/>
        </w:rPr>
      </w:pPr>
      <w:proofErr w:type="spellStart"/>
      <w:r w:rsidRPr="00527BFD">
        <w:rPr>
          <w:i/>
          <w:iCs/>
        </w:rPr>
        <w:t>Apretude</w:t>
      </w:r>
      <w:proofErr w:type="spellEnd"/>
      <w:r w:rsidR="00C66DDF" w:rsidRPr="00527BFD">
        <w:rPr>
          <w:i/>
          <w:iCs/>
        </w:rPr>
        <w:t xml:space="preserve"> tablets are indicated for short term pre-exposure prophylaxis (</w:t>
      </w:r>
      <w:proofErr w:type="spellStart"/>
      <w:r w:rsidR="00C66DDF" w:rsidRPr="00527BFD">
        <w:rPr>
          <w:i/>
          <w:iCs/>
        </w:rPr>
        <w:t>PrEP</w:t>
      </w:r>
      <w:proofErr w:type="spellEnd"/>
      <w:r w:rsidR="00C66DDF" w:rsidRPr="00527BFD">
        <w:rPr>
          <w:i/>
          <w:iCs/>
        </w:rPr>
        <w:t xml:space="preserve">) to reduce the risk of sexually acquired HIV-1 infection in at-risk individuals weighing at least 35 kg (see 4.2 </w:t>
      </w:r>
      <w:r w:rsidR="00E83512" w:rsidRPr="00527BFD">
        <w:rPr>
          <w:i/>
          <w:iCs/>
        </w:rPr>
        <w:t>Dose and method of administration and 4.4 Special warnings and precautions for use</w:t>
      </w:r>
      <w:r w:rsidR="00C66DDF" w:rsidRPr="00527BFD">
        <w:rPr>
          <w:i/>
          <w:iCs/>
        </w:rPr>
        <w:t>).</w:t>
      </w:r>
    </w:p>
    <w:p w14:paraId="77FDE7E3" w14:textId="5C6E9F4D" w:rsidR="00C66DDF" w:rsidRPr="00527BFD" w:rsidRDefault="005F0BCE" w:rsidP="003768A7">
      <w:pPr>
        <w:ind w:left="720"/>
        <w:rPr>
          <w:i/>
          <w:iCs/>
        </w:rPr>
      </w:pPr>
      <w:proofErr w:type="spellStart"/>
      <w:r w:rsidRPr="00527BFD">
        <w:rPr>
          <w:i/>
          <w:iCs/>
        </w:rPr>
        <w:t>Apretude</w:t>
      </w:r>
      <w:proofErr w:type="spellEnd"/>
      <w:r w:rsidR="00C66DDF" w:rsidRPr="00527BFD">
        <w:rPr>
          <w:i/>
          <w:iCs/>
        </w:rPr>
        <w:t xml:space="preserve"> injections are indicated for </w:t>
      </w:r>
      <w:proofErr w:type="spellStart"/>
      <w:r w:rsidR="00C66DDF" w:rsidRPr="00527BFD">
        <w:rPr>
          <w:i/>
          <w:iCs/>
        </w:rPr>
        <w:t>PrEP</w:t>
      </w:r>
      <w:proofErr w:type="spellEnd"/>
      <w:r w:rsidR="00C66DDF" w:rsidRPr="00527BFD">
        <w:rPr>
          <w:i/>
          <w:iCs/>
        </w:rPr>
        <w:t xml:space="preserve"> to reduce the risk of sexually acquired HIV-1 infection in at-risk individuals weighing at least 35 kg (see 4.2 </w:t>
      </w:r>
      <w:r w:rsidR="00E83512" w:rsidRPr="00527BFD">
        <w:rPr>
          <w:i/>
          <w:iCs/>
        </w:rPr>
        <w:t>Dose and method of administration and 4.4 Special warnings and precautions for use).</w:t>
      </w:r>
    </w:p>
    <w:p w14:paraId="7CBB6FA5" w14:textId="70F8A6C9" w:rsidR="001E70E6" w:rsidRPr="00527BFD" w:rsidRDefault="001E70E6" w:rsidP="001E70E6">
      <w:bookmarkStart w:id="30" w:name="_Toc314842485"/>
      <w:bookmarkStart w:id="31" w:name="_Toc247691504"/>
      <w:r w:rsidRPr="00527BFD">
        <w:t xml:space="preserve">Human </w:t>
      </w:r>
      <w:r w:rsidR="00E83512" w:rsidRPr="00527BFD">
        <w:t xml:space="preserve">immunodeficiency virus </w:t>
      </w:r>
      <w:r w:rsidRPr="00527BFD">
        <w:t>(HIV) is a retrovirus which primarily infects CD4+ T</w:t>
      </w:r>
      <w:r w:rsidR="00D32DBE" w:rsidRPr="00527BFD">
        <w:noBreakHyphen/>
      </w:r>
      <w:r w:rsidRPr="00527BFD">
        <w:t>lymphocytes, causing progressive destruction of CD4+ T</w:t>
      </w:r>
      <w:r w:rsidR="00D32DBE" w:rsidRPr="00527BFD">
        <w:t>-</w:t>
      </w:r>
      <w:r w:rsidRPr="00527BFD">
        <w:t xml:space="preserve">cells, eventually leading to the clinical disease characterised as acquired immunodeficiency disease syndrome (AIDS). Once integrated into the host cells, the HIV </w:t>
      </w:r>
      <w:bookmarkStart w:id="32" w:name="_Hlk116210978"/>
      <w:r w:rsidR="000B10F7" w:rsidRPr="00527BFD">
        <w:t xml:space="preserve">deoxyribonucleic acid </w:t>
      </w:r>
      <w:bookmarkEnd w:id="32"/>
      <w:r w:rsidR="000B10F7" w:rsidRPr="00527BFD">
        <w:t>(</w:t>
      </w:r>
      <w:r w:rsidRPr="00527BFD">
        <w:t>DNA</w:t>
      </w:r>
      <w:r w:rsidR="000B10F7" w:rsidRPr="00527BFD">
        <w:t>)</w:t>
      </w:r>
      <w:r w:rsidRPr="00527BFD">
        <w:t xml:space="preserve"> remains forever within the infected cell genome, which makes eradication challenging.</w:t>
      </w:r>
    </w:p>
    <w:p w14:paraId="33AB08BD" w14:textId="3F503B6D" w:rsidR="001E70E6" w:rsidRPr="00527BFD" w:rsidRDefault="001E70E6" w:rsidP="001E70E6">
      <w:r w:rsidRPr="00527BFD">
        <w:t>The development of antiretroviral therapy has seen a marked reduction in the incidence of HIV</w:t>
      </w:r>
      <w:r w:rsidR="00D32DBE" w:rsidRPr="00527BFD">
        <w:noBreakHyphen/>
      </w:r>
      <w:r w:rsidRPr="00527BFD">
        <w:t>AIDS and its associated mortality and morbidity. More recently, pre-exposure prophylaxis</w:t>
      </w:r>
      <w:r w:rsidR="00D32DBE" w:rsidRPr="00527BFD">
        <w:t xml:space="preserve"> </w:t>
      </w:r>
      <w:r w:rsidRPr="00527BFD">
        <w:t>(</w:t>
      </w:r>
      <w:proofErr w:type="spellStart"/>
      <w:r w:rsidRPr="00527BFD">
        <w:t>PrEP</w:t>
      </w:r>
      <w:proofErr w:type="spellEnd"/>
      <w:r w:rsidRPr="00527BFD">
        <w:t xml:space="preserve">) has been utilised to reduce the risk of people becoming infected with HIV despite being exposed to the virus. </w:t>
      </w:r>
      <w:proofErr w:type="spellStart"/>
      <w:r w:rsidRPr="00527BFD">
        <w:t>PrEP</w:t>
      </w:r>
      <w:proofErr w:type="spellEnd"/>
      <w:r w:rsidRPr="00527BFD">
        <w:t xml:space="preserve"> will only be effective in preventing new infections if it is used correctly and persistently by persons at risk of acquiring HIV.</w:t>
      </w:r>
    </w:p>
    <w:p w14:paraId="63CB644D" w14:textId="2DC66630" w:rsidR="001E70E6" w:rsidRPr="00527BFD" w:rsidRDefault="001E70E6" w:rsidP="001E70E6">
      <w:r w:rsidRPr="00527BFD">
        <w:t xml:space="preserve">The HIV pandemic remains a global public health concern, with 37.7 million people living with HIV and an estimated 1.5 million </w:t>
      </w:r>
      <w:r w:rsidR="007E4BE5">
        <w:t>new HIV infections</w:t>
      </w:r>
      <w:r w:rsidRPr="00527BFD">
        <w:t>, and 6</w:t>
      </w:r>
      <w:r w:rsidR="007E4BE5">
        <w:t>8</w:t>
      </w:r>
      <w:r w:rsidRPr="00527BFD">
        <w:t>0,000 deaths globally in 2020.</w:t>
      </w:r>
      <w:bookmarkStart w:id="33" w:name="_Ref116218453"/>
      <w:r w:rsidR="00D32DBE" w:rsidRPr="00527BFD">
        <w:rPr>
          <w:rStyle w:val="FootnoteReference"/>
        </w:rPr>
        <w:footnoteReference w:id="1"/>
      </w:r>
      <w:bookmarkEnd w:id="33"/>
      <w:r w:rsidRPr="00527BFD">
        <w:t xml:space="preserve"> While new infections globally have been declining overall, epidemics in specific regions continue to grow. HIV transmission between humans occurs via sexual intercourse, exposure to infected blood, or during pregnancy</w:t>
      </w:r>
      <w:r w:rsidR="00D32DBE" w:rsidRPr="00527BFD">
        <w:t xml:space="preserve"> or </w:t>
      </w:r>
      <w:r w:rsidRPr="00527BFD">
        <w:t>childbirth. The probability of acquiring HIV is dependent on the type of exposure.</w:t>
      </w:r>
      <w:r w:rsidR="00D32DBE" w:rsidRPr="00527BFD">
        <w:rPr>
          <w:rStyle w:val="FootnoteReference"/>
        </w:rPr>
        <w:footnoteReference w:id="2"/>
      </w:r>
      <w:r w:rsidRPr="00527BFD">
        <w:t xml:space="preserve"> Populations disproportionately affected by the ongoing HIV pandemic vary by region, but include sex workers, persons who inject drugs, prisoners, transgender people, and </w:t>
      </w:r>
      <w:r w:rsidR="001C1AE8" w:rsidRPr="00527BFD">
        <w:t xml:space="preserve">cisgender </w:t>
      </w:r>
      <w:r w:rsidRPr="00527BFD">
        <w:t xml:space="preserve">men who have sex with </w:t>
      </w:r>
      <w:r w:rsidRPr="00527BFD">
        <w:lastRenderedPageBreak/>
        <w:t>men and their sexual partners.</w:t>
      </w:r>
      <w:r w:rsidR="004221E5" w:rsidRPr="004221E5">
        <w:rPr>
          <w:vertAlign w:val="superscript"/>
        </w:rPr>
        <w:fldChar w:fldCharType="begin"/>
      </w:r>
      <w:r w:rsidR="004221E5" w:rsidRPr="004221E5">
        <w:rPr>
          <w:vertAlign w:val="superscript"/>
        </w:rPr>
        <w:instrText xml:space="preserve"> NOTEREF _Ref116218453 \h </w:instrText>
      </w:r>
      <w:r w:rsidR="004221E5">
        <w:rPr>
          <w:vertAlign w:val="superscript"/>
        </w:rPr>
        <w:instrText xml:space="preserve"> \* MERGEFORMAT </w:instrText>
      </w:r>
      <w:r w:rsidR="004221E5" w:rsidRPr="004221E5">
        <w:rPr>
          <w:vertAlign w:val="superscript"/>
        </w:rPr>
      </w:r>
      <w:r w:rsidR="004221E5" w:rsidRPr="004221E5">
        <w:rPr>
          <w:vertAlign w:val="superscript"/>
        </w:rPr>
        <w:fldChar w:fldCharType="separate"/>
      </w:r>
      <w:r w:rsidR="001702C9">
        <w:rPr>
          <w:vertAlign w:val="superscript"/>
        </w:rPr>
        <w:t>1</w:t>
      </w:r>
      <w:r w:rsidR="004221E5" w:rsidRPr="004221E5">
        <w:rPr>
          <w:vertAlign w:val="superscript"/>
        </w:rPr>
        <w:fldChar w:fldCharType="end"/>
      </w:r>
      <w:r w:rsidRPr="00527BFD">
        <w:t xml:space="preserve"> Other factors, including history of sexually transmitted infections, partner’s viral load and treatment status, and condom use also affects probability of HIV acquisition.</w:t>
      </w:r>
    </w:p>
    <w:p w14:paraId="0CD3BB7D" w14:textId="186470F2" w:rsidR="001E70E6" w:rsidRPr="00527BFD" w:rsidRDefault="001E70E6" w:rsidP="001E70E6">
      <w:r w:rsidRPr="00527BFD">
        <w:t>In Australia there were 633 new HIV diagnoses in 2020. Among gay and bisexual men, HIV diagnoses have declined by over 44% in the past five years. In heterosexuals and people born overseas, HIV diagnoses have remained steady between 2016 and 2019, but declined between 2019 and 2020. The number of new HIV diagnoses among Aboriginal and Torres Strait Islander peoples remains higher than Australian born non-indigenous people, by 1.3</w:t>
      </w:r>
      <w:r w:rsidR="005864D6">
        <w:t> </w:t>
      </w:r>
      <w:r w:rsidR="00D32DBE" w:rsidRPr="00527BFD">
        <w:t xml:space="preserve">to </w:t>
      </w:r>
      <w:r w:rsidRPr="00527BFD">
        <w:t>1.9 times</w:t>
      </w:r>
      <w:r w:rsidR="00D32DBE" w:rsidRPr="00527BFD">
        <w:t>.</w:t>
      </w:r>
      <w:r w:rsidR="00D32DBE" w:rsidRPr="00527BFD">
        <w:rPr>
          <w:rStyle w:val="FootnoteReference"/>
        </w:rPr>
        <w:footnoteReference w:id="3"/>
      </w:r>
    </w:p>
    <w:p w14:paraId="053ABC34" w14:textId="473B69A8" w:rsidR="001E70E6" w:rsidRPr="00527BFD" w:rsidRDefault="001E70E6" w:rsidP="001E70E6">
      <w:r w:rsidRPr="00527BFD">
        <w:t>Untreated HIV is a progressively fatal disease. The infection can now be managed very effectively with the highly active antiretroviral drugs available, but still represents significant ongoing morbidity and chronic disease costs and monitoring. At present, there is not curative treatment or vaccination against HIV. Thus, prevention of infection remains an important priority.</w:t>
      </w:r>
    </w:p>
    <w:p w14:paraId="39947987" w14:textId="7FDE23B0" w:rsidR="001E70E6" w:rsidRPr="00527BFD" w:rsidRDefault="001E70E6" w:rsidP="001E70E6">
      <w:r w:rsidRPr="00527BFD">
        <w:t xml:space="preserve">Pre-exposure prophylaxis </w:t>
      </w:r>
      <w:r w:rsidR="00D32DBE" w:rsidRPr="00527BFD">
        <w:t>(</w:t>
      </w:r>
      <w:proofErr w:type="spellStart"/>
      <w:r w:rsidR="00D32DBE" w:rsidRPr="00527BFD">
        <w:t>PrEP</w:t>
      </w:r>
      <w:proofErr w:type="spellEnd"/>
      <w:r w:rsidR="00D32DBE" w:rsidRPr="00527BFD">
        <w:t xml:space="preserve">) </w:t>
      </w:r>
      <w:r w:rsidRPr="00527BFD">
        <w:t>is an important component of comprehensive HIV prevention programs. High levels of adherence</w:t>
      </w:r>
      <w:r w:rsidR="00D32DBE" w:rsidRPr="00527BFD">
        <w:t xml:space="preserve"> </w:t>
      </w:r>
      <w:r w:rsidRPr="00527BFD">
        <w:t>over long periods of time are required for maximal effectiveness. Oral, fixed</w:t>
      </w:r>
      <w:r w:rsidR="00D32DBE" w:rsidRPr="00527BFD">
        <w:t xml:space="preserve"> </w:t>
      </w:r>
      <w:r w:rsidRPr="00527BFD">
        <w:t xml:space="preserve">dose combination antiretroviral agents requiring daily administration have been approved for </w:t>
      </w:r>
      <w:proofErr w:type="spellStart"/>
      <w:r w:rsidRPr="00527BFD">
        <w:t>PrEP</w:t>
      </w:r>
      <w:proofErr w:type="spellEnd"/>
      <w:r w:rsidRPr="00527BFD">
        <w:t xml:space="preserve"> in Australia since 2016. An effective, well</w:t>
      </w:r>
      <w:r w:rsidR="00D32DBE" w:rsidRPr="00527BFD">
        <w:t xml:space="preserve"> </w:t>
      </w:r>
      <w:r w:rsidRPr="00527BFD">
        <w:t>tolerated, long</w:t>
      </w:r>
      <w:r w:rsidR="000B10F7" w:rsidRPr="00527BFD">
        <w:t>-</w:t>
      </w:r>
      <w:r w:rsidRPr="00527BFD">
        <w:t xml:space="preserve">acting </w:t>
      </w:r>
      <w:proofErr w:type="spellStart"/>
      <w:r w:rsidRPr="00527BFD">
        <w:t>PrEP</w:t>
      </w:r>
      <w:proofErr w:type="spellEnd"/>
      <w:r w:rsidRPr="00527BFD">
        <w:t xml:space="preserve"> agent, delivered via second monthly injection, could potentially offer advantages over the current daily administered </w:t>
      </w:r>
      <w:proofErr w:type="spellStart"/>
      <w:r w:rsidRPr="00527BFD">
        <w:t>PrEP</w:t>
      </w:r>
      <w:proofErr w:type="spellEnd"/>
      <w:r w:rsidRPr="00527BFD">
        <w:t xml:space="preserve"> regimens.</w:t>
      </w:r>
      <w:bookmarkStart w:id="34" w:name="_Ref119671347"/>
      <w:r w:rsidR="00DC6376">
        <w:rPr>
          <w:rStyle w:val="FootnoteReference"/>
        </w:rPr>
        <w:footnoteReference w:id="4"/>
      </w:r>
      <w:bookmarkEnd w:id="34"/>
    </w:p>
    <w:p w14:paraId="4C65D953" w14:textId="6CA006C9" w:rsidR="001E70E6" w:rsidRPr="00527BFD" w:rsidRDefault="000B10F7" w:rsidP="001E70E6">
      <w:r w:rsidRPr="00527BFD">
        <w:t>Truvada,</w:t>
      </w:r>
      <w:bookmarkStart w:id="35" w:name="_Ref116218581"/>
      <w:r w:rsidRPr="00527BFD">
        <w:rPr>
          <w:rStyle w:val="FootnoteReference"/>
        </w:rPr>
        <w:footnoteReference w:id="5"/>
      </w:r>
      <w:bookmarkEnd w:id="35"/>
      <w:r w:rsidRPr="00527BFD">
        <w:t xml:space="preserve"> an o</w:t>
      </w:r>
      <w:r w:rsidR="001E70E6" w:rsidRPr="00527BFD">
        <w:t>ral, fixed</w:t>
      </w:r>
      <w:r w:rsidR="00D32DBE" w:rsidRPr="00527BFD">
        <w:t xml:space="preserve"> </w:t>
      </w:r>
      <w:r w:rsidR="001E70E6" w:rsidRPr="00527BFD">
        <w:t xml:space="preserve">dose combination of antiretroviral agents </w:t>
      </w:r>
      <w:r w:rsidRPr="00527BFD">
        <w:t xml:space="preserve">300 mg </w:t>
      </w:r>
      <w:r w:rsidR="001E70E6" w:rsidRPr="00527BFD">
        <w:t xml:space="preserve">tenofovir disoproxil fumarate (TDF) and </w:t>
      </w:r>
      <w:r w:rsidRPr="00527BFD">
        <w:t>200 mg emtricitabine</w:t>
      </w:r>
      <w:r w:rsidR="005F0BCE" w:rsidRPr="00527BFD">
        <w:t>,</w:t>
      </w:r>
      <w:r w:rsidR="001E70E6" w:rsidRPr="00527BFD">
        <w:t xml:space="preserve"> requiring daily administration has been approved for </w:t>
      </w:r>
      <w:proofErr w:type="spellStart"/>
      <w:r w:rsidR="001E70E6" w:rsidRPr="00527BFD">
        <w:t>PrEP</w:t>
      </w:r>
      <w:proofErr w:type="spellEnd"/>
      <w:r w:rsidR="001E70E6" w:rsidRPr="00527BFD">
        <w:t xml:space="preserve"> in Australia in high</w:t>
      </w:r>
      <w:r w:rsidRPr="00527BFD">
        <w:t>-</w:t>
      </w:r>
      <w:r w:rsidR="001E70E6" w:rsidRPr="00527BFD">
        <w:t>risk groups since 2016.</w:t>
      </w:r>
      <w:bookmarkStart w:id="36" w:name="_Ref119855948"/>
      <w:r w:rsidR="00DC6376">
        <w:rPr>
          <w:rStyle w:val="FootnoteReference"/>
        </w:rPr>
        <w:footnoteReference w:id="6"/>
      </w:r>
      <w:bookmarkEnd w:id="36"/>
      <w:r w:rsidR="001E70E6" w:rsidRPr="00527BFD">
        <w:t xml:space="preserve"> Both the innovator and generic products are available, and </w:t>
      </w:r>
      <w:r w:rsidRPr="00527BFD">
        <w:t xml:space="preserve">Pharmaceutical Benefits Scheme </w:t>
      </w:r>
      <w:r w:rsidR="001E70E6" w:rsidRPr="00527BFD">
        <w:t>listed.</w:t>
      </w:r>
      <w:r w:rsidR="00DC6376" w:rsidRPr="00841D49">
        <w:rPr>
          <w:vertAlign w:val="superscript"/>
        </w:rPr>
        <w:fldChar w:fldCharType="begin"/>
      </w:r>
      <w:r w:rsidR="00DC6376" w:rsidRPr="00841D49">
        <w:rPr>
          <w:vertAlign w:val="superscript"/>
        </w:rPr>
        <w:instrText xml:space="preserve"> NOTEREF _Ref119671347 \h </w:instrText>
      </w:r>
      <w:r w:rsidR="00DC6376">
        <w:rPr>
          <w:vertAlign w:val="superscript"/>
        </w:rPr>
        <w:instrText xml:space="preserve"> \* MERGEFORMAT </w:instrText>
      </w:r>
      <w:r w:rsidR="00DC6376" w:rsidRPr="00841D49">
        <w:rPr>
          <w:vertAlign w:val="superscript"/>
        </w:rPr>
      </w:r>
      <w:r w:rsidR="00DC6376" w:rsidRPr="00841D49">
        <w:rPr>
          <w:vertAlign w:val="superscript"/>
        </w:rPr>
        <w:fldChar w:fldCharType="separate"/>
      </w:r>
      <w:r w:rsidR="001702C9">
        <w:rPr>
          <w:vertAlign w:val="superscript"/>
        </w:rPr>
        <w:t>4</w:t>
      </w:r>
      <w:r w:rsidR="00DC6376" w:rsidRPr="00841D49">
        <w:rPr>
          <w:vertAlign w:val="superscript"/>
        </w:rPr>
        <w:fldChar w:fldCharType="end"/>
      </w:r>
      <w:r w:rsidR="001E70E6" w:rsidRPr="00527BFD">
        <w:t xml:space="preserve"> The TDF/</w:t>
      </w:r>
      <w:r w:rsidRPr="00527BFD">
        <w:t>emtricitabine</w:t>
      </w:r>
      <w:r w:rsidR="001E70E6" w:rsidRPr="00527BFD">
        <w:t xml:space="preserve"> combination is the current standard for </w:t>
      </w:r>
      <w:proofErr w:type="spellStart"/>
      <w:r w:rsidR="001E70E6" w:rsidRPr="00527BFD">
        <w:t>PrEP</w:t>
      </w:r>
      <w:proofErr w:type="spellEnd"/>
      <w:r w:rsidR="001E70E6" w:rsidRPr="00527BFD">
        <w:t xml:space="preserve"> worldwide and received first international approval in the </w:t>
      </w:r>
      <w:r w:rsidR="000D7AA5" w:rsidRPr="00527BFD">
        <w:t>United States of America</w:t>
      </w:r>
      <w:r w:rsidR="001E70E6" w:rsidRPr="00527BFD">
        <w:t xml:space="preserve"> in 2012.</w:t>
      </w:r>
    </w:p>
    <w:p w14:paraId="46E95904" w14:textId="6EE25785" w:rsidR="001E70E6" w:rsidRPr="00527BFD" w:rsidRDefault="001E70E6" w:rsidP="001E70E6">
      <w:r w:rsidRPr="00527BFD">
        <w:t>In January 2021, fixed dose combination of the second generation tenofovir</w:t>
      </w:r>
      <w:r w:rsidR="005F0BCE" w:rsidRPr="00527BFD">
        <w:t xml:space="preserve">, </w:t>
      </w:r>
      <w:proofErr w:type="spellStart"/>
      <w:r w:rsidR="000B10F7" w:rsidRPr="00527BFD">
        <w:t>Descovy</w:t>
      </w:r>
      <w:proofErr w:type="spellEnd"/>
      <w:r w:rsidR="000B10F7" w:rsidRPr="00527BFD">
        <w:t>,</w:t>
      </w:r>
      <w:bookmarkStart w:id="37" w:name="_Ref116218533"/>
      <w:r w:rsidR="008346EC" w:rsidRPr="00527BFD">
        <w:rPr>
          <w:rStyle w:val="FootnoteReference"/>
        </w:rPr>
        <w:footnoteReference w:id="7"/>
      </w:r>
      <w:bookmarkEnd w:id="37"/>
      <w:r w:rsidRPr="00527BFD">
        <w:t xml:space="preserve"> </w:t>
      </w:r>
      <w:r w:rsidR="000B10F7" w:rsidRPr="00527BFD">
        <w:t xml:space="preserve">25 mg </w:t>
      </w:r>
      <w:r w:rsidRPr="00527BFD">
        <w:t xml:space="preserve">tenofovir alafenamide (TAF) with </w:t>
      </w:r>
      <w:r w:rsidR="000B10F7" w:rsidRPr="00527BFD">
        <w:t xml:space="preserve">200 mg </w:t>
      </w:r>
      <w:r w:rsidRPr="00527BFD">
        <w:t xml:space="preserve">emtricitabine was approved for </w:t>
      </w:r>
      <w:proofErr w:type="spellStart"/>
      <w:r w:rsidRPr="00527BFD">
        <w:t>PrEP</w:t>
      </w:r>
      <w:proofErr w:type="spellEnd"/>
      <w:r w:rsidRPr="00527BFD">
        <w:t xml:space="preserve"> in Australia.</w:t>
      </w:r>
      <w:r w:rsidR="002574A7">
        <w:rPr>
          <w:rStyle w:val="FootnoteReference"/>
        </w:rPr>
        <w:footnoteReference w:id="8"/>
      </w:r>
      <w:r w:rsidRPr="00527BFD">
        <w:t xml:space="preserve"> The approval was based on clinical trial data which established therapeutic non-inferiority with TDF/</w:t>
      </w:r>
      <w:r w:rsidR="000B10F7" w:rsidRPr="00527BFD">
        <w:t>emtricitabine</w:t>
      </w:r>
      <w:r w:rsidRPr="00527BFD">
        <w:t xml:space="preserve"> for HIV prevention in high-risk groups. The newer TAF/</w:t>
      </w:r>
      <w:r w:rsidR="000B10F7" w:rsidRPr="00527BFD">
        <w:t>emtricitabine</w:t>
      </w:r>
      <w:r w:rsidRPr="00527BFD">
        <w:t xml:space="preserve"> is however considered better with respect to bone mineral density and renal biomarker safety endpoints compared to TDF/</w:t>
      </w:r>
      <w:r w:rsidR="000B10F7" w:rsidRPr="00527BFD">
        <w:t>emtricitabine</w:t>
      </w:r>
      <w:r w:rsidRPr="00527BFD">
        <w:t>.</w:t>
      </w:r>
    </w:p>
    <w:p w14:paraId="53A13069" w14:textId="04D64F36" w:rsidR="001E70E6" w:rsidRPr="00527BFD" w:rsidRDefault="001E70E6" w:rsidP="001E70E6">
      <w:r w:rsidRPr="00527BFD">
        <w:t xml:space="preserve">Cabotegravir is an integrase strand transfer inhibitor and inhibits HIV integrase by binding to the integrase active site and blocking the strand transfer step of retroviral DNA integration, which is essential for the HIV replication cycle. </w:t>
      </w:r>
      <w:proofErr w:type="spellStart"/>
      <w:r w:rsidR="005F0BCE" w:rsidRPr="00527BFD">
        <w:t>Apretude</w:t>
      </w:r>
      <w:proofErr w:type="spellEnd"/>
      <w:r w:rsidRPr="00527BFD">
        <w:t xml:space="preserve"> is proposed to be available as a single agent for HIV </w:t>
      </w:r>
      <w:proofErr w:type="spellStart"/>
      <w:r w:rsidR="00356947" w:rsidRPr="00527BFD">
        <w:t>PrEP</w:t>
      </w:r>
      <w:r w:rsidRPr="00527BFD">
        <w:t>.</w:t>
      </w:r>
      <w:proofErr w:type="spellEnd"/>
    </w:p>
    <w:p w14:paraId="1C078C42" w14:textId="77777777" w:rsidR="008E7846" w:rsidRPr="00527BFD" w:rsidRDefault="00386150" w:rsidP="008E7846">
      <w:pPr>
        <w:pStyle w:val="Heading3"/>
      </w:pPr>
      <w:bookmarkStart w:id="38" w:name="_Toc120100536"/>
      <w:r w:rsidRPr="00527BFD">
        <w:lastRenderedPageBreak/>
        <w:t>Regulatory s</w:t>
      </w:r>
      <w:r w:rsidR="008E7846" w:rsidRPr="00527BFD">
        <w:t>tatus</w:t>
      </w:r>
      <w:bookmarkEnd w:id="30"/>
      <w:bookmarkEnd w:id="31"/>
      <w:bookmarkEnd w:id="38"/>
    </w:p>
    <w:p w14:paraId="7B5E2965" w14:textId="615151E1" w:rsidR="004321C5" w:rsidRPr="00527BFD" w:rsidRDefault="00F20BEA" w:rsidP="004321C5">
      <w:bookmarkStart w:id="39" w:name="_Toc247691505"/>
      <w:bookmarkStart w:id="40" w:name="_Toc314842486"/>
      <w:r w:rsidRPr="00527BFD">
        <w:t xml:space="preserve">Cabotegravir </w:t>
      </w:r>
      <w:r w:rsidR="004321C5" w:rsidRPr="00527BFD">
        <w:t>(</w:t>
      </w:r>
      <w:r w:rsidR="00022ABF" w:rsidRPr="00527BFD">
        <w:t>registered under tradenames</w:t>
      </w:r>
      <w:r w:rsidR="008346EC" w:rsidRPr="00527BFD">
        <w:t>:</w:t>
      </w:r>
      <w:r w:rsidR="00022ABF" w:rsidRPr="00527BFD">
        <w:t xml:space="preserve"> </w:t>
      </w:r>
      <w:proofErr w:type="spellStart"/>
      <w:r w:rsidR="00022ABF" w:rsidRPr="00527BFD">
        <w:t>Vocabria</w:t>
      </w:r>
      <w:proofErr w:type="spellEnd"/>
      <w:r w:rsidR="00022ABF" w:rsidRPr="00527BFD">
        <w:t xml:space="preserve"> and </w:t>
      </w:r>
      <w:proofErr w:type="spellStart"/>
      <w:r w:rsidR="004321C5" w:rsidRPr="00527BFD">
        <w:t>Cabenuva</w:t>
      </w:r>
      <w:proofErr w:type="spellEnd"/>
      <w:r w:rsidR="004321C5" w:rsidRPr="00527BFD">
        <w:t xml:space="preserve">) </w:t>
      </w:r>
      <w:r w:rsidRPr="00527BFD">
        <w:t xml:space="preserve">was initially developed for the treatment of </w:t>
      </w:r>
      <w:r w:rsidR="008346EC" w:rsidRPr="00527BFD">
        <w:t>human immunodeficiency virus</w:t>
      </w:r>
      <w:r w:rsidR="00C24737" w:rsidRPr="00527BFD">
        <w:t xml:space="preserve"> type 1</w:t>
      </w:r>
      <w:r w:rsidR="008346EC" w:rsidRPr="00527BFD">
        <w:t xml:space="preserve"> (</w:t>
      </w:r>
      <w:r w:rsidRPr="00527BFD">
        <w:t>HIV-1</w:t>
      </w:r>
      <w:r w:rsidR="008346EC" w:rsidRPr="00527BFD">
        <w:t>)</w:t>
      </w:r>
      <w:r w:rsidRPr="00527BFD">
        <w:t xml:space="preserve"> infection in adults as one component of a dual antiviral regimen.</w:t>
      </w:r>
      <w:bookmarkStart w:id="41" w:name="_Hlk100576022"/>
    </w:p>
    <w:p w14:paraId="58EE79B3" w14:textId="1892CB14" w:rsidR="00022ABF" w:rsidRPr="00527BFD" w:rsidRDefault="00022ABF" w:rsidP="00022ABF">
      <w:r w:rsidRPr="00527BFD">
        <w:t xml:space="preserve">The oral form of cabotegravir, </w:t>
      </w:r>
      <w:proofErr w:type="spellStart"/>
      <w:r w:rsidRPr="00527BFD">
        <w:t>Vocabria</w:t>
      </w:r>
      <w:proofErr w:type="spellEnd"/>
      <w:r w:rsidRPr="00527BFD">
        <w:t xml:space="preserve"> (30 mg film-coated tablet, </w:t>
      </w:r>
      <w:r w:rsidR="008346EC" w:rsidRPr="00527BFD">
        <w:t>Australian Register of Therapeutic Goods (</w:t>
      </w:r>
      <w:r w:rsidRPr="00527BFD">
        <w:t>ARTG</w:t>
      </w:r>
      <w:r w:rsidR="008346EC" w:rsidRPr="00527BFD">
        <w:t>)</w:t>
      </w:r>
      <w:r w:rsidRPr="00527BFD">
        <w:t xml:space="preserve"> number: 323721) received initial registration on the ARTG on 16</w:t>
      </w:r>
      <w:r w:rsidR="008346EC" w:rsidRPr="00527BFD">
        <w:t> </w:t>
      </w:r>
      <w:r w:rsidRPr="00527BFD">
        <w:t>February 2021.</w:t>
      </w:r>
      <w:bookmarkStart w:id="42" w:name="_Ref119672096"/>
      <w:r w:rsidR="002574A7">
        <w:rPr>
          <w:rStyle w:val="FootnoteReference"/>
        </w:rPr>
        <w:footnoteReference w:id="9"/>
      </w:r>
      <w:bookmarkEnd w:id="42"/>
    </w:p>
    <w:p w14:paraId="6E1CA2F2" w14:textId="45A095BB" w:rsidR="004321C5" w:rsidRPr="00527BFD" w:rsidRDefault="004321C5" w:rsidP="004321C5">
      <w:r w:rsidRPr="00527BFD">
        <w:t xml:space="preserve">The </w:t>
      </w:r>
      <w:r w:rsidR="00F20BEA" w:rsidRPr="00527BFD">
        <w:t xml:space="preserve">injectable form </w:t>
      </w:r>
      <w:r w:rsidRPr="00527BFD">
        <w:t xml:space="preserve">of cabotegravir, </w:t>
      </w:r>
      <w:proofErr w:type="spellStart"/>
      <w:r w:rsidRPr="00527BFD">
        <w:t>Cabenuva</w:t>
      </w:r>
      <w:proofErr w:type="spellEnd"/>
      <w:r w:rsidRPr="00527BFD">
        <w:t xml:space="preserve"> (400 mg/2 mL cabotegravir plus 600</w:t>
      </w:r>
      <w:r w:rsidR="008346EC" w:rsidRPr="00527BFD">
        <w:t> </w:t>
      </w:r>
      <w:r w:rsidRPr="00527BFD">
        <w:t>mg/2</w:t>
      </w:r>
      <w:r w:rsidR="008346EC" w:rsidRPr="00527BFD">
        <w:t> </w:t>
      </w:r>
      <w:r w:rsidRPr="00527BFD">
        <w:t xml:space="preserve">mL </w:t>
      </w:r>
      <w:proofErr w:type="spellStart"/>
      <w:r w:rsidRPr="00527BFD">
        <w:t>rilpivirine</w:t>
      </w:r>
      <w:proofErr w:type="spellEnd"/>
      <w:r w:rsidR="00022ABF" w:rsidRPr="00527BFD">
        <w:t xml:space="preserve"> prolonged-release suspensions for injection</w:t>
      </w:r>
      <w:r w:rsidRPr="00527BFD">
        <w:t xml:space="preserve">, ARTG number: 323784; 600 mg/3 mL cabotegravir plus 900 mg/3 mL </w:t>
      </w:r>
      <w:proofErr w:type="spellStart"/>
      <w:r w:rsidRPr="00527BFD">
        <w:t>rilpivirine</w:t>
      </w:r>
      <w:proofErr w:type="spellEnd"/>
      <w:r w:rsidRPr="00527BFD">
        <w:t xml:space="preserve"> </w:t>
      </w:r>
      <w:r w:rsidR="00022ABF" w:rsidRPr="00527BFD">
        <w:t xml:space="preserve">prolonged-release suspensions for injection, </w:t>
      </w:r>
      <w:r w:rsidRPr="00527BFD">
        <w:t>ARTG number: 323783) received initial registration on the ARTG on 23 February 2021.</w:t>
      </w:r>
      <w:r w:rsidR="002574A7" w:rsidRPr="00841D49">
        <w:rPr>
          <w:vertAlign w:val="superscript"/>
        </w:rPr>
        <w:fldChar w:fldCharType="begin"/>
      </w:r>
      <w:r w:rsidR="002574A7" w:rsidRPr="00841D49">
        <w:rPr>
          <w:vertAlign w:val="superscript"/>
        </w:rPr>
        <w:instrText xml:space="preserve"> NOTEREF _Ref119672096 \h </w:instrText>
      </w:r>
      <w:r w:rsidR="002574A7">
        <w:rPr>
          <w:vertAlign w:val="superscript"/>
        </w:rPr>
        <w:instrText xml:space="preserve"> \* MERGEFORMAT </w:instrText>
      </w:r>
      <w:r w:rsidR="002574A7" w:rsidRPr="00841D49">
        <w:rPr>
          <w:vertAlign w:val="superscript"/>
        </w:rPr>
      </w:r>
      <w:r w:rsidR="002574A7" w:rsidRPr="00841D49">
        <w:rPr>
          <w:vertAlign w:val="superscript"/>
        </w:rPr>
        <w:fldChar w:fldCharType="separate"/>
      </w:r>
      <w:r w:rsidR="001702C9">
        <w:rPr>
          <w:vertAlign w:val="superscript"/>
        </w:rPr>
        <w:t>9</w:t>
      </w:r>
      <w:r w:rsidR="002574A7" w:rsidRPr="00841D49">
        <w:rPr>
          <w:vertAlign w:val="superscript"/>
        </w:rPr>
        <w:fldChar w:fldCharType="end"/>
      </w:r>
    </w:p>
    <w:bookmarkEnd w:id="41"/>
    <w:p w14:paraId="448003C3" w14:textId="04B155B8" w:rsidR="00332715" w:rsidRPr="00527BFD" w:rsidRDefault="00332715" w:rsidP="00332715">
      <w:r w:rsidRPr="00527BFD">
        <w:t xml:space="preserve">At the time the TGA considered this </w:t>
      </w:r>
      <w:r w:rsidR="00BB0B78" w:rsidRPr="00527BFD">
        <w:t>submission</w:t>
      </w:r>
      <w:r w:rsidRPr="00527BFD">
        <w:t xml:space="preserve">, a similar </w:t>
      </w:r>
      <w:r w:rsidR="00BB0B78" w:rsidRPr="00527BFD">
        <w:t>submission</w:t>
      </w:r>
      <w:r w:rsidRPr="00527BFD">
        <w:t xml:space="preserve"> had been approved in </w:t>
      </w:r>
      <w:r w:rsidR="00F20BEA" w:rsidRPr="00527BFD">
        <w:t xml:space="preserve">the </w:t>
      </w:r>
      <w:r w:rsidR="000D7AA5" w:rsidRPr="00527BFD">
        <w:t xml:space="preserve">United States of America </w:t>
      </w:r>
      <w:r w:rsidRPr="00527BFD">
        <w:t xml:space="preserve">on </w:t>
      </w:r>
      <w:r w:rsidR="00F20BEA" w:rsidRPr="00527BFD">
        <w:t>20 December 2021.</w:t>
      </w:r>
    </w:p>
    <w:p w14:paraId="3FC66A88" w14:textId="77777777" w:rsidR="00332715" w:rsidRPr="00527BFD" w:rsidRDefault="0072292E" w:rsidP="00332715">
      <w:r w:rsidRPr="00527BFD">
        <w:t xml:space="preserve">The following table </w:t>
      </w:r>
      <w:r w:rsidR="00332715" w:rsidRPr="00527BFD">
        <w:t xml:space="preserve">summarises these </w:t>
      </w:r>
      <w:r w:rsidR="00BB0B78" w:rsidRPr="00527BFD">
        <w:t>submissions</w:t>
      </w:r>
      <w:r w:rsidR="00332715" w:rsidRPr="00527BFD">
        <w:t xml:space="preserve"> and provides the indications where approved.</w:t>
      </w:r>
    </w:p>
    <w:p w14:paraId="39F1AB1D" w14:textId="413EE9CF" w:rsidR="00324E45" w:rsidRPr="0025423A" w:rsidRDefault="00324E45" w:rsidP="0025423A">
      <w:pPr>
        <w:pStyle w:val="TableTitle"/>
      </w:pPr>
      <w:bookmarkStart w:id="43" w:name="_Ref99705479"/>
      <w:r w:rsidRPr="0025423A">
        <w:t xml:space="preserve">Table </w:t>
      </w:r>
      <w:r w:rsidR="00234D1A">
        <w:fldChar w:fldCharType="begin"/>
      </w:r>
      <w:r w:rsidR="00234D1A">
        <w:instrText xml:space="preserve"> SEQ Table \* ARABIC </w:instrText>
      </w:r>
      <w:r w:rsidR="00234D1A">
        <w:fldChar w:fldCharType="separate"/>
      </w:r>
      <w:r w:rsidR="001702C9">
        <w:rPr>
          <w:noProof/>
        </w:rPr>
        <w:t>1</w:t>
      </w:r>
      <w:r w:rsidR="00234D1A">
        <w:rPr>
          <w:noProof/>
        </w:rPr>
        <w:fldChar w:fldCharType="end"/>
      </w:r>
      <w:bookmarkEnd w:id="43"/>
      <w:r w:rsidRPr="0025423A">
        <w:t>: International regulatory status</w:t>
      </w:r>
    </w:p>
    <w:tbl>
      <w:tblPr>
        <w:tblStyle w:val="TableTGAblue"/>
        <w:tblW w:w="8815" w:type="dxa"/>
        <w:tblLayout w:type="fixed"/>
        <w:tblLook w:val="04A0" w:firstRow="1" w:lastRow="0" w:firstColumn="1" w:lastColumn="0" w:noHBand="0" w:noVBand="1"/>
      </w:tblPr>
      <w:tblGrid>
        <w:gridCol w:w="1525"/>
        <w:gridCol w:w="1440"/>
        <w:gridCol w:w="2250"/>
        <w:gridCol w:w="3600"/>
      </w:tblGrid>
      <w:tr w:rsidR="00006FAB" w:rsidRPr="00527BFD" w14:paraId="384EECB6" w14:textId="77777777" w:rsidTr="00841D49">
        <w:trPr>
          <w:cnfStyle w:val="100000000000" w:firstRow="1" w:lastRow="0" w:firstColumn="0" w:lastColumn="0" w:oddVBand="0" w:evenVBand="0" w:oddHBand="0" w:evenHBand="0" w:firstRowFirstColumn="0" w:firstRowLastColumn="0" w:lastRowFirstColumn="0" w:lastRowLastColumn="0"/>
        </w:trPr>
        <w:tc>
          <w:tcPr>
            <w:tcW w:w="1525" w:type="dxa"/>
            <w:tcBorders>
              <w:top w:val="single" w:sz="4" w:space="0" w:color="auto"/>
              <w:left w:val="single" w:sz="4" w:space="0" w:color="auto"/>
              <w:bottom w:val="single" w:sz="4" w:space="0" w:color="auto"/>
              <w:right w:val="single" w:sz="4" w:space="0" w:color="auto"/>
            </w:tcBorders>
          </w:tcPr>
          <w:p w14:paraId="073E4ADC" w14:textId="77777777" w:rsidR="00006FAB" w:rsidRPr="00527BFD" w:rsidRDefault="00006FAB" w:rsidP="00006FAB">
            <w:pPr>
              <w:ind w:left="0" w:right="0"/>
            </w:pPr>
            <w:r w:rsidRPr="00527BFD">
              <w:t>Region</w:t>
            </w:r>
          </w:p>
        </w:tc>
        <w:tc>
          <w:tcPr>
            <w:tcW w:w="1440" w:type="dxa"/>
            <w:tcBorders>
              <w:top w:val="single" w:sz="4" w:space="0" w:color="auto"/>
              <w:left w:val="single" w:sz="4" w:space="0" w:color="auto"/>
              <w:bottom w:val="single" w:sz="4" w:space="0" w:color="auto"/>
              <w:right w:val="single" w:sz="4" w:space="0" w:color="auto"/>
            </w:tcBorders>
          </w:tcPr>
          <w:p w14:paraId="7BCA8CCB" w14:textId="77777777" w:rsidR="00006FAB" w:rsidRPr="00527BFD" w:rsidRDefault="00006FAB" w:rsidP="00006FAB">
            <w:pPr>
              <w:ind w:left="0" w:right="0"/>
            </w:pPr>
            <w:r w:rsidRPr="00527BFD">
              <w:t>Submission date</w:t>
            </w:r>
          </w:p>
        </w:tc>
        <w:tc>
          <w:tcPr>
            <w:tcW w:w="2250" w:type="dxa"/>
            <w:tcBorders>
              <w:top w:val="single" w:sz="4" w:space="0" w:color="auto"/>
              <w:left w:val="single" w:sz="4" w:space="0" w:color="auto"/>
              <w:bottom w:val="single" w:sz="4" w:space="0" w:color="auto"/>
              <w:right w:val="single" w:sz="4" w:space="0" w:color="auto"/>
            </w:tcBorders>
          </w:tcPr>
          <w:p w14:paraId="248854C3" w14:textId="77777777" w:rsidR="00006FAB" w:rsidRPr="00527BFD" w:rsidRDefault="00006FAB" w:rsidP="00841D49">
            <w:pPr>
              <w:ind w:left="0" w:right="-144"/>
            </w:pPr>
            <w:r w:rsidRPr="00527BFD">
              <w:t>Status</w:t>
            </w:r>
          </w:p>
        </w:tc>
        <w:tc>
          <w:tcPr>
            <w:tcW w:w="3600" w:type="dxa"/>
            <w:tcBorders>
              <w:top w:val="single" w:sz="4" w:space="0" w:color="auto"/>
              <w:left w:val="single" w:sz="4" w:space="0" w:color="auto"/>
              <w:bottom w:val="single" w:sz="4" w:space="0" w:color="auto"/>
              <w:right w:val="single" w:sz="4" w:space="0" w:color="auto"/>
            </w:tcBorders>
          </w:tcPr>
          <w:p w14:paraId="1D2890FD" w14:textId="77777777" w:rsidR="00006FAB" w:rsidRPr="00527BFD" w:rsidRDefault="00006FAB" w:rsidP="00841D49">
            <w:pPr>
              <w:ind w:left="0" w:right="-144"/>
            </w:pPr>
            <w:r w:rsidRPr="00527BFD">
              <w:t>Approved indications</w:t>
            </w:r>
          </w:p>
        </w:tc>
      </w:tr>
      <w:tr w:rsidR="00006FAB" w:rsidRPr="00527BFD" w14:paraId="6576F35E" w14:textId="77777777" w:rsidTr="00841D49">
        <w:tc>
          <w:tcPr>
            <w:tcW w:w="1525" w:type="dxa"/>
            <w:tcBorders>
              <w:top w:val="single" w:sz="4" w:space="0" w:color="auto"/>
            </w:tcBorders>
          </w:tcPr>
          <w:p w14:paraId="46DBE1CD" w14:textId="07837E4E" w:rsidR="00006FAB" w:rsidRPr="00527BFD" w:rsidRDefault="000A5A7E" w:rsidP="00006FAB">
            <w:pPr>
              <w:ind w:left="0" w:right="0"/>
            </w:pPr>
            <w:r w:rsidRPr="00527BFD">
              <w:t>United States of America</w:t>
            </w:r>
          </w:p>
        </w:tc>
        <w:tc>
          <w:tcPr>
            <w:tcW w:w="1440" w:type="dxa"/>
            <w:tcBorders>
              <w:top w:val="single" w:sz="4" w:space="0" w:color="auto"/>
            </w:tcBorders>
          </w:tcPr>
          <w:p w14:paraId="7C724D96" w14:textId="29D3DF9B" w:rsidR="00006FAB" w:rsidRPr="00527BFD" w:rsidRDefault="00DD6F86" w:rsidP="00006FAB">
            <w:pPr>
              <w:ind w:left="0" w:right="0"/>
            </w:pPr>
            <w:r>
              <w:t>23</w:t>
            </w:r>
            <w:r w:rsidR="00841D49">
              <w:t> </w:t>
            </w:r>
            <w:r>
              <w:t>July</w:t>
            </w:r>
            <w:r w:rsidR="00841D49">
              <w:t> </w:t>
            </w:r>
            <w:r>
              <w:t>2021</w:t>
            </w:r>
          </w:p>
        </w:tc>
        <w:tc>
          <w:tcPr>
            <w:tcW w:w="2250" w:type="dxa"/>
            <w:tcBorders>
              <w:top w:val="single" w:sz="4" w:space="0" w:color="auto"/>
            </w:tcBorders>
          </w:tcPr>
          <w:p w14:paraId="481764B5" w14:textId="36069FEB" w:rsidR="00006FAB" w:rsidRPr="00527BFD" w:rsidRDefault="00006FAB" w:rsidP="00841D49">
            <w:pPr>
              <w:ind w:left="0" w:right="-144"/>
            </w:pPr>
            <w:r w:rsidRPr="00527BFD">
              <w:t xml:space="preserve">Approved on </w:t>
            </w:r>
            <w:r w:rsidR="00F20BEA" w:rsidRPr="00527BFD">
              <w:t>20</w:t>
            </w:r>
            <w:r w:rsidR="008346EC" w:rsidRPr="00527BFD">
              <w:t> </w:t>
            </w:r>
            <w:r w:rsidR="00F20BEA" w:rsidRPr="00527BFD">
              <w:t>December</w:t>
            </w:r>
            <w:r w:rsidR="008346EC" w:rsidRPr="00527BFD">
              <w:t> </w:t>
            </w:r>
            <w:r w:rsidR="00F20BEA" w:rsidRPr="00527BFD">
              <w:t>2021</w:t>
            </w:r>
          </w:p>
        </w:tc>
        <w:tc>
          <w:tcPr>
            <w:tcW w:w="3600" w:type="dxa"/>
            <w:tcBorders>
              <w:top w:val="single" w:sz="4" w:space="0" w:color="auto"/>
            </w:tcBorders>
          </w:tcPr>
          <w:p w14:paraId="592154B0" w14:textId="2D2D9855" w:rsidR="00F20BEA" w:rsidRPr="00527BFD" w:rsidRDefault="00F20BEA" w:rsidP="00841D49">
            <w:pPr>
              <w:ind w:left="0" w:right="0"/>
              <w:rPr>
                <w:b/>
                <w:bCs/>
                <w:i/>
                <w:iCs/>
              </w:rPr>
            </w:pPr>
            <w:r w:rsidRPr="00527BFD">
              <w:rPr>
                <w:b/>
                <w:bCs/>
                <w:i/>
                <w:iCs/>
              </w:rPr>
              <w:t xml:space="preserve">Film-coated </w:t>
            </w:r>
            <w:r w:rsidR="008346EC" w:rsidRPr="00527BFD">
              <w:rPr>
                <w:b/>
                <w:bCs/>
                <w:i/>
                <w:iCs/>
              </w:rPr>
              <w:t>tablets</w:t>
            </w:r>
          </w:p>
          <w:p w14:paraId="67096B4D" w14:textId="1D61BAFD" w:rsidR="00F20BEA" w:rsidRPr="00527BFD" w:rsidRDefault="00FD52A9" w:rsidP="00841D49">
            <w:pPr>
              <w:ind w:left="0" w:right="0"/>
              <w:rPr>
                <w:i/>
                <w:iCs/>
              </w:rPr>
            </w:pPr>
            <w:proofErr w:type="spellStart"/>
            <w:r w:rsidRPr="00527BFD">
              <w:rPr>
                <w:i/>
                <w:iCs/>
              </w:rPr>
              <w:t>Vocabria</w:t>
            </w:r>
            <w:proofErr w:type="spellEnd"/>
            <w:r w:rsidRPr="00527BFD">
              <w:rPr>
                <w:i/>
                <w:iCs/>
              </w:rPr>
              <w:t xml:space="preserve"> </w:t>
            </w:r>
            <w:r w:rsidR="00F20BEA" w:rsidRPr="00527BFD">
              <w:rPr>
                <w:i/>
                <w:iCs/>
              </w:rPr>
              <w:t>is indicated in at-risk adults and adolescents weighing at least 35 kg for short-term pre-exposure prophylaxis (</w:t>
            </w:r>
            <w:proofErr w:type="spellStart"/>
            <w:r w:rsidR="00F20BEA" w:rsidRPr="00527BFD">
              <w:rPr>
                <w:i/>
                <w:iCs/>
              </w:rPr>
              <w:t>PrEP</w:t>
            </w:r>
            <w:proofErr w:type="spellEnd"/>
            <w:r w:rsidR="00F20BEA" w:rsidRPr="00527BFD">
              <w:rPr>
                <w:i/>
                <w:iCs/>
              </w:rPr>
              <w:t xml:space="preserve">) to reduce the risk of sexually acquired HIV-1 infection. Individuals must have a negative HIV-1 test prior to initiating </w:t>
            </w:r>
            <w:proofErr w:type="spellStart"/>
            <w:r w:rsidRPr="00527BFD">
              <w:rPr>
                <w:i/>
                <w:iCs/>
              </w:rPr>
              <w:t>Vocabria</w:t>
            </w:r>
            <w:proofErr w:type="spellEnd"/>
            <w:r w:rsidRPr="00527BFD">
              <w:rPr>
                <w:i/>
                <w:iCs/>
              </w:rPr>
              <w:t xml:space="preserve"> </w:t>
            </w:r>
            <w:r w:rsidR="00F20BEA" w:rsidRPr="00527BFD">
              <w:rPr>
                <w:i/>
                <w:iCs/>
              </w:rPr>
              <w:t xml:space="preserve">for HIV-1 </w:t>
            </w:r>
            <w:proofErr w:type="spellStart"/>
            <w:r w:rsidR="00F20BEA" w:rsidRPr="00527BFD">
              <w:rPr>
                <w:i/>
                <w:iCs/>
              </w:rPr>
              <w:t>PrEP.</w:t>
            </w:r>
            <w:proofErr w:type="spellEnd"/>
            <w:r w:rsidR="00F20BEA" w:rsidRPr="00527BFD">
              <w:rPr>
                <w:i/>
                <w:iCs/>
              </w:rPr>
              <w:t xml:space="preserve"> </w:t>
            </w:r>
            <w:proofErr w:type="spellStart"/>
            <w:r w:rsidRPr="00527BFD">
              <w:rPr>
                <w:i/>
                <w:iCs/>
              </w:rPr>
              <w:t>Vocabria</w:t>
            </w:r>
            <w:proofErr w:type="spellEnd"/>
            <w:r w:rsidR="00F20BEA" w:rsidRPr="00527BFD">
              <w:rPr>
                <w:i/>
                <w:iCs/>
              </w:rPr>
              <w:t xml:space="preserve"> may be used as </w:t>
            </w:r>
            <w:r w:rsidR="005F0BCE" w:rsidRPr="00527BFD">
              <w:rPr>
                <w:i/>
                <w:iCs/>
              </w:rPr>
              <w:t>(</w:t>
            </w:r>
            <w:r w:rsidR="00F20BEA" w:rsidRPr="00527BFD">
              <w:rPr>
                <w:i/>
                <w:iCs/>
              </w:rPr>
              <w:t xml:space="preserve">see Dosage </w:t>
            </w:r>
            <w:r w:rsidR="008346EC" w:rsidRPr="00527BFD">
              <w:rPr>
                <w:i/>
                <w:iCs/>
              </w:rPr>
              <w:t xml:space="preserve">and administration </w:t>
            </w:r>
            <w:r w:rsidR="00F20BEA" w:rsidRPr="00527BFD">
              <w:rPr>
                <w:i/>
                <w:iCs/>
              </w:rPr>
              <w:t xml:space="preserve">(2.2), Contraindications (4), Warnings and </w:t>
            </w:r>
            <w:r w:rsidR="008346EC" w:rsidRPr="00527BFD">
              <w:rPr>
                <w:i/>
                <w:iCs/>
              </w:rPr>
              <w:t xml:space="preserve">precautions </w:t>
            </w:r>
            <w:r w:rsidR="00F20BEA" w:rsidRPr="00527BFD">
              <w:rPr>
                <w:i/>
                <w:iCs/>
              </w:rPr>
              <w:t xml:space="preserve">(5.1), Clinical </w:t>
            </w:r>
            <w:r w:rsidR="008346EC" w:rsidRPr="00527BFD">
              <w:rPr>
                <w:i/>
                <w:iCs/>
              </w:rPr>
              <w:t xml:space="preserve">studies </w:t>
            </w:r>
            <w:r w:rsidR="00F20BEA" w:rsidRPr="00527BFD">
              <w:rPr>
                <w:i/>
                <w:iCs/>
              </w:rPr>
              <w:t>(14.2)</w:t>
            </w:r>
            <w:r w:rsidR="005F0BCE" w:rsidRPr="00527BFD">
              <w:rPr>
                <w:i/>
                <w:iCs/>
              </w:rPr>
              <w:t>)</w:t>
            </w:r>
            <w:r w:rsidR="00F20BEA" w:rsidRPr="00527BFD">
              <w:rPr>
                <w:i/>
                <w:iCs/>
              </w:rPr>
              <w:t>:</w:t>
            </w:r>
          </w:p>
          <w:p w14:paraId="0C2FBD18" w14:textId="14534946" w:rsidR="00F20BEA" w:rsidRPr="009B16C5" w:rsidRDefault="00F20BEA" w:rsidP="009B16C5">
            <w:pPr>
              <w:pStyle w:val="ListBullet"/>
              <w:rPr>
                <w:i/>
                <w:iCs/>
              </w:rPr>
            </w:pPr>
            <w:r w:rsidRPr="009B16C5">
              <w:rPr>
                <w:i/>
                <w:iCs/>
              </w:rPr>
              <w:t xml:space="preserve">oral lead-in to assess the tolerability of cabotegravir prior to administration of </w:t>
            </w:r>
            <w:proofErr w:type="spellStart"/>
            <w:r w:rsidR="005F0BCE" w:rsidRPr="009B16C5">
              <w:rPr>
                <w:i/>
                <w:iCs/>
              </w:rPr>
              <w:t>Apretude</w:t>
            </w:r>
            <w:proofErr w:type="spellEnd"/>
            <w:r w:rsidRPr="009B16C5">
              <w:rPr>
                <w:i/>
                <w:iCs/>
              </w:rPr>
              <w:t xml:space="preserve"> (cabotegravir extended-release injectable suspension).</w:t>
            </w:r>
          </w:p>
          <w:p w14:paraId="2FC93718" w14:textId="5C1E3B43" w:rsidR="0041203A" w:rsidRPr="009B16C5" w:rsidRDefault="00F20BEA" w:rsidP="009B16C5">
            <w:pPr>
              <w:pStyle w:val="ListBullet"/>
              <w:rPr>
                <w:i/>
                <w:iCs/>
              </w:rPr>
            </w:pPr>
            <w:r w:rsidRPr="009B16C5">
              <w:rPr>
                <w:i/>
                <w:iCs/>
              </w:rPr>
              <w:t xml:space="preserve">oral </w:t>
            </w:r>
            <w:proofErr w:type="spellStart"/>
            <w:r w:rsidRPr="009B16C5">
              <w:rPr>
                <w:i/>
                <w:iCs/>
              </w:rPr>
              <w:t>PrEP</w:t>
            </w:r>
            <w:proofErr w:type="spellEnd"/>
            <w:r w:rsidRPr="009B16C5">
              <w:rPr>
                <w:i/>
                <w:iCs/>
              </w:rPr>
              <w:t xml:space="preserve"> for patients who will miss planned injection dosing with </w:t>
            </w:r>
            <w:proofErr w:type="spellStart"/>
            <w:r w:rsidR="005F0BCE" w:rsidRPr="009B16C5">
              <w:rPr>
                <w:i/>
                <w:iCs/>
              </w:rPr>
              <w:t>Apretude</w:t>
            </w:r>
            <w:proofErr w:type="spellEnd"/>
            <w:r w:rsidRPr="009B16C5">
              <w:rPr>
                <w:i/>
                <w:iCs/>
              </w:rPr>
              <w:t>.</w:t>
            </w:r>
          </w:p>
          <w:p w14:paraId="4EE165D9" w14:textId="77777777" w:rsidR="00F20BEA" w:rsidRPr="00527BFD" w:rsidRDefault="00F20BEA" w:rsidP="00841D49">
            <w:pPr>
              <w:ind w:left="0" w:right="0"/>
              <w:rPr>
                <w:b/>
                <w:bCs/>
                <w:i/>
                <w:iCs/>
              </w:rPr>
            </w:pPr>
            <w:r w:rsidRPr="00527BFD">
              <w:rPr>
                <w:b/>
                <w:bCs/>
                <w:i/>
                <w:iCs/>
              </w:rPr>
              <w:lastRenderedPageBreak/>
              <w:t>Prolonged-release suspension for injection</w:t>
            </w:r>
          </w:p>
          <w:p w14:paraId="447F5F47" w14:textId="29206A6C" w:rsidR="00006FAB" w:rsidRPr="00527BFD" w:rsidRDefault="005F0BCE" w:rsidP="00841D49">
            <w:pPr>
              <w:ind w:left="0" w:right="-144"/>
              <w:rPr>
                <w:i/>
                <w:iCs/>
              </w:rPr>
            </w:pPr>
            <w:proofErr w:type="spellStart"/>
            <w:r w:rsidRPr="00527BFD">
              <w:rPr>
                <w:i/>
                <w:iCs/>
              </w:rPr>
              <w:t>Apretude</w:t>
            </w:r>
            <w:proofErr w:type="spellEnd"/>
            <w:r w:rsidR="00F20BEA" w:rsidRPr="00527BFD">
              <w:rPr>
                <w:i/>
                <w:iCs/>
              </w:rPr>
              <w:t xml:space="preserve"> is indicated in at-risk adults and adolescents weighing at least 35 kg for pre-exposure prophylaxis (</w:t>
            </w:r>
            <w:proofErr w:type="spellStart"/>
            <w:r w:rsidR="00F20BEA" w:rsidRPr="00527BFD">
              <w:rPr>
                <w:i/>
                <w:iCs/>
              </w:rPr>
              <w:t>PrEP</w:t>
            </w:r>
            <w:proofErr w:type="spellEnd"/>
            <w:r w:rsidR="00F20BEA" w:rsidRPr="00527BFD">
              <w:rPr>
                <w:i/>
                <w:iCs/>
              </w:rPr>
              <w:t xml:space="preserve">) to reduce the risk of sexually acquired HIV-1 infection. Individuals must have a negative HIV-1 test prior to initiating </w:t>
            </w:r>
            <w:proofErr w:type="spellStart"/>
            <w:r w:rsidRPr="00527BFD">
              <w:rPr>
                <w:i/>
                <w:iCs/>
              </w:rPr>
              <w:t>Apretude</w:t>
            </w:r>
            <w:proofErr w:type="spellEnd"/>
            <w:r w:rsidR="00F20BEA" w:rsidRPr="00527BFD">
              <w:rPr>
                <w:i/>
                <w:iCs/>
              </w:rPr>
              <w:t xml:space="preserve"> (with or without an oral lead-in with oral cabotegravir) for HIV-1 </w:t>
            </w:r>
            <w:proofErr w:type="spellStart"/>
            <w:r w:rsidR="00F20BEA" w:rsidRPr="00527BFD">
              <w:rPr>
                <w:i/>
                <w:iCs/>
              </w:rPr>
              <w:t>PrEP</w:t>
            </w:r>
            <w:proofErr w:type="spellEnd"/>
            <w:r w:rsidR="00F20BEA" w:rsidRPr="00527BFD">
              <w:rPr>
                <w:i/>
                <w:iCs/>
              </w:rPr>
              <w:t xml:space="preserve"> </w:t>
            </w:r>
            <w:r w:rsidRPr="00527BFD">
              <w:rPr>
                <w:i/>
                <w:iCs/>
              </w:rPr>
              <w:t>(</w:t>
            </w:r>
            <w:r w:rsidR="00F20BEA" w:rsidRPr="00527BFD">
              <w:rPr>
                <w:i/>
                <w:iCs/>
              </w:rPr>
              <w:t xml:space="preserve">see Dosage and </w:t>
            </w:r>
            <w:r w:rsidR="008346EC" w:rsidRPr="00527BFD">
              <w:rPr>
                <w:i/>
                <w:iCs/>
              </w:rPr>
              <w:t xml:space="preserve">administration </w:t>
            </w:r>
            <w:r w:rsidR="00F20BEA" w:rsidRPr="00527BFD">
              <w:rPr>
                <w:i/>
                <w:iCs/>
              </w:rPr>
              <w:t xml:space="preserve">(2.2, 2.4), Contraindications (4), Warnings and </w:t>
            </w:r>
            <w:r w:rsidR="008346EC" w:rsidRPr="00527BFD">
              <w:rPr>
                <w:i/>
                <w:iCs/>
              </w:rPr>
              <w:t xml:space="preserve">precautions </w:t>
            </w:r>
            <w:r w:rsidR="00F20BEA" w:rsidRPr="00527BFD">
              <w:rPr>
                <w:i/>
                <w:iCs/>
              </w:rPr>
              <w:t>(5.1)</w:t>
            </w:r>
            <w:r w:rsidRPr="00527BFD">
              <w:rPr>
                <w:i/>
                <w:iCs/>
              </w:rPr>
              <w:t>)</w:t>
            </w:r>
            <w:r w:rsidR="00F20BEA" w:rsidRPr="00527BFD">
              <w:rPr>
                <w:i/>
                <w:iCs/>
              </w:rPr>
              <w:t>.</w:t>
            </w:r>
          </w:p>
        </w:tc>
      </w:tr>
    </w:tbl>
    <w:p w14:paraId="17C6DCBB" w14:textId="77777777" w:rsidR="008E7846" w:rsidRPr="00527BFD" w:rsidRDefault="008E7846" w:rsidP="00940A89">
      <w:pPr>
        <w:pStyle w:val="Heading3"/>
      </w:pPr>
      <w:bookmarkStart w:id="44" w:name="_Toc120100537"/>
      <w:r w:rsidRPr="00527BFD">
        <w:lastRenderedPageBreak/>
        <w:t>Product Information</w:t>
      </w:r>
      <w:bookmarkEnd w:id="39"/>
      <w:bookmarkEnd w:id="40"/>
      <w:bookmarkEnd w:id="44"/>
    </w:p>
    <w:p w14:paraId="430EA94E" w14:textId="5A540A21" w:rsidR="00332715" w:rsidRPr="00527BFD" w:rsidRDefault="00332715" w:rsidP="00332715">
      <w:bookmarkStart w:id="45" w:name="_Toc504480011"/>
      <w:bookmarkStart w:id="46" w:name="_Toc247691506"/>
      <w:bookmarkStart w:id="47" w:name="_Toc314842487"/>
      <w:r w:rsidRPr="00527BFD">
        <w:t xml:space="preserve">The Product Information (PI) approved with the submission which is described in this </w:t>
      </w:r>
      <w:proofErr w:type="spellStart"/>
      <w:r w:rsidRPr="00527BFD">
        <w:t>AusPAR</w:t>
      </w:r>
      <w:proofErr w:type="spellEnd"/>
      <w:r w:rsidRPr="00527BFD">
        <w:t xml:space="preserve"> can be found as Attachment 1. For the most recent PI, please refer to the TGA </w:t>
      </w:r>
      <w:hyperlink r:id="rId15" w:history="1">
        <w:r w:rsidRPr="00527BFD">
          <w:rPr>
            <w:rStyle w:val="Hyperlink"/>
          </w:rPr>
          <w:t>PI/CMI search facility</w:t>
        </w:r>
        <w:r w:rsidRPr="00527BFD">
          <w:rPr>
            <w:rStyle w:val="Hyperlink"/>
            <w:color w:val="auto"/>
            <w:u w:val="none"/>
          </w:rPr>
          <w:t>.</w:t>
        </w:r>
      </w:hyperlink>
    </w:p>
    <w:p w14:paraId="291773A2" w14:textId="77777777" w:rsidR="00500337" w:rsidRPr="00527BFD" w:rsidRDefault="00500337" w:rsidP="00500337">
      <w:pPr>
        <w:pStyle w:val="Heading2"/>
      </w:pPr>
      <w:bookmarkStart w:id="48" w:name="_Toc120100538"/>
      <w:r w:rsidRPr="00527BFD">
        <w:t>Registration timeline</w:t>
      </w:r>
      <w:bookmarkEnd w:id="45"/>
      <w:bookmarkEnd w:id="48"/>
    </w:p>
    <w:p w14:paraId="03BBC933" w14:textId="77777777" w:rsidR="0074163C" w:rsidRPr="00527BFD" w:rsidRDefault="0074163C" w:rsidP="0074163C">
      <w:r w:rsidRPr="00527BFD">
        <w:t xml:space="preserve">The following table captures the key steps and dates for this </w:t>
      </w:r>
      <w:r w:rsidR="00804D99" w:rsidRPr="00527BFD">
        <w:t>submission</w:t>
      </w:r>
      <w:r w:rsidRPr="00527BFD">
        <w:t>.</w:t>
      </w:r>
    </w:p>
    <w:p w14:paraId="23DE4619" w14:textId="532DCABA" w:rsidR="0074163C" w:rsidRPr="0025423A" w:rsidRDefault="0074163C" w:rsidP="0025423A">
      <w:pPr>
        <w:pStyle w:val="TableTitle"/>
      </w:pPr>
      <w:r w:rsidRPr="0025423A">
        <w:t xml:space="preserve">Table </w:t>
      </w:r>
      <w:r w:rsidR="00234D1A">
        <w:fldChar w:fldCharType="begin"/>
      </w:r>
      <w:r w:rsidR="00234D1A">
        <w:instrText xml:space="preserve"> SEQ Table \* ARABIC </w:instrText>
      </w:r>
      <w:r w:rsidR="00234D1A">
        <w:fldChar w:fldCharType="separate"/>
      </w:r>
      <w:r w:rsidR="001702C9">
        <w:rPr>
          <w:noProof/>
        </w:rPr>
        <w:t>2</w:t>
      </w:r>
      <w:r w:rsidR="00234D1A">
        <w:rPr>
          <w:noProof/>
        </w:rPr>
        <w:fldChar w:fldCharType="end"/>
      </w:r>
      <w:r w:rsidRPr="0025423A">
        <w:t xml:space="preserve">: Timeline for Submission </w:t>
      </w:r>
      <w:r w:rsidR="00484396" w:rsidRPr="0025423A">
        <w:t>PM-2021-04853-1-2</w:t>
      </w:r>
    </w:p>
    <w:p w14:paraId="0A3A3B61" w14:textId="5BE5127E" w:rsidR="0074163C" w:rsidRPr="00527BFD" w:rsidRDefault="00234D1A" w:rsidP="0074163C">
      <w:pPr>
        <w:pStyle w:val="Instructions"/>
        <w:rPr>
          <w:i w:val="0"/>
          <w:color w:val="auto"/>
          <w:szCs w:val="20"/>
        </w:rPr>
      </w:pPr>
      <w:hyperlink r:id="rId16" w:history="1">
        <w:r w:rsidR="0074163C" w:rsidRPr="00527BFD">
          <w:rPr>
            <w:rStyle w:val="Hyperlink"/>
            <w:i w:val="0"/>
            <w:szCs w:val="20"/>
          </w:rPr>
          <w:t>Priority review pathway</w:t>
        </w:r>
      </w:hyperlink>
    </w:p>
    <w:tbl>
      <w:tblPr>
        <w:tblStyle w:val="TableTGAblue"/>
        <w:tblW w:w="0" w:type="auto"/>
        <w:tblLook w:val="04A0" w:firstRow="1" w:lastRow="0" w:firstColumn="1" w:lastColumn="0" w:noHBand="0" w:noVBand="1"/>
      </w:tblPr>
      <w:tblGrid>
        <w:gridCol w:w="4265"/>
        <w:gridCol w:w="4229"/>
      </w:tblGrid>
      <w:tr w:rsidR="0074163C" w:rsidRPr="00527BFD" w14:paraId="580EE347" w14:textId="77777777" w:rsidTr="008346EC">
        <w:trPr>
          <w:cnfStyle w:val="100000000000" w:firstRow="1" w:lastRow="0" w:firstColumn="0" w:lastColumn="0" w:oddVBand="0" w:evenVBand="0" w:oddHBand="0" w:evenHBand="0" w:firstRowFirstColumn="0" w:firstRowLastColumn="0" w:lastRowFirstColumn="0" w:lastRowLastColumn="0"/>
        </w:trPr>
        <w:tc>
          <w:tcPr>
            <w:tcW w:w="4265" w:type="dxa"/>
            <w:tcBorders>
              <w:top w:val="single" w:sz="4" w:space="0" w:color="auto"/>
              <w:left w:val="single" w:sz="4" w:space="0" w:color="auto"/>
              <w:bottom w:val="single" w:sz="4" w:space="0" w:color="auto"/>
              <w:right w:val="single" w:sz="4" w:space="0" w:color="auto"/>
            </w:tcBorders>
          </w:tcPr>
          <w:p w14:paraId="7704ADF5" w14:textId="77777777" w:rsidR="0074163C" w:rsidRPr="00527BFD" w:rsidRDefault="0074163C" w:rsidP="009E5A87">
            <w:r w:rsidRPr="00527BFD">
              <w:t>Description</w:t>
            </w:r>
          </w:p>
        </w:tc>
        <w:tc>
          <w:tcPr>
            <w:tcW w:w="4229" w:type="dxa"/>
            <w:tcBorders>
              <w:top w:val="single" w:sz="4" w:space="0" w:color="auto"/>
              <w:left w:val="single" w:sz="4" w:space="0" w:color="auto"/>
              <w:bottom w:val="single" w:sz="4" w:space="0" w:color="auto"/>
              <w:right w:val="single" w:sz="4" w:space="0" w:color="auto"/>
            </w:tcBorders>
          </w:tcPr>
          <w:p w14:paraId="09929947" w14:textId="77777777" w:rsidR="0074163C" w:rsidRPr="00527BFD" w:rsidRDefault="0074163C" w:rsidP="009E5A87">
            <w:r w:rsidRPr="00527BFD">
              <w:t>Date</w:t>
            </w:r>
          </w:p>
        </w:tc>
      </w:tr>
      <w:tr w:rsidR="0074163C" w:rsidRPr="00527BFD" w14:paraId="6F5F1872" w14:textId="77777777" w:rsidTr="008346EC">
        <w:tc>
          <w:tcPr>
            <w:tcW w:w="4265" w:type="dxa"/>
            <w:tcBorders>
              <w:top w:val="single" w:sz="4" w:space="0" w:color="auto"/>
            </w:tcBorders>
          </w:tcPr>
          <w:p w14:paraId="0D4E01C1" w14:textId="77777777" w:rsidR="0074163C" w:rsidRPr="005864D6" w:rsidRDefault="0074163C" w:rsidP="005864D6">
            <w:r w:rsidRPr="005864D6">
              <w:t>Determination (Priority)</w:t>
            </w:r>
          </w:p>
        </w:tc>
        <w:tc>
          <w:tcPr>
            <w:tcW w:w="4229" w:type="dxa"/>
            <w:tcBorders>
              <w:top w:val="single" w:sz="4" w:space="0" w:color="auto"/>
            </w:tcBorders>
          </w:tcPr>
          <w:p w14:paraId="04A6001D" w14:textId="5F3DCBBA" w:rsidR="0074163C" w:rsidRPr="00527BFD" w:rsidRDefault="008346EC" w:rsidP="009E5A87">
            <w:r w:rsidRPr="00527BFD">
              <w:t>6 September 2021</w:t>
            </w:r>
          </w:p>
        </w:tc>
      </w:tr>
      <w:tr w:rsidR="0074163C" w:rsidRPr="00527BFD" w14:paraId="725FD151" w14:textId="77777777" w:rsidTr="008346EC">
        <w:tc>
          <w:tcPr>
            <w:tcW w:w="4265" w:type="dxa"/>
          </w:tcPr>
          <w:p w14:paraId="2E39CB4C" w14:textId="77777777" w:rsidR="0074163C" w:rsidRPr="00527BFD" w:rsidRDefault="0074163C" w:rsidP="009E5A87">
            <w:r w:rsidRPr="00527BFD">
              <w:t>Submission dossier accepted and first round evaluation commenced</w:t>
            </w:r>
          </w:p>
        </w:tc>
        <w:tc>
          <w:tcPr>
            <w:tcW w:w="4229" w:type="dxa"/>
          </w:tcPr>
          <w:p w14:paraId="7A38DC13" w14:textId="2A305A1B" w:rsidR="0074163C" w:rsidRPr="00527BFD" w:rsidRDefault="00CB3DE3" w:rsidP="009E5A87">
            <w:r w:rsidRPr="00527BFD">
              <w:t>15 October 2021</w:t>
            </w:r>
          </w:p>
        </w:tc>
      </w:tr>
      <w:tr w:rsidR="0074163C" w:rsidRPr="00527BFD" w14:paraId="1370F1D5" w14:textId="77777777" w:rsidTr="008346EC">
        <w:tc>
          <w:tcPr>
            <w:tcW w:w="4265" w:type="dxa"/>
          </w:tcPr>
          <w:p w14:paraId="60EDF98C" w14:textId="77777777" w:rsidR="0074163C" w:rsidRPr="00527BFD" w:rsidRDefault="0074163C" w:rsidP="009E5A87">
            <w:r w:rsidRPr="00527BFD">
              <w:t>Evaluation completed</w:t>
            </w:r>
          </w:p>
        </w:tc>
        <w:tc>
          <w:tcPr>
            <w:tcW w:w="4229" w:type="dxa"/>
          </w:tcPr>
          <w:p w14:paraId="248B6A12" w14:textId="7865B1C5" w:rsidR="0074163C" w:rsidRPr="00527BFD" w:rsidRDefault="00CB3DE3" w:rsidP="009E5A87">
            <w:r w:rsidRPr="00527BFD">
              <w:t>3 May 2022</w:t>
            </w:r>
          </w:p>
        </w:tc>
      </w:tr>
      <w:tr w:rsidR="0074163C" w:rsidRPr="00527BFD" w14:paraId="07FDEE3F" w14:textId="77777777" w:rsidTr="008346EC">
        <w:tc>
          <w:tcPr>
            <w:tcW w:w="4265" w:type="dxa"/>
          </w:tcPr>
          <w:p w14:paraId="6EFA422E" w14:textId="56106277" w:rsidR="0074163C" w:rsidRPr="00527BFD" w:rsidRDefault="0074163C" w:rsidP="009E5A87">
            <w:r w:rsidRPr="00527BFD">
              <w:t>Delegate’s Overall benefit-risk assessment and request for Advisory Committee advice</w:t>
            </w:r>
          </w:p>
        </w:tc>
        <w:tc>
          <w:tcPr>
            <w:tcW w:w="4229" w:type="dxa"/>
          </w:tcPr>
          <w:p w14:paraId="11C9DBB2" w14:textId="2186DFAB" w:rsidR="0074163C" w:rsidRPr="00527BFD" w:rsidRDefault="00AF5489" w:rsidP="009E5A87">
            <w:r>
              <w:t>22 April 2022</w:t>
            </w:r>
          </w:p>
        </w:tc>
      </w:tr>
      <w:tr w:rsidR="0074163C" w:rsidRPr="00527BFD" w14:paraId="040F44E0" w14:textId="77777777" w:rsidTr="008346EC">
        <w:tc>
          <w:tcPr>
            <w:tcW w:w="4265" w:type="dxa"/>
          </w:tcPr>
          <w:p w14:paraId="33A98B4E" w14:textId="77777777" w:rsidR="0074163C" w:rsidRPr="00527BFD" w:rsidRDefault="0074163C" w:rsidP="009E5A87">
            <w:r w:rsidRPr="00527BFD">
              <w:t>Sponsor’s pre-Advisory Committee response</w:t>
            </w:r>
          </w:p>
        </w:tc>
        <w:tc>
          <w:tcPr>
            <w:tcW w:w="4229" w:type="dxa"/>
          </w:tcPr>
          <w:p w14:paraId="0A51ED75" w14:textId="314F2A70" w:rsidR="0074163C" w:rsidRPr="00527BFD" w:rsidRDefault="00E908B2" w:rsidP="009E5A87">
            <w:r w:rsidRPr="00527BFD">
              <w:t>17 May 2022</w:t>
            </w:r>
          </w:p>
        </w:tc>
      </w:tr>
      <w:tr w:rsidR="0074163C" w:rsidRPr="00527BFD" w14:paraId="6EA7A0E8" w14:textId="77777777" w:rsidTr="008346EC">
        <w:tc>
          <w:tcPr>
            <w:tcW w:w="4265" w:type="dxa"/>
          </w:tcPr>
          <w:p w14:paraId="58D1EEA9" w14:textId="77777777" w:rsidR="0074163C" w:rsidRPr="00527BFD" w:rsidRDefault="0074163C" w:rsidP="009E5A87">
            <w:r w:rsidRPr="00527BFD">
              <w:t>Advisory Committee meeting</w:t>
            </w:r>
          </w:p>
        </w:tc>
        <w:tc>
          <w:tcPr>
            <w:tcW w:w="4229" w:type="dxa"/>
          </w:tcPr>
          <w:p w14:paraId="08BDA676" w14:textId="6F2A421B" w:rsidR="0074163C" w:rsidRPr="00527BFD" w:rsidRDefault="00E908B2" w:rsidP="009E5A87">
            <w:r w:rsidRPr="00527BFD">
              <w:t>2 and 3 June 2022</w:t>
            </w:r>
          </w:p>
        </w:tc>
      </w:tr>
      <w:tr w:rsidR="0074163C" w:rsidRPr="00527BFD" w14:paraId="5257E38C" w14:textId="77777777" w:rsidTr="008346EC">
        <w:tc>
          <w:tcPr>
            <w:tcW w:w="4265" w:type="dxa"/>
          </w:tcPr>
          <w:p w14:paraId="2FD4CC48" w14:textId="77777777" w:rsidR="0074163C" w:rsidRPr="00527BFD" w:rsidRDefault="0074163C" w:rsidP="009E5A87">
            <w:r w:rsidRPr="00527BFD">
              <w:t>Registration decision (Outcome)</w:t>
            </w:r>
          </w:p>
        </w:tc>
        <w:tc>
          <w:tcPr>
            <w:tcW w:w="4229" w:type="dxa"/>
          </w:tcPr>
          <w:p w14:paraId="11ADC47E" w14:textId="7CAEE810" w:rsidR="0074163C" w:rsidRPr="00527BFD" w:rsidRDefault="00E908B2" w:rsidP="009E5A87">
            <w:r w:rsidRPr="00527BFD">
              <w:t>8 August 2022</w:t>
            </w:r>
          </w:p>
        </w:tc>
      </w:tr>
      <w:tr w:rsidR="0074163C" w:rsidRPr="00527BFD" w14:paraId="6C802105" w14:textId="77777777" w:rsidTr="008346EC">
        <w:tc>
          <w:tcPr>
            <w:tcW w:w="4265" w:type="dxa"/>
          </w:tcPr>
          <w:p w14:paraId="10C16088" w14:textId="77777777" w:rsidR="0074163C" w:rsidRPr="00527BFD" w:rsidRDefault="0074163C" w:rsidP="009E5A87">
            <w:r w:rsidRPr="00527BFD">
              <w:lastRenderedPageBreak/>
              <w:t>Completion of administrative activities and registration on the ARTG</w:t>
            </w:r>
          </w:p>
        </w:tc>
        <w:tc>
          <w:tcPr>
            <w:tcW w:w="4229" w:type="dxa"/>
          </w:tcPr>
          <w:p w14:paraId="65A0FFBF" w14:textId="51E4643C" w:rsidR="0074163C" w:rsidRPr="00527BFD" w:rsidRDefault="00E908B2" w:rsidP="009E5A87">
            <w:r w:rsidRPr="00527BFD">
              <w:t>11 August 2022</w:t>
            </w:r>
          </w:p>
        </w:tc>
      </w:tr>
      <w:tr w:rsidR="0074163C" w:rsidRPr="00527BFD" w14:paraId="59A2E573" w14:textId="77777777" w:rsidTr="008346EC">
        <w:tc>
          <w:tcPr>
            <w:tcW w:w="4265" w:type="dxa"/>
          </w:tcPr>
          <w:p w14:paraId="0A7FA678" w14:textId="77777777" w:rsidR="0074163C" w:rsidRPr="00527BFD" w:rsidRDefault="0074163C" w:rsidP="009E5A87">
            <w:r w:rsidRPr="00527BFD">
              <w:t>Number of working days from submission dossier acceptance to registration decision*</w:t>
            </w:r>
          </w:p>
        </w:tc>
        <w:tc>
          <w:tcPr>
            <w:tcW w:w="4229" w:type="dxa"/>
          </w:tcPr>
          <w:p w14:paraId="5E220190" w14:textId="71002A53" w:rsidR="0074163C" w:rsidRPr="00527BFD" w:rsidRDefault="00CB3DE3" w:rsidP="009E5A87">
            <w:r w:rsidRPr="00527BFD">
              <w:t>144</w:t>
            </w:r>
          </w:p>
        </w:tc>
      </w:tr>
    </w:tbl>
    <w:p w14:paraId="59495B72" w14:textId="77777777" w:rsidR="0074163C" w:rsidRPr="00527BFD" w:rsidRDefault="0074163C" w:rsidP="0074163C">
      <w:pPr>
        <w:pStyle w:val="TableDescription"/>
      </w:pPr>
      <w:r w:rsidRPr="00527BFD">
        <w:t xml:space="preserve">*Target timeframe for priority </w:t>
      </w:r>
      <w:r w:rsidR="00BB0B78" w:rsidRPr="00527BFD">
        <w:t>submission</w:t>
      </w:r>
      <w:r w:rsidRPr="00527BFD">
        <w:t>s is 150 working days from acceptance for evaluation to the decision.</w:t>
      </w:r>
    </w:p>
    <w:p w14:paraId="6CA765D9" w14:textId="77777777" w:rsidR="008E7846" w:rsidRPr="00527BFD" w:rsidRDefault="00006FAB" w:rsidP="008E7846">
      <w:pPr>
        <w:pStyle w:val="Heading2"/>
      </w:pPr>
      <w:bookmarkStart w:id="49" w:name="_Toc196046504"/>
      <w:bookmarkStart w:id="50" w:name="_Toc247691527"/>
      <w:bookmarkStart w:id="51" w:name="_Toc314842510"/>
      <w:bookmarkStart w:id="52" w:name="_Toc120100539"/>
      <w:bookmarkStart w:id="53" w:name="_Toc163441390"/>
      <w:bookmarkEnd w:id="46"/>
      <w:bookmarkEnd w:id="47"/>
      <w:bookmarkEnd w:id="1"/>
      <w:r w:rsidRPr="00527BFD">
        <w:t xml:space="preserve">Submission overview </w:t>
      </w:r>
      <w:r w:rsidR="008E7846" w:rsidRPr="00527BFD">
        <w:t>and risk/benefit assessment</w:t>
      </w:r>
      <w:bookmarkEnd w:id="49"/>
      <w:bookmarkEnd w:id="50"/>
      <w:bookmarkEnd w:id="51"/>
      <w:bookmarkEnd w:id="52"/>
    </w:p>
    <w:p w14:paraId="6CFB1A4F" w14:textId="77777777" w:rsidR="005A79F5" w:rsidRPr="00527BFD" w:rsidRDefault="005A79F5" w:rsidP="0074163C">
      <w:pPr>
        <w:pStyle w:val="Instructions"/>
        <w:rPr>
          <w:i w:val="0"/>
          <w:color w:val="auto"/>
        </w:rPr>
      </w:pPr>
      <w:bookmarkStart w:id="54" w:name="_Toc247691528"/>
      <w:bookmarkStart w:id="55" w:name="_Toc314842511"/>
      <w:r w:rsidRPr="00527BFD">
        <w:rPr>
          <w:i w:val="0"/>
          <w:color w:val="auto"/>
        </w:rPr>
        <w:t>A summary of the TGA’s assessment for this submission is provided below.</w:t>
      </w:r>
    </w:p>
    <w:p w14:paraId="1678A03B" w14:textId="77777777" w:rsidR="008E7846" w:rsidRPr="00527BFD" w:rsidRDefault="008E7846" w:rsidP="008E7846">
      <w:pPr>
        <w:pStyle w:val="Heading3"/>
      </w:pPr>
      <w:bookmarkStart w:id="56" w:name="_Toc120100540"/>
      <w:r w:rsidRPr="00527BFD">
        <w:t>Quality</w:t>
      </w:r>
      <w:bookmarkEnd w:id="54"/>
      <w:bookmarkEnd w:id="55"/>
      <w:bookmarkEnd w:id="56"/>
    </w:p>
    <w:p w14:paraId="6294C0D7" w14:textId="5930E8C5" w:rsidR="0041203A" w:rsidRDefault="003768A7" w:rsidP="00F25AFD">
      <w:r w:rsidRPr="00527BFD">
        <w:t xml:space="preserve">The formulation development for the cabotegravir tablet and long-acting (LA) suspension dose forms are identical to that described for the previously evaluated drug </w:t>
      </w:r>
      <w:proofErr w:type="spellStart"/>
      <w:r w:rsidR="00FD52A9" w:rsidRPr="00527BFD">
        <w:t>Vocabria</w:t>
      </w:r>
      <w:proofErr w:type="spellEnd"/>
      <w:r w:rsidRPr="00527BFD">
        <w:t xml:space="preserve"> (</w:t>
      </w:r>
      <w:r w:rsidR="00E908B2" w:rsidRPr="00527BFD">
        <w:t>Submission</w:t>
      </w:r>
      <w:r w:rsidR="005864D6">
        <w:t> </w:t>
      </w:r>
      <w:r w:rsidRPr="00527BFD">
        <w:t>PM-2019-04281-1-2).</w:t>
      </w:r>
      <w:bookmarkStart w:id="57" w:name="_Ref116220017"/>
      <w:r w:rsidR="0041203A" w:rsidRPr="00230C10">
        <w:rPr>
          <w:vertAlign w:val="superscript"/>
        </w:rPr>
        <w:fldChar w:fldCharType="begin"/>
      </w:r>
      <w:r w:rsidR="0041203A" w:rsidRPr="00230C10">
        <w:rPr>
          <w:vertAlign w:val="superscript"/>
        </w:rPr>
        <w:instrText xml:space="preserve"> NOTEREF _Ref119672096 \h </w:instrText>
      </w:r>
      <w:r w:rsidR="0041203A">
        <w:rPr>
          <w:vertAlign w:val="superscript"/>
        </w:rPr>
        <w:instrText xml:space="preserve"> \* MERGEFORMAT </w:instrText>
      </w:r>
      <w:r w:rsidR="0041203A" w:rsidRPr="00230C10">
        <w:rPr>
          <w:vertAlign w:val="superscript"/>
        </w:rPr>
      </w:r>
      <w:r w:rsidR="0041203A" w:rsidRPr="00230C10">
        <w:rPr>
          <w:vertAlign w:val="superscript"/>
        </w:rPr>
        <w:fldChar w:fldCharType="separate"/>
      </w:r>
      <w:r w:rsidR="001702C9">
        <w:rPr>
          <w:vertAlign w:val="superscript"/>
        </w:rPr>
        <w:t>9</w:t>
      </w:r>
      <w:r w:rsidR="0041203A" w:rsidRPr="00230C10">
        <w:rPr>
          <w:vertAlign w:val="superscript"/>
        </w:rPr>
        <w:fldChar w:fldCharType="end"/>
      </w:r>
      <w:bookmarkEnd w:id="57"/>
    </w:p>
    <w:p w14:paraId="4F77B01E" w14:textId="503B858E" w:rsidR="003768A7" w:rsidRPr="00527BFD" w:rsidRDefault="003768A7" w:rsidP="00F25AFD">
      <w:r w:rsidRPr="00527BFD">
        <w:t xml:space="preserve">In summary, the proposed commercial formulation of </w:t>
      </w:r>
      <w:r w:rsidR="00FD52A9" w:rsidRPr="00527BFD">
        <w:t>cabotegravir</w:t>
      </w:r>
      <w:r w:rsidRPr="00527BFD">
        <w:t xml:space="preserve"> LA is a white to light pink, free-flowing suspension containing 200 mg/mL of </w:t>
      </w:r>
      <w:r w:rsidR="00FD52A9" w:rsidRPr="00527BFD">
        <w:t>cabotegravir</w:t>
      </w:r>
      <w:r w:rsidRPr="00527BFD">
        <w:t xml:space="preserve"> free acid. The proposed commercial formulation of the oral tablet contains 31.62 mg of </w:t>
      </w:r>
      <w:proofErr w:type="spellStart"/>
      <w:r w:rsidRPr="00527BFD">
        <w:t>micronised</w:t>
      </w:r>
      <w:proofErr w:type="spellEnd"/>
      <w:r w:rsidRPr="00527BFD">
        <w:t xml:space="preserve"> </w:t>
      </w:r>
      <w:r w:rsidR="00FD52A9" w:rsidRPr="00527BFD">
        <w:t>cabotegravir</w:t>
      </w:r>
      <w:r w:rsidRPr="00527BFD">
        <w:t xml:space="preserve"> sodium, which is equivalent to 30 mg of </w:t>
      </w:r>
      <w:r w:rsidR="00FD52A9" w:rsidRPr="00527BFD">
        <w:t>cabotegravir</w:t>
      </w:r>
      <w:r w:rsidRPr="00527BFD">
        <w:t xml:space="preserve"> free acid, with an overall core weight of 500 mg. Both commercial formulations remained unchanged from those used in the Phase III studies.</w:t>
      </w:r>
    </w:p>
    <w:p w14:paraId="3DAC4D89" w14:textId="2B90D387" w:rsidR="003768A7" w:rsidRPr="00527BFD" w:rsidRDefault="003768A7" w:rsidP="003768A7">
      <w:r w:rsidRPr="00527BFD">
        <w:t xml:space="preserve">The film-coated tablet formulation of cabotegravir contains the following excipients: lactose monohydrate; microcrystalline cellulose; </w:t>
      </w:r>
      <w:proofErr w:type="spellStart"/>
      <w:r w:rsidRPr="00527BFD">
        <w:t>hypromellose</w:t>
      </w:r>
      <w:proofErr w:type="spellEnd"/>
      <w:r w:rsidRPr="00527BFD">
        <w:t>; sodium starch glycolate type</w:t>
      </w:r>
      <w:r w:rsidR="00E908B2" w:rsidRPr="00527BFD">
        <w:t> </w:t>
      </w:r>
      <w:r w:rsidRPr="00527BFD">
        <w:t>A; magnesium stearate; titanium dioxide; and macrogol.</w:t>
      </w:r>
    </w:p>
    <w:p w14:paraId="7A96CBA1" w14:textId="6F9516F4" w:rsidR="003768A7" w:rsidRPr="00527BFD" w:rsidRDefault="003768A7" w:rsidP="0074163C">
      <w:r w:rsidRPr="00527BFD">
        <w:t>The prolonged-release suspension for injection formulation of cabotegravir contains the following excipients: mannitol; polysorbate 20; macrogol 3350; and water for injections.</w:t>
      </w:r>
    </w:p>
    <w:p w14:paraId="4FED6E77" w14:textId="77777777" w:rsidR="008E7846" w:rsidRPr="00527BFD" w:rsidRDefault="008E7846" w:rsidP="008E7846">
      <w:pPr>
        <w:pStyle w:val="Heading3"/>
      </w:pPr>
      <w:bookmarkStart w:id="58" w:name="_Toc314842512"/>
      <w:bookmarkStart w:id="59" w:name="_Toc120100541"/>
      <w:r w:rsidRPr="00527BFD">
        <w:t>Nonclinical</w:t>
      </w:r>
      <w:bookmarkEnd w:id="58"/>
      <w:bookmarkEnd w:id="59"/>
    </w:p>
    <w:p w14:paraId="0694CA35" w14:textId="003A5C15" w:rsidR="005F0BCE" w:rsidRPr="00527BFD" w:rsidRDefault="005F0BCE" w:rsidP="005F0BCE">
      <w:r w:rsidRPr="00527BFD">
        <w:t xml:space="preserve">In the prior submission for the registration of </w:t>
      </w:r>
      <w:proofErr w:type="spellStart"/>
      <w:r w:rsidR="00FD52A9" w:rsidRPr="00527BFD">
        <w:t>Cabenuva</w:t>
      </w:r>
      <w:proofErr w:type="spellEnd"/>
      <w:r w:rsidRPr="00527BFD">
        <w:t xml:space="preserve"> and </w:t>
      </w:r>
      <w:r w:rsidR="00FD52A9" w:rsidRPr="00527BFD">
        <w:t>Vocabria</w:t>
      </w:r>
      <w:r w:rsidR="004A74E2">
        <w:t>;</w:t>
      </w:r>
      <w:r w:rsidR="004A74E2" w:rsidRPr="00675F03">
        <w:rPr>
          <w:vertAlign w:val="superscript"/>
        </w:rPr>
        <w:fldChar w:fldCharType="begin"/>
      </w:r>
      <w:r w:rsidR="004A74E2" w:rsidRPr="00675F03">
        <w:rPr>
          <w:vertAlign w:val="superscript"/>
        </w:rPr>
        <w:instrText xml:space="preserve"> NOTEREF _Ref119672096 \h </w:instrText>
      </w:r>
      <w:r w:rsidR="004A74E2">
        <w:rPr>
          <w:vertAlign w:val="superscript"/>
        </w:rPr>
        <w:instrText xml:space="preserve"> \* MERGEFORMAT </w:instrText>
      </w:r>
      <w:r w:rsidR="004A74E2" w:rsidRPr="00675F03">
        <w:rPr>
          <w:vertAlign w:val="superscript"/>
        </w:rPr>
      </w:r>
      <w:r w:rsidR="004A74E2" w:rsidRPr="00675F03">
        <w:rPr>
          <w:vertAlign w:val="superscript"/>
        </w:rPr>
        <w:fldChar w:fldCharType="separate"/>
      </w:r>
      <w:r w:rsidR="001702C9">
        <w:rPr>
          <w:vertAlign w:val="superscript"/>
        </w:rPr>
        <w:t>9</w:t>
      </w:r>
      <w:r w:rsidR="004A74E2" w:rsidRPr="00675F03">
        <w:rPr>
          <w:vertAlign w:val="superscript"/>
        </w:rPr>
        <w:fldChar w:fldCharType="end"/>
      </w:r>
      <w:r w:rsidRPr="00527BFD">
        <w:t xml:space="preserve"> there were no nonclinical objections to the registration of these products. </w:t>
      </w:r>
      <w:r w:rsidR="00E908B2" w:rsidRPr="00527BFD">
        <w:t>The new nonclinical</w:t>
      </w:r>
      <w:r w:rsidRPr="00527BFD">
        <w:t xml:space="preserve"> data comprised </w:t>
      </w:r>
      <w:r w:rsidR="00E908B2" w:rsidRPr="00527BFD">
        <w:t>two</w:t>
      </w:r>
      <w:r w:rsidRPr="00527BFD">
        <w:t xml:space="preserve"> pharmacokinetic</w:t>
      </w:r>
      <w:r w:rsidR="00C56168" w:rsidRPr="00527BFD">
        <w:t xml:space="preserve"> (PK)</w:t>
      </w:r>
      <w:r w:rsidRPr="00527BFD">
        <w:t xml:space="preserve"> studies of cabotegravir</w:t>
      </w:r>
      <w:r w:rsidR="00E908B2" w:rsidRPr="00527BFD">
        <w:t>,</w:t>
      </w:r>
      <w:r w:rsidRPr="00527BFD">
        <w:t xml:space="preserve"> an </w:t>
      </w:r>
      <w:r w:rsidRPr="00527BFD">
        <w:rPr>
          <w:i/>
          <w:iCs/>
        </w:rPr>
        <w:t>in vivo</w:t>
      </w:r>
      <w:r w:rsidRPr="00527BFD">
        <w:t xml:space="preserve"> (absorption) study in minipigs and an </w:t>
      </w:r>
      <w:r w:rsidRPr="00527BFD">
        <w:rPr>
          <w:i/>
          <w:iCs/>
        </w:rPr>
        <w:t>in vitro</w:t>
      </w:r>
      <w:r w:rsidRPr="00527BFD">
        <w:t xml:space="preserve"> (</w:t>
      </w:r>
      <w:r w:rsidR="00EE5045" w:rsidRPr="00527BFD">
        <w:t>cytochrome P450 (</w:t>
      </w:r>
      <w:r w:rsidRPr="00527BFD">
        <w:t>CYP</w:t>
      </w:r>
      <w:r w:rsidR="00EE5045" w:rsidRPr="00527BFD">
        <w:t>)</w:t>
      </w:r>
      <w:r w:rsidR="00EE5045" w:rsidRPr="00527BFD">
        <w:rPr>
          <w:rStyle w:val="FootnoteReference"/>
        </w:rPr>
        <w:footnoteReference w:id="10"/>
      </w:r>
      <w:r w:rsidRPr="00527BFD">
        <w:t xml:space="preserve"> induction) study. These studies confirm previous findings. The nonclinical evaluat</w:t>
      </w:r>
      <w:r w:rsidR="00E908B2" w:rsidRPr="00527BFD">
        <w:t>ion</w:t>
      </w:r>
      <w:r w:rsidRPr="00527BFD">
        <w:t xml:space="preserve"> recommends there are no </w:t>
      </w:r>
      <w:r w:rsidRPr="00527BFD">
        <w:lastRenderedPageBreak/>
        <w:t>proposed changes to the currently registered formulations and dosage regimens for cabotegravir, and that the findings of the submitted nonclinical studies do not affect any safety considerations or the safety</w:t>
      </w:r>
      <w:r w:rsidR="00714561">
        <w:t>-</w:t>
      </w:r>
      <w:r w:rsidRPr="00527BFD">
        <w:t xml:space="preserve">related nonclinical statements in the proposed draft </w:t>
      </w:r>
      <w:r w:rsidR="00C56168" w:rsidRPr="00527BFD">
        <w:t>Product Information (</w:t>
      </w:r>
      <w:r w:rsidRPr="00527BFD">
        <w:t>PI</w:t>
      </w:r>
      <w:r w:rsidR="00C56168" w:rsidRPr="00527BFD">
        <w:t>)</w:t>
      </w:r>
      <w:r w:rsidRPr="00527BFD">
        <w:t xml:space="preserve"> for </w:t>
      </w:r>
      <w:proofErr w:type="spellStart"/>
      <w:r w:rsidRPr="00527BFD">
        <w:t>Apretude</w:t>
      </w:r>
      <w:proofErr w:type="spellEnd"/>
      <w:r w:rsidRPr="00527BFD">
        <w:t>.</w:t>
      </w:r>
    </w:p>
    <w:p w14:paraId="2C67834D" w14:textId="1ADE35CB" w:rsidR="003768A7" w:rsidRPr="00527BFD" w:rsidRDefault="00E908B2" w:rsidP="003768A7">
      <w:r w:rsidRPr="00527BFD">
        <w:t xml:space="preserve">The followings are the </w:t>
      </w:r>
      <w:r w:rsidR="003768A7" w:rsidRPr="00527BFD">
        <w:t>key points of the evaluated nonclinical studies:</w:t>
      </w:r>
    </w:p>
    <w:p w14:paraId="1A24D952" w14:textId="5DBD2F96" w:rsidR="003768A7" w:rsidRPr="00527BFD" w:rsidRDefault="00E908B2" w:rsidP="003768A7">
      <w:pPr>
        <w:pStyle w:val="ListBullet"/>
      </w:pPr>
      <w:r w:rsidRPr="00527BFD">
        <w:rPr>
          <w:i/>
          <w:iCs/>
        </w:rPr>
        <w:t>I</w:t>
      </w:r>
      <w:r w:rsidR="003768A7" w:rsidRPr="00527BFD">
        <w:rPr>
          <w:i/>
          <w:iCs/>
        </w:rPr>
        <w:t>n vivo</w:t>
      </w:r>
      <w:r w:rsidR="003768A7" w:rsidRPr="00527BFD">
        <w:t xml:space="preserve"> </w:t>
      </w:r>
      <w:r w:rsidRPr="00527BFD">
        <w:t>intramuscular</w:t>
      </w:r>
      <w:r w:rsidRPr="00527BFD" w:rsidDel="00773674">
        <w:t xml:space="preserve"> </w:t>
      </w:r>
      <w:r w:rsidR="003768A7" w:rsidRPr="00527BFD">
        <w:t xml:space="preserve">administration of cabotegravir to minipigs resulted in moderate exposure (based on </w:t>
      </w:r>
      <w:r w:rsidR="00EE5045" w:rsidRPr="00527BFD">
        <w:t>area under the plasma concentration time curve</w:t>
      </w:r>
      <w:r w:rsidR="003768A7" w:rsidRPr="00527BFD">
        <w:t>), with a long half</w:t>
      </w:r>
      <w:r w:rsidR="005864D6">
        <w:noBreakHyphen/>
      </w:r>
      <w:r w:rsidR="003768A7" w:rsidRPr="00527BFD">
        <w:t xml:space="preserve">life (76 </w:t>
      </w:r>
      <w:r w:rsidRPr="00527BFD">
        <w:t>hours</w:t>
      </w:r>
      <w:r w:rsidR="003768A7" w:rsidRPr="00527BFD">
        <w:t xml:space="preserve">) and a delayed </w:t>
      </w:r>
      <w:r w:rsidR="00EE5045" w:rsidRPr="00527BFD">
        <w:t xml:space="preserve">time at maximum concentration </w:t>
      </w:r>
      <w:r w:rsidR="003768A7" w:rsidRPr="00527BFD">
        <w:t>of 9</w:t>
      </w:r>
      <w:r w:rsidR="00462EFD" w:rsidRPr="00527BFD">
        <w:t> </w:t>
      </w:r>
      <w:r w:rsidR="003768A7" w:rsidRPr="00527BFD">
        <w:t>days. Minipigs were not used in previous nonclinical studies with cabotegravir for toxicity assessment.</w:t>
      </w:r>
    </w:p>
    <w:p w14:paraId="4E46250F" w14:textId="3419F3B6" w:rsidR="003768A7" w:rsidRPr="00527BFD" w:rsidRDefault="00E908B2" w:rsidP="003768A7">
      <w:pPr>
        <w:pStyle w:val="ListBullet"/>
      </w:pPr>
      <w:r w:rsidRPr="00527BFD">
        <w:rPr>
          <w:i/>
          <w:iCs/>
        </w:rPr>
        <w:t>In vitro</w:t>
      </w:r>
      <w:r w:rsidRPr="00527BFD">
        <w:t xml:space="preserve"> </w:t>
      </w:r>
      <w:r w:rsidR="003768A7" w:rsidRPr="00527BFD">
        <w:t>treatment of human hepatocytes with cabotegravir had no significant effect on CYP1A2 and CYP2B6 m</w:t>
      </w:r>
      <w:r w:rsidR="00EE5045" w:rsidRPr="00527BFD">
        <w:t>essenger ribonucleic acid (m</w:t>
      </w:r>
      <w:r w:rsidR="003768A7" w:rsidRPr="00527BFD">
        <w:t>RNA</w:t>
      </w:r>
      <w:r w:rsidR="00EE5045" w:rsidRPr="00527BFD">
        <w:t>)</w:t>
      </w:r>
      <w:r w:rsidR="003768A7" w:rsidRPr="00527BFD">
        <w:t xml:space="preserve"> expression in a CYP enzyme</w:t>
      </w:r>
      <w:r w:rsidR="00462EFD" w:rsidRPr="00527BFD">
        <w:t xml:space="preserve"> </w:t>
      </w:r>
      <w:r w:rsidR="003768A7" w:rsidRPr="00527BFD">
        <w:t>induction study. This study confirms previous findings (Study</w:t>
      </w:r>
      <w:r w:rsidR="00462EFD" w:rsidRPr="00527BFD">
        <w:t xml:space="preserve"> </w:t>
      </w:r>
      <w:r w:rsidR="003768A7" w:rsidRPr="00527BFD">
        <w:t xml:space="preserve">2013N166279_01; </w:t>
      </w:r>
      <w:r w:rsidR="00462EFD" w:rsidRPr="00527BFD">
        <w:t>Submission </w:t>
      </w:r>
      <w:r w:rsidR="003768A7" w:rsidRPr="00527BFD">
        <w:t>PM</w:t>
      </w:r>
      <w:r w:rsidR="00462EFD" w:rsidRPr="00527BFD">
        <w:noBreakHyphen/>
      </w:r>
      <w:r w:rsidR="003768A7" w:rsidRPr="00527BFD">
        <w:t>2019</w:t>
      </w:r>
      <w:r w:rsidR="00462EFD" w:rsidRPr="00527BFD">
        <w:noBreakHyphen/>
      </w:r>
      <w:r w:rsidR="003768A7" w:rsidRPr="00527BFD">
        <w:t>04281</w:t>
      </w:r>
      <w:r w:rsidR="00462EFD" w:rsidRPr="00527BFD">
        <w:noBreakHyphen/>
      </w:r>
      <w:r w:rsidR="003768A7" w:rsidRPr="00527BFD">
        <w:t>1</w:t>
      </w:r>
      <w:r w:rsidR="00462EFD" w:rsidRPr="00527BFD">
        <w:noBreakHyphen/>
      </w:r>
      <w:r w:rsidR="003768A7" w:rsidRPr="00527BFD">
        <w:t>2</w:t>
      </w:r>
      <w:r w:rsidR="00500960">
        <w:t>;</w:t>
      </w:r>
      <w:r w:rsidR="009B16C5" w:rsidRPr="009B16C5">
        <w:rPr>
          <w:vertAlign w:val="superscript"/>
        </w:rPr>
        <w:fldChar w:fldCharType="begin"/>
      </w:r>
      <w:r w:rsidR="009B16C5" w:rsidRPr="009B16C5">
        <w:rPr>
          <w:vertAlign w:val="superscript"/>
        </w:rPr>
        <w:instrText xml:space="preserve"> NOTEREF _Ref119672096 \h </w:instrText>
      </w:r>
      <w:r w:rsidR="009B16C5">
        <w:rPr>
          <w:vertAlign w:val="superscript"/>
        </w:rPr>
        <w:instrText xml:space="preserve"> \* MERGEFORMAT </w:instrText>
      </w:r>
      <w:r w:rsidR="009B16C5" w:rsidRPr="009B16C5">
        <w:rPr>
          <w:vertAlign w:val="superscript"/>
        </w:rPr>
      </w:r>
      <w:r w:rsidR="009B16C5" w:rsidRPr="009B16C5">
        <w:rPr>
          <w:vertAlign w:val="superscript"/>
        </w:rPr>
        <w:fldChar w:fldCharType="separate"/>
      </w:r>
      <w:r w:rsidR="001702C9">
        <w:rPr>
          <w:vertAlign w:val="superscript"/>
        </w:rPr>
        <w:t>9</w:t>
      </w:r>
      <w:r w:rsidR="009B16C5" w:rsidRPr="009B16C5">
        <w:rPr>
          <w:vertAlign w:val="superscript"/>
        </w:rPr>
        <w:fldChar w:fldCharType="end"/>
      </w:r>
      <w:r w:rsidR="003768A7" w:rsidRPr="00527BFD">
        <w:t>).</w:t>
      </w:r>
    </w:p>
    <w:p w14:paraId="0896B493" w14:textId="77777777" w:rsidR="003768A7" w:rsidRPr="00527BFD" w:rsidRDefault="003768A7" w:rsidP="003768A7">
      <w:pPr>
        <w:pStyle w:val="ListBullet"/>
      </w:pPr>
      <w:r w:rsidRPr="00527BFD">
        <w:t>There are no proposed changes to the currently registered formulations and dosage regimens for cabotegravir.</w:t>
      </w:r>
    </w:p>
    <w:p w14:paraId="6A0D0183" w14:textId="78E427DB" w:rsidR="003768A7" w:rsidRPr="00527BFD" w:rsidRDefault="003768A7" w:rsidP="003768A7">
      <w:pPr>
        <w:pStyle w:val="ListBullet"/>
      </w:pPr>
      <w:r w:rsidRPr="00527BFD">
        <w:t>The findings of the submitted nonclinical studies do not affect any safety considerations or the safety</w:t>
      </w:r>
      <w:r w:rsidR="00714561">
        <w:t>-</w:t>
      </w:r>
      <w:r w:rsidRPr="00527BFD">
        <w:t xml:space="preserve">related nonclinical statements in the proposed draft PI for </w:t>
      </w:r>
      <w:proofErr w:type="spellStart"/>
      <w:r w:rsidRPr="00527BFD">
        <w:t>Apretude</w:t>
      </w:r>
      <w:proofErr w:type="spellEnd"/>
      <w:r w:rsidRPr="00527BFD">
        <w:t>.</w:t>
      </w:r>
    </w:p>
    <w:p w14:paraId="2CBB5FAE" w14:textId="77777777" w:rsidR="008E7846" w:rsidRPr="00527BFD" w:rsidRDefault="008E7846" w:rsidP="008E7846">
      <w:pPr>
        <w:pStyle w:val="Heading3"/>
      </w:pPr>
      <w:bookmarkStart w:id="60" w:name="_Toc247691530"/>
      <w:bookmarkStart w:id="61" w:name="_Toc314842513"/>
      <w:bookmarkStart w:id="62" w:name="_Toc120100542"/>
      <w:r w:rsidRPr="00527BFD">
        <w:t>Clinical</w:t>
      </w:r>
      <w:bookmarkEnd w:id="60"/>
      <w:bookmarkEnd w:id="61"/>
      <w:bookmarkEnd w:id="62"/>
    </w:p>
    <w:p w14:paraId="4BDF2709" w14:textId="77777777" w:rsidR="00462EFD" w:rsidRPr="00527BFD" w:rsidRDefault="00462EFD" w:rsidP="00462EFD">
      <w:pPr>
        <w:pStyle w:val="Heading4"/>
      </w:pPr>
      <w:bookmarkStart w:id="63" w:name="_Toc98931928"/>
      <w:r w:rsidRPr="00527BFD">
        <w:t>Summary of clinical studies</w:t>
      </w:r>
      <w:bookmarkEnd w:id="63"/>
    </w:p>
    <w:p w14:paraId="6514DE58" w14:textId="7E7582AD" w:rsidR="003768A7" w:rsidRPr="00527BFD" w:rsidRDefault="003768A7" w:rsidP="00EC5B93">
      <w:r w:rsidRPr="00527BFD">
        <w:t>The clinical evaluat</w:t>
      </w:r>
      <w:r w:rsidR="00462EFD" w:rsidRPr="00527BFD">
        <w:t>ion</w:t>
      </w:r>
      <w:r w:rsidRPr="00527BFD">
        <w:t xml:space="preserve"> has recommended approval.</w:t>
      </w:r>
      <w:r w:rsidR="00462EFD" w:rsidRPr="00527BFD">
        <w:t xml:space="preserve"> </w:t>
      </w:r>
      <w:r w:rsidRPr="00527BFD">
        <w:t xml:space="preserve">The clinical development program was designed to investigate the effectiveness of cabotegravir prolonged-release suspension for injection compared to the currently available standard of care, daily, oral </w:t>
      </w:r>
      <w:r w:rsidR="00F13517" w:rsidRPr="00527BFD">
        <w:t xml:space="preserve">tenofovir disoproxil fumarate </w:t>
      </w:r>
      <w:r w:rsidRPr="00527BFD">
        <w:t xml:space="preserve">(TDF)/emtricitabine for </w:t>
      </w:r>
      <w:r w:rsidR="00C24737" w:rsidRPr="00527BFD">
        <w:t>human immunodeficiency virus (</w:t>
      </w:r>
      <w:r w:rsidRPr="00527BFD">
        <w:t>HIV</w:t>
      </w:r>
      <w:r w:rsidR="00C24737" w:rsidRPr="00527BFD">
        <w:t>)</w:t>
      </w:r>
      <w:r w:rsidRPr="00527BFD">
        <w:t xml:space="preserve"> </w:t>
      </w:r>
      <w:r w:rsidR="00462EFD" w:rsidRPr="00527BFD">
        <w:t xml:space="preserve">pre-exposure prophylaxis </w:t>
      </w:r>
      <w:r w:rsidRPr="00527BFD">
        <w:t>(</w:t>
      </w:r>
      <w:proofErr w:type="spellStart"/>
      <w:r w:rsidRPr="00527BFD">
        <w:t>PrEP</w:t>
      </w:r>
      <w:proofErr w:type="spellEnd"/>
      <w:r w:rsidRPr="00527BFD">
        <w:t xml:space="preserve">), and to investigate the safety, acceptability, tolerability, and </w:t>
      </w:r>
      <w:r w:rsidR="00C56168" w:rsidRPr="00527BFD">
        <w:t>pharmacokinetic (</w:t>
      </w:r>
      <w:r w:rsidRPr="00527BFD">
        <w:t>PK</w:t>
      </w:r>
      <w:r w:rsidR="00C56168" w:rsidRPr="00527BFD">
        <w:t>)</w:t>
      </w:r>
      <w:r w:rsidRPr="00527BFD">
        <w:t xml:space="preserve"> data for cabotegravir.</w:t>
      </w:r>
    </w:p>
    <w:p w14:paraId="6CA2C862" w14:textId="3A310391" w:rsidR="003768A7" w:rsidRPr="00527BFD" w:rsidRDefault="003768A7" w:rsidP="00EC5B93">
      <w:r w:rsidRPr="00527BFD">
        <w:t>Supportive clinical</w:t>
      </w:r>
      <w:r w:rsidR="00462EFD" w:rsidRPr="00527BFD">
        <w:t xml:space="preserve"> or </w:t>
      </w:r>
      <w:r w:rsidRPr="00527BFD">
        <w:t xml:space="preserve">clinical pharmacology studies previously evaluated by the TGA in the </w:t>
      </w:r>
      <w:r w:rsidR="004A74E2">
        <w:t xml:space="preserve">original </w:t>
      </w:r>
      <w:r w:rsidRPr="00527BFD">
        <w:t xml:space="preserve">approved </w:t>
      </w:r>
      <w:r w:rsidR="004A74E2">
        <w:t xml:space="preserve">submission for </w:t>
      </w:r>
      <w:proofErr w:type="spellStart"/>
      <w:r w:rsidR="00FD52A9" w:rsidRPr="00527BFD">
        <w:t>Vocabria</w:t>
      </w:r>
      <w:proofErr w:type="spellEnd"/>
      <w:r w:rsidRPr="00527BFD">
        <w:t xml:space="preserve"> </w:t>
      </w:r>
      <w:r w:rsidR="004A74E2">
        <w:t>(</w:t>
      </w:r>
      <w:r w:rsidRPr="00527BFD">
        <w:t>Submission</w:t>
      </w:r>
      <w:r w:rsidR="00760F5D">
        <w:t> </w:t>
      </w:r>
      <w:r w:rsidRPr="00527BFD">
        <w:t>PM</w:t>
      </w:r>
      <w:r w:rsidR="00760F5D">
        <w:t> </w:t>
      </w:r>
      <w:r w:rsidRPr="00527BFD">
        <w:t>2019-04281-1-2</w:t>
      </w:r>
      <w:r w:rsidR="004A74E2">
        <w:t xml:space="preserve">, </w:t>
      </w:r>
      <w:r w:rsidRPr="00527BFD">
        <w:t>approval date 16 Feb</w:t>
      </w:r>
      <w:r w:rsidR="00462EFD" w:rsidRPr="00527BFD">
        <w:t>ruary</w:t>
      </w:r>
      <w:r w:rsidRPr="00527BFD">
        <w:t xml:space="preserve"> 2021) are relevant.</w:t>
      </w:r>
      <w:r w:rsidR="004A74E2" w:rsidRPr="00675F03">
        <w:rPr>
          <w:vertAlign w:val="superscript"/>
        </w:rPr>
        <w:fldChar w:fldCharType="begin"/>
      </w:r>
      <w:r w:rsidR="004A74E2" w:rsidRPr="00675F03">
        <w:rPr>
          <w:vertAlign w:val="superscript"/>
        </w:rPr>
        <w:instrText xml:space="preserve"> NOTEREF _Ref119672096 \h </w:instrText>
      </w:r>
      <w:r w:rsidR="004A74E2">
        <w:rPr>
          <w:vertAlign w:val="superscript"/>
        </w:rPr>
        <w:instrText xml:space="preserve"> \* MERGEFORMAT </w:instrText>
      </w:r>
      <w:r w:rsidR="004A74E2" w:rsidRPr="00675F03">
        <w:rPr>
          <w:vertAlign w:val="superscript"/>
        </w:rPr>
      </w:r>
      <w:r w:rsidR="004A74E2" w:rsidRPr="00675F03">
        <w:rPr>
          <w:vertAlign w:val="superscript"/>
        </w:rPr>
        <w:fldChar w:fldCharType="separate"/>
      </w:r>
      <w:r w:rsidR="001702C9">
        <w:rPr>
          <w:vertAlign w:val="superscript"/>
        </w:rPr>
        <w:t>9</w:t>
      </w:r>
      <w:r w:rsidR="004A74E2" w:rsidRPr="00675F03">
        <w:rPr>
          <w:vertAlign w:val="superscript"/>
        </w:rPr>
        <w:fldChar w:fldCharType="end"/>
      </w:r>
      <w:r w:rsidRPr="00527BFD">
        <w:t xml:space="preserve"> The previous application consisted of 23 clinical pharmacology studies, one </w:t>
      </w:r>
      <w:bookmarkStart w:id="64" w:name="_Hlk116215280"/>
      <w:r w:rsidRPr="00527BFD">
        <w:t xml:space="preserve">population </w:t>
      </w:r>
      <w:r w:rsidR="00D43DAD" w:rsidRPr="00527BFD">
        <w:t xml:space="preserve">pharmacokinetic </w:t>
      </w:r>
      <w:bookmarkEnd w:id="64"/>
      <w:r w:rsidR="00D43DAD" w:rsidRPr="00527BFD">
        <w:t>(</w:t>
      </w:r>
      <w:proofErr w:type="spellStart"/>
      <w:r w:rsidR="00D43DAD" w:rsidRPr="00527BFD">
        <w:t>PopPK</w:t>
      </w:r>
      <w:proofErr w:type="spellEnd"/>
      <w:r w:rsidR="00D43DAD" w:rsidRPr="00527BFD">
        <w:t>)</w:t>
      </w:r>
      <w:r w:rsidRPr="00527BFD">
        <w:t xml:space="preserve"> analysis, a meta-analysis, a physiologically based </w:t>
      </w:r>
      <w:r w:rsidR="00C56168" w:rsidRPr="00527BFD">
        <w:t>PK</w:t>
      </w:r>
      <w:r w:rsidRPr="00527BFD">
        <w:t xml:space="preserve"> analysis. and two pivotal studies evaluating efficacy, and other studies supporting safety and efficacy in the previous </w:t>
      </w:r>
      <w:proofErr w:type="spellStart"/>
      <w:r w:rsidR="00FD52A9" w:rsidRPr="00527BFD">
        <w:t>Vocabria</w:t>
      </w:r>
      <w:proofErr w:type="spellEnd"/>
      <w:r w:rsidRPr="00527BFD">
        <w:t xml:space="preserve"> application.</w:t>
      </w:r>
      <w:r w:rsidR="004A74E2">
        <w:t xml:space="preserve"> Further information on these studies and this approval can be found in the related AusPAR.</w:t>
      </w:r>
      <w:r w:rsidR="004A74E2" w:rsidRPr="00675F03">
        <w:rPr>
          <w:vertAlign w:val="superscript"/>
        </w:rPr>
        <w:fldChar w:fldCharType="begin"/>
      </w:r>
      <w:r w:rsidR="004A74E2" w:rsidRPr="00675F03">
        <w:rPr>
          <w:vertAlign w:val="superscript"/>
        </w:rPr>
        <w:instrText xml:space="preserve"> NOTEREF _Ref119672096 \h </w:instrText>
      </w:r>
      <w:r w:rsidR="004A74E2">
        <w:rPr>
          <w:vertAlign w:val="superscript"/>
        </w:rPr>
        <w:instrText xml:space="preserve"> \* MERGEFORMAT </w:instrText>
      </w:r>
      <w:r w:rsidR="004A74E2" w:rsidRPr="00675F03">
        <w:rPr>
          <w:vertAlign w:val="superscript"/>
        </w:rPr>
      </w:r>
      <w:r w:rsidR="004A74E2" w:rsidRPr="00675F03">
        <w:rPr>
          <w:vertAlign w:val="superscript"/>
        </w:rPr>
        <w:fldChar w:fldCharType="separate"/>
      </w:r>
      <w:r w:rsidR="001702C9">
        <w:rPr>
          <w:vertAlign w:val="superscript"/>
        </w:rPr>
        <w:t>9</w:t>
      </w:r>
      <w:r w:rsidR="004A74E2" w:rsidRPr="00675F03">
        <w:rPr>
          <w:vertAlign w:val="superscript"/>
        </w:rPr>
        <w:fldChar w:fldCharType="end"/>
      </w:r>
    </w:p>
    <w:p w14:paraId="69E2E481" w14:textId="77777777" w:rsidR="003768A7" w:rsidRPr="00527BFD" w:rsidRDefault="003768A7" w:rsidP="00EC5B93">
      <w:r w:rsidRPr="00527BFD">
        <w:t>The current dossier includes the following new data:</w:t>
      </w:r>
    </w:p>
    <w:p w14:paraId="4065155C" w14:textId="4554591A" w:rsidR="003768A7" w:rsidRPr="00527BFD" w:rsidRDefault="003768A7" w:rsidP="00EC5B93">
      <w:pPr>
        <w:pStyle w:val="ListBullet"/>
      </w:pPr>
      <w:r w:rsidRPr="00527BFD">
        <w:t xml:space="preserve">Two completed Phase I studies providing </w:t>
      </w:r>
      <w:r w:rsidR="00C56168" w:rsidRPr="00527BFD">
        <w:t>PK</w:t>
      </w:r>
      <w:r w:rsidRPr="00527BFD">
        <w:t xml:space="preserve"> data: in healthy participants </w:t>
      </w:r>
      <w:r w:rsidR="005F0BCE" w:rsidRPr="00527BFD">
        <w:t>(</w:t>
      </w:r>
      <w:r w:rsidR="00462EFD" w:rsidRPr="00527BFD">
        <w:t>Study</w:t>
      </w:r>
      <w:r w:rsidR="00AA6088">
        <w:t> </w:t>
      </w:r>
      <w:r w:rsidRPr="00527BFD">
        <w:t>201767</w:t>
      </w:r>
      <w:r w:rsidR="005F0BCE" w:rsidRPr="00527BFD">
        <w:t>)</w:t>
      </w:r>
      <w:r w:rsidRPr="00527BFD">
        <w:t xml:space="preserve"> and in adult HIV uninfected Chinese male participants </w:t>
      </w:r>
      <w:r w:rsidR="005F0BCE" w:rsidRPr="00527BFD">
        <w:t>(</w:t>
      </w:r>
      <w:r w:rsidR="00462EFD" w:rsidRPr="00527BFD">
        <w:t>Study </w:t>
      </w:r>
      <w:r w:rsidRPr="00527BFD">
        <w:t>206898</w:t>
      </w:r>
      <w:r w:rsidR="005F0BCE" w:rsidRPr="00527BFD">
        <w:t>)</w:t>
      </w:r>
      <w:r w:rsidRPr="00527BFD">
        <w:t>.</w:t>
      </w:r>
    </w:p>
    <w:p w14:paraId="00F144DD" w14:textId="0EFC3AAC" w:rsidR="003768A7" w:rsidRPr="00527BFD" w:rsidRDefault="003768A7" w:rsidP="00EC5B93">
      <w:pPr>
        <w:pStyle w:val="ListBullet"/>
      </w:pPr>
      <w:r w:rsidRPr="00527BFD">
        <w:t xml:space="preserve">A completed Phase </w:t>
      </w:r>
      <w:proofErr w:type="spellStart"/>
      <w:r w:rsidRPr="00527BFD">
        <w:t>IIa</w:t>
      </w:r>
      <w:proofErr w:type="spellEnd"/>
      <w:r w:rsidRPr="00527BFD">
        <w:t xml:space="preserve"> study (</w:t>
      </w:r>
      <w:r w:rsidR="00B614A4" w:rsidRPr="00527BFD">
        <w:t xml:space="preserve">Study 201103, also known as </w:t>
      </w:r>
      <w:r w:rsidR="00CC53B1" w:rsidRPr="00527BFD">
        <w:t>the</w:t>
      </w:r>
      <w:r w:rsidR="00462EFD" w:rsidRPr="00527BFD">
        <w:t xml:space="preserve"> </w:t>
      </w:r>
      <w:r w:rsidRPr="00527BFD">
        <w:t>HPTN 077</w:t>
      </w:r>
      <w:r w:rsidR="00CC53B1" w:rsidRPr="00527BFD">
        <w:t xml:space="preserve"> trial</w:t>
      </w:r>
      <w:r w:rsidRPr="00527BFD">
        <w:t xml:space="preserve">) providing safety, tolerability, and PK data for </w:t>
      </w:r>
      <w:r w:rsidR="00FD52A9" w:rsidRPr="00527BFD">
        <w:t>cabotegravir</w:t>
      </w:r>
      <w:r w:rsidRPr="00527BFD">
        <w:t xml:space="preserve"> </w:t>
      </w:r>
      <w:proofErr w:type="spellStart"/>
      <w:r w:rsidRPr="00527BFD">
        <w:t>PrEP</w:t>
      </w:r>
      <w:proofErr w:type="spellEnd"/>
      <w:r w:rsidRPr="00527BFD">
        <w:t xml:space="preserve"> in HIV</w:t>
      </w:r>
      <w:r w:rsidR="00A90EA7" w:rsidRPr="00527BFD">
        <w:t>-</w:t>
      </w:r>
      <w:r w:rsidRPr="00527BFD">
        <w:t>uninfected men and women at low risk of HIV acquisition.</w:t>
      </w:r>
    </w:p>
    <w:p w14:paraId="42EB8EFA" w14:textId="2FFE88EE" w:rsidR="003768A7" w:rsidRPr="00527BFD" w:rsidRDefault="003768A7" w:rsidP="00EC5B93">
      <w:pPr>
        <w:pStyle w:val="ListBullet"/>
      </w:pPr>
      <w:r w:rsidRPr="00527BFD">
        <w:t xml:space="preserve">Two pivotal Phase IIb/III studies in at-risk individuals to evaluate the safety and efficacy of </w:t>
      </w:r>
      <w:r w:rsidR="00FD52A9" w:rsidRPr="00527BFD">
        <w:t>cabotegravir</w:t>
      </w:r>
      <w:r w:rsidRPr="00527BFD">
        <w:t xml:space="preserve"> in comparison to the current standard of care, daily, oral TDF/</w:t>
      </w:r>
      <w:r w:rsidR="000B10F7" w:rsidRPr="00527BFD">
        <w:t>emtricitabine</w:t>
      </w:r>
      <w:r w:rsidRPr="00527BFD">
        <w:t xml:space="preserve"> to prevent HIV acquisition in HIV uninfected cisgender men and transgender women who have sex with men (</w:t>
      </w:r>
      <w:r w:rsidR="001C1AE8" w:rsidRPr="00527BFD">
        <w:t>cisgender men who have sex with men</w:t>
      </w:r>
      <w:r w:rsidRPr="00527BFD">
        <w:t xml:space="preserve"> </w:t>
      </w:r>
      <w:r w:rsidRPr="00527BFD">
        <w:lastRenderedPageBreak/>
        <w:t xml:space="preserve">and </w:t>
      </w:r>
      <w:bookmarkStart w:id="65" w:name="_Hlk115861270"/>
      <w:r w:rsidR="001C1AE8" w:rsidRPr="00527BFD">
        <w:t>transgender women</w:t>
      </w:r>
      <w:bookmarkEnd w:id="65"/>
      <w:r w:rsidRPr="00527BFD">
        <w:t xml:space="preserve">) </w:t>
      </w:r>
      <w:r w:rsidR="00462EFD" w:rsidRPr="00527BFD">
        <w:t>(</w:t>
      </w:r>
      <w:bookmarkStart w:id="66" w:name="_Hlk116224519"/>
      <w:bookmarkStart w:id="67" w:name="_Hlk115875030"/>
      <w:r w:rsidR="00B614A4" w:rsidRPr="00527BFD">
        <w:t>Study 201738</w:t>
      </w:r>
      <w:bookmarkEnd w:id="66"/>
      <w:r w:rsidR="00B614A4" w:rsidRPr="00527BFD">
        <w:t xml:space="preserve">, also known as </w:t>
      </w:r>
      <w:r w:rsidR="00BB0AC1" w:rsidRPr="00527BFD">
        <w:t>the</w:t>
      </w:r>
      <w:r w:rsidR="00462EFD" w:rsidRPr="00527BFD">
        <w:t xml:space="preserve"> </w:t>
      </w:r>
      <w:r w:rsidRPr="00527BFD">
        <w:t>HPTN 083</w:t>
      </w:r>
      <w:r w:rsidR="00BB0AC1" w:rsidRPr="00527BFD">
        <w:t xml:space="preserve"> trial</w:t>
      </w:r>
      <w:bookmarkEnd w:id="67"/>
      <w:r w:rsidR="005F0BCE" w:rsidRPr="00527BFD">
        <w:t>)</w:t>
      </w:r>
      <w:r w:rsidRPr="00527BFD">
        <w:t xml:space="preserve"> and HIV uninfected women at risk for HIV </w:t>
      </w:r>
      <w:r w:rsidR="00A90EA7" w:rsidRPr="00527BFD">
        <w:t>(</w:t>
      </w:r>
      <w:r w:rsidR="00B614A4" w:rsidRPr="00527BFD">
        <w:t xml:space="preserve">Study 201739, also known as </w:t>
      </w:r>
      <w:r w:rsidR="00CC53B1" w:rsidRPr="00527BFD">
        <w:t>the</w:t>
      </w:r>
      <w:r w:rsidR="00A90EA7" w:rsidRPr="00527BFD">
        <w:t xml:space="preserve"> </w:t>
      </w:r>
      <w:r w:rsidRPr="00527BFD">
        <w:t>HPTN 084</w:t>
      </w:r>
      <w:r w:rsidR="00CC53B1" w:rsidRPr="00527BFD">
        <w:t xml:space="preserve"> trial</w:t>
      </w:r>
      <w:r w:rsidR="005F0BCE" w:rsidRPr="00527BFD">
        <w:t>)</w:t>
      </w:r>
      <w:r w:rsidRPr="00527BFD">
        <w:t>.</w:t>
      </w:r>
    </w:p>
    <w:p w14:paraId="61D8EB9B" w14:textId="0EC3B7A0" w:rsidR="003768A7" w:rsidRPr="00527BFD" w:rsidRDefault="00A90EA7" w:rsidP="00EC5B93">
      <w:pPr>
        <w:pStyle w:val="ListBullet"/>
      </w:pPr>
      <w:r w:rsidRPr="00527BFD">
        <w:t xml:space="preserve">Study 208580 (also known as the </w:t>
      </w:r>
      <w:r w:rsidR="003768A7" w:rsidRPr="00527BFD">
        <w:t xml:space="preserve">MOCHA </w:t>
      </w:r>
      <w:r w:rsidRPr="00527BFD">
        <w:t>trial)</w:t>
      </w:r>
      <w:r w:rsidR="003768A7" w:rsidRPr="00527BFD">
        <w:t>, an ongoing Phase I/II, multicentre, open</w:t>
      </w:r>
      <w:r w:rsidRPr="00527BFD">
        <w:t xml:space="preserve"> </w:t>
      </w:r>
      <w:r w:rsidR="003768A7" w:rsidRPr="00527BFD">
        <w:t>label, non</w:t>
      </w:r>
      <w:r w:rsidRPr="00527BFD">
        <w:t>-</w:t>
      </w:r>
      <w:r w:rsidR="003768A7" w:rsidRPr="00527BFD">
        <w:t xml:space="preserve">comparative study of the safety, acceptability, tolerability, and PK of oral and </w:t>
      </w:r>
      <w:r w:rsidR="00F25AFD" w:rsidRPr="00F25AFD">
        <w:t xml:space="preserve">long-acting </w:t>
      </w:r>
      <w:r w:rsidR="00F25AFD">
        <w:t>(</w:t>
      </w:r>
      <w:r w:rsidR="003768A7" w:rsidRPr="00527BFD">
        <w:t>LA</w:t>
      </w:r>
      <w:r w:rsidR="00F25AFD">
        <w:t>)</w:t>
      </w:r>
      <w:r w:rsidR="003768A7" w:rsidRPr="00527BFD">
        <w:t xml:space="preserve"> injectable </w:t>
      </w:r>
      <w:r w:rsidR="00FD52A9" w:rsidRPr="00527BFD">
        <w:t>cabotegravir</w:t>
      </w:r>
      <w:r w:rsidR="003768A7" w:rsidRPr="00527BFD">
        <w:t xml:space="preserve"> and LA injectable </w:t>
      </w:r>
      <w:proofErr w:type="spellStart"/>
      <w:r w:rsidR="002B70E6" w:rsidRPr="00527BFD">
        <w:t>rilpivirine</w:t>
      </w:r>
      <w:proofErr w:type="spellEnd"/>
      <w:r w:rsidR="002B70E6" w:rsidRPr="00527BFD">
        <w:t xml:space="preserve"> </w:t>
      </w:r>
      <w:r w:rsidR="003768A7" w:rsidRPr="00527BFD">
        <w:t>in virologically suppressed HIV</w:t>
      </w:r>
      <w:r w:rsidRPr="00527BFD">
        <w:noBreakHyphen/>
      </w:r>
      <w:r w:rsidR="003768A7" w:rsidRPr="00527BFD">
        <w:t>infected adolescents at least 12 years of age.</w:t>
      </w:r>
    </w:p>
    <w:p w14:paraId="59D375FE" w14:textId="0C9F957B" w:rsidR="003768A7" w:rsidRPr="00527BFD" w:rsidRDefault="00A90EA7" w:rsidP="00EC5B93">
      <w:pPr>
        <w:pStyle w:val="ListBullet"/>
      </w:pPr>
      <w:r w:rsidRPr="00527BFD">
        <w:t xml:space="preserve">Study 201584 (also known as the </w:t>
      </w:r>
      <w:r w:rsidR="003768A7" w:rsidRPr="00527BFD">
        <w:t xml:space="preserve">FLAIR </w:t>
      </w:r>
      <w:r w:rsidRPr="00527BFD">
        <w:t xml:space="preserve">trial) </w:t>
      </w:r>
      <w:r w:rsidR="00E83512" w:rsidRPr="00527BFD">
        <w:t>extension phase</w:t>
      </w:r>
      <w:r w:rsidR="003768A7" w:rsidRPr="00527BFD">
        <w:t>, an ongoing Phase III, randomi</w:t>
      </w:r>
      <w:r w:rsidR="00462EFD" w:rsidRPr="00527BFD">
        <w:t>s</w:t>
      </w:r>
      <w:r w:rsidR="003768A7" w:rsidRPr="00527BFD">
        <w:t>ed multicentre, open</w:t>
      </w:r>
      <w:r w:rsidRPr="00527BFD">
        <w:t xml:space="preserve"> </w:t>
      </w:r>
      <w:r w:rsidR="003768A7" w:rsidRPr="00527BFD">
        <w:t xml:space="preserve">label, non-inferiority study evaluating the </w:t>
      </w:r>
      <w:r w:rsidR="00FD52A9" w:rsidRPr="00527BFD">
        <w:t>cabotegravir</w:t>
      </w:r>
      <w:r w:rsidR="003768A7" w:rsidRPr="00527BFD">
        <w:t xml:space="preserve"> </w:t>
      </w:r>
      <w:r w:rsidRPr="00527BFD">
        <w:t>every 4 weeks</w:t>
      </w:r>
      <w:r w:rsidR="003768A7" w:rsidRPr="00527BFD">
        <w:t xml:space="preserve"> regimen with or without </w:t>
      </w:r>
      <w:r w:rsidRPr="00527BFD">
        <w:t>oral lead</w:t>
      </w:r>
      <w:r w:rsidR="00665CD8" w:rsidRPr="00527BFD">
        <w:t>-</w:t>
      </w:r>
      <w:r w:rsidR="003768A7" w:rsidRPr="00527BFD">
        <w:t xml:space="preserve">in HIV-infected participants receiving the </w:t>
      </w:r>
      <w:r w:rsidR="00FD52A9" w:rsidRPr="00527BFD">
        <w:t>cabotegravir</w:t>
      </w:r>
      <w:r w:rsidR="003768A7" w:rsidRPr="00527BFD">
        <w:t xml:space="preserve"> and </w:t>
      </w:r>
      <w:proofErr w:type="spellStart"/>
      <w:r w:rsidR="002B70E6" w:rsidRPr="00527BFD">
        <w:t>rilpivirine</w:t>
      </w:r>
      <w:proofErr w:type="spellEnd"/>
      <w:r w:rsidR="003768A7" w:rsidRPr="00527BFD">
        <w:t xml:space="preserve"> </w:t>
      </w:r>
      <w:r w:rsidRPr="00527BFD">
        <w:t>every 4 weeks</w:t>
      </w:r>
      <w:r w:rsidR="003768A7" w:rsidRPr="00527BFD">
        <w:t xml:space="preserve"> regimen.</w:t>
      </w:r>
    </w:p>
    <w:p w14:paraId="20628590" w14:textId="0178727A" w:rsidR="003768A7" w:rsidRPr="00527BFD" w:rsidRDefault="003768A7" w:rsidP="00EC5B93">
      <w:pPr>
        <w:pStyle w:val="ListBullet"/>
      </w:pPr>
      <w:r w:rsidRPr="00527BFD">
        <w:t xml:space="preserve">Three </w:t>
      </w:r>
      <w:proofErr w:type="spellStart"/>
      <w:r w:rsidR="00D43DAD" w:rsidRPr="00527BFD">
        <w:t>P</w:t>
      </w:r>
      <w:r w:rsidRPr="00527BFD">
        <w:t>opPK</w:t>
      </w:r>
      <w:proofErr w:type="spellEnd"/>
      <w:r w:rsidRPr="00527BFD">
        <w:t xml:space="preserve"> analyses (</w:t>
      </w:r>
      <w:r w:rsidR="00A90EA7" w:rsidRPr="00527BFD">
        <w:t xml:space="preserve">Studies </w:t>
      </w:r>
      <w:r w:rsidRPr="00527BFD">
        <w:t xml:space="preserve">2021N467204, 2021N484575 and 2021N462341), which used a previously developed </w:t>
      </w:r>
      <w:proofErr w:type="spellStart"/>
      <w:r w:rsidR="005864D6">
        <w:t>P</w:t>
      </w:r>
      <w:r w:rsidRPr="00527BFD">
        <w:t>opPK</w:t>
      </w:r>
      <w:proofErr w:type="spellEnd"/>
      <w:r w:rsidRPr="00527BFD">
        <w:t xml:space="preserve"> model to investigate the newly reported PK data.</w:t>
      </w:r>
    </w:p>
    <w:p w14:paraId="7EAABB8D" w14:textId="54634AA0" w:rsidR="003768A7" w:rsidRPr="00527BFD" w:rsidRDefault="003768A7" w:rsidP="00EC5B93">
      <w:pPr>
        <w:pStyle w:val="Heading4"/>
      </w:pPr>
      <w:r w:rsidRPr="00527BFD">
        <w:t>Pharmacology</w:t>
      </w:r>
    </w:p>
    <w:p w14:paraId="76EA130B" w14:textId="3C65A1E1" w:rsidR="003768A7" w:rsidRPr="00527BFD" w:rsidRDefault="003768A7" w:rsidP="00EC5B93">
      <w:pPr>
        <w:pStyle w:val="Heading5"/>
      </w:pPr>
      <w:r w:rsidRPr="00527BFD">
        <w:t>Pharmacokinetics</w:t>
      </w:r>
    </w:p>
    <w:p w14:paraId="0CE992E5" w14:textId="41BDA8B7" w:rsidR="003768A7" w:rsidRPr="00527BFD" w:rsidRDefault="003768A7" w:rsidP="00EC5B93">
      <w:r w:rsidRPr="00527BFD">
        <w:t>The absorption, distribution, metabolism and excretion data for injection and tablet formulations have been described in detail in earlier submission (</w:t>
      </w:r>
      <w:r w:rsidR="00A90EA7" w:rsidRPr="00527BFD">
        <w:t>Submission </w:t>
      </w:r>
      <w:r w:rsidRPr="00527BFD">
        <w:t>PM</w:t>
      </w:r>
      <w:r w:rsidR="00500960">
        <w:noBreakHyphen/>
      </w:r>
      <w:r w:rsidRPr="00527BFD">
        <w:t>2019</w:t>
      </w:r>
      <w:r w:rsidR="00500960">
        <w:noBreakHyphen/>
      </w:r>
      <w:r w:rsidRPr="00527BFD">
        <w:t>04281-1-2)</w:t>
      </w:r>
      <w:r w:rsidR="004A74E2" w:rsidRPr="00675F03">
        <w:rPr>
          <w:vertAlign w:val="superscript"/>
        </w:rPr>
        <w:fldChar w:fldCharType="begin"/>
      </w:r>
      <w:r w:rsidR="004A74E2" w:rsidRPr="00675F03">
        <w:rPr>
          <w:vertAlign w:val="superscript"/>
        </w:rPr>
        <w:instrText xml:space="preserve"> NOTEREF _Ref119672096 \h </w:instrText>
      </w:r>
      <w:r w:rsidR="004A74E2">
        <w:rPr>
          <w:vertAlign w:val="superscript"/>
        </w:rPr>
        <w:instrText xml:space="preserve"> \* MERGEFORMAT </w:instrText>
      </w:r>
      <w:r w:rsidR="004A74E2" w:rsidRPr="00675F03">
        <w:rPr>
          <w:vertAlign w:val="superscript"/>
        </w:rPr>
      </w:r>
      <w:r w:rsidR="004A74E2" w:rsidRPr="00675F03">
        <w:rPr>
          <w:vertAlign w:val="superscript"/>
        </w:rPr>
        <w:fldChar w:fldCharType="separate"/>
      </w:r>
      <w:r w:rsidR="001702C9">
        <w:rPr>
          <w:vertAlign w:val="superscript"/>
        </w:rPr>
        <w:t>9</w:t>
      </w:r>
      <w:r w:rsidR="004A74E2" w:rsidRPr="00675F03">
        <w:rPr>
          <w:vertAlign w:val="superscript"/>
        </w:rPr>
        <w:fldChar w:fldCharType="end"/>
      </w:r>
      <w:r w:rsidRPr="00527BFD">
        <w:t xml:space="preserve"> and is summarised in </w:t>
      </w:r>
      <w:r w:rsidR="00A90EA7" w:rsidRPr="00527BFD">
        <w:fldChar w:fldCharType="begin"/>
      </w:r>
      <w:r w:rsidR="00A90EA7" w:rsidRPr="00527BFD">
        <w:instrText xml:space="preserve"> REF _Ref115817200 \h </w:instrText>
      </w:r>
      <w:r w:rsidR="00527BFD" w:rsidRPr="00527BFD">
        <w:instrText xml:space="preserve"> \* MERGEFORMAT </w:instrText>
      </w:r>
      <w:r w:rsidR="00A90EA7" w:rsidRPr="00527BFD">
        <w:fldChar w:fldCharType="separate"/>
      </w:r>
      <w:r w:rsidR="001702C9" w:rsidRPr="0025423A">
        <w:t xml:space="preserve">Table </w:t>
      </w:r>
      <w:r w:rsidR="001702C9">
        <w:rPr>
          <w:noProof/>
        </w:rPr>
        <w:t>3</w:t>
      </w:r>
      <w:r w:rsidR="00A90EA7" w:rsidRPr="00527BFD">
        <w:fldChar w:fldCharType="end"/>
      </w:r>
      <w:r w:rsidR="00A90EA7" w:rsidRPr="00527BFD">
        <w:t xml:space="preserve"> below</w:t>
      </w:r>
      <w:r w:rsidRPr="00527BFD">
        <w:t>.</w:t>
      </w:r>
    </w:p>
    <w:p w14:paraId="77B52571" w14:textId="5379401D" w:rsidR="003768A7" w:rsidRPr="0025423A" w:rsidRDefault="00A90EA7" w:rsidP="0025423A">
      <w:pPr>
        <w:pStyle w:val="TableTitle"/>
      </w:pPr>
      <w:bookmarkStart w:id="68" w:name="_Ref115817200"/>
      <w:r w:rsidRPr="0025423A">
        <w:lastRenderedPageBreak/>
        <w:t xml:space="preserve">Table </w:t>
      </w:r>
      <w:r w:rsidR="00234D1A">
        <w:fldChar w:fldCharType="begin"/>
      </w:r>
      <w:r w:rsidR="00234D1A">
        <w:instrText xml:space="preserve"> SEQ Table \* ARABIC </w:instrText>
      </w:r>
      <w:r w:rsidR="00234D1A">
        <w:fldChar w:fldCharType="separate"/>
      </w:r>
      <w:r w:rsidR="001702C9">
        <w:rPr>
          <w:noProof/>
        </w:rPr>
        <w:t>3</w:t>
      </w:r>
      <w:r w:rsidR="00234D1A">
        <w:rPr>
          <w:noProof/>
        </w:rPr>
        <w:fldChar w:fldCharType="end"/>
      </w:r>
      <w:bookmarkEnd w:id="68"/>
      <w:r w:rsidRPr="0025423A">
        <w:t>:</w:t>
      </w:r>
      <w:r w:rsidR="003768A7" w:rsidRPr="0025423A">
        <w:t xml:space="preserve"> Main </w:t>
      </w:r>
      <w:r w:rsidR="00AC3147" w:rsidRPr="0025423A">
        <w:t>pharmacokinetic characteristics for cabotegravir (reference to Submission</w:t>
      </w:r>
      <w:r w:rsidR="005864D6" w:rsidRPr="0025423A">
        <w:t> </w:t>
      </w:r>
      <w:r w:rsidR="00AC3147" w:rsidRPr="0025423A">
        <w:t>PM-2019-04281-1-2)</w:t>
      </w:r>
    </w:p>
    <w:p w14:paraId="254869B3" w14:textId="68332652" w:rsidR="00790D43" w:rsidRDefault="00790D43" w:rsidP="00A30BD9">
      <w:r>
        <w:rPr>
          <w:noProof/>
          <w:lang w:val="en-GB" w:eastAsia="en-GB"/>
        </w:rPr>
        <w:drawing>
          <wp:inline distT="0" distB="0" distL="0" distR="0" wp14:anchorId="05AB6876" wp14:editId="09D4DCF6">
            <wp:extent cx="5323974" cy="5085333"/>
            <wp:effectExtent l="0" t="0" r="0" b="1270"/>
            <wp:docPr id="7" name="Picture 7" descr="Table 3: Main pharmacokinetic characteristics for cabotegravir (reference to Submission PM-2019-0428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3: Main pharmacokinetic characteristics for cabotegravir (reference to Submission PM-2019-04281-1-2)"/>
                    <pic:cNvPicPr/>
                  </pic:nvPicPr>
                  <pic:blipFill>
                    <a:blip r:embed="rId17"/>
                    <a:stretch>
                      <a:fillRect/>
                    </a:stretch>
                  </pic:blipFill>
                  <pic:spPr>
                    <a:xfrm>
                      <a:off x="0" y="0"/>
                      <a:ext cx="5348514" cy="5108773"/>
                    </a:xfrm>
                    <a:prstGeom prst="rect">
                      <a:avLst/>
                    </a:prstGeom>
                  </pic:spPr>
                </pic:pic>
              </a:graphicData>
            </a:graphic>
          </wp:inline>
        </w:drawing>
      </w:r>
    </w:p>
    <w:p w14:paraId="52EC6541" w14:textId="4D8D3026" w:rsidR="00071DA7" w:rsidRPr="00B51A81" w:rsidRDefault="00B51A81" w:rsidP="00B51A81">
      <w:pPr>
        <w:pStyle w:val="TableDescription"/>
      </w:pPr>
      <w:r>
        <w:t xml:space="preserve">Abbreviations: </w:t>
      </w:r>
      <w:r w:rsidR="00071DA7" w:rsidRPr="00B51A81">
        <w:t>AUC</w:t>
      </w:r>
      <w:r w:rsidR="001B71F9" w:rsidRPr="00B51A81">
        <w:t>(</w:t>
      </w:r>
      <w:r w:rsidR="00071DA7" w:rsidRPr="00B51A81">
        <w:t>0-inf</w:t>
      </w:r>
      <w:r w:rsidR="001B71F9" w:rsidRPr="00B51A81">
        <w:t>)</w:t>
      </w:r>
      <w:r w:rsidR="00071DA7" w:rsidRPr="00B51A81">
        <w:t xml:space="preserve"> =</w:t>
      </w:r>
      <w:r w:rsidR="001B71F9" w:rsidRPr="00B51A81">
        <w:t xml:space="preserve"> </w:t>
      </w:r>
      <w:bookmarkStart w:id="69" w:name="_Hlk116244073"/>
      <w:r w:rsidR="001B71F9" w:rsidRPr="00B51A81">
        <w:t>area under the concentration-time curve from time zero to infinity</w:t>
      </w:r>
      <w:bookmarkEnd w:id="69"/>
      <w:r>
        <w:t xml:space="preserve">; </w:t>
      </w:r>
      <w:r w:rsidR="00071DA7" w:rsidRPr="00B51A81">
        <w:t xml:space="preserve">CAB = </w:t>
      </w:r>
      <w:r w:rsidR="001B71F9" w:rsidRPr="00B51A81">
        <w:t>cabotegravir</w:t>
      </w:r>
      <w:r>
        <w:t xml:space="preserve">; </w:t>
      </w:r>
      <w:r w:rsidRPr="00B51A81">
        <w:t>CL/F = apparent clearance</w:t>
      </w:r>
      <w:r>
        <w:t xml:space="preserve">; </w:t>
      </w:r>
      <w:r w:rsidR="00071DA7" w:rsidRPr="00B51A81">
        <w:t>CSF =</w:t>
      </w:r>
      <w:r w:rsidR="00F37923" w:rsidRPr="00B51A81">
        <w:t xml:space="preserve"> </w:t>
      </w:r>
      <w:bookmarkStart w:id="70" w:name="_Hlk116294958"/>
      <w:r w:rsidR="00F37923" w:rsidRPr="00B51A81">
        <w:t>cerebrospinal fluid</w:t>
      </w:r>
      <w:bookmarkEnd w:id="70"/>
      <w:r>
        <w:t xml:space="preserve">; </w:t>
      </w:r>
      <w:r w:rsidR="00071DA7" w:rsidRPr="00B51A81">
        <w:t>LA =</w:t>
      </w:r>
      <w:r w:rsidR="00F25AFD" w:rsidRPr="00B51A81">
        <w:t xml:space="preserve"> </w:t>
      </w:r>
      <w:bookmarkStart w:id="71" w:name="_Hlk116292580"/>
      <w:r w:rsidR="00F25AFD" w:rsidRPr="00B51A81">
        <w:t>long-acting</w:t>
      </w:r>
      <w:bookmarkEnd w:id="71"/>
      <w:r>
        <w:t xml:space="preserve">; </w:t>
      </w:r>
      <w:r w:rsidR="00071DA7" w:rsidRPr="00B51A81">
        <w:t xml:space="preserve">NA = </w:t>
      </w:r>
      <w:r w:rsidR="00342B4E" w:rsidRPr="00B51A81">
        <w:t xml:space="preserve">not </w:t>
      </w:r>
      <w:r w:rsidR="00F37923" w:rsidRPr="00B51A81">
        <w:t>applicable</w:t>
      </w:r>
      <w:r>
        <w:t xml:space="preserve">; </w:t>
      </w:r>
      <w:r w:rsidRPr="00B51A81">
        <w:t>ND = not determined</w:t>
      </w:r>
      <w:r>
        <w:t>; t</w:t>
      </w:r>
      <w:r w:rsidR="00071DA7" w:rsidRPr="00B51A81">
        <w:t>1/2 =</w:t>
      </w:r>
      <w:r w:rsidR="00F37923" w:rsidRPr="00B51A81">
        <w:t xml:space="preserve"> half-life</w:t>
      </w:r>
      <w:r>
        <w:t xml:space="preserve">; </w:t>
      </w:r>
      <w:proofErr w:type="spellStart"/>
      <w:r>
        <w:t>t</w:t>
      </w:r>
      <w:r w:rsidR="00071DA7" w:rsidRPr="00B51A81">
        <w:t>max</w:t>
      </w:r>
      <w:proofErr w:type="spellEnd"/>
      <w:r w:rsidR="00071DA7" w:rsidRPr="00B51A81">
        <w:t xml:space="preserve"> =</w:t>
      </w:r>
      <w:r w:rsidR="00F37923" w:rsidRPr="00B51A81">
        <w:t xml:space="preserve"> time to reach maximum observed concentration</w:t>
      </w:r>
      <w:r>
        <w:t xml:space="preserve">; </w:t>
      </w:r>
      <w:r w:rsidR="00071DA7" w:rsidRPr="00B51A81">
        <w:t>UGT =</w:t>
      </w:r>
      <w:r w:rsidR="00F37923" w:rsidRPr="00B51A81">
        <w:t xml:space="preserve"> UDP-glucuronosyltransferase</w:t>
      </w:r>
      <w:r>
        <w:t>.</w:t>
      </w:r>
    </w:p>
    <w:p w14:paraId="012FF68F" w14:textId="632B39D7" w:rsidR="00790D43" w:rsidRPr="00B51A81" w:rsidRDefault="00790D43" w:rsidP="00B51A81">
      <w:pPr>
        <w:pStyle w:val="TableDescription"/>
      </w:pPr>
      <w:r w:rsidRPr="00B51A81">
        <w:t xml:space="preserve">a. Relative bioavailability of oral CAB </w:t>
      </w:r>
      <w:r w:rsidR="00B51A81">
        <w:t>versus</w:t>
      </w:r>
      <w:r w:rsidRPr="00B51A81">
        <w:t xml:space="preserve"> CAB LA is based on </w:t>
      </w:r>
      <w:r w:rsidR="00B51A81">
        <w:t>population pharmacokinetic</w:t>
      </w:r>
      <w:r w:rsidRPr="00B51A81">
        <w:t xml:space="preserve"> estimate (F1)</w:t>
      </w:r>
      <w:r w:rsidR="00B51A81">
        <w:t>.</w:t>
      </w:r>
    </w:p>
    <w:p w14:paraId="27FF582C" w14:textId="00AE7016" w:rsidR="00790D43" w:rsidRPr="00B51A81" w:rsidRDefault="00790D43" w:rsidP="00B51A81">
      <w:pPr>
        <w:pStyle w:val="TableDescription"/>
      </w:pPr>
      <w:r w:rsidRPr="00B51A81">
        <w:t xml:space="preserve">b. </w:t>
      </w:r>
      <w:r w:rsidR="00756C1C">
        <w:t>T</w:t>
      </w:r>
      <w:r w:rsidR="00756C1C" w:rsidRPr="00756C1C">
        <w:t xml:space="preserve">ime to reach maximum observed concentration </w:t>
      </w:r>
      <w:r w:rsidR="00756C1C">
        <w:t>(</w:t>
      </w:r>
      <w:proofErr w:type="spellStart"/>
      <w:r w:rsidR="003A2474">
        <w:t>t</w:t>
      </w:r>
      <w:r w:rsidRPr="00B51A81">
        <w:t>max</w:t>
      </w:r>
      <w:proofErr w:type="spellEnd"/>
      <w:r w:rsidR="00756C1C">
        <w:t>)</w:t>
      </w:r>
      <w:r w:rsidRPr="00B51A81">
        <w:t xml:space="preserve"> </w:t>
      </w:r>
      <w:r w:rsidR="00B51A81">
        <w:t xml:space="preserve">is </w:t>
      </w:r>
      <w:r w:rsidRPr="00B51A81">
        <w:t>presented as median</w:t>
      </w:r>
      <w:r w:rsidR="00B51A81">
        <w:t>.</w:t>
      </w:r>
    </w:p>
    <w:p w14:paraId="6758C10D" w14:textId="46BFA2A3" w:rsidR="00790D43" w:rsidRPr="00B51A81" w:rsidRDefault="00790D43" w:rsidP="00B51A81">
      <w:pPr>
        <w:pStyle w:val="TableDescription"/>
      </w:pPr>
      <w:r w:rsidRPr="00B51A81">
        <w:t xml:space="preserve">c. Food effect results presented as geometric mean ratio (90% </w:t>
      </w:r>
      <w:r w:rsidR="00B51A81">
        <w:t>confidence interval (</w:t>
      </w:r>
      <w:r w:rsidRPr="00B51A81">
        <w:t>CI</w:t>
      </w:r>
      <w:r w:rsidR="00B51A81">
        <w:t>)</w:t>
      </w:r>
      <w:r w:rsidRPr="00B51A81">
        <w:t xml:space="preserve">) of fed </w:t>
      </w:r>
      <w:r w:rsidR="00B51A81">
        <w:t>versus</w:t>
      </w:r>
      <w:r w:rsidRPr="00B51A81">
        <w:t xml:space="preserve"> fasted</w:t>
      </w:r>
      <w:r w:rsidR="00B51A81">
        <w:t xml:space="preserve">. </w:t>
      </w:r>
      <w:r w:rsidRPr="00B51A81">
        <w:t>The moderate-fat meal was comprised of approximately 670 kcal and 30% fat, and the high-fat meal was comprised of approximately 870 kcal and 53% fat.</w:t>
      </w:r>
    </w:p>
    <w:p w14:paraId="467F6F9B" w14:textId="6AA89582" w:rsidR="00790D43" w:rsidRPr="00B51A81" w:rsidRDefault="00790D43" w:rsidP="00B51A81">
      <w:pPr>
        <w:pStyle w:val="TableDescription"/>
      </w:pPr>
      <w:r w:rsidRPr="00B51A81">
        <w:t xml:space="preserve">d. Polyvalent cation interaction. In Phase III studies, polyvalent cation antacids were administered at least 2 hours before or 4 hours after oral CAB for consistency with the recommendation for oral </w:t>
      </w:r>
      <w:proofErr w:type="spellStart"/>
      <w:r w:rsidR="00342B4E" w:rsidRPr="00B51A81">
        <w:t>rilpivirine</w:t>
      </w:r>
      <w:proofErr w:type="spellEnd"/>
      <w:r w:rsidRPr="00B51A81">
        <w:t xml:space="preserve">. Dose separation is not relevant for CAB LA administered </w:t>
      </w:r>
      <w:r w:rsidR="00756C1C">
        <w:t>intramuscularly</w:t>
      </w:r>
      <w:r w:rsidRPr="00B51A81">
        <w:t xml:space="preserve"> because the interaction with oral CAB occurs in the GI tract.</w:t>
      </w:r>
    </w:p>
    <w:p w14:paraId="7B6A6079" w14:textId="26D7A140" w:rsidR="003768A7" w:rsidRPr="00B51A81" w:rsidRDefault="00790D43" w:rsidP="00B51A81">
      <w:pPr>
        <w:pStyle w:val="TableDescription"/>
      </w:pPr>
      <w:r w:rsidRPr="00B51A81">
        <w:t xml:space="preserve">e. Plasma protein binding based on average values for oral CAB 30 mg and CAB LA </w:t>
      </w:r>
      <w:r w:rsidR="00756C1C">
        <w:t>every 4 weeks</w:t>
      </w:r>
      <w:r w:rsidRPr="00B51A81">
        <w:t xml:space="preserve"> </w:t>
      </w:r>
      <w:r w:rsidR="00756C1C">
        <w:t>intramuscularly</w:t>
      </w:r>
      <w:r w:rsidR="00756C1C" w:rsidRPr="00B51A81">
        <w:t xml:space="preserve"> </w:t>
      </w:r>
      <w:r w:rsidRPr="00B51A81">
        <w:t>and</w:t>
      </w:r>
      <w:r w:rsidR="00756C1C">
        <w:t xml:space="preserve"> every 8 weeks intramuscularly</w:t>
      </w:r>
      <w:r w:rsidRPr="00B51A81">
        <w:t>.</w:t>
      </w:r>
    </w:p>
    <w:p w14:paraId="3D3466FF" w14:textId="62667FF8" w:rsidR="00790D43" w:rsidRPr="00B51A81" w:rsidRDefault="00790D43" w:rsidP="00B51A81">
      <w:pPr>
        <w:pStyle w:val="TableDescription"/>
      </w:pPr>
      <w:r w:rsidRPr="00B51A81">
        <w:t xml:space="preserve">f. Blood-to-plasma ratio represents ratio of geometric mean total radioactivity AUC(0-inf) for blood </w:t>
      </w:r>
      <w:r w:rsidR="00B51A81">
        <w:t>versus</w:t>
      </w:r>
      <w:r w:rsidRPr="00B51A81">
        <w:t xml:space="preserve"> plasma for oral [</w:t>
      </w:r>
      <w:r w:rsidRPr="00756C1C">
        <w:rPr>
          <w:vertAlign w:val="superscript"/>
        </w:rPr>
        <w:t>14</w:t>
      </w:r>
      <w:r w:rsidRPr="00B51A81">
        <w:t>C]-CAB.</w:t>
      </w:r>
    </w:p>
    <w:p w14:paraId="181B2657" w14:textId="64AB0541" w:rsidR="00790D43" w:rsidRPr="00B51A81" w:rsidRDefault="00790D43" w:rsidP="00B51A81">
      <w:pPr>
        <w:pStyle w:val="TableDescription"/>
      </w:pPr>
      <w:r w:rsidRPr="00B51A81">
        <w:t>g. Tissue-to-plasma ratios presented as range of overall median values for single doses of CAB LA 600</w:t>
      </w:r>
      <w:r w:rsidR="00756C1C">
        <w:t> </w:t>
      </w:r>
      <w:r w:rsidRPr="00B51A81">
        <w:t>mg (1</w:t>
      </w:r>
      <w:r w:rsidR="005864D6">
        <w:t> </w:t>
      </w:r>
      <w:r w:rsidRPr="00B51A81">
        <w:t xml:space="preserve">x 600 mg) </w:t>
      </w:r>
      <w:r w:rsidR="00756C1C">
        <w:t xml:space="preserve">intramuscularly </w:t>
      </w:r>
      <w:r w:rsidRPr="00B51A81">
        <w:t>(samples collected at Day 3, Day 8, Week 4, Week 8, and Week 12).</w:t>
      </w:r>
    </w:p>
    <w:p w14:paraId="289D44C5" w14:textId="5946E72D" w:rsidR="00790D43" w:rsidRPr="00B51A81" w:rsidRDefault="00790D43" w:rsidP="00B51A81">
      <w:pPr>
        <w:pStyle w:val="TableDescription"/>
      </w:pPr>
      <w:r w:rsidRPr="00B51A81">
        <w:lastRenderedPageBreak/>
        <w:t xml:space="preserve">h. </w:t>
      </w:r>
      <w:r w:rsidR="00756C1C" w:rsidRPr="00756C1C">
        <w:t>Cerebrospinal fluid</w:t>
      </w:r>
      <w:r w:rsidR="00756C1C">
        <w:t xml:space="preserve"> (CSF)</w:t>
      </w:r>
      <w:r w:rsidRPr="00B51A81">
        <w:t xml:space="preserve">-to-plasma ratio presented as median for CAB LA </w:t>
      </w:r>
      <w:r w:rsidR="00756C1C">
        <w:t>every 4 weeks</w:t>
      </w:r>
      <w:r w:rsidRPr="00B51A81">
        <w:t xml:space="preserve"> and </w:t>
      </w:r>
      <w:r w:rsidR="00756C1C">
        <w:t>every 8</w:t>
      </w:r>
      <w:r w:rsidR="005864D6">
        <w:t> </w:t>
      </w:r>
      <w:r w:rsidR="00756C1C">
        <w:t>weeks</w:t>
      </w:r>
      <w:r w:rsidRPr="00B51A81">
        <w:t xml:space="preserve"> </w:t>
      </w:r>
      <w:r w:rsidR="00756C1C">
        <w:t>intramuscularly</w:t>
      </w:r>
      <w:r w:rsidRPr="00B51A81">
        <w:t xml:space="preserve">. CSF-to-unbound plasma ratio based on overall median concentration in CSF </w:t>
      </w:r>
      <w:r w:rsidR="00B51A81">
        <w:t>versus</w:t>
      </w:r>
      <w:r w:rsidRPr="00B51A81">
        <w:t xml:space="preserve"> overall median unbound concentration in plasma at corresponding time point.</w:t>
      </w:r>
    </w:p>
    <w:p w14:paraId="795E4718" w14:textId="4FACA85F" w:rsidR="00790D43" w:rsidRPr="00B51A81" w:rsidRDefault="00790D43" w:rsidP="00B51A81">
      <w:pPr>
        <w:pStyle w:val="TableDescription"/>
      </w:pPr>
      <w:proofErr w:type="spellStart"/>
      <w:r w:rsidRPr="00B51A81">
        <w:t>i</w:t>
      </w:r>
      <w:proofErr w:type="spellEnd"/>
      <w:r w:rsidRPr="00B51A81">
        <w:t>. Metabolism.</w:t>
      </w:r>
    </w:p>
    <w:p w14:paraId="33A962DB" w14:textId="5A5FA096" w:rsidR="00790D43" w:rsidRPr="00B51A81" w:rsidRDefault="00790D43" w:rsidP="00B51A81">
      <w:pPr>
        <w:pStyle w:val="TableDescription"/>
      </w:pPr>
      <w:r w:rsidRPr="00B51A81">
        <w:t xml:space="preserve">j. </w:t>
      </w:r>
      <w:r w:rsidR="00756C1C">
        <w:t>A</w:t>
      </w:r>
      <w:r w:rsidR="00756C1C" w:rsidRPr="00756C1C">
        <w:t xml:space="preserve">pparent clearance </w:t>
      </w:r>
      <w:r w:rsidR="00756C1C">
        <w:t>(</w:t>
      </w:r>
      <w:r w:rsidRPr="00B51A81">
        <w:t>CL/F</w:t>
      </w:r>
      <w:r w:rsidR="00756C1C">
        <w:t>)</w:t>
      </w:r>
      <w:r w:rsidRPr="00B51A81">
        <w:t xml:space="preserve"> presented as geometric mean for oral CAB and as estimate from the CAB </w:t>
      </w:r>
      <w:proofErr w:type="spellStart"/>
      <w:r w:rsidRPr="00B51A81">
        <w:t>PopPK</w:t>
      </w:r>
      <w:proofErr w:type="spellEnd"/>
      <w:r w:rsidRPr="00B51A81">
        <w:t xml:space="preserve"> analysis for CAB LA.</w:t>
      </w:r>
    </w:p>
    <w:p w14:paraId="7DF1D7FC" w14:textId="68D6BAD8" w:rsidR="00790D43" w:rsidRPr="00B51A81" w:rsidRDefault="00790D43" w:rsidP="00B51A81">
      <w:pPr>
        <w:pStyle w:val="TableDescription"/>
      </w:pPr>
      <w:r w:rsidRPr="00B51A81">
        <w:t xml:space="preserve">k. </w:t>
      </w:r>
      <w:r w:rsidR="00756C1C" w:rsidRPr="00756C1C">
        <w:t xml:space="preserve">Half-life </w:t>
      </w:r>
      <w:r w:rsidR="00756C1C">
        <w:t>(</w:t>
      </w:r>
      <w:r w:rsidRPr="00B51A81">
        <w:t>t1/2</w:t>
      </w:r>
      <w:r w:rsidR="00756C1C">
        <w:t>)</w:t>
      </w:r>
      <w:r w:rsidRPr="00B51A81">
        <w:t xml:space="preserve"> presented as geometric mean for oral CAB and as </w:t>
      </w:r>
      <w:proofErr w:type="spellStart"/>
      <w:r w:rsidRPr="00B51A81">
        <w:t>PopPK</w:t>
      </w:r>
      <w:proofErr w:type="spellEnd"/>
      <w:r w:rsidRPr="00B51A81">
        <w:t xml:space="preserve"> estimates for males and females for CAB LA.</w:t>
      </w:r>
    </w:p>
    <w:p w14:paraId="5B015653" w14:textId="5125CE7F" w:rsidR="00790D43" w:rsidRPr="00B51A81" w:rsidRDefault="00790D43" w:rsidP="00B51A81">
      <w:pPr>
        <w:pStyle w:val="TableDescription"/>
      </w:pPr>
      <w:r w:rsidRPr="00B51A81">
        <w:t xml:space="preserve">l. </w:t>
      </w:r>
      <w:r w:rsidR="00756C1C">
        <w:t>C</w:t>
      </w:r>
      <w:r w:rsidR="00756C1C" w:rsidRPr="00756C1C">
        <w:t xml:space="preserve">abotegravir </w:t>
      </w:r>
      <w:r w:rsidR="00756C1C">
        <w:t>(</w:t>
      </w:r>
      <w:r w:rsidRPr="00B51A81">
        <w:t>CAB</w:t>
      </w:r>
      <w:r w:rsidR="00756C1C">
        <w:t>)</w:t>
      </w:r>
      <w:r w:rsidRPr="00B51A81">
        <w:t xml:space="preserve"> LA exhibits absorption-rate limited PK, which is reflected in a long apparent t1/2 following </w:t>
      </w:r>
      <w:r w:rsidR="00756C1C">
        <w:t xml:space="preserve">intramuscular </w:t>
      </w:r>
      <w:r w:rsidRPr="00B51A81">
        <w:t>administration compared with oral CAB administration.</w:t>
      </w:r>
    </w:p>
    <w:p w14:paraId="5354D84F" w14:textId="1351916B" w:rsidR="00790D43" w:rsidRPr="00B51A81" w:rsidRDefault="00790D43" w:rsidP="00B51A81">
      <w:pPr>
        <w:pStyle w:val="TableDescription"/>
      </w:pPr>
      <w:r w:rsidRPr="00B51A81">
        <w:t>m. Data obtained following oral CAB human radio</w:t>
      </w:r>
      <w:r w:rsidR="00B51A81">
        <w:t>-</w:t>
      </w:r>
      <w:r w:rsidR="00B51A81" w:rsidRPr="00B51A81">
        <w:t>labelled</w:t>
      </w:r>
      <w:r w:rsidRPr="00B51A81">
        <w:t xml:space="preserve"> studies</w:t>
      </w:r>
    </w:p>
    <w:p w14:paraId="1D9E11B9" w14:textId="19931937" w:rsidR="00790D43" w:rsidRDefault="00790D43" w:rsidP="00B51A81">
      <w:pPr>
        <w:pStyle w:val="TableDescription"/>
      </w:pPr>
      <w:r w:rsidRPr="00B51A81">
        <w:t xml:space="preserve">n. The mean total recovery of radioactivity in urine and </w:t>
      </w:r>
      <w:r w:rsidR="00B51A81" w:rsidRPr="00B51A81">
        <w:t>faeces</w:t>
      </w:r>
      <w:r w:rsidRPr="00B51A81">
        <w:t xml:space="preserve"> was 85.3% of the administered dose</w:t>
      </w:r>
      <w:r w:rsidR="00B51A81">
        <w:t>.</w:t>
      </w:r>
    </w:p>
    <w:p w14:paraId="2DCFE338" w14:textId="6F23650B" w:rsidR="006F211B" w:rsidRDefault="004A74E2" w:rsidP="00B51A81">
      <w:pPr>
        <w:pStyle w:val="TableDescription"/>
      </w:pPr>
      <w:r>
        <w:t xml:space="preserve">Further information from Submission PM-2019-04281-1-2 can be found in the </w:t>
      </w:r>
      <w:proofErr w:type="spellStart"/>
      <w:r w:rsidR="006F211B" w:rsidRPr="006F211B">
        <w:t>AusPAR</w:t>
      </w:r>
      <w:proofErr w:type="spellEnd"/>
      <w:r w:rsidR="006F211B" w:rsidRPr="006F211B">
        <w:t xml:space="preserve"> for </w:t>
      </w:r>
      <w:proofErr w:type="spellStart"/>
      <w:r w:rsidR="006F211B" w:rsidRPr="006F211B">
        <w:t>Vocabria</w:t>
      </w:r>
      <w:proofErr w:type="spellEnd"/>
      <w:r w:rsidR="006F211B" w:rsidRPr="006F211B">
        <w:t xml:space="preserve"> and Cabenuva</w:t>
      </w:r>
      <w:r w:rsidR="006F211B">
        <w:t>.</w:t>
      </w:r>
      <w:r w:rsidR="006F211B" w:rsidRPr="006F211B">
        <w:rPr>
          <w:vertAlign w:val="superscript"/>
        </w:rPr>
        <w:fldChar w:fldCharType="begin"/>
      </w:r>
      <w:r w:rsidR="006F211B" w:rsidRPr="006F211B">
        <w:rPr>
          <w:vertAlign w:val="superscript"/>
        </w:rPr>
        <w:instrText xml:space="preserve"> NOTEREF _Ref119672096 \h </w:instrText>
      </w:r>
      <w:r w:rsidR="006F211B">
        <w:rPr>
          <w:vertAlign w:val="superscript"/>
        </w:rPr>
        <w:instrText xml:space="preserve"> \* MERGEFORMAT </w:instrText>
      </w:r>
      <w:r w:rsidR="006F211B" w:rsidRPr="006F211B">
        <w:rPr>
          <w:vertAlign w:val="superscript"/>
        </w:rPr>
      </w:r>
      <w:r w:rsidR="006F211B" w:rsidRPr="006F211B">
        <w:rPr>
          <w:vertAlign w:val="superscript"/>
        </w:rPr>
        <w:fldChar w:fldCharType="separate"/>
      </w:r>
      <w:r w:rsidR="001702C9">
        <w:rPr>
          <w:vertAlign w:val="superscript"/>
        </w:rPr>
        <w:t>9</w:t>
      </w:r>
      <w:r w:rsidR="006F211B" w:rsidRPr="006F211B">
        <w:rPr>
          <w:vertAlign w:val="superscript"/>
        </w:rPr>
        <w:fldChar w:fldCharType="end"/>
      </w:r>
    </w:p>
    <w:p w14:paraId="25C21A66" w14:textId="3B6A85CD" w:rsidR="003768A7" w:rsidRPr="00527BFD" w:rsidRDefault="003768A7" w:rsidP="00EC5B93">
      <w:pPr>
        <w:pStyle w:val="Heading5"/>
        <w:rPr>
          <w:rFonts w:eastAsia="TimesNewRoman"/>
        </w:rPr>
      </w:pPr>
      <w:r w:rsidRPr="00527BFD">
        <w:rPr>
          <w:rFonts w:eastAsia="TimesNewRoman"/>
        </w:rPr>
        <w:t>Studies providing additional pharmacokinetic information</w:t>
      </w:r>
    </w:p>
    <w:p w14:paraId="78489B2A" w14:textId="13AA2FD5" w:rsidR="003768A7" w:rsidRPr="0025423A" w:rsidRDefault="00A90EA7" w:rsidP="0025423A">
      <w:pPr>
        <w:pStyle w:val="TableTitle"/>
      </w:pPr>
      <w:r w:rsidRPr="0025423A">
        <w:t xml:space="preserve">Table </w:t>
      </w:r>
      <w:r w:rsidR="00234D1A">
        <w:fldChar w:fldCharType="begin"/>
      </w:r>
      <w:r w:rsidR="00234D1A">
        <w:instrText xml:space="preserve"> SEQ Table \* ARABIC </w:instrText>
      </w:r>
      <w:r w:rsidR="00234D1A">
        <w:fldChar w:fldCharType="separate"/>
      </w:r>
      <w:r w:rsidR="001702C9">
        <w:rPr>
          <w:noProof/>
        </w:rPr>
        <w:t>4</w:t>
      </w:r>
      <w:r w:rsidR="00234D1A">
        <w:rPr>
          <w:noProof/>
        </w:rPr>
        <w:fldChar w:fldCharType="end"/>
      </w:r>
      <w:r w:rsidRPr="0025423A">
        <w:t>:</w:t>
      </w:r>
      <w:r w:rsidR="003768A7" w:rsidRPr="0025423A">
        <w:t xml:space="preserve"> Pharmacokinetic studies in </w:t>
      </w:r>
      <w:bookmarkStart w:id="72" w:name="_Hlk99981966"/>
      <w:r w:rsidR="003768A7" w:rsidRPr="0025423A">
        <w:t xml:space="preserve">addition to </w:t>
      </w:r>
      <w:bookmarkStart w:id="73" w:name="_Hlk99620066"/>
      <w:r w:rsidR="00AC3147" w:rsidRPr="0025423A">
        <w:t>Submission</w:t>
      </w:r>
      <w:r w:rsidR="005864D6" w:rsidRPr="0025423A">
        <w:t> </w:t>
      </w:r>
      <w:r w:rsidR="003768A7" w:rsidRPr="0025423A">
        <w:t>PM-2019-04281-1-2</w:t>
      </w:r>
      <w:bookmarkEnd w:id="72"/>
      <w:bookmarkEnd w:id="73"/>
    </w:p>
    <w:tbl>
      <w:tblPr>
        <w:tblStyle w:val="TableTGAblue"/>
        <w:tblW w:w="8212" w:type="dxa"/>
        <w:tblLook w:val="04A0" w:firstRow="1" w:lastRow="0" w:firstColumn="1" w:lastColumn="0" w:noHBand="0" w:noVBand="1"/>
      </w:tblPr>
      <w:tblGrid>
        <w:gridCol w:w="1271"/>
        <w:gridCol w:w="1271"/>
        <w:gridCol w:w="1417"/>
        <w:gridCol w:w="4253"/>
      </w:tblGrid>
      <w:tr w:rsidR="003768A7" w:rsidRPr="00527BFD" w14:paraId="4478B5FE" w14:textId="77777777" w:rsidTr="00A90EA7">
        <w:trPr>
          <w:cnfStyle w:val="100000000000" w:firstRow="1" w:lastRow="0" w:firstColumn="0" w:lastColumn="0" w:oddVBand="0" w:evenVBand="0" w:oddHBand="0" w:evenHBand="0" w:firstRowFirstColumn="0" w:firstRowLastColumn="0" w:lastRowFirstColumn="0" w:lastRowLastColumn="0"/>
        </w:trPr>
        <w:tc>
          <w:tcPr>
            <w:tcW w:w="1271" w:type="dxa"/>
          </w:tcPr>
          <w:p w14:paraId="7DDBDC3C" w14:textId="77777777" w:rsidR="003768A7" w:rsidRPr="00527BFD" w:rsidRDefault="003768A7" w:rsidP="00A90EA7">
            <w:pPr>
              <w:pStyle w:val="Tabletext"/>
              <w:ind w:left="0" w:right="0"/>
            </w:pPr>
            <w:r w:rsidRPr="00527BFD">
              <w:t>PK Topic</w:t>
            </w:r>
          </w:p>
        </w:tc>
        <w:tc>
          <w:tcPr>
            <w:tcW w:w="1271" w:type="dxa"/>
          </w:tcPr>
          <w:p w14:paraId="769CEBB8" w14:textId="77777777" w:rsidR="003768A7" w:rsidRPr="00527BFD" w:rsidRDefault="003768A7" w:rsidP="00A90EA7">
            <w:pPr>
              <w:pStyle w:val="Tabletext"/>
              <w:ind w:left="0" w:right="0"/>
            </w:pPr>
            <w:r w:rsidRPr="00527BFD">
              <w:t>Subtopic</w:t>
            </w:r>
          </w:p>
        </w:tc>
        <w:tc>
          <w:tcPr>
            <w:tcW w:w="1417" w:type="dxa"/>
          </w:tcPr>
          <w:p w14:paraId="7D0BF0D8" w14:textId="77777777" w:rsidR="003768A7" w:rsidRPr="00527BFD" w:rsidRDefault="003768A7" w:rsidP="00A90EA7">
            <w:pPr>
              <w:pStyle w:val="Tabletext"/>
              <w:ind w:left="0" w:right="0"/>
            </w:pPr>
            <w:r w:rsidRPr="00527BFD">
              <w:t>Study ID</w:t>
            </w:r>
          </w:p>
        </w:tc>
        <w:tc>
          <w:tcPr>
            <w:tcW w:w="4253" w:type="dxa"/>
          </w:tcPr>
          <w:p w14:paraId="4E238A2D" w14:textId="77777777" w:rsidR="003768A7" w:rsidRPr="00527BFD" w:rsidRDefault="003768A7" w:rsidP="00A90EA7">
            <w:pPr>
              <w:pStyle w:val="Tabletext"/>
              <w:ind w:left="0" w:right="0"/>
            </w:pPr>
            <w:r w:rsidRPr="00527BFD">
              <w:t>Primary PK aim of study</w:t>
            </w:r>
          </w:p>
        </w:tc>
      </w:tr>
      <w:tr w:rsidR="003768A7" w:rsidRPr="00527BFD" w14:paraId="501CF0C1" w14:textId="77777777" w:rsidTr="00A90EA7">
        <w:tc>
          <w:tcPr>
            <w:tcW w:w="1271" w:type="dxa"/>
            <w:vMerge w:val="restart"/>
          </w:tcPr>
          <w:p w14:paraId="65EA9C59" w14:textId="77777777" w:rsidR="003768A7" w:rsidRPr="00527BFD" w:rsidRDefault="003768A7" w:rsidP="00A90EA7">
            <w:pPr>
              <w:pStyle w:val="Tabletext"/>
              <w:ind w:left="0" w:right="0"/>
            </w:pPr>
            <w:r w:rsidRPr="00527BFD">
              <w:t>PK in healthy adults</w:t>
            </w:r>
          </w:p>
        </w:tc>
        <w:tc>
          <w:tcPr>
            <w:tcW w:w="1271" w:type="dxa"/>
            <w:vMerge w:val="restart"/>
          </w:tcPr>
          <w:p w14:paraId="747D02AE" w14:textId="77777777" w:rsidR="003768A7" w:rsidRPr="00527BFD" w:rsidRDefault="003768A7" w:rsidP="00A90EA7">
            <w:pPr>
              <w:pStyle w:val="Tabletext"/>
              <w:ind w:left="0" w:right="0"/>
            </w:pPr>
            <w:r w:rsidRPr="00527BFD">
              <w:t>Multi-dose</w:t>
            </w:r>
          </w:p>
        </w:tc>
        <w:tc>
          <w:tcPr>
            <w:tcW w:w="1417" w:type="dxa"/>
          </w:tcPr>
          <w:p w14:paraId="7ADCD32E" w14:textId="77777777" w:rsidR="003768A7" w:rsidRPr="00527BFD" w:rsidRDefault="003768A7" w:rsidP="00A90EA7">
            <w:pPr>
              <w:pStyle w:val="Tabletext"/>
              <w:ind w:left="0" w:right="0"/>
            </w:pPr>
            <w:r w:rsidRPr="00527BFD">
              <w:t>206898</w:t>
            </w:r>
          </w:p>
        </w:tc>
        <w:tc>
          <w:tcPr>
            <w:tcW w:w="4253" w:type="dxa"/>
          </w:tcPr>
          <w:p w14:paraId="049E833A" w14:textId="068032C9" w:rsidR="003768A7" w:rsidRPr="00527BFD" w:rsidRDefault="003768A7" w:rsidP="00A90EA7">
            <w:pPr>
              <w:pStyle w:val="Tabletext"/>
              <w:ind w:left="0" w:right="0"/>
            </w:pPr>
            <w:r w:rsidRPr="00527BFD">
              <w:t xml:space="preserve">PK, safety, </w:t>
            </w:r>
            <w:proofErr w:type="gramStart"/>
            <w:r w:rsidRPr="00527BFD">
              <w:t>tolerability</w:t>
            </w:r>
            <w:proofErr w:type="gramEnd"/>
            <w:r w:rsidRPr="00527BFD">
              <w:t xml:space="preserve"> and acceptability of long</w:t>
            </w:r>
            <w:r w:rsidR="00AE677C" w:rsidRPr="00527BFD">
              <w:t>-</w:t>
            </w:r>
            <w:r w:rsidRPr="00527BFD">
              <w:t xml:space="preserve">acting injections of the HIV integrase inhibitor, </w:t>
            </w:r>
            <w:r w:rsidR="00FD52A9" w:rsidRPr="00527BFD">
              <w:t>cabotegravir</w:t>
            </w:r>
            <w:r w:rsidRPr="00527BFD">
              <w:t xml:space="preserve"> in HIV uninfected Chinese men</w:t>
            </w:r>
          </w:p>
        </w:tc>
      </w:tr>
      <w:tr w:rsidR="003768A7" w:rsidRPr="00527BFD" w14:paraId="276D8849" w14:textId="77777777" w:rsidTr="00A90EA7">
        <w:tc>
          <w:tcPr>
            <w:tcW w:w="1271" w:type="dxa"/>
            <w:vMerge/>
          </w:tcPr>
          <w:p w14:paraId="014D0E29" w14:textId="77777777" w:rsidR="003768A7" w:rsidRPr="00527BFD" w:rsidRDefault="003768A7" w:rsidP="00A90EA7">
            <w:pPr>
              <w:pStyle w:val="Tabletext"/>
              <w:ind w:left="0" w:right="0"/>
            </w:pPr>
          </w:p>
        </w:tc>
        <w:tc>
          <w:tcPr>
            <w:tcW w:w="1271" w:type="dxa"/>
            <w:vMerge/>
          </w:tcPr>
          <w:p w14:paraId="0424D98B" w14:textId="77777777" w:rsidR="003768A7" w:rsidRPr="00527BFD" w:rsidRDefault="003768A7" w:rsidP="00A90EA7">
            <w:pPr>
              <w:pStyle w:val="Tabletext"/>
              <w:ind w:left="0" w:right="0"/>
            </w:pPr>
          </w:p>
        </w:tc>
        <w:tc>
          <w:tcPr>
            <w:tcW w:w="1417" w:type="dxa"/>
          </w:tcPr>
          <w:p w14:paraId="14BA6824" w14:textId="009BCA84" w:rsidR="003768A7" w:rsidRPr="00527BFD" w:rsidRDefault="003768A7" w:rsidP="00A90EA7">
            <w:pPr>
              <w:pStyle w:val="Tabletext"/>
              <w:ind w:left="0" w:right="0"/>
            </w:pPr>
            <w:r w:rsidRPr="00527BFD">
              <w:t>201103</w:t>
            </w:r>
          </w:p>
          <w:p w14:paraId="4E39E65B" w14:textId="69F5171F" w:rsidR="003768A7" w:rsidRPr="00527BFD" w:rsidRDefault="003768A7" w:rsidP="00A90EA7">
            <w:pPr>
              <w:pStyle w:val="Tabletext"/>
              <w:ind w:left="0" w:right="0"/>
            </w:pPr>
            <w:r w:rsidRPr="00527BFD">
              <w:t>(HPTN 077</w:t>
            </w:r>
            <w:r w:rsidR="00F267D8">
              <w:t xml:space="preserve"> trial</w:t>
            </w:r>
            <w:r w:rsidRPr="00527BFD">
              <w:t>)</w:t>
            </w:r>
          </w:p>
        </w:tc>
        <w:tc>
          <w:tcPr>
            <w:tcW w:w="4253" w:type="dxa"/>
          </w:tcPr>
          <w:p w14:paraId="1E471140" w14:textId="7F28F97F" w:rsidR="003768A7" w:rsidRPr="00527BFD" w:rsidRDefault="003768A7" w:rsidP="00A90EA7">
            <w:pPr>
              <w:pStyle w:val="Tabletext"/>
              <w:ind w:left="0" w:right="0"/>
            </w:pPr>
            <w:r w:rsidRPr="00527BFD">
              <w:t xml:space="preserve">Safety, </w:t>
            </w:r>
            <w:proofErr w:type="gramStart"/>
            <w:r w:rsidRPr="00527BFD">
              <w:t>tolerability</w:t>
            </w:r>
            <w:proofErr w:type="gramEnd"/>
            <w:r w:rsidRPr="00527BFD">
              <w:t xml:space="preserve"> and PK of the investigational injectable HIV integrase inhibitor, </w:t>
            </w:r>
            <w:r w:rsidR="00FD52A9" w:rsidRPr="00527BFD">
              <w:t>cabotegravir</w:t>
            </w:r>
            <w:r w:rsidRPr="00527BFD">
              <w:t>, in HIV-uninfected men and women</w:t>
            </w:r>
          </w:p>
        </w:tc>
      </w:tr>
      <w:tr w:rsidR="003768A7" w:rsidRPr="00527BFD" w14:paraId="5C542686" w14:textId="77777777" w:rsidTr="00A90EA7">
        <w:tc>
          <w:tcPr>
            <w:tcW w:w="1271" w:type="dxa"/>
            <w:vMerge/>
          </w:tcPr>
          <w:p w14:paraId="30122FAA" w14:textId="77777777" w:rsidR="003768A7" w:rsidRPr="00527BFD" w:rsidRDefault="003768A7" w:rsidP="00A90EA7">
            <w:pPr>
              <w:pStyle w:val="Tabletext"/>
              <w:ind w:left="0" w:right="0"/>
            </w:pPr>
          </w:p>
        </w:tc>
        <w:tc>
          <w:tcPr>
            <w:tcW w:w="1271" w:type="dxa"/>
          </w:tcPr>
          <w:p w14:paraId="44BB49C0" w14:textId="77777777" w:rsidR="003768A7" w:rsidRPr="00527BFD" w:rsidRDefault="003768A7" w:rsidP="00A90EA7">
            <w:pPr>
              <w:pStyle w:val="Tabletext"/>
              <w:ind w:left="0" w:right="0"/>
            </w:pPr>
            <w:r w:rsidRPr="00527BFD">
              <w:t>Tissue distribution</w:t>
            </w:r>
          </w:p>
        </w:tc>
        <w:tc>
          <w:tcPr>
            <w:tcW w:w="1417" w:type="dxa"/>
          </w:tcPr>
          <w:p w14:paraId="60091F0B" w14:textId="77777777" w:rsidR="003768A7" w:rsidRPr="00527BFD" w:rsidRDefault="003768A7" w:rsidP="00A90EA7">
            <w:pPr>
              <w:pStyle w:val="Tabletext"/>
              <w:ind w:left="0" w:right="0"/>
            </w:pPr>
            <w:r w:rsidRPr="00527BFD">
              <w:t>201767</w:t>
            </w:r>
          </w:p>
        </w:tc>
        <w:tc>
          <w:tcPr>
            <w:tcW w:w="4253" w:type="dxa"/>
          </w:tcPr>
          <w:p w14:paraId="58F8D019" w14:textId="3B46A297" w:rsidR="003768A7" w:rsidRPr="00527BFD" w:rsidRDefault="003768A7" w:rsidP="00A90EA7">
            <w:pPr>
              <w:pStyle w:val="Tabletext"/>
              <w:ind w:left="0" w:right="0"/>
            </w:pPr>
            <w:r w:rsidRPr="00527BFD">
              <w:t xml:space="preserve">PK study of </w:t>
            </w:r>
            <w:r w:rsidR="00FD52A9" w:rsidRPr="00527BFD">
              <w:t>cabotegravir</w:t>
            </w:r>
            <w:r w:rsidRPr="00527BFD">
              <w:t xml:space="preserve"> </w:t>
            </w:r>
            <w:proofErr w:type="gramStart"/>
            <w:r w:rsidRPr="00527BFD">
              <w:t>long-acting</w:t>
            </w:r>
            <w:proofErr w:type="gramEnd"/>
            <w:r w:rsidRPr="00527BFD">
              <w:t xml:space="preserve"> in healthy adult volunteers</w:t>
            </w:r>
          </w:p>
        </w:tc>
      </w:tr>
      <w:tr w:rsidR="003768A7" w:rsidRPr="00527BFD" w14:paraId="54F2CA7B" w14:textId="77777777" w:rsidTr="00A90EA7">
        <w:tc>
          <w:tcPr>
            <w:tcW w:w="1271" w:type="dxa"/>
            <w:vMerge w:val="restart"/>
          </w:tcPr>
          <w:p w14:paraId="2356BB8C" w14:textId="77777777" w:rsidR="003768A7" w:rsidRPr="00527BFD" w:rsidRDefault="003768A7" w:rsidP="00A90EA7">
            <w:pPr>
              <w:pStyle w:val="Tabletext"/>
              <w:ind w:left="0" w:right="0"/>
            </w:pPr>
            <w:r w:rsidRPr="00527BFD">
              <w:t>PK in special populations</w:t>
            </w:r>
          </w:p>
        </w:tc>
        <w:tc>
          <w:tcPr>
            <w:tcW w:w="1271" w:type="dxa"/>
          </w:tcPr>
          <w:p w14:paraId="5165ADAB" w14:textId="77777777" w:rsidR="003768A7" w:rsidRPr="00527BFD" w:rsidRDefault="003768A7" w:rsidP="00A90EA7">
            <w:pPr>
              <w:pStyle w:val="Tabletext"/>
              <w:ind w:left="0" w:right="0"/>
            </w:pPr>
            <w:r w:rsidRPr="00527BFD">
              <w:t>HIV infected Adolescent population</w:t>
            </w:r>
          </w:p>
        </w:tc>
        <w:tc>
          <w:tcPr>
            <w:tcW w:w="1417" w:type="dxa"/>
          </w:tcPr>
          <w:p w14:paraId="10EE6359" w14:textId="77777777" w:rsidR="00756C1C" w:rsidRDefault="00756C1C" w:rsidP="00A90EA7">
            <w:pPr>
              <w:pStyle w:val="Tabletext"/>
              <w:ind w:left="0" w:right="0"/>
            </w:pPr>
            <w:r w:rsidRPr="00527BFD">
              <w:t>208580</w:t>
            </w:r>
          </w:p>
          <w:p w14:paraId="44C461B9" w14:textId="7EDB740A" w:rsidR="003768A7" w:rsidRPr="00527BFD" w:rsidRDefault="00756C1C" w:rsidP="00A90EA7">
            <w:pPr>
              <w:pStyle w:val="Tabletext"/>
              <w:ind w:left="0" w:right="0"/>
            </w:pPr>
            <w:r>
              <w:t>(</w:t>
            </w:r>
            <w:r w:rsidR="003768A7" w:rsidRPr="00527BFD">
              <w:t>MOCHA</w:t>
            </w:r>
            <w:r w:rsidR="00F267D8">
              <w:t xml:space="preserve"> trial</w:t>
            </w:r>
            <w:r w:rsidR="003768A7" w:rsidRPr="00527BFD">
              <w:t>)</w:t>
            </w:r>
          </w:p>
        </w:tc>
        <w:tc>
          <w:tcPr>
            <w:tcW w:w="4253" w:type="dxa"/>
          </w:tcPr>
          <w:p w14:paraId="3CE5BF90" w14:textId="281CE7BB" w:rsidR="003768A7" w:rsidRPr="00527BFD" w:rsidRDefault="003768A7" w:rsidP="00A90EA7">
            <w:pPr>
              <w:pStyle w:val="Tabletext"/>
              <w:ind w:left="0" w:right="0"/>
            </w:pPr>
            <w:r w:rsidRPr="00527BFD">
              <w:t xml:space="preserve">Safety, acceptability, </w:t>
            </w:r>
            <w:proofErr w:type="gramStart"/>
            <w:r w:rsidRPr="00527BFD">
              <w:t>tolerability</w:t>
            </w:r>
            <w:proofErr w:type="gramEnd"/>
            <w:r w:rsidRPr="00527BFD">
              <w:t xml:space="preserve"> and PK of oral and LA injectable </w:t>
            </w:r>
            <w:r w:rsidR="00FD52A9" w:rsidRPr="00527BFD">
              <w:t>cabotegravir</w:t>
            </w:r>
            <w:r w:rsidRPr="00527BFD">
              <w:t xml:space="preserve"> and LA injectable </w:t>
            </w:r>
            <w:proofErr w:type="spellStart"/>
            <w:r w:rsidR="002B70E6" w:rsidRPr="00527BFD">
              <w:t>rilpivirine</w:t>
            </w:r>
            <w:proofErr w:type="spellEnd"/>
            <w:r w:rsidRPr="00527BFD">
              <w:t xml:space="preserve"> in virologically suppressed HIV-infected children and adolescents - Cohort 1, Week 16 </w:t>
            </w:r>
            <w:r w:rsidR="00756C1C" w:rsidRPr="00527BFD">
              <w:t>interim report</w:t>
            </w:r>
          </w:p>
        </w:tc>
      </w:tr>
      <w:tr w:rsidR="003768A7" w:rsidRPr="00527BFD" w14:paraId="396CC3A7" w14:textId="77777777" w:rsidTr="00A90EA7">
        <w:tc>
          <w:tcPr>
            <w:tcW w:w="1271" w:type="dxa"/>
            <w:vMerge/>
          </w:tcPr>
          <w:p w14:paraId="014EC25B" w14:textId="77777777" w:rsidR="003768A7" w:rsidRPr="00527BFD" w:rsidRDefault="003768A7" w:rsidP="00A90EA7">
            <w:pPr>
              <w:pStyle w:val="Tabletext"/>
              <w:ind w:left="0" w:right="0"/>
            </w:pPr>
          </w:p>
        </w:tc>
        <w:tc>
          <w:tcPr>
            <w:tcW w:w="1271" w:type="dxa"/>
          </w:tcPr>
          <w:p w14:paraId="4582BF3A" w14:textId="77777777" w:rsidR="003768A7" w:rsidRPr="00527BFD" w:rsidRDefault="003768A7" w:rsidP="00A90EA7">
            <w:pPr>
              <w:pStyle w:val="Tabletext"/>
              <w:ind w:left="0" w:right="0"/>
            </w:pPr>
            <w:r w:rsidRPr="00527BFD">
              <w:t>HIV Infected adults</w:t>
            </w:r>
          </w:p>
        </w:tc>
        <w:tc>
          <w:tcPr>
            <w:tcW w:w="1417" w:type="dxa"/>
          </w:tcPr>
          <w:p w14:paraId="680BE6EC" w14:textId="77777777" w:rsidR="00756C1C" w:rsidRDefault="00756C1C" w:rsidP="00A90EA7">
            <w:pPr>
              <w:pStyle w:val="Tabletext"/>
              <w:ind w:left="0" w:right="0"/>
            </w:pPr>
            <w:r w:rsidRPr="00527BFD">
              <w:t>201584</w:t>
            </w:r>
          </w:p>
          <w:p w14:paraId="43EEE751" w14:textId="42231025" w:rsidR="003768A7" w:rsidRPr="00527BFD" w:rsidRDefault="00756C1C" w:rsidP="00A90EA7">
            <w:pPr>
              <w:pStyle w:val="Tabletext"/>
              <w:ind w:left="0" w:right="0"/>
            </w:pPr>
            <w:r>
              <w:t>(</w:t>
            </w:r>
            <w:r w:rsidR="003768A7" w:rsidRPr="00527BFD">
              <w:t>FLAIR</w:t>
            </w:r>
            <w:r w:rsidR="00F267D8">
              <w:t xml:space="preserve"> trial</w:t>
            </w:r>
            <w:r w:rsidR="003768A7" w:rsidRPr="00527BFD">
              <w:t>) extension phase</w:t>
            </w:r>
          </w:p>
        </w:tc>
        <w:tc>
          <w:tcPr>
            <w:tcW w:w="4253" w:type="dxa"/>
          </w:tcPr>
          <w:p w14:paraId="3F2CEC29" w14:textId="10C98421" w:rsidR="003768A7" w:rsidRPr="00527BFD" w:rsidRDefault="003768A7" w:rsidP="00A90EA7">
            <w:pPr>
              <w:pStyle w:val="Tabletext"/>
              <w:ind w:left="0" w:right="0"/>
            </w:pPr>
            <w:r w:rsidRPr="00527BFD">
              <w:t xml:space="preserve">Safety, </w:t>
            </w:r>
            <w:proofErr w:type="gramStart"/>
            <w:r w:rsidRPr="00527BFD">
              <w:t>efficacy</w:t>
            </w:r>
            <w:proofErr w:type="gramEnd"/>
            <w:r w:rsidRPr="00527BFD">
              <w:t xml:space="preserve"> and PK switching to </w:t>
            </w:r>
            <w:r w:rsidR="00FD52A9" w:rsidRPr="00527BFD">
              <w:t>cabotegravir</w:t>
            </w:r>
            <w:r w:rsidRPr="00527BFD">
              <w:t>/</w:t>
            </w:r>
            <w:proofErr w:type="spellStart"/>
            <w:r w:rsidR="002B70E6" w:rsidRPr="00527BFD">
              <w:t>rilpivirine</w:t>
            </w:r>
            <w:proofErr w:type="spellEnd"/>
            <w:r w:rsidRPr="00527BFD">
              <w:t xml:space="preserve"> with or without an oral lead</w:t>
            </w:r>
            <w:r w:rsidR="00665CD8" w:rsidRPr="00527BFD">
              <w:t>-</w:t>
            </w:r>
            <w:r w:rsidRPr="00527BFD">
              <w:t>in</w:t>
            </w:r>
          </w:p>
        </w:tc>
      </w:tr>
      <w:tr w:rsidR="003768A7" w:rsidRPr="00527BFD" w14:paraId="17C1C0E1" w14:textId="77777777" w:rsidTr="00A90EA7">
        <w:tc>
          <w:tcPr>
            <w:tcW w:w="1271" w:type="dxa"/>
            <w:vMerge w:val="restart"/>
          </w:tcPr>
          <w:p w14:paraId="1C9AA095" w14:textId="77777777" w:rsidR="003768A7" w:rsidRPr="00527BFD" w:rsidRDefault="003768A7" w:rsidP="00A90EA7">
            <w:pPr>
              <w:pStyle w:val="Tabletext"/>
              <w:ind w:left="0" w:right="0"/>
            </w:pPr>
            <w:r w:rsidRPr="00527BFD">
              <w:t xml:space="preserve">PK in </w:t>
            </w:r>
            <w:proofErr w:type="spellStart"/>
            <w:r w:rsidRPr="00527BFD">
              <w:t>PrEP</w:t>
            </w:r>
            <w:proofErr w:type="spellEnd"/>
            <w:r w:rsidRPr="00527BFD">
              <w:t xml:space="preserve"> pivotal studies</w:t>
            </w:r>
          </w:p>
        </w:tc>
        <w:tc>
          <w:tcPr>
            <w:tcW w:w="1271" w:type="dxa"/>
          </w:tcPr>
          <w:p w14:paraId="730F2F78" w14:textId="3A517F2F" w:rsidR="003768A7" w:rsidRPr="00527BFD" w:rsidRDefault="003768A7" w:rsidP="00A90EA7">
            <w:pPr>
              <w:pStyle w:val="Tabletext"/>
              <w:ind w:left="0" w:right="0"/>
            </w:pPr>
            <w:r w:rsidRPr="00527BFD">
              <w:t xml:space="preserve">HIV-uninfected cisgender men </w:t>
            </w:r>
            <w:r w:rsidR="00B614A4" w:rsidRPr="00527BFD">
              <w:t xml:space="preserve">and </w:t>
            </w:r>
            <w:r w:rsidRPr="00527BFD">
              <w:t>transgender women who have sex with men</w:t>
            </w:r>
          </w:p>
        </w:tc>
        <w:tc>
          <w:tcPr>
            <w:tcW w:w="1417" w:type="dxa"/>
          </w:tcPr>
          <w:p w14:paraId="289D0967" w14:textId="77777777" w:rsidR="003768A7" w:rsidRPr="00527BFD" w:rsidRDefault="003768A7" w:rsidP="00A90EA7">
            <w:pPr>
              <w:pStyle w:val="Tabletext"/>
              <w:ind w:left="0" w:right="0"/>
            </w:pPr>
            <w:r w:rsidRPr="00527BFD">
              <w:t>201738</w:t>
            </w:r>
          </w:p>
          <w:p w14:paraId="2B7E832B" w14:textId="69AC18E4" w:rsidR="003768A7" w:rsidRPr="00527BFD" w:rsidRDefault="003768A7" w:rsidP="00A90EA7">
            <w:pPr>
              <w:pStyle w:val="Tabletext"/>
              <w:ind w:left="0" w:right="0"/>
            </w:pPr>
            <w:r w:rsidRPr="00527BFD">
              <w:t>(HPTN 083</w:t>
            </w:r>
            <w:r w:rsidR="00F267D8">
              <w:t xml:space="preserve"> trial</w:t>
            </w:r>
            <w:r w:rsidRPr="00527BFD">
              <w:t>)</w:t>
            </w:r>
          </w:p>
        </w:tc>
        <w:tc>
          <w:tcPr>
            <w:tcW w:w="4253" w:type="dxa"/>
          </w:tcPr>
          <w:p w14:paraId="2F7ADECA" w14:textId="77777777" w:rsidR="003768A7" w:rsidRPr="00527BFD" w:rsidRDefault="003768A7" w:rsidP="00A90EA7">
            <w:pPr>
              <w:pStyle w:val="Tabletext"/>
              <w:ind w:left="0" w:right="0"/>
            </w:pPr>
            <w:r w:rsidRPr="00527BFD">
              <w:t xml:space="preserve">PK of participants, including longitudinal PK population. </w:t>
            </w:r>
          </w:p>
        </w:tc>
      </w:tr>
      <w:tr w:rsidR="003768A7" w:rsidRPr="00527BFD" w14:paraId="7133620E" w14:textId="77777777" w:rsidTr="00A90EA7">
        <w:tc>
          <w:tcPr>
            <w:tcW w:w="1271" w:type="dxa"/>
            <w:vMerge/>
          </w:tcPr>
          <w:p w14:paraId="7F1134E0" w14:textId="77777777" w:rsidR="003768A7" w:rsidRPr="00527BFD" w:rsidRDefault="003768A7" w:rsidP="00A90EA7">
            <w:pPr>
              <w:pStyle w:val="Tabletext"/>
              <w:ind w:left="0" w:right="0"/>
            </w:pPr>
          </w:p>
        </w:tc>
        <w:tc>
          <w:tcPr>
            <w:tcW w:w="1271" w:type="dxa"/>
          </w:tcPr>
          <w:p w14:paraId="52267DF8" w14:textId="77777777" w:rsidR="003768A7" w:rsidRPr="00527BFD" w:rsidRDefault="003768A7" w:rsidP="00A90EA7">
            <w:pPr>
              <w:pStyle w:val="Tabletext"/>
              <w:ind w:left="0" w:right="0"/>
            </w:pPr>
            <w:r w:rsidRPr="00527BFD">
              <w:t>HIV-uninfected women</w:t>
            </w:r>
          </w:p>
        </w:tc>
        <w:tc>
          <w:tcPr>
            <w:tcW w:w="1417" w:type="dxa"/>
          </w:tcPr>
          <w:p w14:paraId="29BB7208" w14:textId="73B4D08A" w:rsidR="003768A7" w:rsidRPr="00527BFD" w:rsidRDefault="003768A7" w:rsidP="00A90EA7">
            <w:pPr>
              <w:pStyle w:val="Tabletext"/>
              <w:ind w:left="0" w:right="0"/>
            </w:pPr>
            <w:r w:rsidRPr="00527BFD">
              <w:t>201739</w:t>
            </w:r>
          </w:p>
          <w:p w14:paraId="171255B4" w14:textId="65618A01" w:rsidR="003768A7" w:rsidRPr="00527BFD" w:rsidRDefault="003768A7" w:rsidP="00A90EA7">
            <w:pPr>
              <w:pStyle w:val="Tabletext"/>
              <w:ind w:left="0" w:right="0"/>
            </w:pPr>
            <w:r w:rsidRPr="00527BFD">
              <w:t>(HPTN 084</w:t>
            </w:r>
            <w:r w:rsidR="00F267D8">
              <w:t xml:space="preserve"> trial</w:t>
            </w:r>
            <w:r w:rsidRPr="00527BFD">
              <w:t>)</w:t>
            </w:r>
          </w:p>
        </w:tc>
        <w:tc>
          <w:tcPr>
            <w:tcW w:w="4253" w:type="dxa"/>
          </w:tcPr>
          <w:p w14:paraId="356EA818" w14:textId="77777777" w:rsidR="003768A7" w:rsidRPr="00527BFD" w:rsidRDefault="003768A7" w:rsidP="00A90EA7">
            <w:pPr>
              <w:pStyle w:val="Tabletext"/>
              <w:ind w:left="0" w:right="0"/>
            </w:pPr>
            <w:r w:rsidRPr="00527BFD">
              <w:t>PK of participants, including longitudinal PK population.</w:t>
            </w:r>
          </w:p>
        </w:tc>
      </w:tr>
      <w:tr w:rsidR="003768A7" w:rsidRPr="00527BFD" w14:paraId="1CE44931" w14:textId="77777777" w:rsidTr="00A90EA7">
        <w:tc>
          <w:tcPr>
            <w:tcW w:w="1271" w:type="dxa"/>
            <w:vMerge w:val="restart"/>
          </w:tcPr>
          <w:p w14:paraId="5B459BE9" w14:textId="77777777" w:rsidR="003768A7" w:rsidRPr="00527BFD" w:rsidRDefault="003768A7" w:rsidP="00A90EA7">
            <w:pPr>
              <w:pStyle w:val="Tabletext"/>
              <w:ind w:left="0" w:right="0"/>
            </w:pPr>
            <w:r w:rsidRPr="00527BFD">
              <w:t>Population PK analyses</w:t>
            </w:r>
          </w:p>
        </w:tc>
        <w:tc>
          <w:tcPr>
            <w:tcW w:w="1271" w:type="dxa"/>
            <w:vMerge w:val="restart"/>
          </w:tcPr>
          <w:p w14:paraId="187B17FB" w14:textId="77777777" w:rsidR="003768A7" w:rsidRPr="00527BFD" w:rsidRDefault="003768A7" w:rsidP="00A90EA7">
            <w:pPr>
              <w:pStyle w:val="Tabletext"/>
              <w:ind w:left="0" w:right="0"/>
            </w:pPr>
            <w:r w:rsidRPr="00527BFD">
              <w:t>Healthy subjects</w:t>
            </w:r>
          </w:p>
        </w:tc>
        <w:tc>
          <w:tcPr>
            <w:tcW w:w="1417" w:type="dxa"/>
          </w:tcPr>
          <w:p w14:paraId="4553C5F6" w14:textId="77777777" w:rsidR="003768A7" w:rsidRPr="00527BFD" w:rsidRDefault="003768A7" w:rsidP="00A90EA7">
            <w:pPr>
              <w:pStyle w:val="Tabletext"/>
              <w:ind w:left="0" w:right="0"/>
            </w:pPr>
            <w:r w:rsidRPr="00527BFD">
              <w:t>2021N467204</w:t>
            </w:r>
          </w:p>
        </w:tc>
        <w:tc>
          <w:tcPr>
            <w:tcW w:w="4253" w:type="dxa"/>
          </w:tcPr>
          <w:p w14:paraId="39DE36AC" w14:textId="3F94AB81" w:rsidR="003768A7" w:rsidRPr="00527BFD" w:rsidRDefault="003768A7" w:rsidP="00A90EA7">
            <w:pPr>
              <w:pStyle w:val="Tabletext"/>
              <w:ind w:left="0" w:right="0"/>
            </w:pPr>
            <w:r w:rsidRPr="00527BFD">
              <w:t xml:space="preserve">Population PK Evaluation of Cabotegravir in Asian </w:t>
            </w:r>
            <w:r w:rsidR="00B6536C" w:rsidRPr="00527BFD">
              <w:t>populations</w:t>
            </w:r>
          </w:p>
        </w:tc>
      </w:tr>
      <w:tr w:rsidR="003768A7" w:rsidRPr="00527BFD" w14:paraId="08515510" w14:textId="77777777" w:rsidTr="00A90EA7">
        <w:tc>
          <w:tcPr>
            <w:tcW w:w="1271" w:type="dxa"/>
            <w:vMerge/>
          </w:tcPr>
          <w:p w14:paraId="7CD89512" w14:textId="77777777" w:rsidR="003768A7" w:rsidRPr="00527BFD" w:rsidRDefault="003768A7" w:rsidP="00A90EA7">
            <w:pPr>
              <w:pStyle w:val="Tabletext"/>
              <w:ind w:left="0" w:right="0"/>
            </w:pPr>
          </w:p>
        </w:tc>
        <w:tc>
          <w:tcPr>
            <w:tcW w:w="1271" w:type="dxa"/>
            <w:vMerge/>
          </w:tcPr>
          <w:p w14:paraId="1BDBBD31" w14:textId="77777777" w:rsidR="003768A7" w:rsidRPr="00527BFD" w:rsidRDefault="003768A7" w:rsidP="00A90EA7">
            <w:pPr>
              <w:pStyle w:val="Tabletext"/>
              <w:ind w:left="0" w:right="0"/>
            </w:pPr>
          </w:p>
        </w:tc>
        <w:tc>
          <w:tcPr>
            <w:tcW w:w="1417" w:type="dxa"/>
          </w:tcPr>
          <w:p w14:paraId="57F5B8C5" w14:textId="77777777" w:rsidR="003768A7" w:rsidRPr="00527BFD" w:rsidRDefault="003768A7" w:rsidP="00A90EA7">
            <w:pPr>
              <w:pStyle w:val="Tabletext"/>
              <w:ind w:left="0" w:right="0"/>
            </w:pPr>
            <w:r w:rsidRPr="00527BFD">
              <w:t>2021N484575</w:t>
            </w:r>
          </w:p>
        </w:tc>
        <w:tc>
          <w:tcPr>
            <w:tcW w:w="4253" w:type="dxa"/>
          </w:tcPr>
          <w:p w14:paraId="08BE51B5" w14:textId="6B6495AD" w:rsidR="003768A7" w:rsidRPr="00527BFD" w:rsidRDefault="003768A7" w:rsidP="00A90EA7">
            <w:pPr>
              <w:pStyle w:val="Tabletext"/>
              <w:ind w:left="0" w:right="0"/>
            </w:pPr>
            <w:proofErr w:type="spellStart"/>
            <w:r w:rsidRPr="00527BFD">
              <w:t>PopPK</w:t>
            </w:r>
            <w:proofErr w:type="spellEnd"/>
            <w:r w:rsidRPr="00527BFD">
              <w:t xml:space="preserve"> evaluation of </w:t>
            </w:r>
            <w:r w:rsidR="00FD52A9" w:rsidRPr="00527BFD">
              <w:t>cabotegravir</w:t>
            </w:r>
            <w:r w:rsidRPr="00527BFD">
              <w:t xml:space="preserve"> for pre-exposure prophylaxis in at-risk HIV-1-uninfected participants in Phase III studies</w:t>
            </w:r>
          </w:p>
        </w:tc>
      </w:tr>
      <w:tr w:rsidR="003768A7" w:rsidRPr="00527BFD" w14:paraId="7DE6679D" w14:textId="77777777" w:rsidTr="00A90EA7">
        <w:tc>
          <w:tcPr>
            <w:tcW w:w="1271" w:type="dxa"/>
            <w:vMerge/>
          </w:tcPr>
          <w:p w14:paraId="33390527" w14:textId="77777777" w:rsidR="003768A7" w:rsidRPr="00527BFD" w:rsidRDefault="003768A7" w:rsidP="00A90EA7">
            <w:pPr>
              <w:pStyle w:val="Tabletext"/>
              <w:ind w:left="0" w:right="0"/>
            </w:pPr>
          </w:p>
        </w:tc>
        <w:tc>
          <w:tcPr>
            <w:tcW w:w="1271" w:type="dxa"/>
          </w:tcPr>
          <w:p w14:paraId="2D8787CE" w14:textId="77777777" w:rsidR="003768A7" w:rsidRPr="00527BFD" w:rsidRDefault="003768A7" w:rsidP="00A90EA7">
            <w:pPr>
              <w:pStyle w:val="Tabletext"/>
              <w:ind w:left="0" w:right="0"/>
            </w:pPr>
            <w:r w:rsidRPr="00527BFD">
              <w:t>Adolescent population</w:t>
            </w:r>
          </w:p>
        </w:tc>
        <w:tc>
          <w:tcPr>
            <w:tcW w:w="1417" w:type="dxa"/>
          </w:tcPr>
          <w:p w14:paraId="4371AD1F" w14:textId="77777777" w:rsidR="003768A7" w:rsidRPr="00527BFD" w:rsidRDefault="003768A7" w:rsidP="00A90EA7">
            <w:pPr>
              <w:pStyle w:val="Tabletext"/>
              <w:ind w:left="0" w:right="0"/>
            </w:pPr>
            <w:r w:rsidRPr="00527BFD">
              <w:t>2021N462341</w:t>
            </w:r>
          </w:p>
        </w:tc>
        <w:tc>
          <w:tcPr>
            <w:tcW w:w="4253" w:type="dxa"/>
          </w:tcPr>
          <w:p w14:paraId="7B0B5C71" w14:textId="2E5CD019" w:rsidR="003768A7" w:rsidRPr="00527BFD" w:rsidRDefault="003768A7" w:rsidP="00A90EA7">
            <w:pPr>
              <w:pStyle w:val="Tabletext"/>
              <w:ind w:left="0" w:right="0"/>
            </w:pPr>
            <w:proofErr w:type="spellStart"/>
            <w:r w:rsidRPr="00527BFD">
              <w:t>PopPK</w:t>
            </w:r>
            <w:proofErr w:type="spellEnd"/>
            <w:r w:rsidRPr="00527BFD">
              <w:t xml:space="preserve"> evaluation of </w:t>
            </w:r>
            <w:r w:rsidR="00FD52A9" w:rsidRPr="00527BFD">
              <w:t>cabotegravir</w:t>
            </w:r>
            <w:r w:rsidRPr="00527BFD">
              <w:t xml:space="preserve"> in adolescents using data from MOCHA</w:t>
            </w:r>
            <w:r w:rsidR="00F267D8">
              <w:t xml:space="preserve"> trial</w:t>
            </w:r>
            <w:r w:rsidRPr="00527BFD">
              <w:t xml:space="preserve"> </w:t>
            </w:r>
            <w:r w:rsidR="005F0BCE" w:rsidRPr="00527BFD">
              <w:t>(</w:t>
            </w:r>
            <w:r w:rsidR="00F267D8">
              <w:t xml:space="preserve">Study </w:t>
            </w:r>
            <w:r w:rsidRPr="00527BFD">
              <w:t>208580</w:t>
            </w:r>
            <w:r w:rsidR="005F0BCE" w:rsidRPr="00527BFD">
              <w:t>)</w:t>
            </w:r>
          </w:p>
        </w:tc>
      </w:tr>
    </w:tbl>
    <w:p w14:paraId="38C1206C" w14:textId="2FD1A9C5" w:rsidR="00071DA7" w:rsidRDefault="00756C1C" w:rsidP="00756C1C">
      <w:pPr>
        <w:pStyle w:val="TableDescription"/>
      </w:pPr>
      <w:r w:rsidRPr="00756C1C">
        <w:t xml:space="preserve">Abbreviations: HIV = human immunodeficiency virus; LA = </w:t>
      </w:r>
      <w:proofErr w:type="gramStart"/>
      <w:r w:rsidRPr="00756C1C">
        <w:t>long-acting</w:t>
      </w:r>
      <w:proofErr w:type="gramEnd"/>
      <w:r w:rsidRPr="00756C1C">
        <w:t xml:space="preserve">; </w:t>
      </w:r>
      <w:r w:rsidR="00071DA7" w:rsidRPr="00756C1C">
        <w:t xml:space="preserve">PK = </w:t>
      </w:r>
      <w:r w:rsidR="00342B4E" w:rsidRPr="00756C1C">
        <w:t>pharmacokinetics</w:t>
      </w:r>
      <w:r w:rsidRPr="00756C1C">
        <w:t>.</w:t>
      </w:r>
    </w:p>
    <w:p w14:paraId="51A63F77" w14:textId="3F7C77FE" w:rsidR="006F211B" w:rsidRDefault="004A74E2" w:rsidP="00756C1C">
      <w:pPr>
        <w:pStyle w:val="TableDescription"/>
      </w:pPr>
      <w:r>
        <w:t xml:space="preserve">Further information from Submission PM-2019-04281-1-2 can be found in the </w:t>
      </w:r>
      <w:proofErr w:type="spellStart"/>
      <w:r w:rsidR="006F211B" w:rsidRPr="006F211B">
        <w:t>AusPAR</w:t>
      </w:r>
      <w:proofErr w:type="spellEnd"/>
      <w:r w:rsidR="006F211B" w:rsidRPr="006F211B">
        <w:t xml:space="preserve"> for </w:t>
      </w:r>
      <w:proofErr w:type="spellStart"/>
      <w:r w:rsidR="006F211B" w:rsidRPr="006F211B">
        <w:t>Vocabria</w:t>
      </w:r>
      <w:proofErr w:type="spellEnd"/>
      <w:r w:rsidR="006F211B" w:rsidRPr="006F211B">
        <w:t xml:space="preserve"> and Cabenuva</w:t>
      </w:r>
      <w:r w:rsidR="006F211B">
        <w:t>.</w:t>
      </w:r>
      <w:r w:rsidR="006F211B" w:rsidRPr="006F211B">
        <w:rPr>
          <w:vertAlign w:val="superscript"/>
        </w:rPr>
        <w:fldChar w:fldCharType="begin"/>
      </w:r>
      <w:r w:rsidR="006F211B" w:rsidRPr="006F211B">
        <w:rPr>
          <w:vertAlign w:val="superscript"/>
        </w:rPr>
        <w:instrText xml:space="preserve"> NOTEREF _Ref119672096 \h </w:instrText>
      </w:r>
      <w:r w:rsidR="006F211B">
        <w:rPr>
          <w:vertAlign w:val="superscript"/>
        </w:rPr>
        <w:instrText xml:space="preserve"> \* MERGEFORMAT </w:instrText>
      </w:r>
      <w:r w:rsidR="006F211B" w:rsidRPr="006F211B">
        <w:rPr>
          <w:vertAlign w:val="superscript"/>
        </w:rPr>
      </w:r>
      <w:r w:rsidR="006F211B" w:rsidRPr="006F211B">
        <w:rPr>
          <w:vertAlign w:val="superscript"/>
        </w:rPr>
        <w:fldChar w:fldCharType="separate"/>
      </w:r>
      <w:r w:rsidR="001702C9">
        <w:rPr>
          <w:vertAlign w:val="superscript"/>
        </w:rPr>
        <w:t>9</w:t>
      </w:r>
      <w:r w:rsidR="006F211B" w:rsidRPr="006F211B">
        <w:rPr>
          <w:vertAlign w:val="superscript"/>
        </w:rPr>
        <w:fldChar w:fldCharType="end"/>
      </w:r>
    </w:p>
    <w:p w14:paraId="2EF26FF2" w14:textId="25E0B65F" w:rsidR="003768A7" w:rsidRPr="00527BFD" w:rsidRDefault="003768A7" w:rsidP="00EC5B93">
      <w:pPr>
        <w:pStyle w:val="Heading6"/>
      </w:pPr>
      <w:r w:rsidRPr="00527BFD">
        <w:t>Study 206898</w:t>
      </w:r>
    </w:p>
    <w:p w14:paraId="25BD5D33" w14:textId="26072AC7" w:rsidR="003768A7" w:rsidRPr="00527BFD" w:rsidRDefault="00A90EA7" w:rsidP="00A90EA7">
      <w:r w:rsidRPr="00527BFD">
        <w:t xml:space="preserve">Study 206898 is a </w:t>
      </w:r>
      <w:r w:rsidR="003768A7" w:rsidRPr="00527BFD">
        <w:t xml:space="preserve">Phase </w:t>
      </w:r>
      <w:r w:rsidR="00E83512" w:rsidRPr="00527BFD">
        <w:t>I</w:t>
      </w:r>
      <w:r w:rsidR="003768A7" w:rsidRPr="00527BFD">
        <w:t xml:space="preserve"> open</w:t>
      </w:r>
      <w:r w:rsidRPr="00527BFD">
        <w:t xml:space="preserve"> </w:t>
      </w:r>
      <w:r w:rsidR="003768A7" w:rsidRPr="00527BFD">
        <w:t xml:space="preserve">label multisite study investigated the </w:t>
      </w:r>
      <w:r w:rsidR="00C56168" w:rsidRPr="00527BFD">
        <w:t>pharmacokinetics (</w:t>
      </w:r>
      <w:r w:rsidR="003768A7" w:rsidRPr="00527BFD">
        <w:t>PK</w:t>
      </w:r>
      <w:r w:rsidR="00C56168" w:rsidRPr="00527BFD">
        <w:t>)</w:t>
      </w:r>
      <w:r w:rsidR="003768A7" w:rsidRPr="00527BFD">
        <w:t>, safety, tolerability, and acceptability of cabotegravir long</w:t>
      </w:r>
      <w:r w:rsidR="00AE677C" w:rsidRPr="00527BFD">
        <w:t>-</w:t>
      </w:r>
      <w:r w:rsidR="003768A7" w:rsidRPr="00527BFD">
        <w:t xml:space="preserve">acting </w:t>
      </w:r>
      <w:r w:rsidR="00BB7D88">
        <w:t>(LA)</w:t>
      </w:r>
      <w:r w:rsidR="003768A7" w:rsidRPr="00527BFD">
        <w:t xml:space="preserve"> in 48 adult (aged 18</w:t>
      </w:r>
      <w:r w:rsidRPr="00527BFD">
        <w:t xml:space="preserve"> to </w:t>
      </w:r>
      <w:r w:rsidR="003768A7" w:rsidRPr="00527BFD">
        <w:t>65</w:t>
      </w:r>
      <w:r w:rsidRPr="00527BFD">
        <w:t xml:space="preserve"> years</w:t>
      </w:r>
      <w:r w:rsidR="003768A7" w:rsidRPr="00527BFD">
        <w:t xml:space="preserve">) HIV uninfected Chinese male subjects at low risk for HIV infection. Subjects received oral </w:t>
      </w:r>
      <w:r w:rsidR="00FD52A9" w:rsidRPr="00527BFD">
        <w:t>cabotegravir</w:t>
      </w:r>
      <w:r w:rsidR="003768A7" w:rsidRPr="00527BFD">
        <w:t xml:space="preserve"> (30 mg tablets) once daily for 4 weeks followed by followed by the </w:t>
      </w:r>
      <w:r w:rsidRPr="00527BFD">
        <w:t xml:space="preserve">injection phase </w:t>
      </w:r>
      <w:r w:rsidR="003768A7" w:rsidRPr="00527BFD">
        <w:t xml:space="preserve">(Weeks 5 to 41) in which 600 mg of injectable </w:t>
      </w:r>
      <w:r w:rsidR="00FD52A9" w:rsidRPr="00527BFD">
        <w:t>cabotegravir</w:t>
      </w:r>
      <w:r w:rsidR="003768A7" w:rsidRPr="00527BFD">
        <w:t xml:space="preserve"> LA was administered every 4 weeks for 2 doses followed by every 8</w:t>
      </w:r>
      <w:r w:rsidRPr="00527BFD">
        <w:t> </w:t>
      </w:r>
      <w:r w:rsidR="003768A7" w:rsidRPr="00527BFD">
        <w:t>weeks for 3 doses. Starting at 8 weeks post final injection, subjects were followed for 48 weeks.</w:t>
      </w:r>
    </w:p>
    <w:p w14:paraId="6CAD2F89" w14:textId="041B96F1" w:rsidR="003768A7" w:rsidRPr="00527BFD" w:rsidRDefault="00A90EA7" w:rsidP="00A90EA7">
      <w:r w:rsidRPr="00527BFD">
        <w:t>C</w:t>
      </w:r>
      <w:r w:rsidR="00FD52A9" w:rsidRPr="00527BFD">
        <w:t>abotegravir</w:t>
      </w:r>
      <w:r w:rsidR="003768A7" w:rsidRPr="00527BFD">
        <w:t xml:space="preserve"> LA PK was consistent in adult Chinese male participants, and in prior studies using the same dosing schedule.</w:t>
      </w:r>
    </w:p>
    <w:p w14:paraId="313C7273" w14:textId="73223724" w:rsidR="003768A7" w:rsidRPr="00527BFD" w:rsidRDefault="003768A7" w:rsidP="00EC5B93">
      <w:pPr>
        <w:pStyle w:val="Heading6"/>
      </w:pPr>
      <w:r w:rsidRPr="00527BFD">
        <w:t>Study 201767</w:t>
      </w:r>
    </w:p>
    <w:p w14:paraId="4076DD1A" w14:textId="14729BBE" w:rsidR="003768A7" w:rsidRPr="00527BFD" w:rsidRDefault="00A90EA7" w:rsidP="00EC5B93">
      <w:r w:rsidRPr="00527BFD">
        <w:t xml:space="preserve">Study 201767 is a </w:t>
      </w:r>
      <w:r w:rsidR="003768A7" w:rsidRPr="00527BFD">
        <w:t xml:space="preserve">Phase </w:t>
      </w:r>
      <w:r w:rsidR="00E83512" w:rsidRPr="00527BFD">
        <w:t>I</w:t>
      </w:r>
      <w:r w:rsidR="003768A7" w:rsidRPr="00527BFD">
        <w:t>, open</w:t>
      </w:r>
      <w:r w:rsidRPr="00527BFD">
        <w:t xml:space="preserve"> </w:t>
      </w:r>
      <w:r w:rsidR="003768A7" w:rsidRPr="00527BFD">
        <w:t>label study in 15 (8</w:t>
      </w:r>
      <w:r w:rsidRPr="00527BFD">
        <w:t xml:space="preserve"> males</w:t>
      </w:r>
      <w:r w:rsidR="003768A7" w:rsidRPr="00527BFD">
        <w:t>, 7</w:t>
      </w:r>
      <w:r w:rsidRPr="00527BFD">
        <w:t xml:space="preserve"> female</w:t>
      </w:r>
      <w:r w:rsidR="00B83042" w:rsidRPr="00527BFD">
        <w:t>s</w:t>
      </w:r>
      <w:r w:rsidR="003768A7" w:rsidRPr="00527BFD">
        <w:t xml:space="preserve">) healthy adult subjects assessed the PK of </w:t>
      </w:r>
      <w:r w:rsidR="00FD52A9" w:rsidRPr="00527BFD">
        <w:t>cabotegravir</w:t>
      </w:r>
      <w:r w:rsidR="003768A7" w:rsidRPr="00527BFD">
        <w:t xml:space="preserve"> following daily dose tablets (30</w:t>
      </w:r>
      <w:r w:rsidR="00E83512" w:rsidRPr="00527BFD">
        <w:t xml:space="preserve"> </w:t>
      </w:r>
      <w:r w:rsidR="003768A7" w:rsidRPr="00527BFD">
        <w:t xml:space="preserve">mg) and a single </w:t>
      </w:r>
      <w:r w:rsidR="00E908B2" w:rsidRPr="00527BFD">
        <w:t>intramuscular</w:t>
      </w:r>
      <w:r w:rsidR="003768A7" w:rsidRPr="00527BFD">
        <w:t xml:space="preserve"> dose of </w:t>
      </w:r>
      <w:r w:rsidR="00FD52A9" w:rsidRPr="00527BFD">
        <w:t>cabotegravir</w:t>
      </w:r>
      <w:r w:rsidR="003768A7" w:rsidRPr="00527BFD">
        <w:t xml:space="preserve"> LA administration (600</w:t>
      </w:r>
      <w:r w:rsidR="00E83512" w:rsidRPr="00527BFD">
        <w:t xml:space="preserve"> </w:t>
      </w:r>
      <w:r w:rsidR="003768A7" w:rsidRPr="00527BFD">
        <w:t>mg) in blood plasma, anatomical tissues, and secretions associated with sexual HIV-1 transmission being vaginal tissue</w:t>
      </w:r>
      <w:r w:rsidR="00B83042" w:rsidRPr="00527BFD">
        <w:rPr>
          <w:rStyle w:val="CommentReference"/>
        </w:rPr>
        <w:t>,</w:t>
      </w:r>
      <w:r w:rsidR="003768A7" w:rsidRPr="00527BFD">
        <w:t xml:space="preserve"> cervical tissue, cervicovaginal fluid, rectal tissue, and rectal fluid. The study involved a 28-day oral lead-in phase at a </w:t>
      </w:r>
      <w:r w:rsidR="00FD52A9" w:rsidRPr="00527BFD">
        <w:t>cabotegravir</w:t>
      </w:r>
      <w:r w:rsidR="003768A7" w:rsidRPr="00527BFD">
        <w:t xml:space="preserve"> dose of 30 mg once</w:t>
      </w:r>
      <w:r w:rsidR="00B83042" w:rsidRPr="00527BFD">
        <w:t xml:space="preserve"> </w:t>
      </w:r>
      <w:r w:rsidR="003768A7" w:rsidRPr="00527BFD">
        <w:t>per</w:t>
      </w:r>
      <w:r w:rsidR="00B83042" w:rsidRPr="00527BFD">
        <w:t xml:space="preserve"> </w:t>
      </w:r>
      <w:r w:rsidR="003768A7" w:rsidRPr="00527BFD">
        <w:t>day followed by a 14</w:t>
      </w:r>
      <w:r w:rsidR="009F1F1B">
        <w:t xml:space="preserve"> to </w:t>
      </w:r>
      <w:r w:rsidR="003768A7" w:rsidRPr="00527BFD">
        <w:t>42</w:t>
      </w:r>
      <w:r w:rsidR="009F1F1B">
        <w:t xml:space="preserve"> </w:t>
      </w:r>
      <w:r w:rsidR="003768A7" w:rsidRPr="00527BFD">
        <w:t>day</w:t>
      </w:r>
      <w:r w:rsidR="009F1F1B">
        <w:t>s</w:t>
      </w:r>
      <w:r w:rsidR="003768A7" w:rsidRPr="00527BFD">
        <w:t xml:space="preserve"> washout period, and a single </w:t>
      </w:r>
      <w:r w:rsidR="00E908B2" w:rsidRPr="00527BFD">
        <w:t>intramuscular</w:t>
      </w:r>
      <w:r w:rsidR="003768A7" w:rsidRPr="00527BFD">
        <w:t xml:space="preserve"> dose of </w:t>
      </w:r>
      <w:r w:rsidR="00FD52A9" w:rsidRPr="00527BFD">
        <w:t>cabotegravir</w:t>
      </w:r>
      <w:r w:rsidR="003768A7" w:rsidRPr="00527BFD">
        <w:t xml:space="preserve"> LA 600</w:t>
      </w:r>
      <w:r w:rsidR="00B83042" w:rsidRPr="00527BFD">
        <w:t> </w:t>
      </w:r>
      <w:r w:rsidR="003768A7" w:rsidRPr="00527BFD">
        <w:t>mg with compartmental PK sampling for up to 12 weeks. Subjects returned for assessments at Week</w:t>
      </w:r>
      <w:r w:rsidR="00B83042" w:rsidRPr="00527BFD">
        <w:t>s</w:t>
      </w:r>
      <w:r w:rsidR="003768A7" w:rsidRPr="00527BFD">
        <w:t xml:space="preserve"> 24, 36 and 52.</w:t>
      </w:r>
    </w:p>
    <w:p w14:paraId="2B0CF2DB" w14:textId="2DFDC7DD" w:rsidR="003768A7" w:rsidRPr="00527BFD" w:rsidRDefault="003768A7" w:rsidP="00EC5B93">
      <w:r w:rsidRPr="00527BFD">
        <w:t xml:space="preserve">Plasma </w:t>
      </w:r>
      <w:r w:rsidR="00FD52A9" w:rsidRPr="00527BFD">
        <w:t>cabotegravir</w:t>
      </w:r>
      <w:r w:rsidRPr="00527BFD">
        <w:t xml:space="preserve"> PK was consistent with prior studies, and </w:t>
      </w:r>
      <w:r w:rsidR="00FD52A9" w:rsidRPr="00527BFD">
        <w:t>cabotegravir</w:t>
      </w:r>
      <w:r w:rsidRPr="00527BFD">
        <w:t xml:space="preserve"> concentrations in tissue and fluid were proportional to plasma over time. </w:t>
      </w:r>
      <w:r w:rsidR="00FD52A9" w:rsidRPr="00527BFD">
        <w:t>cabotegravir</w:t>
      </w:r>
      <w:r w:rsidRPr="00527BFD">
        <w:t xml:space="preserve"> distribution into various tissues and fluids appeared to be similar between oral and </w:t>
      </w:r>
      <w:r w:rsidR="00E908B2" w:rsidRPr="00527BFD">
        <w:t>intramuscular</w:t>
      </w:r>
      <w:r w:rsidRPr="00527BFD">
        <w:t xml:space="preserve"> dose. Median </w:t>
      </w:r>
      <w:r w:rsidR="00FD52A9" w:rsidRPr="00527BFD">
        <w:t>cabotegravir</w:t>
      </w:r>
      <w:r w:rsidRPr="00527BFD">
        <w:t xml:space="preserve"> plasma concentrations following a single </w:t>
      </w:r>
      <w:r w:rsidR="00E908B2" w:rsidRPr="00527BFD">
        <w:t>intramuscular</w:t>
      </w:r>
      <w:r w:rsidRPr="00527BFD">
        <w:t xml:space="preserve"> dose of 600 mg were above </w:t>
      </w:r>
      <w:r w:rsidR="00AE677C" w:rsidRPr="00527BFD">
        <w:t>4 times</w:t>
      </w:r>
      <w:r w:rsidRPr="00527BFD">
        <w:t xml:space="preserve"> </w:t>
      </w:r>
      <w:r w:rsidR="00AE677C" w:rsidRPr="00527BFD">
        <w:t>Protein adjusted 90% maximal inhibitory concentration (</w:t>
      </w:r>
      <w:r w:rsidRPr="00527BFD">
        <w:t>IC</w:t>
      </w:r>
      <w:r w:rsidRPr="00527BFD">
        <w:rPr>
          <w:vertAlign w:val="subscript"/>
        </w:rPr>
        <w:t>90</w:t>
      </w:r>
      <w:r w:rsidR="00AE677C" w:rsidRPr="00527BFD">
        <w:t>)</w:t>
      </w:r>
      <w:r w:rsidRPr="00527BFD">
        <w:t xml:space="preserve"> (0.664 µg/mL) at Week 8 and above </w:t>
      </w:r>
      <w:r w:rsidR="00AE677C" w:rsidRPr="00527BFD">
        <w:t xml:space="preserve">one time protein adjusted </w:t>
      </w:r>
      <w:r w:rsidRPr="00527BFD">
        <w:t>IC</w:t>
      </w:r>
      <w:r w:rsidRPr="00527BFD">
        <w:rPr>
          <w:vertAlign w:val="subscript"/>
        </w:rPr>
        <w:t>90</w:t>
      </w:r>
      <w:r w:rsidRPr="00527BFD">
        <w:t xml:space="preserve"> (0.166 µg/mL) at Week 12. Correlations with plasma correlations were stronger for mucosal tissue (</w:t>
      </w:r>
      <w:r w:rsidR="00B83042" w:rsidRPr="00527BFD">
        <w:t>rectal</w:t>
      </w:r>
      <w:r w:rsidRPr="00527BFD">
        <w:t xml:space="preserve">, </w:t>
      </w:r>
      <w:proofErr w:type="gramStart"/>
      <w:r w:rsidR="00B83042" w:rsidRPr="00527BFD">
        <w:t>cervical</w:t>
      </w:r>
      <w:proofErr w:type="gramEnd"/>
      <w:r w:rsidR="00B83042" w:rsidRPr="00527BFD">
        <w:t xml:space="preserve"> and</w:t>
      </w:r>
      <w:r w:rsidRPr="00527BFD">
        <w:t xml:space="preserve"> </w:t>
      </w:r>
      <w:r w:rsidR="00B83042" w:rsidRPr="00527BFD">
        <w:t>vaginal tissue</w:t>
      </w:r>
      <w:r w:rsidRPr="00527BFD">
        <w:t>) than for luminal fluids (</w:t>
      </w:r>
      <w:r w:rsidR="00B83042" w:rsidRPr="00527BFD">
        <w:t>cervicovaginal and</w:t>
      </w:r>
      <w:r w:rsidRPr="00527BFD">
        <w:t xml:space="preserve"> </w:t>
      </w:r>
      <w:r w:rsidR="00B83042" w:rsidRPr="00527BFD">
        <w:t>rectal fluid</w:t>
      </w:r>
      <w:r w:rsidRPr="00527BFD">
        <w:t xml:space="preserve">). Tissue concentrations were </w:t>
      </w:r>
      <w:r w:rsidR="00B83042" w:rsidRPr="00527BFD">
        <w:t>one sixth</w:t>
      </w:r>
      <w:r w:rsidRPr="00527BFD">
        <w:t xml:space="preserve"> (</w:t>
      </w:r>
      <w:r w:rsidR="00B83042" w:rsidRPr="00527BFD">
        <w:t>cervical and</w:t>
      </w:r>
      <w:r w:rsidRPr="00527BFD">
        <w:t xml:space="preserve"> </w:t>
      </w:r>
      <w:r w:rsidR="00B83042" w:rsidRPr="00527BFD">
        <w:t>vaginal tissue</w:t>
      </w:r>
      <w:r w:rsidRPr="00527BFD">
        <w:t xml:space="preserve">) to </w:t>
      </w:r>
      <w:r w:rsidR="00B83042" w:rsidRPr="00527BFD">
        <w:t>one tenth</w:t>
      </w:r>
      <w:r w:rsidRPr="00527BFD">
        <w:t xml:space="preserve"> (</w:t>
      </w:r>
      <w:r w:rsidR="00B83042" w:rsidRPr="00527BFD">
        <w:t>rectal tissue</w:t>
      </w:r>
      <w:r w:rsidRPr="00527BFD">
        <w:t xml:space="preserve">) of plasma concentrations. There were differences in </w:t>
      </w:r>
      <w:r w:rsidR="00FD52A9" w:rsidRPr="00527BFD">
        <w:t>cabotegravir</w:t>
      </w:r>
      <w:r w:rsidRPr="00527BFD">
        <w:t xml:space="preserve"> exposures observed between male and females</w:t>
      </w:r>
      <w:r w:rsidR="003A2474">
        <w:t>,</w:t>
      </w:r>
      <w:r w:rsidRPr="00527BFD">
        <w:t xml:space="preserve"> lower </w:t>
      </w:r>
      <w:r w:rsidR="00AE677C" w:rsidRPr="00527BFD">
        <w:t xml:space="preserve">maximum plasma concentration </w:t>
      </w:r>
      <w:r w:rsidRPr="00527BFD">
        <w:t xml:space="preserve">in females, and a longer </w:t>
      </w:r>
      <w:r w:rsidR="00CB3DE3" w:rsidRPr="00527BFD">
        <w:t xml:space="preserve">half-life </w:t>
      </w:r>
      <w:r w:rsidRPr="00527BFD">
        <w:t>in females than males.</w:t>
      </w:r>
    </w:p>
    <w:p w14:paraId="2AFAA676" w14:textId="3CE68850" w:rsidR="003768A7" w:rsidRPr="00527BFD" w:rsidRDefault="003768A7" w:rsidP="00EC5B93">
      <w:pPr>
        <w:pStyle w:val="Heading6"/>
      </w:pPr>
      <w:r w:rsidRPr="00527BFD">
        <w:lastRenderedPageBreak/>
        <w:t>Study 201103</w:t>
      </w:r>
      <w:r w:rsidR="00714561">
        <w:t xml:space="preserve"> (</w:t>
      </w:r>
      <w:r w:rsidR="00714561" w:rsidRPr="00714561">
        <w:t>HPTN 077 trial</w:t>
      </w:r>
      <w:r w:rsidR="00714561">
        <w:t>)</w:t>
      </w:r>
    </w:p>
    <w:p w14:paraId="6CD0D308" w14:textId="17CCF29C" w:rsidR="003768A7" w:rsidRPr="00527BFD" w:rsidRDefault="00B83042" w:rsidP="00EC5B93">
      <w:r w:rsidRPr="00527BFD">
        <w:t>Study 201103 (</w:t>
      </w:r>
      <w:r w:rsidR="00CC53B1" w:rsidRPr="00527BFD">
        <w:t>the HPTN 077 trial</w:t>
      </w:r>
      <w:r w:rsidRPr="00527BFD">
        <w:t xml:space="preserve">) is a </w:t>
      </w:r>
      <w:r w:rsidR="003768A7" w:rsidRPr="00527BFD">
        <w:t xml:space="preserve">Phase </w:t>
      </w:r>
      <w:proofErr w:type="spellStart"/>
      <w:r w:rsidR="003768A7" w:rsidRPr="00527BFD">
        <w:t>II</w:t>
      </w:r>
      <w:r w:rsidR="00E83512" w:rsidRPr="00527BFD">
        <w:t>a</w:t>
      </w:r>
      <w:proofErr w:type="spellEnd"/>
      <w:r w:rsidR="003768A7" w:rsidRPr="00527BFD">
        <w:t xml:space="preserve">, multisite, double blind randomised placebo-controlled trial investigated the PK, safety, </w:t>
      </w:r>
      <w:proofErr w:type="gramStart"/>
      <w:r w:rsidR="003768A7" w:rsidRPr="00527BFD">
        <w:t>tolerability</w:t>
      </w:r>
      <w:proofErr w:type="gramEnd"/>
      <w:r w:rsidR="003768A7" w:rsidRPr="00527BFD">
        <w:t xml:space="preserve"> and acceptability of </w:t>
      </w:r>
      <w:r w:rsidR="00FD52A9" w:rsidRPr="00527BFD">
        <w:t>cabotegravir</w:t>
      </w:r>
      <w:r w:rsidR="003768A7" w:rsidRPr="00527BFD">
        <w:t xml:space="preserve"> LA HIV-uninfected men and women. Adult male and female participants were divided into 2</w:t>
      </w:r>
      <w:r w:rsidRPr="00527BFD">
        <w:t>-</w:t>
      </w:r>
      <w:r w:rsidR="003768A7" w:rsidRPr="00527BFD">
        <w:t>dose cohorts and within cohorts were randomised to active treatment or placebo in a ratio of 3:1. All subjects in the intervention groups (n</w:t>
      </w:r>
      <w:r w:rsidR="00754F3F" w:rsidRPr="00527BFD">
        <w:t xml:space="preserve"> </w:t>
      </w:r>
      <w:r w:rsidR="003768A7" w:rsidRPr="00527BFD">
        <w:t>=</w:t>
      </w:r>
      <w:r w:rsidR="00754F3F" w:rsidRPr="00527BFD">
        <w:t xml:space="preserve"> </w:t>
      </w:r>
      <w:r w:rsidR="003768A7" w:rsidRPr="00527BFD">
        <w:t xml:space="preserve">82 in </w:t>
      </w:r>
      <w:r w:rsidRPr="00527BFD">
        <w:t xml:space="preserve">Cohort </w:t>
      </w:r>
      <w:r w:rsidR="003768A7" w:rsidRPr="00527BFD">
        <w:t xml:space="preserve">1, 69 in </w:t>
      </w:r>
      <w:r w:rsidRPr="00527BFD">
        <w:t>Cohort </w:t>
      </w:r>
      <w:r w:rsidR="003768A7" w:rsidRPr="00527BFD">
        <w:t xml:space="preserve">2) received daily oral </w:t>
      </w:r>
      <w:r w:rsidR="00FD52A9" w:rsidRPr="00527BFD">
        <w:t>cabotegravir</w:t>
      </w:r>
      <w:r w:rsidR="003768A7" w:rsidRPr="00527BFD">
        <w:t xml:space="preserve"> (30 mg tablets) for 4 weeks followed by a </w:t>
      </w:r>
      <w:r w:rsidR="00E83512" w:rsidRPr="00527BFD">
        <w:t>one</w:t>
      </w:r>
      <w:r w:rsidR="00F267D8">
        <w:noBreakHyphen/>
      </w:r>
      <w:r w:rsidR="003768A7" w:rsidRPr="00527BFD">
        <w:t xml:space="preserve">week washout period. They then received </w:t>
      </w:r>
      <w:proofErr w:type="spellStart"/>
      <w:r w:rsidR="003768A7" w:rsidRPr="00527BFD">
        <w:t>PrEP</w:t>
      </w:r>
      <w:proofErr w:type="spellEnd"/>
      <w:r w:rsidR="003768A7" w:rsidRPr="00527BFD">
        <w:t xml:space="preserve"> doses of 800</w:t>
      </w:r>
      <w:r w:rsidRPr="00527BFD">
        <w:t> </w:t>
      </w:r>
      <w:r w:rsidR="003768A7" w:rsidRPr="00527BFD">
        <w:t>mg (Cohort 1) or 600</w:t>
      </w:r>
      <w:r w:rsidR="00F267D8">
        <w:t> </w:t>
      </w:r>
      <w:r w:rsidR="003768A7" w:rsidRPr="00527BFD">
        <w:t>mg (Cohort 2) by intra-muscular injections (Cohort 1) at Week</w:t>
      </w:r>
      <w:r w:rsidRPr="00527BFD">
        <w:t>s </w:t>
      </w:r>
      <w:r w:rsidR="003768A7" w:rsidRPr="00527BFD">
        <w:t>5, 17, and 29. There were 28</w:t>
      </w:r>
      <w:r w:rsidR="00F267D8">
        <w:t> </w:t>
      </w:r>
      <w:r w:rsidR="003768A7" w:rsidRPr="00527BFD">
        <w:t xml:space="preserve">and 21 placebo participants in </w:t>
      </w:r>
      <w:r w:rsidRPr="00527BFD">
        <w:t xml:space="preserve">Cohorts </w:t>
      </w:r>
      <w:r w:rsidR="003768A7" w:rsidRPr="00527BFD">
        <w:t xml:space="preserve">1 and 2 respectively that received daily oral placebo and </w:t>
      </w:r>
      <w:r w:rsidR="00E908B2" w:rsidRPr="00527BFD">
        <w:t>intramuscular</w:t>
      </w:r>
      <w:r w:rsidR="003768A7" w:rsidRPr="00527BFD">
        <w:t xml:space="preserve"> injections of placebo (sodium chloride for injection </w:t>
      </w:r>
      <w:r w:rsidR="005C62ED" w:rsidRPr="00527BFD">
        <w:t>United States pharmacopeia</w:t>
      </w:r>
      <w:r w:rsidR="003768A7" w:rsidRPr="00527BFD">
        <w:t>, 0.9%) on the same schedule as the intervention groups.</w:t>
      </w:r>
    </w:p>
    <w:p w14:paraId="223CD5C4" w14:textId="1564AE89" w:rsidR="003768A7" w:rsidRPr="00527BFD" w:rsidRDefault="00B83042" w:rsidP="00EC5B93">
      <w:r w:rsidRPr="00527BFD">
        <w:t>C</w:t>
      </w:r>
      <w:r w:rsidR="00FD52A9" w:rsidRPr="00527BFD">
        <w:t>abotegravir</w:t>
      </w:r>
      <w:r w:rsidR="003768A7" w:rsidRPr="00527BFD">
        <w:t xml:space="preserve"> 800 mg </w:t>
      </w:r>
      <w:r w:rsidR="00A90EA7" w:rsidRPr="00527BFD">
        <w:t>every 12 weeks</w:t>
      </w:r>
      <w:r w:rsidR="003768A7" w:rsidRPr="00527BFD">
        <w:t xml:space="preserve"> (Cohort 1) did not achieve target </w:t>
      </w:r>
      <w:r w:rsidR="00FD52A9" w:rsidRPr="00527BFD">
        <w:t>cabotegravir</w:t>
      </w:r>
      <w:r w:rsidR="003768A7" w:rsidRPr="00527BFD">
        <w:t xml:space="preserve"> concentrations in male participants, </w:t>
      </w:r>
      <w:r w:rsidR="00FD52A9" w:rsidRPr="00527BFD">
        <w:t>cabotegravir</w:t>
      </w:r>
      <w:r w:rsidR="003768A7" w:rsidRPr="00527BFD">
        <w:t xml:space="preserve"> 600 mg </w:t>
      </w:r>
      <w:r w:rsidR="00A90EA7" w:rsidRPr="00527BFD">
        <w:t>every 8 weeks</w:t>
      </w:r>
      <w:r w:rsidR="003768A7" w:rsidRPr="00527BFD">
        <w:t xml:space="preserve"> (Cohort</w:t>
      </w:r>
      <w:r w:rsidRPr="00527BFD">
        <w:t> </w:t>
      </w:r>
      <w:r w:rsidR="003768A7" w:rsidRPr="00527BFD">
        <w:t xml:space="preserve">2) achieved target </w:t>
      </w:r>
      <w:r w:rsidR="00FD52A9" w:rsidRPr="00527BFD">
        <w:t>cabotegravir</w:t>
      </w:r>
      <w:r w:rsidR="003768A7" w:rsidRPr="00527BFD">
        <w:t xml:space="preserve"> concentrations in both male and female participants. There was no impact of injectable hormonal contraceptives on </w:t>
      </w:r>
      <w:r w:rsidR="00FD52A9" w:rsidRPr="00527BFD">
        <w:t>cabotegravir</w:t>
      </w:r>
      <w:r w:rsidR="003768A7" w:rsidRPr="00527BFD">
        <w:t xml:space="preserve"> </w:t>
      </w:r>
      <w:proofErr w:type="spellStart"/>
      <w:r w:rsidR="003768A7" w:rsidRPr="00527BFD">
        <w:t>PrEP</w:t>
      </w:r>
      <w:proofErr w:type="spellEnd"/>
      <w:r w:rsidR="003768A7" w:rsidRPr="00527BFD">
        <w:t xml:space="preserve"> PK. Apparent half-life was approximately 6.5 to 7 weeks in males, and 8</w:t>
      </w:r>
      <w:r w:rsidRPr="00527BFD">
        <w:t xml:space="preserve"> to </w:t>
      </w:r>
      <w:r w:rsidR="003768A7" w:rsidRPr="00527BFD">
        <w:t xml:space="preserve">9 weeks in females. </w:t>
      </w:r>
      <w:r w:rsidR="00FD52A9" w:rsidRPr="00527BFD">
        <w:t>cabotegravir</w:t>
      </w:r>
      <w:r w:rsidR="003768A7" w:rsidRPr="00527BFD">
        <w:t xml:space="preserve"> was quantifiable in 11 to 17% of male participants and 37 to 42% of female participants 1.5 years following final injections.</w:t>
      </w:r>
    </w:p>
    <w:p w14:paraId="6F955B11" w14:textId="1ADDE04D" w:rsidR="003768A7" w:rsidRPr="00527BFD" w:rsidRDefault="003768A7" w:rsidP="00EC5B93">
      <w:pPr>
        <w:pStyle w:val="Heading6"/>
        <w:rPr>
          <w:rFonts w:eastAsiaTheme="minorHAnsi" w:cs="TimesNewRomanPS-BoldMT"/>
        </w:rPr>
      </w:pPr>
      <w:r w:rsidRPr="00527BFD">
        <w:t>Study 208580</w:t>
      </w:r>
      <w:r w:rsidR="00A15ADC">
        <w:t xml:space="preserve"> (</w:t>
      </w:r>
      <w:r w:rsidR="00A15ADC" w:rsidRPr="00A15ADC">
        <w:t>MOCHA trial</w:t>
      </w:r>
      <w:r w:rsidR="00A15ADC">
        <w:t>)</w:t>
      </w:r>
    </w:p>
    <w:p w14:paraId="4FD39C47" w14:textId="2633AA83" w:rsidR="003768A7" w:rsidRPr="00527BFD" w:rsidRDefault="00B83042" w:rsidP="00EC5B93">
      <w:r w:rsidRPr="00527BFD">
        <w:t xml:space="preserve">Study 208580 (the MOCHA trial) is </w:t>
      </w:r>
      <w:r w:rsidR="003768A7" w:rsidRPr="00527BFD">
        <w:t>an ongoing Phase I/II multicentre, open</w:t>
      </w:r>
      <w:r w:rsidRPr="00527BFD">
        <w:t xml:space="preserve"> </w:t>
      </w:r>
      <w:r w:rsidR="003768A7" w:rsidRPr="00527BFD">
        <w:t>label, non</w:t>
      </w:r>
      <w:r w:rsidRPr="00527BFD">
        <w:noBreakHyphen/>
      </w:r>
      <w:r w:rsidR="003768A7" w:rsidRPr="00527BFD">
        <w:t xml:space="preserve">comparative study to evaluate the safety, acceptability, tolerability, and </w:t>
      </w:r>
      <w:r w:rsidR="00C56168" w:rsidRPr="00527BFD">
        <w:t>PK</w:t>
      </w:r>
      <w:r w:rsidR="003768A7" w:rsidRPr="00527BFD">
        <w:t xml:space="preserve"> of oral and long-acting injectable cabotegravir (Cohort 1C) and long</w:t>
      </w:r>
      <w:r w:rsidR="005C62ED" w:rsidRPr="00527BFD">
        <w:noBreakHyphen/>
      </w:r>
      <w:r w:rsidR="003768A7" w:rsidRPr="00527BFD">
        <w:t xml:space="preserve">acting injectable </w:t>
      </w:r>
      <w:proofErr w:type="spellStart"/>
      <w:r w:rsidR="003768A7" w:rsidRPr="00527BFD">
        <w:t>rilpivirine</w:t>
      </w:r>
      <w:proofErr w:type="spellEnd"/>
      <w:r w:rsidR="003768A7" w:rsidRPr="00527BFD">
        <w:t xml:space="preserve"> (Cohort 1R) or both (Cohort 2) in virologically suppressed HIV-infected children and adolescents, at least 12 years of age and weighing at least 35 kg. who were receiving stable </w:t>
      </w:r>
      <w:r w:rsidR="005C62ED" w:rsidRPr="00527BFD">
        <w:t>antiretroviral therapy</w:t>
      </w:r>
      <w:r w:rsidR="003768A7" w:rsidRPr="00527BFD">
        <w:t xml:space="preserve"> consisting of 2 or more drugs from 2 or more </w:t>
      </w:r>
      <w:proofErr w:type="gramStart"/>
      <w:r w:rsidR="003768A7" w:rsidRPr="00527BFD">
        <w:t>classes.</w:t>
      </w:r>
      <w:proofErr w:type="gramEnd"/>
      <w:r w:rsidR="003768A7" w:rsidRPr="00527BFD">
        <w:t xml:space="preserve"> This is being conducted in 19 centres in the </w:t>
      </w:r>
      <w:r w:rsidR="000D7AA5" w:rsidRPr="00527BFD">
        <w:t>United States of America (</w:t>
      </w:r>
      <w:r w:rsidR="003768A7" w:rsidRPr="00527BFD">
        <w:t>US</w:t>
      </w:r>
      <w:r w:rsidR="000D7AA5" w:rsidRPr="00527BFD">
        <w:t>A)</w:t>
      </w:r>
      <w:r w:rsidR="003768A7" w:rsidRPr="00527BFD">
        <w:t xml:space="preserve">. A Week 16 </w:t>
      </w:r>
      <w:r w:rsidR="005C62ED" w:rsidRPr="00527BFD">
        <w:t xml:space="preserve">interim report provides </w:t>
      </w:r>
      <w:r w:rsidR="003768A7" w:rsidRPr="00527BFD">
        <w:t>information regarding 8 patients (6</w:t>
      </w:r>
      <w:r w:rsidR="00A90EA7" w:rsidRPr="00527BFD">
        <w:t xml:space="preserve"> males</w:t>
      </w:r>
      <w:r w:rsidR="003768A7" w:rsidRPr="00527BFD">
        <w:t>) with a mean age (range) of 14.9</w:t>
      </w:r>
      <w:r w:rsidR="00F267D8">
        <w:t> </w:t>
      </w:r>
      <w:r w:rsidR="003768A7" w:rsidRPr="00527BFD">
        <w:t xml:space="preserve">years (12 to 17) who were </w:t>
      </w:r>
      <w:r w:rsidR="005C62ED" w:rsidRPr="00527BFD">
        <w:t>enrolled</w:t>
      </w:r>
      <w:r w:rsidR="003768A7" w:rsidRPr="00527BFD">
        <w:t xml:space="preserve"> in </w:t>
      </w:r>
      <w:r w:rsidR="00FD52A9" w:rsidRPr="00527BFD">
        <w:t>cabotegravir</w:t>
      </w:r>
      <w:r w:rsidR="003768A7" w:rsidRPr="00527BFD">
        <w:t xml:space="preserve"> Cohort 1C. The study is ongoing and aims to </w:t>
      </w:r>
      <w:r w:rsidR="005C62ED" w:rsidRPr="00527BFD">
        <w:t>enrol</w:t>
      </w:r>
      <w:r w:rsidR="003768A7" w:rsidRPr="00527BFD">
        <w:t xml:space="preserve"> 20 adolescents in </w:t>
      </w:r>
      <w:r w:rsidR="005C62ED" w:rsidRPr="00527BFD">
        <w:t xml:space="preserve">Cohort </w:t>
      </w:r>
      <w:r w:rsidR="003768A7" w:rsidRPr="00527BFD">
        <w:t xml:space="preserve">1C. Four of the subjects weighed 30 to </w:t>
      </w:r>
      <w:r w:rsidR="00754F3F" w:rsidRPr="00527BFD">
        <w:t xml:space="preserve">less than </w:t>
      </w:r>
      <w:r w:rsidR="003768A7" w:rsidRPr="00527BFD">
        <w:t>50</w:t>
      </w:r>
      <w:r w:rsidR="00F267D8">
        <w:t> </w:t>
      </w:r>
      <w:r w:rsidR="003768A7" w:rsidRPr="00527BFD">
        <w:t xml:space="preserve">kg. Treatment comprised 30 mg oral </w:t>
      </w:r>
      <w:r w:rsidR="00FD52A9" w:rsidRPr="00527BFD">
        <w:t>cabotegravir</w:t>
      </w:r>
      <w:r w:rsidR="003768A7" w:rsidRPr="00527BFD">
        <w:t xml:space="preserve"> for 4</w:t>
      </w:r>
      <w:r w:rsidR="005C62ED" w:rsidRPr="00527BFD">
        <w:t xml:space="preserve"> to </w:t>
      </w:r>
      <w:r w:rsidR="003768A7" w:rsidRPr="00527BFD">
        <w:t>6 weeks followed by 3</w:t>
      </w:r>
      <w:r w:rsidR="005C62ED" w:rsidRPr="00527BFD">
        <w:t> </w:t>
      </w:r>
      <w:r w:rsidR="00E908B2" w:rsidRPr="00527BFD">
        <w:t>intramuscular</w:t>
      </w:r>
      <w:r w:rsidR="003768A7" w:rsidRPr="00527BFD">
        <w:t xml:space="preserve"> injections of </w:t>
      </w:r>
      <w:r w:rsidR="00FD52A9" w:rsidRPr="00527BFD">
        <w:t>cabotegravir</w:t>
      </w:r>
      <w:r w:rsidR="003768A7" w:rsidRPr="00527BFD">
        <w:t xml:space="preserve"> LA, each separated by 4 weeks (600 mg for the first injection and 400 mg for the second and third injections). </w:t>
      </w:r>
      <w:r w:rsidR="00FD52A9" w:rsidRPr="00527BFD">
        <w:t>cabotegravir</w:t>
      </w:r>
      <w:r w:rsidR="003768A7" w:rsidRPr="00527BFD">
        <w:t xml:space="preserve"> treatments were provided in addition to their usual combined </w:t>
      </w:r>
      <w:r w:rsidR="005C62ED" w:rsidRPr="00527BFD">
        <w:t>antiretroviral therapy</w:t>
      </w:r>
      <w:r w:rsidR="003768A7" w:rsidRPr="00527BFD">
        <w:t>.</w:t>
      </w:r>
    </w:p>
    <w:p w14:paraId="3A5EFF98" w14:textId="134D4063" w:rsidR="003768A7" w:rsidRPr="00527BFD" w:rsidRDefault="003768A7" w:rsidP="00EC5B93">
      <w:r w:rsidRPr="00527BFD">
        <w:t xml:space="preserve">The observed PK profiles met the desired exposure targets based on adult data for </w:t>
      </w:r>
      <w:r w:rsidR="00FD52A9" w:rsidRPr="00527BFD">
        <w:t>cabotegravir</w:t>
      </w:r>
      <w:r w:rsidRPr="00527BFD">
        <w:t xml:space="preserve"> (oral and </w:t>
      </w:r>
      <w:r w:rsidR="00E908B2" w:rsidRPr="00527BFD">
        <w:t>intramuscular</w:t>
      </w:r>
      <w:r w:rsidRPr="00527BFD">
        <w:t xml:space="preserve"> administration</w:t>
      </w:r>
      <w:r w:rsidR="005C62ED" w:rsidRPr="00527BFD">
        <w:t>s</w:t>
      </w:r>
      <w:r w:rsidRPr="00527BFD">
        <w:t>).</w:t>
      </w:r>
    </w:p>
    <w:p w14:paraId="77109884" w14:textId="2234D7C5" w:rsidR="003768A7" w:rsidRPr="00527BFD" w:rsidRDefault="005C62ED" w:rsidP="00EC5B93">
      <w:pPr>
        <w:pStyle w:val="Heading6"/>
        <w:rPr>
          <w:rFonts w:eastAsia="ArialNarrow"/>
        </w:rPr>
      </w:pPr>
      <w:r w:rsidRPr="00527BFD">
        <w:rPr>
          <w:rFonts w:eastAsia="ArialNarrow"/>
        </w:rPr>
        <w:t>S</w:t>
      </w:r>
      <w:r w:rsidR="003768A7" w:rsidRPr="00527BFD">
        <w:rPr>
          <w:rFonts w:eastAsia="ArialNarrow"/>
        </w:rPr>
        <w:t>tudy 201584</w:t>
      </w:r>
      <w:r w:rsidR="00A15ADC">
        <w:rPr>
          <w:rFonts w:eastAsia="ArialNarrow"/>
        </w:rPr>
        <w:t xml:space="preserve"> (</w:t>
      </w:r>
      <w:r w:rsidR="00A15ADC" w:rsidRPr="00A15ADC">
        <w:rPr>
          <w:rFonts w:eastAsia="ArialNarrow"/>
        </w:rPr>
        <w:t>FLAIR trial</w:t>
      </w:r>
      <w:r w:rsidR="00A15ADC">
        <w:rPr>
          <w:rFonts w:eastAsia="ArialNarrow"/>
        </w:rPr>
        <w:t>)</w:t>
      </w:r>
    </w:p>
    <w:p w14:paraId="52B8040D" w14:textId="0D9F17B8" w:rsidR="003768A7" w:rsidRPr="00527BFD" w:rsidRDefault="005C62ED" w:rsidP="00EC5B93">
      <w:r w:rsidRPr="00527BFD">
        <w:t>Study 201584 (the FLAIR trial and extension switch phase)</w:t>
      </w:r>
      <w:r w:rsidR="003768A7" w:rsidRPr="00527BFD">
        <w:t xml:space="preserve"> is a Phase III randomised, multicentre, active controlled, parallel</w:t>
      </w:r>
      <w:r w:rsidRPr="00527BFD">
        <w:t xml:space="preserve"> </w:t>
      </w:r>
      <w:r w:rsidR="003768A7" w:rsidRPr="00527BFD">
        <w:t xml:space="preserve">group open label non-inferiority trial. It was conducted in in HIV-1, antiretroviral therapy-naïve adult subjects. It aimed to assess to the antiviral activity of switching to </w:t>
      </w:r>
      <w:r w:rsidR="00FD52A9" w:rsidRPr="00527BFD">
        <w:t>cabotegravir</w:t>
      </w:r>
      <w:r w:rsidR="003768A7" w:rsidRPr="00527BFD">
        <w:t xml:space="preserve"> LA in combination with </w:t>
      </w:r>
      <w:proofErr w:type="spellStart"/>
      <w:r w:rsidR="002B70E6" w:rsidRPr="00527BFD">
        <w:t>rilpivirine</w:t>
      </w:r>
      <w:proofErr w:type="spellEnd"/>
      <w:r w:rsidR="003768A7" w:rsidRPr="00527BFD">
        <w:t xml:space="preserve"> LA compared with remaining on a combined antiretroviral regimen being ABC/DTG/3TC (abacavir/dolutegravir/lamivudine</w:t>
      </w:r>
      <w:r w:rsidR="00841D49">
        <w:t xml:space="preserve"> combination therapy</w:t>
      </w:r>
      <w:r w:rsidR="003768A7" w:rsidRPr="00527BFD">
        <w:t xml:space="preserve">) over 48 weeks. (4 weeks </w:t>
      </w:r>
      <w:r w:rsidRPr="00527BFD">
        <w:t>oral lead-in</w:t>
      </w:r>
      <w:r w:rsidR="003768A7" w:rsidRPr="00527BFD">
        <w:t xml:space="preserve">, 44 weeks </w:t>
      </w:r>
      <w:r w:rsidR="00FD52A9" w:rsidRPr="00527BFD">
        <w:t>cabotegravir</w:t>
      </w:r>
      <w:r w:rsidR="003768A7" w:rsidRPr="00527BFD">
        <w:t>/</w:t>
      </w:r>
      <w:proofErr w:type="spellStart"/>
      <w:r w:rsidR="002B70E6" w:rsidRPr="00527BFD">
        <w:t>rilpivirine</w:t>
      </w:r>
      <w:proofErr w:type="spellEnd"/>
      <w:r w:rsidR="003768A7" w:rsidRPr="00527BFD">
        <w:t xml:space="preserve"> LA). This study was a pivotal study for the initial approval of </w:t>
      </w:r>
      <w:proofErr w:type="spellStart"/>
      <w:r w:rsidR="00FD52A9" w:rsidRPr="00527BFD">
        <w:t>Vocabria</w:t>
      </w:r>
      <w:proofErr w:type="spellEnd"/>
      <w:r w:rsidR="003768A7" w:rsidRPr="00527BFD">
        <w:t xml:space="preserve"> and </w:t>
      </w:r>
      <w:proofErr w:type="spellStart"/>
      <w:r w:rsidR="00FD52A9" w:rsidRPr="00527BFD">
        <w:t>Cabenuva</w:t>
      </w:r>
      <w:proofErr w:type="spellEnd"/>
      <w:r w:rsidR="003768A7" w:rsidRPr="00527BFD">
        <w:t xml:space="preserve"> (</w:t>
      </w:r>
      <w:r w:rsidR="00500960">
        <w:t xml:space="preserve">Submission </w:t>
      </w:r>
      <w:r w:rsidR="003768A7" w:rsidRPr="00527BFD">
        <w:t>PM-2019-04281-1-2)</w:t>
      </w:r>
      <w:r w:rsidR="00FE7214">
        <w:t>.</w:t>
      </w:r>
      <w:r w:rsidR="00FE7214">
        <w:rPr>
          <w:vertAlign w:val="superscript"/>
        </w:rPr>
        <w:fldChar w:fldCharType="begin"/>
      </w:r>
      <w:r w:rsidR="00FE7214">
        <w:rPr>
          <w:vertAlign w:val="superscript"/>
        </w:rPr>
        <w:instrText xml:space="preserve"> NOTEREF _Ref119672096 \h  \* MERGEFORMAT </w:instrText>
      </w:r>
      <w:r w:rsidR="00FE7214">
        <w:rPr>
          <w:vertAlign w:val="superscript"/>
        </w:rPr>
      </w:r>
      <w:r w:rsidR="00FE7214">
        <w:rPr>
          <w:vertAlign w:val="superscript"/>
        </w:rPr>
        <w:fldChar w:fldCharType="separate"/>
      </w:r>
      <w:r w:rsidR="001702C9">
        <w:rPr>
          <w:vertAlign w:val="superscript"/>
        </w:rPr>
        <w:t>9</w:t>
      </w:r>
      <w:r w:rsidR="00FE7214">
        <w:rPr>
          <w:vertAlign w:val="superscript"/>
        </w:rPr>
        <w:fldChar w:fldCharType="end"/>
      </w:r>
    </w:p>
    <w:p w14:paraId="6C929676" w14:textId="21E88397" w:rsidR="003768A7" w:rsidRPr="00527BFD" w:rsidRDefault="003768A7" w:rsidP="00EC5B93">
      <w:r w:rsidRPr="00527BFD">
        <w:t xml:space="preserve">The FLAIR </w:t>
      </w:r>
      <w:r w:rsidR="002B70E6" w:rsidRPr="00527BFD">
        <w:t>trial</w:t>
      </w:r>
      <w:r w:rsidRPr="00527BFD">
        <w:t xml:space="preserve"> also evaluated the long-term comparative data on antiviral activity, safety, and tolerability of these regimens through Week 96 of the </w:t>
      </w:r>
      <w:r w:rsidR="00AE677C" w:rsidRPr="00527BFD">
        <w:t xml:space="preserve">maintenance phase of the </w:t>
      </w:r>
      <w:r w:rsidRPr="00527BFD">
        <w:t xml:space="preserve">study. In the extension phase of the FLAIR </w:t>
      </w:r>
      <w:r w:rsidR="002B70E6" w:rsidRPr="00527BFD">
        <w:t>trial</w:t>
      </w:r>
      <w:r w:rsidRPr="00527BFD">
        <w:t>, the subjects who were initially randomi</w:t>
      </w:r>
      <w:r w:rsidR="00462EFD" w:rsidRPr="00527BFD">
        <w:t>s</w:t>
      </w:r>
      <w:r w:rsidRPr="00527BFD">
        <w:t xml:space="preserve">ed to the ABC/DTC/3TC arm and successfully completed Week 100 were given the option to switch to </w:t>
      </w:r>
      <w:r w:rsidR="00E908B2" w:rsidRPr="00527BFD">
        <w:t>intramuscular</w:t>
      </w:r>
      <w:r w:rsidRPr="00527BFD">
        <w:t xml:space="preserve"> </w:t>
      </w:r>
      <w:r w:rsidR="00FD52A9" w:rsidRPr="00527BFD">
        <w:t>cabotegravir</w:t>
      </w:r>
      <w:r w:rsidRPr="00527BFD">
        <w:t xml:space="preserve"> LA </w:t>
      </w:r>
      <w:r w:rsidR="00AE677C" w:rsidRPr="00527BFD">
        <w:t>plus</w:t>
      </w:r>
      <w:r w:rsidRPr="00527BFD">
        <w:t xml:space="preserve"> </w:t>
      </w:r>
      <w:proofErr w:type="spellStart"/>
      <w:r w:rsidR="002B70E6" w:rsidRPr="00527BFD">
        <w:t>rilpivirine</w:t>
      </w:r>
      <w:proofErr w:type="spellEnd"/>
      <w:r w:rsidRPr="00527BFD">
        <w:t xml:space="preserve"> LA (</w:t>
      </w:r>
      <w:bookmarkStart w:id="74" w:name="_Hlk116224952"/>
      <w:r w:rsidR="009F1F1B" w:rsidRPr="009F1F1B">
        <w:t>direct to injection</w:t>
      </w:r>
      <w:r w:rsidRPr="00527BFD">
        <w:t xml:space="preserve"> </w:t>
      </w:r>
      <w:bookmarkEnd w:id="74"/>
      <w:r w:rsidRPr="00527BFD">
        <w:t xml:space="preserve">or </w:t>
      </w:r>
      <w:r w:rsidR="005C62ED" w:rsidRPr="00527BFD">
        <w:t>oral lead-in</w:t>
      </w:r>
      <w:r w:rsidRPr="00527BFD">
        <w:t xml:space="preserve">) in </w:t>
      </w:r>
      <w:r w:rsidRPr="00527BFD">
        <w:lastRenderedPageBreak/>
        <w:t xml:space="preserve">the </w:t>
      </w:r>
      <w:r w:rsidR="00AE677C" w:rsidRPr="00527BFD">
        <w:t>extension phase</w:t>
      </w:r>
      <w:r w:rsidRPr="00527BFD">
        <w:t xml:space="preserve"> (</w:t>
      </w:r>
      <w:r w:rsidR="00AE677C" w:rsidRPr="00527BFD">
        <w:t>extension switch population</w:t>
      </w:r>
      <w:r w:rsidRPr="00527BFD">
        <w:t xml:space="preserve">). Those participants randomised were given the option to switch to </w:t>
      </w:r>
      <w:r w:rsidR="00FD52A9" w:rsidRPr="00527BFD">
        <w:t>cabotegravir</w:t>
      </w:r>
      <w:r w:rsidRPr="00527BFD">
        <w:t>/</w:t>
      </w:r>
      <w:proofErr w:type="spellStart"/>
      <w:r w:rsidR="002B70E6" w:rsidRPr="00527BFD">
        <w:t>rilpivirine</w:t>
      </w:r>
      <w:proofErr w:type="spellEnd"/>
      <w:r w:rsidRPr="00527BFD">
        <w:t xml:space="preserve"> LA at 100 weeks and followed to </w:t>
      </w:r>
      <w:r w:rsidR="00AE677C" w:rsidRPr="00527BFD">
        <w:t>Week </w:t>
      </w:r>
      <w:r w:rsidRPr="00527BFD">
        <w:t>124. Of 283 subjects randomi</w:t>
      </w:r>
      <w:r w:rsidR="00462EFD" w:rsidRPr="00527BFD">
        <w:t>s</w:t>
      </w:r>
      <w:r w:rsidRPr="00527BFD">
        <w:t xml:space="preserve">ed to the ABC/DTC/3TC group at Baseline, 253 completed the </w:t>
      </w:r>
      <w:r w:rsidR="00AE677C" w:rsidRPr="00527BFD">
        <w:t>maintenance phase</w:t>
      </w:r>
      <w:r w:rsidRPr="00527BFD">
        <w:t xml:space="preserve">. Of the 253 subjects, 232 subjects entered the </w:t>
      </w:r>
      <w:r w:rsidR="00AE677C" w:rsidRPr="00527BFD">
        <w:t>extension phase</w:t>
      </w:r>
      <w:r w:rsidRPr="00527BFD">
        <w:t xml:space="preserve"> with </w:t>
      </w:r>
      <w:r w:rsidR="00FD52A9" w:rsidRPr="00527BFD">
        <w:t>cabotegravir</w:t>
      </w:r>
      <w:r w:rsidRPr="00527BFD">
        <w:t xml:space="preserve"> </w:t>
      </w:r>
      <w:r w:rsidR="00AE677C" w:rsidRPr="00527BFD">
        <w:t>plus</w:t>
      </w:r>
      <w:r w:rsidRPr="00527BFD">
        <w:t xml:space="preserve"> </w:t>
      </w:r>
      <w:proofErr w:type="spellStart"/>
      <w:r w:rsidR="002B70E6" w:rsidRPr="00527BFD">
        <w:t>rilpivirine</w:t>
      </w:r>
      <w:proofErr w:type="spellEnd"/>
      <w:r w:rsidRPr="00527BFD">
        <w:t xml:space="preserve"> </w:t>
      </w:r>
      <w:r w:rsidR="009F1F1B" w:rsidRPr="009F1F1B">
        <w:t>direct to injection</w:t>
      </w:r>
      <w:r w:rsidRPr="00527BFD">
        <w:t xml:space="preserve"> (n</w:t>
      </w:r>
      <w:r w:rsidR="00754F3F" w:rsidRPr="00527BFD">
        <w:t xml:space="preserve"> = </w:t>
      </w:r>
      <w:r w:rsidRPr="00527BFD">
        <w:t xml:space="preserve">111) or </w:t>
      </w:r>
      <w:r w:rsidR="005C62ED" w:rsidRPr="00527BFD">
        <w:t>oral lead-in</w:t>
      </w:r>
      <w:r w:rsidRPr="00527BFD">
        <w:t xml:space="preserve"> (n</w:t>
      </w:r>
      <w:r w:rsidR="00FE7214">
        <w:t> </w:t>
      </w:r>
      <w:r w:rsidR="00754F3F" w:rsidRPr="00527BFD">
        <w:t>=</w:t>
      </w:r>
      <w:r w:rsidR="00FE7214">
        <w:t> </w:t>
      </w:r>
      <w:r w:rsidRPr="00527BFD">
        <w:t>121).</w:t>
      </w:r>
      <w:r w:rsidR="005F0BCE" w:rsidRPr="00527BFD">
        <w:t xml:space="preserve"> </w:t>
      </w:r>
      <w:r w:rsidRPr="00527BFD">
        <w:t xml:space="preserve">At Week 124, 4 (4%) subjects in the </w:t>
      </w:r>
      <w:r w:rsidR="009F1F1B" w:rsidRPr="009F1F1B">
        <w:t>direct to injection</w:t>
      </w:r>
      <w:r w:rsidRPr="00527BFD">
        <w:t xml:space="preserve"> group and 8 (7%) subjects in the </w:t>
      </w:r>
      <w:r w:rsidR="005C62ED" w:rsidRPr="00527BFD">
        <w:t>oral lead-in</w:t>
      </w:r>
      <w:r w:rsidRPr="00527BFD">
        <w:t xml:space="preserve"> group had withdrawn and leaving the remaining 220 subjects in the </w:t>
      </w:r>
      <w:r w:rsidR="00AE677C" w:rsidRPr="00527BFD">
        <w:t>extension switch population</w:t>
      </w:r>
      <w:r w:rsidRPr="00527BFD">
        <w:t>.</w:t>
      </w:r>
    </w:p>
    <w:p w14:paraId="659A568F" w14:textId="4175BECC" w:rsidR="003768A7" w:rsidRPr="00527BFD" w:rsidRDefault="003768A7" w:rsidP="00EC5B93">
      <w:r w:rsidRPr="00527BFD">
        <w:t xml:space="preserve">When compared </w:t>
      </w:r>
      <w:r w:rsidR="00FD52A9" w:rsidRPr="00527BFD">
        <w:t>cabotegravir</w:t>
      </w:r>
      <w:r w:rsidRPr="00527BFD">
        <w:t xml:space="preserve"> </w:t>
      </w:r>
      <w:r w:rsidR="00AE677C" w:rsidRPr="00527BFD">
        <w:t xml:space="preserve">trough concentrations </w:t>
      </w:r>
      <w:r w:rsidRPr="00527BFD">
        <w:t xml:space="preserve">with </w:t>
      </w:r>
      <w:r w:rsidR="005C62ED" w:rsidRPr="00527BFD">
        <w:t>oral lead-in</w:t>
      </w:r>
      <w:r w:rsidRPr="00527BFD">
        <w:t xml:space="preserve"> from </w:t>
      </w:r>
      <w:r w:rsidR="00AE677C" w:rsidRPr="00527BFD">
        <w:t>Studies </w:t>
      </w:r>
      <w:r w:rsidRPr="00527BFD">
        <w:t>201584 (</w:t>
      </w:r>
      <w:r w:rsidR="002B70E6" w:rsidRPr="00527BFD">
        <w:t xml:space="preserve">the </w:t>
      </w:r>
      <w:r w:rsidRPr="00527BFD">
        <w:t>FLAIR</w:t>
      </w:r>
      <w:r w:rsidR="002B70E6" w:rsidRPr="00527BFD">
        <w:t xml:space="preserve"> trial</w:t>
      </w:r>
      <w:r w:rsidRPr="00527BFD">
        <w:t>), and 201585 (</w:t>
      </w:r>
      <w:r w:rsidR="00AE677C" w:rsidRPr="00527BFD">
        <w:t xml:space="preserve">the </w:t>
      </w:r>
      <w:r w:rsidRPr="00527BFD">
        <w:t>ATLAS</w:t>
      </w:r>
      <w:r w:rsidR="00AE677C" w:rsidRPr="00527BFD">
        <w:t xml:space="preserve"> trial</w:t>
      </w:r>
      <w:r w:rsidRPr="00527BFD">
        <w:t>), and 207966 (</w:t>
      </w:r>
      <w:r w:rsidR="00AE677C" w:rsidRPr="00527BFD">
        <w:t>the </w:t>
      </w:r>
      <w:r w:rsidRPr="00527BFD">
        <w:t>ATLAS</w:t>
      </w:r>
      <w:r w:rsidR="00AE677C" w:rsidRPr="00527BFD">
        <w:noBreakHyphen/>
      </w:r>
      <w:r w:rsidRPr="00527BFD">
        <w:t>2M</w:t>
      </w:r>
      <w:r w:rsidR="00AE677C" w:rsidRPr="00527BFD">
        <w:t xml:space="preserve"> trial</w:t>
      </w:r>
      <w:r w:rsidR="009F1F1B">
        <w:t xml:space="preserve">, </w:t>
      </w:r>
      <w:r w:rsidR="00500960">
        <w:t xml:space="preserve">Submission </w:t>
      </w:r>
      <w:r w:rsidRPr="00527BFD">
        <w:t>PM-2019-04281-1-2)</w:t>
      </w:r>
      <w:r w:rsidR="00FE7214">
        <w:rPr>
          <w:vertAlign w:val="superscript"/>
        </w:rPr>
        <w:fldChar w:fldCharType="begin"/>
      </w:r>
      <w:r w:rsidR="00FE7214">
        <w:rPr>
          <w:vertAlign w:val="superscript"/>
        </w:rPr>
        <w:instrText xml:space="preserve"> NOTEREF _Ref119672096 \h  \* MERGEFORMAT </w:instrText>
      </w:r>
      <w:r w:rsidR="00FE7214">
        <w:rPr>
          <w:vertAlign w:val="superscript"/>
        </w:rPr>
      </w:r>
      <w:r w:rsidR="00FE7214">
        <w:rPr>
          <w:vertAlign w:val="superscript"/>
        </w:rPr>
        <w:fldChar w:fldCharType="separate"/>
      </w:r>
      <w:r w:rsidR="001702C9">
        <w:rPr>
          <w:vertAlign w:val="superscript"/>
        </w:rPr>
        <w:t>9</w:t>
      </w:r>
      <w:r w:rsidR="00FE7214">
        <w:rPr>
          <w:vertAlign w:val="superscript"/>
        </w:rPr>
        <w:fldChar w:fldCharType="end"/>
      </w:r>
      <w:r w:rsidRPr="00527BFD">
        <w:t xml:space="preserve"> the range of </w:t>
      </w:r>
      <w:r w:rsidR="00FD52A9" w:rsidRPr="00527BFD">
        <w:t>cabotegravir</w:t>
      </w:r>
      <w:r w:rsidRPr="00527BFD">
        <w:t xml:space="preserve"> concentrations </w:t>
      </w:r>
      <w:r w:rsidR="00AE677C" w:rsidRPr="00527BFD">
        <w:t>one</w:t>
      </w:r>
      <w:r w:rsidRPr="00527BFD">
        <w:t xml:space="preserve"> week following initiation injections and 4 weeks following 4 weeks following the initiation injections were similar across studies, regardless of use of </w:t>
      </w:r>
      <w:r w:rsidR="005C62ED" w:rsidRPr="00527BFD">
        <w:t>oral lead-in</w:t>
      </w:r>
      <w:r w:rsidRPr="00527BFD">
        <w:t xml:space="preserve"> or not.</w:t>
      </w:r>
    </w:p>
    <w:p w14:paraId="722FE162" w14:textId="0AE2E702" w:rsidR="003768A7" w:rsidRPr="00527BFD" w:rsidRDefault="003768A7" w:rsidP="00EC5B93">
      <w:pPr>
        <w:pStyle w:val="Heading6"/>
        <w:rPr>
          <w:rFonts w:eastAsiaTheme="minorHAnsi"/>
        </w:rPr>
      </w:pPr>
      <w:r w:rsidRPr="00527BFD">
        <w:rPr>
          <w:rFonts w:eastAsiaTheme="minorHAnsi"/>
        </w:rPr>
        <w:t>Study 201738</w:t>
      </w:r>
      <w:r w:rsidR="00A15ADC">
        <w:rPr>
          <w:rFonts w:eastAsiaTheme="minorHAnsi"/>
        </w:rPr>
        <w:t xml:space="preserve"> (</w:t>
      </w:r>
      <w:r w:rsidR="00A15ADC" w:rsidRPr="00A15ADC">
        <w:rPr>
          <w:rFonts w:eastAsiaTheme="minorHAnsi"/>
        </w:rPr>
        <w:t>HPTN 083 trial</w:t>
      </w:r>
      <w:r w:rsidR="00A15ADC">
        <w:rPr>
          <w:rFonts w:eastAsiaTheme="minorHAnsi"/>
        </w:rPr>
        <w:t>)</w:t>
      </w:r>
    </w:p>
    <w:p w14:paraId="52574BDD" w14:textId="75837AB8" w:rsidR="0071237F" w:rsidRPr="00527BFD" w:rsidRDefault="003768A7" w:rsidP="00EC5B93">
      <w:bookmarkStart w:id="75" w:name="_Hlk101279596"/>
      <w:r w:rsidRPr="00527BFD">
        <w:t xml:space="preserve">Details of this pivotal efficacy study </w:t>
      </w:r>
      <w:r w:rsidR="00AE677C" w:rsidRPr="00527BFD">
        <w:t xml:space="preserve">(Study 201738 or </w:t>
      </w:r>
      <w:r w:rsidR="00BB0AC1" w:rsidRPr="00527BFD">
        <w:t>the HPTN 083 trial</w:t>
      </w:r>
      <w:r w:rsidR="00AE677C" w:rsidRPr="00527BFD">
        <w:t xml:space="preserve">) </w:t>
      </w:r>
      <w:r w:rsidRPr="00527BFD">
        <w:t xml:space="preserve">are in the </w:t>
      </w:r>
      <w:r w:rsidR="00C15E74" w:rsidRPr="00527BFD">
        <w:t xml:space="preserve">Efficacy </w:t>
      </w:r>
      <w:r w:rsidRPr="00527BFD">
        <w:t>section</w:t>
      </w:r>
      <w:bookmarkEnd w:id="75"/>
      <w:r w:rsidRPr="00527BFD">
        <w:t>.</w:t>
      </w:r>
    </w:p>
    <w:p w14:paraId="31E667DC" w14:textId="700D0D46" w:rsidR="003768A7" w:rsidRPr="00527BFD" w:rsidRDefault="0071237F" w:rsidP="00EC5B93">
      <w:r w:rsidRPr="00527BFD">
        <w:t xml:space="preserve">Cabotegravir </w:t>
      </w:r>
      <w:r w:rsidR="003768A7" w:rsidRPr="00527BFD">
        <w:t xml:space="preserve">LA 8 weekly delivers target plasma </w:t>
      </w:r>
      <w:r w:rsidR="00FD52A9" w:rsidRPr="00527BFD">
        <w:t>cabotegravir</w:t>
      </w:r>
      <w:r w:rsidR="003768A7" w:rsidRPr="00527BFD">
        <w:t xml:space="preserve"> concentrations predicted to provide protection against HIV infection. There are no clinically relevant differences in plasma </w:t>
      </w:r>
      <w:r w:rsidR="00FD52A9" w:rsidRPr="00527BFD">
        <w:t>cabotegravir</w:t>
      </w:r>
      <w:r w:rsidR="003768A7" w:rsidRPr="00527BFD">
        <w:t xml:space="preserve"> concentrations were observed between </w:t>
      </w:r>
      <w:bookmarkStart w:id="76" w:name="_Hlk115861483"/>
      <w:r w:rsidR="001C1AE8" w:rsidRPr="00527BFD">
        <w:t>cisgender men who have sex with men</w:t>
      </w:r>
      <w:bookmarkEnd w:id="76"/>
      <w:r w:rsidR="003768A7" w:rsidRPr="00527BFD">
        <w:t xml:space="preserve">, </w:t>
      </w:r>
      <w:r w:rsidR="001C1AE8" w:rsidRPr="00527BFD">
        <w:t>transgender women</w:t>
      </w:r>
      <w:r w:rsidR="003768A7" w:rsidRPr="00527BFD">
        <w:t xml:space="preserve"> </w:t>
      </w:r>
      <w:r w:rsidRPr="00527BFD">
        <w:t xml:space="preserve">with or without </w:t>
      </w:r>
      <w:r w:rsidR="003768A7" w:rsidRPr="00527BFD">
        <w:t xml:space="preserve">hormone use, participants </w:t>
      </w:r>
      <w:r w:rsidR="00754F3F" w:rsidRPr="00527BFD">
        <w:t xml:space="preserve">less than </w:t>
      </w:r>
      <w:r w:rsidR="003768A7" w:rsidRPr="00527BFD">
        <w:t>25</w:t>
      </w:r>
      <w:r w:rsidR="00FE7214">
        <w:t> </w:t>
      </w:r>
      <w:r w:rsidR="003768A7" w:rsidRPr="00527BFD">
        <w:t>years of age, or by region in a subset of samples from pre-selected participants.</w:t>
      </w:r>
    </w:p>
    <w:p w14:paraId="67A1A3B3" w14:textId="0B190456" w:rsidR="003768A7" w:rsidRPr="00527BFD" w:rsidRDefault="003768A7" w:rsidP="00EC5B93">
      <w:pPr>
        <w:pStyle w:val="Heading6"/>
        <w:rPr>
          <w:rFonts w:eastAsiaTheme="minorHAnsi"/>
        </w:rPr>
      </w:pPr>
      <w:r w:rsidRPr="00527BFD">
        <w:rPr>
          <w:rFonts w:eastAsiaTheme="minorHAnsi"/>
        </w:rPr>
        <w:t>Study 201739</w:t>
      </w:r>
      <w:r w:rsidR="00A15ADC">
        <w:rPr>
          <w:rFonts w:eastAsiaTheme="minorHAnsi"/>
        </w:rPr>
        <w:t xml:space="preserve"> (</w:t>
      </w:r>
      <w:r w:rsidR="00A15ADC" w:rsidRPr="00A15ADC">
        <w:rPr>
          <w:rFonts w:eastAsiaTheme="minorHAnsi"/>
        </w:rPr>
        <w:t>HPTN 084 trial</w:t>
      </w:r>
      <w:r w:rsidR="00A15ADC">
        <w:rPr>
          <w:rFonts w:eastAsiaTheme="minorHAnsi"/>
        </w:rPr>
        <w:t>)</w:t>
      </w:r>
    </w:p>
    <w:p w14:paraId="37776289" w14:textId="59D3D024" w:rsidR="0071237F" w:rsidRPr="00527BFD" w:rsidRDefault="003768A7" w:rsidP="00EC5B93">
      <w:r w:rsidRPr="00527BFD">
        <w:t xml:space="preserve">Details of this pivotal efficacy study </w:t>
      </w:r>
      <w:r w:rsidR="0071237F" w:rsidRPr="00527BFD">
        <w:t xml:space="preserve">(Study 201739 or </w:t>
      </w:r>
      <w:r w:rsidR="00CC53B1" w:rsidRPr="00527BFD">
        <w:t>the HPTN 084 trial</w:t>
      </w:r>
      <w:r w:rsidR="0071237F" w:rsidRPr="00527BFD">
        <w:t xml:space="preserve">) </w:t>
      </w:r>
      <w:r w:rsidRPr="00527BFD">
        <w:t xml:space="preserve">are in the </w:t>
      </w:r>
      <w:r w:rsidR="00C15E74" w:rsidRPr="00527BFD">
        <w:t xml:space="preserve">Efficacy </w:t>
      </w:r>
      <w:r w:rsidRPr="00527BFD">
        <w:t>section.</w:t>
      </w:r>
    </w:p>
    <w:p w14:paraId="3F120822" w14:textId="54AF7EA1" w:rsidR="003768A7" w:rsidRPr="00527BFD" w:rsidRDefault="0071237F" w:rsidP="00EC5B93">
      <w:r w:rsidRPr="00527BFD">
        <w:t>C</w:t>
      </w:r>
      <w:r w:rsidR="00FD52A9" w:rsidRPr="00527BFD">
        <w:t>abotegravir</w:t>
      </w:r>
      <w:r w:rsidR="003768A7" w:rsidRPr="00527BFD">
        <w:t xml:space="preserve"> LA 8 weekly delivers sufficient plasma </w:t>
      </w:r>
      <w:r w:rsidR="00FD52A9" w:rsidRPr="00527BFD">
        <w:t>cabotegravir</w:t>
      </w:r>
      <w:r w:rsidR="003768A7" w:rsidRPr="00527BFD">
        <w:t xml:space="preserve"> concentrations to provide protection against HIV infection. No clinically relevant differences in plasma </w:t>
      </w:r>
      <w:r w:rsidR="00FD52A9" w:rsidRPr="00527BFD">
        <w:t>cabotegravir</w:t>
      </w:r>
      <w:r w:rsidR="003768A7" w:rsidRPr="00527BFD">
        <w:t xml:space="preserve"> concentrations were observed between participants </w:t>
      </w:r>
      <w:r w:rsidR="00754F3F" w:rsidRPr="00527BFD">
        <w:t xml:space="preserve">less than </w:t>
      </w:r>
      <w:r w:rsidR="003768A7" w:rsidRPr="00527BFD">
        <w:t>25 years of age or weight</w:t>
      </w:r>
      <w:r w:rsidR="00754F3F" w:rsidRPr="00527BFD">
        <w:t xml:space="preserve"> less than </w:t>
      </w:r>
      <w:r w:rsidR="003768A7" w:rsidRPr="00527BFD">
        <w:t>50 kg (n</w:t>
      </w:r>
      <w:r w:rsidR="00754F3F" w:rsidRPr="00527BFD">
        <w:t xml:space="preserve"> = </w:t>
      </w:r>
      <w:r w:rsidR="003768A7" w:rsidRPr="00527BFD">
        <w:t>9) in a subset of samples from pre-selected participants.</w:t>
      </w:r>
    </w:p>
    <w:p w14:paraId="65DD8F42" w14:textId="681CCE08" w:rsidR="003768A7" w:rsidRPr="00527BFD" w:rsidRDefault="003768A7" w:rsidP="00EC5B93">
      <w:pPr>
        <w:pStyle w:val="Heading5"/>
      </w:pPr>
      <w:r w:rsidRPr="00527BFD">
        <w:t xml:space="preserve">Population </w:t>
      </w:r>
      <w:r w:rsidR="0071237F" w:rsidRPr="00527BFD">
        <w:t>pharmacokinetic</w:t>
      </w:r>
      <w:r w:rsidRPr="00527BFD">
        <w:t xml:space="preserve"> data</w:t>
      </w:r>
    </w:p>
    <w:p w14:paraId="7FCDC112" w14:textId="02041845" w:rsidR="003768A7" w:rsidRPr="00527BFD" w:rsidRDefault="003768A7" w:rsidP="00EC5B93">
      <w:r w:rsidRPr="00527BFD">
        <w:t xml:space="preserve">A </w:t>
      </w:r>
      <w:r w:rsidR="00D43DAD" w:rsidRPr="00527BFD">
        <w:t>population pharmacokinetic (</w:t>
      </w:r>
      <w:proofErr w:type="spellStart"/>
      <w:r w:rsidRPr="00527BFD">
        <w:t>PopPK</w:t>
      </w:r>
      <w:proofErr w:type="spellEnd"/>
      <w:r w:rsidR="00D43DAD" w:rsidRPr="00527BFD">
        <w:t>)</w:t>
      </w:r>
      <w:r w:rsidRPr="00527BFD">
        <w:t xml:space="preserve"> model, named </w:t>
      </w:r>
      <w:r w:rsidR="00FE7214">
        <w:t>‘</w:t>
      </w:r>
      <w:r w:rsidRPr="00527BFD">
        <w:t xml:space="preserve">treatment </w:t>
      </w:r>
      <w:r w:rsidR="00C15E74" w:rsidRPr="00527BFD">
        <w:t>new drug application</w:t>
      </w:r>
      <w:r w:rsidR="00FE7214">
        <w:t>’</w:t>
      </w:r>
      <w:r w:rsidRPr="00527BFD">
        <w:t xml:space="preserve"> was previously built based on a total of 23,926 </w:t>
      </w:r>
      <w:r w:rsidR="00FD52A9" w:rsidRPr="00527BFD">
        <w:t>cabotegravir</w:t>
      </w:r>
      <w:r w:rsidRPr="00527BFD">
        <w:t xml:space="preserve"> plasma concentrations collected from 1647 HIV-1-uninfected (28%) and HIV-1-infected (72%) adult participants (age 18 to 74 years) in 16 studies at 7</w:t>
      </w:r>
      <w:r w:rsidR="0071237F" w:rsidRPr="00527BFD">
        <w:t> </w:t>
      </w:r>
      <w:r w:rsidRPr="00527BFD">
        <w:t>dose levels (10 mg to 60 mg for oral tablet; 100</w:t>
      </w:r>
      <w:r w:rsidR="00F267D8">
        <w:t> </w:t>
      </w:r>
      <w:r w:rsidRPr="00527BFD">
        <w:t xml:space="preserve">mg to 800 mg for LA) following various dosing schedules (daily dosing for oral tablet; </w:t>
      </w:r>
      <w:r w:rsidR="00A90EA7" w:rsidRPr="00527BFD">
        <w:t>every 4</w:t>
      </w:r>
      <w:r w:rsidR="00F267D8">
        <w:t> </w:t>
      </w:r>
      <w:r w:rsidR="00A90EA7" w:rsidRPr="00527BFD">
        <w:t>weeks</w:t>
      </w:r>
      <w:r w:rsidRPr="00527BFD">
        <w:t xml:space="preserve">, </w:t>
      </w:r>
      <w:r w:rsidR="00A90EA7" w:rsidRPr="00527BFD">
        <w:t>every 8 weeks</w:t>
      </w:r>
      <w:r w:rsidRPr="00527BFD">
        <w:t xml:space="preserve"> and </w:t>
      </w:r>
      <w:r w:rsidR="00A90EA7" w:rsidRPr="00527BFD">
        <w:t>every 12 weeks</w:t>
      </w:r>
      <w:r w:rsidRPr="00527BFD">
        <w:t xml:space="preserve"> dosing for LA). The </w:t>
      </w:r>
      <w:proofErr w:type="spellStart"/>
      <w:r w:rsidRPr="00527BFD">
        <w:t>PopPK</w:t>
      </w:r>
      <w:proofErr w:type="spellEnd"/>
      <w:r w:rsidRPr="00527BFD">
        <w:t xml:space="preserve"> model was a general two-compartment model with first</w:t>
      </w:r>
      <w:r w:rsidR="0071237F" w:rsidRPr="00527BFD">
        <w:noBreakHyphen/>
      </w:r>
      <w:r w:rsidRPr="00527BFD">
        <w:t xml:space="preserve">order oral and </w:t>
      </w:r>
      <w:r w:rsidR="00E908B2" w:rsidRPr="00527BFD">
        <w:t>intramuscular</w:t>
      </w:r>
      <w:r w:rsidRPr="00527BFD">
        <w:t xml:space="preserve"> absorption and elimination. </w:t>
      </w:r>
      <w:r w:rsidR="00FD52A9" w:rsidRPr="00527BFD">
        <w:t>cabotegravir</w:t>
      </w:r>
      <w:r w:rsidRPr="00527BFD">
        <w:t xml:space="preserve"> PK variability was explained by gender, </w:t>
      </w:r>
      <w:bookmarkStart w:id="77" w:name="_Hlk115860826"/>
      <w:r w:rsidR="0071237F" w:rsidRPr="00527BFD">
        <w:t>body mass index</w:t>
      </w:r>
      <w:bookmarkEnd w:id="77"/>
      <w:r w:rsidRPr="00527BFD">
        <w:t xml:space="preserve">, needle length, split injection, current smoker status, and body weight; however, the effects of these covariates are not considered clinically relevant. Age and race had no effect on </w:t>
      </w:r>
      <w:r w:rsidR="00FD52A9" w:rsidRPr="00527BFD">
        <w:t>cabotegravir</w:t>
      </w:r>
      <w:r w:rsidRPr="00527BFD">
        <w:t xml:space="preserve"> PK. No </w:t>
      </w:r>
      <w:r w:rsidR="00FD52A9" w:rsidRPr="00527BFD">
        <w:t>cabotegravir</w:t>
      </w:r>
      <w:r w:rsidRPr="00527BFD">
        <w:t xml:space="preserve"> dose adjustment is necessary for the covariates evaluated (</w:t>
      </w:r>
      <w:r w:rsidR="00500960">
        <w:t xml:space="preserve">see </w:t>
      </w:r>
      <w:r w:rsidR="00FE7214">
        <w:t xml:space="preserve">the </w:t>
      </w:r>
      <w:proofErr w:type="spellStart"/>
      <w:r w:rsidR="00FE7214">
        <w:t>AusPAR</w:t>
      </w:r>
      <w:proofErr w:type="spellEnd"/>
      <w:r w:rsidR="00FE7214">
        <w:t xml:space="preserve"> for </w:t>
      </w:r>
      <w:r w:rsidR="00500960">
        <w:t xml:space="preserve">Submission </w:t>
      </w:r>
      <w:r w:rsidRPr="00527BFD">
        <w:t>PM-2019-04281-1-2)</w:t>
      </w:r>
      <w:r w:rsidR="00500960">
        <w:t>.</w:t>
      </w:r>
      <w:r w:rsidR="00FE7214">
        <w:rPr>
          <w:vertAlign w:val="superscript"/>
        </w:rPr>
        <w:fldChar w:fldCharType="begin"/>
      </w:r>
      <w:r w:rsidR="00FE7214">
        <w:rPr>
          <w:vertAlign w:val="superscript"/>
        </w:rPr>
        <w:instrText xml:space="preserve"> NOTEREF _Ref119672096 \h  \* MERGEFORMAT </w:instrText>
      </w:r>
      <w:r w:rsidR="00FE7214">
        <w:rPr>
          <w:vertAlign w:val="superscript"/>
        </w:rPr>
      </w:r>
      <w:r w:rsidR="00FE7214">
        <w:rPr>
          <w:vertAlign w:val="superscript"/>
        </w:rPr>
        <w:fldChar w:fldCharType="separate"/>
      </w:r>
      <w:r w:rsidR="001702C9">
        <w:rPr>
          <w:vertAlign w:val="superscript"/>
        </w:rPr>
        <w:t>9</w:t>
      </w:r>
      <w:r w:rsidR="00FE7214">
        <w:rPr>
          <w:vertAlign w:val="superscript"/>
        </w:rPr>
        <w:fldChar w:fldCharType="end"/>
      </w:r>
    </w:p>
    <w:p w14:paraId="047D7053" w14:textId="555D87B9" w:rsidR="003768A7" w:rsidRPr="00527BFD" w:rsidRDefault="003768A7" w:rsidP="00EC5B93">
      <w:r w:rsidRPr="00527BFD">
        <w:t xml:space="preserve">Further </w:t>
      </w:r>
      <w:proofErr w:type="spellStart"/>
      <w:r w:rsidRPr="00527BFD">
        <w:t>PopPK</w:t>
      </w:r>
      <w:proofErr w:type="spellEnd"/>
      <w:r w:rsidRPr="00527BFD">
        <w:t xml:space="preserve"> analysis is provided in </w:t>
      </w:r>
      <w:r w:rsidR="0071237F" w:rsidRPr="00527BFD">
        <w:t>Studies 2021N467204, 2021N484575 and 2021N462341).</w:t>
      </w:r>
    </w:p>
    <w:p w14:paraId="60A2B94A" w14:textId="77777777" w:rsidR="003768A7" w:rsidRPr="00527BFD" w:rsidRDefault="003768A7" w:rsidP="00EC5B93">
      <w:pPr>
        <w:pStyle w:val="Heading6"/>
        <w:rPr>
          <w:rFonts w:eastAsiaTheme="minorHAnsi"/>
        </w:rPr>
      </w:pPr>
      <w:r w:rsidRPr="00527BFD">
        <w:t xml:space="preserve">Study </w:t>
      </w:r>
      <w:r w:rsidRPr="00527BFD">
        <w:rPr>
          <w:rFonts w:eastAsiaTheme="minorHAnsi"/>
        </w:rPr>
        <w:t>2021N467204</w:t>
      </w:r>
    </w:p>
    <w:p w14:paraId="0A5FD58C" w14:textId="146E3CEC" w:rsidR="003768A7" w:rsidRPr="00527BFD" w:rsidRDefault="003768A7" w:rsidP="00EC5B93">
      <w:r w:rsidRPr="00527BFD">
        <w:t xml:space="preserve">The aim of </w:t>
      </w:r>
      <w:r w:rsidR="001C1AE8" w:rsidRPr="00527BFD">
        <w:t xml:space="preserve">Study 2021N467204 </w:t>
      </w:r>
      <w:r w:rsidRPr="00527BFD">
        <w:t xml:space="preserve">was to assess the adequacy and predictive performance of the cabotegravir </w:t>
      </w:r>
      <w:proofErr w:type="spellStart"/>
      <w:r w:rsidRPr="00527BFD">
        <w:t>PopPK</w:t>
      </w:r>
      <w:proofErr w:type="spellEnd"/>
      <w:r w:rsidRPr="00527BFD">
        <w:t xml:space="preserve"> model for participants in </w:t>
      </w:r>
      <w:r w:rsidR="0071237F" w:rsidRPr="00527BFD">
        <w:t>Northeast</w:t>
      </w:r>
      <w:r w:rsidRPr="00527BFD">
        <w:t xml:space="preserve"> Asia.</w:t>
      </w:r>
      <w:r w:rsidR="005F0BCE" w:rsidRPr="00527BFD">
        <w:t xml:space="preserve"> </w:t>
      </w:r>
      <w:r w:rsidR="00FD52A9" w:rsidRPr="00527BFD">
        <w:t>cabotegravir</w:t>
      </w:r>
      <w:r w:rsidRPr="00527BFD">
        <w:t xml:space="preserve"> PK data of </w:t>
      </w:r>
      <w:r w:rsidR="0071237F" w:rsidRPr="00527BFD">
        <w:t>Northeast Asian</w:t>
      </w:r>
      <w:r w:rsidRPr="00527BFD">
        <w:t xml:space="preserve"> and </w:t>
      </w:r>
      <w:r w:rsidR="0071237F" w:rsidRPr="00527BFD">
        <w:t>n</w:t>
      </w:r>
      <w:r w:rsidRPr="00527BFD">
        <w:t>o</w:t>
      </w:r>
      <w:r w:rsidR="0071237F" w:rsidRPr="00527BFD">
        <w:t>n</w:t>
      </w:r>
      <w:r w:rsidRPr="00527BFD">
        <w:t>-</w:t>
      </w:r>
      <w:r w:rsidR="0071237F" w:rsidRPr="00527BFD">
        <w:t>Northeast Asian</w:t>
      </w:r>
      <w:r w:rsidRPr="00527BFD">
        <w:t xml:space="preserve"> participants were collected from Studies</w:t>
      </w:r>
      <w:r w:rsidR="0071237F" w:rsidRPr="00527BFD">
        <w:t> </w:t>
      </w:r>
      <w:r w:rsidRPr="00527BFD">
        <w:t>206898 (in this submission)</w:t>
      </w:r>
      <w:r w:rsidR="0071237F" w:rsidRPr="00527BFD">
        <w:t xml:space="preserve">, </w:t>
      </w:r>
      <w:r w:rsidRPr="00527BFD">
        <w:t>201584 (</w:t>
      </w:r>
      <w:r w:rsidR="002B70E6" w:rsidRPr="00527BFD">
        <w:t xml:space="preserve">the </w:t>
      </w:r>
      <w:r w:rsidRPr="00527BFD">
        <w:t>FLAIR</w:t>
      </w:r>
      <w:r w:rsidR="002B70E6" w:rsidRPr="00527BFD">
        <w:t xml:space="preserve"> trial</w:t>
      </w:r>
      <w:r w:rsidRPr="00527BFD">
        <w:t>), 201585 (</w:t>
      </w:r>
      <w:r w:rsidR="0071237F" w:rsidRPr="00527BFD">
        <w:t xml:space="preserve">the </w:t>
      </w:r>
      <w:r w:rsidRPr="00527BFD">
        <w:t>ATLAS</w:t>
      </w:r>
      <w:r w:rsidR="0071237F" w:rsidRPr="00527BFD">
        <w:t xml:space="preserve"> trial</w:t>
      </w:r>
      <w:r w:rsidRPr="00527BFD">
        <w:t xml:space="preserve">) </w:t>
      </w:r>
      <w:r w:rsidRPr="00527BFD">
        <w:lastRenderedPageBreak/>
        <w:t>and 207966 (</w:t>
      </w:r>
      <w:r w:rsidR="0071237F" w:rsidRPr="00527BFD">
        <w:t xml:space="preserve">the </w:t>
      </w:r>
      <w:r w:rsidRPr="00527BFD">
        <w:t>ATLAS-2M</w:t>
      </w:r>
      <w:r w:rsidR="0071237F" w:rsidRPr="00527BFD">
        <w:t xml:space="preserve"> trial</w:t>
      </w:r>
      <w:r w:rsidRPr="00527BFD">
        <w:t>) from the previous submission and included 82</w:t>
      </w:r>
      <w:r w:rsidR="00F267D8">
        <w:t> </w:t>
      </w:r>
      <w:r w:rsidRPr="00527BFD">
        <w:t>(80</w:t>
      </w:r>
      <w:r w:rsidR="0071237F" w:rsidRPr="00527BFD">
        <w:t> </w:t>
      </w:r>
      <w:r w:rsidR="00A90EA7" w:rsidRPr="00527BFD">
        <w:t>males</w:t>
      </w:r>
      <w:r w:rsidRPr="00527BFD">
        <w:t xml:space="preserve">) participants. The final </w:t>
      </w:r>
      <w:proofErr w:type="spellStart"/>
      <w:r w:rsidRPr="00527BFD">
        <w:t>PopPK</w:t>
      </w:r>
      <w:proofErr w:type="spellEnd"/>
      <w:r w:rsidRPr="00527BFD">
        <w:t xml:space="preserve"> model was deemed appropriate and able to reliably describe and predict </w:t>
      </w:r>
      <w:r w:rsidR="00FD52A9" w:rsidRPr="00527BFD">
        <w:t>cabotegravir</w:t>
      </w:r>
      <w:r w:rsidRPr="00527BFD">
        <w:t xml:space="preserve"> PK of </w:t>
      </w:r>
      <w:r w:rsidR="0071237F" w:rsidRPr="00527BFD">
        <w:t>Northeast Asian</w:t>
      </w:r>
      <w:r w:rsidRPr="00527BFD">
        <w:t xml:space="preserve"> participants. </w:t>
      </w:r>
      <w:r w:rsidR="00FD52A9" w:rsidRPr="00527BFD">
        <w:t>cabotegravir</w:t>
      </w:r>
      <w:r w:rsidRPr="00527BFD">
        <w:t xml:space="preserve"> dosing regimens for the </w:t>
      </w:r>
      <w:r w:rsidR="0071237F" w:rsidRPr="00527BFD">
        <w:t>Northeast Asian</w:t>
      </w:r>
      <w:r w:rsidRPr="00527BFD">
        <w:t xml:space="preserve"> population are recommended to be the same as other populations.</w:t>
      </w:r>
    </w:p>
    <w:p w14:paraId="199004C6" w14:textId="0D6519A3" w:rsidR="003768A7" w:rsidRPr="00527BFD" w:rsidRDefault="003768A7" w:rsidP="00EC5B93">
      <w:pPr>
        <w:pStyle w:val="Heading6"/>
      </w:pPr>
      <w:r w:rsidRPr="00527BFD">
        <w:t>Study 2021N484575</w:t>
      </w:r>
    </w:p>
    <w:p w14:paraId="25A4C2D1" w14:textId="038B471B" w:rsidR="003768A7" w:rsidRPr="00527BFD" w:rsidRDefault="003768A7" w:rsidP="00EC5B93">
      <w:r w:rsidRPr="00527BFD">
        <w:t xml:space="preserve">The aim of </w:t>
      </w:r>
      <w:r w:rsidR="001C1AE8" w:rsidRPr="00527BFD">
        <w:t xml:space="preserve">Study 2021N484575 </w:t>
      </w:r>
      <w:r w:rsidRPr="00527BFD">
        <w:t xml:space="preserve">was to compare observed cabotegravir plasma concentrations following </w:t>
      </w:r>
      <w:r w:rsidR="00FD52A9" w:rsidRPr="00527BFD">
        <w:t>cabotegravir</w:t>
      </w:r>
      <w:r w:rsidRPr="00527BFD">
        <w:t xml:space="preserve"> </w:t>
      </w:r>
      <w:r w:rsidR="00A90EA7" w:rsidRPr="00527BFD">
        <w:t>every 8 weeks</w:t>
      </w:r>
      <w:r w:rsidRPr="00527BFD">
        <w:t xml:space="preserve"> regimen across studies; to assess the adequacy and predictive performance of the </w:t>
      </w:r>
      <w:r w:rsidR="00FD52A9" w:rsidRPr="00527BFD">
        <w:t>cabotegravir</w:t>
      </w:r>
      <w:r w:rsidRPr="00527BFD">
        <w:t xml:space="preserve"> </w:t>
      </w:r>
      <w:proofErr w:type="spellStart"/>
      <w:r w:rsidRPr="00527BFD">
        <w:t>PopPK</w:t>
      </w:r>
      <w:proofErr w:type="spellEnd"/>
      <w:r w:rsidRPr="00527BFD">
        <w:t xml:space="preserve"> model for describing and predicting </w:t>
      </w:r>
      <w:r w:rsidR="00FD52A9" w:rsidRPr="00527BFD">
        <w:t>cabotegravir</w:t>
      </w:r>
      <w:r w:rsidRPr="00527BFD">
        <w:t xml:space="preserve"> </w:t>
      </w:r>
      <w:r w:rsidR="00C56168" w:rsidRPr="00527BFD">
        <w:t>PK</w:t>
      </w:r>
      <w:r w:rsidRPr="00527BFD">
        <w:t xml:space="preserve"> in the pivotal efficacy </w:t>
      </w:r>
      <w:r w:rsidR="00CC53B1" w:rsidRPr="00527BFD">
        <w:t xml:space="preserve">study </w:t>
      </w:r>
      <w:r w:rsidR="001C1AE8" w:rsidRPr="00527BFD">
        <w:t>(</w:t>
      </w:r>
      <w:r w:rsidR="00BB0AC1" w:rsidRPr="00527BFD">
        <w:t>the HPTN 083 trial</w:t>
      </w:r>
      <w:r w:rsidR="001C1AE8" w:rsidRPr="00527BFD">
        <w:t>)</w:t>
      </w:r>
      <w:r w:rsidRPr="00527BFD">
        <w:t xml:space="preserve"> and </w:t>
      </w:r>
      <w:r w:rsidR="001C1AE8" w:rsidRPr="00527BFD">
        <w:t>Study</w:t>
      </w:r>
      <w:r w:rsidR="00A15ADC">
        <w:t> </w:t>
      </w:r>
      <w:r w:rsidRPr="00527BFD">
        <w:t>201739</w:t>
      </w:r>
      <w:r w:rsidR="001C1AE8" w:rsidRPr="00527BFD">
        <w:t xml:space="preserve"> (</w:t>
      </w:r>
      <w:r w:rsidR="00CC53B1" w:rsidRPr="00527BFD">
        <w:t>the</w:t>
      </w:r>
      <w:r w:rsidR="001C1AE8" w:rsidRPr="00527BFD">
        <w:t xml:space="preserve"> </w:t>
      </w:r>
      <w:r w:rsidRPr="00527BFD">
        <w:t>HPTN 084</w:t>
      </w:r>
      <w:r w:rsidR="00CC53B1" w:rsidRPr="00527BFD">
        <w:t xml:space="preserve"> trial</w:t>
      </w:r>
      <w:r w:rsidR="001C1AE8" w:rsidRPr="00527BFD">
        <w:t>)</w:t>
      </w:r>
      <w:r w:rsidR="005F0BCE" w:rsidRPr="00527BFD">
        <w:t xml:space="preserve"> </w:t>
      </w:r>
      <w:r w:rsidRPr="00527BFD">
        <w:t xml:space="preserve">for </w:t>
      </w:r>
      <w:proofErr w:type="spellStart"/>
      <w:r w:rsidRPr="00527BFD">
        <w:t>PrEP</w:t>
      </w:r>
      <w:proofErr w:type="spellEnd"/>
      <w:r w:rsidRPr="00527BFD">
        <w:t xml:space="preserve"> in HIV-uninfected cisgender men who have sex with men (n</w:t>
      </w:r>
      <w:r w:rsidR="00754F3F" w:rsidRPr="00527BFD">
        <w:t xml:space="preserve"> = </w:t>
      </w:r>
      <w:r w:rsidRPr="00527BFD">
        <w:t>127), transgender women (n</w:t>
      </w:r>
      <w:r w:rsidR="00754F3F" w:rsidRPr="00527BFD">
        <w:t xml:space="preserve"> = </w:t>
      </w:r>
      <w:r w:rsidRPr="00527BFD">
        <w:t>55) who have sex with men, and cisgender women (n</w:t>
      </w:r>
      <w:r w:rsidR="00754F3F" w:rsidRPr="00527BFD">
        <w:t xml:space="preserve"> = </w:t>
      </w:r>
      <w:r w:rsidRPr="00527BFD">
        <w:t xml:space="preserve">152), to compare </w:t>
      </w:r>
      <w:r w:rsidR="00FD52A9" w:rsidRPr="00527BFD">
        <w:t>cabotegravir</w:t>
      </w:r>
      <w:r w:rsidRPr="00527BFD">
        <w:t xml:space="preserve"> PK parameters and exposure across various subgroups and to evaluate alternative dosing options by performing </w:t>
      </w:r>
      <w:r w:rsidR="00FD52A9" w:rsidRPr="00527BFD">
        <w:t>cabotegravir</w:t>
      </w:r>
      <w:r w:rsidRPr="00527BFD">
        <w:t xml:space="preserve"> PK simulations and describe the time to reach </w:t>
      </w:r>
      <w:r w:rsidR="00FD52A9" w:rsidRPr="00527BFD">
        <w:t>cabotegravir</w:t>
      </w:r>
      <w:r w:rsidRPr="00527BFD">
        <w:t xml:space="preserve"> target concentrations and steady state. </w:t>
      </w:r>
      <w:r w:rsidR="001C1AE8" w:rsidRPr="00527BFD">
        <w:t>Transgender women</w:t>
      </w:r>
      <w:r w:rsidRPr="00527BFD">
        <w:t xml:space="preserve"> were evaluated both as male</w:t>
      </w:r>
      <w:r w:rsidR="001C1AE8" w:rsidRPr="00527BFD">
        <w:t>s</w:t>
      </w:r>
      <w:r w:rsidRPr="00527BFD">
        <w:t xml:space="preserve"> and female</w:t>
      </w:r>
      <w:r w:rsidR="001C1AE8" w:rsidRPr="00527BFD">
        <w:t>s</w:t>
      </w:r>
      <w:r w:rsidRPr="00527BFD">
        <w:t>.</w:t>
      </w:r>
    </w:p>
    <w:p w14:paraId="3CD28BB1" w14:textId="2D926B17" w:rsidR="003768A7" w:rsidRPr="00527BFD" w:rsidRDefault="003768A7" w:rsidP="00EC5B93">
      <w:r w:rsidRPr="00527BFD">
        <w:t xml:space="preserve">The final </w:t>
      </w:r>
      <w:proofErr w:type="spellStart"/>
      <w:r w:rsidRPr="00527BFD">
        <w:t>PopPK</w:t>
      </w:r>
      <w:proofErr w:type="spellEnd"/>
      <w:r w:rsidRPr="00527BFD">
        <w:t xml:space="preserve"> model was deemed appropriate and able to reliably describe and predict </w:t>
      </w:r>
      <w:r w:rsidR="00FD52A9" w:rsidRPr="00527BFD">
        <w:t>cabotegravir</w:t>
      </w:r>
      <w:r w:rsidRPr="00527BFD">
        <w:t xml:space="preserve"> PK in the </w:t>
      </w:r>
      <w:proofErr w:type="spellStart"/>
      <w:r w:rsidRPr="00527BFD">
        <w:t>PrEP</w:t>
      </w:r>
      <w:proofErr w:type="spellEnd"/>
      <w:r w:rsidRPr="00527BFD">
        <w:t xml:space="preserve"> populations and was similar between </w:t>
      </w:r>
      <w:r w:rsidR="001C1AE8" w:rsidRPr="00527BFD">
        <w:t>cisgender men who have sex with men</w:t>
      </w:r>
      <w:r w:rsidRPr="00527BFD">
        <w:t xml:space="preserve"> and </w:t>
      </w:r>
      <w:r w:rsidR="001C1AE8" w:rsidRPr="00527BFD">
        <w:t>transgender women</w:t>
      </w:r>
      <w:r w:rsidRPr="00527BFD">
        <w:t xml:space="preserve">; in HIV-1-infected and -uninfected participants, across risk levels of acquiring HIV-1 regardless of sex at birth; in </w:t>
      </w:r>
      <w:r w:rsidR="001C1AE8" w:rsidRPr="00527BFD">
        <w:t>transgender women</w:t>
      </w:r>
      <w:r w:rsidRPr="00527BFD">
        <w:t xml:space="preserve"> with or without hormone therapy; in participants younger or older than 25 years old; and similar across race subgroups in general.</w:t>
      </w:r>
    </w:p>
    <w:p w14:paraId="351E75D1" w14:textId="77777777" w:rsidR="003768A7" w:rsidRPr="00527BFD" w:rsidRDefault="003768A7" w:rsidP="00EC5B93">
      <w:pPr>
        <w:pStyle w:val="Heading6"/>
        <w:rPr>
          <w:rFonts w:eastAsiaTheme="minorHAnsi"/>
        </w:rPr>
      </w:pPr>
      <w:r w:rsidRPr="00527BFD">
        <w:rPr>
          <w:rFonts w:eastAsiaTheme="minorHAnsi"/>
        </w:rPr>
        <w:t>Study 2021N462341</w:t>
      </w:r>
    </w:p>
    <w:p w14:paraId="6C9A91F0" w14:textId="4339A704" w:rsidR="003768A7" w:rsidRPr="00527BFD" w:rsidRDefault="003768A7" w:rsidP="00EC5B93">
      <w:r w:rsidRPr="00527BFD">
        <w:t xml:space="preserve">The aim of </w:t>
      </w:r>
      <w:r w:rsidR="001C1AE8" w:rsidRPr="00527BFD">
        <w:t xml:space="preserve">Study 2021N462341 </w:t>
      </w:r>
      <w:r w:rsidRPr="00527BFD">
        <w:t xml:space="preserve">was to assess the adequacy and predictive performance of the cabotegravir </w:t>
      </w:r>
      <w:r w:rsidR="00FE7214">
        <w:t>treatment new drug application</w:t>
      </w:r>
      <w:r w:rsidR="00FE7214" w:rsidRPr="00527BFD">
        <w:t xml:space="preserve"> </w:t>
      </w:r>
      <w:proofErr w:type="spellStart"/>
      <w:r w:rsidRPr="00527BFD">
        <w:t>PopPK</w:t>
      </w:r>
      <w:proofErr w:type="spellEnd"/>
      <w:r w:rsidRPr="00527BFD">
        <w:t xml:space="preserve"> model for describing and predicting </w:t>
      </w:r>
      <w:r w:rsidR="00FD52A9" w:rsidRPr="00527BFD">
        <w:t>cabotegravir</w:t>
      </w:r>
      <w:r w:rsidRPr="00527BFD">
        <w:t xml:space="preserve"> PK of the adolescents in the MOCHA </w:t>
      </w:r>
      <w:r w:rsidR="001C1AE8" w:rsidRPr="00527BFD">
        <w:t>trial</w:t>
      </w:r>
      <w:r w:rsidRPr="00527BFD">
        <w:t xml:space="preserve">, to compare </w:t>
      </w:r>
      <w:r w:rsidR="00FD52A9" w:rsidRPr="00527BFD">
        <w:t>cabotegravir</w:t>
      </w:r>
      <w:r w:rsidRPr="00527BFD">
        <w:t xml:space="preserve"> exposure between these adolescents and adults from historical </w:t>
      </w:r>
      <w:r w:rsidR="00FD52A9" w:rsidRPr="00527BFD">
        <w:t>cabotegravir</w:t>
      </w:r>
      <w:r w:rsidRPr="00527BFD">
        <w:t xml:space="preserve"> studies and to evaluate the adequacy of </w:t>
      </w:r>
      <w:r w:rsidR="00FD52A9" w:rsidRPr="00527BFD">
        <w:t>cabotegravir</w:t>
      </w:r>
      <w:r w:rsidRPr="00527BFD">
        <w:t xml:space="preserve"> </w:t>
      </w:r>
      <w:r w:rsidR="00A90EA7" w:rsidRPr="00527BFD">
        <w:t>every 4 weeks</w:t>
      </w:r>
      <w:r w:rsidRPr="00527BFD">
        <w:t xml:space="preserve"> and </w:t>
      </w:r>
      <w:r w:rsidR="00A90EA7" w:rsidRPr="00527BFD">
        <w:t>every 8 weeks</w:t>
      </w:r>
      <w:r w:rsidRPr="00527BFD">
        <w:t xml:space="preserve"> dosing regimens in adolescents. A total of 8 adolescents (6</w:t>
      </w:r>
      <w:r w:rsidR="00A90EA7" w:rsidRPr="00527BFD">
        <w:t xml:space="preserve"> males</w:t>
      </w:r>
      <w:r w:rsidRPr="00527BFD">
        <w:t xml:space="preserve">) in the MOCHA </w:t>
      </w:r>
      <w:r w:rsidR="001C1AE8" w:rsidRPr="00527BFD">
        <w:t>trial</w:t>
      </w:r>
      <w:r w:rsidRPr="00527BFD">
        <w:t xml:space="preserve"> received </w:t>
      </w:r>
      <w:r w:rsidR="00FD52A9" w:rsidRPr="00527BFD">
        <w:t>cabotegravir</w:t>
      </w:r>
      <w:r w:rsidRPr="00527BFD">
        <w:t xml:space="preserve"> </w:t>
      </w:r>
      <w:r w:rsidR="00A90EA7" w:rsidRPr="00527BFD">
        <w:t>every 4 weeks</w:t>
      </w:r>
      <w:r w:rsidRPr="00527BFD">
        <w:t xml:space="preserve"> regimen. The final </w:t>
      </w:r>
      <w:proofErr w:type="spellStart"/>
      <w:r w:rsidRPr="00527BFD">
        <w:t>PopPK</w:t>
      </w:r>
      <w:proofErr w:type="spellEnd"/>
      <w:r w:rsidRPr="00527BFD">
        <w:t xml:space="preserve"> model was deemed appropriate and able to reliably to describe and predict </w:t>
      </w:r>
      <w:r w:rsidR="00FD52A9" w:rsidRPr="00527BFD">
        <w:t>cabotegravir</w:t>
      </w:r>
      <w:r w:rsidRPr="00527BFD">
        <w:t xml:space="preserve"> PK of the 8 adolescents in the MOCHA </w:t>
      </w:r>
      <w:r w:rsidR="001C1AE8" w:rsidRPr="00527BFD">
        <w:t>trial</w:t>
      </w:r>
      <w:r w:rsidRPr="00527BFD">
        <w:t xml:space="preserve">. </w:t>
      </w:r>
      <w:r w:rsidR="00FD52A9" w:rsidRPr="00527BFD">
        <w:t>cabotegravir</w:t>
      </w:r>
      <w:r w:rsidRPr="00527BFD">
        <w:t xml:space="preserve"> exposure was similar between the adolescents in the MOCHA </w:t>
      </w:r>
      <w:r w:rsidR="001C1AE8" w:rsidRPr="00527BFD">
        <w:t>trial</w:t>
      </w:r>
      <w:r w:rsidRPr="00527BFD">
        <w:t xml:space="preserve"> and adults from historical </w:t>
      </w:r>
      <w:r w:rsidR="00FD52A9" w:rsidRPr="00527BFD">
        <w:t>cabotegravir</w:t>
      </w:r>
      <w:r w:rsidRPr="00527BFD">
        <w:t xml:space="preserve"> studies.</w:t>
      </w:r>
      <w:r w:rsidR="001C1AE8" w:rsidRPr="00527BFD">
        <w:t xml:space="preserve"> Cabotegravir </w:t>
      </w:r>
      <w:r w:rsidR="00A90EA7" w:rsidRPr="00527BFD">
        <w:t>every 4 weeks</w:t>
      </w:r>
      <w:r w:rsidRPr="00527BFD">
        <w:t xml:space="preserve"> and </w:t>
      </w:r>
      <w:r w:rsidR="00A90EA7" w:rsidRPr="00527BFD">
        <w:t>every 8 weeks</w:t>
      </w:r>
      <w:r w:rsidRPr="00527BFD">
        <w:t xml:space="preserve"> regimens predicted to provide adequate </w:t>
      </w:r>
      <w:r w:rsidR="00FD52A9" w:rsidRPr="00527BFD">
        <w:t>cabotegravir</w:t>
      </w:r>
      <w:r w:rsidRPr="00527BFD">
        <w:t xml:space="preserve"> exposure in adolescents aged 12 to </w:t>
      </w:r>
      <w:r w:rsidR="00754F3F" w:rsidRPr="00527BFD">
        <w:t xml:space="preserve">less than </w:t>
      </w:r>
      <w:r w:rsidRPr="00527BFD">
        <w:t>18 years with body weight of 35</w:t>
      </w:r>
      <w:r w:rsidR="00FE7214">
        <w:t> </w:t>
      </w:r>
      <w:r w:rsidRPr="00527BFD">
        <w:t>kg</w:t>
      </w:r>
      <w:r w:rsidR="00FD52A9" w:rsidRPr="00527BFD">
        <w:t xml:space="preserve"> or more</w:t>
      </w:r>
      <w:r w:rsidRPr="00527BFD">
        <w:t>.</w:t>
      </w:r>
    </w:p>
    <w:p w14:paraId="5096D1E8" w14:textId="42A2BDCB" w:rsidR="003768A7" w:rsidRPr="00527BFD" w:rsidRDefault="003768A7" w:rsidP="00EC5B93">
      <w:r w:rsidRPr="00527BFD">
        <w:t xml:space="preserve">Plasma </w:t>
      </w:r>
      <w:r w:rsidR="00FD52A9" w:rsidRPr="00527BFD">
        <w:t>cabotegravir</w:t>
      </w:r>
      <w:r w:rsidRPr="00527BFD">
        <w:t xml:space="preserve"> PK parameters for the proposed dosing regimen are summari</w:t>
      </w:r>
      <w:r w:rsidR="00462EFD" w:rsidRPr="00527BFD">
        <w:t>s</w:t>
      </w:r>
      <w:r w:rsidRPr="00527BFD">
        <w:t xml:space="preserve">ed in </w:t>
      </w:r>
      <w:r w:rsidR="001C1AE8" w:rsidRPr="00527BFD">
        <w:fldChar w:fldCharType="begin"/>
      </w:r>
      <w:r w:rsidR="001C1AE8" w:rsidRPr="00527BFD">
        <w:instrText xml:space="preserve"> REF _Ref115861727 \h </w:instrText>
      </w:r>
      <w:r w:rsidR="00527BFD" w:rsidRPr="00527BFD">
        <w:instrText xml:space="preserve"> \* MERGEFORMAT </w:instrText>
      </w:r>
      <w:r w:rsidR="001C1AE8" w:rsidRPr="00527BFD">
        <w:fldChar w:fldCharType="separate"/>
      </w:r>
      <w:r w:rsidR="001702C9" w:rsidRPr="0025423A">
        <w:t xml:space="preserve">Table </w:t>
      </w:r>
      <w:r w:rsidR="001702C9">
        <w:rPr>
          <w:noProof/>
        </w:rPr>
        <w:t>5</w:t>
      </w:r>
      <w:r w:rsidR="001C1AE8" w:rsidRPr="00527BFD">
        <w:fldChar w:fldCharType="end"/>
      </w:r>
      <w:r w:rsidR="001C1AE8" w:rsidRPr="00527BFD">
        <w:t xml:space="preserve"> below</w:t>
      </w:r>
      <w:r w:rsidRPr="00527BFD">
        <w:t xml:space="preserve"> and are based on </w:t>
      </w:r>
      <w:proofErr w:type="spellStart"/>
      <w:r w:rsidRPr="00527BFD">
        <w:t>PopPK</w:t>
      </w:r>
      <w:proofErr w:type="spellEnd"/>
      <w:r w:rsidRPr="00527BFD">
        <w:t xml:space="preserve"> model-derived parameters from the </w:t>
      </w:r>
      <w:r w:rsidR="00FD52A9" w:rsidRPr="00527BFD">
        <w:t>cabotegravir</w:t>
      </w:r>
      <w:r w:rsidRPr="00527BFD">
        <w:t xml:space="preserve"> </w:t>
      </w:r>
      <w:r w:rsidR="00CB59BD" w:rsidRPr="00527BFD">
        <w:t xml:space="preserve">treatment </w:t>
      </w:r>
      <w:r w:rsidRPr="00527BFD">
        <w:t xml:space="preserve">program. Population (healthy </w:t>
      </w:r>
      <w:r w:rsidR="00754F3F" w:rsidRPr="00527BFD">
        <w:t>versus</w:t>
      </w:r>
      <w:r w:rsidRPr="00527BFD">
        <w:t xml:space="preserve"> HIV-infected participants) had no effect on </w:t>
      </w:r>
      <w:r w:rsidR="00FD52A9" w:rsidRPr="00527BFD">
        <w:t>cabotegravir</w:t>
      </w:r>
      <w:r w:rsidRPr="00527BFD">
        <w:t xml:space="preserve"> PK based on the </w:t>
      </w:r>
      <w:proofErr w:type="spellStart"/>
      <w:r w:rsidRPr="00527BFD">
        <w:t>PopPK</w:t>
      </w:r>
      <w:proofErr w:type="spellEnd"/>
      <w:r w:rsidRPr="00527BFD">
        <w:t xml:space="preserve"> analysis from the </w:t>
      </w:r>
      <w:r w:rsidR="00FD52A9" w:rsidRPr="00527BFD">
        <w:t>cabotegravir</w:t>
      </w:r>
      <w:r w:rsidRPr="00527BFD">
        <w:t xml:space="preserve"> </w:t>
      </w:r>
      <w:r w:rsidR="00CB59BD" w:rsidRPr="00527BFD">
        <w:t xml:space="preserve">treatment </w:t>
      </w:r>
      <w:r w:rsidRPr="00527BFD">
        <w:t>program</w:t>
      </w:r>
      <w:r w:rsidR="00CB59BD" w:rsidRPr="00527BFD">
        <w:t>,</w:t>
      </w:r>
      <w:r w:rsidRPr="00527BFD">
        <w:t xml:space="preserve"> and PK parameters between healthy and HIV-infected individuals are comparable. Observed plasma </w:t>
      </w:r>
      <w:r w:rsidR="00FD52A9" w:rsidRPr="00527BFD">
        <w:t>cabotegravir</w:t>
      </w:r>
      <w:r w:rsidRPr="00527BFD">
        <w:t xml:space="preserve"> exposures following administration of </w:t>
      </w:r>
      <w:r w:rsidR="00FD52A9" w:rsidRPr="00527BFD">
        <w:t>cabotegravir</w:t>
      </w:r>
      <w:r w:rsidRPr="00527BFD">
        <w:t xml:space="preserve"> LA </w:t>
      </w:r>
      <w:r w:rsidR="00A90EA7" w:rsidRPr="00527BFD">
        <w:t>every 8 weeks</w:t>
      </w:r>
      <w:r w:rsidRPr="00527BFD">
        <w:t xml:space="preserve"> regimen are similar between high-risk participants from </w:t>
      </w:r>
      <w:r w:rsidR="00BB0AC1" w:rsidRPr="00527BFD">
        <w:t>the</w:t>
      </w:r>
      <w:r w:rsidR="00CB59BD" w:rsidRPr="00527BFD">
        <w:t xml:space="preserve"> </w:t>
      </w:r>
      <w:r w:rsidRPr="00527BFD">
        <w:t>HPTN</w:t>
      </w:r>
      <w:r w:rsidR="00CB59BD" w:rsidRPr="00527BFD">
        <w:t> </w:t>
      </w:r>
      <w:r w:rsidRPr="00527BFD">
        <w:t>083 and HPTN</w:t>
      </w:r>
      <w:r w:rsidR="00F267D8">
        <w:t> </w:t>
      </w:r>
      <w:r w:rsidRPr="00527BFD">
        <w:t xml:space="preserve">084 </w:t>
      </w:r>
      <w:r w:rsidR="00BB0AC1" w:rsidRPr="00527BFD">
        <w:t xml:space="preserve">trials </w:t>
      </w:r>
      <w:r w:rsidRPr="00527BFD">
        <w:t>and healthy and HIV-1-infected participants.</w:t>
      </w:r>
    </w:p>
    <w:p w14:paraId="1BB11414" w14:textId="3DD91633" w:rsidR="003768A7" w:rsidRPr="0025423A" w:rsidRDefault="001C1AE8" w:rsidP="0025423A">
      <w:pPr>
        <w:pStyle w:val="TableTitle"/>
      </w:pPr>
      <w:bookmarkStart w:id="78" w:name="_Ref115861727"/>
      <w:r w:rsidRPr="0025423A">
        <w:lastRenderedPageBreak/>
        <w:t xml:space="preserve">Table </w:t>
      </w:r>
      <w:r w:rsidR="00234D1A">
        <w:fldChar w:fldCharType="begin"/>
      </w:r>
      <w:r w:rsidR="00234D1A">
        <w:instrText xml:space="preserve"> SEQ Table \* ARABIC </w:instrText>
      </w:r>
      <w:r w:rsidR="00234D1A">
        <w:fldChar w:fldCharType="separate"/>
      </w:r>
      <w:r w:rsidR="001702C9">
        <w:rPr>
          <w:noProof/>
        </w:rPr>
        <w:t>5</w:t>
      </w:r>
      <w:r w:rsidR="00234D1A">
        <w:rPr>
          <w:noProof/>
        </w:rPr>
        <w:fldChar w:fldCharType="end"/>
      </w:r>
      <w:bookmarkEnd w:id="78"/>
      <w:r w:rsidRPr="0025423A">
        <w:t>:</w:t>
      </w:r>
      <w:r w:rsidR="00332D90" w:rsidRPr="0025423A">
        <w:t xml:space="preserve"> Study 201738 (HPTN 083 trial) and Study 201739 (HPTN 084 trial)</w:t>
      </w:r>
      <w:r w:rsidR="003768A7" w:rsidRPr="0025423A">
        <w:t xml:space="preserve"> Summary </w:t>
      </w:r>
      <w:r w:rsidR="00FD52A9" w:rsidRPr="0025423A">
        <w:t>cabotegravir</w:t>
      </w:r>
      <w:r w:rsidR="003768A7" w:rsidRPr="0025423A">
        <w:t xml:space="preserve"> </w:t>
      </w:r>
      <w:r w:rsidR="00C24737" w:rsidRPr="0025423A">
        <w:t xml:space="preserve">pharmacokinetic </w:t>
      </w:r>
      <w:r w:rsidR="003768A7" w:rsidRPr="0025423A">
        <w:t xml:space="preserve">parameters following administration of proposed </w:t>
      </w:r>
      <w:r w:rsidR="00FD52A9" w:rsidRPr="0025423A">
        <w:t>cabotegravir</w:t>
      </w:r>
      <w:r w:rsidR="003768A7" w:rsidRPr="0025423A">
        <w:t xml:space="preserve"> regimens</w:t>
      </w:r>
    </w:p>
    <w:p w14:paraId="232A56CF" w14:textId="0B5C66F6" w:rsidR="00790D43" w:rsidRDefault="00790D43" w:rsidP="00A30BD9">
      <w:r>
        <w:rPr>
          <w:noProof/>
          <w:lang w:val="en-GB" w:eastAsia="en-GB"/>
        </w:rPr>
        <w:drawing>
          <wp:inline distT="0" distB="0" distL="0" distR="0" wp14:anchorId="244E9A8F" wp14:editId="1FB3D3B5">
            <wp:extent cx="5400040" cy="1558090"/>
            <wp:effectExtent l="0" t="0" r="0" b="4445"/>
            <wp:docPr id="11" name="Picture 11" descr="Table 5: Study 201738 (HPTN 083 trial) and Study 201739 (HPTN 084 trial) Summary cabotegravir pharmacokinetic parameters following administration of proposed cabotegravir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 5: Study 201738 (HPTN 083 trial) and Study 201739 (HPTN 084 trial) Summary cabotegravir pharmacokinetic parameters following administration of proposed cabotegravir regimens"/>
                    <pic:cNvPicPr/>
                  </pic:nvPicPr>
                  <pic:blipFill>
                    <a:blip r:embed="rId18"/>
                    <a:stretch>
                      <a:fillRect/>
                    </a:stretch>
                  </pic:blipFill>
                  <pic:spPr>
                    <a:xfrm>
                      <a:off x="0" y="0"/>
                      <a:ext cx="5407868" cy="1560349"/>
                    </a:xfrm>
                    <a:prstGeom prst="rect">
                      <a:avLst/>
                    </a:prstGeom>
                  </pic:spPr>
                </pic:pic>
              </a:graphicData>
            </a:graphic>
          </wp:inline>
        </w:drawing>
      </w:r>
    </w:p>
    <w:p w14:paraId="1B1B02A0" w14:textId="7B68A1DA" w:rsidR="00071DA7" w:rsidRPr="00756C1C" w:rsidRDefault="00756C1C" w:rsidP="00756C1C">
      <w:pPr>
        <w:pStyle w:val="TableDescription"/>
      </w:pPr>
      <w:r w:rsidRPr="00756C1C">
        <w:t xml:space="preserve">Abbreviations: </w:t>
      </w:r>
      <w:r w:rsidR="00071DA7" w:rsidRPr="00756C1C">
        <w:t>AUC</w:t>
      </w:r>
      <w:r w:rsidR="00071DA7" w:rsidRPr="00756C1C">
        <w:rPr>
          <w:vertAlign w:val="subscript"/>
        </w:rPr>
        <w:t>(0-tau)</w:t>
      </w:r>
      <w:r w:rsidR="00071DA7" w:rsidRPr="00756C1C">
        <w:t xml:space="preserve"> =</w:t>
      </w:r>
      <w:r w:rsidR="00F37923" w:rsidRPr="00756C1C">
        <w:t xml:space="preserve"> area under the concentration-time curve from time 0 to the end of the dosing interval</w:t>
      </w:r>
      <w:r w:rsidRPr="00756C1C">
        <w:t xml:space="preserve">; </w:t>
      </w:r>
      <w:proofErr w:type="spellStart"/>
      <w:r w:rsidR="00071DA7" w:rsidRPr="00756C1C">
        <w:t>C</w:t>
      </w:r>
      <w:r w:rsidR="00071DA7" w:rsidRPr="00756C1C">
        <w:rPr>
          <w:vertAlign w:val="subscript"/>
        </w:rPr>
        <w:t>max</w:t>
      </w:r>
      <w:proofErr w:type="spellEnd"/>
      <w:r w:rsidR="00071DA7" w:rsidRPr="00756C1C">
        <w:t xml:space="preserve"> =</w:t>
      </w:r>
      <w:r w:rsidR="00F37923" w:rsidRPr="00756C1C">
        <w:t xml:space="preserve"> maximum plasma concentration</w:t>
      </w:r>
      <w:r w:rsidRPr="00756C1C">
        <w:t>; C</w:t>
      </w:r>
      <w:r w:rsidRPr="00756C1C">
        <w:rPr>
          <w:vertAlign w:val="subscript"/>
        </w:rPr>
        <w:t>tau</w:t>
      </w:r>
      <w:r w:rsidRPr="00756C1C">
        <w:t xml:space="preserve"> = trough plasma concentrations at the end of the dosing; </w:t>
      </w:r>
      <w:r w:rsidR="00071DA7" w:rsidRPr="00756C1C">
        <w:t>IM =</w:t>
      </w:r>
      <w:r w:rsidR="00342B4E" w:rsidRPr="00756C1C">
        <w:t xml:space="preserve"> intramuscular</w:t>
      </w:r>
      <w:r w:rsidRPr="00756C1C">
        <w:t>.</w:t>
      </w:r>
    </w:p>
    <w:p w14:paraId="3C6F0972" w14:textId="6F87BDC8" w:rsidR="00332D90" w:rsidRPr="00756C1C" w:rsidRDefault="00332D90" w:rsidP="000E6B7B">
      <w:pPr>
        <w:pStyle w:val="TableDescription"/>
      </w:pPr>
      <w:r w:rsidRPr="00756C1C">
        <w:t xml:space="preserve">a. </w:t>
      </w:r>
      <w:r w:rsidR="000E6B7B" w:rsidRPr="000E6B7B">
        <w:t xml:space="preserve">Pharmacokinetic </w:t>
      </w:r>
      <w:r w:rsidR="000E6B7B">
        <w:t>(</w:t>
      </w:r>
      <w:r w:rsidRPr="00756C1C">
        <w:t>PK</w:t>
      </w:r>
      <w:r w:rsidR="000E6B7B">
        <w:t>)</w:t>
      </w:r>
      <w:r w:rsidRPr="00756C1C">
        <w:t xml:space="preserve"> parameter values were based on individual post-hoc estimates from population PK models for patients in Phase III treatment studies of </w:t>
      </w:r>
      <w:r w:rsidR="000E6B7B">
        <w:t>human immunodeficiency virus</w:t>
      </w:r>
      <w:r w:rsidR="000E6B7B" w:rsidRPr="00756C1C">
        <w:t xml:space="preserve"> </w:t>
      </w:r>
      <w:r w:rsidR="000E6B7B">
        <w:t>(</w:t>
      </w:r>
      <w:r w:rsidRPr="00756C1C">
        <w:t>HIV</w:t>
      </w:r>
      <w:r w:rsidR="000E6B7B">
        <w:t>)</w:t>
      </w:r>
      <w:r w:rsidRPr="00756C1C">
        <w:t xml:space="preserve"> treatment studies.</w:t>
      </w:r>
    </w:p>
    <w:p w14:paraId="079A31F0" w14:textId="246AB234" w:rsidR="00332D90" w:rsidRPr="00756C1C" w:rsidRDefault="00332D90" w:rsidP="00756C1C">
      <w:pPr>
        <w:pStyle w:val="TableDescription"/>
      </w:pPr>
      <w:r w:rsidRPr="00756C1C">
        <w:t xml:space="preserve">b. </w:t>
      </w:r>
      <w:r w:rsidR="000E6B7B">
        <w:t>T</w:t>
      </w:r>
      <w:r w:rsidRPr="00756C1C">
        <w:t xml:space="preserve">au is dosing interval: 24 hours for oral administration; </w:t>
      </w:r>
      <w:r w:rsidR="000E6B7B">
        <w:t>one</w:t>
      </w:r>
      <w:r w:rsidRPr="00756C1C">
        <w:t xml:space="preserve"> month for monthly and 2 months for every 2 months for </w:t>
      </w:r>
      <w:r w:rsidR="000E6B7B">
        <w:t xml:space="preserve">intramuscular </w:t>
      </w:r>
      <w:r w:rsidRPr="00756C1C">
        <w:t>injections of extended-release injectable suspension.</w:t>
      </w:r>
    </w:p>
    <w:p w14:paraId="417A88D2" w14:textId="19458BF2" w:rsidR="00332D90" w:rsidRPr="00756C1C" w:rsidRDefault="00332D90" w:rsidP="00756C1C">
      <w:pPr>
        <w:pStyle w:val="TableDescription"/>
      </w:pPr>
      <w:r w:rsidRPr="00756C1C">
        <w:t xml:space="preserve">c. </w:t>
      </w:r>
      <w:r w:rsidR="000E6B7B" w:rsidRPr="000E6B7B">
        <w:t xml:space="preserve">Oral lead-in </w:t>
      </w:r>
      <w:r w:rsidR="000E6B7B">
        <w:t>(</w:t>
      </w:r>
      <w:r w:rsidRPr="00756C1C">
        <w:t>OLI</w:t>
      </w:r>
      <w:r w:rsidR="000E6B7B">
        <w:t>)</w:t>
      </w:r>
      <w:r w:rsidRPr="00756C1C">
        <w:t xml:space="preserve"> PK parameter values represent steady state.</w:t>
      </w:r>
    </w:p>
    <w:p w14:paraId="2EA36EF7" w14:textId="23D9B4D8" w:rsidR="00332D90" w:rsidRPr="00756C1C" w:rsidRDefault="00332D90" w:rsidP="00756C1C">
      <w:pPr>
        <w:pStyle w:val="TableDescription"/>
      </w:pPr>
      <w:r w:rsidRPr="00756C1C">
        <w:t xml:space="preserve">d. Initial injection </w:t>
      </w:r>
      <w:proofErr w:type="spellStart"/>
      <w:r w:rsidRPr="00756C1C">
        <w:t>C</w:t>
      </w:r>
      <w:r w:rsidRPr="000E6B7B">
        <w:rPr>
          <w:vertAlign w:val="subscript"/>
        </w:rPr>
        <w:t>max</w:t>
      </w:r>
      <w:proofErr w:type="spellEnd"/>
      <w:r w:rsidRPr="00756C1C">
        <w:t xml:space="preserve"> values primarily reflect oral dosing because the initial injection was administered on the same day as the last oral dose; however, the AUC</w:t>
      </w:r>
      <w:r w:rsidRPr="000E6B7B">
        <w:rPr>
          <w:vertAlign w:val="subscript"/>
        </w:rPr>
        <w:t>(0-tau)</w:t>
      </w:r>
      <w:r w:rsidRPr="00756C1C">
        <w:t xml:space="preserve"> and C</w:t>
      </w:r>
      <w:r w:rsidRPr="000E6B7B">
        <w:rPr>
          <w:vertAlign w:val="subscript"/>
        </w:rPr>
        <w:t>tau</w:t>
      </w:r>
      <w:r w:rsidRPr="00756C1C">
        <w:t xml:space="preserve"> values reflect the initial injection. When administered without OLI to HIV infected recipients (n = 110), the observed </w:t>
      </w:r>
      <w:r w:rsidR="000E6B7B" w:rsidRPr="000E6B7B">
        <w:t xml:space="preserve">cabotegravir </w:t>
      </w:r>
      <w:r w:rsidRPr="00756C1C">
        <w:t>geometric mean (</w:t>
      </w:r>
      <w:r w:rsidR="000E6B7B">
        <w:t>fifth</w:t>
      </w:r>
      <w:r w:rsidRPr="00756C1C">
        <w:t xml:space="preserve">, </w:t>
      </w:r>
      <w:r w:rsidR="000E6B7B">
        <w:t>ninety fifth</w:t>
      </w:r>
      <w:r w:rsidRPr="00756C1C">
        <w:t xml:space="preserve"> percentile) </w:t>
      </w:r>
      <w:proofErr w:type="spellStart"/>
      <w:r w:rsidRPr="00756C1C">
        <w:t>C</w:t>
      </w:r>
      <w:r w:rsidRPr="000E6B7B">
        <w:rPr>
          <w:vertAlign w:val="subscript"/>
        </w:rPr>
        <w:t>max</w:t>
      </w:r>
      <w:proofErr w:type="spellEnd"/>
      <w:r w:rsidRPr="00756C1C">
        <w:t xml:space="preserve"> (</w:t>
      </w:r>
      <w:r w:rsidR="000E6B7B">
        <w:t>one</w:t>
      </w:r>
      <w:r w:rsidRPr="00756C1C">
        <w:t>-week post-initial injection) was 1.89 µg/mL (0.438, 5.69) and C</w:t>
      </w:r>
      <w:r w:rsidRPr="000E6B7B">
        <w:rPr>
          <w:vertAlign w:val="subscript"/>
        </w:rPr>
        <w:t>tau</w:t>
      </w:r>
      <w:r w:rsidRPr="00756C1C">
        <w:t xml:space="preserve"> was 1.43 µg/mL (0.403, 3.90).</w:t>
      </w:r>
    </w:p>
    <w:p w14:paraId="2E31B95D" w14:textId="27102E70" w:rsidR="003768A7" w:rsidRPr="00756C1C" w:rsidRDefault="00332D90" w:rsidP="00756C1C">
      <w:pPr>
        <w:pStyle w:val="TableDescription"/>
      </w:pPr>
      <w:r w:rsidRPr="00756C1C">
        <w:t xml:space="preserve">e. </w:t>
      </w:r>
      <w:r w:rsidR="000E6B7B" w:rsidRPr="000E6B7B">
        <w:t xml:space="preserve">Pharmacokinetic </w:t>
      </w:r>
      <w:r w:rsidR="000E6B7B">
        <w:t>(</w:t>
      </w:r>
      <w:r w:rsidRPr="00756C1C">
        <w:t>PK</w:t>
      </w:r>
      <w:r w:rsidR="000E6B7B">
        <w:t>)</w:t>
      </w:r>
      <w:r w:rsidRPr="00756C1C">
        <w:t xml:space="preserve"> parameter values represent steady state.</w:t>
      </w:r>
    </w:p>
    <w:p w14:paraId="4F631ADE" w14:textId="038D642A" w:rsidR="003768A7" w:rsidRPr="00527BFD" w:rsidRDefault="003768A7" w:rsidP="00EC5B93">
      <w:pPr>
        <w:pStyle w:val="Heading5"/>
        <w:rPr>
          <w:rFonts w:eastAsiaTheme="minorHAnsi"/>
        </w:rPr>
      </w:pPr>
      <w:r w:rsidRPr="00527BFD">
        <w:rPr>
          <w:rFonts w:eastAsiaTheme="minorHAnsi"/>
        </w:rPr>
        <w:t xml:space="preserve">Dose </w:t>
      </w:r>
      <w:r w:rsidR="00CB59BD" w:rsidRPr="00527BFD">
        <w:rPr>
          <w:rFonts w:eastAsiaTheme="minorHAnsi"/>
        </w:rPr>
        <w:t>justification</w:t>
      </w:r>
    </w:p>
    <w:p w14:paraId="280A92BD" w14:textId="3ACCE1FE" w:rsidR="003768A7" w:rsidRPr="00527BFD" w:rsidRDefault="003768A7" w:rsidP="00EC5B93">
      <w:r w:rsidRPr="00527BFD">
        <w:t xml:space="preserve">The dose rationale is based on the objective to deliver </w:t>
      </w:r>
      <w:r w:rsidR="00FD52A9" w:rsidRPr="00527BFD">
        <w:t>cabotegravir</w:t>
      </w:r>
      <w:r w:rsidRPr="00527BFD">
        <w:t xml:space="preserve"> drug concentrations to prevent acquisition of sexually transmitted HIV. The concentrations in plasma may not be directly relevant to the efficacy of </w:t>
      </w:r>
      <w:r w:rsidR="00FD52A9" w:rsidRPr="00527BFD">
        <w:t>cabotegravir</w:t>
      </w:r>
      <w:r w:rsidRPr="00527BFD">
        <w:t xml:space="preserve"> </w:t>
      </w:r>
      <w:proofErr w:type="spellStart"/>
      <w:r w:rsidRPr="00527BFD">
        <w:t>PrEP</w:t>
      </w:r>
      <w:proofErr w:type="spellEnd"/>
      <w:r w:rsidRPr="00527BFD">
        <w:t xml:space="preserve">, but plasma </w:t>
      </w:r>
      <w:r w:rsidR="00FD52A9" w:rsidRPr="00527BFD">
        <w:t>cabotegravir</w:t>
      </w:r>
      <w:r w:rsidRPr="00527BFD">
        <w:t xml:space="preserve"> concentrations provide context for concentrations in mucosal tissues at sites of sexual transmission for </w:t>
      </w:r>
      <w:proofErr w:type="spellStart"/>
      <w:r w:rsidRPr="00527BFD">
        <w:t>PrEP.</w:t>
      </w:r>
      <w:proofErr w:type="spellEnd"/>
      <w:r w:rsidRPr="00527BFD">
        <w:t xml:space="preserve"> This is important for efficacy as the primary site of action is believed to be within CD4 cells in the tissues at sites of sexual transmission. The dose schedule for evaluation in humans was based on maintaining </w:t>
      </w:r>
      <w:r w:rsidR="00FD52A9" w:rsidRPr="00527BFD">
        <w:t>cabotegravir</w:t>
      </w:r>
      <w:r w:rsidRPr="00527BFD">
        <w:t xml:space="preserve"> plasma concentrations of 0.664 µg/mL (4</w:t>
      </w:r>
      <w:r w:rsidR="00E93EAA" w:rsidRPr="00527BFD">
        <w:t xml:space="preserve"> times protein adjusted </w:t>
      </w:r>
      <w:r w:rsidRPr="00527BFD">
        <w:t>IC</w:t>
      </w:r>
      <w:r w:rsidRPr="00527BFD">
        <w:rPr>
          <w:vertAlign w:val="subscript"/>
        </w:rPr>
        <w:t>90</w:t>
      </w:r>
      <w:r w:rsidRPr="00527BFD">
        <w:t xml:space="preserve">), a concentration range shown to have significant antiviral activity </w:t>
      </w:r>
      <w:r w:rsidRPr="00527BFD">
        <w:rPr>
          <w:i/>
          <w:iCs/>
        </w:rPr>
        <w:t>in vitro</w:t>
      </w:r>
      <w:r w:rsidRPr="00527BFD">
        <w:t xml:space="preserve">, in rectal and vaginal </w:t>
      </w:r>
      <w:r w:rsidR="00E93EAA" w:rsidRPr="00527BFD">
        <w:t>simian immunodeficiency virus or simian/</w:t>
      </w:r>
      <w:r w:rsidR="00C24737" w:rsidRPr="00527BFD">
        <w:t>HIV</w:t>
      </w:r>
      <w:r w:rsidR="00E93EAA" w:rsidRPr="00527BFD">
        <w:t xml:space="preserve"> </w:t>
      </w:r>
      <w:r w:rsidRPr="00527BFD">
        <w:t xml:space="preserve">challenge models in monkeys receiving </w:t>
      </w:r>
      <w:r w:rsidR="00FD52A9" w:rsidRPr="00527BFD">
        <w:t>cabotegravir</w:t>
      </w:r>
      <w:r w:rsidRPr="00527BFD">
        <w:t xml:space="preserve"> </w:t>
      </w:r>
      <w:proofErr w:type="spellStart"/>
      <w:r w:rsidRPr="00527BFD">
        <w:t>PrEP</w:t>
      </w:r>
      <w:proofErr w:type="spellEnd"/>
      <w:r w:rsidRPr="00527BFD">
        <w:t xml:space="preserve">, in Phase </w:t>
      </w:r>
      <w:proofErr w:type="spellStart"/>
      <w:r w:rsidRPr="00527BFD">
        <w:t>IIa</w:t>
      </w:r>
      <w:proofErr w:type="spellEnd"/>
      <w:r w:rsidRPr="00527BFD">
        <w:t xml:space="preserve"> oral </w:t>
      </w:r>
      <w:r w:rsidR="00FD52A9" w:rsidRPr="00527BFD">
        <w:t>cabotegravir</w:t>
      </w:r>
      <w:r w:rsidRPr="00527BFD">
        <w:t xml:space="preserve"> monotherapy studies in HIV-1 infected participants, in achieving and maintaining virologic suppression with </w:t>
      </w:r>
      <w:r w:rsidR="00FD52A9" w:rsidRPr="00527BFD">
        <w:t>cabotegravir</w:t>
      </w:r>
      <w:r w:rsidRPr="00527BFD">
        <w:t xml:space="preserve"> </w:t>
      </w:r>
      <w:r w:rsidR="00AE677C" w:rsidRPr="00527BFD">
        <w:t>plus</w:t>
      </w:r>
      <w:r w:rsidRPr="00527BFD">
        <w:t xml:space="preserve"> </w:t>
      </w:r>
      <w:proofErr w:type="spellStart"/>
      <w:r w:rsidR="002B70E6" w:rsidRPr="00527BFD">
        <w:t>rilpivirine</w:t>
      </w:r>
      <w:proofErr w:type="spellEnd"/>
      <w:r w:rsidRPr="00527BFD">
        <w:t xml:space="preserve"> treatment and demonstrated in Phase IIb/III </w:t>
      </w:r>
      <w:proofErr w:type="spellStart"/>
      <w:r w:rsidRPr="00527BFD">
        <w:t>PrEP</w:t>
      </w:r>
      <w:proofErr w:type="spellEnd"/>
      <w:r w:rsidRPr="00527BFD">
        <w:t xml:space="preserve"> studies.</w:t>
      </w:r>
    </w:p>
    <w:p w14:paraId="3D4FB0BD" w14:textId="35DD2AB1" w:rsidR="003768A7" w:rsidRPr="00527BFD" w:rsidRDefault="003768A7" w:rsidP="00EC5B93">
      <w:r w:rsidRPr="00527BFD">
        <w:t xml:space="preserve">No </w:t>
      </w:r>
      <w:r w:rsidR="00FD52A9" w:rsidRPr="00527BFD">
        <w:t>cabotegravir</w:t>
      </w:r>
      <w:r w:rsidRPr="00527BFD">
        <w:t xml:space="preserve"> dose adjustment is required based on age, gender (at birth), race</w:t>
      </w:r>
      <w:r w:rsidR="0071237F" w:rsidRPr="00527BFD">
        <w:t>,</w:t>
      </w:r>
      <w:r w:rsidRPr="00527BFD">
        <w:t xml:space="preserve"> </w:t>
      </w:r>
      <w:r w:rsidR="0071237F" w:rsidRPr="00527BFD">
        <w:t>body mass index</w:t>
      </w:r>
      <w:r w:rsidRPr="00527BFD">
        <w:t xml:space="preserve"> or HIV</w:t>
      </w:r>
      <w:r w:rsidR="00E93EAA" w:rsidRPr="00527BFD">
        <w:t>-</w:t>
      </w:r>
      <w:r w:rsidRPr="00527BFD">
        <w:t xml:space="preserve">1 infection as these factors were not associated with clinically relevant changes in </w:t>
      </w:r>
      <w:r w:rsidR="00FD52A9" w:rsidRPr="00527BFD">
        <w:t>cabotegravir</w:t>
      </w:r>
      <w:r w:rsidRPr="00527BFD">
        <w:t xml:space="preserve"> PK. </w:t>
      </w:r>
      <w:r w:rsidR="00FD52A9" w:rsidRPr="00527BFD">
        <w:t>cabotegravir</w:t>
      </w:r>
      <w:r w:rsidRPr="00527BFD">
        <w:t xml:space="preserve"> may be administered without dose adjustment in people with mild, moderate, or severe renal impairment. </w:t>
      </w:r>
      <w:r w:rsidR="00FD52A9" w:rsidRPr="00527BFD">
        <w:t>cabotegravir</w:t>
      </w:r>
      <w:r w:rsidRPr="00527BFD">
        <w:t xml:space="preserve"> has not been studied in people with </w:t>
      </w:r>
      <w:r w:rsidR="00C15E74" w:rsidRPr="00527BFD">
        <w:t>end-stage renal disease</w:t>
      </w:r>
      <w:r w:rsidRPr="00527BFD">
        <w:t xml:space="preserve"> on renal replacement therapy. No dosage adjustment of </w:t>
      </w:r>
      <w:r w:rsidR="00FD52A9" w:rsidRPr="00527BFD">
        <w:t>cabotegravir</w:t>
      </w:r>
      <w:r w:rsidRPr="00527BFD">
        <w:t xml:space="preserve"> is required for people with mild or moderate hepatic impairment. The effect of severe hepatic impairment on </w:t>
      </w:r>
      <w:r w:rsidR="00FD52A9" w:rsidRPr="00527BFD">
        <w:t>cabotegravir</w:t>
      </w:r>
      <w:r w:rsidRPr="00527BFD">
        <w:t xml:space="preserve"> PK has not been studied.</w:t>
      </w:r>
    </w:p>
    <w:p w14:paraId="5E0FCCD1" w14:textId="27922EA4" w:rsidR="003768A7" w:rsidRPr="00527BFD" w:rsidRDefault="003768A7" w:rsidP="00EC5B93">
      <w:pPr>
        <w:pStyle w:val="Heading5"/>
        <w:rPr>
          <w:rFonts w:eastAsiaTheme="minorHAnsi"/>
        </w:rPr>
      </w:pPr>
      <w:r w:rsidRPr="00527BFD">
        <w:rPr>
          <w:rFonts w:eastAsiaTheme="minorHAnsi"/>
        </w:rPr>
        <w:lastRenderedPageBreak/>
        <w:t xml:space="preserve">Dosing </w:t>
      </w:r>
      <w:r w:rsidR="00BB0AC1" w:rsidRPr="00527BFD">
        <w:rPr>
          <w:rFonts w:eastAsiaTheme="minorHAnsi"/>
        </w:rPr>
        <w:t>r</w:t>
      </w:r>
      <w:r w:rsidRPr="00527BFD">
        <w:rPr>
          <w:rFonts w:eastAsiaTheme="minorHAnsi"/>
        </w:rPr>
        <w:t>egimen</w:t>
      </w:r>
    </w:p>
    <w:p w14:paraId="43A03916" w14:textId="3D2DEC88" w:rsidR="003768A7" w:rsidRPr="00527BFD" w:rsidRDefault="003768A7" w:rsidP="00EC5B93">
      <w:r w:rsidRPr="00527BFD">
        <w:t xml:space="preserve">The proposed </w:t>
      </w:r>
      <w:r w:rsidR="00FD52A9" w:rsidRPr="00527BFD">
        <w:t>cabotegravir</w:t>
      </w:r>
      <w:r w:rsidRPr="00527BFD">
        <w:t xml:space="preserve"> LA regimen is </w:t>
      </w:r>
      <w:r w:rsidR="00FD52A9" w:rsidRPr="00527BFD">
        <w:t>cabotegravir</w:t>
      </w:r>
      <w:r w:rsidRPr="00527BFD">
        <w:t xml:space="preserve"> LA 600 mg given </w:t>
      </w:r>
      <w:r w:rsidR="00FE7214">
        <w:t xml:space="preserve">via an intramuscular injection </w:t>
      </w:r>
      <w:r w:rsidRPr="00527BFD">
        <w:t>monthly for the first 2 injections and every 2 months thereafter.</w:t>
      </w:r>
      <w:r w:rsidR="005F0BCE" w:rsidRPr="00527BFD">
        <w:t xml:space="preserve"> </w:t>
      </w:r>
      <w:r w:rsidR="00BB0AC1" w:rsidRPr="00527BFD">
        <w:t xml:space="preserve">Cabotegravir </w:t>
      </w:r>
      <w:r w:rsidRPr="00527BFD">
        <w:t>tablets (30</w:t>
      </w:r>
      <w:r w:rsidR="00BB0AC1" w:rsidRPr="00527BFD">
        <w:t> </w:t>
      </w:r>
      <w:r w:rsidRPr="00527BFD">
        <w:t>mg) may be used as an optional oral lead</w:t>
      </w:r>
      <w:r w:rsidR="00665CD8" w:rsidRPr="00527BFD">
        <w:t>-</w:t>
      </w:r>
      <w:r w:rsidRPr="00527BFD">
        <w:t xml:space="preserve">in for </w:t>
      </w:r>
      <w:r w:rsidR="00BB0AC1" w:rsidRPr="00527BFD">
        <w:t>one</w:t>
      </w:r>
      <w:r w:rsidRPr="00527BFD">
        <w:t xml:space="preserve"> month to assess tolerability of </w:t>
      </w:r>
      <w:r w:rsidR="00FD52A9" w:rsidRPr="00527BFD">
        <w:t>cabotegravir</w:t>
      </w:r>
      <w:r w:rsidRPr="00527BFD">
        <w:t xml:space="preserve"> prior to administration of </w:t>
      </w:r>
      <w:r w:rsidR="00FD52A9" w:rsidRPr="00527BFD">
        <w:t>cabotegravir</w:t>
      </w:r>
      <w:r w:rsidRPr="00527BFD">
        <w:t xml:space="preserve"> LA and as oral </w:t>
      </w:r>
      <w:proofErr w:type="spellStart"/>
      <w:r w:rsidRPr="00527BFD">
        <w:t>PrEP</w:t>
      </w:r>
      <w:proofErr w:type="spellEnd"/>
      <w:r w:rsidRPr="00527BFD">
        <w:t xml:space="preserve"> in individuals who will miss planned dosing with </w:t>
      </w:r>
      <w:r w:rsidR="00FD52A9" w:rsidRPr="00527BFD">
        <w:t>cabotegravir</w:t>
      </w:r>
      <w:r w:rsidRPr="00527BFD">
        <w:t xml:space="preserve"> LA injection. </w:t>
      </w:r>
      <w:r w:rsidR="00BB0AC1" w:rsidRPr="00527BFD">
        <w:t xml:space="preserve">Cabotegravir </w:t>
      </w:r>
      <w:r w:rsidRPr="00527BFD">
        <w:t xml:space="preserve">tablets may be taken with or without food. </w:t>
      </w:r>
      <w:r w:rsidR="00BB0AC1" w:rsidRPr="00527BFD">
        <w:t xml:space="preserve">Oral </w:t>
      </w:r>
      <w:r w:rsidR="005C62ED" w:rsidRPr="00527BFD">
        <w:t>lead-in</w:t>
      </w:r>
      <w:r w:rsidRPr="00527BFD">
        <w:t xml:space="preserve"> is not required for the achievement of therapeutic </w:t>
      </w:r>
      <w:r w:rsidR="00FD52A9" w:rsidRPr="00527BFD">
        <w:t>cabotegravir</w:t>
      </w:r>
      <w:r w:rsidRPr="00527BFD">
        <w:t xml:space="preserve"> concentrations on initiation of </w:t>
      </w:r>
      <w:r w:rsidR="00FD52A9" w:rsidRPr="00527BFD">
        <w:t>cabotegravir</w:t>
      </w:r>
      <w:r w:rsidRPr="00527BFD">
        <w:t xml:space="preserve"> LA injections or steady state.</w:t>
      </w:r>
    </w:p>
    <w:p w14:paraId="74BADE5A" w14:textId="37A82660" w:rsidR="003768A7" w:rsidRPr="00527BFD" w:rsidRDefault="003768A7" w:rsidP="00EC5B93">
      <w:pPr>
        <w:pStyle w:val="Heading5"/>
      </w:pPr>
      <w:r w:rsidRPr="00527BFD">
        <w:t>Pharmacodynamics</w:t>
      </w:r>
    </w:p>
    <w:p w14:paraId="3FF108F9" w14:textId="22B4982B" w:rsidR="003768A7" w:rsidRPr="00527BFD" w:rsidRDefault="003768A7" w:rsidP="00EC5B93">
      <w:r w:rsidRPr="00527BFD">
        <w:t xml:space="preserve">Cabotegravir inhibits HIV integrase by binding to the integrase active site and blocking the strand transfer step of retroviral </w:t>
      </w:r>
      <w:r w:rsidR="00F13517" w:rsidRPr="00527BFD">
        <w:t>deoxyribonucleic acid (</w:t>
      </w:r>
      <w:r w:rsidRPr="00527BFD">
        <w:t>DNA</w:t>
      </w:r>
      <w:r w:rsidR="00F13517" w:rsidRPr="00527BFD">
        <w:t>)</w:t>
      </w:r>
      <w:r w:rsidRPr="00527BFD">
        <w:t xml:space="preserve"> integration, which is essential for the HIV replication cycle. No new information was provided</w:t>
      </w:r>
      <w:r w:rsidR="00BB0AC1" w:rsidRPr="00527BFD">
        <w:t xml:space="preserve"> (s</w:t>
      </w:r>
      <w:r w:rsidRPr="00527BFD">
        <w:t xml:space="preserve">ee </w:t>
      </w:r>
      <w:r w:rsidR="00BB0AC1" w:rsidRPr="00527BFD">
        <w:fldChar w:fldCharType="begin"/>
      </w:r>
      <w:r w:rsidR="00BB0AC1" w:rsidRPr="00527BFD">
        <w:instrText xml:space="preserve"> REF _Ref115874610 \h </w:instrText>
      </w:r>
      <w:r w:rsidR="00527BFD" w:rsidRPr="00527BFD">
        <w:instrText xml:space="preserve"> \* MERGEFORMAT </w:instrText>
      </w:r>
      <w:r w:rsidR="00BB0AC1" w:rsidRPr="00527BFD">
        <w:fldChar w:fldCharType="separate"/>
      </w:r>
      <w:r w:rsidR="001702C9" w:rsidRPr="0025423A">
        <w:t xml:space="preserve">Table </w:t>
      </w:r>
      <w:r w:rsidR="001702C9">
        <w:rPr>
          <w:noProof/>
        </w:rPr>
        <w:t>6</w:t>
      </w:r>
      <w:r w:rsidR="00BB0AC1" w:rsidRPr="00527BFD">
        <w:fldChar w:fldCharType="end"/>
      </w:r>
      <w:r w:rsidR="00BB0AC1" w:rsidRPr="00527BFD">
        <w:t xml:space="preserve"> below)</w:t>
      </w:r>
      <w:r w:rsidRPr="00527BFD">
        <w:t>.</w:t>
      </w:r>
    </w:p>
    <w:p w14:paraId="1CF2100D" w14:textId="1E8EBD90" w:rsidR="003768A7" w:rsidRPr="0025423A" w:rsidRDefault="00BB0AC1" w:rsidP="0025423A">
      <w:pPr>
        <w:pStyle w:val="TableTitle"/>
      </w:pPr>
      <w:bookmarkStart w:id="79" w:name="_Ref115874610"/>
      <w:r w:rsidRPr="0025423A">
        <w:t xml:space="preserve">Table </w:t>
      </w:r>
      <w:r w:rsidR="00234D1A">
        <w:fldChar w:fldCharType="begin"/>
      </w:r>
      <w:r w:rsidR="00234D1A">
        <w:instrText xml:space="preserve"> SEQ Table \* ARABIC </w:instrText>
      </w:r>
      <w:r w:rsidR="00234D1A">
        <w:fldChar w:fldCharType="separate"/>
      </w:r>
      <w:r w:rsidR="001702C9">
        <w:rPr>
          <w:noProof/>
        </w:rPr>
        <w:t>6</w:t>
      </w:r>
      <w:r w:rsidR="00234D1A">
        <w:rPr>
          <w:noProof/>
        </w:rPr>
        <w:fldChar w:fldCharType="end"/>
      </w:r>
      <w:bookmarkEnd w:id="79"/>
      <w:r w:rsidRPr="0025423A">
        <w:t xml:space="preserve">: </w:t>
      </w:r>
      <w:r w:rsidR="003768A7" w:rsidRPr="0025423A">
        <w:t xml:space="preserve">Summary of </w:t>
      </w:r>
      <w:r w:rsidR="00332D90" w:rsidRPr="0025423A">
        <w:t>effects of intrinsic and extrinsic factors, and pharmacokinetics/pharmacodynamics of cabotegravir</w:t>
      </w:r>
    </w:p>
    <w:p w14:paraId="3F271D86" w14:textId="2AE03FD8" w:rsidR="00332D90" w:rsidRDefault="00332D90" w:rsidP="000E6B7B">
      <w:r>
        <w:rPr>
          <w:noProof/>
          <w:lang w:val="en-GB" w:eastAsia="en-GB"/>
        </w:rPr>
        <w:drawing>
          <wp:inline distT="0" distB="0" distL="0" distR="0" wp14:anchorId="33191FBE" wp14:editId="6B4F24B1">
            <wp:extent cx="5400040" cy="4506686"/>
            <wp:effectExtent l="0" t="0" r="0" b="8255"/>
            <wp:docPr id="18" name="Picture 18" descr="Table 6: Summary of effects of intrinsic and extrinsic factors, and pharmacokinetics/pharmacodynamics of cabotegra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6: Summary of effects of intrinsic and extrinsic factors, and pharmacokinetics/pharmacodynamics of cabotegravir"/>
                    <pic:cNvPicPr/>
                  </pic:nvPicPr>
                  <pic:blipFill>
                    <a:blip r:embed="rId19"/>
                    <a:stretch>
                      <a:fillRect/>
                    </a:stretch>
                  </pic:blipFill>
                  <pic:spPr>
                    <a:xfrm>
                      <a:off x="0" y="0"/>
                      <a:ext cx="5401535" cy="4507934"/>
                    </a:xfrm>
                    <a:prstGeom prst="rect">
                      <a:avLst/>
                    </a:prstGeom>
                  </pic:spPr>
                </pic:pic>
              </a:graphicData>
            </a:graphic>
          </wp:inline>
        </w:drawing>
      </w:r>
    </w:p>
    <w:p w14:paraId="59E71553" w14:textId="5915AB16" w:rsidR="00071DA7" w:rsidRPr="00477A98" w:rsidRDefault="00D979DB" w:rsidP="00477A98">
      <w:pPr>
        <w:pStyle w:val="TableDescription"/>
      </w:pPr>
      <w:r w:rsidRPr="00477A98">
        <w:t xml:space="preserve">Abbreviations: </w:t>
      </w:r>
      <w:r w:rsidR="00071DA7" w:rsidRPr="00477A98">
        <w:t>AUC</w:t>
      </w:r>
      <w:r w:rsidR="001B71F9" w:rsidRPr="00477A98">
        <w:t>(</w:t>
      </w:r>
      <w:r w:rsidR="00071DA7" w:rsidRPr="00477A98">
        <w:t>0-inf</w:t>
      </w:r>
      <w:r w:rsidR="001B71F9" w:rsidRPr="00477A98">
        <w:t>)</w:t>
      </w:r>
      <w:r w:rsidR="00071DA7" w:rsidRPr="00477A98">
        <w:t xml:space="preserve"> =</w:t>
      </w:r>
      <w:r w:rsidR="001B71F9" w:rsidRPr="00477A98">
        <w:t xml:space="preserve"> area under the concentration-time curve from time zero to infinity</w:t>
      </w:r>
      <w:r w:rsidR="000E6B7B" w:rsidRPr="00477A98">
        <w:t xml:space="preserve">; BCRP = breast cancer resistance protein; BSEP = bile salt export pump; CAB = cabotegravir; CBZ = carbamazepine; CI = confidence interval; </w:t>
      </w:r>
      <w:proofErr w:type="spellStart"/>
      <w:r w:rsidR="000E6B7B" w:rsidRPr="00477A98">
        <w:t>CLCr</w:t>
      </w:r>
      <w:proofErr w:type="spellEnd"/>
      <w:r w:rsidR="000E6B7B" w:rsidRPr="00477A98">
        <w:t xml:space="preserve"> = creatinine clearance; CVF = cervicovaginal fluid; CYP = cytochrome P450; Fu = unbound fraction; HCV = hepatitis C virus; HI = hepatic impairment; HIV-1 = human immunodeficiency virus type 1; INI = integrase inhibitor; LA = long-acting; MATE = multidrug and toxin extrusion transporter ;MRP = multidrug resistance protein; MSM = men who have sex with men; NNRTI = non-nucleoside reverse transcriptase inhibitor; NRTI = nucleoside reverse transcriptase inhibitor; OATP = organic anion transporter polypeptide; OCT = organic cation transporter; PBPK = Physiologically-based pharmacokinetics; PD = pharmacodynamics; P-</w:t>
      </w:r>
      <w:proofErr w:type="spellStart"/>
      <w:r w:rsidR="000E6B7B" w:rsidRPr="00477A98">
        <w:t>gp</w:t>
      </w:r>
      <w:proofErr w:type="spellEnd"/>
      <w:r w:rsidR="000E6B7B" w:rsidRPr="00477A98">
        <w:t xml:space="preserve"> = P-glycoprotein; PI = prediction </w:t>
      </w:r>
      <w:r w:rsidR="000E6B7B" w:rsidRPr="00477A98">
        <w:lastRenderedPageBreak/>
        <w:t xml:space="preserve">interval; PK = pharmacokinetics; </w:t>
      </w:r>
      <w:proofErr w:type="spellStart"/>
      <w:r w:rsidR="00071DA7" w:rsidRPr="00477A98">
        <w:t>PrEP</w:t>
      </w:r>
      <w:proofErr w:type="spellEnd"/>
      <w:r w:rsidR="00071DA7" w:rsidRPr="00477A98">
        <w:t xml:space="preserve"> =</w:t>
      </w:r>
      <w:r w:rsidR="001B71F9" w:rsidRPr="00477A98">
        <w:t xml:space="preserve"> pre-exposure prophylaxis</w:t>
      </w:r>
      <w:r w:rsidR="000E6B7B" w:rsidRPr="00477A98">
        <w:t xml:space="preserve">; RBT = rifabutin; RIF = </w:t>
      </w:r>
      <w:proofErr w:type="spellStart"/>
      <w:r w:rsidR="000E6B7B" w:rsidRPr="00477A98">
        <w:t>rifampin</w:t>
      </w:r>
      <w:proofErr w:type="spellEnd"/>
      <w:r w:rsidR="000E6B7B" w:rsidRPr="00477A98">
        <w:t xml:space="preserve">; </w:t>
      </w:r>
      <w:r w:rsidR="00071DA7" w:rsidRPr="00477A98">
        <w:t>TGW =</w:t>
      </w:r>
      <w:r w:rsidR="001B71F9" w:rsidRPr="00477A98">
        <w:t xml:space="preserve"> transgender women who have sex with men</w:t>
      </w:r>
      <w:r w:rsidR="000E6B7B" w:rsidRPr="00477A98">
        <w:t xml:space="preserve">; TQT = Thorough QT; </w:t>
      </w:r>
      <w:r w:rsidR="00071DA7" w:rsidRPr="00477A98">
        <w:t>UGT =</w:t>
      </w:r>
      <w:r w:rsidR="001B71F9" w:rsidRPr="00477A98">
        <w:t xml:space="preserve"> UDP-glucuronosyltransferase</w:t>
      </w:r>
      <w:r w:rsidR="000E6B7B" w:rsidRPr="00477A98">
        <w:t>.</w:t>
      </w:r>
    </w:p>
    <w:p w14:paraId="672D69EB" w14:textId="137091EF" w:rsidR="00332D90" w:rsidRPr="00477A98" w:rsidRDefault="00332D90" w:rsidP="00477A98">
      <w:pPr>
        <w:pStyle w:val="TableDescription"/>
      </w:pPr>
      <w:r w:rsidRPr="00477A98">
        <w:t>a. Elimination pathways of CAB are independent of formulation and route of administration; therefore, results from HI and renal impairment studies evaluated following oral administration inform the recommendations for the CAB LA regimen.</w:t>
      </w:r>
    </w:p>
    <w:p w14:paraId="7DDA9DD3" w14:textId="0E8EF784" w:rsidR="003768A7" w:rsidRPr="00477A98" w:rsidRDefault="00332D90" w:rsidP="00477A98">
      <w:pPr>
        <w:pStyle w:val="TableDescription"/>
      </w:pPr>
      <w:r w:rsidRPr="00477A98">
        <w:t xml:space="preserve">b. Metabolic pathways of CAB are independent of formulation and route of administration, and exposures are similar following oral CAB and CAB LA administration; therefore, results from oral </w:t>
      </w:r>
      <w:r w:rsidR="00477A98" w:rsidRPr="00477A98">
        <w:t>drug</w:t>
      </w:r>
      <w:r w:rsidR="00477A98" w:rsidRPr="00477A98">
        <w:noBreakHyphen/>
        <w:t>drug interaction</w:t>
      </w:r>
      <w:r w:rsidRPr="00477A98">
        <w:t xml:space="preserve"> studies inform the recommendations for the CAB LA regimen.</w:t>
      </w:r>
    </w:p>
    <w:p w14:paraId="46E59100" w14:textId="48D4FC7B" w:rsidR="003768A7" w:rsidRPr="00527BFD" w:rsidRDefault="003768A7" w:rsidP="00EC5B93">
      <w:pPr>
        <w:pStyle w:val="Heading4"/>
      </w:pPr>
      <w:r w:rsidRPr="00527BFD">
        <w:t>Efficacy</w:t>
      </w:r>
    </w:p>
    <w:p w14:paraId="2E989DEA" w14:textId="36180BEF" w:rsidR="003768A7" w:rsidRPr="00527BFD" w:rsidRDefault="003768A7" w:rsidP="00EC5B93">
      <w:r w:rsidRPr="00527BFD">
        <w:t xml:space="preserve">The </w:t>
      </w:r>
      <w:r w:rsidR="00FD52A9" w:rsidRPr="00527BFD">
        <w:t>cabotegravir</w:t>
      </w:r>
      <w:r w:rsidRPr="00527BFD">
        <w:t xml:space="preserve"> </w:t>
      </w:r>
      <w:proofErr w:type="spellStart"/>
      <w:r w:rsidRPr="00527BFD">
        <w:t>PrEP</w:t>
      </w:r>
      <w:proofErr w:type="spellEnd"/>
      <w:r w:rsidRPr="00527BFD">
        <w:t xml:space="preserve"> clinical efficacy program includes</w:t>
      </w:r>
      <w:r w:rsidR="00BB0AC1" w:rsidRPr="00527BFD">
        <w:t>:</w:t>
      </w:r>
    </w:p>
    <w:p w14:paraId="2FEEE0F7" w14:textId="0D6DF8EA" w:rsidR="003768A7" w:rsidRPr="00527BFD" w:rsidRDefault="003768A7" w:rsidP="00EC5B93">
      <w:pPr>
        <w:pStyle w:val="ListBullet"/>
      </w:pPr>
      <w:r w:rsidRPr="00527BFD">
        <w:t xml:space="preserve">2 pivotal studies: </w:t>
      </w:r>
      <w:r w:rsidR="00BB0AC1" w:rsidRPr="00527BFD">
        <w:t xml:space="preserve">Study </w:t>
      </w:r>
      <w:r w:rsidRPr="00527BFD">
        <w:t>201738</w:t>
      </w:r>
      <w:r w:rsidR="00BB0AC1" w:rsidRPr="00527BFD">
        <w:t xml:space="preserve"> (the </w:t>
      </w:r>
      <w:r w:rsidRPr="00527BFD">
        <w:t>HPTN 083</w:t>
      </w:r>
      <w:r w:rsidR="00BB0AC1" w:rsidRPr="00527BFD">
        <w:t xml:space="preserve"> trial)</w:t>
      </w:r>
      <w:r w:rsidRPr="00527BFD">
        <w:t xml:space="preserve"> and Study 201739</w:t>
      </w:r>
      <w:r w:rsidR="00BB0AC1" w:rsidRPr="00527BFD">
        <w:t xml:space="preserve"> (the </w:t>
      </w:r>
      <w:r w:rsidRPr="00527BFD">
        <w:t>HPTN</w:t>
      </w:r>
      <w:r w:rsidR="00BB0AC1" w:rsidRPr="00527BFD">
        <w:t> </w:t>
      </w:r>
      <w:r w:rsidRPr="00527BFD">
        <w:t>084</w:t>
      </w:r>
      <w:r w:rsidR="00BB0AC1" w:rsidRPr="00527BFD">
        <w:t xml:space="preserve"> trial)</w:t>
      </w:r>
      <w:r w:rsidRPr="00527BFD">
        <w:t xml:space="preserve"> to assess the safety and efficacy of </w:t>
      </w:r>
      <w:r w:rsidR="00FD52A9" w:rsidRPr="00527BFD">
        <w:t>cabotegravir</w:t>
      </w:r>
      <w:r w:rsidRPr="00527BFD">
        <w:t xml:space="preserve"> </w:t>
      </w:r>
      <w:proofErr w:type="spellStart"/>
      <w:r w:rsidRPr="00527BFD">
        <w:t>PrEP</w:t>
      </w:r>
      <w:proofErr w:type="spellEnd"/>
      <w:r w:rsidRPr="00527BFD">
        <w:t xml:space="preserve"> compared to the active comparator daily oral </w:t>
      </w:r>
      <w:r w:rsidR="00F13517" w:rsidRPr="00527BFD">
        <w:t>tenofovir disoproxil fumarate (</w:t>
      </w:r>
      <w:r w:rsidRPr="00527BFD">
        <w:t>TDF</w:t>
      </w:r>
      <w:r w:rsidR="00F13517" w:rsidRPr="00527BFD">
        <w:t>)</w:t>
      </w:r>
      <w:r w:rsidRPr="00527BFD">
        <w:t>/</w:t>
      </w:r>
      <w:r w:rsidR="000B10F7" w:rsidRPr="00527BFD">
        <w:t>emtricitabine</w:t>
      </w:r>
      <w:r w:rsidRPr="00527BFD">
        <w:t xml:space="preserve"> for HIV </w:t>
      </w:r>
      <w:proofErr w:type="spellStart"/>
      <w:r w:rsidRPr="00527BFD">
        <w:t>PrEP</w:t>
      </w:r>
      <w:proofErr w:type="spellEnd"/>
      <w:r w:rsidRPr="00527BFD">
        <w:t xml:space="preserve"> in the most key affected populations globally being </w:t>
      </w:r>
      <w:r w:rsidR="001C1AE8" w:rsidRPr="00527BFD">
        <w:t>cisgender men who have sex with men</w:t>
      </w:r>
      <w:r w:rsidRPr="00527BFD">
        <w:t xml:space="preserve"> and </w:t>
      </w:r>
      <w:r w:rsidR="001C1AE8" w:rsidRPr="00527BFD">
        <w:t>transgender women</w:t>
      </w:r>
      <w:r w:rsidRPr="00527BFD">
        <w:t xml:space="preserve"> </w:t>
      </w:r>
      <w:r w:rsidR="005F0BCE" w:rsidRPr="00527BFD">
        <w:t>(</w:t>
      </w:r>
      <w:r w:rsidR="00BB0AC1" w:rsidRPr="00527BFD">
        <w:t>the HPTN 083 trial</w:t>
      </w:r>
      <w:r w:rsidR="005F0BCE" w:rsidRPr="00527BFD">
        <w:t>)</w:t>
      </w:r>
      <w:r w:rsidRPr="00527BFD">
        <w:t xml:space="preserve"> and cisgender women </w:t>
      </w:r>
      <w:r w:rsidR="005F0BCE" w:rsidRPr="00527BFD">
        <w:t>(</w:t>
      </w:r>
      <w:r w:rsidR="00CC53B1" w:rsidRPr="00527BFD">
        <w:t>the</w:t>
      </w:r>
      <w:r w:rsidR="00BB0AC1" w:rsidRPr="00527BFD">
        <w:t xml:space="preserve"> </w:t>
      </w:r>
      <w:r w:rsidRPr="00527BFD">
        <w:t>HPTN 084</w:t>
      </w:r>
      <w:proofErr w:type="gramStart"/>
      <w:r w:rsidR="005F0BCE" w:rsidRPr="00527BFD">
        <w:t>)</w:t>
      </w:r>
      <w:r w:rsidR="00BB0AC1" w:rsidRPr="00527BFD">
        <w:t>;</w:t>
      </w:r>
      <w:proofErr w:type="gramEnd"/>
    </w:p>
    <w:p w14:paraId="7A393E17" w14:textId="4A348723" w:rsidR="003768A7" w:rsidRPr="00527BFD" w:rsidRDefault="003768A7" w:rsidP="00EC5B93">
      <w:pPr>
        <w:pStyle w:val="ListBullet"/>
      </w:pPr>
      <w:r w:rsidRPr="00527BFD">
        <w:t xml:space="preserve">2 supportive studies: Study 201120 </w:t>
      </w:r>
      <w:r w:rsidR="00BB0AC1" w:rsidRPr="00527BFD">
        <w:t>(</w:t>
      </w:r>
      <w:r w:rsidR="00B614A4" w:rsidRPr="00527BFD">
        <w:t xml:space="preserve">also known as </w:t>
      </w:r>
      <w:r w:rsidR="00BB0AC1" w:rsidRPr="00527BFD">
        <w:t>the</w:t>
      </w:r>
      <w:r w:rsidRPr="00527BFD">
        <w:t xml:space="preserve"> ÉCLAIR</w:t>
      </w:r>
      <w:r w:rsidR="00BB0AC1" w:rsidRPr="00527BFD">
        <w:t xml:space="preserve"> trial)</w:t>
      </w:r>
      <w:r w:rsidRPr="00527BFD">
        <w:t xml:space="preserve"> and Study</w:t>
      </w:r>
      <w:r w:rsidR="00B614A4" w:rsidRPr="00527BFD">
        <w:t> </w:t>
      </w:r>
      <w:r w:rsidRPr="00527BFD">
        <w:t xml:space="preserve">201103 </w:t>
      </w:r>
      <w:r w:rsidR="00BB0AC1" w:rsidRPr="00527BFD">
        <w:t>(</w:t>
      </w:r>
      <w:r w:rsidR="00CC53B1" w:rsidRPr="00527BFD">
        <w:t>the HPTN 077 trial</w:t>
      </w:r>
      <w:r w:rsidR="00BB0AC1" w:rsidRPr="00527BFD">
        <w:t>)</w:t>
      </w:r>
      <w:r w:rsidR="005F0BCE" w:rsidRPr="00527BFD">
        <w:t xml:space="preserve"> </w:t>
      </w:r>
      <w:r w:rsidRPr="00527BFD">
        <w:t xml:space="preserve">to evaluate the safety, tolerability, and </w:t>
      </w:r>
      <w:r w:rsidR="00C56168" w:rsidRPr="00527BFD">
        <w:t>pharmacokinetics (</w:t>
      </w:r>
      <w:r w:rsidRPr="00527BFD">
        <w:t>PK</w:t>
      </w:r>
      <w:r w:rsidR="00C56168" w:rsidRPr="00527BFD">
        <w:t>)</w:t>
      </w:r>
      <w:r w:rsidRPr="00527BFD">
        <w:t xml:space="preserve"> of </w:t>
      </w:r>
      <w:r w:rsidR="00FD52A9" w:rsidRPr="00527BFD">
        <w:t>cabotegravir</w:t>
      </w:r>
      <w:r w:rsidRPr="00527BFD">
        <w:t xml:space="preserve"> </w:t>
      </w:r>
      <w:proofErr w:type="spellStart"/>
      <w:r w:rsidRPr="00527BFD">
        <w:t>PrEP</w:t>
      </w:r>
      <w:proofErr w:type="spellEnd"/>
      <w:r w:rsidRPr="00527BFD">
        <w:t xml:space="preserve"> in HIV</w:t>
      </w:r>
      <w:r w:rsidR="00BB0AC1" w:rsidRPr="00527BFD">
        <w:noBreakHyphen/>
      </w:r>
      <w:r w:rsidRPr="00527BFD">
        <w:t xml:space="preserve">negative, adult men at low risk of acquiring HIV infection </w:t>
      </w:r>
      <w:r w:rsidR="005F0BCE" w:rsidRPr="00527BFD">
        <w:t>(</w:t>
      </w:r>
      <w:r w:rsidR="00BB0AC1" w:rsidRPr="00527BFD">
        <w:t xml:space="preserve">the </w:t>
      </w:r>
      <w:r w:rsidRPr="00527BFD">
        <w:t>ÉCLAIR</w:t>
      </w:r>
      <w:r w:rsidR="00BB0AC1" w:rsidRPr="00527BFD">
        <w:t xml:space="preserve"> trial</w:t>
      </w:r>
      <w:r w:rsidR="005F0BCE" w:rsidRPr="00527BFD">
        <w:t>)</w:t>
      </w:r>
      <w:r w:rsidRPr="00527BFD">
        <w:t xml:space="preserve"> and HIV-negative adult men and women at low risk of acquiring HIV infection </w:t>
      </w:r>
      <w:r w:rsidR="005F0BCE" w:rsidRPr="00527BFD">
        <w:t>(</w:t>
      </w:r>
      <w:r w:rsidR="00CC53B1" w:rsidRPr="00527BFD">
        <w:t>the HPTN 077 trial</w:t>
      </w:r>
      <w:r w:rsidR="005F0BCE" w:rsidRPr="00527BFD">
        <w:t>)</w:t>
      </w:r>
      <w:r w:rsidRPr="00527BFD">
        <w:t>.</w:t>
      </w:r>
      <w:r w:rsidR="005F0BCE" w:rsidRPr="00527BFD">
        <w:t xml:space="preserve"> </w:t>
      </w:r>
      <w:r w:rsidRPr="00527BFD">
        <w:t xml:space="preserve">The </w:t>
      </w:r>
      <w:r w:rsidR="00FD52A9" w:rsidRPr="00527BFD">
        <w:t>cabotegravir</w:t>
      </w:r>
      <w:r w:rsidRPr="00527BFD">
        <w:t xml:space="preserve"> injection dosing regime was selected based on these studies</w:t>
      </w:r>
      <w:r w:rsidR="00BB0AC1" w:rsidRPr="00527BFD">
        <w:t>; and</w:t>
      </w:r>
    </w:p>
    <w:p w14:paraId="010FFACF" w14:textId="604671F0" w:rsidR="003768A7" w:rsidRPr="00527BFD" w:rsidRDefault="00B614A4" w:rsidP="00EC5B93">
      <w:pPr>
        <w:pStyle w:val="ListBullet"/>
      </w:pPr>
      <w:r w:rsidRPr="00527BFD">
        <w:t>Study 201584 (t</w:t>
      </w:r>
      <w:r w:rsidR="003768A7" w:rsidRPr="00527BFD">
        <w:t>he FLAIR extension study</w:t>
      </w:r>
      <w:r w:rsidRPr="00527BFD">
        <w:t>)</w:t>
      </w:r>
      <w:r w:rsidR="00BB0AC1" w:rsidRPr="00527BFD">
        <w:t>.</w:t>
      </w:r>
    </w:p>
    <w:p w14:paraId="1FD490BF" w14:textId="33F95B5C" w:rsidR="003768A7" w:rsidRDefault="003768A7" w:rsidP="00EC5B93">
      <w:pPr>
        <w:pStyle w:val="Heading5"/>
        <w:rPr>
          <w:rFonts w:eastAsiaTheme="minorHAnsi"/>
          <w:iCs/>
        </w:rPr>
      </w:pPr>
      <w:r w:rsidRPr="00527BFD">
        <w:rPr>
          <w:rFonts w:eastAsiaTheme="minorHAnsi"/>
          <w:iCs/>
        </w:rPr>
        <w:t xml:space="preserve">Pivotal </w:t>
      </w:r>
      <w:r w:rsidR="00B614A4" w:rsidRPr="00527BFD">
        <w:rPr>
          <w:rFonts w:eastAsiaTheme="minorHAnsi"/>
          <w:iCs/>
        </w:rPr>
        <w:t>studies</w:t>
      </w:r>
    </w:p>
    <w:p w14:paraId="00329F3C" w14:textId="35670CE3" w:rsidR="00CA5416" w:rsidRPr="00CA5416" w:rsidRDefault="00CA5416" w:rsidP="0059470F">
      <w:pPr>
        <w:pStyle w:val="Heading6"/>
        <w:rPr>
          <w:rFonts w:eastAsiaTheme="minorHAnsi"/>
        </w:rPr>
      </w:pPr>
      <w:r>
        <w:rPr>
          <w:rFonts w:eastAsiaTheme="minorHAnsi"/>
          <w:iCs/>
        </w:rPr>
        <w:t xml:space="preserve">Study </w:t>
      </w:r>
      <w:r w:rsidRPr="00A15ADC">
        <w:rPr>
          <w:rFonts w:eastAsiaTheme="minorHAnsi"/>
          <w:iCs/>
        </w:rPr>
        <w:t>201738</w:t>
      </w:r>
      <w:r>
        <w:rPr>
          <w:rFonts w:eastAsiaTheme="minorHAnsi"/>
          <w:iCs/>
        </w:rPr>
        <w:t xml:space="preserve"> (</w:t>
      </w:r>
      <w:r w:rsidRPr="00527BFD">
        <w:t xml:space="preserve">HPTN </w:t>
      </w:r>
      <w:r>
        <w:t>0</w:t>
      </w:r>
      <w:r w:rsidRPr="00527BFD">
        <w:t>83</w:t>
      </w:r>
      <w:r>
        <w:t xml:space="preserve"> trial)</w:t>
      </w:r>
      <w:r w:rsidRPr="00527BFD">
        <w:t xml:space="preserve"> and </w:t>
      </w:r>
      <w:r>
        <w:t xml:space="preserve">Study </w:t>
      </w:r>
      <w:r w:rsidRPr="00A15ADC">
        <w:t>201739</w:t>
      </w:r>
      <w:r>
        <w:t xml:space="preserve"> (</w:t>
      </w:r>
      <w:r w:rsidRPr="00527BFD">
        <w:t xml:space="preserve">HPTN </w:t>
      </w:r>
      <w:r>
        <w:t>0</w:t>
      </w:r>
      <w:r w:rsidRPr="00527BFD">
        <w:t>84 trial</w:t>
      </w:r>
      <w:r>
        <w:t>) overview</w:t>
      </w:r>
    </w:p>
    <w:p w14:paraId="38C1A9D5" w14:textId="379A8DE5" w:rsidR="003768A7" w:rsidRPr="00527BFD" w:rsidRDefault="003768A7" w:rsidP="00EC5B93">
      <w:r w:rsidRPr="00527BFD">
        <w:t xml:space="preserve">Treatment schedules for </w:t>
      </w:r>
      <w:r w:rsidR="00B614A4" w:rsidRPr="00527BFD">
        <w:t xml:space="preserve">the </w:t>
      </w:r>
      <w:r w:rsidR="00A15ADC">
        <w:rPr>
          <w:rFonts w:eastAsiaTheme="minorHAnsi"/>
          <w:iCs/>
        </w:rPr>
        <w:t xml:space="preserve">Study </w:t>
      </w:r>
      <w:r w:rsidR="00A15ADC" w:rsidRPr="00A15ADC">
        <w:rPr>
          <w:rFonts w:eastAsiaTheme="minorHAnsi"/>
          <w:iCs/>
        </w:rPr>
        <w:t>201738</w:t>
      </w:r>
      <w:r w:rsidR="00A15ADC">
        <w:rPr>
          <w:rFonts w:eastAsiaTheme="minorHAnsi"/>
          <w:iCs/>
        </w:rPr>
        <w:t xml:space="preserve"> (the </w:t>
      </w:r>
      <w:r w:rsidRPr="00527BFD">
        <w:t xml:space="preserve">HPTN </w:t>
      </w:r>
      <w:r w:rsidR="00A15ADC">
        <w:t>0</w:t>
      </w:r>
      <w:r w:rsidRPr="00527BFD">
        <w:t>83</w:t>
      </w:r>
      <w:r w:rsidR="00A15ADC">
        <w:t xml:space="preserve"> trial)</w:t>
      </w:r>
      <w:r w:rsidRPr="00527BFD">
        <w:t xml:space="preserve"> and </w:t>
      </w:r>
      <w:r w:rsidR="00A15ADC">
        <w:t xml:space="preserve">Study </w:t>
      </w:r>
      <w:r w:rsidR="00A15ADC" w:rsidRPr="00A15ADC">
        <w:t>201739</w:t>
      </w:r>
      <w:r w:rsidR="00A15ADC">
        <w:t xml:space="preserve"> (the </w:t>
      </w:r>
      <w:r w:rsidRPr="00527BFD">
        <w:t>HPTN</w:t>
      </w:r>
      <w:r w:rsidR="00F267D8">
        <w:t> </w:t>
      </w:r>
      <w:r w:rsidR="00A15ADC">
        <w:t>0</w:t>
      </w:r>
      <w:r w:rsidRPr="00527BFD">
        <w:t xml:space="preserve">84 </w:t>
      </w:r>
      <w:r w:rsidR="00B614A4" w:rsidRPr="00527BFD">
        <w:t>trial</w:t>
      </w:r>
      <w:r w:rsidR="00A15ADC">
        <w:t>)</w:t>
      </w:r>
      <w:r w:rsidR="00B614A4" w:rsidRPr="00527BFD">
        <w:t xml:space="preserve"> are identical.</w:t>
      </w:r>
      <w:r w:rsidR="00CA5416">
        <w:t xml:space="preserve"> Treatment arms A and B are summarised below.</w:t>
      </w:r>
    </w:p>
    <w:p w14:paraId="352DC604" w14:textId="109AA7D9" w:rsidR="00EC5B93" w:rsidRPr="00527BFD" w:rsidRDefault="003768A7" w:rsidP="00EC5B93">
      <w:pPr>
        <w:pStyle w:val="Heading6"/>
        <w:rPr>
          <w:rFonts w:eastAsiaTheme="minorHAnsi"/>
        </w:rPr>
      </w:pPr>
      <w:r w:rsidRPr="00527BFD">
        <w:rPr>
          <w:rFonts w:eastAsiaTheme="minorHAnsi"/>
        </w:rPr>
        <w:t>Arm A (</w:t>
      </w:r>
      <w:r w:rsidR="00FD52A9" w:rsidRPr="00527BFD">
        <w:rPr>
          <w:rFonts w:eastAsiaTheme="minorHAnsi"/>
        </w:rPr>
        <w:t>cabotegravir</w:t>
      </w:r>
      <w:r w:rsidRPr="00527BFD">
        <w:rPr>
          <w:rFonts w:eastAsiaTheme="minorHAnsi"/>
        </w:rPr>
        <w:t>)</w:t>
      </w:r>
    </w:p>
    <w:p w14:paraId="789D1DED" w14:textId="713AF61E" w:rsidR="003768A7" w:rsidRPr="00527BFD" w:rsidRDefault="003768A7" w:rsidP="00EC5B93">
      <w:r w:rsidRPr="00527BFD">
        <w:t>In Step 1 (</w:t>
      </w:r>
      <w:r w:rsidR="00B614A4" w:rsidRPr="00527BFD">
        <w:t>oral lead-in phase</w:t>
      </w:r>
      <w:r w:rsidRPr="00527BFD">
        <w:t xml:space="preserve">), participants received daily oral active </w:t>
      </w:r>
      <w:r w:rsidR="00FD52A9" w:rsidRPr="00527BFD">
        <w:t>cabotegravir</w:t>
      </w:r>
      <w:r w:rsidRPr="00527BFD">
        <w:t xml:space="preserve"> (30</w:t>
      </w:r>
      <w:r w:rsidR="00B614A4" w:rsidRPr="00527BFD">
        <w:t> </w:t>
      </w:r>
      <w:r w:rsidRPr="00527BFD">
        <w:t>mg tablets) and oral placebo TDF/</w:t>
      </w:r>
      <w:r w:rsidR="000B10F7" w:rsidRPr="00527BFD">
        <w:t>emtricitabine</w:t>
      </w:r>
      <w:r w:rsidRPr="00527BFD">
        <w:t xml:space="preserve"> for 4 weeks (up to 5 weeks allowed for any delays in testing results); then in Step 2 (</w:t>
      </w:r>
      <w:r w:rsidR="00B614A4" w:rsidRPr="00527BFD">
        <w:t>injection phase</w:t>
      </w:r>
      <w:r w:rsidRPr="00527BFD">
        <w:t xml:space="preserve">), participants received active </w:t>
      </w:r>
      <w:r w:rsidR="00FD52A9" w:rsidRPr="00527BFD">
        <w:t>cabotegravir</w:t>
      </w:r>
      <w:r w:rsidRPr="00527BFD">
        <w:t xml:space="preserve"> </w:t>
      </w:r>
      <w:r w:rsidR="00BB7D88" w:rsidRPr="00BB7D88">
        <w:t xml:space="preserve">long-acting </w:t>
      </w:r>
      <w:r w:rsidR="00BB7D88">
        <w:t>(</w:t>
      </w:r>
      <w:r w:rsidRPr="00527BFD">
        <w:t>LA</w:t>
      </w:r>
      <w:r w:rsidR="00BB7D88">
        <w:t>)</w:t>
      </w:r>
      <w:r w:rsidRPr="00527BFD">
        <w:t xml:space="preserve"> (600 mg as a single </w:t>
      </w:r>
      <w:r w:rsidR="00E908B2" w:rsidRPr="00527BFD">
        <w:t>intramuscular</w:t>
      </w:r>
      <w:r w:rsidRPr="00527BFD">
        <w:t xml:space="preserve"> injection at 2 timepoints 4</w:t>
      </w:r>
      <w:r w:rsidR="00F267D8">
        <w:t> </w:t>
      </w:r>
      <w:r w:rsidRPr="00527BFD">
        <w:t>weeks apart and every 8 weeks thereafter) and daily oral placebo TDF/</w:t>
      </w:r>
      <w:r w:rsidR="000B10F7" w:rsidRPr="00527BFD">
        <w:t>emtricitabine</w:t>
      </w:r>
      <w:r w:rsidRPr="00527BFD">
        <w:t xml:space="preserve"> to Week</w:t>
      </w:r>
      <w:r w:rsidR="00B614A4" w:rsidRPr="00527BFD">
        <w:t> </w:t>
      </w:r>
      <w:r w:rsidRPr="00527BFD">
        <w:t>153.</w:t>
      </w:r>
    </w:p>
    <w:p w14:paraId="15FD07AA" w14:textId="2FE22087" w:rsidR="00EC5B93" w:rsidRPr="00527BFD" w:rsidRDefault="003768A7" w:rsidP="00B614A4">
      <w:pPr>
        <w:pStyle w:val="Heading6"/>
        <w:rPr>
          <w:rFonts w:eastAsiaTheme="minorHAnsi"/>
        </w:rPr>
      </w:pPr>
      <w:r w:rsidRPr="00527BFD">
        <w:rPr>
          <w:rFonts w:eastAsiaTheme="minorHAnsi"/>
        </w:rPr>
        <w:t>Arm B (</w:t>
      </w:r>
      <w:r w:rsidR="00C24737" w:rsidRPr="00527BFD">
        <w:rPr>
          <w:rFonts w:eastAsiaTheme="minorHAnsi"/>
        </w:rPr>
        <w:t>tenofovir disoproxil fumarate</w:t>
      </w:r>
      <w:r w:rsidRPr="00527BFD">
        <w:rPr>
          <w:rFonts w:eastAsiaTheme="minorHAnsi"/>
        </w:rPr>
        <w:t>/</w:t>
      </w:r>
      <w:r w:rsidR="000B10F7" w:rsidRPr="00527BFD">
        <w:rPr>
          <w:rFonts w:eastAsiaTheme="minorHAnsi"/>
        </w:rPr>
        <w:t>emtricitabine</w:t>
      </w:r>
      <w:r w:rsidRPr="00527BFD">
        <w:rPr>
          <w:rFonts w:eastAsiaTheme="minorHAnsi"/>
        </w:rPr>
        <w:t>)</w:t>
      </w:r>
    </w:p>
    <w:p w14:paraId="041234ED" w14:textId="1DDEA767" w:rsidR="003768A7" w:rsidRPr="00527BFD" w:rsidRDefault="003768A7" w:rsidP="00EC5B93">
      <w:r w:rsidRPr="00527BFD">
        <w:t>In Step 1 (</w:t>
      </w:r>
      <w:r w:rsidR="00B614A4" w:rsidRPr="00527BFD">
        <w:t>oral lead-in phase</w:t>
      </w:r>
      <w:r w:rsidRPr="00527BFD">
        <w:t>), participants received daily oral active TDF/</w:t>
      </w:r>
      <w:r w:rsidR="000B10F7" w:rsidRPr="00527BFD">
        <w:t>emtricitabine</w:t>
      </w:r>
      <w:r w:rsidRPr="00527BFD">
        <w:t xml:space="preserve"> (300 mg/200 mg </w:t>
      </w:r>
      <w:r w:rsidR="00B614A4" w:rsidRPr="00527BFD">
        <w:t>fixed-dose combination</w:t>
      </w:r>
      <w:r w:rsidRPr="00527BFD">
        <w:t xml:space="preserve"> tablets) and oral placebo </w:t>
      </w:r>
      <w:r w:rsidR="00FD52A9" w:rsidRPr="00527BFD">
        <w:t>cabotegravir</w:t>
      </w:r>
      <w:r w:rsidRPr="00527BFD">
        <w:t xml:space="preserve"> for 4</w:t>
      </w:r>
      <w:r w:rsidR="00B614A4" w:rsidRPr="00527BFD">
        <w:t> </w:t>
      </w:r>
      <w:r w:rsidRPr="00527BFD">
        <w:t>weeks (up to 5 weeks allowed for any delays in testing results); then in Step 2 (</w:t>
      </w:r>
      <w:r w:rsidR="00B614A4" w:rsidRPr="00527BFD">
        <w:t>injection phase</w:t>
      </w:r>
      <w:r w:rsidRPr="00527BFD">
        <w:t>), participants received daily oral active TDF/</w:t>
      </w:r>
      <w:r w:rsidR="000B10F7" w:rsidRPr="00527BFD">
        <w:t>emtricitabine</w:t>
      </w:r>
      <w:r w:rsidRPr="00527BFD">
        <w:t xml:space="preserve"> (300 mg/200 mg </w:t>
      </w:r>
      <w:r w:rsidR="00B614A4" w:rsidRPr="00527BFD">
        <w:t>fixed</w:t>
      </w:r>
      <w:r w:rsidR="00B614A4" w:rsidRPr="00527BFD">
        <w:noBreakHyphen/>
        <w:t xml:space="preserve">dose combination </w:t>
      </w:r>
      <w:r w:rsidRPr="00527BFD">
        <w:t xml:space="preserve">tablets) and </w:t>
      </w:r>
      <w:r w:rsidR="00E908B2" w:rsidRPr="00527BFD">
        <w:t>intramuscular</w:t>
      </w:r>
      <w:r w:rsidRPr="00527BFD">
        <w:t xml:space="preserve"> placebo (at 2 timepoints 4 weeks apart and every 8 weeks thereafter) to Week 153.</w:t>
      </w:r>
    </w:p>
    <w:p w14:paraId="152329AF" w14:textId="124CFAAE" w:rsidR="003768A7" w:rsidRPr="00527BFD" w:rsidRDefault="003768A7" w:rsidP="00EC5B93">
      <w:r w:rsidRPr="00527BFD">
        <w:t xml:space="preserve">In pivotal studies the primary efficacy end point was the rate of incident HIV infections in </w:t>
      </w:r>
      <w:r w:rsidR="00B614A4" w:rsidRPr="00527BFD">
        <w:t>Steps </w:t>
      </w:r>
      <w:r w:rsidRPr="00527BFD">
        <w:t xml:space="preserve">1 </w:t>
      </w:r>
      <w:r w:rsidR="00B614A4" w:rsidRPr="00527BFD">
        <w:t>and</w:t>
      </w:r>
      <w:r w:rsidRPr="00527BFD">
        <w:t xml:space="preserve"> 2.</w:t>
      </w:r>
    </w:p>
    <w:p w14:paraId="68883D1F" w14:textId="52BDD141" w:rsidR="003768A7" w:rsidRPr="00527BFD" w:rsidRDefault="003768A7" w:rsidP="00EC5B93">
      <w:r w:rsidRPr="00527BFD">
        <w:t xml:space="preserve">Participants enrolled across the pivotal studies comprised adult, HIV-negative </w:t>
      </w:r>
      <w:r w:rsidR="001C1AE8" w:rsidRPr="00527BFD">
        <w:t>cisgender men who have sex with men</w:t>
      </w:r>
      <w:r w:rsidRPr="00527BFD">
        <w:t xml:space="preserve">, </w:t>
      </w:r>
      <w:r w:rsidR="001C1AE8" w:rsidRPr="00527BFD">
        <w:t>transgender women</w:t>
      </w:r>
      <w:r w:rsidRPr="00527BFD">
        <w:t>, and cisgender women who were in general good health and able to provide written informed consent. For the studies that included cisgender women (</w:t>
      </w:r>
      <w:r w:rsidR="00CC53B1" w:rsidRPr="00527BFD">
        <w:t xml:space="preserve">the HPTN 084 </w:t>
      </w:r>
      <w:r w:rsidRPr="00527BFD">
        <w:t>and HPTN 077</w:t>
      </w:r>
      <w:r w:rsidR="00CC53B1" w:rsidRPr="00527BFD">
        <w:t xml:space="preserve"> trials</w:t>
      </w:r>
      <w:r w:rsidRPr="00527BFD">
        <w:t xml:space="preserve">), women of child-bearing </w:t>
      </w:r>
      <w:r w:rsidRPr="00527BFD">
        <w:lastRenderedPageBreak/>
        <w:t>potential were eligible for enrolment if using a reliable method of contraception. Each of the studies recruited individuals at risk of acquiring HIV infection.</w:t>
      </w:r>
    </w:p>
    <w:p w14:paraId="349FE693" w14:textId="01E1639D" w:rsidR="003768A7" w:rsidRPr="00527BFD" w:rsidRDefault="003768A7" w:rsidP="00EC5B93">
      <w:r w:rsidRPr="00527BFD">
        <w:t xml:space="preserve">Formal interim statistical analyses were planned to be conducted at specified time points during the pivotal trials. These analysis times corresponded to when approximately 25%, 50%, and 75% of the estimated maximum number of HIV infections had been observed for </w:t>
      </w:r>
      <w:r w:rsidR="00BB0AC1" w:rsidRPr="00527BFD">
        <w:t xml:space="preserve">the HPTN 083 trial </w:t>
      </w:r>
      <w:r w:rsidRPr="00527BFD">
        <w:t xml:space="preserve">and 22%, 39%, 59%, and 78% for </w:t>
      </w:r>
      <w:r w:rsidR="00CC53B1" w:rsidRPr="00527BFD">
        <w:t>the HPTN 084 trial</w:t>
      </w:r>
      <w:r w:rsidRPr="00527BFD">
        <w:t>.</w:t>
      </w:r>
      <w:r w:rsidR="00CC53B1" w:rsidRPr="00527BFD">
        <w:t xml:space="preserve"> </w:t>
      </w:r>
      <w:r w:rsidRPr="00527BFD">
        <w:t>The blinded portion of both pivotal studies was stopped early, based on data safety monitoring board review of available interim data at the first analysis time points given meeting the pre</w:t>
      </w:r>
      <w:r w:rsidR="00F267D8">
        <w:noBreakHyphen/>
      </w:r>
      <w:r w:rsidRPr="00527BFD">
        <w:t xml:space="preserve">specified stopping criteria in both studies, and the demonstration of efficacy of </w:t>
      </w:r>
      <w:r w:rsidR="00FD52A9" w:rsidRPr="00527BFD">
        <w:t>cabotegravir</w:t>
      </w:r>
      <w:r w:rsidRPr="00527BFD">
        <w:t xml:space="preserve"> LA when compared to daily oral TDF/</w:t>
      </w:r>
      <w:r w:rsidR="000B10F7" w:rsidRPr="00527BFD">
        <w:t>emtricitabine</w:t>
      </w:r>
      <w:r w:rsidRPr="00527BFD">
        <w:t>. Participants randomi</w:t>
      </w:r>
      <w:r w:rsidR="00462EFD" w:rsidRPr="00527BFD">
        <w:t>s</w:t>
      </w:r>
      <w:r w:rsidRPr="00527BFD">
        <w:t>ed to the active TDF/</w:t>
      </w:r>
      <w:r w:rsidR="000B10F7" w:rsidRPr="00527BFD">
        <w:t>emtricitabine</w:t>
      </w:r>
      <w:r w:rsidRPr="00527BFD">
        <w:t xml:space="preserve"> group were offered </w:t>
      </w:r>
      <w:r w:rsidR="00FD52A9" w:rsidRPr="00527BFD">
        <w:t>cabotegravir</w:t>
      </w:r>
      <w:r w:rsidRPr="00527BFD">
        <w:t xml:space="preserve"> LA.</w:t>
      </w:r>
    </w:p>
    <w:p w14:paraId="1956D3AB" w14:textId="33E614DC" w:rsidR="003768A7" w:rsidRPr="00527BFD" w:rsidRDefault="003768A7" w:rsidP="00A15ADC">
      <w:pPr>
        <w:pStyle w:val="Heading6"/>
      </w:pPr>
      <w:r w:rsidRPr="00527BFD">
        <w:t>Study 201738</w:t>
      </w:r>
      <w:r w:rsidR="00A15ADC">
        <w:t xml:space="preserve"> (</w:t>
      </w:r>
      <w:r w:rsidR="00A15ADC" w:rsidRPr="00A15ADC">
        <w:t>HPTN 083 trial</w:t>
      </w:r>
      <w:r w:rsidR="00A15ADC">
        <w:t>)</w:t>
      </w:r>
    </w:p>
    <w:p w14:paraId="15F27EA2" w14:textId="5BC7C491" w:rsidR="003768A7" w:rsidRPr="00527BFD" w:rsidRDefault="00B614A4" w:rsidP="00EC5B93">
      <w:r w:rsidRPr="00527BFD">
        <w:t>Study 201738 (the HPTN 083 trial) is a</w:t>
      </w:r>
      <w:r w:rsidR="003768A7" w:rsidRPr="00527BFD">
        <w:t xml:space="preserve"> Phase IIb/III, multicentre double</w:t>
      </w:r>
      <w:r w:rsidRPr="00527BFD">
        <w:t xml:space="preserve"> </w:t>
      </w:r>
      <w:r w:rsidR="003768A7" w:rsidRPr="00527BFD">
        <w:t>blind, randomised 1:1, active</w:t>
      </w:r>
      <w:r w:rsidR="001C4290" w:rsidRPr="00527BFD">
        <w:t xml:space="preserve"> </w:t>
      </w:r>
      <w:r w:rsidR="003768A7" w:rsidRPr="00527BFD">
        <w:t xml:space="preserve">controlled, non-inferiority efficacy study of long-acting injectable </w:t>
      </w:r>
      <w:r w:rsidR="00FD52A9" w:rsidRPr="00527BFD">
        <w:t>cabotegravir</w:t>
      </w:r>
      <w:r w:rsidR="003768A7" w:rsidRPr="00527BFD">
        <w:t xml:space="preserve"> versus daily oral TDF/</w:t>
      </w:r>
      <w:r w:rsidR="000B10F7" w:rsidRPr="00527BFD">
        <w:t>emtricitabine</w:t>
      </w:r>
      <w:r w:rsidR="003768A7" w:rsidRPr="00527BFD">
        <w:t xml:space="preserve"> for the prevention of incident HIV infection in uninfected adult cisgender men and transgender women who have sex with men. The primary objectives were to compare HIV incidence and safety among participants randomised to oral </w:t>
      </w:r>
      <w:r w:rsidR="00FD52A9" w:rsidRPr="00527BFD">
        <w:t>cabotegravir</w:t>
      </w:r>
      <w:r w:rsidR="003768A7" w:rsidRPr="00527BFD">
        <w:t>/</w:t>
      </w:r>
      <w:r w:rsidR="00FD52A9" w:rsidRPr="00527BFD">
        <w:t>cabotegravir</w:t>
      </w:r>
      <w:r w:rsidR="003768A7" w:rsidRPr="00527BFD">
        <w:t xml:space="preserve"> LA (oral lead</w:t>
      </w:r>
      <w:r w:rsidR="00665CD8" w:rsidRPr="00527BFD">
        <w:t>-</w:t>
      </w:r>
      <w:r w:rsidR="003768A7" w:rsidRPr="00527BFD">
        <w:t xml:space="preserve">in and injections) </w:t>
      </w:r>
      <w:r w:rsidR="00754F3F" w:rsidRPr="00527BFD">
        <w:t>versus</w:t>
      </w:r>
      <w:r w:rsidR="003768A7" w:rsidRPr="00527BFD">
        <w:t xml:space="preserve"> oral TDF/</w:t>
      </w:r>
      <w:r w:rsidR="000B10F7" w:rsidRPr="00527BFD">
        <w:t>emtricitabine</w:t>
      </w:r>
      <w:r w:rsidR="003768A7" w:rsidRPr="00527BFD">
        <w:t>.</w:t>
      </w:r>
    </w:p>
    <w:p w14:paraId="3C0BC5CA" w14:textId="17D6BEA5" w:rsidR="003768A7" w:rsidRPr="00527BFD" w:rsidRDefault="003768A7" w:rsidP="00EC5B93">
      <w:r w:rsidRPr="00527BFD">
        <w:t>The trial was initiated in December 2016, recruited adults aged 18 years or older, and conducted at 43 centres in Argentina, Brazil, Peru, United States, South Africa, Thailand, and Vietnam (N</w:t>
      </w:r>
      <w:r w:rsidR="00754F3F" w:rsidRPr="00527BFD">
        <w:t xml:space="preserve"> = </w:t>
      </w:r>
      <w:r w:rsidRPr="00527BFD">
        <w:t xml:space="preserve">4,570) between 2016 and 2020. Participants were </w:t>
      </w:r>
      <w:r w:rsidR="001C1AE8" w:rsidRPr="00527BFD">
        <w:t>cisgender men who have sex with men</w:t>
      </w:r>
      <w:r w:rsidRPr="00527BFD">
        <w:t xml:space="preserve"> or </w:t>
      </w:r>
      <w:r w:rsidR="001C1AE8" w:rsidRPr="00527BFD">
        <w:t>transgender women</w:t>
      </w:r>
      <w:r w:rsidR="001C4290" w:rsidRPr="00527BFD">
        <w:t xml:space="preserve"> (s</w:t>
      </w:r>
      <w:r w:rsidRPr="00527BFD">
        <w:t xml:space="preserve">ee </w:t>
      </w:r>
      <w:r w:rsidR="001C4290" w:rsidRPr="00527BFD">
        <w:fldChar w:fldCharType="begin"/>
      </w:r>
      <w:r w:rsidR="001C4290" w:rsidRPr="00527BFD">
        <w:instrText xml:space="preserve"> REF _Ref115876461 \h </w:instrText>
      </w:r>
      <w:r w:rsidR="00527BFD" w:rsidRPr="00527BFD">
        <w:instrText xml:space="preserve"> \* MERGEFORMAT </w:instrText>
      </w:r>
      <w:r w:rsidR="001C4290" w:rsidRPr="00527BFD">
        <w:fldChar w:fldCharType="separate"/>
      </w:r>
      <w:r w:rsidR="001702C9" w:rsidRPr="0025423A">
        <w:t xml:space="preserve">Figure </w:t>
      </w:r>
      <w:r w:rsidR="001702C9">
        <w:rPr>
          <w:noProof/>
        </w:rPr>
        <w:t>1</w:t>
      </w:r>
      <w:r w:rsidR="001C4290" w:rsidRPr="00527BFD">
        <w:fldChar w:fldCharType="end"/>
      </w:r>
      <w:r w:rsidR="001C4290" w:rsidRPr="00527BFD">
        <w:t xml:space="preserve"> below</w:t>
      </w:r>
      <w:r w:rsidR="00E57026" w:rsidRPr="00527BFD">
        <w:t xml:space="preserve"> for the study design</w:t>
      </w:r>
      <w:r w:rsidR="001C4290" w:rsidRPr="00527BFD">
        <w:t>)</w:t>
      </w:r>
      <w:r w:rsidR="003A1035" w:rsidRPr="00527BFD">
        <w:t>.</w:t>
      </w:r>
    </w:p>
    <w:p w14:paraId="2DA9F32E" w14:textId="24CF3CE3" w:rsidR="003768A7" w:rsidRPr="0025423A" w:rsidRDefault="001C4290" w:rsidP="0025423A">
      <w:pPr>
        <w:pStyle w:val="FigureTitle"/>
      </w:pPr>
      <w:bookmarkStart w:id="80" w:name="_Ref115876461"/>
      <w:r w:rsidRPr="0025423A">
        <w:t xml:space="preserve">Figure </w:t>
      </w:r>
      <w:r w:rsidR="00234D1A">
        <w:fldChar w:fldCharType="begin"/>
      </w:r>
      <w:r w:rsidR="00234D1A">
        <w:instrText xml:space="preserve"> SEQ Figure \* ARABIC </w:instrText>
      </w:r>
      <w:r w:rsidR="00234D1A">
        <w:fldChar w:fldCharType="separate"/>
      </w:r>
      <w:r w:rsidR="001702C9">
        <w:rPr>
          <w:noProof/>
        </w:rPr>
        <w:t>1</w:t>
      </w:r>
      <w:r w:rsidR="00234D1A">
        <w:rPr>
          <w:noProof/>
        </w:rPr>
        <w:fldChar w:fldCharType="end"/>
      </w:r>
      <w:bookmarkEnd w:id="80"/>
      <w:r w:rsidR="003768A7" w:rsidRPr="0025423A">
        <w:t xml:space="preserve">: </w:t>
      </w:r>
      <w:r w:rsidR="00AC3147" w:rsidRPr="0025423A">
        <w:t>Study 201738 (</w:t>
      </w:r>
      <w:r w:rsidRPr="0025423A">
        <w:t>HPTN 083 trial</w:t>
      </w:r>
      <w:r w:rsidR="00AC3147" w:rsidRPr="0025423A">
        <w:t>)</w:t>
      </w:r>
      <w:r w:rsidRPr="0025423A">
        <w:t xml:space="preserve"> </w:t>
      </w:r>
      <w:r w:rsidR="003768A7" w:rsidRPr="0025423A">
        <w:t xml:space="preserve">Study </w:t>
      </w:r>
      <w:r w:rsidR="00E57026" w:rsidRPr="0025423A">
        <w:t>design</w:t>
      </w:r>
    </w:p>
    <w:p w14:paraId="6BE2E76D" w14:textId="442F5D27" w:rsidR="003768A7" w:rsidRDefault="00A7739E" w:rsidP="00477A98">
      <w:r>
        <w:rPr>
          <w:noProof/>
          <w:lang w:val="en-GB" w:eastAsia="en-GB"/>
        </w:rPr>
        <w:drawing>
          <wp:inline distT="0" distB="0" distL="0" distR="0" wp14:anchorId="58E4EC24" wp14:editId="6273B53E">
            <wp:extent cx="5400040" cy="2496820"/>
            <wp:effectExtent l="0" t="0" r="0" b="0"/>
            <wp:docPr id="19" name="Picture 19" descr="Figure 1: Study 201738 (HPTN 083 trial) Study design&#10;&#10;Study 201738 is an ongoing Phase IIb/III, multicenter, double blind, two arm, randomised, controlled non-inferiority study evaluating the efficacy, safety, and acceptability of cabotegravir pre-exposure prophylaxis.&#10;&#10;Eligible participants were randomised 1:1 (cabotegravir: tenofovir disoproxil fumarate (TDF) / emtricitabine) and were treated as follows:&#10;&#10;Arm A (cabotegravir):&#10;In Step 1 (oral lead in phase), participants received daily oral active cabotegravir (30 mg tablets) and oral placebo TDF / emtricitabine for 4 weeks (up to 5 weeks allowed for any delays in testing results); then in Step 2 (injection phase), participants received active cabotegravir long lasting (600 mg as a single intramuscular injection at 2 timepoints 4 weeks apart and every 8 weeks thereafter) and daily oral placebo TDF / emtricitabine to Week 153.&#10;&#10;Arm B (TDF/ emtricitabine):&#10;In Step 1 (oral lead in phase), participants received daily oral active TDF / emtricitabine (300 mg/200 mg fix dose combination tablets) and oral placebo cabotegravir for 4 weeks (up to 5 weeks allowed for any delays in testing results); then in Step 2 (injection phase), participants received daily oral active TDF / emtricitabine (300 mg/200 mg fix dose combination tablets) and intramuscular placebo (at 2 timepoints 4 weeks apart and every 8 weeks thereafter) to Week 153.&#10;&#10;Participants who became human immunodeficiency virus (HIV) infected during Step 1 were to permanently discontinue study drug, terminate from the study, and be referred for HIV-related care.&#10;&#10;Participants who became HIV-infected during Step 2 were to permanently discontinue study drug, be placed on immediate suppressive antiretroviral therapy, and be followed at quarterly intervals for 52 weeks after their last injection prior to diagnosis of HIV in order to test for safety parameters, as well as CD4+ cell count and HIV viral load. After 52 weeks, the participants were to be terminated from the study and transitioned to continued HIV related care.&#10;&#10;Participants who did not become HIV-infected during Step 1 or 2, could enter the protocol planned transition to Step 3 in which open label daily oral TDF / emtricitabine was offered at Week 153 (last day of Step 2 / first day of Step 3) and continued for 48 weeks. In instances where the participant discontinued study drug during Step 2 (prior to Week 153) and began open label TDF / emtricitabine, this was referred to as entering early Ste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1: Study 201738 (HPTN 083 trial) Study design&#10;&#10;Study 201738 is an ongoing Phase IIb/III, multicenter, double blind, two arm, randomised, controlled non-inferiority study evaluating the efficacy, safety, and acceptability of cabotegravir pre-exposure prophylaxis.&#10;&#10;Eligible participants were randomised 1:1 (cabotegravir: tenofovir disoproxil fumarate (TDF) / emtricitabine) and were treated as follows:&#10;&#10;Arm A (cabotegravir):&#10;In Step 1 (oral lead in phase), participants received daily oral active cabotegravir (30 mg tablets) and oral placebo TDF / emtricitabine for 4 weeks (up to 5 weeks allowed for any delays in testing results); then in Step 2 (injection phase), participants received active cabotegravir long lasting (600 mg as a single intramuscular injection at 2 timepoints 4 weeks apart and every 8 weeks thereafter) and daily oral placebo TDF / emtricitabine to Week 153.&#10;&#10;Arm B (TDF/ emtricitabine):&#10;In Step 1 (oral lead in phase), participants received daily oral active TDF / emtricitabine (300 mg/200 mg fix dose combination tablets) and oral placebo cabotegravir for 4 weeks (up to 5 weeks allowed for any delays in testing results); then in Step 2 (injection phase), participants received daily oral active TDF / emtricitabine (300 mg/200 mg fix dose combination tablets) and intramuscular placebo (at 2 timepoints 4 weeks apart and every 8 weeks thereafter) to Week 153.&#10;&#10;Participants who became human immunodeficiency virus (HIV) infected during Step 1 were to permanently discontinue study drug, terminate from the study, and be referred for HIV-related care.&#10;&#10;Participants who became HIV-infected during Step 2 were to permanently discontinue study drug, be placed on immediate suppressive antiretroviral therapy, and be followed at quarterly intervals for 52 weeks after their last injection prior to diagnosis of HIV in order to test for safety parameters, as well as CD4+ cell count and HIV viral load. After 52 weeks, the participants were to be terminated from the study and transitioned to continued HIV related care.&#10;&#10;Participants who did not become HIV-infected during Step 1 or 2, could enter the protocol planned transition to Step 3 in which open label daily oral TDF / emtricitabine was offered at Week 153 (last day of Step 2 / first day of Step 3) and continued for 48 weeks. In instances where the participant discontinued study drug during Step 2 (prior to Week 153) and began open label TDF / emtricitabine, this was referred to as entering early Step 3."/>
                    <pic:cNvPicPr/>
                  </pic:nvPicPr>
                  <pic:blipFill>
                    <a:blip r:embed="rId20"/>
                    <a:stretch>
                      <a:fillRect/>
                    </a:stretch>
                  </pic:blipFill>
                  <pic:spPr>
                    <a:xfrm>
                      <a:off x="0" y="0"/>
                      <a:ext cx="5400040" cy="2496820"/>
                    </a:xfrm>
                    <a:prstGeom prst="rect">
                      <a:avLst/>
                    </a:prstGeom>
                  </pic:spPr>
                </pic:pic>
              </a:graphicData>
            </a:graphic>
          </wp:inline>
        </w:drawing>
      </w:r>
    </w:p>
    <w:p w14:paraId="3860A65E" w14:textId="7E9FFEFF" w:rsidR="00E02E69" w:rsidRPr="00477A98" w:rsidRDefault="00477A98" w:rsidP="00477A98">
      <w:pPr>
        <w:pStyle w:val="FigureDescription"/>
      </w:pPr>
      <w:r w:rsidRPr="00477A98">
        <w:t xml:space="preserve">Abbreviations: </w:t>
      </w:r>
      <w:r w:rsidR="00071DA7" w:rsidRPr="00477A98">
        <w:t>CAB</w:t>
      </w:r>
      <w:r w:rsidR="008449C5" w:rsidRPr="00477A98">
        <w:t xml:space="preserve"> =</w:t>
      </w:r>
      <w:r w:rsidR="001B71F9" w:rsidRPr="00477A98">
        <w:t xml:space="preserve"> cabotegravir</w:t>
      </w:r>
      <w:r w:rsidRPr="00477A98">
        <w:t xml:space="preserve">; FTC = emtricitabine; IM = intramuscular; </w:t>
      </w:r>
      <w:r w:rsidR="00071DA7" w:rsidRPr="00477A98">
        <w:t>LA</w:t>
      </w:r>
      <w:r w:rsidR="008449C5" w:rsidRPr="00477A98">
        <w:t xml:space="preserve"> =</w:t>
      </w:r>
      <w:r w:rsidR="00F25AFD" w:rsidRPr="00477A98">
        <w:t xml:space="preserve"> </w:t>
      </w:r>
      <w:proofErr w:type="gramStart"/>
      <w:r w:rsidR="00F25AFD" w:rsidRPr="00477A98">
        <w:t>long-acting</w:t>
      </w:r>
      <w:proofErr w:type="gramEnd"/>
      <w:r w:rsidRPr="00477A98">
        <w:t>; PK</w:t>
      </w:r>
      <w:r w:rsidR="00057681">
        <w:t> </w:t>
      </w:r>
      <w:r w:rsidRPr="00477A98">
        <w:t>=</w:t>
      </w:r>
      <w:r w:rsidR="00057681">
        <w:t> </w:t>
      </w:r>
      <w:r w:rsidRPr="00477A98">
        <w:t xml:space="preserve">pharmacokinetics; PO = orally; Q8 = every 8; QD = once a day; </w:t>
      </w:r>
      <w:r w:rsidR="00071DA7" w:rsidRPr="00477A98">
        <w:t>TDF</w:t>
      </w:r>
      <w:r w:rsidR="008449C5" w:rsidRPr="00477A98">
        <w:t xml:space="preserve"> =</w:t>
      </w:r>
      <w:r w:rsidR="00342B4E" w:rsidRPr="00477A98">
        <w:t xml:space="preserve"> tenofovir disoproxil fumarate</w:t>
      </w:r>
      <w:r w:rsidRPr="00477A98">
        <w:t xml:space="preserve">; </w:t>
      </w:r>
      <w:r w:rsidR="00E02E69" w:rsidRPr="00477A98">
        <w:t>w = week</w:t>
      </w:r>
      <w:r w:rsidRPr="00477A98">
        <w:t>.</w:t>
      </w:r>
    </w:p>
    <w:p w14:paraId="60CDB988" w14:textId="14524782" w:rsidR="003768A7" w:rsidRPr="00527BFD" w:rsidRDefault="001C4290" w:rsidP="00EC5B93">
      <w:r w:rsidRPr="00527BFD">
        <w:t xml:space="preserve">The </w:t>
      </w:r>
      <w:r w:rsidR="00BB0AC1" w:rsidRPr="00527BFD">
        <w:t>HPTN 083 trial</w:t>
      </w:r>
      <w:r w:rsidR="003768A7" w:rsidRPr="00527BFD">
        <w:t xml:space="preserve"> enrolled </w:t>
      </w:r>
      <w:r w:rsidR="001C1AE8" w:rsidRPr="00527BFD">
        <w:t>cisgender men who have sex with men</w:t>
      </w:r>
      <w:r w:rsidR="003768A7" w:rsidRPr="00527BFD">
        <w:t xml:space="preserve"> and </w:t>
      </w:r>
      <w:r w:rsidR="001C1AE8" w:rsidRPr="00527BFD">
        <w:t>transgender women</w:t>
      </w:r>
      <w:r w:rsidR="003768A7" w:rsidRPr="00527BFD">
        <w:t>, with a total of 4</w:t>
      </w:r>
      <w:r w:rsidRPr="00527BFD">
        <w:t>,</w:t>
      </w:r>
      <w:r w:rsidR="003768A7" w:rsidRPr="00527BFD">
        <w:t>570 participants randomi</w:t>
      </w:r>
      <w:r w:rsidR="00462EFD" w:rsidRPr="00527BFD">
        <w:t>s</w:t>
      </w:r>
      <w:r w:rsidR="003768A7" w:rsidRPr="00527BFD">
        <w:t>ed (2</w:t>
      </w:r>
      <w:r w:rsidRPr="00527BFD">
        <w:t>,</w:t>
      </w:r>
      <w:r w:rsidR="003768A7" w:rsidRPr="00527BFD">
        <w:t xml:space="preserve">283 in </w:t>
      </w:r>
      <w:r w:rsidR="00FD52A9" w:rsidRPr="00527BFD">
        <w:t>cabotegravir</w:t>
      </w:r>
      <w:r w:rsidR="003768A7" w:rsidRPr="00527BFD">
        <w:t xml:space="preserve"> group and 2</w:t>
      </w:r>
      <w:r w:rsidRPr="00527BFD">
        <w:t>,</w:t>
      </w:r>
      <w:r w:rsidR="003768A7" w:rsidRPr="00527BFD">
        <w:t>287 in TDF/</w:t>
      </w:r>
      <w:r w:rsidR="000B10F7" w:rsidRPr="00527BFD">
        <w:t>emtricitabine</w:t>
      </w:r>
      <w:r w:rsidR="003768A7" w:rsidRPr="00527BFD">
        <w:t xml:space="preserve"> group); of these 4566 were treated with at least </w:t>
      </w:r>
      <w:r w:rsidRPr="00527BFD">
        <w:t>one</w:t>
      </w:r>
      <w:r w:rsidR="003768A7" w:rsidRPr="00527BFD">
        <w:t xml:space="preserve"> dose of </w:t>
      </w:r>
      <w:r w:rsidRPr="00527BFD">
        <w:t xml:space="preserve">the </w:t>
      </w:r>
      <w:r w:rsidR="003768A7" w:rsidRPr="00527BFD">
        <w:t>study drug (2</w:t>
      </w:r>
      <w:r w:rsidRPr="00527BFD">
        <w:t>,</w:t>
      </w:r>
      <w:r w:rsidR="003768A7" w:rsidRPr="00527BFD">
        <w:t xml:space="preserve">282 participants in the </w:t>
      </w:r>
      <w:r w:rsidR="00FD52A9" w:rsidRPr="00527BFD">
        <w:t>cabotegravir</w:t>
      </w:r>
      <w:r w:rsidR="003768A7" w:rsidRPr="00527BFD">
        <w:t xml:space="preserve"> group and 2</w:t>
      </w:r>
      <w:r w:rsidRPr="00527BFD">
        <w:t>,</w:t>
      </w:r>
      <w:r w:rsidR="003768A7" w:rsidRPr="00527BFD">
        <w:t>284 participants in the TDF/</w:t>
      </w:r>
      <w:r w:rsidR="000B10F7" w:rsidRPr="00527BFD">
        <w:t>emtricitabine</w:t>
      </w:r>
      <w:r w:rsidR="003768A7" w:rsidRPr="00527BFD">
        <w:t xml:space="preserve"> group.</w:t>
      </w:r>
      <w:r w:rsidRPr="00527BFD">
        <w:t xml:space="preserve"> </w:t>
      </w:r>
      <w:r w:rsidR="003768A7" w:rsidRPr="00527BFD">
        <w:t>Demographic characteristics were similar between the 2</w:t>
      </w:r>
      <w:r w:rsidRPr="00527BFD">
        <w:t> </w:t>
      </w:r>
      <w:r w:rsidR="003768A7" w:rsidRPr="00527BFD">
        <w:t>groups. The baseline characteristics show two</w:t>
      </w:r>
      <w:r w:rsidRPr="00527BFD">
        <w:t xml:space="preserve"> </w:t>
      </w:r>
      <w:r w:rsidR="003768A7" w:rsidRPr="00527BFD">
        <w:t>thirds of study participants were under 30</w:t>
      </w:r>
      <w:r w:rsidR="00F267D8">
        <w:t> </w:t>
      </w:r>
      <w:r w:rsidR="003768A7" w:rsidRPr="00527BFD">
        <w:t xml:space="preserve">years of age and 12% were </w:t>
      </w:r>
      <w:r w:rsidR="001C1AE8" w:rsidRPr="00527BFD">
        <w:t>transgender women</w:t>
      </w:r>
      <w:r w:rsidR="003768A7" w:rsidRPr="00527BFD">
        <w:t xml:space="preserve">. Participants identifying as Black or African American comprised 25% of the total population, and the study met the </w:t>
      </w:r>
      <w:r w:rsidR="003768A7" w:rsidRPr="00527BFD">
        <w:lastRenderedPageBreak/>
        <w:t>pre</w:t>
      </w:r>
      <w:r w:rsidR="00057681">
        <w:noBreakHyphen/>
      </w:r>
      <w:r w:rsidR="003768A7" w:rsidRPr="00527BFD">
        <w:t xml:space="preserve">specified goal to enrol 50% Black </w:t>
      </w:r>
      <w:r w:rsidR="001C1AE8" w:rsidRPr="00527BFD">
        <w:t>cisgender men who have sex with men</w:t>
      </w:r>
      <w:r w:rsidR="003768A7" w:rsidRPr="00527BFD">
        <w:t xml:space="preserve"> among participants</w:t>
      </w:r>
      <w:r w:rsidR="00057681">
        <w:t xml:space="preserve"> in the USA</w:t>
      </w:r>
      <w:r w:rsidR="003768A7" w:rsidRPr="00527BFD">
        <w:t xml:space="preserve">. Pre-specified recruitment goals of this study were also to enrol </w:t>
      </w:r>
      <w:proofErr w:type="gramStart"/>
      <w:r w:rsidR="003768A7" w:rsidRPr="00527BFD">
        <w:t>a majority of</w:t>
      </w:r>
      <w:proofErr w:type="gramEnd"/>
      <w:r w:rsidR="003768A7" w:rsidRPr="00527BFD">
        <w:t xml:space="preserve"> participants 30 years of age or younger and to ensure that at least 10% of participants were </w:t>
      </w:r>
      <w:r w:rsidR="001C1AE8" w:rsidRPr="00527BFD">
        <w:t>transgender women</w:t>
      </w:r>
      <w:r w:rsidR="003768A7" w:rsidRPr="00527BFD">
        <w:t>; both of these recruitment goals were also met.</w:t>
      </w:r>
    </w:p>
    <w:p w14:paraId="53783F58" w14:textId="75925031" w:rsidR="003768A7" w:rsidRPr="00527BFD" w:rsidRDefault="003768A7" w:rsidP="00EC5B93">
      <w:r w:rsidRPr="00527BFD">
        <w:t>The independent Data Safety Monitoring Board</w:t>
      </w:r>
      <w:r w:rsidR="00D43DAD" w:rsidRPr="00527BFD">
        <w:t xml:space="preserve"> (DSMB)</w:t>
      </w:r>
      <w:r w:rsidRPr="00527BFD">
        <w:t xml:space="preserve"> recommended early termination of the blinded portion of the </w:t>
      </w:r>
      <w:r w:rsidR="00BB0AC1" w:rsidRPr="00527BFD">
        <w:t>HPTN 083 trial</w:t>
      </w:r>
      <w:r w:rsidRPr="00527BFD">
        <w:t xml:space="preserve"> on 14</w:t>
      </w:r>
      <w:r w:rsidR="001C4290" w:rsidRPr="00527BFD">
        <w:t xml:space="preserve"> </w:t>
      </w:r>
      <w:r w:rsidRPr="00527BFD">
        <w:t>May</w:t>
      </w:r>
      <w:r w:rsidR="001C4290" w:rsidRPr="00527BFD">
        <w:t xml:space="preserve"> </w:t>
      </w:r>
      <w:r w:rsidRPr="00527BFD">
        <w:t>2020 at the first planned interim analysis (</w:t>
      </w:r>
      <w:r w:rsidR="005F0BCE" w:rsidRPr="00527BFD">
        <w:t>that is</w:t>
      </w:r>
      <w:r w:rsidR="001C4290" w:rsidRPr="00527BFD">
        <w:t xml:space="preserve"> </w:t>
      </w:r>
      <w:r w:rsidRPr="00527BFD">
        <w:t xml:space="preserve">25% of the planned events) after the pre-specified stopping criteria had been met. Results indicated that a </w:t>
      </w:r>
      <w:proofErr w:type="spellStart"/>
      <w:proofErr w:type="gramStart"/>
      <w:r w:rsidRPr="00527BFD">
        <w:t>PrEP</w:t>
      </w:r>
      <w:proofErr w:type="spellEnd"/>
      <w:proofErr w:type="gramEnd"/>
      <w:r w:rsidRPr="00527BFD">
        <w:t xml:space="preserve"> regimen containing </w:t>
      </w:r>
      <w:r w:rsidR="00FD52A9" w:rsidRPr="00527BFD">
        <w:t>cabotegravir</w:t>
      </w:r>
      <w:r w:rsidRPr="00527BFD">
        <w:t xml:space="preserve"> LA dosed every 2</w:t>
      </w:r>
      <w:r w:rsidR="001C4290" w:rsidRPr="00527BFD">
        <w:t> </w:t>
      </w:r>
      <w:r w:rsidRPr="00527BFD">
        <w:t>months is superior (p</w:t>
      </w:r>
      <w:r w:rsidR="00754F3F" w:rsidRPr="00527BFD">
        <w:t xml:space="preserve"> = </w:t>
      </w:r>
      <w:r w:rsidRPr="00527BFD">
        <w:t>0.0005) to the daily oral regimen of TDF/</w:t>
      </w:r>
      <w:r w:rsidR="000B10F7" w:rsidRPr="00527BFD">
        <w:t>emtricitabine</w:t>
      </w:r>
      <w:r w:rsidRPr="00527BFD">
        <w:t xml:space="preserve"> in preventing acquisition of HIV-1 infection in at-risk </w:t>
      </w:r>
      <w:r w:rsidR="001C1AE8" w:rsidRPr="00527BFD">
        <w:t>cisgender men who have sex with men</w:t>
      </w:r>
      <w:r w:rsidRPr="00527BFD">
        <w:t xml:space="preserve"> and </w:t>
      </w:r>
      <w:r w:rsidR="001C1AE8" w:rsidRPr="00527BFD">
        <w:t>transgender women</w:t>
      </w:r>
      <w:r w:rsidRPr="00527BFD">
        <w:t>.</w:t>
      </w:r>
    </w:p>
    <w:p w14:paraId="2478B521" w14:textId="71A16851" w:rsidR="003768A7" w:rsidRPr="00527BFD" w:rsidRDefault="003768A7" w:rsidP="00A15ADC">
      <w:pPr>
        <w:pStyle w:val="Heading6"/>
      </w:pPr>
      <w:r w:rsidRPr="00527BFD">
        <w:t>Study 201739</w:t>
      </w:r>
      <w:r w:rsidR="00A15ADC">
        <w:t xml:space="preserve"> (</w:t>
      </w:r>
      <w:r w:rsidR="00A15ADC" w:rsidRPr="00A15ADC">
        <w:t>HPTN 084 trial</w:t>
      </w:r>
      <w:r w:rsidR="00A15ADC">
        <w:t>)</w:t>
      </w:r>
    </w:p>
    <w:p w14:paraId="45C97141" w14:textId="067CC723" w:rsidR="003768A7" w:rsidRPr="00527BFD" w:rsidRDefault="001C4290" w:rsidP="00EC5B93">
      <w:r w:rsidRPr="00527BFD">
        <w:t xml:space="preserve">Study 201739 (the HPTN 084 trial) is a </w:t>
      </w:r>
      <w:r w:rsidR="003768A7" w:rsidRPr="00527BFD">
        <w:t>Phase III, double</w:t>
      </w:r>
      <w:r w:rsidRPr="00527BFD">
        <w:t xml:space="preserve"> </w:t>
      </w:r>
      <w:r w:rsidR="003768A7" w:rsidRPr="00527BFD">
        <w:t xml:space="preserve">blind, randomised, </w:t>
      </w:r>
      <w:r w:rsidR="003A2474" w:rsidRPr="00527BFD">
        <w:t>active</w:t>
      </w:r>
      <w:r w:rsidRPr="00527BFD">
        <w:t xml:space="preserve"> </w:t>
      </w:r>
      <w:r w:rsidR="003768A7" w:rsidRPr="00527BFD">
        <w:t xml:space="preserve">controlled, superiority study of efficacy of long-acting </w:t>
      </w:r>
      <w:r w:rsidR="00FD52A9" w:rsidRPr="00527BFD">
        <w:t>cabotegravir</w:t>
      </w:r>
      <w:r w:rsidR="003768A7" w:rsidRPr="00527BFD">
        <w:t xml:space="preserve"> injection versus daily oral TDF/</w:t>
      </w:r>
      <w:r w:rsidR="000B10F7" w:rsidRPr="00527BFD">
        <w:t>emtricitabine</w:t>
      </w:r>
      <w:r w:rsidR="003768A7" w:rsidRPr="00527BFD">
        <w:t xml:space="preserve"> for the prevention of incident HIV infection in a population of sexually active HIV-uninfected adult women at risk for HIV. The primary objectives were to evaluate the relative efficacy and safety of oral </w:t>
      </w:r>
      <w:r w:rsidR="00FD52A9" w:rsidRPr="00527BFD">
        <w:t>cabotegravir</w:t>
      </w:r>
      <w:r w:rsidR="003768A7" w:rsidRPr="00527BFD">
        <w:t>/</w:t>
      </w:r>
      <w:r w:rsidR="00FD52A9" w:rsidRPr="00527BFD">
        <w:t>cabotegravir</w:t>
      </w:r>
      <w:r w:rsidR="003768A7" w:rsidRPr="00527BFD">
        <w:t xml:space="preserve"> LA </w:t>
      </w:r>
      <w:r w:rsidR="00754F3F" w:rsidRPr="00527BFD">
        <w:t>versus</w:t>
      </w:r>
      <w:r w:rsidR="003768A7" w:rsidRPr="00527BFD">
        <w:t xml:space="preserve"> daily oral TDF/</w:t>
      </w:r>
      <w:r w:rsidR="000B10F7" w:rsidRPr="00527BFD">
        <w:t>emtricitabine</w:t>
      </w:r>
      <w:r w:rsidR="003768A7" w:rsidRPr="00527BFD">
        <w:t xml:space="preserve"> for HIV prevention.</w:t>
      </w:r>
    </w:p>
    <w:p w14:paraId="5C0AA247" w14:textId="51756763" w:rsidR="003768A7" w:rsidRPr="00527BFD" w:rsidRDefault="003768A7" w:rsidP="00EC5B93">
      <w:r w:rsidRPr="00527BFD">
        <w:t>The study initiated in November 2017, recruited cisgender females age 18</w:t>
      </w:r>
      <w:r w:rsidR="001C4290" w:rsidRPr="00527BFD">
        <w:t xml:space="preserve"> to </w:t>
      </w:r>
      <w:r w:rsidRPr="00527BFD">
        <w:t>45 years, (n</w:t>
      </w:r>
      <w:r w:rsidR="001C4290" w:rsidRPr="00527BFD">
        <w:t> </w:t>
      </w:r>
      <w:r w:rsidR="00754F3F" w:rsidRPr="00527BFD">
        <w:t>=</w:t>
      </w:r>
      <w:r w:rsidR="001C4290" w:rsidRPr="00527BFD">
        <w:t> </w:t>
      </w:r>
      <w:r w:rsidRPr="00527BFD">
        <w:t xml:space="preserve">3224) and was conducted in Botswana, </w:t>
      </w:r>
      <w:r w:rsidR="00057681">
        <w:t>Es</w:t>
      </w:r>
      <w:r w:rsidRPr="00527BFD">
        <w:t>watini (formerly Swaziland), Kenya, Malawi, South Africa, Uganda and Zimbabwe (N</w:t>
      </w:r>
      <w:r w:rsidR="00754F3F" w:rsidRPr="00527BFD">
        <w:t xml:space="preserve"> = </w:t>
      </w:r>
      <w:r w:rsidRPr="00527BFD">
        <w:t>3,224) between 2017 and 2020 (</w:t>
      </w:r>
      <w:r w:rsidR="001C4290" w:rsidRPr="00527BFD">
        <w:t xml:space="preserve">see </w:t>
      </w:r>
      <w:r w:rsidR="001C4290" w:rsidRPr="00527BFD">
        <w:fldChar w:fldCharType="begin"/>
      </w:r>
      <w:r w:rsidR="001C4290" w:rsidRPr="00527BFD">
        <w:instrText xml:space="preserve"> REF _Ref115876721 \h </w:instrText>
      </w:r>
      <w:r w:rsidR="00527BFD" w:rsidRPr="00527BFD">
        <w:instrText xml:space="preserve"> \* MERGEFORMAT </w:instrText>
      </w:r>
      <w:r w:rsidR="001C4290" w:rsidRPr="00527BFD">
        <w:fldChar w:fldCharType="separate"/>
      </w:r>
      <w:r w:rsidR="001702C9" w:rsidRPr="0025423A">
        <w:t xml:space="preserve">Figure </w:t>
      </w:r>
      <w:r w:rsidR="001702C9">
        <w:rPr>
          <w:noProof/>
        </w:rPr>
        <w:t>2</w:t>
      </w:r>
      <w:r w:rsidR="001C4290" w:rsidRPr="00527BFD">
        <w:fldChar w:fldCharType="end"/>
      </w:r>
      <w:r w:rsidR="001C4290" w:rsidRPr="00527BFD">
        <w:t xml:space="preserve"> below</w:t>
      </w:r>
      <w:r w:rsidR="00E57026" w:rsidRPr="00527BFD">
        <w:t xml:space="preserve"> for the study design</w:t>
      </w:r>
      <w:r w:rsidRPr="00527BFD">
        <w:t>)</w:t>
      </w:r>
      <w:r w:rsidR="003A1035" w:rsidRPr="00527BFD">
        <w:t>.</w:t>
      </w:r>
    </w:p>
    <w:p w14:paraId="6E2B511F" w14:textId="3D007930" w:rsidR="003768A7" w:rsidRPr="0025423A" w:rsidRDefault="001C4290" w:rsidP="0025423A">
      <w:pPr>
        <w:pStyle w:val="FigureTitle"/>
      </w:pPr>
      <w:bookmarkStart w:id="81" w:name="_Ref115876721"/>
      <w:r w:rsidRPr="0025423A">
        <w:lastRenderedPageBreak/>
        <w:t xml:space="preserve">Figure </w:t>
      </w:r>
      <w:r w:rsidR="00234D1A">
        <w:fldChar w:fldCharType="begin"/>
      </w:r>
      <w:r w:rsidR="00234D1A">
        <w:instrText xml:space="preserve"> SEQ Figure \* ARABIC </w:instrText>
      </w:r>
      <w:r w:rsidR="00234D1A">
        <w:fldChar w:fldCharType="separate"/>
      </w:r>
      <w:r w:rsidR="001702C9">
        <w:rPr>
          <w:noProof/>
        </w:rPr>
        <w:t>2</w:t>
      </w:r>
      <w:r w:rsidR="00234D1A">
        <w:rPr>
          <w:noProof/>
        </w:rPr>
        <w:fldChar w:fldCharType="end"/>
      </w:r>
      <w:bookmarkEnd w:id="81"/>
      <w:r w:rsidRPr="0025423A">
        <w:t>:</w:t>
      </w:r>
      <w:r w:rsidR="003768A7" w:rsidRPr="0025423A">
        <w:t xml:space="preserve"> </w:t>
      </w:r>
      <w:r w:rsidR="00AC3147" w:rsidRPr="0025423A">
        <w:t>Study 201739 (</w:t>
      </w:r>
      <w:r w:rsidRPr="0025423A">
        <w:t>HPTN 084 trial</w:t>
      </w:r>
      <w:r w:rsidR="00AC3147" w:rsidRPr="0025423A">
        <w:t>)</w:t>
      </w:r>
      <w:r w:rsidRPr="0025423A">
        <w:t xml:space="preserve"> </w:t>
      </w:r>
      <w:r w:rsidR="003768A7" w:rsidRPr="0025423A">
        <w:t xml:space="preserve">Study </w:t>
      </w:r>
      <w:r w:rsidR="00E57026" w:rsidRPr="0025423A">
        <w:t>design</w:t>
      </w:r>
    </w:p>
    <w:p w14:paraId="7576D7C6" w14:textId="6D5995F4" w:rsidR="003768A7" w:rsidRDefault="00A7739E" w:rsidP="00477A98">
      <w:r>
        <w:rPr>
          <w:noProof/>
          <w:lang w:val="en-GB" w:eastAsia="en-GB"/>
        </w:rPr>
        <w:drawing>
          <wp:inline distT="0" distB="0" distL="0" distR="0" wp14:anchorId="43542A65" wp14:editId="5E7B1CFD">
            <wp:extent cx="5400040" cy="4754245"/>
            <wp:effectExtent l="0" t="0" r="0" b="8255"/>
            <wp:docPr id="21" name="Picture 21" descr="Figure 2: Study 201739 (HPTN 084 trial) Study design&#10;&#10;Study 201739 is an ongoing Phase III, multicenter, double blind, two arm, randomised, controlled superiority study evaluating the safety and efficacy of cabotegravir pre-exposure prophylaxis.&#10;&#10;Eligible participants were randomised 1:1 (cabotegravir: TDF / emtricitabine) and were treated as follows:&#10;&#10;Arm A (cabotegravir):&#10;In Step 1 (oral lead in phase), participants received daily oral active cabotegravir (30 mg tablets) and oral placebo TDF / emtricitabine for 4 weeks (up to 5 weeks allowed for any delays in testing results); then in Step 2 (injection phase), participants received active cabotegravir long acting (600 mg as a single intramuscular injection at 2 timepoints 4 weeks apart and every 8 weeks thereafter) and daily oral placebo TDF/ emtricitabine until the required number of incident human immunodeficiency virus (HIV) endpoints (114) was accrued.&#10;&#10;Arm B (TDF/ emtricitabine):&#10;In Step 1 (oral lead in phase), participants received daily oral active TDF/ emtricitabine (300 mg/200 mg fix dose combination tablets) and oral placebo cabotegravir for 4 weeks (up to 5 weeks allowed for any delays in testing results); then in Step 2 (injection phase), participants received daily oral active TDF / emtricitabine (300 mg/200 mg dix dose combination tablets) and intramuscular placebo (at 2 timepoints 4 weeks apart and every 8 weeks thereafter) until the required number of incident HIV endpoints (114) was accrued.&#10;&#10;The study was originally designed to include a Step 3 (in which participants were to receive open-label daily oral TDF/ emtricitabine for up to 48 weeks), and after completion of Step 3, all participants were to be transitioned to local HIV prevention services. However, due to meeting pre-specified stopping criteria for superiority of cabotegravir long acting to TDF / emtricitabine, the blinded, randomised portion of the study was stopped early. No participants reached Step 3.&#10;&#10;For any participants with a positive pregnancy test during the study, confirmation of pregnancy at a subsequent visit at least 4 weeks later was required. All pregnant participants with a confirmed positive pregnancy test (at least 4 weeks after the initial pregnancy test) were unblinded and followed on study every 12 weeks. Regardless of the randomisation assignment or point in the study, all pregnant participants were to be placed on open label TDF / emtricitabine for the duration of the pregnancy. No participant with a positive pregnancy test was to be administered cabotegravir, cabotegravir long acting, or cabotegravir long acting placebo.&#10;&#10;Once a pregnancy outcome was reached, if the participant was not breastfeeding, she was allowed to resume taking study product and continue study visits/assessments according to the protocol’s schedule of events. For any participant who delivered a child during the study and then elected to breastfeed, she was to stay on open label TDF/ emtricitabine and was followed per the schedule of events. Once the participant finished breastfeeding, she was allowed to resume study product and continue study visits/assessments according to the schedule of events. Unblinded participants had the option to return to open-label study product in their original randomisation arm (either cabotegravir long acting or oral TDF / emtricita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2: Study 201739 (HPTN 084 trial) Study design&#10;&#10;Study 201739 is an ongoing Phase III, multicenter, double blind, two arm, randomised, controlled superiority study evaluating the safety and efficacy of cabotegravir pre-exposure prophylaxis.&#10;&#10;Eligible participants were randomised 1:1 (cabotegravir: TDF / emtricitabine) and were treated as follows:&#10;&#10;Arm A (cabotegravir):&#10;In Step 1 (oral lead in phase), participants received daily oral active cabotegravir (30 mg tablets) and oral placebo TDF / emtricitabine for 4 weeks (up to 5 weeks allowed for any delays in testing results); then in Step 2 (injection phase), participants received active cabotegravir long acting (600 mg as a single intramuscular injection at 2 timepoints 4 weeks apart and every 8 weeks thereafter) and daily oral placebo TDF/ emtricitabine until the required number of incident human immunodeficiency virus (HIV) endpoints (114) was accrued.&#10;&#10;Arm B (TDF/ emtricitabine):&#10;In Step 1 (oral lead in phase), participants received daily oral active TDF/ emtricitabine (300 mg/200 mg fix dose combination tablets) and oral placebo cabotegravir for 4 weeks (up to 5 weeks allowed for any delays in testing results); then in Step 2 (injection phase), participants received daily oral active TDF / emtricitabine (300 mg/200 mg dix dose combination tablets) and intramuscular placebo (at 2 timepoints 4 weeks apart and every 8 weeks thereafter) until the required number of incident HIV endpoints (114) was accrued.&#10;&#10;The study was originally designed to include a Step 3 (in which participants were to receive open-label daily oral TDF/ emtricitabine for up to 48 weeks), and after completion of Step 3, all participants were to be transitioned to local HIV prevention services. However, due to meeting pre-specified stopping criteria for superiority of cabotegravir long acting to TDF / emtricitabine, the blinded, randomised portion of the study was stopped early. No participants reached Step 3.&#10;&#10;For any participants with a positive pregnancy test during the study, confirmation of pregnancy at a subsequent visit at least 4 weeks later was required. All pregnant participants with a confirmed positive pregnancy test (at least 4 weeks after the initial pregnancy test) were unblinded and followed on study every 12 weeks. Regardless of the randomisation assignment or point in the study, all pregnant participants were to be placed on open label TDF / emtricitabine for the duration of the pregnancy. No participant with a positive pregnancy test was to be administered cabotegravir, cabotegravir long acting, or cabotegravir long acting placebo.&#10;&#10;Once a pregnancy outcome was reached, if the participant was not breastfeeding, she was allowed to resume taking study product and continue study visits/assessments according to the protocol’s schedule of events. For any participant who delivered a child during the study and then elected to breastfeed, she was to stay on open label TDF/ emtricitabine and was followed per the schedule of events. Once the participant finished breastfeeding, she was allowed to resume study product and continue study visits/assessments according to the schedule of events. Unblinded participants had the option to return to open-label study product in their original randomisation arm (either cabotegravir long acting or oral TDF / emtricitabine)."/>
                    <pic:cNvPicPr/>
                  </pic:nvPicPr>
                  <pic:blipFill>
                    <a:blip r:embed="rId21"/>
                    <a:stretch>
                      <a:fillRect/>
                    </a:stretch>
                  </pic:blipFill>
                  <pic:spPr>
                    <a:xfrm>
                      <a:off x="0" y="0"/>
                      <a:ext cx="5400040" cy="4754245"/>
                    </a:xfrm>
                    <a:prstGeom prst="rect">
                      <a:avLst/>
                    </a:prstGeom>
                  </pic:spPr>
                </pic:pic>
              </a:graphicData>
            </a:graphic>
          </wp:inline>
        </w:drawing>
      </w:r>
    </w:p>
    <w:p w14:paraId="20DA9047" w14:textId="0FC3727A" w:rsidR="008449C5" w:rsidRPr="00477A98" w:rsidRDefault="00477A98" w:rsidP="00477A98">
      <w:pPr>
        <w:pStyle w:val="FigureDescription"/>
      </w:pPr>
      <w:r w:rsidRPr="00477A98">
        <w:t xml:space="preserve">Abbreviations: CAB = cabotegravir; FTC = emtricitabine; LA = </w:t>
      </w:r>
      <w:proofErr w:type="gramStart"/>
      <w:r w:rsidRPr="00477A98">
        <w:t>long-acting</w:t>
      </w:r>
      <w:proofErr w:type="gramEnd"/>
      <w:r w:rsidRPr="00477A98">
        <w:t xml:space="preserve">; </w:t>
      </w:r>
      <w:r w:rsidR="008449C5" w:rsidRPr="00477A98">
        <w:t>TDF =</w:t>
      </w:r>
      <w:r w:rsidR="00342B4E" w:rsidRPr="00477A98">
        <w:t xml:space="preserve"> tenofovir disoproxil fumarate</w:t>
      </w:r>
      <w:r w:rsidRPr="00477A98">
        <w:t>.</w:t>
      </w:r>
    </w:p>
    <w:p w14:paraId="2BABFD23" w14:textId="3ABF11E6" w:rsidR="003768A7" w:rsidRPr="00527BFD" w:rsidRDefault="001C4290" w:rsidP="00EC5B93">
      <w:r w:rsidRPr="00527BFD">
        <w:t xml:space="preserve">The </w:t>
      </w:r>
      <w:r w:rsidR="00CC53B1" w:rsidRPr="00527BFD">
        <w:t>HPTN 084 trial</w:t>
      </w:r>
      <w:r w:rsidR="003768A7" w:rsidRPr="00527BFD">
        <w:t xml:space="preserve"> enrolled cisgender women, with a total of 3</w:t>
      </w:r>
      <w:r w:rsidRPr="00527BFD">
        <w:t>,</w:t>
      </w:r>
      <w:r w:rsidR="003768A7" w:rsidRPr="00527BFD">
        <w:t>224 participants randomi</w:t>
      </w:r>
      <w:r w:rsidR="00462EFD" w:rsidRPr="00527BFD">
        <w:t>s</w:t>
      </w:r>
      <w:r w:rsidR="003768A7" w:rsidRPr="00527BFD">
        <w:t>ed (1</w:t>
      </w:r>
      <w:r w:rsidRPr="00527BFD">
        <w:t>,</w:t>
      </w:r>
      <w:r w:rsidR="003768A7" w:rsidRPr="00527BFD">
        <w:t xml:space="preserve">614 in the </w:t>
      </w:r>
      <w:r w:rsidR="00FD52A9" w:rsidRPr="00527BFD">
        <w:t>cabotegravir</w:t>
      </w:r>
      <w:r w:rsidR="003768A7" w:rsidRPr="00527BFD">
        <w:t xml:space="preserve"> group and 1</w:t>
      </w:r>
      <w:r w:rsidRPr="00527BFD">
        <w:t>,</w:t>
      </w:r>
      <w:r w:rsidR="003768A7" w:rsidRPr="00527BFD">
        <w:t>610 in the TDF/</w:t>
      </w:r>
      <w:r w:rsidR="000B10F7" w:rsidRPr="00527BFD">
        <w:t>emtricitabine</w:t>
      </w:r>
      <w:r w:rsidR="003768A7" w:rsidRPr="00527BFD">
        <w:t xml:space="preserve"> group); all 3</w:t>
      </w:r>
      <w:r w:rsidRPr="00527BFD">
        <w:t>,</w:t>
      </w:r>
      <w:r w:rsidR="003768A7" w:rsidRPr="00527BFD">
        <w:t>224 randomi</w:t>
      </w:r>
      <w:r w:rsidR="00462EFD" w:rsidRPr="00527BFD">
        <w:t>s</w:t>
      </w:r>
      <w:r w:rsidR="003768A7" w:rsidRPr="00527BFD">
        <w:t xml:space="preserve">ed participants received at least </w:t>
      </w:r>
      <w:r w:rsidRPr="00527BFD">
        <w:t>one</w:t>
      </w:r>
      <w:r w:rsidR="003768A7" w:rsidRPr="00527BFD">
        <w:t xml:space="preserve"> dose of study drug.</w:t>
      </w:r>
      <w:r w:rsidR="005F0BCE" w:rsidRPr="00527BFD">
        <w:t xml:space="preserve"> </w:t>
      </w:r>
      <w:r w:rsidR="003768A7" w:rsidRPr="00527BFD">
        <w:t>Of the study population 49% of participants were under 25 years of age. Participants identifying as Black comprised</w:t>
      </w:r>
      <w:r w:rsidR="00754F3F" w:rsidRPr="00527BFD">
        <w:t xml:space="preserve"> over </w:t>
      </w:r>
      <w:r w:rsidR="003768A7" w:rsidRPr="00527BFD">
        <w:t>99% of the total population, and demographics were similar between the two treatment groups.</w:t>
      </w:r>
    </w:p>
    <w:p w14:paraId="247C9443" w14:textId="7D808AEB" w:rsidR="003768A7" w:rsidRPr="00527BFD" w:rsidRDefault="003768A7" w:rsidP="00EC5B93">
      <w:r w:rsidRPr="00527BFD">
        <w:t xml:space="preserve">An independent </w:t>
      </w:r>
      <w:r w:rsidR="00D43DAD" w:rsidRPr="00527BFD">
        <w:t>DSMB</w:t>
      </w:r>
      <w:r w:rsidRPr="00527BFD">
        <w:t xml:space="preserve"> recommended early termination of the blinded, randomised portion of the study on 5</w:t>
      </w:r>
      <w:r w:rsidR="001C4290" w:rsidRPr="00527BFD">
        <w:t xml:space="preserve"> November </w:t>
      </w:r>
      <w:r w:rsidRPr="00527BFD">
        <w:t>202</w:t>
      </w:r>
      <w:r w:rsidR="0094009B">
        <w:t>0</w:t>
      </w:r>
      <w:r w:rsidRPr="00527BFD">
        <w:t xml:space="preserve"> after an interim analysis indicated that the prespecified stopping criteria for superiority was met. The primary efficacy analysis demonstrated that the </w:t>
      </w:r>
      <w:proofErr w:type="spellStart"/>
      <w:r w:rsidRPr="00527BFD">
        <w:t>PrEP</w:t>
      </w:r>
      <w:proofErr w:type="spellEnd"/>
      <w:r w:rsidRPr="00527BFD">
        <w:t xml:space="preserve"> regimen of </w:t>
      </w:r>
      <w:r w:rsidR="00FD52A9" w:rsidRPr="00527BFD">
        <w:t>cabotegravir</w:t>
      </w:r>
      <w:r w:rsidRPr="00527BFD">
        <w:t xml:space="preserve"> LA dosed every 2</w:t>
      </w:r>
      <w:r w:rsidR="001C4290" w:rsidRPr="00527BFD">
        <w:t> </w:t>
      </w:r>
      <w:r w:rsidRPr="00527BFD">
        <w:t>months is superior (p</w:t>
      </w:r>
      <w:r w:rsidR="00F267D8">
        <w:t> </w:t>
      </w:r>
      <w:r w:rsidRPr="00527BFD">
        <w:t>&lt;</w:t>
      </w:r>
      <w:r w:rsidR="00F267D8">
        <w:t> </w:t>
      </w:r>
      <w:r w:rsidRPr="00527BFD">
        <w:t>0.0001) to the daily oral regimen of TDF/</w:t>
      </w:r>
      <w:r w:rsidR="000B10F7" w:rsidRPr="00527BFD">
        <w:t>emtricitabine</w:t>
      </w:r>
      <w:r w:rsidRPr="00527BFD">
        <w:t xml:space="preserve"> in preventing acquisition of HIV-1 infection based on incident HIV infection rate in at risk women.</w:t>
      </w:r>
    </w:p>
    <w:p w14:paraId="62CC92B7" w14:textId="7F4D946D" w:rsidR="003768A7" w:rsidRPr="00527BFD" w:rsidRDefault="003768A7" w:rsidP="00A15ADC">
      <w:pPr>
        <w:pStyle w:val="Heading6"/>
        <w:rPr>
          <w:rFonts w:eastAsiaTheme="minorHAnsi"/>
        </w:rPr>
      </w:pPr>
      <w:r w:rsidRPr="00527BFD">
        <w:rPr>
          <w:rFonts w:eastAsiaTheme="minorHAnsi"/>
        </w:rPr>
        <w:t xml:space="preserve">Primary </w:t>
      </w:r>
      <w:r w:rsidR="001C4290" w:rsidRPr="00527BFD">
        <w:rPr>
          <w:rFonts w:eastAsiaTheme="minorHAnsi"/>
        </w:rPr>
        <w:t xml:space="preserve">efficacy </w:t>
      </w:r>
      <w:r w:rsidRPr="00527BFD">
        <w:rPr>
          <w:rFonts w:eastAsiaTheme="minorHAnsi"/>
        </w:rPr>
        <w:t>in pivotal studies</w:t>
      </w:r>
      <w:r w:rsidR="001C4290" w:rsidRPr="00527BFD">
        <w:rPr>
          <w:rFonts w:eastAsiaTheme="minorHAnsi"/>
        </w:rPr>
        <w:t xml:space="preserve"> (HPTN 083 and HPTN 084 trials)</w:t>
      </w:r>
      <w:r w:rsidRPr="00527BFD">
        <w:rPr>
          <w:rFonts w:eastAsiaTheme="minorHAnsi"/>
        </w:rPr>
        <w:t xml:space="preserve"> </w:t>
      </w:r>
      <w:r w:rsidR="001C4290" w:rsidRPr="00527BFD">
        <w:rPr>
          <w:rFonts w:eastAsiaTheme="minorHAnsi"/>
        </w:rPr>
        <w:t xml:space="preserve">incident </w:t>
      </w:r>
      <w:r w:rsidR="00C24737" w:rsidRPr="00527BFD">
        <w:rPr>
          <w:rFonts w:eastAsiaTheme="minorHAnsi"/>
        </w:rPr>
        <w:t xml:space="preserve">human immunodeficiency virus type 1 </w:t>
      </w:r>
      <w:r w:rsidR="001C4290" w:rsidRPr="00527BFD">
        <w:rPr>
          <w:rFonts w:eastAsiaTheme="minorHAnsi"/>
        </w:rPr>
        <w:t xml:space="preserve">infection </w:t>
      </w:r>
      <w:r w:rsidRPr="00527BFD">
        <w:rPr>
          <w:rFonts w:eastAsiaTheme="minorHAnsi"/>
        </w:rPr>
        <w:t>in Steps 1 and 2</w:t>
      </w:r>
    </w:p>
    <w:p w14:paraId="5D256F30" w14:textId="748A0D8A" w:rsidR="003768A7" w:rsidRPr="00527BFD" w:rsidRDefault="003768A7" w:rsidP="00BB4257">
      <w:r w:rsidRPr="00527BFD">
        <w:t xml:space="preserve">At blinded study termination in </w:t>
      </w:r>
      <w:r w:rsidR="00BB0AC1" w:rsidRPr="00527BFD">
        <w:t>the HPTN 083 trial</w:t>
      </w:r>
      <w:r w:rsidRPr="00527BFD">
        <w:t xml:space="preserve"> there were 52 incident HIV-1 infections reported in the modified </w:t>
      </w:r>
      <w:r w:rsidR="00C56168" w:rsidRPr="00527BFD">
        <w:t>intent-to-treat (</w:t>
      </w:r>
      <w:r w:rsidRPr="00527BFD">
        <w:t>ITT</w:t>
      </w:r>
      <w:r w:rsidR="00C56168" w:rsidRPr="00527BFD">
        <w:t>)</w:t>
      </w:r>
      <w:bookmarkStart w:id="82" w:name="_Ref116214824"/>
      <w:r w:rsidR="00C56168" w:rsidRPr="00527BFD">
        <w:rPr>
          <w:rStyle w:val="FootnoteReference"/>
        </w:rPr>
        <w:footnoteReference w:id="11"/>
      </w:r>
      <w:bookmarkEnd w:id="82"/>
      <w:r w:rsidRPr="00527BFD">
        <w:t xml:space="preserve"> population based on </w:t>
      </w:r>
      <w:r w:rsidRPr="00527BFD">
        <w:lastRenderedPageBreak/>
        <w:t>6</w:t>
      </w:r>
      <w:r w:rsidR="001C4290" w:rsidRPr="00527BFD">
        <w:t>,</w:t>
      </w:r>
      <w:r w:rsidRPr="00527BFD">
        <w:t>405</w:t>
      </w:r>
      <w:r w:rsidR="00F267D8">
        <w:t> </w:t>
      </w:r>
      <w:r w:rsidRPr="00527BFD">
        <w:t>person</w:t>
      </w:r>
      <w:r w:rsidR="001C4290" w:rsidRPr="00527BFD">
        <w:t xml:space="preserve"> </w:t>
      </w:r>
      <w:r w:rsidRPr="00527BFD">
        <w:t>years of follow</w:t>
      </w:r>
      <w:r w:rsidR="008A30B2" w:rsidRPr="00527BFD">
        <w:noBreakHyphen/>
      </w:r>
      <w:r w:rsidRPr="00527BFD">
        <w:t xml:space="preserve">up. The overall incidence of HIV in the trial participants was 0.81 per 100 </w:t>
      </w:r>
      <w:r w:rsidR="001C4290" w:rsidRPr="00527BFD">
        <w:t>person years</w:t>
      </w:r>
      <w:r w:rsidRPr="00527BFD">
        <w:t xml:space="preserve">. Of the 52 incident HIV-1 infections, 13 occurred in the </w:t>
      </w:r>
      <w:r w:rsidR="00FD52A9" w:rsidRPr="00527BFD">
        <w:t>cabotegravir</w:t>
      </w:r>
      <w:r w:rsidRPr="00527BFD">
        <w:t xml:space="preserve"> group (0.40 per 100 </w:t>
      </w:r>
      <w:r w:rsidR="001C4290" w:rsidRPr="00527BFD">
        <w:t>person years</w:t>
      </w:r>
      <w:r w:rsidRPr="00527BFD">
        <w:t>) and 39 occurred in the TDF/</w:t>
      </w:r>
      <w:r w:rsidR="000B10F7" w:rsidRPr="00527BFD">
        <w:t>emtricitabine</w:t>
      </w:r>
      <w:r w:rsidRPr="00527BFD">
        <w:t xml:space="preserve"> group (1.22 per 100 </w:t>
      </w:r>
      <w:r w:rsidR="001C4290" w:rsidRPr="00527BFD">
        <w:t>person years</w:t>
      </w:r>
      <w:r w:rsidRPr="00527BFD">
        <w:t xml:space="preserve">). The adjusted </w:t>
      </w:r>
      <w:r w:rsidR="008A30B2" w:rsidRPr="00527BFD">
        <w:t xml:space="preserve">hazard ratio </w:t>
      </w:r>
      <w:r w:rsidRPr="00527BFD">
        <w:t xml:space="preserve">for </w:t>
      </w:r>
      <w:r w:rsidR="00FD52A9" w:rsidRPr="00527BFD">
        <w:t>cabotegravir</w:t>
      </w:r>
      <w:r w:rsidRPr="00527BFD">
        <w:t>/TDF-</w:t>
      </w:r>
      <w:r w:rsidR="000B10F7" w:rsidRPr="00527BFD">
        <w:t>emtricitabine</w:t>
      </w:r>
      <w:r w:rsidRPr="00527BFD">
        <w:t xml:space="preserve"> comparison was 0.34 (95%</w:t>
      </w:r>
      <w:r w:rsidR="008A30B2" w:rsidRPr="00527BFD">
        <w:t xml:space="preserve"> </w:t>
      </w:r>
      <w:r w:rsidR="00D43DAD" w:rsidRPr="00527BFD">
        <w:t>confidence interval (</w:t>
      </w:r>
      <w:r w:rsidRPr="00527BFD">
        <w:t>CI</w:t>
      </w:r>
      <w:r w:rsidR="00D43DAD" w:rsidRPr="00527BFD">
        <w:t>)</w:t>
      </w:r>
      <w:r w:rsidRPr="00527BFD">
        <w:t>: 0.18, 0.62), p</w:t>
      </w:r>
      <w:r w:rsidR="00F267D8">
        <w:t> </w:t>
      </w:r>
      <w:r w:rsidR="00754F3F" w:rsidRPr="00527BFD">
        <w:t>=</w:t>
      </w:r>
      <w:r w:rsidR="00F267D8">
        <w:t> </w:t>
      </w:r>
      <w:r w:rsidRPr="00527BFD">
        <w:t>0.0005</w:t>
      </w:r>
      <w:r w:rsidR="008A30B2" w:rsidRPr="00527BFD">
        <w:t xml:space="preserve"> </w:t>
      </w:r>
      <w:r w:rsidRPr="00527BFD">
        <w:t>(</w:t>
      </w:r>
      <w:r w:rsidR="008A30B2" w:rsidRPr="00527BFD">
        <w:t xml:space="preserve">see </w:t>
      </w:r>
      <w:r w:rsidR="008A30B2" w:rsidRPr="00527BFD">
        <w:fldChar w:fldCharType="begin"/>
      </w:r>
      <w:r w:rsidR="008A30B2" w:rsidRPr="00527BFD">
        <w:instrText xml:space="preserve"> REF _Ref115877108 \h </w:instrText>
      </w:r>
      <w:r w:rsidR="00527BFD" w:rsidRPr="00527BFD">
        <w:instrText xml:space="preserve"> \* MERGEFORMAT </w:instrText>
      </w:r>
      <w:r w:rsidR="008A30B2" w:rsidRPr="00527BFD">
        <w:fldChar w:fldCharType="separate"/>
      </w:r>
      <w:r w:rsidR="001702C9" w:rsidRPr="0025423A">
        <w:t xml:space="preserve">Table </w:t>
      </w:r>
      <w:r w:rsidR="001702C9">
        <w:rPr>
          <w:noProof/>
        </w:rPr>
        <w:t>7</w:t>
      </w:r>
      <w:r w:rsidR="008A30B2" w:rsidRPr="00527BFD">
        <w:fldChar w:fldCharType="end"/>
      </w:r>
      <w:r w:rsidR="008A30B2" w:rsidRPr="00527BFD">
        <w:t xml:space="preserve"> below</w:t>
      </w:r>
      <w:r w:rsidRPr="00527BFD">
        <w:t>)</w:t>
      </w:r>
      <w:r w:rsidR="008A30B2" w:rsidRPr="00527BFD">
        <w:t>.</w:t>
      </w:r>
    </w:p>
    <w:p w14:paraId="04ED9237" w14:textId="1197492C" w:rsidR="003768A7" w:rsidRPr="00527BFD" w:rsidRDefault="003768A7" w:rsidP="00BB4257">
      <w:r w:rsidRPr="00527BFD">
        <w:t xml:space="preserve">At blinded study termination in </w:t>
      </w:r>
      <w:r w:rsidR="00CC53B1" w:rsidRPr="00527BFD">
        <w:t>the HPTN 084 trial</w:t>
      </w:r>
      <w:r w:rsidRPr="00527BFD">
        <w:t xml:space="preserve"> there were 40 incident HIV</w:t>
      </w:r>
      <w:r w:rsidR="00F267D8">
        <w:noBreakHyphen/>
      </w:r>
      <w:r w:rsidRPr="00527BFD">
        <w:t xml:space="preserve">1 infections reported in the modified </w:t>
      </w:r>
      <w:r w:rsidR="00D43DAD" w:rsidRPr="00527BFD">
        <w:t xml:space="preserve">intent-to-treat </w:t>
      </w:r>
      <w:r w:rsidR="00C56168" w:rsidRPr="00527BFD">
        <w:t>(</w:t>
      </w:r>
      <w:proofErr w:type="spellStart"/>
      <w:r w:rsidR="00C56168" w:rsidRPr="00527BFD">
        <w:t>mITT</w:t>
      </w:r>
      <w:proofErr w:type="spellEnd"/>
      <w:r w:rsidR="00C56168" w:rsidRPr="00527BFD">
        <w:t>)</w:t>
      </w:r>
      <w:r w:rsidR="00D43DAD" w:rsidRPr="00527BFD">
        <w:rPr>
          <w:vertAlign w:val="superscript"/>
        </w:rPr>
        <w:fldChar w:fldCharType="begin"/>
      </w:r>
      <w:r w:rsidR="00D43DAD" w:rsidRPr="00527BFD">
        <w:rPr>
          <w:vertAlign w:val="superscript"/>
        </w:rPr>
        <w:instrText xml:space="preserve"> NOTEREF _Ref116214824 \h  \* MERGEFORMAT </w:instrText>
      </w:r>
      <w:r w:rsidR="00D43DAD" w:rsidRPr="00527BFD">
        <w:rPr>
          <w:vertAlign w:val="superscript"/>
        </w:rPr>
      </w:r>
      <w:r w:rsidR="00D43DAD" w:rsidRPr="00527BFD">
        <w:rPr>
          <w:vertAlign w:val="superscript"/>
        </w:rPr>
        <w:fldChar w:fldCharType="separate"/>
      </w:r>
      <w:r w:rsidR="001702C9">
        <w:rPr>
          <w:vertAlign w:val="superscript"/>
        </w:rPr>
        <w:t>11</w:t>
      </w:r>
      <w:r w:rsidR="00D43DAD" w:rsidRPr="00527BFD">
        <w:rPr>
          <w:vertAlign w:val="superscript"/>
        </w:rPr>
        <w:fldChar w:fldCharType="end"/>
      </w:r>
      <w:r w:rsidRPr="00527BFD">
        <w:t xml:space="preserve"> </w:t>
      </w:r>
      <w:r w:rsidR="008A30B2" w:rsidRPr="00527BFD">
        <w:t xml:space="preserve">population </w:t>
      </w:r>
      <w:r w:rsidRPr="00527BFD">
        <w:t>based on 3</w:t>
      </w:r>
      <w:r w:rsidR="008A30B2" w:rsidRPr="00527BFD">
        <w:t>,</w:t>
      </w:r>
      <w:r w:rsidRPr="00527BFD">
        <w:t>907</w:t>
      </w:r>
      <w:r w:rsidR="00F267D8">
        <w:t> </w:t>
      </w:r>
      <w:r w:rsidRPr="00527BFD">
        <w:t>person</w:t>
      </w:r>
      <w:r w:rsidR="001C4290" w:rsidRPr="00527BFD">
        <w:t xml:space="preserve"> </w:t>
      </w:r>
      <w:r w:rsidRPr="00527BFD">
        <w:t>years of follow</w:t>
      </w:r>
      <w:r w:rsidR="008A30B2" w:rsidRPr="00527BFD">
        <w:noBreakHyphen/>
      </w:r>
      <w:r w:rsidRPr="00527BFD">
        <w:t xml:space="preserve">up. The overall incidence of HIV in the trial participants was 1.02 per 100 </w:t>
      </w:r>
      <w:r w:rsidR="001C4290" w:rsidRPr="00527BFD">
        <w:t>person years</w:t>
      </w:r>
      <w:r w:rsidRPr="00527BFD">
        <w:t xml:space="preserve">. Of the 40 incident HIV-1 infections, 4 occurred in the </w:t>
      </w:r>
      <w:r w:rsidR="00FD52A9" w:rsidRPr="00527BFD">
        <w:t>cabotegravir</w:t>
      </w:r>
      <w:r w:rsidRPr="00527BFD">
        <w:t xml:space="preserve"> group (0.20 per 100 </w:t>
      </w:r>
      <w:r w:rsidR="001C4290" w:rsidRPr="00527BFD">
        <w:t>person years</w:t>
      </w:r>
      <w:r w:rsidRPr="00527BFD">
        <w:t>) and 36 occurred in the TDF/</w:t>
      </w:r>
      <w:r w:rsidR="000B10F7" w:rsidRPr="00527BFD">
        <w:t>emtricitabine</w:t>
      </w:r>
      <w:r w:rsidRPr="00527BFD">
        <w:t xml:space="preserve"> group (1.85 per 100 </w:t>
      </w:r>
      <w:r w:rsidR="001C4290" w:rsidRPr="00527BFD">
        <w:t>person years</w:t>
      </w:r>
      <w:r w:rsidRPr="00527BFD">
        <w:t xml:space="preserve">). The adjusted </w:t>
      </w:r>
      <w:r w:rsidR="008A30B2" w:rsidRPr="00527BFD">
        <w:t xml:space="preserve">hazard ratio </w:t>
      </w:r>
      <w:r w:rsidRPr="00527BFD">
        <w:t xml:space="preserve">for the </w:t>
      </w:r>
      <w:r w:rsidR="00FD52A9" w:rsidRPr="00527BFD">
        <w:t>cabotegravir</w:t>
      </w:r>
      <w:r w:rsidRPr="00527BFD">
        <w:t>/TDF-</w:t>
      </w:r>
      <w:r w:rsidR="000B10F7" w:rsidRPr="00527BFD">
        <w:t>emtricitabine</w:t>
      </w:r>
      <w:r w:rsidRPr="00527BFD">
        <w:t xml:space="preserve"> comparison was 0.12 (95%</w:t>
      </w:r>
      <w:r w:rsidR="008A30B2" w:rsidRPr="00527BFD">
        <w:t xml:space="preserve"> </w:t>
      </w:r>
      <w:r w:rsidRPr="00527BFD">
        <w:t>CI: 0.05, 0.31), p</w:t>
      </w:r>
      <w:r w:rsidR="00754F3F" w:rsidRPr="00527BFD">
        <w:t xml:space="preserve"> </w:t>
      </w:r>
      <w:r w:rsidRPr="00527BFD">
        <w:t>&lt;</w:t>
      </w:r>
      <w:r w:rsidR="00754F3F" w:rsidRPr="00527BFD">
        <w:t xml:space="preserve"> </w:t>
      </w:r>
      <w:r w:rsidRPr="00527BFD">
        <w:t>0.0001 (</w:t>
      </w:r>
      <w:r w:rsidR="008A30B2" w:rsidRPr="00527BFD">
        <w:t xml:space="preserve">see </w:t>
      </w:r>
      <w:r w:rsidR="008A30B2" w:rsidRPr="00527BFD">
        <w:fldChar w:fldCharType="begin"/>
      </w:r>
      <w:r w:rsidR="008A30B2" w:rsidRPr="00527BFD">
        <w:instrText xml:space="preserve"> REF _Ref115877182 \h </w:instrText>
      </w:r>
      <w:r w:rsidR="00527BFD" w:rsidRPr="00527BFD">
        <w:instrText xml:space="preserve"> \* MERGEFORMAT </w:instrText>
      </w:r>
      <w:r w:rsidR="008A30B2" w:rsidRPr="00527BFD">
        <w:fldChar w:fldCharType="separate"/>
      </w:r>
      <w:r w:rsidR="001702C9" w:rsidRPr="0025423A">
        <w:t xml:space="preserve">Table </w:t>
      </w:r>
      <w:r w:rsidR="001702C9">
        <w:rPr>
          <w:noProof/>
        </w:rPr>
        <w:t>8</w:t>
      </w:r>
      <w:r w:rsidR="008A30B2" w:rsidRPr="00527BFD">
        <w:fldChar w:fldCharType="end"/>
      </w:r>
      <w:r w:rsidR="008A30B2" w:rsidRPr="00527BFD">
        <w:t xml:space="preserve"> below</w:t>
      </w:r>
      <w:r w:rsidRPr="00527BFD">
        <w:t>)</w:t>
      </w:r>
      <w:r w:rsidR="003A1035" w:rsidRPr="00527BFD">
        <w:t>.</w:t>
      </w:r>
    </w:p>
    <w:p w14:paraId="3D368A0B" w14:textId="311D1A1F" w:rsidR="003768A7" w:rsidRPr="0025423A" w:rsidRDefault="008A30B2" w:rsidP="0025423A">
      <w:pPr>
        <w:pStyle w:val="TableTitle"/>
      </w:pPr>
      <w:bookmarkStart w:id="83" w:name="_Ref115877108"/>
      <w:r w:rsidRPr="0025423A">
        <w:t xml:space="preserve">Table </w:t>
      </w:r>
      <w:r w:rsidR="00234D1A">
        <w:fldChar w:fldCharType="begin"/>
      </w:r>
      <w:r w:rsidR="00234D1A">
        <w:instrText xml:space="preserve"> SEQ Table \* ARABIC </w:instrText>
      </w:r>
      <w:r w:rsidR="00234D1A">
        <w:fldChar w:fldCharType="separate"/>
      </w:r>
      <w:r w:rsidR="001702C9">
        <w:rPr>
          <w:noProof/>
        </w:rPr>
        <w:t>7</w:t>
      </w:r>
      <w:r w:rsidR="00234D1A">
        <w:rPr>
          <w:noProof/>
        </w:rPr>
        <w:fldChar w:fldCharType="end"/>
      </w:r>
      <w:bookmarkEnd w:id="83"/>
      <w:r w:rsidRPr="0025423A">
        <w:t xml:space="preserve">: </w:t>
      </w:r>
      <w:bookmarkStart w:id="84" w:name="_Hlk101283798"/>
      <w:r w:rsidR="00AC3147" w:rsidRPr="0025423A">
        <w:t xml:space="preserve">Study 201738 (HPTN 083 trial) </w:t>
      </w:r>
      <w:r w:rsidR="003768A7" w:rsidRPr="0025423A">
        <w:t>Summary o</w:t>
      </w:r>
      <w:r w:rsidR="00AC3147" w:rsidRPr="0025423A">
        <w:t xml:space="preserve">f </w:t>
      </w:r>
      <w:r w:rsidR="00A7739E" w:rsidRPr="0025423A">
        <w:t>Cox</w:t>
      </w:r>
      <w:r w:rsidR="00AC3147" w:rsidRPr="0025423A">
        <w:t xml:space="preserve"> proportional hazards regression model for time to infection</w:t>
      </w:r>
    </w:p>
    <w:p w14:paraId="5DDBC916" w14:textId="463A638A" w:rsidR="003768A7" w:rsidRDefault="00A7739E" w:rsidP="00477A98">
      <w:r>
        <w:rPr>
          <w:noProof/>
          <w:lang w:val="en-GB" w:eastAsia="en-GB"/>
        </w:rPr>
        <w:drawing>
          <wp:inline distT="0" distB="0" distL="0" distR="0" wp14:anchorId="3E9C1DA1" wp14:editId="3A5D99F0">
            <wp:extent cx="5225143" cy="3464560"/>
            <wp:effectExtent l="0" t="0" r="0" b="2540"/>
            <wp:docPr id="22" name="Picture 22" descr="Table 7: Study 201738 (HPTN 083 trial) Summary of Cox proportional hazards regression model for time to inf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7: Study 201738 (HPTN 083 trial) Summary of Cox proportional hazards regression model for time to infection"/>
                    <pic:cNvPicPr/>
                  </pic:nvPicPr>
                  <pic:blipFill>
                    <a:blip r:embed="rId22"/>
                    <a:stretch>
                      <a:fillRect/>
                    </a:stretch>
                  </pic:blipFill>
                  <pic:spPr>
                    <a:xfrm>
                      <a:off x="0" y="0"/>
                      <a:ext cx="5235034" cy="3471118"/>
                    </a:xfrm>
                    <a:prstGeom prst="rect">
                      <a:avLst/>
                    </a:prstGeom>
                  </pic:spPr>
                </pic:pic>
              </a:graphicData>
            </a:graphic>
          </wp:inline>
        </w:drawing>
      </w:r>
      <w:bookmarkEnd w:id="84"/>
    </w:p>
    <w:p w14:paraId="4191DB42" w14:textId="061B21A4" w:rsidR="008449C5" w:rsidRPr="00477A98" w:rsidRDefault="00477A98" w:rsidP="00477A98">
      <w:pPr>
        <w:pStyle w:val="TableDescription"/>
      </w:pPr>
      <w:r w:rsidRPr="00477A98">
        <w:t xml:space="preserve">Abbreviations: </w:t>
      </w:r>
      <w:r w:rsidR="008449C5" w:rsidRPr="00477A98">
        <w:t>CAB =</w:t>
      </w:r>
      <w:r w:rsidR="001B71F9" w:rsidRPr="00477A98">
        <w:t xml:space="preserve"> cabotegravir</w:t>
      </w:r>
      <w:r w:rsidRPr="00477A98">
        <w:t xml:space="preserve">; CI = confidence interval; FTC = emtricitabine; </w:t>
      </w:r>
      <w:proofErr w:type="spellStart"/>
      <w:r w:rsidRPr="00477A98">
        <w:t>mITT</w:t>
      </w:r>
      <w:proofErr w:type="spellEnd"/>
      <w:r w:rsidRPr="00477A98">
        <w:t xml:space="preserve"> = modified intent-to-treat; n = </w:t>
      </w:r>
      <w:bookmarkStart w:id="85" w:name="_Hlk116244732"/>
      <w:r w:rsidRPr="00477A98">
        <w:t>number of subjects in group</w:t>
      </w:r>
      <w:bookmarkEnd w:id="85"/>
      <w:r w:rsidRPr="00477A98">
        <w:t xml:space="preserve">; OBSP = on blinded study product; PY = person years; </w:t>
      </w:r>
      <w:r w:rsidR="008449C5" w:rsidRPr="00477A98">
        <w:t>TDF =</w:t>
      </w:r>
      <w:r w:rsidR="00342B4E" w:rsidRPr="00477A98">
        <w:t xml:space="preserve"> tenofovir disoproxil fumarate</w:t>
      </w:r>
      <w:r w:rsidRPr="00477A98">
        <w:t>.</w:t>
      </w:r>
    </w:p>
    <w:p w14:paraId="345C1221" w14:textId="508BE2F0" w:rsidR="00A7739E" w:rsidRPr="00477A98" w:rsidRDefault="00477A98" w:rsidP="00477A98">
      <w:pPr>
        <w:pStyle w:val="TableDescription"/>
      </w:pPr>
      <w:r>
        <w:t xml:space="preserve">Hazard ratio less than </w:t>
      </w:r>
      <w:r w:rsidR="00A7739E" w:rsidRPr="00477A98">
        <w:t>1.0 indicates a lower risk on CAB as compared to TDF/FTC.</w:t>
      </w:r>
    </w:p>
    <w:p w14:paraId="4B304378" w14:textId="77777777" w:rsidR="00A7739E" w:rsidRPr="00477A98" w:rsidRDefault="00A7739E" w:rsidP="00477A98">
      <w:pPr>
        <w:pStyle w:val="TableDescription"/>
      </w:pPr>
      <w:r w:rsidRPr="00477A98">
        <w:t>The p-values are two-sided.</w:t>
      </w:r>
    </w:p>
    <w:p w14:paraId="31EE1D1E" w14:textId="6D63DFF9" w:rsidR="00A7739E" w:rsidRPr="00477A98" w:rsidRDefault="00A7739E" w:rsidP="00477A98">
      <w:pPr>
        <w:pStyle w:val="TableDescription"/>
      </w:pPr>
      <w:r w:rsidRPr="00477A98">
        <w:t>The trial was stopped based on a breach of the first interim stopping bound (z = -4.00, p</w:t>
      </w:r>
      <w:r w:rsidR="00F267D8">
        <w:t xml:space="preserve"> </w:t>
      </w:r>
      <w:r w:rsidRPr="00477A98">
        <w:t>= 0.000063), which was derived from an O'Brien-Fleming design with three planed interim analysis plus one final analysis.</w:t>
      </w:r>
    </w:p>
    <w:p w14:paraId="16DFC711" w14:textId="77777777" w:rsidR="00A7739E" w:rsidRPr="00477A98" w:rsidRDefault="00A7739E" w:rsidP="00477A98">
      <w:pPr>
        <w:pStyle w:val="TableDescription"/>
      </w:pPr>
      <w:r w:rsidRPr="00477A98">
        <w:t>a. The unadjusted hazard ratio is based on a Cox proportional hazards model stratified by region.</w:t>
      </w:r>
    </w:p>
    <w:p w14:paraId="058FC41C" w14:textId="721A690B" w:rsidR="00A7739E" w:rsidRPr="00477A98" w:rsidRDefault="00A7739E" w:rsidP="00477A98">
      <w:pPr>
        <w:pStyle w:val="TableDescription"/>
      </w:pPr>
      <w:r w:rsidRPr="00477A98">
        <w:t xml:space="preserve">b. The bias-adjusted hazard ratio, CI, and p-value account for the group-sequential trial design and the early stopping time. The adjusted point estimate is the </w:t>
      </w:r>
      <w:r w:rsidR="00477A98" w:rsidRPr="00477A98">
        <w:t>median unbiased estimate</w:t>
      </w:r>
      <w:r w:rsidRPr="00477A98">
        <w:t xml:space="preserve">, and the confidence interval and p-value are based on the </w:t>
      </w:r>
      <w:r w:rsidR="00477A98" w:rsidRPr="00477A98">
        <w:t>maximum likelihood estimate</w:t>
      </w:r>
      <w:r w:rsidRPr="00477A98">
        <w:t xml:space="preserve"> ordering of the sample space.</w:t>
      </w:r>
    </w:p>
    <w:p w14:paraId="0545B6AB" w14:textId="12B04C08" w:rsidR="00A7739E" w:rsidRPr="00477A98" w:rsidRDefault="00A7739E" w:rsidP="00477A98">
      <w:pPr>
        <w:pStyle w:val="TableDescription"/>
      </w:pPr>
      <w:r w:rsidRPr="00477A98">
        <w:lastRenderedPageBreak/>
        <w:t>c. The 95% CI for incidence rate is calculated using the exact Poisson method.</w:t>
      </w:r>
    </w:p>
    <w:p w14:paraId="44A2DAD7" w14:textId="2BD8525D" w:rsidR="003768A7" w:rsidRPr="0025423A" w:rsidRDefault="008A30B2" w:rsidP="0025423A">
      <w:pPr>
        <w:pStyle w:val="TableTitle"/>
      </w:pPr>
      <w:bookmarkStart w:id="86" w:name="_Ref115877182"/>
      <w:r w:rsidRPr="0025423A">
        <w:t xml:space="preserve">Table </w:t>
      </w:r>
      <w:r w:rsidR="00234D1A">
        <w:fldChar w:fldCharType="begin"/>
      </w:r>
      <w:r w:rsidR="00234D1A">
        <w:instrText xml:space="preserve"> SEQ Table \* ARABIC </w:instrText>
      </w:r>
      <w:r w:rsidR="00234D1A">
        <w:fldChar w:fldCharType="separate"/>
      </w:r>
      <w:r w:rsidR="001702C9">
        <w:rPr>
          <w:noProof/>
        </w:rPr>
        <w:t>8</w:t>
      </w:r>
      <w:r w:rsidR="00234D1A">
        <w:rPr>
          <w:noProof/>
        </w:rPr>
        <w:fldChar w:fldCharType="end"/>
      </w:r>
      <w:bookmarkEnd w:id="86"/>
      <w:r w:rsidRPr="0025423A">
        <w:t>:</w:t>
      </w:r>
      <w:r w:rsidR="003768A7" w:rsidRPr="0025423A">
        <w:t xml:space="preserve"> </w:t>
      </w:r>
      <w:r w:rsidR="009F1F1B" w:rsidRPr="0025423A">
        <w:t>Study 201739 (</w:t>
      </w:r>
      <w:r w:rsidR="00AC3147" w:rsidRPr="0025423A">
        <w:t>HPTN 084 trial</w:t>
      </w:r>
      <w:r w:rsidR="009F1F1B" w:rsidRPr="0025423A">
        <w:t>)</w:t>
      </w:r>
      <w:r w:rsidR="00AC3147" w:rsidRPr="0025423A">
        <w:t xml:space="preserve"> </w:t>
      </w:r>
      <w:r w:rsidR="003768A7" w:rsidRPr="0025423A">
        <w:t xml:space="preserve">Summary of </w:t>
      </w:r>
      <w:r w:rsidR="00A7739E" w:rsidRPr="0025423A">
        <w:t>Cox</w:t>
      </w:r>
      <w:r w:rsidR="009F1F1B" w:rsidRPr="0025423A">
        <w:t xml:space="preserve"> proportional hazards regression model for time to infection</w:t>
      </w:r>
      <w:r w:rsidR="00A7739E" w:rsidRPr="0025423A">
        <w:t xml:space="preserve"> in Steps 1 and 2</w:t>
      </w:r>
    </w:p>
    <w:p w14:paraId="36AE5A6E" w14:textId="1290969F" w:rsidR="00A7739E" w:rsidRDefault="00A7739E" w:rsidP="00477A98">
      <w:r>
        <w:rPr>
          <w:noProof/>
          <w:lang w:val="en-GB" w:eastAsia="en-GB"/>
        </w:rPr>
        <w:drawing>
          <wp:inline distT="0" distB="0" distL="0" distR="0" wp14:anchorId="6B74DF19" wp14:editId="5DF480C8">
            <wp:extent cx="5372100" cy="3380740"/>
            <wp:effectExtent l="0" t="0" r="0" b="0"/>
            <wp:docPr id="23" name="Picture 23" descr="Table 8: Study 201739 (HPTN 084 trial) Summary of Cox proportional hazards regression model for time to infection in Step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 8: Study 201739 (HPTN 084 trial) Summary of Cox proportional hazards regression model for time to infection in Steps 1 and 2"/>
                    <pic:cNvPicPr/>
                  </pic:nvPicPr>
                  <pic:blipFill>
                    <a:blip r:embed="rId23"/>
                    <a:stretch>
                      <a:fillRect/>
                    </a:stretch>
                  </pic:blipFill>
                  <pic:spPr>
                    <a:xfrm>
                      <a:off x="0" y="0"/>
                      <a:ext cx="5377678" cy="3384250"/>
                    </a:xfrm>
                    <a:prstGeom prst="rect">
                      <a:avLst/>
                    </a:prstGeom>
                  </pic:spPr>
                </pic:pic>
              </a:graphicData>
            </a:graphic>
          </wp:inline>
        </w:drawing>
      </w:r>
    </w:p>
    <w:p w14:paraId="4C36CE6A" w14:textId="3A5A22B8" w:rsidR="008449C5" w:rsidRPr="00911EBF" w:rsidRDefault="00477A98" w:rsidP="00911EBF">
      <w:pPr>
        <w:pStyle w:val="TableDescription"/>
      </w:pPr>
      <w:r w:rsidRPr="00911EBF">
        <w:t xml:space="preserve">Abbreviations: </w:t>
      </w:r>
      <w:r w:rsidR="008449C5" w:rsidRPr="00911EBF">
        <w:t>CAB =</w:t>
      </w:r>
      <w:r w:rsidR="001B71F9" w:rsidRPr="00911EBF">
        <w:t xml:space="preserve"> cabotegravir</w:t>
      </w:r>
      <w:r w:rsidRPr="00911EBF">
        <w:t xml:space="preserve">; CI = confidence interval; FTC = emtricitabine; </w:t>
      </w:r>
      <w:proofErr w:type="spellStart"/>
      <w:r w:rsidRPr="00911EBF">
        <w:t>mITT</w:t>
      </w:r>
      <w:proofErr w:type="spellEnd"/>
      <w:r w:rsidRPr="00911EBF">
        <w:t xml:space="preserve"> = modified intent-to-treat; n = number of subjects in group; PY = person years; </w:t>
      </w:r>
      <w:r w:rsidR="008449C5" w:rsidRPr="00911EBF">
        <w:t>TDF =</w:t>
      </w:r>
      <w:r w:rsidR="00342B4E" w:rsidRPr="00911EBF">
        <w:t xml:space="preserve"> tenofovir disoproxil fumarate</w:t>
      </w:r>
      <w:r w:rsidRPr="00911EBF">
        <w:t>.</w:t>
      </w:r>
    </w:p>
    <w:p w14:paraId="12E3B96E" w14:textId="77777777" w:rsidR="00A7739E" w:rsidRPr="00911EBF" w:rsidRDefault="00A7739E" w:rsidP="00911EBF">
      <w:pPr>
        <w:pStyle w:val="TableDescription"/>
      </w:pPr>
      <w:bookmarkStart w:id="87" w:name="_Hlk99479709"/>
      <w:r w:rsidRPr="00911EBF">
        <w:t>The p-values are two-sided.</w:t>
      </w:r>
    </w:p>
    <w:p w14:paraId="4443F7AC" w14:textId="7B3C1FEC" w:rsidR="00A7739E" w:rsidRPr="00911EBF" w:rsidRDefault="00A7739E" w:rsidP="00911EBF">
      <w:pPr>
        <w:pStyle w:val="TableDescription"/>
      </w:pPr>
      <w:r w:rsidRPr="00911EBF">
        <w:t xml:space="preserve">a. Hazard ratio </w:t>
      </w:r>
      <w:r w:rsidR="00477A98" w:rsidRPr="00911EBF">
        <w:t xml:space="preserve">less than </w:t>
      </w:r>
      <w:r w:rsidRPr="00911EBF">
        <w:t>1.0 indicates a lower risk on CAB as compared to TDF/FTC. The hazard ratio is based on a Cox proportional hazards model stratified by site.</w:t>
      </w:r>
    </w:p>
    <w:p w14:paraId="42012330" w14:textId="06FE46CC" w:rsidR="00A7739E" w:rsidRPr="00911EBF" w:rsidRDefault="00A7739E" w:rsidP="00911EBF">
      <w:pPr>
        <w:pStyle w:val="TableDescription"/>
      </w:pPr>
      <w:r w:rsidRPr="00911EBF">
        <w:t xml:space="preserve">b. Efficacy analyses using the </w:t>
      </w:r>
      <w:proofErr w:type="spellStart"/>
      <w:r w:rsidRPr="00911EBF">
        <w:t>mITT</w:t>
      </w:r>
      <w:proofErr w:type="spellEnd"/>
      <w:r w:rsidRPr="00911EBF">
        <w:t xml:space="preserve"> </w:t>
      </w:r>
      <w:r w:rsidR="00D568D1" w:rsidRPr="00911EBF">
        <w:t>population</w:t>
      </w:r>
      <w:r w:rsidRPr="00911EBF">
        <w:t xml:space="preserve"> include data from Steps 1 and 2 as well as from participants who discontinued study product altogether and moved to annual follow-up in Step 1 or 2.</w:t>
      </w:r>
    </w:p>
    <w:p w14:paraId="2256CC10" w14:textId="0E5F4E74" w:rsidR="00A7739E" w:rsidRPr="00911EBF" w:rsidRDefault="00A7739E" w:rsidP="00911EBF">
      <w:pPr>
        <w:pStyle w:val="TableDescription"/>
      </w:pPr>
      <w:r w:rsidRPr="00911EBF">
        <w:t>c. The bias-adjusted hazard ratio, CI, and p-value account for the group sequential trial design and the decision to stop the trial at the second interim analysis. This was calculated outside of this report using additional data from the first interim analysis that is not part of the submission data package used for this report.</w:t>
      </w:r>
    </w:p>
    <w:p w14:paraId="76DF5820" w14:textId="77777777" w:rsidR="00A7739E" w:rsidRPr="00911EBF" w:rsidRDefault="00A7739E" w:rsidP="00911EBF">
      <w:pPr>
        <w:pStyle w:val="TableDescription"/>
      </w:pPr>
      <w:r w:rsidRPr="00911EBF">
        <w:t>d. The 95% CI for incidence rate was calculated using the exact Poisson method.</w:t>
      </w:r>
    </w:p>
    <w:p w14:paraId="2CC2DDEA" w14:textId="5314CE0B" w:rsidR="00A7739E" w:rsidRPr="00911EBF" w:rsidRDefault="00A7739E" w:rsidP="00911EBF">
      <w:pPr>
        <w:pStyle w:val="TableDescription"/>
      </w:pPr>
      <w:r w:rsidRPr="00911EBF">
        <w:t xml:space="preserve">e. The analysis with </w:t>
      </w:r>
      <w:r w:rsidR="00911EBF" w:rsidRPr="00911EBF">
        <w:t>on blinded study product (</w:t>
      </w:r>
      <w:r w:rsidRPr="00911EBF">
        <w:t>OBSP</w:t>
      </w:r>
      <w:r w:rsidR="00911EBF" w:rsidRPr="00911EBF">
        <w:t>)</w:t>
      </w:r>
      <w:r w:rsidRPr="00911EBF">
        <w:t xml:space="preserve"> censoring did not count </w:t>
      </w:r>
      <w:r w:rsidR="00911EBF" w:rsidRPr="00911EBF">
        <w:t>one of two</w:t>
      </w:r>
      <w:r w:rsidRPr="00911EBF">
        <w:t xml:space="preserve"> total participants who seroconverted during Step 2; </w:t>
      </w:r>
      <w:r w:rsidR="00911EBF" w:rsidRPr="00911EBF">
        <w:t>one</w:t>
      </w:r>
      <w:r w:rsidRPr="00911EBF">
        <w:t xml:space="preserve"> of these participants had several delayed injections outside of the protocol allowance windows, and the OBSP analysis follow-up time was censored at the last non-delayed injection, resulting in the seroconversion event for this participant not being counted in the OBSP analysis.</w:t>
      </w:r>
    </w:p>
    <w:p w14:paraId="6D7D3612" w14:textId="3442D45E" w:rsidR="003768A7" w:rsidRPr="00527BFD" w:rsidRDefault="003768A7" w:rsidP="00BB4257">
      <w:r w:rsidRPr="00527BFD">
        <w:t xml:space="preserve">Of the 13 incident HIV-1 infections reported in </w:t>
      </w:r>
      <w:r w:rsidR="00BB0AC1" w:rsidRPr="00527BFD">
        <w:t>the HPTN 083 trial</w:t>
      </w:r>
      <w:r w:rsidRPr="00527BFD">
        <w:t xml:space="preserve"> for the </w:t>
      </w:r>
      <w:r w:rsidR="00FD52A9" w:rsidRPr="00527BFD">
        <w:t>cabotegravir</w:t>
      </w:r>
      <w:r w:rsidRPr="00527BFD">
        <w:t xml:space="preserve"> group, 3 occurred while the participant was receiving oral lead-in </w:t>
      </w:r>
      <w:r w:rsidR="00FD52A9" w:rsidRPr="00527BFD">
        <w:t>cabotegravir</w:t>
      </w:r>
      <w:r w:rsidRPr="00527BFD">
        <w:t xml:space="preserve">, 5 occurred while the participant was receiving active </w:t>
      </w:r>
      <w:r w:rsidR="00FD52A9" w:rsidRPr="00527BFD">
        <w:t>cabotegravir</w:t>
      </w:r>
      <w:r w:rsidRPr="00527BFD">
        <w:t xml:space="preserve"> LA injections, and 5 occurred following prolonged periods when off </w:t>
      </w:r>
      <w:r w:rsidR="00FD52A9" w:rsidRPr="00527BFD">
        <w:t>cabotegravir</w:t>
      </w:r>
      <w:r w:rsidRPr="00527BFD">
        <w:t xml:space="preserve"> (oral </w:t>
      </w:r>
      <w:r w:rsidR="00FD52A9" w:rsidRPr="00527BFD">
        <w:t>cabotegravir</w:t>
      </w:r>
      <w:r w:rsidRPr="00527BFD">
        <w:t xml:space="preserve"> or </w:t>
      </w:r>
      <w:r w:rsidR="00FD52A9" w:rsidRPr="00527BFD">
        <w:t>cabotegravir</w:t>
      </w:r>
      <w:r w:rsidRPr="00527BFD">
        <w:t xml:space="preserve"> LA) due to product non-adherence or a study-related discontinuation.</w:t>
      </w:r>
    </w:p>
    <w:p w14:paraId="76AFD82E" w14:textId="78D60ED3" w:rsidR="003768A7" w:rsidRPr="00527BFD" w:rsidRDefault="003768A7" w:rsidP="00BB4257">
      <w:r w:rsidRPr="00527BFD">
        <w:t>For the TDF/</w:t>
      </w:r>
      <w:r w:rsidR="000B10F7" w:rsidRPr="00527BFD">
        <w:t>emtricitabine</w:t>
      </w:r>
      <w:r w:rsidRPr="00527BFD">
        <w:t xml:space="preserve"> group, seroconversion events were largely due to low adherence to the daily </w:t>
      </w:r>
      <w:proofErr w:type="spellStart"/>
      <w:r w:rsidRPr="00527BFD">
        <w:t>PrEP</w:t>
      </w:r>
      <w:proofErr w:type="spellEnd"/>
      <w:r w:rsidRPr="00527BFD">
        <w:t xml:space="preserve"> regimen based on PK assessments of </w:t>
      </w:r>
      <w:r w:rsidR="00D43DAD" w:rsidRPr="00527BFD">
        <w:t>tenofovir</w:t>
      </w:r>
      <w:r w:rsidR="0094009B">
        <w:t xml:space="preserve"> </w:t>
      </w:r>
      <w:r w:rsidR="0094009B" w:rsidRPr="0094009B">
        <w:t xml:space="preserve">diphosphate </w:t>
      </w:r>
      <w:r w:rsidRPr="00527BFD">
        <w:t xml:space="preserve">concentrations in </w:t>
      </w:r>
      <w:r w:rsidR="0094009B" w:rsidRPr="0094009B">
        <w:t xml:space="preserve">dried blood spot </w:t>
      </w:r>
      <w:r w:rsidRPr="00527BFD">
        <w:t xml:space="preserve">samples. A graphical representation of the cumulative rates of acquired HIV-1 infections in the </w:t>
      </w:r>
      <w:proofErr w:type="spellStart"/>
      <w:r w:rsidRPr="00527BFD">
        <w:t>mITT</w:t>
      </w:r>
      <w:proofErr w:type="spellEnd"/>
      <w:r w:rsidRPr="00527BFD">
        <w:t xml:space="preserve"> </w:t>
      </w:r>
      <w:r w:rsidR="00736B59" w:rsidRPr="00527BFD">
        <w:t xml:space="preserve">population </w:t>
      </w:r>
      <w:r w:rsidRPr="00527BFD">
        <w:t>(Steps 1 and 2) by randomi</w:t>
      </w:r>
      <w:r w:rsidR="00462EFD" w:rsidRPr="00527BFD">
        <w:t>s</w:t>
      </w:r>
      <w:r w:rsidRPr="00527BFD">
        <w:t xml:space="preserve">ation group for </w:t>
      </w:r>
      <w:r w:rsidR="00BB0AC1" w:rsidRPr="00527BFD">
        <w:t>the HPTN</w:t>
      </w:r>
      <w:r w:rsidR="00736B59" w:rsidRPr="00527BFD">
        <w:t> </w:t>
      </w:r>
      <w:r w:rsidR="00BB0AC1" w:rsidRPr="00527BFD">
        <w:t>083 trial</w:t>
      </w:r>
      <w:r w:rsidRPr="00527BFD">
        <w:t xml:space="preserve"> is provided in (</w:t>
      </w:r>
      <w:r w:rsidR="00736B59" w:rsidRPr="00527BFD">
        <w:t xml:space="preserve">see </w:t>
      </w:r>
      <w:r w:rsidR="00736B59" w:rsidRPr="00527BFD">
        <w:fldChar w:fldCharType="begin"/>
      </w:r>
      <w:r w:rsidR="00736B59" w:rsidRPr="00527BFD">
        <w:instrText xml:space="preserve"> REF _Ref115877305 \h </w:instrText>
      </w:r>
      <w:r w:rsidR="00D43DAD" w:rsidRPr="00527BFD">
        <w:instrText xml:space="preserve"> \* MERGEFORMAT </w:instrText>
      </w:r>
      <w:r w:rsidR="00736B59" w:rsidRPr="00527BFD">
        <w:fldChar w:fldCharType="separate"/>
      </w:r>
      <w:r w:rsidR="001702C9" w:rsidRPr="0025423A">
        <w:t xml:space="preserve">Figure </w:t>
      </w:r>
      <w:r w:rsidR="001702C9">
        <w:rPr>
          <w:noProof/>
        </w:rPr>
        <w:t>3</w:t>
      </w:r>
      <w:r w:rsidR="00736B59" w:rsidRPr="00527BFD">
        <w:fldChar w:fldCharType="end"/>
      </w:r>
      <w:r w:rsidR="00736B59" w:rsidRPr="00527BFD">
        <w:t xml:space="preserve"> below</w:t>
      </w:r>
      <w:r w:rsidRPr="00527BFD">
        <w:t xml:space="preserve">) This plot </w:t>
      </w:r>
      <w:r w:rsidRPr="00527BFD">
        <w:lastRenderedPageBreak/>
        <w:t>shows that the cumulative number of incident HIV-1 infections is higher in the TDF/</w:t>
      </w:r>
      <w:r w:rsidR="000B10F7" w:rsidRPr="00527BFD">
        <w:t>emtricitabine</w:t>
      </w:r>
      <w:r w:rsidRPr="00527BFD">
        <w:t xml:space="preserve"> group compared with the </w:t>
      </w:r>
      <w:r w:rsidR="00FD52A9" w:rsidRPr="00527BFD">
        <w:t>cabotegravir</w:t>
      </w:r>
      <w:r w:rsidRPr="00527BFD">
        <w:t xml:space="preserve"> group.</w:t>
      </w:r>
    </w:p>
    <w:p w14:paraId="652DB85E" w14:textId="4E0EE971" w:rsidR="003768A7" w:rsidRPr="0025423A" w:rsidRDefault="00736B59" w:rsidP="0025423A">
      <w:pPr>
        <w:pStyle w:val="FigureTitle"/>
      </w:pPr>
      <w:bookmarkStart w:id="88" w:name="_Ref115877305"/>
      <w:r w:rsidRPr="0025423A">
        <w:t xml:space="preserve">Figure </w:t>
      </w:r>
      <w:r w:rsidR="00234D1A">
        <w:fldChar w:fldCharType="begin"/>
      </w:r>
      <w:r w:rsidR="00234D1A">
        <w:instrText xml:space="preserve"> SEQ Figure \* ARABIC </w:instrText>
      </w:r>
      <w:r w:rsidR="00234D1A">
        <w:fldChar w:fldCharType="separate"/>
      </w:r>
      <w:r w:rsidR="001702C9">
        <w:rPr>
          <w:noProof/>
        </w:rPr>
        <w:t>3</w:t>
      </w:r>
      <w:r w:rsidR="00234D1A">
        <w:rPr>
          <w:noProof/>
        </w:rPr>
        <w:fldChar w:fldCharType="end"/>
      </w:r>
      <w:bookmarkEnd w:id="88"/>
      <w:r w:rsidRPr="0025423A">
        <w:t>:</w:t>
      </w:r>
      <w:r w:rsidR="003768A7" w:rsidRPr="0025423A">
        <w:t xml:space="preserve"> </w:t>
      </w:r>
      <w:r w:rsidR="00AC3147" w:rsidRPr="0025423A">
        <w:t>Study 201738 (</w:t>
      </w:r>
      <w:r w:rsidRPr="0025423A">
        <w:t>HPTN 083 trial</w:t>
      </w:r>
      <w:r w:rsidR="00AC3147" w:rsidRPr="0025423A">
        <w:t>)</w:t>
      </w:r>
      <w:r w:rsidRPr="0025423A">
        <w:t xml:space="preserve"> </w:t>
      </w:r>
      <w:r w:rsidR="003768A7" w:rsidRPr="0025423A">
        <w:t xml:space="preserve">Cumulative rates of acquired </w:t>
      </w:r>
      <w:r w:rsidR="00AC3147" w:rsidRPr="0025423A">
        <w:t>human immunodeficiency virus type 1 infections by group</w:t>
      </w:r>
      <w:r w:rsidR="00BF26A0" w:rsidRPr="0025423A">
        <w:t xml:space="preserve"> (modified intent-to-treat population)</w:t>
      </w:r>
    </w:p>
    <w:p w14:paraId="2606CBE3" w14:textId="4CD88D8D" w:rsidR="003768A7" w:rsidRDefault="00BF26A0" w:rsidP="00911EBF">
      <w:r>
        <w:rPr>
          <w:noProof/>
          <w:lang w:val="en-GB" w:eastAsia="en-GB"/>
        </w:rPr>
        <w:drawing>
          <wp:inline distT="0" distB="0" distL="0" distR="0" wp14:anchorId="201F18A0" wp14:editId="470B59FC">
            <wp:extent cx="5279571" cy="3568700"/>
            <wp:effectExtent l="0" t="0" r="0" b="0"/>
            <wp:docPr id="25" name="Picture 25" descr="Figure 3: Study 201738 (HPTN 083 trial) Cumulative rates of acquired human immunodeficiency virus type 1 infections by group (modified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3: Study 201738 (HPTN 083 trial) Cumulative rates of acquired human immunodeficiency virus type 1 infections by group (modified intent-to-treat population)"/>
                    <pic:cNvPicPr/>
                  </pic:nvPicPr>
                  <pic:blipFill>
                    <a:blip r:embed="rId24"/>
                    <a:stretch>
                      <a:fillRect/>
                    </a:stretch>
                  </pic:blipFill>
                  <pic:spPr>
                    <a:xfrm>
                      <a:off x="0" y="0"/>
                      <a:ext cx="5281728" cy="3570158"/>
                    </a:xfrm>
                    <a:prstGeom prst="rect">
                      <a:avLst/>
                    </a:prstGeom>
                  </pic:spPr>
                </pic:pic>
              </a:graphicData>
            </a:graphic>
          </wp:inline>
        </w:drawing>
      </w:r>
      <w:bookmarkEnd w:id="87"/>
    </w:p>
    <w:p w14:paraId="191C331C" w14:textId="40483A27" w:rsidR="008449C5" w:rsidRPr="00911EBF" w:rsidRDefault="00911EBF" w:rsidP="00911EBF">
      <w:pPr>
        <w:pStyle w:val="FigureDescription"/>
      </w:pPr>
      <w:r w:rsidRPr="00911EBF">
        <w:t xml:space="preserve">Abbreviations: </w:t>
      </w:r>
      <w:r w:rsidR="008449C5" w:rsidRPr="00911EBF">
        <w:t>CAB =</w:t>
      </w:r>
      <w:r w:rsidR="001B71F9" w:rsidRPr="00911EBF">
        <w:t xml:space="preserve"> cabotegravir</w:t>
      </w:r>
      <w:r w:rsidRPr="00911EBF">
        <w:t xml:space="preserve">; FTC = emtricitabine; </w:t>
      </w:r>
      <w:r w:rsidR="008449C5" w:rsidRPr="00911EBF">
        <w:t>TDF =</w:t>
      </w:r>
      <w:r w:rsidR="00342B4E" w:rsidRPr="00911EBF">
        <w:t xml:space="preserve"> tenofovir disoproxil fumarate</w:t>
      </w:r>
      <w:r w:rsidRPr="00911EBF">
        <w:t>.</w:t>
      </w:r>
    </w:p>
    <w:p w14:paraId="6DC87FDB" w14:textId="3E96509A" w:rsidR="003768A7" w:rsidRPr="00527BFD" w:rsidRDefault="003768A7" w:rsidP="00BB4257">
      <w:bookmarkStart w:id="89" w:name="_Ref96926078"/>
      <w:r w:rsidRPr="00527BFD">
        <w:t xml:space="preserve">Of the 4 incident HIV-1 infections in </w:t>
      </w:r>
      <w:r w:rsidR="00CC53B1" w:rsidRPr="00527BFD">
        <w:t>the HPTN 084 trial</w:t>
      </w:r>
      <w:r w:rsidRPr="00527BFD">
        <w:t xml:space="preserve"> reported for the </w:t>
      </w:r>
      <w:r w:rsidR="00FD52A9" w:rsidRPr="00527BFD">
        <w:t>cabotegravir</w:t>
      </w:r>
      <w:r w:rsidRPr="00527BFD">
        <w:t xml:space="preserve"> group, 2 HIV infections occurred in women with no recent oral </w:t>
      </w:r>
      <w:r w:rsidR="00FD52A9" w:rsidRPr="00527BFD">
        <w:t>cabotegravir</w:t>
      </w:r>
      <w:r w:rsidRPr="00527BFD">
        <w:t xml:space="preserve"> exposure and no injections (</w:t>
      </w:r>
      <w:r w:rsidR="00364168" w:rsidRPr="00527BFD">
        <w:t>one</w:t>
      </w:r>
      <w:r w:rsidRPr="00527BFD">
        <w:t xml:space="preserve"> of whom became pregnant; </w:t>
      </w:r>
      <w:r w:rsidR="00B6536C" w:rsidRPr="00527BFD">
        <w:t>thus,</w:t>
      </w:r>
      <w:r w:rsidRPr="00527BFD">
        <w:t xml:space="preserve"> </w:t>
      </w:r>
      <w:r w:rsidR="00FD52A9" w:rsidRPr="00527BFD">
        <w:t>cabotegravir</w:t>
      </w:r>
      <w:r w:rsidRPr="00527BFD">
        <w:t xml:space="preserve"> was discontinued, and she was offered TDF/</w:t>
      </w:r>
      <w:r w:rsidR="000B10F7" w:rsidRPr="00527BFD">
        <w:t>emtricitabine</w:t>
      </w:r>
      <w:r w:rsidRPr="00527BFD">
        <w:t>) and 2 seroconversions were detected during Step</w:t>
      </w:r>
      <w:r w:rsidR="00D46635">
        <w:t> </w:t>
      </w:r>
      <w:r w:rsidRPr="00527BFD">
        <w:t xml:space="preserve">2 while the participants were receiving </w:t>
      </w:r>
      <w:r w:rsidR="00FD52A9" w:rsidRPr="00527BFD">
        <w:t>cabotegravir</w:t>
      </w:r>
      <w:r w:rsidRPr="00527BFD">
        <w:t xml:space="preserve"> injections. For the TDF/</w:t>
      </w:r>
      <w:r w:rsidR="000B10F7" w:rsidRPr="00527BFD">
        <w:t>emtricitabine</w:t>
      </w:r>
      <w:r w:rsidRPr="00527BFD">
        <w:t xml:space="preserve"> group, seroconversion events were largely due to low adherence to the daily </w:t>
      </w:r>
      <w:proofErr w:type="spellStart"/>
      <w:r w:rsidRPr="00527BFD">
        <w:t>PrEP</w:t>
      </w:r>
      <w:proofErr w:type="spellEnd"/>
      <w:r w:rsidRPr="00527BFD">
        <w:t xml:space="preserve"> regimen based on PK findings. A graphical representation of the cumulative rates of acquired HIV</w:t>
      </w:r>
      <w:r w:rsidR="00D46635">
        <w:noBreakHyphen/>
      </w:r>
      <w:r w:rsidRPr="00527BFD">
        <w:t xml:space="preserve">1 infections in the </w:t>
      </w:r>
      <w:proofErr w:type="spellStart"/>
      <w:r w:rsidRPr="00527BFD">
        <w:t>mITT</w:t>
      </w:r>
      <w:proofErr w:type="spellEnd"/>
      <w:r w:rsidRPr="00527BFD">
        <w:t xml:space="preserve"> </w:t>
      </w:r>
      <w:r w:rsidR="00D568D1" w:rsidRPr="00527BFD">
        <w:t>population</w:t>
      </w:r>
      <w:r w:rsidRPr="00527BFD">
        <w:t xml:space="preserve"> by randomi</w:t>
      </w:r>
      <w:r w:rsidR="00462EFD" w:rsidRPr="00527BFD">
        <w:t>s</w:t>
      </w:r>
      <w:r w:rsidRPr="00527BFD">
        <w:t xml:space="preserve">ation group for </w:t>
      </w:r>
      <w:r w:rsidR="00CC53B1" w:rsidRPr="00527BFD">
        <w:t>the HPTN 084 trial</w:t>
      </w:r>
      <w:r w:rsidRPr="00527BFD">
        <w:t xml:space="preserve"> is provided in </w:t>
      </w:r>
      <w:r w:rsidR="00B6536C" w:rsidRPr="00527BFD">
        <w:fldChar w:fldCharType="begin"/>
      </w:r>
      <w:r w:rsidR="00B6536C" w:rsidRPr="00527BFD">
        <w:instrText xml:space="preserve"> REF _Ref115889104 \h </w:instrText>
      </w:r>
      <w:r w:rsidR="00527BFD" w:rsidRPr="00527BFD">
        <w:instrText xml:space="preserve"> \* MERGEFORMAT </w:instrText>
      </w:r>
      <w:r w:rsidR="00B6536C" w:rsidRPr="00527BFD">
        <w:fldChar w:fldCharType="separate"/>
      </w:r>
      <w:r w:rsidR="001702C9" w:rsidRPr="0025423A">
        <w:t xml:space="preserve">Figure </w:t>
      </w:r>
      <w:r w:rsidR="001702C9">
        <w:rPr>
          <w:noProof/>
        </w:rPr>
        <w:t>4</w:t>
      </w:r>
      <w:r w:rsidR="00B6536C" w:rsidRPr="00527BFD">
        <w:fldChar w:fldCharType="end"/>
      </w:r>
      <w:r w:rsidR="00B6536C" w:rsidRPr="00527BFD">
        <w:t xml:space="preserve"> below</w:t>
      </w:r>
      <w:r w:rsidRPr="00527BFD">
        <w:t>. This plot shows that the cumulative number of incident HIV</w:t>
      </w:r>
      <w:r w:rsidR="00D46635">
        <w:noBreakHyphen/>
      </w:r>
      <w:r w:rsidRPr="00527BFD">
        <w:t>1 infections is consistently higher in the TDF/</w:t>
      </w:r>
      <w:r w:rsidR="000B10F7" w:rsidRPr="00527BFD">
        <w:t>emtricitabine</w:t>
      </w:r>
      <w:r w:rsidRPr="00527BFD">
        <w:t xml:space="preserve"> group compared with the </w:t>
      </w:r>
      <w:r w:rsidR="00FD52A9" w:rsidRPr="00527BFD">
        <w:t>cabotegravir</w:t>
      </w:r>
      <w:r w:rsidRPr="00527BFD">
        <w:t xml:space="preserve"> group.</w:t>
      </w:r>
    </w:p>
    <w:p w14:paraId="3D941629" w14:textId="6A96FE9E" w:rsidR="003768A7" w:rsidRPr="0025423A" w:rsidRDefault="00B6536C" w:rsidP="0025423A">
      <w:pPr>
        <w:pStyle w:val="FigureTitle"/>
      </w:pPr>
      <w:bookmarkStart w:id="90" w:name="_Ref115889104"/>
      <w:r w:rsidRPr="0025423A">
        <w:lastRenderedPageBreak/>
        <w:t xml:space="preserve">Figure </w:t>
      </w:r>
      <w:r w:rsidR="00234D1A">
        <w:fldChar w:fldCharType="begin"/>
      </w:r>
      <w:r w:rsidR="00234D1A">
        <w:instrText xml:space="preserve"> SEQ Figure \* ARABIC </w:instrText>
      </w:r>
      <w:r w:rsidR="00234D1A">
        <w:fldChar w:fldCharType="separate"/>
      </w:r>
      <w:r w:rsidR="001702C9">
        <w:rPr>
          <w:noProof/>
        </w:rPr>
        <w:t>4</w:t>
      </w:r>
      <w:r w:rsidR="00234D1A">
        <w:rPr>
          <w:noProof/>
        </w:rPr>
        <w:fldChar w:fldCharType="end"/>
      </w:r>
      <w:bookmarkEnd w:id="90"/>
      <w:r w:rsidRPr="0025423A">
        <w:t>:</w:t>
      </w:r>
      <w:r w:rsidR="003768A7" w:rsidRPr="0025423A">
        <w:t xml:space="preserve"> </w:t>
      </w:r>
      <w:r w:rsidR="00AC3147" w:rsidRPr="0025423A">
        <w:t>Study 201739 (</w:t>
      </w:r>
      <w:r w:rsidRPr="0025423A">
        <w:t>HPTN 084 trial</w:t>
      </w:r>
      <w:r w:rsidR="00AC3147" w:rsidRPr="0025423A">
        <w:t>)</w:t>
      </w:r>
      <w:r w:rsidRPr="0025423A">
        <w:t xml:space="preserve"> </w:t>
      </w:r>
      <w:r w:rsidR="003768A7" w:rsidRPr="0025423A">
        <w:t xml:space="preserve">Cumulative rates of </w:t>
      </w:r>
      <w:r w:rsidR="00AC3147" w:rsidRPr="0025423A">
        <w:t>acquired human immunodeficiency virus type 1 infections by group</w:t>
      </w:r>
      <w:r w:rsidR="00A7739E" w:rsidRPr="0025423A">
        <w:t xml:space="preserve"> (modified intent-to-treat population)</w:t>
      </w:r>
    </w:p>
    <w:p w14:paraId="6B42B2DB" w14:textId="4C701FE3" w:rsidR="00A7739E" w:rsidRDefault="00A7739E" w:rsidP="00911EBF">
      <w:r>
        <w:rPr>
          <w:noProof/>
          <w:lang w:val="en-GB" w:eastAsia="en-GB"/>
        </w:rPr>
        <w:drawing>
          <wp:inline distT="0" distB="0" distL="0" distR="0" wp14:anchorId="6F778385" wp14:editId="3627C414">
            <wp:extent cx="5263243" cy="3356497"/>
            <wp:effectExtent l="0" t="0" r="0" b="0"/>
            <wp:docPr id="24" name="Picture 24" descr="Figure 4: Study 201739 (HPTN 084 trial) Cumulative rates of acquired human immunodeficiency virus type 1 infections by group (modified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4: Study 201739 (HPTN 084 trial) Cumulative rates of acquired human immunodeficiency virus type 1 infections by group (modified intent-to-treat population)"/>
                    <pic:cNvPicPr/>
                  </pic:nvPicPr>
                  <pic:blipFill>
                    <a:blip r:embed="rId25"/>
                    <a:stretch>
                      <a:fillRect/>
                    </a:stretch>
                  </pic:blipFill>
                  <pic:spPr>
                    <a:xfrm>
                      <a:off x="0" y="0"/>
                      <a:ext cx="5279676" cy="3366977"/>
                    </a:xfrm>
                    <a:prstGeom prst="rect">
                      <a:avLst/>
                    </a:prstGeom>
                  </pic:spPr>
                </pic:pic>
              </a:graphicData>
            </a:graphic>
          </wp:inline>
        </w:drawing>
      </w:r>
    </w:p>
    <w:p w14:paraId="7FFA78EB" w14:textId="336BC2E8" w:rsidR="008449C5" w:rsidRDefault="00911EBF" w:rsidP="00911EBF">
      <w:pPr>
        <w:pStyle w:val="FigureDescription"/>
      </w:pPr>
      <w:r>
        <w:t xml:space="preserve">Abbreviations: </w:t>
      </w:r>
      <w:r w:rsidR="008449C5">
        <w:t>CAB =</w:t>
      </w:r>
      <w:r w:rsidR="001B71F9">
        <w:t xml:space="preserve"> </w:t>
      </w:r>
      <w:r w:rsidR="001B71F9" w:rsidRPr="001B71F9">
        <w:t>cabotegravir</w:t>
      </w:r>
      <w:r>
        <w:t xml:space="preserve">; FTC = </w:t>
      </w:r>
      <w:r w:rsidRPr="00342B4E">
        <w:t>emtricitabine</w:t>
      </w:r>
      <w:r>
        <w:t xml:space="preserve">; </w:t>
      </w:r>
      <w:r w:rsidR="008449C5">
        <w:t>TDF =</w:t>
      </w:r>
      <w:r w:rsidR="00342B4E">
        <w:t xml:space="preserve"> </w:t>
      </w:r>
      <w:r w:rsidR="00342B4E" w:rsidRPr="00342B4E">
        <w:t>tenofovir disoproxil fumarate</w:t>
      </w:r>
      <w:r>
        <w:t>.</w:t>
      </w:r>
    </w:p>
    <w:p w14:paraId="6AEE7842" w14:textId="1949AE0C" w:rsidR="003768A7" w:rsidRPr="00527BFD" w:rsidRDefault="003768A7" w:rsidP="00BB4257">
      <w:r w:rsidRPr="00527BFD">
        <w:t xml:space="preserve">There were very few seroconversions in </w:t>
      </w:r>
      <w:r w:rsidR="00BB0AC1" w:rsidRPr="00527BFD">
        <w:t xml:space="preserve">the HPTN 083 </w:t>
      </w:r>
      <w:r w:rsidRPr="00527BFD">
        <w:t xml:space="preserve">and </w:t>
      </w:r>
      <w:r w:rsidR="00CC53B1" w:rsidRPr="00527BFD">
        <w:t>HPTN 084 trial</w:t>
      </w:r>
      <w:r w:rsidR="00B6536C" w:rsidRPr="00527BFD">
        <w:t>s</w:t>
      </w:r>
      <w:r w:rsidRPr="00527BFD">
        <w:t xml:space="preserve"> limiting ability to perform PK/PD analysis. Exposures in participants with seroconversion while receiving </w:t>
      </w:r>
      <w:r w:rsidR="00FD52A9" w:rsidRPr="00527BFD">
        <w:t>cabotegravir</w:t>
      </w:r>
      <w:r w:rsidRPr="00527BFD">
        <w:t xml:space="preserve"> LA injections (n</w:t>
      </w:r>
      <w:r w:rsidR="00754F3F" w:rsidRPr="00527BFD">
        <w:t xml:space="preserve"> = </w:t>
      </w:r>
      <w:r w:rsidRPr="00527BFD">
        <w:t xml:space="preserve">4 in </w:t>
      </w:r>
      <w:r w:rsidR="00BB0AC1" w:rsidRPr="00527BFD">
        <w:t>the HPTN 083 trial</w:t>
      </w:r>
      <w:r w:rsidRPr="00527BFD">
        <w:t>, n</w:t>
      </w:r>
      <w:r w:rsidR="00754F3F" w:rsidRPr="00527BFD">
        <w:t xml:space="preserve"> = </w:t>
      </w:r>
      <w:r w:rsidRPr="00527BFD">
        <w:t xml:space="preserve">2 in </w:t>
      </w:r>
      <w:r w:rsidR="00CC53B1" w:rsidRPr="00527BFD">
        <w:t>the</w:t>
      </w:r>
      <w:r w:rsidR="00B6536C" w:rsidRPr="00527BFD">
        <w:t> </w:t>
      </w:r>
      <w:r w:rsidR="00CC53B1" w:rsidRPr="00527BFD">
        <w:t>HPTN</w:t>
      </w:r>
      <w:r w:rsidR="00B6536C" w:rsidRPr="00527BFD">
        <w:t> </w:t>
      </w:r>
      <w:r w:rsidR="00CC53B1" w:rsidRPr="00527BFD">
        <w:t>084 trial</w:t>
      </w:r>
      <w:r w:rsidRPr="00527BFD">
        <w:t>) were overlapping of those in non-</w:t>
      </w:r>
      <w:proofErr w:type="spellStart"/>
      <w:r w:rsidRPr="00527BFD">
        <w:t>seroconverters</w:t>
      </w:r>
      <w:proofErr w:type="spellEnd"/>
      <w:r w:rsidRPr="00527BFD">
        <w:t>.</w:t>
      </w:r>
      <w:r w:rsidR="005F0BCE" w:rsidRPr="00527BFD">
        <w:t xml:space="preserve"> </w:t>
      </w:r>
      <w:r w:rsidRPr="00527BFD">
        <w:t>The seroconversion rate was 0.27%</w:t>
      </w:r>
      <w:r w:rsidR="00B6536C" w:rsidRPr="00527BFD">
        <w:t xml:space="preserve"> per </w:t>
      </w:r>
      <w:r w:rsidRPr="00527BFD">
        <w:t>100</w:t>
      </w:r>
      <w:r w:rsidR="001C4290" w:rsidRPr="00527BFD">
        <w:t xml:space="preserve"> person years</w:t>
      </w:r>
      <w:r w:rsidRPr="00527BFD">
        <w:t xml:space="preserve"> during the </w:t>
      </w:r>
      <w:r w:rsidR="00B6536C" w:rsidRPr="00527BFD">
        <w:t xml:space="preserve">Injection Phase </w:t>
      </w:r>
      <w:r w:rsidRPr="00527BFD">
        <w:t xml:space="preserve">of </w:t>
      </w:r>
      <w:r w:rsidR="00B6536C" w:rsidRPr="00527BFD">
        <w:t>the HPTN 083 trial</w:t>
      </w:r>
      <w:r w:rsidRPr="00527BFD">
        <w:t xml:space="preserve"> and 0.20</w:t>
      </w:r>
      <w:r w:rsidR="00B6536C" w:rsidRPr="00527BFD">
        <w:t xml:space="preserve"> per </w:t>
      </w:r>
      <w:r w:rsidRPr="00527BFD">
        <w:t>100</w:t>
      </w:r>
      <w:r w:rsidR="001C4290" w:rsidRPr="00527BFD">
        <w:t xml:space="preserve"> person years</w:t>
      </w:r>
      <w:r w:rsidRPr="00527BFD">
        <w:t xml:space="preserve"> in </w:t>
      </w:r>
      <w:r w:rsidR="00CC53B1" w:rsidRPr="00527BFD">
        <w:t>the HPTN 084 trial</w:t>
      </w:r>
      <w:r w:rsidRPr="00527BFD">
        <w:t>.</w:t>
      </w:r>
    </w:p>
    <w:p w14:paraId="648C5CF8" w14:textId="7F8021B8" w:rsidR="003768A7" w:rsidRPr="00527BFD" w:rsidRDefault="003768A7" w:rsidP="00A15ADC">
      <w:pPr>
        <w:pStyle w:val="Heading6"/>
        <w:rPr>
          <w:rFonts w:eastAsiaTheme="minorHAnsi"/>
        </w:rPr>
      </w:pPr>
      <w:r w:rsidRPr="00527BFD">
        <w:rPr>
          <w:rFonts w:eastAsiaTheme="minorHAnsi"/>
        </w:rPr>
        <w:t>Inciden</w:t>
      </w:r>
      <w:r w:rsidR="00514EEA">
        <w:rPr>
          <w:rFonts w:eastAsiaTheme="minorHAnsi"/>
        </w:rPr>
        <w:t>ce of</w:t>
      </w:r>
      <w:r w:rsidRPr="00527BFD">
        <w:rPr>
          <w:rFonts w:eastAsiaTheme="minorHAnsi"/>
        </w:rPr>
        <w:t xml:space="preserve"> </w:t>
      </w:r>
      <w:r w:rsidR="00C24737" w:rsidRPr="00527BFD">
        <w:rPr>
          <w:rFonts w:eastAsiaTheme="minorHAnsi"/>
        </w:rPr>
        <w:t>human immunodeficiency virus type</w:t>
      </w:r>
      <w:r w:rsidR="00514EEA">
        <w:rPr>
          <w:rFonts w:eastAsiaTheme="minorHAnsi"/>
        </w:rPr>
        <w:t xml:space="preserve"> </w:t>
      </w:r>
      <w:r w:rsidRPr="00527BFD">
        <w:rPr>
          <w:rFonts w:eastAsiaTheme="minorHAnsi"/>
        </w:rPr>
        <w:t xml:space="preserve">1 </w:t>
      </w:r>
      <w:r w:rsidR="00B6536C" w:rsidRPr="00527BFD">
        <w:rPr>
          <w:rFonts w:eastAsiaTheme="minorHAnsi"/>
        </w:rPr>
        <w:t>infections in a subgroup of participants less than 25 years of age</w:t>
      </w:r>
    </w:p>
    <w:p w14:paraId="77D78C07" w14:textId="7996A1AD" w:rsidR="003768A7" w:rsidRPr="00527BFD" w:rsidRDefault="003768A7" w:rsidP="00BB4257">
      <w:r w:rsidRPr="00527BFD">
        <w:t xml:space="preserve">To explore the activity of </w:t>
      </w:r>
      <w:r w:rsidR="00FD52A9" w:rsidRPr="00527BFD">
        <w:t>cabotegravir</w:t>
      </w:r>
      <w:r w:rsidRPr="00527BFD">
        <w:t xml:space="preserve"> </w:t>
      </w:r>
      <w:proofErr w:type="spellStart"/>
      <w:r w:rsidRPr="00527BFD">
        <w:t>PrEP</w:t>
      </w:r>
      <w:proofErr w:type="spellEnd"/>
      <w:r w:rsidRPr="00527BFD">
        <w:t xml:space="preserve"> in participants </w:t>
      </w:r>
      <w:r w:rsidR="00754F3F" w:rsidRPr="00527BFD">
        <w:t xml:space="preserve">less than </w:t>
      </w:r>
      <w:r w:rsidRPr="00527BFD">
        <w:t>25 years old (</w:t>
      </w:r>
      <w:r w:rsidR="005F0BCE" w:rsidRPr="00527BFD">
        <w:t>that is</w:t>
      </w:r>
      <w:r w:rsidRPr="00527BFD">
        <w:t xml:space="preserve"> </w:t>
      </w:r>
      <w:r w:rsidR="00FD52A9" w:rsidRPr="00527BFD">
        <w:t xml:space="preserve">from </w:t>
      </w:r>
      <w:r w:rsidRPr="00527BFD">
        <w:t>18 to</w:t>
      </w:r>
      <w:r w:rsidR="00754F3F" w:rsidRPr="00527BFD">
        <w:t xml:space="preserve"> less than </w:t>
      </w:r>
      <w:r w:rsidRPr="00527BFD">
        <w:t xml:space="preserve">25 years of age), subgroup analyses were conducted for the </w:t>
      </w:r>
      <w:proofErr w:type="spellStart"/>
      <w:r w:rsidRPr="00527BFD">
        <w:t>mITT</w:t>
      </w:r>
      <w:proofErr w:type="spellEnd"/>
      <w:r w:rsidRPr="00527BFD">
        <w:t xml:space="preserve"> </w:t>
      </w:r>
      <w:r w:rsidR="00B6536C" w:rsidRPr="00527BFD">
        <w:t>populations</w:t>
      </w:r>
      <w:r w:rsidRPr="00527BFD">
        <w:t xml:space="preserve"> of </w:t>
      </w:r>
      <w:r w:rsidR="00BB0AC1" w:rsidRPr="00527BFD">
        <w:t>the HPTN 083 trial</w:t>
      </w:r>
      <w:r w:rsidRPr="00527BFD">
        <w:t xml:space="preserve"> (as a non-pre-specified analysis) and </w:t>
      </w:r>
      <w:r w:rsidR="00CC53B1" w:rsidRPr="00527BFD">
        <w:t>the HPTN 084 trial</w:t>
      </w:r>
      <w:r w:rsidRPr="00527BFD">
        <w:t xml:space="preserve"> (as a pre-specified analysis). For both studies, findings from subgroup analyses in participants </w:t>
      </w:r>
      <w:r w:rsidR="00754F3F" w:rsidRPr="00527BFD">
        <w:t xml:space="preserve">less than </w:t>
      </w:r>
      <w:r w:rsidRPr="00527BFD">
        <w:t>25 years of age (</w:t>
      </w:r>
      <w:r w:rsidR="00FD52A9" w:rsidRPr="00527BFD">
        <w:t xml:space="preserve">from </w:t>
      </w:r>
      <w:r w:rsidRPr="00527BFD">
        <w:t xml:space="preserve">18 to </w:t>
      </w:r>
      <w:r w:rsidR="00754F3F" w:rsidRPr="00527BFD">
        <w:t xml:space="preserve">less than </w:t>
      </w:r>
      <w:r w:rsidRPr="00527BFD">
        <w:t xml:space="preserve">25 years) were consistent with findings from the primary analyses of the respective study, demonstrating the efficacy of </w:t>
      </w:r>
      <w:r w:rsidR="00FD52A9" w:rsidRPr="00527BFD">
        <w:t>cabotegravir</w:t>
      </w:r>
      <w:r w:rsidRPr="00527BFD">
        <w:t xml:space="preserve"> regimen for the prevention of HIV-1 acquisition in younger individuals compared to those randomised to the TDF/</w:t>
      </w:r>
      <w:r w:rsidR="000B10F7" w:rsidRPr="00527BFD">
        <w:t>emtricitabine</w:t>
      </w:r>
      <w:r w:rsidRPr="00527BFD">
        <w:t xml:space="preserve"> group (</w:t>
      </w:r>
      <w:r w:rsidR="00B6536C" w:rsidRPr="00527BFD">
        <w:t xml:space="preserve">see </w:t>
      </w:r>
      <w:r w:rsidR="00B6536C" w:rsidRPr="00527BFD">
        <w:fldChar w:fldCharType="begin"/>
      </w:r>
      <w:r w:rsidR="00B6536C" w:rsidRPr="00527BFD">
        <w:instrText xml:space="preserve"> REF _Ref115889379 \h </w:instrText>
      </w:r>
      <w:r w:rsidR="00527BFD" w:rsidRPr="00527BFD">
        <w:instrText xml:space="preserve"> \* MERGEFORMAT </w:instrText>
      </w:r>
      <w:r w:rsidR="00B6536C" w:rsidRPr="00527BFD">
        <w:fldChar w:fldCharType="separate"/>
      </w:r>
      <w:r w:rsidR="001702C9" w:rsidRPr="0025423A">
        <w:t xml:space="preserve">Table </w:t>
      </w:r>
      <w:r w:rsidR="001702C9">
        <w:rPr>
          <w:noProof/>
        </w:rPr>
        <w:t>9</w:t>
      </w:r>
      <w:r w:rsidR="00B6536C" w:rsidRPr="00527BFD">
        <w:fldChar w:fldCharType="end"/>
      </w:r>
      <w:r w:rsidR="00B6536C" w:rsidRPr="00527BFD">
        <w:t xml:space="preserve"> and </w:t>
      </w:r>
      <w:r w:rsidR="00B6536C" w:rsidRPr="00527BFD">
        <w:fldChar w:fldCharType="begin"/>
      </w:r>
      <w:r w:rsidR="00B6536C" w:rsidRPr="00527BFD">
        <w:instrText xml:space="preserve"> REF _Ref115889381 \h </w:instrText>
      </w:r>
      <w:r w:rsidR="00527BFD" w:rsidRPr="00527BFD">
        <w:instrText xml:space="preserve"> \* MERGEFORMAT </w:instrText>
      </w:r>
      <w:r w:rsidR="00B6536C" w:rsidRPr="00527BFD">
        <w:fldChar w:fldCharType="separate"/>
      </w:r>
      <w:r w:rsidR="001702C9" w:rsidRPr="0025423A">
        <w:t xml:space="preserve">Table </w:t>
      </w:r>
      <w:r w:rsidR="001702C9">
        <w:rPr>
          <w:noProof/>
        </w:rPr>
        <w:t>10</w:t>
      </w:r>
      <w:r w:rsidR="00B6536C" w:rsidRPr="00527BFD">
        <w:fldChar w:fldCharType="end"/>
      </w:r>
      <w:r w:rsidR="00B6536C" w:rsidRPr="00527BFD">
        <w:t xml:space="preserve"> below</w:t>
      </w:r>
      <w:r w:rsidRPr="00527BFD">
        <w:t>)</w:t>
      </w:r>
      <w:r w:rsidR="00B6536C" w:rsidRPr="00527BFD">
        <w:t>.</w:t>
      </w:r>
    </w:p>
    <w:p w14:paraId="3314FF9A" w14:textId="122BC30E" w:rsidR="003768A7" w:rsidRPr="0025423A" w:rsidRDefault="00B6536C" w:rsidP="0025423A">
      <w:pPr>
        <w:pStyle w:val="TableTitle"/>
      </w:pPr>
      <w:bookmarkStart w:id="91" w:name="_Ref115889379"/>
      <w:r w:rsidRPr="0025423A">
        <w:lastRenderedPageBreak/>
        <w:t xml:space="preserve">Table </w:t>
      </w:r>
      <w:r w:rsidR="00234D1A">
        <w:fldChar w:fldCharType="begin"/>
      </w:r>
      <w:r w:rsidR="00234D1A">
        <w:instrText xml:space="preserve"> SEQ Table \* ARABIC </w:instrText>
      </w:r>
      <w:r w:rsidR="00234D1A">
        <w:fldChar w:fldCharType="separate"/>
      </w:r>
      <w:r w:rsidR="001702C9">
        <w:rPr>
          <w:noProof/>
        </w:rPr>
        <w:t>9</w:t>
      </w:r>
      <w:r w:rsidR="00234D1A">
        <w:rPr>
          <w:noProof/>
        </w:rPr>
        <w:fldChar w:fldCharType="end"/>
      </w:r>
      <w:bookmarkEnd w:id="91"/>
      <w:r w:rsidR="003768A7" w:rsidRPr="0025423A">
        <w:t xml:space="preserve">: </w:t>
      </w:r>
      <w:r w:rsidR="009F1F1B" w:rsidRPr="0025423A">
        <w:t>Study 201738 (</w:t>
      </w:r>
      <w:r w:rsidRPr="0025423A">
        <w:t>HPTN 083 trial</w:t>
      </w:r>
      <w:r w:rsidR="009F1F1B" w:rsidRPr="0025423A">
        <w:t>)</w:t>
      </w:r>
      <w:r w:rsidRPr="0025423A">
        <w:t xml:space="preserve"> </w:t>
      </w:r>
      <w:r w:rsidR="003768A7" w:rsidRPr="0025423A">
        <w:t xml:space="preserve">Summary of </w:t>
      </w:r>
      <w:r w:rsidR="00A7739E" w:rsidRPr="0025423A">
        <w:t>Cox</w:t>
      </w:r>
      <w:r w:rsidR="009F1F1B" w:rsidRPr="0025423A">
        <w:t xml:space="preserve"> proportional hazards regression model for time to infection for participants less than 25 years of age</w:t>
      </w:r>
      <w:r w:rsidR="00BF26A0" w:rsidRPr="0025423A">
        <w:t xml:space="preserve"> in Steps</w:t>
      </w:r>
      <w:r w:rsidR="00D46635" w:rsidRPr="0025423A">
        <w:t> </w:t>
      </w:r>
      <w:r w:rsidR="00BF26A0" w:rsidRPr="0025423A">
        <w:t>1 and 2 (modified intent-to-treat population)</w:t>
      </w:r>
    </w:p>
    <w:p w14:paraId="63C7A71E" w14:textId="11BDE03A" w:rsidR="00BF26A0" w:rsidRDefault="00BF26A0" w:rsidP="00911EBF">
      <w:r>
        <w:rPr>
          <w:noProof/>
          <w:lang w:val="en-GB" w:eastAsia="en-GB"/>
        </w:rPr>
        <w:drawing>
          <wp:inline distT="0" distB="0" distL="0" distR="0" wp14:anchorId="466DEB39" wp14:editId="285AAF8B">
            <wp:extent cx="5400040" cy="1491615"/>
            <wp:effectExtent l="0" t="0" r="0" b="0"/>
            <wp:docPr id="26" name="Picture 26" descr="Table 9: Study 201738 (HPTN 083 trial) Summary of Cox proportional hazards regression model for time to infection for participants less than 25 years of age in Steps 1 and 2 (modified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 9: Study 201738 (HPTN 083 trial) Summary of Cox proportional hazards regression model for time to infection for participants less than 25 years of age in Steps 1 and 2 (modified intent-to-treat population)"/>
                    <pic:cNvPicPr/>
                  </pic:nvPicPr>
                  <pic:blipFill>
                    <a:blip r:embed="rId26"/>
                    <a:stretch>
                      <a:fillRect/>
                    </a:stretch>
                  </pic:blipFill>
                  <pic:spPr>
                    <a:xfrm>
                      <a:off x="0" y="0"/>
                      <a:ext cx="5400040" cy="1491615"/>
                    </a:xfrm>
                    <a:prstGeom prst="rect">
                      <a:avLst/>
                    </a:prstGeom>
                  </pic:spPr>
                </pic:pic>
              </a:graphicData>
            </a:graphic>
          </wp:inline>
        </w:drawing>
      </w:r>
    </w:p>
    <w:p w14:paraId="658FE012" w14:textId="38363E06" w:rsidR="008449C5" w:rsidRPr="00911EBF" w:rsidRDefault="00911EBF" w:rsidP="00911EBF">
      <w:pPr>
        <w:pStyle w:val="TableDescription"/>
      </w:pPr>
      <w:r w:rsidRPr="00911EBF">
        <w:t xml:space="preserve">Abbreviations: </w:t>
      </w:r>
      <w:r w:rsidR="008449C5" w:rsidRPr="00911EBF">
        <w:t>CAB =</w:t>
      </w:r>
      <w:r w:rsidR="001B71F9" w:rsidRPr="00911EBF">
        <w:t xml:space="preserve"> cabotegravir</w:t>
      </w:r>
      <w:r w:rsidRPr="00911EBF">
        <w:t xml:space="preserve">; CI = confidence interval; FTC = emtricitabine; </w:t>
      </w:r>
      <w:proofErr w:type="spellStart"/>
      <w:r w:rsidRPr="00911EBF">
        <w:t>mITT</w:t>
      </w:r>
      <w:proofErr w:type="spellEnd"/>
      <w:r w:rsidRPr="00911EBF">
        <w:t xml:space="preserve"> = modified intent-to-treat; n = number of subjects in group; PY = person years; </w:t>
      </w:r>
      <w:r w:rsidR="008449C5" w:rsidRPr="00911EBF">
        <w:t>TDF =</w:t>
      </w:r>
      <w:r w:rsidR="00342B4E" w:rsidRPr="00911EBF">
        <w:t xml:space="preserve"> tenofovir disoproxil fumarate</w:t>
      </w:r>
      <w:r w:rsidRPr="00911EBF">
        <w:t>.</w:t>
      </w:r>
    </w:p>
    <w:p w14:paraId="7A80B6E1" w14:textId="46A6B6C0" w:rsidR="00BF26A0" w:rsidRPr="00911EBF" w:rsidRDefault="00BF26A0" w:rsidP="00911EBF">
      <w:pPr>
        <w:pStyle w:val="TableDescription"/>
      </w:pPr>
      <w:r w:rsidRPr="00911EBF">
        <w:t xml:space="preserve">a. </w:t>
      </w:r>
      <w:r w:rsidR="00911EBF">
        <w:t xml:space="preserve">Hazard ratio less than </w:t>
      </w:r>
      <w:r w:rsidRPr="00911EBF">
        <w:t>1.0 indicates a lower risk on CAB as compared to TDF/FTC. The unadjusted hazard ratio is based on a Cox proportional hazards model stratified by region.</w:t>
      </w:r>
    </w:p>
    <w:p w14:paraId="479E7F2D" w14:textId="36F4D5DE" w:rsidR="003768A7" w:rsidRPr="00911EBF" w:rsidRDefault="00BF26A0" w:rsidP="00911EBF">
      <w:pPr>
        <w:pStyle w:val="TableDescription"/>
      </w:pPr>
      <w:r w:rsidRPr="00911EBF">
        <w:t>b. The 95% CI for incidence rate is calculated using the exact Poisson method.</w:t>
      </w:r>
    </w:p>
    <w:p w14:paraId="5A8C6B62" w14:textId="481C6F74" w:rsidR="003768A7" w:rsidRPr="0025423A" w:rsidRDefault="00B6536C" w:rsidP="0025423A">
      <w:pPr>
        <w:pStyle w:val="TableTitle"/>
      </w:pPr>
      <w:bookmarkStart w:id="92" w:name="_Ref115889381"/>
      <w:r w:rsidRPr="0025423A">
        <w:t xml:space="preserve">Table </w:t>
      </w:r>
      <w:r w:rsidR="00234D1A">
        <w:fldChar w:fldCharType="begin"/>
      </w:r>
      <w:r w:rsidR="00234D1A">
        <w:instrText xml:space="preserve"> SEQ Table \* ARABIC </w:instrText>
      </w:r>
      <w:r w:rsidR="00234D1A">
        <w:fldChar w:fldCharType="separate"/>
      </w:r>
      <w:r w:rsidR="001702C9">
        <w:rPr>
          <w:noProof/>
        </w:rPr>
        <w:t>10</w:t>
      </w:r>
      <w:r w:rsidR="00234D1A">
        <w:rPr>
          <w:noProof/>
        </w:rPr>
        <w:fldChar w:fldCharType="end"/>
      </w:r>
      <w:bookmarkEnd w:id="92"/>
      <w:r w:rsidR="003768A7" w:rsidRPr="0025423A">
        <w:t xml:space="preserve">: </w:t>
      </w:r>
      <w:r w:rsidR="009F1F1B" w:rsidRPr="0025423A">
        <w:t>Study 201739 (</w:t>
      </w:r>
      <w:r w:rsidRPr="0025423A">
        <w:t>HPTN 084 trial</w:t>
      </w:r>
      <w:r w:rsidR="009F1F1B" w:rsidRPr="0025423A">
        <w:t>)</w:t>
      </w:r>
      <w:r w:rsidRPr="0025423A">
        <w:t xml:space="preserve"> </w:t>
      </w:r>
      <w:r w:rsidR="003768A7" w:rsidRPr="0025423A">
        <w:t xml:space="preserve">Summary of </w:t>
      </w:r>
      <w:r w:rsidR="00A7739E" w:rsidRPr="0025423A">
        <w:t>Cox</w:t>
      </w:r>
      <w:r w:rsidR="009F1F1B" w:rsidRPr="0025423A">
        <w:t xml:space="preserve"> proportional hazards regression model for time to-infection for participants less than 25 years of age</w:t>
      </w:r>
      <w:r w:rsidR="00BF26A0" w:rsidRPr="0025423A">
        <w:t xml:space="preserve"> (modified intent-to-treat population)</w:t>
      </w:r>
    </w:p>
    <w:p w14:paraId="15BC619E" w14:textId="5D4B98F8" w:rsidR="00BF26A0" w:rsidRDefault="00BF26A0" w:rsidP="00911EBF">
      <w:r>
        <w:rPr>
          <w:noProof/>
          <w:lang w:val="en-GB" w:eastAsia="en-GB"/>
        </w:rPr>
        <w:drawing>
          <wp:inline distT="0" distB="0" distL="0" distR="0" wp14:anchorId="4510FE28" wp14:editId="7B34A102">
            <wp:extent cx="5400040" cy="1489710"/>
            <wp:effectExtent l="0" t="0" r="0" b="0"/>
            <wp:docPr id="27" name="Picture 27" descr="Table 10: Study 201739 (HPTN 084 trial) Summary of Cox proportional hazards regression model for time to-infection for participants less than 25 years of age (modified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10: Study 201739 (HPTN 084 trial) Summary of Cox proportional hazards regression model for time to-infection for participants less than 25 years of age (modified intent-to-treat population)"/>
                    <pic:cNvPicPr/>
                  </pic:nvPicPr>
                  <pic:blipFill>
                    <a:blip r:embed="rId27"/>
                    <a:stretch>
                      <a:fillRect/>
                    </a:stretch>
                  </pic:blipFill>
                  <pic:spPr>
                    <a:xfrm>
                      <a:off x="0" y="0"/>
                      <a:ext cx="5400040" cy="1489710"/>
                    </a:xfrm>
                    <a:prstGeom prst="rect">
                      <a:avLst/>
                    </a:prstGeom>
                  </pic:spPr>
                </pic:pic>
              </a:graphicData>
            </a:graphic>
          </wp:inline>
        </w:drawing>
      </w:r>
    </w:p>
    <w:p w14:paraId="48C074E8" w14:textId="5D8D467E" w:rsidR="008449C5" w:rsidRPr="00D82DF7" w:rsidRDefault="00911EBF" w:rsidP="00D82DF7">
      <w:pPr>
        <w:pStyle w:val="TableDescription"/>
      </w:pPr>
      <w:r w:rsidRPr="00D82DF7">
        <w:t xml:space="preserve">Abbreviations: </w:t>
      </w:r>
      <w:r w:rsidR="008449C5" w:rsidRPr="00D82DF7">
        <w:t>CAB =</w:t>
      </w:r>
      <w:r w:rsidR="001B71F9" w:rsidRPr="00D82DF7">
        <w:t xml:space="preserve"> cabotegravir</w:t>
      </w:r>
      <w:r w:rsidRPr="00D82DF7">
        <w:t xml:space="preserve">; CI = confidence interval; FTC = emtricitabine; </w:t>
      </w:r>
      <w:proofErr w:type="spellStart"/>
      <w:r w:rsidRPr="00D82DF7">
        <w:t>mITT</w:t>
      </w:r>
      <w:proofErr w:type="spellEnd"/>
      <w:r w:rsidRPr="00D82DF7">
        <w:t xml:space="preserve"> = modified intent-to-treat; n = number of subjects in group; PY = person years; </w:t>
      </w:r>
      <w:r w:rsidR="008449C5" w:rsidRPr="00D82DF7">
        <w:t>TDF =</w:t>
      </w:r>
      <w:r w:rsidR="00342B4E" w:rsidRPr="00D82DF7">
        <w:t xml:space="preserve"> tenofovir disoproxil fumarate</w:t>
      </w:r>
    </w:p>
    <w:p w14:paraId="7C238C52" w14:textId="453EE1E6" w:rsidR="00BF26A0" w:rsidRPr="00D82DF7" w:rsidRDefault="00BF26A0" w:rsidP="00D82DF7">
      <w:pPr>
        <w:pStyle w:val="TableDescription"/>
      </w:pPr>
      <w:r w:rsidRPr="00D82DF7">
        <w:t xml:space="preserve">a. </w:t>
      </w:r>
      <w:r w:rsidR="00D82DF7" w:rsidRPr="00D82DF7">
        <w:t xml:space="preserve">Hazard ratio less than </w:t>
      </w:r>
      <w:r w:rsidRPr="00D82DF7">
        <w:t>1.0 indicates a lower risk on CAB as compared to TDF/FTC. The hazard ratio is based on a Cox proportional hazards model stratified by site.</w:t>
      </w:r>
    </w:p>
    <w:p w14:paraId="5EFBCD54" w14:textId="2194143B" w:rsidR="00BF26A0" w:rsidRPr="00D82DF7" w:rsidRDefault="00BF26A0" w:rsidP="00D82DF7">
      <w:pPr>
        <w:pStyle w:val="TableDescription"/>
      </w:pPr>
      <w:r w:rsidRPr="00D82DF7">
        <w:t xml:space="preserve">b. Efficacy analyses using the </w:t>
      </w:r>
      <w:proofErr w:type="spellStart"/>
      <w:r w:rsidRPr="00D82DF7">
        <w:t>mITT</w:t>
      </w:r>
      <w:proofErr w:type="spellEnd"/>
      <w:r w:rsidRPr="00D82DF7">
        <w:t xml:space="preserve"> </w:t>
      </w:r>
      <w:r w:rsidR="00D82DF7" w:rsidRPr="00D82DF7">
        <w:t xml:space="preserve">population </w:t>
      </w:r>
      <w:r w:rsidRPr="00D82DF7">
        <w:t>include data from Steps 1 and 2 as well as from participants who discontinued study product altogether and moved to annual follow-up in Step</w:t>
      </w:r>
      <w:r w:rsidR="00D46635">
        <w:t> </w:t>
      </w:r>
      <w:r w:rsidRPr="00D82DF7">
        <w:t>1 or 2.</w:t>
      </w:r>
    </w:p>
    <w:p w14:paraId="580077E0" w14:textId="7D00FA6F" w:rsidR="003768A7" w:rsidRPr="00D82DF7" w:rsidRDefault="00BF26A0" w:rsidP="00D82DF7">
      <w:pPr>
        <w:pStyle w:val="TableDescription"/>
      </w:pPr>
      <w:r w:rsidRPr="00D82DF7">
        <w:t>c. The 95% CI for incidence rate is calculated using the exact Poisson method.</w:t>
      </w:r>
    </w:p>
    <w:p w14:paraId="193A3013" w14:textId="77777777" w:rsidR="003768A7" w:rsidRPr="00527BFD" w:rsidRDefault="003768A7" w:rsidP="00BB4257">
      <w:pPr>
        <w:pStyle w:val="Heading5"/>
        <w:rPr>
          <w:rFonts w:eastAsiaTheme="minorHAnsi"/>
        </w:rPr>
      </w:pPr>
      <w:r w:rsidRPr="00527BFD">
        <w:rPr>
          <w:rFonts w:eastAsiaTheme="minorHAnsi"/>
        </w:rPr>
        <w:t>Supportive studies</w:t>
      </w:r>
    </w:p>
    <w:p w14:paraId="2BD1E8D6" w14:textId="71FBC5E3" w:rsidR="00BB4257" w:rsidRPr="00527BFD" w:rsidRDefault="003768A7" w:rsidP="00BB4257">
      <w:pPr>
        <w:pStyle w:val="Heading6"/>
      </w:pPr>
      <w:r w:rsidRPr="00527BFD">
        <w:t>Study 201120</w:t>
      </w:r>
      <w:r w:rsidR="00A15ADC">
        <w:t xml:space="preserve"> (</w:t>
      </w:r>
      <w:r w:rsidR="00A15ADC" w:rsidRPr="00A15ADC">
        <w:t>ÉCLAIR trial</w:t>
      </w:r>
      <w:r w:rsidR="00A15ADC">
        <w:t>)</w:t>
      </w:r>
    </w:p>
    <w:p w14:paraId="56BC57F7" w14:textId="0A264A9D" w:rsidR="003768A7" w:rsidRPr="00527BFD" w:rsidRDefault="00B6536C" w:rsidP="00BB4257">
      <w:r w:rsidRPr="00527BFD">
        <w:t xml:space="preserve">Study 201120 (the </w:t>
      </w:r>
      <w:r w:rsidR="00C47CC3" w:rsidRPr="00527BFD">
        <w:t>ÉCLAIR</w:t>
      </w:r>
      <w:r w:rsidRPr="00527BFD">
        <w:t xml:space="preserve"> trial) was </w:t>
      </w:r>
      <w:r w:rsidR="003768A7" w:rsidRPr="00527BFD">
        <w:t xml:space="preserve">submitted as part of the </w:t>
      </w:r>
      <w:proofErr w:type="spellStart"/>
      <w:r w:rsidR="00FD52A9" w:rsidRPr="00527BFD">
        <w:t>Vocabria</w:t>
      </w:r>
      <w:proofErr w:type="spellEnd"/>
      <w:r w:rsidR="003768A7" w:rsidRPr="00527BFD">
        <w:t xml:space="preserve"> submission (</w:t>
      </w:r>
      <w:r w:rsidR="00500960">
        <w:t>Submission </w:t>
      </w:r>
      <w:r w:rsidR="003768A7" w:rsidRPr="00527BFD">
        <w:t>PM 2019-04281-1-2).</w:t>
      </w:r>
      <w:r w:rsidR="008D380A">
        <w:rPr>
          <w:vertAlign w:val="superscript"/>
        </w:rPr>
        <w:fldChar w:fldCharType="begin"/>
      </w:r>
      <w:r w:rsidR="008D380A">
        <w:rPr>
          <w:vertAlign w:val="superscript"/>
        </w:rPr>
        <w:instrText xml:space="preserve"> NOTEREF _Ref119672096 \h  \* MERGEFORMAT </w:instrText>
      </w:r>
      <w:r w:rsidR="008D380A">
        <w:rPr>
          <w:vertAlign w:val="superscript"/>
        </w:rPr>
      </w:r>
      <w:r w:rsidR="008D380A">
        <w:rPr>
          <w:vertAlign w:val="superscript"/>
        </w:rPr>
        <w:fldChar w:fldCharType="separate"/>
      </w:r>
      <w:r w:rsidR="001702C9">
        <w:rPr>
          <w:vertAlign w:val="superscript"/>
        </w:rPr>
        <w:t>9</w:t>
      </w:r>
      <w:r w:rsidR="008D380A">
        <w:rPr>
          <w:vertAlign w:val="superscript"/>
        </w:rPr>
        <w:fldChar w:fldCharType="end"/>
      </w:r>
    </w:p>
    <w:p w14:paraId="12877859" w14:textId="17DC2A02" w:rsidR="003768A7" w:rsidRPr="00527BFD" w:rsidRDefault="003768A7" w:rsidP="00BB4257">
      <w:r w:rsidRPr="00527BFD">
        <w:t xml:space="preserve">This was a Phase </w:t>
      </w:r>
      <w:proofErr w:type="spellStart"/>
      <w:r w:rsidRPr="00527BFD">
        <w:t>IIa</w:t>
      </w:r>
      <w:proofErr w:type="spellEnd"/>
      <w:r w:rsidRPr="00527BFD">
        <w:t>, randomi</w:t>
      </w:r>
      <w:r w:rsidR="00462EFD" w:rsidRPr="00527BFD">
        <w:t>s</w:t>
      </w:r>
      <w:r w:rsidRPr="00527BFD">
        <w:t xml:space="preserve">ed, multicentre, </w:t>
      </w:r>
      <w:r w:rsidR="00B6536C" w:rsidRPr="00527BFD">
        <w:t>two a</w:t>
      </w:r>
      <w:r w:rsidRPr="00527BFD">
        <w:t>rm, double</w:t>
      </w:r>
      <w:r w:rsidR="00B6536C" w:rsidRPr="00527BFD">
        <w:t xml:space="preserve"> </w:t>
      </w:r>
      <w:r w:rsidRPr="00527BFD">
        <w:t xml:space="preserve">blind study to evaluate the safety, tolerability, and acceptability of </w:t>
      </w:r>
      <w:r w:rsidR="00FD52A9" w:rsidRPr="00527BFD">
        <w:t>cabotegravir</w:t>
      </w:r>
      <w:r w:rsidRPr="00527BFD">
        <w:t xml:space="preserve"> </w:t>
      </w:r>
      <w:proofErr w:type="spellStart"/>
      <w:r w:rsidRPr="00527BFD">
        <w:t>PrEP</w:t>
      </w:r>
      <w:proofErr w:type="spellEnd"/>
      <w:r w:rsidRPr="00527BFD">
        <w:t>, in HIV uninfected men (n</w:t>
      </w:r>
      <w:r w:rsidR="00B6536C" w:rsidRPr="00527BFD">
        <w:t> </w:t>
      </w:r>
      <w:r w:rsidR="00754F3F" w:rsidRPr="00527BFD">
        <w:t>=</w:t>
      </w:r>
      <w:r w:rsidR="00B6536C" w:rsidRPr="00527BFD">
        <w:t> </w:t>
      </w:r>
      <w:r w:rsidRPr="00527BFD">
        <w:t>127), median age 31 years of age, and was conducted at 10 centres in the US between 27</w:t>
      </w:r>
      <w:r w:rsidR="00D46635">
        <w:t> </w:t>
      </w:r>
      <w:r w:rsidR="00B6536C" w:rsidRPr="00527BFD">
        <w:t>March</w:t>
      </w:r>
      <w:r w:rsidR="00D46635">
        <w:t> </w:t>
      </w:r>
      <w:r w:rsidRPr="00527BFD">
        <w:t>2014</w:t>
      </w:r>
      <w:r w:rsidR="00B6536C" w:rsidRPr="00527BFD">
        <w:t xml:space="preserve"> to </w:t>
      </w:r>
      <w:r w:rsidRPr="00527BFD">
        <w:t>15</w:t>
      </w:r>
      <w:r w:rsidR="00B6536C" w:rsidRPr="00527BFD">
        <w:t xml:space="preserve"> May </w:t>
      </w:r>
      <w:r w:rsidRPr="00527BFD">
        <w:t>2015. The study recruited adult men (based on sex at birth), aged</w:t>
      </w:r>
      <w:r w:rsidR="00D46635">
        <w:t> </w:t>
      </w:r>
      <w:r w:rsidRPr="00527BFD">
        <w:t>18</w:t>
      </w:r>
      <w:r w:rsidR="00B6536C" w:rsidRPr="00527BFD">
        <w:t xml:space="preserve"> to </w:t>
      </w:r>
      <w:r w:rsidRPr="00527BFD">
        <w:t xml:space="preserve">65 years, who were HIV negative but were at risk (but not at </w:t>
      </w:r>
      <w:r w:rsidR="00B6536C" w:rsidRPr="00527BFD">
        <w:t>‘</w:t>
      </w:r>
      <w:r w:rsidRPr="00527BFD">
        <w:t>high risk</w:t>
      </w:r>
      <w:r w:rsidR="00B6536C" w:rsidRPr="00527BFD">
        <w:t>’</w:t>
      </w:r>
      <w:r w:rsidRPr="00527BFD">
        <w:t>) of acquiring HIV infection. Participants were randomised 5:1 (</w:t>
      </w:r>
      <w:r w:rsidR="00FD52A9" w:rsidRPr="00527BFD">
        <w:t>cabotegravir</w:t>
      </w:r>
      <w:r w:rsidR="00E57026" w:rsidRPr="00527BFD">
        <w:t xml:space="preserve"> to </w:t>
      </w:r>
      <w:r w:rsidRPr="00527BFD">
        <w:t xml:space="preserve">placebo). The treatment arm involved daily oral </w:t>
      </w:r>
      <w:r w:rsidR="00FD52A9" w:rsidRPr="00527BFD">
        <w:t>cabotegravir</w:t>
      </w:r>
      <w:r w:rsidRPr="00527BFD">
        <w:t xml:space="preserve"> (30</w:t>
      </w:r>
      <w:r w:rsidR="00E83512" w:rsidRPr="00527BFD">
        <w:t xml:space="preserve"> </w:t>
      </w:r>
      <w:r w:rsidRPr="00527BFD">
        <w:t xml:space="preserve">mg) for 4 weeks followed by a </w:t>
      </w:r>
      <w:r w:rsidR="00E57026" w:rsidRPr="00527BFD">
        <w:t>one</w:t>
      </w:r>
      <w:r w:rsidR="00E57026" w:rsidRPr="00527BFD">
        <w:noBreakHyphen/>
      </w:r>
      <w:r w:rsidRPr="00527BFD">
        <w:t xml:space="preserve">week washout period. Participants then received </w:t>
      </w:r>
      <w:r w:rsidR="00FD52A9" w:rsidRPr="00527BFD">
        <w:t>cabotegravir</w:t>
      </w:r>
      <w:r w:rsidRPr="00527BFD">
        <w:t xml:space="preserve"> 800</w:t>
      </w:r>
      <w:r w:rsidR="00E83512" w:rsidRPr="00527BFD">
        <w:t xml:space="preserve"> </w:t>
      </w:r>
      <w:r w:rsidRPr="00527BFD">
        <w:t xml:space="preserve">mg </w:t>
      </w:r>
      <w:r w:rsidR="00E908B2" w:rsidRPr="00527BFD">
        <w:t>intramuscular</w:t>
      </w:r>
      <w:r w:rsidRPr="00527BFD">
        <w:t xml:space="preserve"> injections at </w:t>
      </w:r>
      <w:r w:rsidR="00E57026" w:rsidRPr="00527BFD">
        <w:t xml:space="preserve">Weeks </w:t>
      </w:r>
      <w:r w:rsidRPr="00527BFD">
        <w:t>5,17 and 29.</w:t>
      </w:r>
      <w:r w:rsidR="005F0BCE" w:rsidRPr="00527BFD">
        <w:t xml:space="preserve"> </w:t>
      </w:r>
      <w:r w:rsidRPr="00527BFD">
        <w:t xml:space="preserve">The placebo arm received matching oral and </w:t>
      </w:r>
      <w:r w:rsidR="00E908B2" w:rsidRPr="00527BFD">
        <w:lastRenderedPageBreak/>
        <w:t>intramuscular</w:t>
      </w:r>
      <w:r w:rsidRPr="00527BFD">
        <w:t xml:space="preserve"> placebo and </w:t>
      </w:r>
      <w:r w:rsidR="00E908B2" w:rsidRPr="00527BFD">
        <w:t>intramuscular</w:t>
      </w:r>
      <w:r w:rsidRPr="00527BFD">
        <w:t xml:space="preserve"> injections on the same schedule (</w:t>
      </w:r>
      <w:r w:rsidR="00E57026" w:rsidRPr="00527BFD">
        <w:t xml:space="preserve">see </w:t>
      </w:r>
      <w:r w:rsidR="00E57026" w:rsidRPr="00527BFD">
        <w:fldChar w:fldCharType="begin"/>
      </w:r>
      <w:r w:rsidR="00E57026" w:rsidRPr="00527BFD">
        <w:instrText xml:space="preserve"> REF _Ref115889720 \h </w:instrText>
      </w:r>
      <w:r w:rsidR="00527BFD" w:rsidRPr="00527BFD">
        <w:instrText xml:space="preserve"> \* MERGEFORMAT </w:instrText>
      </w:r>
      <w:r w:rsidR="00E57026" w:rsidRPr="00527BFD">
        <w:fldChar w:fldCharType="separate"/>
      </w:r>
      <w:r w:rsidR="001702C9" w:rsidRPr="0025423A">
        <w:t xml:space="preserve">Figure </w:t>
      </w:r>
      <w:r w:rsidR="001702C9">
        <w:rPr>
          <w:noProof/>
        </w:rPr>
        <w:t>5</w:t>
      </w:r>
      <w:r w:rsidR="00E57026" w:rsidRPr="00527BFD">
        <w:fldChar w:fldCharType="end"/>
      </w:r>
      <w:r w:rsidR="00E57026" w:rsidRPr="00527BFD">
        <w:t xml:space="preserve"> below for the study design</w:t>
      </w:r>
      <w:r w:rsidRPr="00527BFD">
        <w:t>)</w:t>
      </w:r>
      <w:r w:rsidR="003A1035" w:rsidRPr="00527BFD">
        <w:t>.</w:t>
      </w:r>
    </w:p>
    <w:p w14:paraId="6A50C3D5" w14:textId="63B20946" w:rsidR="003768A7" w:rsidRPr="0025423A" w:rsidRDefault="00E57026" w:rsidP="0025423A">
      <w:pPr>
        <w:pStyle w:val="FigureTitle"/>
      </w:pPr>
      <w:bookmarkStart w:id="93" w:name="_Ref115889720"/>
      <w:r w:rsidRPr="0025423A">
        <w:t xml:space="preserve">Figure </w:t>
      </w:r>
      <w:r w:rsidR="00234D1A">
        <w:fldChar w:fldCharType="begin"/>
      </w:r>
      <w:r w:rsidR="00234D1A">
        <w:instrText xml:space="preserve"> SEQ Figure \* ARABIC </w:instrText>
      </w:r>
      <w:r w:rsidR="00234D1A">
        <w:fldChar w:fldCharType="separate"/>
      </w:r>
      <w:r w:rsidR="001702C9">
        <w:rPr>
          <w:noProof/>
        </w:rPr>
        <w:t>5</w:t>
      </w:r>
      <w:r w:rsidR="00234D1A">
        <w:rPr>
          <w:noProof/>
        </w:rPr>
        <w:fldChar w:fldCharType="end"/>
      </w:r>
      <w:bookmarkEnd w:id="93"/>
      <w:r w:rsidRPr="0025423A">
        <w:t>:</w:t>
      </w:r>
      <w:r w:rsidR="003768A7" w:rsidRPr="0025423A">
        <w:t xml:space="preserve"> Study 201120</w:t>
      </w:r>
      <w:r w:rsidR="00A15ADC" w:rsidRPr="0025423A">
        <w:t xml:space="preserve"> (ÉCLAIR trial) S</w:t>
      </w:r>
      <w:r w:rsidR="003768A7" w:rsidRPr="0025423A">
        <w:t>tudy design</w:t>
      </w:r>
    </w:p>
    <w:p w14:paraId="1F0E58BE" w14:textId="7A775BF6" w:rsidR="00BF26A0" w:rsidRDefault="00BF26A0" w:rsidP="00D82DF7">
      <w:r>
        <w:rPr>
          <w:noProof/>
          <w:lang w:val="en-GB" w:eastAsia="en-GB"/>
        </w:rPr>
        <w:drawing>
          <wp:inline distT="0" distB="0" distL="0" distR="0" wp14:anchorId="71B12B3A" wp14:editId="1A45424E">
            <wp:extent cx="5400040" cy="2322830"/>
            <wp:effectExtent l="0" t="0" r="0" b="1270"/>
            <wp:docPr id="28" name="Picture 28" descr="Figure 5: Study 201120 (ÉCLAIR trial) Study design&#10;&#10;Study 201120 is a Phase IIa, randomised, multicenter, two arm, double blind study to evaluate the safety, tolerability, and acceptability of cabotegravir pre-exposure prophylaxis.&#10;&#10;Participants were randomised 5:1 (cabotegravir: placebo) and were treated as follows:&#10;&#10;Arm 1 (cabotegravir): Daily oral cabotegravir (30 mg tablets) for 4 weeks during the oral phase of the study, followed by a one week washout period, to assess for safety and tolerability prior to receiving cabotegravir injections. Following safety laboratory assessments from the oral phase, participants entered the injection phase and received intramuscular injections of cabotegravir (800 mg) at 3 visits at 12-week intervals (Weeks 5, 17, and 29).&#10;&#10;Arm 2 (placebo): Daily oral matching placebo and intramuscular injections of placebo (0.9% saline) on the same schedule as Arm 1.&#10;&#10;Participants in the cabotegravir group (Arm 1) were followed for 52 weeks following their last injection. Participants in the placebo group (Arm 2) were followed until all participants completed Week 41 and the database was cleaned, at which time the study was unblinded and placebo participants were dis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5: Study 201120 (ÉCLAIR trial) Study design&#10;&#10;Study 201120 is a Phase IIa, randomised, multicenter, two arm, double blind study to evaluate the safety, tolerability, and acceptability of cabotegravir pre-exposure prophylaxis.&#10;&#10;Participants were randomised 5:1 (cabotegravir: placebo) and were treated as follows:&#10;&#10;Arm 1 (cabotegravir): Daily oral cabotegravir (30 mg tablets) for 4 weeks during the oral phase of the study, followed by a one week washout period, to assess for safety and tolerability prior to receiving cabotegravir injections. Following safety laboratory assessments from the oral phase, participants entered the injection phase and received intramuscular injections of cabotegravir (800 mg) at 3 visits at 12-week intervals (Weeks 5, 17, and 29).&#10;&#10;Arm 2 (placebo): Daily oral matching placebo and intramuscular injections of placebo (0.9% saline) on the same schedule as Arm 1.&#10;&#10;Participants in the cabotegravir group (Arm 1) were followed for 52 weeks following their last injection. Participants in the placebo group (Arm 2) were followed until all participants completed Week 41 and the database was cleaned, at which time the study was unblinded and placebo participants were discontinued."/>
                    <pic:cNvPicPr/>
                  </pic:nvPicPr>
                  <pic:blipFill>
                    <a:blip r:embed="rId28"/>
                    <a:stretch>
                      <a:fillRect/>
                    </a:stretch>
                  </pic:blipFill>
                  <pic:spPr>
                    <a:xfrm>
                      <a:off x="0" y="0"/>
                      <a:ext cx="5400040" cy="2322830"/>
                    </a:xfrm>
                    <a:prstGeom prst="rect">
                      <a:avLst/>
                    </a:prstGeom>
                  </pic:spPr>
                </pic:pic>
              </a:graphicData>
            </a:graphic>
          </wp:inline>
        </w:drawing>
      </w:r>
    </w:p>
    <w:p w14:paraId="39D3B587" w14:textId="34A1D9E2" w:rsidR="003768A7" w:rsidRPr="00D82DF7" w:rsidRDefault="008449C5" w:rsidP="00D82DF7">
      <w:pPr>
        <w:pStyle w:val="FigureDescription"/>
      </w:pPr>
      <w:r w:rsidRPr="00D82DF7">
        <w:t xml:space="preserve">Abbreviations: </w:t>
      </w:r>
      <w:r w:rsidR="00BF26A0" w:rsidRPr="00D82DF7">
        <w:t xml:space="preserve">CAB = cabotegravir; D = Day; IM = intramuscular; </w:t>
      </w:r>
      <w:r w:rsidRPr="00D82DF7">
        <w:t xml:space="preserve">n= number of subjects in group; </w:t>
      </w:r>
      <w:r w:rsidR="00BF26A0" w:rsidRPr="00D82DF7">
        <w:t>PO = orally; QD= once a day; Q12 = every 12; W = Week.</w:t>
      </w:r>
    </w:p>
    <w:p w14:paraId="09E7D73C" w14:textId="1AB0E749" w:rsidR="003768A7" w:rsidRPr="00527BFD" w:rsidRDefault="003768A7" w:rsidP="00BB4257">
      <w:r w:rsidRPr="00527BFD">
        <w:t xml:space="preserve">Although efficacy was not analysed in Study 201120, there was one incident HIV-1 seroconversion (a participant in the placebo group during the </w:t>
      </w:r>
      <w:r w:rsidR="00E57026" w:rsidRPr="00527BFD">
        <w:t>injection phase at</w:t>
      </w:r>
      <w:r w:rsidRPr="00527BFD">
        <w:t xml:space="preserve"> Week</w:t>
      </w:r>
      <w:r w:rsidR="00E57026" w:rsidRPr="00527BFD">
        <w:t> </w:t>
      </w:r>
      <w:r w:rsidRPr="00527BFD">
        <w:t>23)</w:t>
      </w:r>
      <w:r w:rsidR="00E57026" w:rsidRPr="00527BFD">
        <w:t>.</w:t>
      </w:r>
    </w:p>
    <w:p w14:paraId="0454C75B" w14:textId="45B97DB0" w:rsidR="003768A7" w:rsidRPr="00527BFD" w:rsidRDefault="003768A7" w:rsidP="00BB4257">
      <w:pPr>
        <w:pStyle w:val="Heading6"/>
        <w:rPr>
          <w:rFonts w:eastAsia="TimesNewRoman"/>
          <w:lang w:val="en-US" w:eastAsia="ja-JP"/>
        </w:rPr>
      </w:pPr>
      <w:r w:rsidRPr="00527BFD">
        <w:rPr>
          <w:rFonts w:eastAsia="TimesNewRoman"/>
          <w:lang w:val="en-US" w:eastAsia="ja-JP"/>
        </w:rPr>
        <w:t>Study 201103</w:t>
      </w:r>
      <w:bookmarkEnd w:id="89"/>
      <w:r w:rsidR="00A15ADC">
        <w:rPr>
          <w:rFonts w:eastAsia="TimesNewRoman"/>
          <w:lang w:val="en-US" w:eastAsia="ja-JP"/>
        </w:rPr>
        <w:t xml:space="preserve"> (</w:t>
      </w:r>
      <w:r w:rsidR="00A15ADC" w:rsidRPr="00A15ADC">
        <w:rPr>
          <w:rFonts w:eastAsia="TimesNewRoman"/>
          <w:lang w:val="en-US" w:eastAsia="ja-JP"/>
        </w:rPr>
        <w:t>HPTN 077 trial</w:t>
      </w:r>
      <w:r w:rsidR="00A15ADC">
        <w:rPr>
          <w:rFonts w:eastAsia="TimesNewRoman"/>
          <w:lang w:val="en-US" w:eastAsia="ja-JP"/>
        </w:rPr>
        <w:t>)</w:t>
      </w:r>
    </w:p>
    <w:p w14:paraId="43709CAA" w14:textId="43A6845D" w:rsidR="003768A7" w:rsidRPr="00527BFD" w:rsidRDefault="00E57026" w:rsidP="00BB4257">
      <w:r w:rsidRPr="00527BFD">
        <w:t>Study 201103 (the HPTN 077 trial)</w:t>
      </w:r>
      <w:r w:rsidR="003768A7" w:rsidRPr="00527BFD">
        <w:t xml:space="preserve"> </w:t>
      </w:r>
      <w:r w:rsidRPr="00527BFD">
        <w:t>is</w:t>
      </w:r>
      <w:r w:rsidR="003768A7" w:rsidRPr="00527BFD">
        <w:t xml:space="preserve"> a Phase </w:t>
      </w:r>
      <w:proofErr w:type="spellStart"/>
      <w:r w:rsidR="003768A7" w:rsidRPr="00527BFD">
        <w:t>IIa</w:t>
      </w:r>
      <w:proofErr w:type="spellEnd"/>
      <w:r w:rsidR="003768A7" w:rsidRPr="00527BFD">
        <w:t xml:space="preserve">, multicentre, randomised, </w:t>
      </w:r>
      <w:r w:rsidRPr="00527BFD">
        <w:t xml:space="preserve">two </w:t>
      </w:r>
      <w:r w:rsidR="003768A7" w:rsidRPr="00527BFD">
        <w:t>arm, placebo</w:t>
      </w:r>
      <w:r w:rsidRPr="00527BFD">
        <w:t xml:space="preserve"> </w:t>
      </w:r>
      <w:r w:rsidR="003768A7" w:rsidRPr="00527BFD">
        <w:t xml:space="preserve">controlled, double blind study to evaluate safety, tolerability, </w:t>
      </w:r>
      <w:proofErr w:type="gramStart"/>
      <w:r w:rsidR="003768A7" w:rsidRPr="00527BFD">
        <w:t>PK</w:t>
      </w:r>
      <w:proofErr w:type="gramEnd"/>
      <w:r w:rsidR="003768A7" w:rsidRPr="00527BFD">
        <w:t xml:space="preserve"> and acceptability of </w:t>
      </w:r>
      <w:r w:rsidR="00FD52A9" w:rsidRPr="00527BFD">
        <w:t>cabotegravir</w:t>
      </w:r>
      <w:r w:rsidR="003768A7" w:rsidRPr="00527BFD">
        <w:t xml:space="preserve"> in adult HIV-uninfected men and women (n</w:t>
      </w:r>
      <w:r w:rsidR="00754F3F" w:rsidRPr="00527BFD">
        <w:t xml:space="preserve"> = </w:t>
      </w:r>
      <w:r w:rsidR="003768A7" w:rsidRPr="00527BFD">
        <w:t xml:space="preserve">200). Eligible participants were randomised to 1 of 2 study arms with an active </w:t>
      </w:r>
      <w:r w:rsidR="00FD52A9" w:rsidRPr="00527BFD">
        <w:t>cabotegravir</w:t>
      </w:r>
      <w:r w:rsidR="003768A7" w:rsidRPr="00527BFD">
        <w:t xml:space="preserve"> to placebo ratio of 3:1 in 2</w:t>
      </w:r>
      <w:r w:rsidR="00D46635">
        <w:t> </w:t>
      </w:r>
      <w:r w:rsidR="003768A7" w:rsidRPr="00527BFD">
        <w:t>cohorts.</w:t>
      </w:r>
      <w:r w:rsidR="005F0BCE" w:rsidRPr="00527BFD">
        <w:t xml:space="preserve"> </w:t>
      </w:r>
      <w:r w:rsidR="003768A7" w:rsidRPr="00527BFD">
        <w:t xml:space="preserve">The study was conducted from 9 </w:t>
      </w:r>
      <w:r w:rsidRPr="00527BFD">
        <w:t>February</w:t>
      </w:r>
      <w:r w:rsidR="003768A7" w:rsidRPr="00527BFD">
        <w:t xml:space="preserve"> 2015 to 13 July 2018 at 8</w:t>
      </w:r>
      <w:r w:rsidRPr="00527BFD">
        <w:t> </w:t>
      </w:r>
      <w:r w:rsidR="003768A7" w:rsidRPr="00527BFD">
        <w:t xml:space="preserve">centres in Brazil, sub-Saharan </w:t>
      </w:r>
      <w:proofErr w:type="gramStart"/>
      <w:r w:rsidR="003768A7" w:rsidRPr="00527BFD">
        <w:t>Africa</w:t>
      </w:r>
      <w:proofErr w:type="gramEnd"/>
      <w:r w:rsidR="003768A7" w:rsidRPr="00527BFD">
        <w:t xml:space="preserve"> and </w:t>
      </w:r>
      <w:r w:rsidRPr="00527BFD">
        <w:t xml:space="preserve">the </w:t>
      </w:r>
      <w:r w:rsidR="003768A7" w:rsidRPr="00527BFD">
        <w:t>USA</w:t>
      </w:r>
      <w:r w:rsidRPr="00527BFD">
        <w:t xml:space="preserve"> (see</w:t>
      </w:r>
      <w:r w:rsidR="003768A7" w:rsidRPr="00527BFD">
        <w:t xml:space="preserve"> Figure 6</w:t>
      </w:r>
      <w:r w:rsidR="00BF26A0">
        <w:t xml:space="preserve"> and </w:t>
      </w:r>
      <w:r w:rsidR="00BF26A0">
        <w:fldChar w:fldCharType="begin"/>
      </w:r>
      <w:r w:rsidR="00BF26A0">
        <w:instrText xml:space="preserve"> REF _Ref116228535 \h </w:instrText>
      </w:r>
      <w:r w:rsidR="00BF26A0">
        <w:fldChar w:fldCharType="separate"/>
      </w:r>
      <w:r w:rsidR="001702C9" w:rsidRPr="0025423A">
        <w:t xml:space="preserve">Figure </w:t>
      </w:r>
      <w:r w:rsidR="001702C9">
        <w:rPr>
          <w:noProof/>
        </w:rPr>
        <w:t>7</w:t>
      </w:r>
      <w:r w:rsidR="00BF26A0">
        <w:fldChar w:fldCharType="end"/>
      </w:r>
      <w:r w:rsidR="003768A7" w:rsidRPr="00527BFD">
        <w:t xml:space="preserve"> </w:t>
      </w:r>
      <w:r w:rsidRPr="00527BFD">
        <w:t>below for the study design).</w:t>
      </w:r>
    </w:p>
    <w:p w14:paraId="22DBA38D" w14:textId="77C3E43B" w:rsidR="003768A7" w:rsidRPr="0025423A" w:rsidRDefault="00E57026" w:rsidP="0025423A">
      <w:pPr>
        <w:pStyle w:val="FigureTitle"/>
      </w:pPr>
      <w:r w:rsidRPr="0025423A">
        <w:t xml:space="preserve">Figure </w:t>
      </w:r>
      <w:r w:rsidR="00234D1A">
        <w:fldChar w:fldCharType="begin"/>
      </w:r>
      <w:r w:rsidR="00234D1A">
        <w:instrText xml:space="preserve"> SEQ Figure \* ARABIC </w:instrText>
      </w:r>
      <w:r w:rsidR="00234D1A">
        <w:fldChar w:fldCharType="separate"/>
      </w:r>
      <w:r w:rsidR="001702C9">
        <w:rPr>
          <w:noProof/>
        </w:rPr>
        <w:t>6</w:t>
      </w:r>
      <w:r w:rsidR="00234D1A">
        <w:rPr>
          <w:noProof/>
        </w:rPr>
        <w:fldChar w:fldCharType="end"/>
      </w:r>
      <w:r w:rsidR="00A15ADC" w:rsidRPr="0025423A">
        <w:t>:</w:t>
      </w:r>
      <w:r w:rsidR="003768A7" w:rsidRPr="0025423A">
        <w:t xml:space="preserve"> Study 201103</w:t>
      </w:r>
      <w:r w:rsidR="00A15ADC" w:rsidRPr="0025423A">
        <w:t xml:space="preserve"> (</w:t>
      </w:r>
      <w:r w:rsidR="00CC53B1" w:rsidRPr="0025423A">
        <w:t>HPTN 077 trial</w:t>
      </w:r>
      <w:r w:rsidR="00A15ADC" w:rsidRPr="0025423A">
        <w:t xml:space="preserve">) </w:t>
      </w:r>
      <w:r w:rsidR="00BF26A0" w:rsidRPr="0025423A">
        <w:t xml:space="preserve">Cohort 1 </w:t>
      </w:r>
      <w:r w:rsidR="00A15ADC" w:rsidRPr="0025423A">
        <w:t>S</w:t>
      </w:r>
      <w:r w:rsidR="003768A7" w:rsidRPr="0025423A">
        <w:t>tudy design</w:t>
      </w:r>
    </w:p>
    <w:p w14:paraId="6E526452" w14:textId="5507A187" w:rsidR="00BF26A0" w:rsidRDefault="00BF26A0" w:rsidP="00D82DF7">
      <w:r>
        <w:rPr>
          <w:noProof/>
          <w:lang w:val="en-GB" w:eastAsia="en-GB"/>
        </w:rPr>
        <w:drawing>
          <wp:inline distT="0" distB="0" distL="0" distR="0" wp14:anchorId="6B2D37BA" wp14:editId="3C1B4A77">
            <wp:extent cx="5400040" cy="2178050"/>
            <wp:effectExtent l="0" t="0" r="0" b="0"/>
            <wp:docPr id="29" name="Picture 29" descr="Figure 6: Study 201103 (HPTN 077 trial) Cohort 1 Study design&#10;&#10;Study 201103 is a Phase IIa, randomised, multicenter, two  arm, double blind study of the safety, tolerability, pharmacokinetics, and acceptability of cabotegravir.&#10;&#10;Eligible participants were divided into 2 dose cohorts (Cohort 1 or 2), which were enrolled sequentially. Cohort 1 study design is demonstrated in Figure 6 and Cohort 2 study design is demonstrated in Figure 7.&#10;&#10;Cohort 1 Arm 1 (cabotegravir): Participants received daily oral cabotegravir (30 mg tablets) for 4 weeks (to assess safety and tolerability prior to receiving cabotegravir long acting), followed by a one week washout period, followed by intramuscular gluteal injections of 800 mg of cabotegravir long acting (administered as 2 sequential 400 mg gluteal injections) at 3 visits at 12 week intervals (Weeks 5, 17, and 29) over 24 weeks.&#10;Cohort 1 Arm 2 (placebo): Participants received daily oral placebo and intramuscular injections of placebo on the same schedule as Cohort 1 Arm 1.&#10;&#10;Cohort 2 Arm 1 (cabotegravir): Participants received daily oral cabotegravir (30 mg tablets) for 4 weeks (to assess safety and tolerability prior to receiving cabotegravir long acting), followed by a one week washout period, followed by intramuscular gluteal injections of 600 mg of cabotegravir long acting (administered as one 600-mg gluteal injection) at 5 visits at 4 and 8 week intervals (Weeks 5, 9, 17, 25, and 33) over 28 weeks.&#10;Cohort 2 Arm 2 (placebo): Participants received daily oral placebo and intramuscular injections of placebo on the same schedule as Cohort 2 Arm 1.&#10;&#10;Participants in the active study drug arms were followed for 52 weeks after their last injection (later amended to 76 weeks for participants on study who consented to additional visits). Participants in the placebo arms were followed until 52 (or 76) weeks after their last injection or until the last participant in the active study drug arm of Cohort 2 completed their Week 41 visit, whichever cam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6: Study 201103 (HPTN 077 trial) Cohort 1 Study design&#10;&#10;Study 201103 is a Phase IIa, randomised, multicenter, two  arm, double blind study of the safety, tolerability, pharmacokinetics, and acceptability of cabotegravir.&#10;&#10;Eligible participants were divided into 2 dose cohorts (Cohort 1 or 2), which were enrolled sequentially. Cohort 1 study design is demonstrated in Figure 6 and Cohort 2 study design is demonstrated in Figure 7.&#10;&#10;Cohort 1 Arm 1 (cabotegravir): Participants received daily oral cabotegravir (30 mg tablets) for 4 weeks (to assess safety and tolerability prior to receiving cabotegravir long acting), followed by a one week washout period, followed by intramuscular gluteal injections of 800 mg of cabotegravir long acting (administered as 2 sequential 400 mg gluteal injections) at 3 visits at 12 week intervals (Weeks 5, 17, and 29) over 24 weeks.&#10;Cohort 1 Arm 2 (placebo): Participants received daily oral placebo and intramuscular injections of placebo on the same schedule as Cohort 1 Arm 1.&#10;&#10;Cohort 2 Arm 1 (cabotegravir): Participants received daily oral cabotegravir (30 mg tablets) for 4 weeks (to assess safety and tolerability prior to receiving cabotegravir long acting), followed by a one week washout period, followed by intramuscular gluteal injections of 600 mg of cabotegravir long acting (administered as one 600-mg gluteal injection) at 5 visits at 4 and 8 week intervals (Weeks 5, 9, 17, 25, and 33) over 28 weeks.&#10;Cohort 2 Arm 2 (placebo): Participants received daily oral placebo and intramuscular injections of placebo on the same schedule as Cohort 2 Arm 1.&#10;&#10;Participants in the active study drug arms were followed for 52 weeks after their last injection (later amended to 76 weeks for participants on study who consented to additional visits). Participants in the placebo arms were followed until 52 (or 76) weeks after their last injection or until the last participant in the active study drug arm of Cohort 2 completed their Week 41 visit, whichever came first."/>
                    <pic:cNvPicPr/>
                  </pic:nvPicPr>
                  <pic:blipFill>
                    <a:blip r:embed="rId29"/>
                    <a:stretch>
                      <a:fillRect/>
                    </a:stretch>
                  </pic:blipFill>
                  <pic:spPr>
                    <a:xfrm>
                      <a:off x="0" y="0"/>
                      <a:ext cx="5400040" cy="2178050"/>
                    </a:xfrm>
                    <a:prstGeom prst="rect">
                      <a:avLst/>
                    </a:prstGeom>
                  </pic:spPr>
                </pic:pic>
              </a:graphicData>
            </a:graphic>
          </wp:inline>
        </w:drawing>
      </w:r>
    </w:p>
    <w:p w14:paraId="20CC9495" w14:textId="5DA010B4" w:rsidR="008449C5" w:rsidRPr="00D82DF7" w:rsidRDefault="00D82DF7" w:rsidP="00D82DF7">
      <w:pPr>
        <w:pStyle w:val="FigureDescription"/>
      </w:pPr>
      <w:r w:rsidRPr="00D82DF7">
        <w:t xml:space="preserve">Abbreviations: IM = intramuscular; LA = </w:t>
      </w:r>
      <w:proofErr w:type="gramStart"/>
      <w:r w:rsidRPr="00D82DF7">
        <w:t>long-acting</w:t>
      </w:r>
      <w:proofErr w:type="gramEnd"/>
      <w:r w:rsidRPr="00D82DF7">
        <w:t xml:space="preserve">; n = number of subjects in group; </w:t>
      </w:r>
      <w:r w:rsidR="008449C5" w:rsidRPr="00D82DF7">
        <w:t>W =</w:t>
      </w:r>
      <w:r w:rsidR="00342B4E" w:rsidRPr="00D82DF7">
        <w:t xml:space="preserve"> Week</w:t>
      </w:r>
      <w:r w:rsidRPr="00D82DF7">
        <w:t>.</w:t>
      </w:r>
    </w:p>
    <w:p w14:paraId="0FB4C72D" w14:textId="5564420D" w:rsidR="00BF26A0" w:rsidRPr="00D82DF7" w:rsidRDefault="00D82DF7" w:rsidP="00D82DF7">
      <w:pPr>
        <w:pStyle w:val="FigureDescription"/>
      </w:pPr>
      <w:r w:rsidRPr="00D82DF7">
        <w:t>744</w:t>
      </w:r>
      <w:r>
        <w:t xml:space="preserve"> participants were given c</w:t>
      </w:r>
      <w:r w:rsidRPr="00D82DF7">
        <w:t>abotegravi</w:t>
      </w:r>
      <w:r>
        <w:t>r.</w:t>
      </w:r>
    </w:p>
    <w:p w14:paraId="35691FEB" w14:textId="35A6B371" w:rsidR="003768A7" w:rsidRPr="00D82DF7" w:rsidRDefault="00BF26A0" w:rsidP="00D82DF7">
      <w:pPr>
        <w:pStyle w:val="FigureDescription"/>
      </w:pPr>
      <w:r w:rsidRPr="00D82DF7">
        <w:t xml:space="preserve">For participants who remained in the study and consented to the additional visits included </w:t>
      </w:r>
      <w:r w:rsidR="00D82DF7">
        <w:t>clinical study report</w:t>
      </w:r>
      <w:r w:rsidRPr="00D82DF7">
        <w:t>, the following revisions to the overview of the study design and randomi</w:t>
      </w:r>
      <w:r w:rsidR="00D82DF7">
        <w:t>s</w:t>
      </w:r>
      <w:r w:rsidRPr="00D82DF7">
        <w:t>ation scheme applied: for Cohort 1, starting at Week 65, the updated visit schedule was: Weeks 65, 77, 89, 101, and 105.</w:t>
      </w:r>
    </w:p>
    <w:p w14:paraId="4A8BCCA4" w14:textId="67ED64E2" w:rsidR="003768A7" w:rsidRPr="0025423A" w:rsidRDefault="00BF26A0" w:rsidP="0025423A">
      <w:pPr>
        <w:pStyle w:val="FigureTitle"/>
      </w:pPr>
      <w:bookmarkStart w:id="94" w:name="_Ref116228535"/>
      <w:r w:rsidRPr="0025423A">
        <w:lastRenderedPageBreak/>
        <w:t xml:space="preserve">Figure </w:t>
      </w:r>
      <w:r w:rsidR="00234D1A">
        <w:fldChar w:fldCharType="begin"/>
      </w:r>
      <w:r w:rsidR="00234D1A">
        <w:instrText xml:space="preserve"> SEQ Figure \* ARABIC </w:instrText>
      </w:r>
      <w:r w:rsidR="00234D1A">
        <w:fldChar w:fldCharType="separate"/>
      </w:r>
      <w:r w:rsidR="001702C9">
        <w:rPr>
          <w:noProof/>
        </w:rPr>
        <w:t>7</w:t>
      </w:r>
      <w:r w:rsidR="00234D1A">
        <w:rPr>
          <w:noProof/>
        </w:rPr>
        <w:fldChar w:fldCharType="end"/>
      </w:r>
      <w:bookmarkEnd w:id="94"/>
      <w:r w:rsidRPr="0025423A">
        <w:t>: Study 201103 (HPTN 077 trial) Cohort 2 Study design</w:t>
      </w:r>
    </w:p>
    <w:p w14:paraId="6902D5B5" w14:textId="2A1153E4" w:rsidR="00BF26A0" w:rsidRDefault="00BF26A0" w:rsidP="00D82DF7">
      <w:r>
        <w:rPr>
          <w:noProof/>
          <w:lang w:val="en-GB" w:eastAsia="en-GB"/>
        </w:rPr>
        <w:drawing>
          <wp:inline distT="0" distB="0" distL="0" distR="0" wp14:anchorId="4DA8BF07" wp14:editId="174B1031">
            <wp:extent cx="5400040" cy="2195195"/>
            <wp:effectExtent l="0" t="0" r="0" b="0"/>
            <wp:docPr id="31" name="Picture 31" descr="Figure 7: Study 201103 (HPTN 077 trial) Cohort 2 Study design&#10;&#10;Study 201103 is a Phase IIa, randomised, multicenter, two  arm, double blind study of the safety, tolerability, pharmacokinetics, and acceptability of cabotegravir.&#10;&#10;Eligible participants were divided into 2 dose cohorts (Cohort 1 or 2), which were enrolled sequentially. Cohort 1 study design is demonstrated in Figure 6 and Cohort 2 study design is demonstrated in Figure 7.&#10;&#10;Cohort 1 Arm 1 (cabotegravir): Participants received daily oral cabotegravir (30 mg tablets) for 4 weeks (to assess safety and tolerability prior to receiving cabotegravir long acting), followed by a one week washout period, followed by intramuscular gluteal injections of 800 mg of cabotegravir long acting (administered as 2 sequential 400 mg gluteal injections) at 3 visits at 12 week intervals (Weeks 5, 17, and 29) over 24 weeks.&#10;Cohort 1 Arm 2 (placebo): Participants received daily oral placebo and intramuscular injections of placebo on the same schedule as Cohort 1 Arm 1.&#10;&#10;Cohort 2 Arm 1 (cabotegravir): Participants received daily oral cabotegravir (30 mg tablets) for 4 weeks (to assess safety and tolerability prior to receiving cabotegravir long acting), followed by a one week washout period, followed by intramuscular gluteal injections of 600 mg of cabotegravir long acting (administered as one 600-mg gluteal injection) at 5 visits at 4 and 8 week intervals (Weeks 5, 9, 17, 25, and 33) over 28 weeks.&#10;Cohort 2 Arm 2 (placebo): Participants received daily oral placebo and intramuscular injections of placebo on the same schedule as Cohort 2 Arm 1.&#10;&#10;Participants in the active study drug arms were followed for 52 weeks after their last injection (later amended to 76 weeks for participants on study who consented to additional visits). Participants in the placebo arms were followed until 52 (or 76) weeks after their last injection or until the last participant in the active study drug arm of Cohort 2 completed their Week 41 visit, whichever cam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7: Study 201103 (HPTN 077 trial) Cohort 2 Study design&#10;&#10;Study 201103 is a Phase IIa, randomised, multicenter, two  arm, double blind study of the safety, tolerability, pharmacokinetics, and acceptability of cabotegravir.&#10;&#10;Eligible participants were divided into 2 dose cohorts (Cohort 1 or 2), which were enrolled sequentially. Cohort 1 study design is demonstrated in Figure 6 and Cohort 2 study design is demonstrated in Figure 7.&#10;&#10;Cohort 1 Arm 1 (cabotegravir): Participants received daily oral cabotegravir (30 mg tablets) for 4 weeks (to assess safety and tolerability prior to receiving cabotegravir long acting), followed by a one week washout period, followed by intramuscular gluteal injections of 800 mg of cabotegravir long acting (administered as 2 sequential 400 mg gluteal injections) at 3 visits at 12 week intervals (Weeks 5, 17, and 29) over 24 weeks.&#10;Cohort 1 Arm 2 (placebo): Participants received daily oral placebo and intramuscular injections of placebo on the same schedule as Cohort 1 Arm 1.&#10;&#10;Cohort 2 Arm 1 (cabotegravir): Participants received daily oral cabotegravir (30 mg tablets) for 4 weeks (to assess safety and tolerability prior to receiving cabotegravir long acting), followed by a one week washout period, followed by intramuscular gluteal injections of 600 mg of cabotegravir long acting (administered as one 600-mg gluteal injection) at 5 visits at 4 and 8 week intervals (Weeks 5, 9, 17, 25, and 33) over 28 weeks.&#10;Cohort 2 Arm 2 (placebo): Participants received daily oral placebo and intramuscular injections of placebo on the same schedule as Cohort 2 Arm 1.&#10;&#10;Participants in the active study drug arms were followed for 52 weeks after their last injection (later amended to 76 weeks for participants on study who consented to additional visits). Participants in the placebo arms were followed until 52 (or 76) weeks after their last injection or until the last participant in the active study drug arm of Cohort 2 completed their Week 41 visit, whichever came first."/>
                    <pic:cNvPicPr/>
                  </pic:nvPicPr>
                  <pic:blipFill>
                    <a:blip r:embed="rId30"/>
                    <a:stretch>
                      <a:fillRect/>
                    </a:stretch>
                  </pic:blipFill>
                  <pic:spPr>
                    <a:xfrm>
                      <a:off x="0" y="0"/>
                      <a:ext cx="5400040" cy="2195195"/>
                    </a:xfrm>
                    <a:prstGeom prst="rect">
                      <a:avLst/>
                    </a:prstGeom>
                  </pic:spPr>
                </pic:pic>
              </a:graphicData>
            </a:graphic>
          </wp:inline>
        </w:drawing>
      </w:r>
    </w:p>
    <w:p w14:paraId="33F93933" w14:textId="6BA4451D" w:rsidR="008449C5" w:rsidRPr="00D82DF7" w:rsidRDefault="00D82DF7" w:rsidP="00D82DF7">
      <w:pPr>
        <w:pStyle w:val="FigureDescription"/>
      </w:pPr>
      <w:r w:rsidRPr="00D82DF7">
        <w:t xml:space="preserve">Abbreviations: IM = intramuscular; LA = </w:t>
      </w:r>
      <w:proofErr w:type="gramStart"/>
      <w:r w:rsidRPr="00D82DF7">
        <w:t>long-acting</w:t>
      </w:r>
      <w:proofErr w:type="gramEnd"/>
      <w:r w:rsidRPr="00D82DF7">
        <w:t>; n = number of subjects in group; W</w:t>
      </w:r>
      <w:r w:rsidR="008449C5" w:rsidRPr="00D82DF7">
        <w:t xml:space="preserve"> =</w:t>
      </w:r>
      <w:r w:rsidR="00342B4E" w:rsidRPr="00D82DF7">
        <w:t xml:space="preserve"> Week</w:t>
      </w:r>
      <w:r w:rsidRPr="00D82DF7">
        <w:t>.</w:t>
      </w:r>
    </w:p>
    <w:p w14:paraId="526E2556" w14:textId="0246CD62" w:rsidR="00BF26A0" w:rsidRPr="00D82DF7" w:rsidRDefault="00BF26A0" w:rsidP="00D82DF7">
      <w:pPr>
        <w:pStyle w:val="FigureDescription"/>
      </w:pPr>
      <w:r w:rsidRPr="00D82DF7">
        <w:t>744</w:t>
      </w:r>
      <w:r w:rsidR="00D82DF7" w:rsidRPr="00D82DF7">
        <w:t xml:space="preserve"> participants were given</w:t>
      </w:r>
      <w:r w:rsidRPr="00D82DF7">
        <w:t xml:space="preserve"> cabotegravir</w:t>
      </w:r>
      <w:r w:rsidR="00D82DF7" w:rsidRPr="00D82DF7">
        <w:t>.</w:t>
      </w:r>
    </w:p>
    <w:p w14:paraId="70369AB9" w14:textId="337055CD" w:rsidR="003768A7" w:rsidRPr="00D82DF7" w:rsidRDefault="00BF26A0" w:rsidP="00D82DF7">
      <w:pPr>
        <w:pStyle w:val="FigureDescription"/>
      </w:pPr>
      <w:r w:rsidRPr="00D82DF7">
        <w:t xml:space="preserve">For participants who remained in the study and consented to the additional visits included in </w:t>
      </w:r>
      <w:r w:rsidR="00D82DF7" w:rsidRPr="00D82DF7">
        <w:t>the clinical study report</w:t>
      </w:r>
      <w:r w:rsidRPr="00D82DF7">
        <w:t>, the following revisions to the overview of the study design and randomi</w:t>
      </w:r>
      <w:r w:rsidR="00D82DF7" w:rsidRPr="00D82DF7">
        <w:t>s</w:t>
      </w:r>
      <w:r w:rsidRPr="00D82DF7">
        <w:t>ation scheme applied: for Cohort 2, starting at Week 65, the updated visit schedule was: Weeks 65, 77, 89, 101, and 109.</w:t>
      </w:r>
    </w:p>
    <w:p w14:paraId="79DAA1AA" w14:textId="6C6C1860" w:rsidR="003768A7" w:rsidRPr="00527BFD" w:rsidRDefault="003768A7" w:rsidP="00BB4257">
      <w:r w:rsidRPr="00527BFD">
        <w:t xml:space="preserve">There were no notable differences between the </w:t>
      </w:r>
      <w:r w:rsidR="00FD52A9" w:rsidRPr="00527BFD">
        <w:t>cabotegravir</w:t>
      </w:r>
      <w:r w:rsidRPr="00527BFD">
        <w:t xml:space="preserve"> and placebo groups in exposure to or compliance with study drug. For both groups and overall, </w:t>
      </w:r>
      <w:proofErr w:type="gramStart"/>
      <w:r w:rsidRPr="00527BFD">
        <w:t>the majority of</w:t>
      </w:r>
      <w:proofErr w:type="gramEnd"/>
      <w:r w:rsidRPr="00527BFD">
        <w:t xml:space="preserve"> participants had </w:t>
      </w:r>
      <w:r w:rsidR="00754F3F" w:rsidRPr="00527BFD">
        <w:t xml:space="preserve">higher than </w:t>
      </w:r>
      <w:r w:rsidRPr="00527BFD">
        <w:t>90% adherence to oral study drug, and the majority of participants received the protocol specified number of injections (3 injections for Cohort</w:t>
      </w:r>
      <w:r w:rsidR="00E57026" w:rsidRPr="00527BFD">
        <w:t> </w:t>
      </w:r>
      <w:r w:rsidRPr="00527BFD">
        <w:t xml:space="preserve">1 and 5 injections for Cohort 2). The study had </w:t>
      </w:r>
      <w:r w:rsidR="00E57026" w:rsidRPr="00527BFD">
        <w:t>one</w:t>
      </w:r>
      <w:r w:rsidRPr="00527BFD">
        <w:t xml:space="preserve"> incident HIV infection (</w:t>
      </w:r>
      <w:r w:rsidR="00FD52A9" w:rsidRPr="00527BFD">
        <w:t>cabotegravir</w:t>
      </w:r>
      <w:r w:rsidRPr="00527BFD">
        <w:t xml:space="preserve"> group). This participant was female at birth and tested positive for HIV at study Week</w:t>
      </w:r>
      <w:r w:rsidR="00E57026" w:rsidRPr="00527BFD">
        <w:t> </w:t>
      </w:r>
      <w:r w:rsidRPr="00527BFD">
        <w:t xml:space="preserve">77 visit, 48 weeks after the final injection of active </w:t>
      </w:r>
      <w:r w:rsidR="00FD52A9" w:rsidRPr="00527BFD">
        <w:t>cabotegravir</w:t>
      </w:r>
      <w:r w:rsidRPr="00527BFD">
        <w:t xml:space="preserve">. The participant’s plasma </w:t>
      </w:r>
      <w:r w:rsidR="00FD52A9" w:rsidRPr="00527BFD">
        <w:t>cabotegravir</w:t>
      </w:r>
      <w:r w:rsidRPr="00527BFD">
        <w:t xml:space="preserve"> concentration was below the </w:t>
      </w:r>
      <w:r w:rsidR="00D43DAD" w:rsidRPr="00527BFD">
        <w:t xml:space="preserve">lower limit of quantification </w:t>
      </w:r>
      <w:r w:rsidRPr="00527BFD">
        <w:t>(0.025 µg/mL) at study Week</w:t>
      </w:r>
      <w:r w:rsidR="00E57026" w:rsidRPr="00527BFD">
        <w:t> </w:t>
      </w:r>
      <w:r w:rsidRPr="00527BFD">
        <w:t xml:space="preserve">77 and at the prior study visit at </w:t>
      </w:r>
      <w:r w:rsidR="00E57026" w:rsidRPr="00527BFD">
        <w:t xml:space="preserve">Week </w:t>
      </w:r>
      <w:r w:rsidRPr="00527BFD">
        <w:t>65.</w:t>
      </w:r>
    </w:p>
    <w:p w14:paraId="63A9C179" w14:textId="1D42E95D" w:rsidR="003768A7" w:rsidRPr="00527BFD" w:rsidRDefault="003768A7" w:rsidP="00BB4257">
      <w:pPr>
        <w:pStyle w:val="Heading6"/>
        <w:rPr>
          <w:rFonts w:eastAsiaTheme="minorHAnsi"/>
        </w:rPr>
      </w:pPr>
      <w:r w:rsidRPr="00527BFD">
        <w:rPr>
          <w:rFonts w:eastAsiaTheme="minorHAnsi"/>
        </w:rPr>
        <w:t>Study 201584</w:t>
      </w:r>
    </w:p>
    <w:p w14:paraId="02702C0F" w14:textId="11568FEE" w:rsidR="003768A7" w:rsidRPr="00527BFD" w:rsidRDefault="00E57026" w:rsidP="00BB4257">
      <w:r w:rsidRPr="00527BFD">
        <w:t>Study 201584 (the FLAIR trial) is a</w:t>
      </w:r>
      <w:r w:rsidR="003768A7" w:rsidRPr="00527BFD">
        <w:t xml:space="preserve"> Phase III randomised, multicentre, active controlled, parallel</w:t>
      </w:r>
      <w:r w:rsidRPr="00527BFD">
        <w:t xml:space="preserve"> </w:t>
      </w:r>
      <w:r w:rsidR="003768A7" w:rsidRPr="00527BFD">
        <w:t xml:space="preserve">group open label non-inferiority trial. was conducted in in HIV-1, antiretroviral therapy-naïve adult subjects. It aimed to assess to the antiviral activity of switching to </w:t>
      </w:r>
      <w:r w:rsidR="00FD52A9" w:rsidRPr="00527BFD">
        <w:t>cabotegravir</w:t>
      </w:r>
      <w:r w:rsidR="003768A7" w:rsidRPr="00527BFD">
        <w:t xml:space="preserve"> LA in combination with </w:t>
      </w:r>
      <w:proofErr w:type="spellStart"/>
      <w:r w:rsidR="002B70E6" w:rsidRPr="00527BFD">
        <w:t>rilpivirine</w:t>
      </w:r>
      <w:proofErr w:type="spellEnd"/>
      <w:r w:rsidR="003768A7" w:rsidRPr="00527BFD">
        <w:t xml:space="preserve"> LA compared with remaining on a combined antiretroviral regimen being ABC/DTG/3TC (abacavir/dolutegravir/lamivudine</w:t>
      </w:r>
      <w:r w:rsidR="00841D49">
        <w:t xml:space="preserve"> combination therapy</w:t>
      </w:r>
      <w:r w:rsidR="003768A7" w:rsidRPr="00527BFD">
        <w:t>) over 48 weeks.</w:t>
      </w:r>
    </w:p>
    <w:p w14:paraId="330AEEF3" w14:textId="6A899589" w:rsidR="003768A7" w:rsidRPr="00527BFD" w:rsidRDefault="003768A7" w:rsidP="00BB4257">
      <w:r w:rsidRPr="00527BFD">
        <w:t xml:space="preserve">Assessments were also made at </w:t>
      </w:r>
      <w:r w:rsidR="00E57026" w:rsidRPr="00527BFD">
        <w:t xml:space="preserve">Week </w:t>
      </w:r>
      <w:r w:rsidRPr="00527BFD">
        <w:t>96, and of those participants on ABC/DTG/</w:t>
      </w:r>
      <w:r w:rsidR="0022470C">
        <w:t>3</w:t>
      </w:r>
      <w:r w:rsidRPr="00527BFD">
        <w:t xml:space="preserve">TC at </w:t>
      </w:r>
      <w:r w:rsidR="00E57026" w:rsidRPr="00527BFD">
        <w:t>Week </w:t>
      </w:r>
      <w:r w:rsidRPr="00527BFD">
        <w:t xml:space="preserve">100, they were given the option to switch to </w:t>
      </w:r>
      <w:r w:rsidR="00FD52A9" w:rsidRPr="00527BFD">
        <w:t>cabotegravir</w:t>
      </w:r>
      <w:r w:rsidRPr="00527BFD">
        <w:t>/</w:t>
      </w:r>
      <w:proofErr w:type="spellStart"/>
      <w:r w:rsidR="002B70E6" w:rsidRPr="00527BFD">
        <w:t>rilpivirine</w:t>
      </w:r>
      <w:proofErr w:type="spellEnd"/>
      <w:r w:rsidRPr="00527BFD">
        <w:t xml:space="preserve"> with or without an oral lead</w:t>
      </w:r>
      <w:r w:rsidR="00665CD8" w:rsidRPr="00527BFD">
        <w:t>-</w:t>
      </w:r>
      <w:r w:rsidRPr="00527BFD">
        <w:t>in</w:t>
      </w:r>
      <w:r w:rsidR="00E57026" w:rsidRPr="00527BFD">
        <w:t xml:space="preserve"> </w:t>
      </w:r>
      <w:r w:rsidRPr="00527BFD">
        <w:t>(</w:t>
      </w:r>
      <w:r w:rsidR="00E57026" w:rsidRPr="00527BFD">
        <w:t>extension switch phase</w:t>
      </w:r>
      <w:r w:rsidRPr="00527BFD">
        <w:t>)</w:t>
      </w:r>
      <w:r w:rsidR="00E57026" w:rsidRPr="00527BFD">
        <w:t xml:space="preserve"> (see </w:t>
      </w:r>
      <w:r w:rsidRPr="00527BFD">
        <w:t xml:space="preserve">Figure 7 </w:t>
      </w:r>
      <w:r w:rsidR="00E57026" w:rsidRPr="00527BFD">
        <w:t>below for the study design)</w:t>
      </w:r>
      <w:r w:rsidRPr="00527BFD">
        <w:t>.</w:t>
      </w:r>
    </w:p>
    <w:p w14:paraId="023D4F61" w14:textId="2BA1599F" w:rsidR="003768A7" w:rsidRPr="0025423A" w:rsidRDefault="00E57026" w:rsidP="0025423A">
      <w:pPr>
        <w:pStyle w:val="FigureTitle"/>
      </w:pPr>
      <w:r w:rsidRPr="0025423A">
        <w:lastRenderedPageBreak/>
        <w:t xml:space="preserve">Figure </w:t>
      </w:r>
      <w:r w:rsidR="00234D1A">
        <w:fldChar w:fldCharType="begin"/>
      </w:r>
      <w:r w:rsidR="00234D1A">
        <w:instrText xml:space="preserve"> SEQ Figure \* ARABIC </w:instrText>
      </w:r>
      <w:r w:rsidR="00234D1A">
        <w:fldChar w:fldCharType="separate"/>
      </w:r>
      <w:r w:rsidR="001702C9">
        <w:rPr>
          <w:noProof/>
        </w:rPr>
        <w:t>8</w:t>
      </w:r>
      <w:r w:rsidR="00234D1A">
        <w:rPr>
          <w:noProof/>
        </w:rPr>
        <w:fldChar w:fldCharType="end"/>
      </w:r>
      <w:r w:rsidRPr="0025423A">
        <w:t>:</w:t>
      </w:r>
      <w:r w:rsidR="003768A7" w:rsidRPr="0025423A">
        <w:t xml:space="preserve"> </w:t>
      </w:r>
      <w:r w:rsidR="00AC3147" w:rsidRPr="0025423A">
        <w:t xml:space="preserve">Study </w:t>
      </w:r>
      <w:r w:rsidR="003768A7" w:rsidRPr="0025423A">
        <w:t>201584 (FLAIR</w:t>
      </w:r>
      <w:r w:rsidR="002B70E6" w:rsidRPr="0025423A">
        <w:t xml:space="preserve"> trial</w:t>
      </w:r>
      <w:r w:rsidR="003768A7" w:rsidRPr="0025423A">
        <w:t xml:space="preserve">) Study </w:t>
      </w:r>
      <w:r w:rsidR="00AC3147" w:rsidRPr="0025423A">
        <w:t>design</w:t>
      </w:r>
    </w:p>
    <w:p w14:paraId="4019E480" w14:textId="470F57CF" w:rsidR="00A26814" w:rsidRDefault="00A26814" w:rsidP="00A26814">
      <w:r>
        <w:rPr>
          <w:noProof/>
          <w:lang w:val="en-GB" w:eastAsia="en-GB"/>
        </w:rPr>
        <w:drawing>
          <wp:inline distT="0" distB="0" distL="0" distR="0" wp14:anchorId="52AF25EC" wp14:editId="55073EFA">
            <wp:extent cx="5400040" cy="2465705"/>
            <wp:effectExtent l="0" t="0" r="0" b="0"/>
            <wp:docPr id="3" name="Picture 3" descr="Figure 8: Study 201584 (FLAIR trial) Study design&#10;&#10;Study 201584 is a Phase III, multiphase, randomised, open label, active controlled, multicenter, parallel group, non-inferiority study in human immunodeficiency virus type 1 (HIV-1), antiretroviral therapy naïve adult participants.&#10;&#10;Participants who fulfill eligibility requirements will enrol into the induction phase of the study and receive abacavir / dolutegravir / lamivudine (ABC/DTG/3TC) for 20 weeks (from Week -20 to Day 1).&#10;&#10;Participants who have an HIV-1 ribonucleic acid less than 50 c/mL at Week -4 will be randomised 1:1 into the maintenance phase at Day 1 to either continue ABC/DTG/3TC or to discontinue ABC/DTG/3TC and begin oral therapy with cabotegravir 30 mg plus rilpivirine 25 mg once daily. Participants who are not eligible to continue into the maintenance phase will be withdrawn from the study.&#10;&#10;At the Week 4a visit, assessments will be performed. At visit Week 4b, participants will return to the clinic, take the last dose of oral cabotegravir plus rilpivirine, and receive the first cabotegravir long acting (600 mg) plus rilpivirine long acting (900 mg) injections. &#10;&#10;The second and third intramuscular injections (cabotegravir long acting 400 mg plus rilpivirine long acting 600 mg) will be performed at Weeks 8 and 12. Subsequent injections will occur every 4 weeks thereafter, with a plus or minus 7 day dosing window being allowed (but not preferred).&#10;&#10;Participants randomised to ABC/DTG/3TC during the maintenance phase will continue ABC/DTG/3TC for at least an additional 100 weeks. Participants who successfully complete Week 100 will be given the option to switch to the long acting arm in the extension phase or be withdrawn from the study.&#10;&#10;Any participant who receives at least a single dose of cabotegravir long acting and/or rilpivirine long acting and discontinues the cabotegravir long acting plus rilpivirine long acting regimen for any reason will enter a 52 week long term follow up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8: Study 201584 (FLAIR trial) Study design&#10;&#10;Study 201584 is a Phase III, multiphase, randomised, open label, active controlled, multicenter, parallel group, non-inferiority study in human immunodeficiency virus type 1 (HIV-1), antiretroviral therapy naïve adult participants.&#10;&#10;Participants who fulfill eligibility requirements will enrol into the induction phase of the study and receive abacavir / dolutegravir / lamivudine (ABC/DTG/3TC) for 20 weeks (from Week -20 to Day 1).&#10;&#10;Participants who have an HIV-1 ribonucleic acid less than 50 c/mL at Week -4 will be randomised 1:1 into the maintenance phase at Day 1 to either continue ABC/DTG/3TC or to discontinue ABC/DTG/3TC and begin oral therapy with cabotegravir 30 mg plus rilpivirine 25 mg once daily. Participants who are not eligible to continue into the maintenance phase will be withdrawn from the study.&#10;&#10;At the Week 4a visit, assessments will be performed. At visit Week 4b, participants will return to the clinic, take the last dose of oral cabotegravir plus rilpivirine, and receive the first cabotegravir long acting (600 mg) plus rilpivirine long acting (900 mg) injections. &#10;&#10;The second and third intramuscular injections (cabotegravir long acting 400 mg plus rilpivirine long acting 600 mg) will be performed at Weeks 8 and 12. Subsequent injections will occur every 4 weeks thereafter, with a plus or minus 7 day dosing window being allowed (but not preferred).&#10;&#10;Participants randomised to ABC/DTG/3TC during the maintenance phase will continue ABC/DTG/3TC for at least an additional 100 weeks. Participants who successfully complete Week 100 will be given the option to switch to the long acting arm in the extension phase or be withdrawn from the study.&#10;&#10;Any participant who receives at least a single dose of cabotegravir long acting and/or rilpivirine long acting and discontinues the cabotegravir long acting plus rilpivirine long acting regimen for any reason will enter a 52 week long term follow up phase."/>
                    <pic:cNvPicPr/>
                  </pic:nvPicPr>
                  <pic:blipFill>
                    <a:blip r:embed="rId31"/>
                    <a:stretch>
                      <a:fillRect/>
                    </a:stretch>
                  </pic:blipFill>
                  <pic:spPr>
                    <a:xfrm>
                      <a:off x="0" y="0"/>
                      <a:ext cx="5400040" cy="2465705"/>
                    </a:xfrm>
                    <a:prstGeom prst="rect">
                      <a:avLst/>
                    </a:prstGeom>
                  </pic:spPr>
                </pic:pic>
              </a:graphicData>
            </a:graphic>
          </wp:inline>
        </w:drawing>
      </w:r>
    </w:p>
    <w:p w14:paraId="00D6D98B" w14:textId="53949716" w:rsidR="008449C5" w:rsidRPr="00A26814" w:rsidRDefault="00D82DF7" w:rsidP="00A26814">
      <w:pPr>
        <w:pStyle w:val="FigureDescription"/>
      </w:pPr>
      <w:r w:rsidRPr="00A26814">
        <w:t xml:space="preserve">Abbreviations: ABC/DTG/3TC = abacavir/dolutegravir/lamivudine; CAB = cabotegravir; </w:t>
      </w:r>
      <w:r w:rsidR="008449C5" w:rsidRPr="00A26814">
        <w:t>HIV-1 =</w:t>
      </w:r>
      <w:r w:rsidR="00342B4E" w:rsidRPr="00A26814">
        <w:t xml:space="preserve"> </w:t>
      </w:r>
      <w:bookmarkStart w:id="95" w:name="_Hlk116329219"/>
      <w:r w:rsidR="00342B4E" w:rsidRPr="00A26814">
        <w:t>human immunodeficiency virus type 1</w:t>
      </w:r>
      <w:bookmarkEnd w:id="95"/>
      <w:r w:rsidRPr="00A26814">
        <w:t xml:space="preserve">; LA = long-acting; N = number of subjects; </w:t>
      </w:r>
      <w:r w:rsidR="008449C5" w:rsidRPr="00A26814">
        <w:t>RNA =</w:t>
      </w:r>
      <w:r w:rsidR="00342B4E" w:rsidRPr="00A26814">
        <w:t xml:space="preserve"> </w:t>
      </w:r>
      <w:bookmarkStart w:id="96" w:name="_Hlk116329206"/>
      <w:r w:rsidR="004B3F21">
        <w:t>r</w:t>
      </w:r>
      <w:r w:rsidR="00342B4E" w:rsidRPr="00A26814">
        <w:t>ibonucleic acid</w:t>
      </w:r>
      <w:bookmarkEnd w:id="96"/>
      <w:r w:rsidRPr="00A26814">
        <w:t xml:space="preserve">; </w:t>
      </w:r>
      <w:r w:rsidR="008449C5" w:rsidRPr="00A26814">
        <w:t>RPV</w:t>
      </w:r>
      <w:r w:rsidR="008D380A">
        <w:t> </w:t>
      </w:r>
      <w:r w:rsidR="008449C5" w:rsidRPr="00A26814">
        <w:t>=</w:t>
      </w:r>
      <w:r w:rsidR="008D380A">
        <w:t> </w:t>
      </w:r>
      <w:proofErr w:type="spellStart"/>
      <w:r w:rsidR="00342B4E" w:rsidRPr="00A26814">
        <w:t>rilpivirine</w:t>
      </w:r>
      <w:proofErr w:type="spellEnd"/>
      <w:r w:rsidRPr="00A26814">
        <w:t xml:space="preserve">; </w:t>
      </w:r>
      <w:proofErr w:type="spellStart"/>
      <w:r w:rsidR="008449C5" w:rsidRPr="00A26814">
        <w:t>Wk</w:t>
      </w:r>
      <w:proofErr w:type="spellEnd"/>
      <w:r w:rsidR="008449C5" w:rsidRPr="00A26814">
        <w:t xml:space="preserve"> =</w:t>
      </w:r>
      <w:r w:rsidR="00342B4E" w:rsidRPr="00A26814">
        <w:t xml:space="preserve"> Week</w:t>
      </w:r>
      <w:r w:rsidRPr="00A26814">
        <w:t>.</w:t>
      </w:r>
    </w:p>
    <w:p w14:paraId="52C1A16A" w14:textId="4FBECA46" w:rsidR="00A26814" w:rsidRPr="00A26814" w:rsidRDefault="00A26814" w:rsidP="00A26814">
      <w:pPr>
        <w:pStyle w:val="FigureDescription"/>
      </w:pPr>
      <w:r w:rsidRPr="00A26814">
        <w:t>† Optional switch to CAB LA plus RPV LA at Week 100 for subjects randomised to ABC/DTG/3TC.</w:t>
      </w:r>
    </w:p>
    <w:p w14:paraId="695A43FC" w14:textId="11770349" w:rsidR="00A26814" w:rsidRPr="00A26814" w:rsidRDefault="00A26814" w:rsidP="00A26814">
      <w:pPr>
        <w:pStyle w:val="FigureDescription"/>
      </w:pPr>
      <w:r w:rsidRPr="00A26814">
        <w:t>¥ Subjects who withdraw from intramuscular CAB LA plus RPV LA treatment must enter the 52-week long term follow up phase.</w:t>
      </w:r>
    </w:p>
    <w:p w14:paraId="351A673B" w14:textId="77777777" w:rsidR="00665CD8" w:rsidRPr="00527BFD" w:rsidRDefault="003768A7" w:rsidP="00BB4257">
      <w:r w:rsidRPr="00527BFD">
        <w:t>The aims of the extension switch study were to</w:t>
      </w:r>
      <w:r w:rsidR="00665CD8" w:rsidRPr="00527BFD">
        <w:t>:</w:t>
      </w:r>
    </w:p>
    <w:p w14:paraId="4862033B" w14:textId="77777777" w:rsidR="00665CD8" w:rsidRPr="00527BFD" w:rsidRDefault="003768A7" w:rsidP="00665CD8">
      <w:pPr>
        <w:pStyle w:val="ListBullet"/>
      </w:pPr>
      <w:r w:rsidRPr="00527BFD">
        <w:t>evaluate the antiviral and immunologic effects, safety and tolerability for subjects switching from ABC/DTG/3TC (</w:t>
      </w:r>
      <w:r w:rsidR="005C62ED" w:rsidRPr="00527BFD">
        <w:t>combined antiretroviral regimen</w:t>
      </w:r>
      <w:r w:rsidRPr="00527BFD">
        <w:t>)</w:t>
      </w:r>
      <w:r w:rsidR="005F0BCE" w:rsidRPr="00527BFD">
        <w:t xml:space="preserve"> </w:t>
      </w:r>
      <w:r w:rsidRPr="00527BFD">
        <w:t xml:space="preserve">to </w:t>
      </w:r>
      <w:r w:rsidR="00FD52A9" w:rsidRPr="00527BFD">
        <w:t>cabotegravir</w:t>
      </w:r>
      <w:r w:rsidRPr="00527BFD">
        <w:t xml:space="preserve"> </w:t>
      </w:r>
      <w:r w:rsidR="00AE677C" w:rsidRPr="00527BFD">
        <w:t>plus</w:t>
      </w:r>
      <w:r w:rsidRPr="00527BFD">
        <w:t xml:space="preserve"> </w:t>
      </w:r>
      <w:proofErr w:type="spellStart"/>
      <w:r w:rsidR="002B70E6" w:rsidRPr="00527BFD">
        <w:t>rilpivirine</w:t>
      </w:r>
      <w:proofErr w:type="spellEnd"/>
      <w:r w:rsidRPr="00527BFD">
        <w:t xml:space="preserve"> in the </w:t>
      </w:r>
      <w:r w:rsidR="00AE677C" w:rsidRPr="00527BFD">
        <w:t>extension phase</w:t>
      </w:r>
      <w:r w:rsidRPr="00527BFD">
        <w:t>, with and without oral lead-in</w:t>
      </w:r>
      <w:r w:rsidR="00665CD8" w:rsidRPr="00527BFD">
        <w:t>,</w:t>
      </w:r>
      <w:r w:rsidRPr="00527BFD">
        <w:t xml:space="preserve"> and</w:t>
      </w:r>
    </w:p>
    <w:p w14:paraId="29B98767" w14:textId="488A847C" w:rsidR="003768A7" w:rsidRPr="00527BFD" w:rsidRDefault="003768A7" w:rsidP="00665CD8">
      <w:pPr>
        <w:pStyle w:val="ListBullet"/>
      </w:pPr>
      <w:r w:rsidRPr="00527BFD">
        <w:t xml:space="preserve">evaluate the pharmacokinetics of </w:t>
      </w:r>
      <w:r w:rsidR="00FD52A9" w:rsidRPr="00527BFD">
        <w:t>cabotegravir</w:t>
      </w:r>
      <w:r w:rsidRPr="00527BFD">
        <w:t xml:space="preserve"> and </w:t>
      </w:r>
      <w:proofErr w:type="spellStart"/>
      <w:r w:rsidR="002B70E6" w:rsidRPr="00527BFD">
        <w:t>rilpivirine</w:t>
      </w:r>
      <w:proofErr w:type="spellEnd"/>
      <w:r w:rsidRPr="00527BFD">
        <w:t xml:space="preserve"> in the setting of no </w:t>
      </w:r>
      <w:r w:rsidR="005C62ED" w:rsidRPr="00527BFD">
        <w:t>oral lead-in</w:t>
      </w:r>
      <w:r w:rsidRPr="00527BFD">
        <w:t xml:space="preserve"> for subjects switching from ABC/DTG/3TC to </w:t>
      </w:r>
      <w:r w:rsidR="00FD52A9" w:rsidRPr="00527BFD">
        <w:t>cabotegravir</w:t>
      </w:r>
      <w:r w:rsidRPr="00527BFD">
        <w:t xml:space="preserve"> </w:t>
      </w:r>
      <w:r w:rsidR="00AE677C" w:rsidRPr="00527BFD">
        <w:t>plus</w:t>
      </w:r>
      <w:r w:rsidRPr="00527BFD">
        <w:t xml:space="preserve"> </w:t>
      </w:r>
      <w:proofErr w:type="spellStart"/>
      <w:r w:rsidR="002B70E6" w:rsidRPr="00527BFD">
        <w:t>rilpivirine</w:t>
      </w:r>
      <w:proofErr w:type="spellEnd"/>
      <w:r w:rsidRPr="00527BFD">
        <w:t xml:space="preserve"> in the </w:t>
      </w:r>
      <w:r w:rsidR="00AE677C" w:rsidRPr="00527BFD">
        <w:t>extension phase</w:t>
      </w:r>
      <w:r w:rsidRPr="00527BFD">
        <w:t>.</w:t>
      </w:r>
    </w:p>
    <w:p w14:paraId="18A67AE3" w14:textId="16C811FA" w:rsidR="003768A7" w:rsidRPr="00527BFD" w:rsidRDefault="003768A7" w:rsidP="00BB4257">
      <w:r w:rsidRPr="00527BFD">
        <w:t xml:space="preserve">A total of 232 subjects entered the </w:t>
      </w:r>
      <w:r w:rsidR="00AE677C" w:rsidRPr="00527BFD">
        <w:t>extension phase</w:t>
      </w:r>
      <w:r w:rsidRPr="00527BFD">
        <w:t xml:space="preserve"> and were treated with </w:t>
      </w:r>
      <w:r w:rsidR="00FD52A9" w:rsidRPr="00527BFD">
        <w:t>cabotegravir</w:t>
      </w:r>
      <w:r w:rsidRPr="00527BFD">
        <w:t xml:space="preserve"> </w:t>
      </w:r>
      <w:r w:rsidR="00AE677C" w:rsidRPr="00527BFD">
        <w:t>plus</w:t>
      </w:r>
      <w:r w:rsidRPr="00527BFD">
        <w:t xml:space="preserve"> </w:t>
      </w:r>
      <w:proofErr w:type="spellStart"/>
      <w:r w:rsidR="002B70E6" w:rsidRPr="00527BFD">
        <w:t>rilpivirine</w:t>
      </w:r>
      <w:proofErr w:type="spellEnd"/>
      <w:r w:rsidRPr="00527BFD">
        <w:t xml:space="preserve"> </w:t>
      </w:r>
      <w:r w:rsidR="009F1F1B" w:rsidRPr="009F1F1B">
        <w:t>direct to injection</w:t>
      </w:r>
      <w:r w:rsidRPr="00527BFD">
        <w:t xml:space="preserve"> (n</w:t>
      </w:r>
      <w:r w:rsidR="00754F3F" w:rsidRPr="00527BFD">
        <w:t xml:space="preserve"> = </w:t>
      </w:r>
      <w:r w:rsidRPr="00527BFD">
        <w:t xml:space="preserve">111) or </w:t>
      </w:r>
      <w:r w:rsidR="005C62ED" w:rsidRPr="00527BFD">
        <w:t>oral lead-in</w:t>
      </w:r>
      <w:r w:rsidRPr="00527BFD">
        <w:t xml:space="preserve"> (n</w:t>
      </w:r>
      <w:r w:rsidR="00754F3F" w:rsidRPr="00527BFD">
        <w:t xml:space="preserve"> = </w:t>
      </w:r>
      <w:r w:rsidRPr="00527BFD">
        <w:t>121).</w:t>
      </w:r>
      <w:r w:rsidR="005F0BCE" w:rsidRPr="00527BFD">
        <w:t xml:space="preserve"> </w:t>
      </w:r>
      <w:r w:rsidRPr="00527BFD">
        <w:t xml:space="preserve">At Week 124, 4 (4%) subjects in the </w:t>
      </w:r>
      <w:r w:rsidR="009F1F1B" w:rsidRPr="009F1F1B">
        <w:t>direct to injection</w:t>
      </w:r>
      <w:r w:rsidRPr="00527BFD">
        <w:t xml:space="preserve"> group and 8 (7%) subjects in the </w:t>
      </w:r>
      <w:r w:rsidR="005C62ED" w:rsidRPr="00527BFD">
        <w:t>oral lead-in</w:t>
      </w:r>
      <w:r w:rsidRPr="00527BFD">
        <w:t xml:space="preserve"> group had withdrawn and leaving the remaining 220 subjects in the </w:t>
      </w:r>
      <w:r w:rsidR="00D568D1" w:rsidRPr="00527BFD">
        <w:t>extension switch population</w:t>
      </w:r>
      <w:r w:rsidRPr="00527BFD">
        <w:t>. Most subjects (</w:t>
      </w:r>
      <w:r w:rsidR="00754F3F" w:rsidRPr="00527BFD">
        <w:t xml:space="preserve">more than </w:t>
      </w:r>
      <w:r w:rsidRPr="00527BFD">
        <w:t xml:space="preserve">93% in each group) remained suppressed with HIV-1 </w:t>
      </w:r>
      <w:r w:rsidR="00EE5045" w:rsidRPr="00527BFD">
        <w:t>ribonucleic acid (</w:t>
      </w:r>
      <w:r w:rsidRPr="00527BFD">
        <w:t>RNA</w:t>
      </w:r>
      <w:r w:rsidR="00EE5045" w:rsidRPr="00527BFD">
        <w:t>)</w:t>
      </w:r>
      <w:r w:rsidRPr="00527BFD">
        <w:t xml:space="preserve"> </w:t>
      </w:r>
      <w:r w:rsidR="00754F3F" w:rsidRPr="00527BFD">
        <w:t xml:space="preserve">less than </w:t>
      </w:r>
      <w:r w:rsidRPr="00527BFD">
        <w:t>50 c</w:t>
      </w:r>
      <w:r w:rsidR="008D380A">
        <w:t>opies</w:t>
      </w:r>
      <w:r w:rsidRPr="00527BFD">
        <w:t>/mL in the Week</w:t>
      </w:r>
      <w:r w:rsidR="00665CD8" w:rsidRPr="00527BFD">
        <w:t> </w:t>
      </w:r>
      <w:r w:rsidRPr="00527BFD">
        <w:t xml:space="preserve">124 </w:t>
      </w:r>
      <w:r w:rsidR="00665CD8" w:rsidRPr="00527BFD">
        <w:t xml:space="preserve">snapshot </w:t>
      </w:r>
      <w:r w:rsidRPr="00527BFD">
        <w:t xml:space="preserve">analysis. One (0.9%) subject in the </w:t>
      </w:r>
      <w:r w:rsidR="009F1F1B" w:rsidRPr="009F1F1B">
        <w:t>direct to injection</w:t>
      </w:r>
      <w:r w:rsidRPr="00527BFD">
        <w:t xml:space="preserve"> group and </w:t>
      </w:r>
      <w:r w:rsidR="00066B91" w:rsidRPr="00527BFD">
        <w:t>one</w:t>
      </w:r>
      <w:r w:rsidRPr="00527BFD">
        <w:t xml:space="preserve"> (0.8%) subject in the </w:t>
      </w:r>
      <w:r w:rsidR="005C62ED" w:rsidRPr="00527BFD">
        <w:t>oral lead-in</w:t>
      </w:r>
      <w:r w:rsidRPr="00527BFD">
        <w:t xml:space="preserve"> group had HIV-1 RNA </w:t>
      </w:r>
      <w:r w:rsidR="00FD52A9" w:rsidRPr="00527BFD">
        <w:t xml:space="preserve">is greater than or equal </w:t>
      </w:r>
      <w:r w:rsidR="008D380A">
        <w:t xml:space="preserve">to </w:t>
      </w:r>
      <w:r w:rsidRPr="00527BFD">
        <w:t>50 c</w:t>
      </w:r>
      <w:r w:rsidR="008D380A">
        <w:t>opies</w:t>
      </w:r>
      <w:r w:rsidRPr="00527BFD">
        <w:t xml:space="preserve">/mL at Week 124. This represents 0.9% of the </w:t>
      </w:r>
      <w:r w:rsidR="009F1F1B" w:rsidRPr="009F1F1B">
        <w:t>direct to injection</w:t>
      </w:r>
      <w:r w:rsidRPr="00527BFD">
        <w:t xml:space="preserve"> population and 0.4% of the overall </w:t>
      </w:r>
      <w:r w:rsidR="00066B91" w:rsidRPr="00527BFD">
        <w:t>extension switch population.</w:t>
      </w:r>
      <w:r w:rsidRPr="00527BFD">
        <w:t xml:space="preserve"> Low trough concentrations following </w:t>
      </w:r>
      <w:r w:rsidR="00FD52A9" w:rsidRPr="00527BFD">
        <w:t>cabotegravir</w:t>
      </w:r>
      <w:r w:rsidRPr="00527BFD">
        <w:t xml:space="preserve"> and </w:t>
      </w:r>
      <w:proofErr w:type="spellStart"/>
      <w:r w:rsidR="002B70E6" w:rsidRPr="00527BFD">
        <w:t>rilpivirine</w:t>
      </w:r>
      <w:proofErr w:type="spellEnd"/>
      <w:r w:rsidRPr="00527BFD">
        <w:t xml:space="preserve"> injections preceded </w:t>
      </w:r>
      <w:r w:rsidR="00B83042" w:rsidRPr="00527BFD">
        <w:t>cervicovaginal fluid</w:t>
      </w:r>
      <w:r w:rsidRPr="00527BFD">
        <w:t xml:space="preserve"> in this subject.</w:t>
      </w:r>
    </w:p>
    <w:p w14:paraId="3687ECC7" w14:textId="279118E8" w:rsidR="003768A7" w:rsidRPr="00527BFD" w:rsidRDefault="003768A7" w:rsidP="00BB4257">
      <w:pPr>
        <w:pStyle w:val="Heading6"/>
        <w:rPr>
          <w:rFonts w:eastAsiaTheme="minorHAnsi"/>
        </w:rPr>
      </w:pPr>
      <w:r w:rsidRPr="00527BFD">
        <w:rPr>
          <w:rFonts w:eastAsiaTheme="minorHAnsi"/>
        </w:rPr>
        <w:t>Patient-</w:t>
      </w:r>
      <w:r w:rsidR="00066B91" w:rsidRPr="00527BFD">
        <w:rPr>
          <w:rFonts w:eastAsiaTheme="minorHAnsi"/>
        </w:rPr>
        <w:t>reported outcomes</w:t>
      </w:r>
      <w:r w:rsidR="008D380A">
        <w:rPr>
          <w:rFonts w:eastAsiaTheme="minorHAnsi"/>
        </w:rPr>
        <w:t xml:space="preserve"> across studies</w:t>
      </w:r>
    </w:p>
    <w:p w14:paraId="179370C0" w14:textId="067502C8" w:rsidR="003768A7" w:rsidRPr="00527BFD" w:rsidRDefault="003768A7" w:rsidP="00BB4257">
      <w:r w:rsidRPr="00527BFD">
        <w:t xml:space="preserve">In </w:t>
      </w:r>
      <w:r w:rsidR="00BB0AC1" w:rsidRPr="00527BFD">
        <w:t xml:space="preserve">the HPTN 083 </w:t>
      </w:r>
      <w:r w:rsidRPr="00527BFD">
        <w:t xml:space="preserve">and </w:t>
      </w:r>
      <w:r w:rsidR="00066B91" w:rsidRPr="00527BFD">
        <w:t xml:space="preserve">HPTN </w:t>
      </w:r>
      <w:r w:rsidRPr="00527BFD">
        <w:t xml:space="preserve">084 </w:t>
      </w:r>
      <w:r w:rsidR="00066B91" w:rsidRPr="00527BFD">
        <w:t xml:space="preserve">trials </w:t>
      </w:r>
      <w:r w:rsidRPr="00527BFD">
        <w:t xml:space="preserve">participants attitudes towards </w:t>
      </w:r>
      <w:proofErr w:type="spellStart"/>
      <w:r w:rsidRPr="00527BFD">
        <w:t>PrEP</w:t>
      </w:r>
      <w:proofErr w:type="spellEnd"/>
      <w:r w:rsidRPr="00527BFD">
        <w:t xml:space="preserve"> were assessed at </w:t>
      </w:r>
      <w:r w:rsidR="00066B91" w:rsidRPr="00527BFD">
        <w:t>Baseline</w:t>
      </w:r>
      <w:r w:rsidRPr="00527BFD">
        <w:t xml:space="preserve"> and during the injection phase. In both studies baseline attitudes toward </w:t>
      </w:r>
      <w:proofErr w:type="spellStart"/>
      <w:r w:rsidRPr="00527BFD">
        <w:t>PrEP</w:t>
      </w:r>
      <w:proofErr w:type="spellEnd"/>
      <w:r w:rsidRPr="00527BFD">
        <w:t xml:space="preserve"> were comparable in both treatment groups.</w:t>
      </w:r>
      <w:r w:rsidR="005F0BCE" w:rsidRPr="00527BFD">
        <w:t xml:space="preserve"> </w:t>
      </w:r>
      <w:r w:rsidRPr="00527BFD">
        <w:t xml:space="preserve">In both studies, a greater proportion of study participants in both treatment groups rated the injectable method easier to use compared with </w:t>
      </w:r>
      <w:r w:rsidR="008D380A">
        <w:t xml:space="preserve">the </w:t>
      </w:r>
      <w:r w:rsidRPr="00527BFD">
        <w:t xml:space="preserve">oral </w:t>
      </w:r>
      <w:proofErr w:type="spellStart"/>
      <w:r w:rsidRPr="00527BFD">
        <w:t>PrEP</w:t>
      </w:r>
      <w:proofErr w:type="spellEnd"/>
      <w:r w:rsidRPr="00527BFD">
        <w:t xml:space="preserve"> method.</w:t>
      </w:r>
      <w:r w:rsidR="005F0BCE" w:rsidRPr="00527BFD">
        <w:t xml:space="preserve"> </w:t>
      </w:r>
      <w:r w:rsidRPr="00527BFD">
        <w:t xml:space="preserve">Similar proportions of participants rated both methods as protective against HIV. Nearly half of all study participants in </w:t>
      </w:r>
      <w:r w:rsidR="00BB0AC1" w:rsidRPr="00527BFD">
        <w:t>the HPTN 083 trial</w:t>
      </w:r>
      <w:r w:rsidRPr="00527BFD">
        <w:t xml:space="preserve"> indicated concern with the daily pill requirement with the oral </w:t>
      </w:r>
      <w:proofErr w:type="spellStart"/>
      <w:r w:rsidRPr="00527BFD">
        <w:t>PrEP</w:t>
      </w:r>
      <w:proofErr w:type="spellEnd"/>
      <w:r w:rsidRPr="00527BFD">
        <w:t xml:space="preserve"> method and a greater proportion indicated concerns about </w:t>
      </w:r>
      <w:r w:rsidR="008D380A">
        <w:t xml:space="preserve">the </w:t>
      </w:r>
      <w:r w:rsidRPr="00527BFD">
        <w:t xml:space="preserve">discretion </w:t>
      </w:r>
      <w:r w:rsidR="008D380A">
        <w:t xml:space="preserve">of </w:t>
      </w:r>
      <w:r w:rsidRPr="00527BFD">
        <w:t xml:space="preserve">the oral </w:t>
      </w:r>
      <w:proofErr w:type="spellStart"/>
      <w:r w:rsidRPr="00527BFD">
        <w:t>PrEP</w:t>
      </w:r>
      <w:proofErr w:type="spellEnd"/>
      <w:r w:rsidRPr="00527BFD">
        <w:t xml:space="preserve"> compared to the injectable method.</w:t>
      </w:r>
    </w:p>
    <w:p w14:paraId="1171FB00" w14:textId="13C92466" w:rsidR="003768A7" w:rsidRPr="00527BFD" w:rsidRDefault="003768A7" w:rsidP="00BB4257">
      <w:r w:rsidRPr="00527BFD">
        <w:lastRenderedPageBreak/>
        <w:t xml:space="preserve">In </w:t>
      </w:r>
      <w:r w:rsidR="00CC53B1" w:rsidRPr="00527BFD">
        <w:t>the HPTN 084 trial</w:t>
      </w:r>
      <w:r w:rsidRPr="00527BFD">
        <w:t xml:space="preserve">, overall treatment satisfaction was assessed by asking participants about inconvenience and pain or discomfort experienced with receiving the oral and injectable study medication. For </w:t>
      </w:r>
      <w:r w:rsidR="008D380A">
        <w:t xml:space="preserve">the </w:t>
      </w:r>
      <w:r w:rsidRPr="00527BFD">
        <w:t xml:space="preserve">oral product, 59% of participants in both groups reported </w:t>
      </w:r>
      <w:r w:rsidR="00B6536C" w:rsidRPr="00527BFD">
        <w:t>‘</w:t>
      </w:r>
      <w:r w:rsidRPr="00527BFD">
        <w:t>none</w:t>
      </w:r>
      <w:r w:rsidR="00B6536C" w:rsidRPr="00527BFD">
        <w:t>’</w:t>
      </w:r>
      <w:r w:rsidRPr="00527BFD">
        <w:t xml:space="preserve"> for inconvenience or difficulty in receiving oral medication across all visits, and for </w:t>
      </w:r>
      <w:r w:rsidR="008D380A">
        <w:t xml:space="preserve">the </w:t>
      </w:r>
      <w:r w:rsidRPr="00527BFD">
        <w:t>injectable study product, 68% of participants in both groups reported no inconvenience or difficulty. There were small differences between the groups in participants who reported no pain or discomfort with the injection (</w:t>
      </w:r>
      <w:r w:rsidR="00066B91" w:rsidRPr="00527BFD">
        <w:t xml:space="preserve">43% in </w:t>
      </w:r>
      <w:r w:rsidR="00FD52A9" w:rsidRPr="00527BFD">
        <w:t>cabotegravir</w:t>
      </w:r>
      <w:r w:rsidR="00066B91" w:rsidRPr="00527BFD">
        <w:t xml:space="preserve"> group and</w:t>
      </w:r>
      <w:r w:rsidRPr="00527BFD">
        <w:t xml:space="preserve"> </w:t>
      </w:r>
      <w:r w:rsidR="00066B91" w:rsidRPr="00527BFD">
        <w:t xml:space="preserve">52% in </w:t>
      </w:r>
      <w:r w:rsidRPr="00527BFD">
        <w:t>TDF/</w:t>
      </w:r>
      <w:r w:rsidR="000B10F7" w:rsidRPr="00527BFD">
        <w:t>emtricitabine</w:t>
      </w:r>
      <w:r w:rsidR="00066B91" w:rsidRPr="00527BFD">
        <w:t xml:space="preserve"> group</w:t>
      </w:r>
      <w:r w:rsidRPr="00527BFD">
        <w:t>)</w:t>
      </w:r>
      <w:r w:rsidR="003A1035" w:rsidRPr="00527BFD">
        <w:t>.</w:t>
      </w:r>
    </w:p>
    <w:p w14:paraId="6E12BFE3" w14:textId="193910D0" w:rsidR="003768A7" w:rsidRPr="00527BFD" w:rsidRDefault="003768A7" w:rsidP="00BB4257">
      <w:r w:rsidRPr="00527BFD">
        <w:t xml:space="preserve">In the ÉCLAIR </w:t>
      </w:r>
      <w:r w:rsidR="00B614A4" w:rsidRPr="00527BFD">
        <w:t>trial</w:t>
      </w:r>
      <w:r w:rsidRPr="00527BFD">
        <w:t xml:space="preserve">, participant tolerability was assessed in terms of participant withdrawal from the study due to injection intolerability. During the </w:t>
      </w:r>
      <w:r w:rsidR="00066B91" w:rsidRPr="00527BFD">
        <w:t>injection phase</w:t>
      </w:r>
      <w:r w:rsidRPr="00527BFD">
        <w:t>, 4</w:t>
      </w:r>
      <w:r w:rsidR="00D46635">
        <w:t> </w:t>
      </w:r>
      <w:r w:rsidR="00066B91" w:rsidRPr="00527BFD">
        <w:t>of</w:t>
      </w:r>
      <w:r w:rsidR="00D46635">
        <w:t> </w:t>
      </w:r>
      <w:r w:rsidRPr="00527BFD">
        <w:t xml:space="preserve">94 (4%) participants from the </w:t>
      </w:r>
      <w:r w:rsidR="00FD52A9" w:rsidRPr="00527BFD">
        <w:t>cabotegravir</w:t>
      </w:r>
      <w:r w:rsidRPr="00527BFD">
        <w:t xml:space="preserve"> group withdrew from the study due to injection intolerability compared with no participants in the placebo group. Most participants were satisfied with the </w:t>
      </w:r>
      <w:r w:rsidR="00FD52A9" w:rsidRPr="00527BFD">
        <w:t>cabotegravir</w:t>
      </w:r>
      <w:r w:rsidRPr="00527BFD">
        <w:t xml:space="preserve"> injection at Week 30, report</w:t>
      </w:r>
      <w:r w:rsidR="008D380A">
        <w:t>ing</w:t>
      </w:r>
      <w:r w:rsidRPr="00527BFD">
        <w:t xml:space="preserve"> a willingness to recommend </w:t>
      </w:r>
      <w:r w:rsidR="008D380A">
        <w:t xml:space="preserve">the </w:t>
      </w:r>
      <w:r w:rsidRPr="00527BFD">
        <w:t xml:space="preserve">medication, a willingness to continue with study medication, and were satisfied with the side effects associated with the </w:t>
      </w:r>
      <w:r w:rsidR="00FD52A9" w:rsidRPr="00527BFD">
        <w:t>cabotegravir</w:t>
      </w:r>
      <w:r w:rsidRPr="00527BFD">
        <w:t xml:space="preserve"> injections.</w:t>
      </w:r>
    </w:p>
    <w:p w14:paraId="39D02567" w14:textId="245C16FD" w:rsidR="003768A7" w:rsidRPr="00527BFD" w:rsidRDefault="003768A7" w:rsidP="00BB4257">
      <w:r w:rsidRPr="00527BFD">
        <w:t xml:space="preserve">In the HPTN 077 </w:t>
      </w:r>
      <w:r w:rsidR="00CC53B1" w:rsidRPr="00527BFD">
        <w:t>trial</w:t>
      </w:r>
      <w:r w:rsidRPr="00527BFD">
        <w:t xml:space="preserve">, most participants in the </w:t>
      </w:r>
      <w:r w:rsidR="00FD52A9" w:rsidRPr="00527BFD">
        <w:t>cabotegravir</w:t>
      </w:r>
      <w:r w:rsidRPr="00527BFD">
        <w:t xml:space="preserve"> and placebo groups rated overall acceptability of injections </w:t>
      </w:r>
      <w:r w:rsidR="005F7C07" w:rsidRPr="00527BFD">
        <w:t>using the follow-up acceptability item with a score of 5</w:t>
      </w:r>
      <w:r w:rsidR="00D46635">
        <w:t> </w:t>
      </w:r>
      <w:r w:rsidR="005F7C07" w:rsidRPr="00527BFD">
        <w:t xml:space="preserve">or 6 (5 = somewhat agree, 6 = agree a lot) </w:t>
      </w:r>
      <w:r w:rsidRPr="00527BFD">
        <w:t>across both cohorts. In Cohort</w:t>
      </w:r>
      <w:r w:rsidR="00066B91" w:rsidRPr="00527BFD">
        <w:t>s</w:t>
      </w:r>
      <w:r w:rsidRPr="00527BFD">
        <w:t xml:space="preserve"> 1 and 2, most participants in both groups rated the injections as acceptable at Week</w:t>
      </w:r>
      <w:r w:rsidR="00066B91" w:rsidRPr="00527BFD">
        <w:t>s</w:t>
      </w:r>
      <w:r w:rsidRPr="00527BFD">
        <w:t xml:space="preserve"> 30 and 34, respectively. In the </w:t>
      </w:r>
      <w:r w:rsidR="00FD52A9" w:rsidRPr="00527BFD">
        <w:t>cabotegravir</w:t>
      </w:r>
      <w:r w:rsidRPr="00527BFD">
        <w:t xml:space="preserve"> treatment group, satisfaction with study medication was consistent for the duration of the </w:t>
      </w:r>
      <w:r w:rsidR="00066B91" w:rsidRPr="00527BFD">
        <w:t xml:space="preserve">injection phase with similar </w:t>
      </w:r>
      <w:r w:rsidRPr="00527BFD">
        <w:t>overall scores.</w:t>
      </w:r>
    </w:p>
    <w:p w14:paraId="536F9672" w14:textId="44613645" w:rsidR="003768A7" w:rsidRPr="00527BFD" w:rsidRDefault="003768A7" w:rsidP="00BB4257">
      <w:r w:rsidRPr="00527BFD">
        <w:t xml:space="preserve">In </w:t>
      </w:r>
      <w:r w:rsidR="008D380A">
        <w:t>S</w:t>
      </w:r>
      <w:r w:rsidRPr="00527BFD">
        <w:t xml:space="preserve">tudy 206898, most subjects were much more satisfied with </w:t>
      </w:r>
      <w:r w:rsidR="00FD52A9" w:rsidRPr="00527BFD">
        <w:t>cabotegravir</w:t>
      </w:r>
      <w:r w:rsidRPr="00527BFD">
        <w:t xml:space="preserve"> LA injections compared to tablets administered during the </w:t>
      </w:r>
      <w:r w:rsidR="00066B91" w:rsidRPr="00527BFD">
        <w:t>oral phase of the study.</w:t>
      </w:r>
      <w:r w:rsidRPr="00527BFD">
        <w:t xml:space="preserve"> Considering overall satisfaction, 84% and 87% subjects (score of 1 to 3) reported being willing to recommend the medication and were willing to continue with the study medication, respectively. Tolerability of </w:t>
      </w:r>
      <w:r w:rsidR="00FD52A9" w:rsidRPr="00527BFD">
        <w:t>cabotegravir</w:t>
      </w:r>
      <w:r w:rsidRPr="00527BFD">
        <w:t xml:space="preserve"> LA injections showed that 92% subjects were satisfied with side effects and 78% tolerated the pain</w:t>
      </w:r>
      <w:r w:rsidR="00066B91" w:rsidRPr="00527BFD">
        <w:t xml:space="preserve"> or </w:t>
      </w:r>
      <w:r w:rsidRPr="00527BFD">
        <w:t xml:space="preserve">discomfort (score of 1 to 3). Most subjects (97%) were satisfied with their HIV-prevention treatment. While </w:t>
      </w:r>
      <w:r w:rsidR="00FD52A9" w:rsidRPr="00527BFD">
        <w:t>cabotegravir</w:t>
      </w:r>
      <w:r w:rsidRPr="00527BFD">
        <w:t xml:space="preserve"> injection site pain was common, results suggest subjects experienced a high level of overall satisfaction and preference for a long-acting injectable, with dimensions such as convenience, flexibility, and ease of use as important factors.</w:t>
      </w:r>
    </w:p>
    <w:p w14:paraId="38D32552" w14:textId="12E81203" w:rsidR="003768A7" w:rsidRPr="00527BFD" w:rsidRDefault="003768A7" w:rsidP="00BB4257">
      <w:pPr>
        <w:pStyle w:val="Heading4"/>
      </w:pPr>
      <w:r w:rsidRPr="00527BFD">
        <w:t>Safety</w:t>
      </w:r>
    </w:p>
    <w:p w14:paraId="174B9D06" w14:textId="2FE4C6FD" w:rsidR="003768A7" w:rsidRPr="00527BFD" w:rsidRDefault="003768A7" w:rsidP="00BB4257">
      <w:r w:rsidRPr="00527BFD">
        <w:t xml:space="preserve">Safety data is provided in this submission from the two pivotal studies </w:t>
      </w:r>
      <w:r w:rsidR="00066B91" w:rsidRPr="00527BFD">
        <w:t>(</w:t>
      </w:r>
      <w:r w:rsidR="00BB0AC1" w:rsidRPr="00527BFD">
        <w:t xml:space="preserve">the HPTN 083 </w:t>
      </w:r>
      <w:r w:rsidRPr="00527BFD">
        <w:t xml:space="preserve">and </w:t>
      </w:r>
      <w:r w:rsidR="00CC53B1" w:rsidRPr="00527BFD">
        <w:t>HPTN</w:t>
      </w:r>
      <w:r w:rsidR="00D46635">
        <w:t> </w:t>
      </w:r>
      <w:r w:rsidR="00CC53B1" w:rsidRPr="00527BFD">
        <w:t>084 trial</w:t>
      </w:r>
      <w:r w:rsidR="00066B91" w:rsidRPr="00527BFD">
        <w:t>s)</w:t>
      </w:r>
      <w:r w:rsidRPr="00527BFD">
        <w:t xml:space="preserve">, the two supportive studies </w:t>
      </w:r>
      <w:r w:rsidR="00066B91" w:rsidRPr="00527BFD">
        <w:t>(</w:t>
      </w:r>
      <w:r w:rsidR="00CC53B1" w:rsidRPr="00527BFD">
        <w:t xml:space="preserve">the HPTN 077 </w:t>
      </w:r>
      <w:r w:rsidRPr="00527BFD">
        <w:t xml:space="preserve">and </w:t>
      </w:r>
      <w:r w:rsidR="00C47CC3" w:rsidRPr="00527BFD">
        <w:t>ÉCLAIR</w:t>
      </w:r>
      <w:r w:rsidR="00066B91" w:rsidRPr="00527BFD">
        <w:t xml:space="preserve"> trials)</w:t>
      </w:r>
      <w:r w:rsidRPr="00527BFD">
        <w:t xml:space="preserve">, </w:t>
      </w:r>
      <w:r w:rsidR="00066B91" w:rsidRPr="00527BFD">
        <w:t>Study</w:t>
      </w:r>
      <w:r w:rsidR="008D380A">
        <w:t> </w:t>
      </w:r>
      <w:r w:rsidRPr="00527BFD">
        <w:t xml:space="preserve">206898, and 2 other studies </w:t>
      </w:r>
      <w:r w:rsidR="00066B91" w:rsidRPr="00527BFD">
        <w:t>(</w:t>
      </w:r>
      <w:r w:rsidRPr="00527BFD">
        <w:t>the FLAIR</w:t>
      </w:r>
      <w:r w:rsidR="002B70E6" w:rsidRPr="00527BFD">
        <w:t xml:space="preserve"> trial</w:t>
      </w:r>
      <w:r w:rsidRPr="00527BFD">
        <w:t xml:space="preserve"> </w:t>
      </w:r>
      <w:r w:rsidR="00066B91" w:rsidRPr="00527BFD">
        <w:t xml:space="preserve">Week </w:t>
      </w:r>
      <w:r w:rsidRPr="00527BFD">
        <w:t xml:space="preserve">96 and extension phases, and </w:t>
      </w:r>
      <w:r w:rsidR="00C47CC3" w:rsidRPr="00527BFD">
        <w:t xml:space="preserve">the MOCHA trial) </w:t>
      </w:r>
      <w:r w:rsidRPr="00527BFD">
        <w:t xml:space="preserve">provided safety data for the use of </w:t>
      </w:r>
      <w:r w:rsidR="00FD52A9" w:rsidRPr="00527BFD">
        <w:t>cabotegravir</w:t>
      </w:r>
      <w:r w:rsidRPr="00527BFD">
        <w:t xml:space="preserve"> tablets and </w:t>
      </w:r>
      <w:r w:rsidR="00BB7D88" w:rsidRPr="00BB7D88">
        <w:t xml:space="preserve">long-acting </w:t>
      </w:r>
      <w:r w:rsidR="00BB7D88">
        <w:t>(</w:t>
      </w:r>
      <w:r w:rsidRPr="00527BFD">
        <w:t>LA</w:t>
      </w:r>
      <w:r w:rsidR="00BB7D88">
        <w:t>)</w:t>
      </w:r>
      <w:r w:rsidRPr="00527BFD">
        <w:t xml:space="preserve"> extended</w:t>
      </w:r>
      <w:r w:rsidR="00F25AFD">
        <w:noBreakHyphen/>
      </w:r>
      <w:r w:rsidRPr="00527BFD">
        <w:t xml:space="preserve">release injection for </w:t>
      </w:r>
      <w:proofErr w:type="spellStart"/>
      <w:r w:rsidRPr="00527BFD">
        <w:t>PrEP</w:t>
      </w:r>
      <w:proofErr w:type="spellEnd"/>
      <w:r w:rsidRPr="00527BFD">
        <w:t xml:space="preserve"> to reduce risk of sexually acquired HIV-1 infection in at-risk individuals. Summary of safety data from </w:t>
      </w:r>
      <w:r w:rsidR="00FD52A9" w:rsidRPr="00527BFD">
        <w:t>cabotegravir</w:t>
      </w:r>
      <w:r w:rsidR="00AE677C" w:rsidRPr="00527BFD">
        <w:t xml:space="preserve"> plus</w:t>
      </w:r>
      <w:r w:rsidR="002B70E6" w:rsidRPr="00527BFD">
        <w:t xml:space="preserve"> </w:t>
      </w:r>
      <w:proofErr w:type="spellStart"/>
      <w:r w:rsidR="002B70E6" w:rsidRPr="00527BFD">
        <w:t>rilpivirine</w:t>
      </w:r>
      <w:proofErr w:type="spellEnd"/>
      <w:r w:rsidRPr="00527BFD">
        <w:t xml:space="preserve"> treatment in HIV-infected people already evaluated as part of </w:t>
      </w:r>
      <w:r w:rsidR="00C47CC3" w:rsidRPr="00527BFD">
        <w:t xml:space="preserve">Submission </w:t>
      </w:r>
      <w:r w:rsidRPr="00527BFD">
        <w:t>PM-2019-04281-1-2</w:t>
      </w:r>
      <w:r w:rsidR="008D380A">
        <w:t>;</w:t>
      </w:r>
      <w:r w:rsidR="008D380A">
        <w:rPr>
          <w:vertAlign w:val="superscript"/>
        </w:rPr>
        <w:fldChar w:fldCharType="begin"/>
      </w:r>
      <w:r w:rsidR="008D380A">
        <w:rPr>
          <w:vertAlign w:val="superscript"/>
        </w:rPr>
        <w:instrText xml:space="preserve"> NOTEREF _Ref119672096 \h  \* MERGEFORMAT </w:instrText>
      </w:r>
      <w:r w:rsidR="008D380A">
        <w:rPr>
          <w:vertAlign w:val="superscript"/>
        </w:rPr>
      </w:r>
      <w:r w:rsidR="008D380A">
        <w:rPr>
          <w:vertAlign w:val="superscript"/>
        </w:rPr>
        <w:fldChar w:fldCharType="separate"/>
      </w:r>
      <w:r w:rsidR="001702C9">
        <w:rPr>
          <w:vertAlign w:val="superscript"/>
        </w:rPr>
        <w:t>9</w:t>
      </w:r>
      <w:r w:rsidR="008D380A">
        <w:rPr>
          <w:vertAlign w:val="superscript"/>
        </w:rPr>
        <w:fldChar w:fldCharType="end"/>
      </w:r>
      <w:r w:rsidRPr="00527BFD">
        <w:t xml:space="preserve"> also provided safety data for </w:t>
      </w:r>
      <w:r w:rsidR="00FD52A9" w:rsidRPr="00527BFD">
        <w:t>cabotegravir</w:t>
      </w:r>
      <w:r w:rsidRPr="00527BFD">
        <w:t xml:space="preserve"> tablets and injections. Previous evaluations have not identified any significant safety issue of concern.</w:t>
      </w:r>
    </w:p>
    <w:p w14:paraId="34D4700A" w14:textId="77777777" w:rsidR="003768A7" w:rsidRPr="00527BFD" w:rsidRDefault="003768A7" w:rsidP="00BB4257">
      <w:pPr>
        <w:pStyle w:val="Heading5"/>
        <w:rPr>
          <w:lang w:val="en-US"/>
        </w:rPr>
      </w:pPr>
      <w:r w:rsidRPr="00527BFD">
        <w:rPr>
          <w:lang w:val="en-US"/>
        </w:rPr>
        <w:t>Patient exposure</w:t>
      </w:r>
    </w:p>
    <w:p w14:paraId="54DB0174" w14:textId="1408C964" w:rsidR="003768A7" w:rsidRPr="00527BFD" w:rsidRDefault="003768A7" w:rsidP="00BB4257">
      <w:r w:rsidRPr="00527BFD">
        <w:t xml:space="preserve">Study status and safety population in the </w:t>
      </w:r>
      <w:r w:rsidR="00FD52A9" w:rsidRPr="00527BFD">
        <w:t>cabotegravir</w:t>
      </w:r>
      <w:r w:rsidRPr="00527BFD">
        <w:t xml:space="preserve"> groups for the 4 </w:t>
      </w:r>
      <w:r w:rsidR="00FD52A9" w:rsidRPr="00527BFD">
        <w:t>cabotegravir</w:t>
      </w:r>
      <w:r w:rsidRPr="00527BFD">
        <w:t xml:space="preserve"> </w:t>
      </w:r>
      <w:proofErr w:type="spellStart"/>
      <w:r w:rsidRPr="00527BFD">
        <w:t>PrEP</w:t>
      </w:r>
      <w:proofErr w:type="spellEnd"/>
      <w:r w:rsidRPr="00527BFD">
        <w:t xml:space="preserve"> studies described is provided in </w:t>
      </w:r>
      <w:r w:rsidR="00C47CC3" w:rsidRPr="00527BFD">
        <w:fldChar w:fldCharType="begin"/>
      </w:r>
      <w:r w:rsidR="00C47CC3" w:rsidRPr="00527BFD">
        <w:instrText xml:space="preserve"> REF _Ref115890930 \h </w:instrText>
      </w:r>
      <w:r w:rsidR="00527BFD" w:rsidRPr="00527BFD">
        <w:instrText xml:space="preserve"> \* MERGEFORMAT </w:instrText>
      </w:r>
      <w:r w:rsidR="00C47CC3" w:rsidRPr="00527BFD">
        <w:fldChar w:fldCharType="separate"/>
      </w:r>
      <w:r w:rsidR="001702C9" w:rsidRPr="0025423A">
        <w:t xml:space="preserve">Table </w:t>
      </w:r>
      <w:r w:rsidR="001702C9">
        <w:rPr>
          <w:noProof/>
        </w:rPr>
        <w:t>11</w:t>
      </w:r>
      <w:r w:rsidR="00C47CC3" w:rsidRPr="00527BFD">
        <w:fldChar w:fldCharType="end"/>
      </w:r>
      <w:r w:rsidR="00C47CC3" w:rsidRPr="00527BFD">
        <w:t xml:space="preserve"> below</w:t>
      </w:r>
      <w:r w:rsidRPr="00527BFD">
        <w:t xml:space="preserve">. In </w:t>
      </w:r>
      <w:r w:rsidR="00BB0AC1" w:rsidRPr="00527BFD">
        <w:t>the HPTN 083 trial</w:t>
      </w:r>
      <w:r w:rsidRPr="00527BFD">
        <w:t>, overall exposure to study drugs was similar between the 2 groups; the median (range) exposure was 457 (1</w:t>
      </w:r>
      <w:r w:rsidR="00D46635">
        <w:t> </w:t>
      </w:r>
      <w:r w:rsidRPr="00527BFD">
        <w:t>to</w:t>
      </w:r>
      <w:r w:rsidR="00D46635">
        <w:t> </w:t>
      </w:r>
      <w:r w:rsidRPr="00527BFD">
        <w:t xml:space="preserve">1093) days for the </w:t>
      </w:r>
      <w:r w:rsidR="00FD52A9" w:rsidRPr="00527BFD">
        <w:t>cabotegravir</w:t>
      </w:r>
      <w:r w:rsidRPr="00527BFD">
        <w:t xml:space="preserve"> group and 471 (1 to 1131) days for the </w:t>
      </w:r>
      <w:r w:rsidR="00F13517" w:rsidRPr="00527BFD">
        <w:t>tenofovir disoproxil fumarate (</w:t>
      </w:r>
      <w:r w:rsidRPr="00527BFD">
        <w:t>TDF</w:t>
      </w:r>
      <w:r w:rsidR="00F13517" w:rsidRPr="00527BFD">
        <w:t>)</w:t>
      </w:r>
      <w:r w:rsidRPr="00527BFD">
        <w:t>/</w:t>
      </w:r>
      <w:r w:rsidR="000B10F7" w:rsidRPr="00527BFD">
        <w:t>emtricitabine</w:t>
      </w:r>
      <w:r w:rsidRPr="00527BFD">
        <w:t xml:space="preserve"> group. Overall exposure to study drug in </w:t>
      </w:r>
      <w:r w:rsidR="00CC53B1" w:rsidRPr="00527BFD">
        <w:t>the HPTN 084 trial</w:t>
      </w:r>
      <w:r w:rsidRPr="00527BFD">
        <w:t xml:space="preserve"> was similar between the 2 groups; the median (range) exposure (including participants with confirmed pregnancy) was 452.5 (1 to 1072) days for the </w:t>
      </w:r>
      <w:r w:rsidR="00FD52A9" w:rsidRPr="00527BFD">
        <w:t>cabotegravir</w:t>
      </w:r>
      <w:r w:rsidRPr="00527BFD">
        <w:t xml:space="preserve"> </w:t>
      </w:r>
      <w:r w:rsidRPr="00527BFD">
        <w:lastRenderedPageBreak/>
        <w:t>group and 452.5 (1 to 1018) days for the TDF/</w:t>
      </w:r>
      <w:r w:rsidR="000B10F7" w:rsidRPr="00527BFD">
        <w:t>emtricitabine</w:t>
      </w:r>
      <w:r w:rsidRPr="00527BFD">
        <w:t xml:space="preserve"> group.</w:t>
      </w:r>
      <w:r w:rsidR="005F0BCE" w:rsidRPr="00527BFD">
        <w:t xml:space="preserve"> </w:t>
      </w:r>
      <w:r w:rsidRPr="00527BFD">
        <w:t>Cumulatively, 4</w:t>
      </w:r>
      <w:r w:rsidR="00C47CC3" w:rsidRPr="00527BFD">
        <w:t>,</w:t>
      </w:r>
      <w:r w:rsidRPr="00527BFD">
        <w:t>151</w:t>
      </w:r>
      <w:r w:rsidR="00D46635">
        <w:t> </w:t>
      </w:r>
      <w:r w:rsidRPr="00527BFD">
        <w:t xml:space="preserve">individuals up to 5 November 2020 were exposed to </w:t>
      </w:r>
      <w:r w:rsidR="00FD52A9" w:rsidRPr="00527BFD">
        <w:t>cabotegravir</w:t>
      </w:r>
      <w:r w:rsidRPr="00527BFD">
        <w:t xml:space="preserve"> </w:t>
      </w:r>
      <w:proofErr w:type="spellStart"/>
      <w:r w:rsidRPr="00527BFD">
        <w:t>PrEP</w:t>
      </w:r>
      <w:proofErr w:type="spellEnd"/>
      <w:r w:rsidRPr="00527BFD">
        <w:t xml:space="preserve"> in Phase II and III clinical trials (</w:t>
      </w:r>
      <w:r w:rsidR="00C47CC3" w:rsidRPr="00527BFD">
        <w:t xml:space="preserve">see </w:t>
      </w:r>
      <w:r w:rsidR="00C47CC3" w:rsidRPr="00527BFD">
        <w:fldChar w:fldCharType="begin"/>
      </w:r>
      <w:r w:rsidR="00C47CC3" w:rsidRPr="00527BFD">
        <w:instrText xml:space="preserve"> REF _Ref115890990 \h </w:instrText>
      </w:r>
      <w:r w:rsidR="00527BFD" w:rsidRPr="00527BFD">
        <w:instrText xml:space="preserve"> \* MERGEFORMAT </w:instrText>
      </w:r>
      <w:r w:rsidR="00C47CC3" w:rsidRPr="00527BFD">
        <w:fldChar w:fldCharType="separate"/>
      </w:r>
      <w:r w:rsidR="001702C9" w:rsidRPr="0025423A">
        <w:t xml:space="preserve">Table </w:t>
      </w:r>
      <w:r w:rsidR="001702C9">
        <w:rPr>
          <w:noProof/>
        </w:rPr>
        <w:t>12</w:t>
      </w:r>
      <w:r w:rsidR="00C47CC3" w:rsidRPr="00527BFD">
        <w:fldChar w:fldCharType="end"/>
      </w:r>
      <w:r w:rsidR="00C47CC3" w:rsidRPr="00527BFD">
        <w:t xml:space="preserve"> below</w:t>
      </w:r>
      <w:r w:rsidRPr="00527BFD">
        <w:t>)</w:t>
      </w:r>
      <w:r w:rsidR="003A1035" w:rsidRPr="00527BFD">
        <w:t>.</w:t>
      </w:r>
    </w:p>
    <w:p w14:paraId="02A60F95" w14:textId="7FC96FC6" w:rsidR="003768A7" w:rsidRPr="0025423A" w:rsidRDefault="00C47CC3" w:rsidP="0025423A">
      <w:pPr>
        <w:pStyle w:val="TableTitle"/>
      </w:pPr>
      <w:bookmarkStart w:id="97" w:name="_Ref115890930"/>
      <w:r w:rsidRPr="0025423A">
        <w:t xml:space="preserve">Table </w:t>
      </w:r>
      <w:r w:rsidR="00234D1A">
        <w:fldChar w:fldCharType="begin"/>
      </w:r>
      <w:r w:rsidR="00234D1A">
        <w:instrText xml:space="preserve"> SEQ Table \* ARA</w:instrText>
      </w:r>
      <w:r w:rsidR="00234D1A">
        <w:instrText xml:space="preserve">BIC </w:instrText>
      </w:r>
      <w:r w:rsidR="00234D1A">
        <w:fldChar w:fldCharType="separate"/>
      </w:r>
      <w:r w:rsidR="001702C9">
        <w:rPr>
          <w:noProof/>
        </w:rPr>
        <w:t>11</w:t>
      </w:r>
      <w:r w:rsidR="00234D1A">
        <w:rPr>
          <w:noProof/>
        </w:rPr>
        <w:fldChar w:fldCharType="end"/>
      </w:r>
      <w:bookmarkEnd w:id="97"/>
      <w:r w:rsidRPr="0025423A">
        <w:t>:</w:t>
      </w:r>
      <w:r w:rsidR="003768A7" w:rsidRPr="0025423A">
        <w:t xml:space="preserve"> </w:t>
      </w:r>
      <w:r w:rsidR="009A451A" w:rsidRPr="0025423A">
        <w:t>Study 201738 (HPTN 083 trial), Study 201739 (HPTN 084 trial), Study</w:t>
      </w:r>
      <w:r w:rsidR="008D380A" w:rsidRPr="0025423A">
        <w:t> </w:t>
      </w:r>
      <w:r w:rsidR="009A451A" w:rsidRPr="0025423A">
        <w:t>201120 (ÉCLAIR trial) and Study 201103 (HPTN 077 trial)</w:t>
      </w:r>
      <w:r w:rsidR="002D66CB" w:rsidRPr="0025423A">
        <w:t>;</w:t>
      </w:r>
      <w:r w:rsidR="009A451A" w:rsidRPr="0025423A">
        <w:t xml:space="preserve"> </w:t>
      </w:r>
      <w:r w:rsidR="008D380A" w:rsidRPr="0025423A">
        <w:t>c</w:t>
      </w:r>
      <w:r w:rsidR="00FD52A9" w:rsidRPr="0025423A">
        <w:t>abotegravir</w:t>
      </w:r>
      <w:r w:rsidR="003768A7" w:rsidRPr="0025423A">
        <w:t xml:space="preserve"> </w:t>
      </w:r>
      <w:r w:rsidR="009F1F1B" w:rsidRPr="0025423A">
        <w:t>pre</w:t>
      </w:r>
      <w:r w:rsidR="008D380A" w:rsidRPr="0025423A">
        <w:noBreakHyphen/>
      </w:r>
      <w:r w:rsidR="009F1F1B" w:rsidRPr="0025423A">
        <w:t xml:space="preserve">exposure prophylaxis study status and </w:t>
      </w:r>
      <w:r w:rsidR="002D66CB" w:rsidRPr="0025423A">
        <w:t xml:space="preserve">size </w:t>
      </w:r>
      <w:r w:rsidR="00D5537E">
        <w:t>(</w:t>
      </w:r>
      <w:r w:rsidR="009F1F1B" w:rsidRPr="0025423A">
        <w:t>safety population</w:t>
      </w:r>
      <w:r w:rsidR="00D5537E">
        <w:t>)</w:t>
      </w:r>
    </w:p>
    <w:p w14:paraId="4B306794" w14:textId="61BC9C93" w:rsidR="00A31150" w:rsidRDefault="00A31150" w:rsidP="00D82DF7">
      <w:r>
        <w:rPr>
          <w:noProof/>
          <w:lang w:val="en-GB" w:eastAsia="en-GB"/>
        </w:rPr>
        <w:drawing>
          <wp:inline distT="0" distB="0" distL="0" distR="0" wp14:anchorId="7ABC241C" wp14:editId="1D093112">
            <wp:extent cx="5400040" cy="1816768"/>
            <wp:effectExtent l="0" t="0" r="0" b="0"/>
            <wp:docPr id="32" name="Picture 32" descr="Table 11: Study 201738 (HPTN 083 trial), Study 201739 (HPTN 084 trial), Study 201120 (ÉCLAIR trial) and Study 201103 (HPTN 077 trial); cabotegravir pre exposure prophylaxis study status and siz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11: Study 201738 (HPTN 083 trial), Study 201739 (HPTN 084 trial), Study 201120 (ÉCLAIR trial) and Study 201103 (HPTN 077 trial); cabotegravir pre exposure prophylaxis study status and size (safety population)"/>
                    <pic:cNvPicPr/>
                  </pic:nvPicPr>
                  <pic:blipFill>
                    <a:blip r:embed="rId32"/>
                    <a:stretch>
                      <a:fillRect/>
                    </a:stretch>
                  </pic:blipFill>
                  <pic:spPr>
                    <a:xfrm>
                      <a:off x="0" y="0"/>
                      <a:ext cx="5404662" cy="1818323"/>
                    </a:xfrm>
                    <a:prstGeom prst="rect">
                      <a:avLst/>
                    </a:prstGeom>
                  </pic:spPr>
                </pic:pic>
              </a:graphicData>
            </a:graphic>
          </wp:inline>
        </w:drawing>
      </w:r>
    </w:p>
    <w:p w14:paraId="575F36CF" w14:textId="03FB42E0" w:rsidR="008449C5" w:rsidRPr="00D82DF7" w:rsidRDefault="00D82DF7" w:rsidP="00D82DF7">
      <w:pPr>
        <w:pStyle w:val="TableDescription"/>
      </w:pPr>
      <w:r w:rsidRPr="00D82DF7">
        <w:t xml:space="preserve">Abbreviations: </w:t>
      </w:r>
      <w:r w:rsidR="008449C5" w:rsidRPr="00D82DF7">
        <w:t>CAB =</w:t>
      </w:r>
      <w:r w:rsidR="001B71F9" w:rsidRPr="00D82DF7">
        <w:t xml:space="preserve"> cabotegravir</w:t>
      </w:r>
      <w:r w:rsidRPr="00D82DF7">
        <w:t xml:space="preserve">; </w:t>
      </w:r>
      <w:r w:rsidR="008449C5" w:rsidRPr="00D82DF7">
        <w:t xml:space="preserve">N = </w:t>
      </w:r>
      <w:r w:rsidR="00342B4E" w:rsidRPr="00D82DF7">
        <w:t>number of subjects</w:t>
      </w:r>
      <w:r w:rsidRPr="00D82DF7">
        <w:t xml:space="preserve">; </w:t>
      </w:r>
      <w:r w:rsidR="008449C5" w:rsidRPr="00D82DF7">
        <w:t xml:space="preserve">n = </w:t>
      </w:r>
      <w:r w:rsidR="00342B4E" w:rsidRPr="00D82DF7">
        <w:t>number of subjects in group</w:t>
      </w:r>
      <w:r w:rsidRPr="00D82DF7">
        <w:t xml:space="preserve">; </w:t>
      </w:r>
      <w:r w:rsidR="008449C5" w:rsidRPr="00D82DF7">
        <w:t>NA =</w:t>
      </w:r>
      <w:r w:rsidR="00342B4E" w:rsidRPr="00D82DF7">
        <w:t xml:space="preserve"> not </w:t>
      </w:r>
      <w:r w:rsidR="00F37923" w:rsidRPr="00D82DF7">
        <w:t>applicable</w:t>
      </w:r>
      <w:r w:rsidRPr="00D82DF7">
        <w:t>.</w:t>
      </w:r>
    </w:p>
    <w:p w14:paraId="0404AB30" w14:textId="77777777" w:rsidR="00A31150" w:rsidRPr="00D82DF7" w:rsidRDefault="00A31150" w:rsidP="00D82DF7">
      <w:pPr>
        <w:pStyle w:val="TableDescription"/>
      </w:pPr>
      <w:r w:rsidRPr="00D82DF7">
        <w:t>a. Ongoing in the study indicates the participant has not terminated or completed the study.</w:t>
      </w:r>
    </w:p>
    <w:p w14:paraId="1CA5F83E" w14:textId="0408318E" w:rsidR="00A31150" w:rsidRPr="00D82DF7" w:rsidRDefault="00A31150" w:rsidP="00D82DF7">
      <w:pPr>
        <w:pStyle w:val="TableDescription"/>
      </w:pPr>
      <w:r w:rsidRPr="00D82DF7">
        <w:t>b. Completed the study indicates a participant has seroconverted or has entered Step 3 after reaching Week 145 visit and was subsequently followed for 48 weeks in Step 3 without prior</w:t>
      </w:r>
      <w:r w:rsidR="00D82DF7">
        <w:t xml:space="preserve"> </w:t>
      </w:r>
      <w:r w:rsidR="00D82DF7" w:rsidRPr="00D82DF7">
        <w:t xml:space="preserve">investigational product </w:t>
      </w:r>
      <w:r w:rsidR="00D82DF7">
        <w:t>(</w:t>
      </w:r>
      <w:r w:rsidRPr="00D82DF7">
        <w:t>IP</w:t>
      </w:r>
      <w:r w:rsidR="00D82DF7">
        <w:t>)</w:t>
      </w:r>
      <w:r w:rsidRPr="00D82DF7">
        <w:t xml:space="preserve"> discontinuation or study termination or has entered Step 3 after discontinuation of IP and was subsequently followed for 48 weeks and was followed for a total of 3 years from </w:t>
      </w:r>
      <w:r w:rsidR="00866CBB" w:rsidRPr="00D82DF7">
        <w:t>enrolment</w:t>
      </w:r>
      <w:r w:rsidRPr="00D82DF7">
        <w:t>.</w:t>
      </w:r>
    </w:p>
    <w:p w14:paraId="45A13E9A" w14:textId="635E79DF" w:rsidR="00A31150" w:rsidRPr="00D82DF7" w:rsidRDefault="00A31150" w:rsidP="00D82DF7">
      <w:pPr>
        <w:pStyle w:val="TableDescription"/>
      </w:pPr>
      <w:r w:rsidRPr="00D82DF7">
        <w:t xml:space="preserve">c. Any </w:t>
      </w:r>
      <w:proofErr w:type="spellStart"/>
      <w:r w:rsidRPr="00D82DF7">
        <w:t>seroconverters</w:t>
      </w:r>
      <w:proofErr w:type="spellEnd"/>
      <w:r w:rsidRPr="00D82DF7">
        <w:t xml:space="preserve"> (per site results or </w:t>
      </w:r>
      <w:r w:rsidR="00866CBB" w:rsidRPr="00866CBB">
        <w:t>Endpoint Adjudication Committee</w:t>
      </w:r>
      <w:r w:rsidRPr="00D82DF7">
        <w:t xml:space="preserve">) in Step 1 and </w:t>
      </w:r>
      <w:proofErr w:type="spellStart"/>
      <w:r w:rsidRPr="00D82DF7">
        <w:t>seroconverters</w:t>
      </w:r>
      <w:proofErr w:type="spellEnd"/>
      <w:r w:rsidRPr="00D82DF7">
        <w:t xml:space="preserve"> in Step 2 who have completed 48 weeks of follow-up. No participant reached the Week 185 visit and entered Step 3 in Study</w:t>
      </w:r>
      <w:r w:rsidR="00866CBB">
        <w:t> </w:t>
      </w:r>
      <w:r w:rsidRPr="00D82DF7">
        <w:t>201739.</w:t>
      </w:r>
    </w:p>
    <w:p w14:paraId="55EB6C71" w14:textId="77777777" w:rsidR="00A31150" w:rsidRPr="00D82DF7" w:rsidRDefault="00A31150" w:rsidP="00D82DF7">
      <w:pPr>
        <w:pStyle w:val="TableDescription"/>
      </w:pPr>
      <w:r w:rsidRPr="00D82DF7">
        <w:t>d. Excludes participants who completed the study or who are still ongoing.</w:t>
      </w:r>
    </w:p>
    <w:p w14:paraId="37B06D6B" w14:textId="3B68FA9B" w:rsidR="003768A7" w:rsidRPr="00D82DF7" w:rsidRDefault="00A31150" w:rsidP="00D82DF7">
      <w:pPr>
        <w:pStyle w:val="TableDescription"/>
      </w:pPr>
      <w:r w:rsidRPr="00D82DF7">
        <w:t xml:space="preserve">e. A total of 13 participants (12%) terminated from </w:t>
      </w:r>
      <w:r w:rsidR="00866CBB" w:rsidRPr="00D82DF7">
        <w:t xml:space="preserve">Study </w:t>
      </w:r>
      <w:r w:rsidRPr="00D82DF7">
        <w:t>201120 at Week 41 analysis.</w:t>
      </w:r>
    </w:p>
    <w:p w14:paraId="0A2589D3" w14:textId="45507A63" w:rsidR="003768A7" w:rsidRPr="0025423A" w:rsidRDefault="00C47CC3" w:rsidP="0025423A">
      <w:pPr>
        <w:pStyle w:val="TableTitle"/>
      </w:pPr>
      <w:bookmarkStart w:id="98" w:name="_Ref115890990"/>
      <w:r w:rsidRPr="0025423A">
        <w:lastRenderedPageBreak/>
        <w:t xml:space="preserve">Table </w:t>
      </w:r>
      <w:r w:rsidR="00234D1A">
        <w:fldChar w:fldCharType="begin"/>
      </w:r>
      <w:r w:rsidR="00234D1A">
        <w:instrText xml:space="preserve"> SEQ Table \* ARABIC </w:instrText>
      </w:r>
      <w:r w:rsidR="00234D1A">
        <w:fldChar w:fldCharType="separate"/>
      </w:r>
      <w:r w:rsidR="001702C9">
        <w:rPr>
          <w:noProof/>
        </w:rPr>
        <w:t>12</w:t>
      </w:r>
      <w:r w:rsidR="00234D1A">
        <w:rPr>
          <w:noProof/>
        </w:rPr>
        <w:fldChar w:fldCharType="end"/>
      </w:r>
      <w:bookmarkEnd w:id="98"/>
      <w:r w:rsidRPr="0025423A">
        <w:t xml:space="preserve">: </w:t>
      </w:r>
      <w:r w:rsidR="009F1F1B" w:rsidRPr="0025423A">
        <w:t>Study 201739 (</w:t>
      </w:r>
      <w:r w:rsidRPr="0025423A">
        <w:t>HPTN 084 trial</w:t>
      </w:r>
      <w:r w:rsidR="009F1F1B" w:rsidRPr="0025423A">
        <w:t>)</w:t>
      </w:r>
      <w:r w:rsidRPr="0025423A">
        <w:t xml:space="preserve"> </w:t>
      </w:r>
      <w:r w:rsidR="003768A7" w:rsidRPr="0025423A">
        <w:t>Duratio</w:t>
      </w:r>
      <w:r w:rsidR="009F1F1B" w:rsidRPr="0025423A">
        <w:t>n of exposure to cabotegravir pre</w:t>
      </w:r>
      <w:r w:rsidR="00D46635" w:rsidRPr="0025423A">
        <w:noBreakHyphen/>
      </w:r>
      <w:r w:rsidR="009F1F1B" w:rsidRPr="0025423A">
        <w:t>exposure prophylaxis</w:t>
      </w:r>
    </w:p>
    <w:p w14:paraId="257D9375" w14:textId="3E603729" w:rsidR="008449C5" w:rsidRPr="00527BFD" w:rsidRDefault="008449C5" w:rsidP="00866CBB">
      <w:r>
        <w:rPr>
          <w:noProof/>
          <w:lang w:val="en-GB" w:eastAsia="en-GB"/>
        </w:rPr>
        <w:drawing>
          <wp:inline distT="0" distB="0" distL="0" distR="0" wp14:anchorId="0C310354" wp14:editId="4700882C">
            <wp:extent cx="5298621" cy="3369310"/>
            <wp:effectExtent l="19050" t="19050" r="16510" b="21590"/>
            <wp:docPr id="1" name="Picture 1" descr="Table 12: Study 201739 (HPTN 084 trial) Duration of exposure to cabotegravir pre exposure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12: Study 201739 (HPTN 084 trial) Duration of exposure to cabotegravir pre exposure prophylaxis"/>
                    <pic:cNvPicPr/>
                  </pic:nvPicPr>
                  <pic:blipFill>
                    <a:blip r:embed="rId33"/>
                    <a:stretch>
                      <a:fillRect/>
                    </a:stretch>
                  </pic:blipFill>
                  <pic:spPr>
                    <a:xfrm>
                      <a:off x="0" y="0"/>
                      <a:ext cx="5300151" cy="3370283"/>
                    </a:xfrm>
                    <a:prstGeom prst="rect">
                      <a:avLst/>
                    </a:prstGeom>
                    <a:ln>
                      <a:solidFill>
                        <a:schemeClr val="tx1"/>
                      </a:solidFill>
                    </a:ln>
                  </pic:spPr>
                </pic:pic>
              </a:graphicData>
            </a:graphic>
          </wp:inline>
        </w:drawing>
      </w:r>
    </w:p>
    <w:p w14:paraId="78EBFB66" w14:textId="7B9B74B3" w:rsidR="008449C5" w:rsidRPr="00866CBB" w:rsidRDefault="00866CBB" w:rsidP="00866CBB">
      <w:pPr>
        <w:pStyle w:val="TableDescription"/>
      </w:pPr>
      <w:r w:rsidRPr="00866CBB">
        <w:t xml:space="preserve">Abbreviations: </w:t>
      </w:r>
      <w:r w:rsidR="008449C5" w:rsidRPr="00866CBB">
        <w:t>n =</w:t>
      </w:r>
      <w:r w:rsidR="00342B4E" w:rsidRPr="00866CBB">
        <w:t xml:space="preserve"> number of subjects in group</w:t>
      </w:r>
      <w:r w:rsidRPr="00866CBB">
        <w:t xml:space="preserve">; </w:t>
      </w:r>
      <w:proofErr w:type="spellStart"/>
      <w:r w:rsidR="008449C5" w:rsidRPr="00866CBB">
        <w:t>PrEP</w:t>
      </w:r>
      <w:proofErr w:type="spellEnd"/>
      <w:r w:rsidR="00342B4E" w:rsidRPr="00866CBB">
        <w:t xml:space="preserve"> =</w:t>
      </w:r>
      <w:r w:rsidR="00F37923" w:rsidRPr="00866CBB">
        <w:t xml:space="preserve"> pre-exposure prophylaxis</w:t>
      </w:r>
      <w:r w:rsidRPr="00866CBB">
        <w:t>.</w:t>
      </w:r>
    </w:p>
    <w:p w14:paraId="5B2C03F1" w14:textId="5EBF6FA7" w:rsidR="008449C5" w:rsidRPr="00866CBB" w:rsidRDefault="008449C5" w:rsidP="00866CBB">
      <w:pPr>
        <w:pStyle w:val="TableDescription"/>
      </w:pPr>
      <w:r w:rsidRPr="00866CBB">
        <w:t>Data available as of 1 August 2021.</w:t>
      </w:r>
    </w:p>
    <w:p w14:paraId="64577937" w14:textId="77777777" w:rsidR="003768A7" w:rsidRPr="00527BFD" w:rsidRDefault="003768A7" w:rsidP="00BB4257">
      <w:pPr>
        <w:pStyle w:val="Heading5"/>
        <w:rPr>
          <w:rFonts w:eastAsiaTheme="minorHAnsi"/>
        </w:rPr>
      </w:pPr>
      <w:r w:rsidRPr="00527BFD">
        <w:rPr>
          <w:rFonts w:eastAsiaTheme="minorHAnsi"/>
        </w:rPr>
        <w:t>Adverse events</w:t>
      </w:r>
    </w:p>
    <w:p w14:paraId="0AD21C8F" w14:textId="07E3756E" w:rsidR="003768A7" w:rsidRPr="00527BFD" w:rsidRDefault="003768A7" w:rsidP="00BB4257">
      <w:r w:rsidRPr="00527BFD">
        <w:t>Most participants in the pivotal and supportive studies reported at least one adverse event</w:t>
      </w:r>
      <w:r w:rsidR="0023090E" w:rsidRPr="00527BFD">
        <w:t xml:space="preserve"> (AE)</w:t>
      </w:r>
      <w:r w:rsidRPr="00527BFD">
        <w:t>, and the proportion of participants were similar between the groups (</w:t>
      </w:r>
      <w:r w:rsidR="00C47CC3" w:rsidRPr="00527BFD">
        <w:t xml:space="preserve">see </w:t>
      </w:r>
      <w:r w:rsidR="00C47CC3" w:rsidRPr="00527BFD">
        <w:fldChar w:fldCharType="begin"/>
      </w:r>
      <w:r w:rsidR="00C47CC3" w:rsidRPr="00527BFD">
        <w:instrText xml:space="preserve"> REF _Ref115891114 \h </w:instrText>
      </w:r>
      <w:r w:rsidR="0023090E" w:rsidRPr="00527BFD">
        <w:instrText xml:space="preserve"> \* MERGEFORMAT </w:instrText>
      </w:r>
      <w:r w:rsidR="00C47CC3" w:rsidRPr="00527BFD">
        <w:fldChar w:fldCharType="separate"/>
      </w:r>
      <w:r w:rsidR="001702C9" w:rsidRPr="0025423A">
        <w:t xml:space="preserve">Table </w:t>
      </w:r>
      <w:r w:rsidR="001702C9">
        <w:rPr>
          <w:noProof/>
        </w:rPr>
        <w:t>13</w:t>
      </w:r>
      <w:r w:rsidR="00C47CC3" w:rsidRPr="00527BFD">
        <w:fldChar w:fldCharType="end"/>
      </w:r>
      <w:r w:rsidR="00C47CC3" w:rsidRPr="00527BFD">
        <w:t xml:space="preserve"> below</w:t>
      </w:r>
      <w:r w:rsidRPr="00527BFD">
        <w:t>)</w:t>
      </w:r>
      <w:r w:rsidR="00C47CC3" w:rsidRPr="00527BFD">
        <w:t>.</w:t>
      </w:r>
      <w:r w:rsidRPr="00527BFD">
        <w:t xml:space="preserve"> The proportion of participants who reported events considered drug-related by the investigator was higher in the </w:t>
      </w:r>
      <w:r w:rsidR="00FD52A9" w:rsidRPr="00527BFD">
        <w:t>cabotegravir</w:t>
      </w:r>
      <w:r w:rsidRPr="00527BFD">
        <w:t xml:space="preserve"> group compared with the TDF/</w:t>
      </w:r>
      <w:r w:rsidR="000B10F7" w:rsidRPr="00527BFD">
        <w:t>emtricitabine</w:t>
      </w:r>
      <w:r w:rsidRPr="00527BFD">
        <w:t xml:space="preserve"> group or placebo, and mostly related to injection site reactions (ISR</w:t>
      </w:r>
      <w:r w:rsidR="001C4E02" w:rsidRPr="00527BFD">
        <w:t>s</w:t>
      </w:r>
      <w:r w:rsidRPr="00527BFD">
        <w:t>). When ISRs were excluded, the proportion of participants with drug</w:t>
      </w:r>
      <w:r w:rsidR="00714561">
        <w:t>-</w:t>
      </w:r>
      <w:r w:rsidRPr="00527BFD">
        <w:t xml:space="preserve">related AEs was similar between the groups in both pivotal studies. ISRs were reported less frequently in </w:t>
      </w:r>
      <w:r w:rsidR="00CC53B1" w:rsidRPr="00527BFD">
        <w:t>the HPTN 084 trial</w:t>
      </w:r>
      <w:r w:rsidRPr="00527BFD">
        <w:t xml:space="preserve"> compared to </w:t>
      </w:r>
      <w:r w:rsidR="00BB0AC1" w:rsidRPr="00527BFD">
        <w:t>the HPTN 083 trial</w:t>
      </w:r>
      <w:r w:rsidRPr="00527BFD">
        <w:t xml:space="preserve">. Frequencies of AEs in the </w:t>
      </w:r>
      <w:r w:rsidR="00C47CC3" w:rsidRPr="00527BFD">
        <w:t>ÉCLAIR</w:t>
      </w:r>
      <w:r w:rsidRPr="00527BFD">
        <w:t xml:space="preserve"> and </w:t>
      </w:r>
      <w:r w:rsidR="00CC53B1" w:rsidRPr="00527BFD">
        <w:t xml:space="preserve">the HPTN 077 trials </w:t>
      </w:r>
      <w:r w:rsidRPr="00527BFD">
        <w:t xml:space="preserve">are </w:t>
      </w:r>
      <w:proofErr w:type="gramStart"/>
      <w:r w:rsidRPr="00527BFD">
        <w:t>similar to</w:t>
      </w:r>
      <w:proofErr w:type="gramEnd"/>
      <w:r w:rsidRPr="00527BFD">
        <w:t xml:space="preserve"> those of the two pivotal studies (</w:t>
      </w:r>
      <w:r w:rsidR="00C47CC3" w:rsidRPr="00527BFD">
        <w:t xml:space="preserve">see </w:t>
      </w:r>
      <w:r w:rsidR="00C47CC3" w:rsidRPr="00527BFD">
        <w:fldChar w:fldCharType="begin"/>
      </w:r>
      <w:r w:rsidR="00C47CC3" w:rsidRPr="00527BFD">
        <w:instrText xml:space="preserve"> REF _Ref115891114 \h </w:instrText>
      </w:r>
      <w:r w:rsidR="00527BFD" w:rsidRPr="00527BFD">
        <w:instrText xml:space="preserve"> \* MERGEFORMAT </w:instrText>
      </w:r>
      <w:r w:rsidR="00C47CC3" w:rsidRPr="00527BFD">
        <w:fldChar w:fldCharType="separate"/>
      </w:r>
      <w:r w:rsidR="001702C9" w:rsidRPr="0025423A">
        <w:t xml:space="preserve">Table </w:t>
      </w:r>
      <w:r w:rsidR="001702C9">
        <w:rPr>
          <w:noProof/>
        </w:rPr>
        <w:t>13</w:t>
      </w:r>
      <w:r w:rsidR="00C47CC3" w:rsidRPr="00527BFD">
        <w:fldChar w:fldCharType="end"/>
      </w:r>
      <w:r w:rsidR="00C47CC3" w:rsidRPr="00527BFD">
        <w:t xml:space="preserve"> below</w:t>
      </w:r>
      <w:r w:rsidRPr="00527BFD">
        <w:t>)</w:t>
      </w:r>
      <w:r w:rsidR="00C47CC3" w:rsidRPr="00527BFD">
        <w:t>.</w:t>
      </w:r>
    </w:p>
    <w:p w14:paraId="399E4ACE" w14:textId="421DF87F" w:rsidR="003768A7" w:rsidRDefault="003768A7" w:rsidP="00BB4257">
      <w:r w:rsidRPr="00527BFD">
        <w:t xml:space="preserve">In </w:t>
      </w:r>
      <w:r w:rsidR="00BB0AC1" w:rsidRPr="00527BFD">
        <w:t>the HPTN 083 trial</w:t>
      </w:r>
      <w:r w:rsidRPr="00527BFD">
        <w:t xml:space="preserve">, the proportion of participants who had AEs leading to discontinuation of the study was 2% higher in the </w:t>
      </w:r>
      <w:r w:rsidR="00FD52A9" w:rsidRPr="00527BFD">
        <w:t>cabotegravir</w:t>
      </w:r>
      <w:r w:rsidRPr="00527BFD">
        <w:t xml:space="preserve"> group, mostly due to ISRs compared to the TDF/</w:t>
      </w:r>
      <w:r w:rsidR="000B10F7" w:rsidRPr="00527BFD">
        <w:t>emtricitabine</w:t>
      </w:r>
      <w:r w:rsidRPr="00527BFD">
        <w:t xml:space="preserve"> group. In </w:t>
      </w:r>
      <w:r w:rsidR="00CC53B1" w:rsidRPr="00527BFD">
        <w:t>the HPTN 084 trial</w:t>
      </w:r>
      <w:r w:rsidR="00C47CC3" w:rsidRPr="00527BFD">
        <w:t>,</w:t>
      </w:r>
      <w:r w:rsidRPr="00527BFD">
        <w:t xml:space="preserve"> 1% of participants in both groups discontinued the study due to AE, and no participants in either group discontinued due to ISRs.</w:t>
      </w:r>
      <w:r w:rsidR="005F0BCE" w:rsidRPr="00527BFD">
        <w:t xml:space="preserve"> </w:t>
      </w:r>
      <w:r w:rsidRPr="00527BFD">
        <w:t xml:space="preserve">In the </w:t>
      </w:r>
      <w:r w:rsidR="00C47CC3" w:rsidRPr="00527BFD">
        <w:t>ÉCLAIR</w:t>
      </w:r>
      <w:r w:rsidRPr="00527BFD">
        <w:t xml:space="preserve"> </w:t>
      </w:r>
      <w:r w:rsidR="00C47CC3" w:rsidRPr="00527BFD">
        <w:t>trial</w:t>
      </w:r>
      <w:r w:rsidRPr="00527BFD">
        <w:t xml:space="preserve"> 2% more participants in the </w:t>
      </w:r>
      <w:r w:rsidR="00FD52A9" w:rsidRPr="00527BFD">
        <w:t>cabotegravir</w:t>
      </w:r>
      <w:r w:rsidRPr="00527BFD">
        <w:t xml:space="preserve"> group compared to placebo withdrew related to AEs, whilst in </w:t>
      </w:r>
      <w:r w:rsidR="00CC53B1" w:rsidRPr="00527BFD">
        <w:t xml:space="preserve">the HPTN 077 trial </w:t>
      </w:r>
      <w:r w:rsidRPr="00527BFD">
        <w:t xml:space="preserve">11.9% in the </w:t>
      </w:r>
      <w:r w:rsidR="00FD52A9" w:rsidRPr="00527BFD">
        <w:t>cabotegravir</w:t>
      </w:r>
      <w:r w:rsidRPr="00527BFD">
        <w:t xml:space="preserve"> group, compared to 4.2% in the placebo group withdrew due to AEs.</w:t>
      </w:r>
    </w:p>
    <w:p w14:paraId="1982AB7E" w14:textId="21F0809D" w:rsidR="002D66CB" w:rsidRDefault="002D66CB">
      <w:pPr>
        <w:spacing w:before="0" w:after="200" w:line="0" w:lineRule="auto"/>
      </w:pPr>
      <w:r>
        <w:br w:type="page"/>
      </w:r>
    </w:p>
    <w:p w14:paraId="43FB5648" w14:textId="677AA03B" w:rsidR="003768A7" w:rsidRPr="0025423A" w:rsidRDefault="00C47CC3" w:rsidP="0025423A">
      <w:pPr>
        <w:pStyle w:val="TableTitle"/>
      </w:pPr>
      <w:bookmarkStart w:id="99" w:name="_Ref115891114"/>
      <w:r w:rsidRPr="0025423A">
        <w:lastRenderedPageBreak/>
        <w:t xml:space="preserve">Table </w:t>
      </w:r>
      <w:r w:rsidR="00234D1A">
        <w:fldChar w:fldCharType="begin"/>
      </w:r>
      <w:r w:rsidR="00234D1A">
        <w:instrText xml:space="preserve"> SEQ Table \* ARABIC </w:instrText>
      </w:r>
      <w:r w:rsidR="00234D1A">
        <w:fldChar w:fldCharType="separate"/>
      </w:r>
      <w:r w:rsidR="001702C9">
        <w:rPr>
          <w:noProof/>
        </w:rPr>
        <w:t>13</w:t>
      </w:r>
      <w:r w:rsidR="00234D1A">
        <w:rPr>
          <w:noProof/>
        </w:rPr>
        <w:fldChar w:fldCharType="end"/>
      </w:r>
      <w:bookmarkEnd w:id="99"/>
      <w:r w:rsidRPr="0025423A">
        <w:t>:</w:t>
      </w:r>
      <w:r w:rsidR="003768A7" w:rsidRPr="0025423A">
        <w:t xml:space="preserve"> </w:t>
      </w:r>
      <w:r w:rsidR="000C2FE2" w:rsidRPr="0025423A">
        <w:t xml:space="preserve">Study 201738 (HPTN 083 trial), Study 201739 (HPTN 084 trial), Study 201120 (ÉCLAIR trial) and Study 201103 (HPTN 077 trial) </w:t>
      </w:r>
      <w:r w:rsidR="003768A7" w:rsidRPr="0025423A">
        <w:t xml:space="preserve">Summary of </w:t>
      </w:r>
      <w:r w:rsidR="009F1F1B" w:rsidRPr="0025423A">
        <w:t>all on treatment adverse events across pivotal and supportive cabotegravir pre-exposure prophylaxis studies</w:t>
      </w:r>
    </w:p>
    <w:tbl>
      <w:tblPr>
        <w:tblStyle w:val="TableTGAblue"/>
        <w:tblW w:w="8354" w:type="dxa"/>
        <w:tblLayout w:type="fixed"/>
        <w:tblLook w:val="04A0" w:firstRow="1" w:lastRow="0" w:firstColumn="1" w:lastColumn="0" w:noHBand="0" w:noVBand="1"/>
      </w:tblPr>
      <w:tblGrid>
        <w:gridCol w:w="236"/>
        <w:gridCol w:w="747"/>
        <w:gridCol w:w="850"/>
        <w:gridCol w:w="992"/>
        <w:gridCol w:w="851"/>
        <w:gridCol w:w="992"/>
        <w:gridCol w:w="851"/>
        <w:gridCol w:w="992"/>
        <w:gridCol w:w="850"/>
        <w:gridCol w:w="993"/>
      </w:tblGrid>
      <w:tr w:rsidR="003768A7" w:rsidRPr="00A30BD9" w14:paraId="11C4E643" w14:textId="77777777" w:rsidTr="00A30BD9">
        <w:trPr>
          <w:cnfStyle w:val="100000000000" w:firstRow="1" w:lastRow="0" w:firstColumn="0" w:lastColumn="0" w:oddVBand="0" w:evenVBand="0" w:oddHBand="0" w:evenHBand="0" w:firstRowFirstColumn="0" w:firstRowLastColumn="0" w:lastRowFirstColumn="0" w:lastRowLastColumn="0"/>
          <w:trHeight w:val="233"/>
        </w:trPr>
        <w:tc>
          <w:tcPr>
            <w:tcW w:w="236" w:type="dxa"/>
          </w:tcPr>
          <w:p w14:paraId="1C29EFA2" w14:textId="77777777" w:rsidR="003768A7" w:rsidRPr="00527BFD" w:rsidRDefault="003768A7" w:rsidP="00C47CC3">
            <w:pPr>
              <w:pStyle w:val="Tabletext"/>
            </w:pPr>
          </w:p>
        </w:tc>
        <w:tc>
          <w:tcPr>
            <w:tcW w:w="747" w:type="dxa"/>
          </w:tcPr>
          <w:p w14:paraId="0FDAEDC6" w14:textId="77777777" w:rsidR="003768A7" w:rsidRPr="00A30BD9" w:rsidRDefault="003768A7" w:rsidP="000A5698">
            <w:pPr>
              <w:pStyle w:val="Tabletext"/>
              <w:ind w:left="0" w:right="0"/>
              <w:rPr>
                <w:sz w:val="18"/>
                <w:szCs w:val="18"/>
              </w:rPr>
            </w:pPr>
          </w:p>
        </w:tc>
        <w:tc>
          <w:tcPr>
            <w:tcW w:w="1842" w:type="dxa"/>
            <w:gridSpan w:val="2"/>
          </w:tcPr>
          <w:p w14:paraId="5CE08930" w14:textId="0EDA4D92" w:rsidR="003768A7" w:rsidRPr="00A30BD9" w:rsidRDefault="003768A7" w:rsidP="000A5698">
            <w:pPr>
              <w:pStyle w:val="Tabletext"/>
              <w:ind w:left="0" w:right="0"/>
              <w:jc w:val="center"/>
              <w:rPr>
                <w:sz w:val="18"/>
                <w:szCs w:val="18"/>
              </w:rPr>
            </w:pPr>
            <w:r w:rsidRPr="00A30BD9">
              <w:rPr>
                <w:sz w:val="18"/>
                <w:szCs w:val="18"/>
              </w:rPr>
              <w:t>HPTN 083</w:t>
            </w:r>
          </w:p>
        </w:tc>
        <w:tc>
          <w:tcPr>
            <w:tcW w:w="1843" w:type="dxa"/>
            <w:gridSpan w:val="2"/>
          </w:tcPr>
          <w:p w14:paraId="2CFBE27C" w14:textId="76E79BFF" w:rsidR="003768A7" w:rsidRPr="00A30BD9" w:rsidRDefault="003768A7" w:rsidP="000A5698">
            <w:pPr>
              <w:pStyle w:val="Tabletext"/>
              <w:ind w:left="0" w:right="0"/>
              <w:jc w:val="center"/>
              <w:rPr>
                <w:sz w:val="18"/>
                <w:szCs w:val="18"/>
              </w:rPr>
            </w:pPr>
            <w:r w:rsidRPr="00A30BD9">
              <w:rPr>
                <w:sz w:val="18"/>
                <w:szCs w:val="18"/>
              </w:rPr>
              <w:t>HPTN 084</w:t>
            </w:r>
          </w:p>
        </w:tc>
        <w:tc>
          <w:tcPr>
            <w:tcW w:w="1843" w:type="dxa"/>
            <w:gridSpan w:val="2"/>
          </w:tcPr>
          <w:p w14:paraId="562C860A" w14:textId="4D9261CD" w:rsidR="003768A7" w:rsidRPr="00A30BD9" w:rsidRDefault="003768A7" w:rsidP="000A5698">
            <w:pPr>
              <w:pStyle w:val="Tabletext"/>
              <w:ind w:left="0" w:right="0"/>
              <w:jc w:val="center"/>
              <w:rPr>
                <w:sz w:val="18"/>
                <w:szCs w:val="18"/>
              </w:rPr>
            </w:pPr>
            <w:r w:rsidRPr="00A30BD9">
              <w:rPr>
                <w:sz w:val="18"/>
                <w:szCs w:val="18"/>
              </w:rPr>
              <w:t>ÉCLAIR</w:t>
            </w:r>
          </w:p>
        </w:tc>
        <w:tc>
          <w:tcPr>
            <w:tcW w:w="1843" w:type="dxa"/>
            <w:gridSpan w:val="2"/>
          </w:tcPr>
          <w:p w14:paraId="051F030E" w14:textId="532A1228" w:rsidR="003768A7" w:rsidRPr="00A30BD9" w:rsidRDefault="003768A7" w:rsidP="000A5698">
            <w:pPr>
              <w:pStyle w:val="Tabletext"/>
              <w:ind w:left="0" w:right="0"/>
              <w:jc w:val="center"/>
              <w:rPr>
                <w:sz w:val="18"/>
                <w:szCs w:val="18"/>
              </w:rPr>
            </w:pPr>
            <w:r w:rsidRPr="00A30BD9">
              <w:rPr>
                <w:sz w:val="18"/>
                <w:szCs w:val="18"/>
              </w:rPr>
              <w:t>HPTN 077</w:t>
            </w:r>
          </w:p>
        </w:tc>
      </w:tr>
      <w:tr w:rsidR="0059470F" w:rsidRPr="00A30BD9" w14:paraId="00841CED" w14:textId="77777777" w:rsidTr="00A30BD9">
        <w:trPr>
          <w:trHeight w:val="418"/>
        </w:trPr>
        <w:tc>
          <w:tcPr>
            <w:tcW w:w="983" w:type="dxa"/>
            <w:gridSpan w:val="2"/>
          </w:tcPr>
          <w:p w14:paraId="3FC36D00" w14:textId="77777777" w:rsidR="00C47CC3" w:rsidRPr="00A30BD9" w:rsidRDefault="00C47CC3" w:rsidP="000A5698">
            <w:pPr>
              <w:pStyle w:val="Tabletext"/>
              <w:ind w:left="0" w:right="0"/>
              <w:rPr>
                <w:sz w:val="18"/>
                <w:szCs w:val="18"/>
              </w:rPr>
            </w:pPr>
          </w:p>
        </w:tc>
        <w:tc>
          <w:tcPr>
            <w:tcW w:w="850" w:type="dxa"/>
          </w:tcPr>
          <w:p w14:paraId="473974B6" w14:textId="77777777" w:rsidR="00C47CC3" w:rsidRPr="00A30BD9" w:rsidRDefault="00C47CC3" w:rsidP="000A5698">
            <w:pPr>
              <w:pStyle w:val="Tabletext"/>
              <w:ind w:left="0" w:right="0"/>
              <w:rPr>
                <w:b/>
                <w:sz w:val="18"/>
                <w:szCs w:val="18"/>
              </w:rPr>
            </w:pPr>
            <w:r w:rsidRPr="00A30BD9">
              <w:rPr>
                <w:b/>
                <w:sz w:val="18"/>
                <w:szCs w:val="18"/>
              </w:rPr>
              <w:t>CAB</w:t>
            </w:r>
          </w:p>
          <w:p w14:paraId="023F508C" w14:textId="23E289E2" w:rsidR="00C47CC3" w:rsidRPr="00A30BD9" w:rsidRDefault="00C47CC3" w:rsidP="000A5698">
            <w:pPr>
              <w:pStyle w:val="Tabletext"/>
              <w:ind w:left="0" w:right="0"/>
              <w:rPr>
                <w:sz w:val="18"/>
                <w:szCs w:val="18"/>
              </w:rPr>
            </w:pPr>
            <w:r w:rsidRPr="00A30BD9">
              <w:rPr>
                <w:sz w:val="18"/>
                <w:szCs w:val="18"/>
              </w:rPr>
              <w:t>N=2281</w:t>
            </w:r>
          </w:p>
          <w:p w14:paraId="5201C9F3" w14:textId="77777777" w:rsidR="00C47CC3" w:rsidRPr="00A30BD9" w:rsidRDefault="00C47CC3" w:rsidP="000A5698">
            <w:pPr>
              <w:pStyle w:val="Tabletext"/>
              <w:ind w:left="0" w:right="0"/>
              <w:rPr>
                <w:sz w:val="18"/>
                <w:szCs w:val="18"/>
              </w:rPr>
            </w:pPr>
            <w:r w:rsidRPr="00A30BD9">
              <w:rPr>
                <w:sz w:val="18"/>
                <w:szCs w:val="18"/>
              </w:rPr>
              <w:t>n (%)</w:t>
            </w:r>
          </w:p>
        </w:tc>
        <w:tc>
          <w:tcPr>
            <w:tcW w:w="992" w:type="dxa"/>
          </w:tcPr>
          <w:p w14:paraId="29AD46DF" w14:textId="77777777" w:rsidR="00C47CC3" w:rsidRPr="00A30BD9" w:rsidRDefault="00C47CC3" w:rsidP="000A5698">
            <w:pPr>
              <w:pStyle w:val="Tabletext"/>
              <w:ind w:left="0" w:right="0"/>
              <w:rPr>
                <w:b/>
                <w:sz w:val="18"/>
                <w:szCs w:val="18"/>
              </w:rPr>
            </w:pPr>
            <w:r w:rsidRPr="00A30BD9">
              <w:rPr>
                <w:b/>
                <w:sz w:val="18"/>
                <w:szCs w:val="18"/>
              </w:rPr>
              <w:t>TDF/FTC</w:t>
            </w:r>
          </w:p>
          <w:p w14:paraId="7784B073" w14:textId="44D05920" w:rsidR="00C47CC3" w:rsidRPr="00A30BD9" w:rsidRDefault="00C47CC3" w:rsidP="000A5698">
            <w:pPr>
              <w:pStyle w:val="Tabletext"/>
              <w:ind w:left="0" w:right="0"/>
              <w:rPr>
                <w:sz w:val="18"/>
                <w:szCs w:val="18"/>
              </w:rPr>
            </w:pPr>
            <w:r w:rsidRPr="00A30BD9">
              <w:rPr>
                <w:sz w:val="18"/>
                <w:szCs w:val="18"/>
              </w:rPr>
              <w:t>N=2285</w:t>
            </w:r>
          </w:p>
          <w:p w14:paraId="38722B02" w14:textId="77777777" w:rsidR="00C47CC3" w:rsidRPr="00A30BD9" w:rsidRDefault="00C47CC3" w:rsidP="000A5698">
            <w:pPr>
              <w:pStyle w:val="Tabletext"/>
              <w:ind w:left="0" w:right="0"/>
              <w:rPr>
                <w:sz w:val="18"/>
                <w:szCs w:val="18"/>
              </w:rPr>
            </w:pPr>
            <w:r w:rsidRPr="00A30BD9">
              <w:rPr>
                <w:sz w:val="18"/>
                <w:szCs w:val="18"/>
              </w:rPr>
              <w:t>n (%)</w:t>
            </w:r>
          </w:p>
        </w:tc>
        <w:tc>
          <w:tcPr>
            <w:tcW w:w="851" w:type="dxa"/>
          </w:tcPr>
          <w:p w14:paraId="0EE8AFB1" w14:textId="77777777" w:rsidR="00C47CC3" w:rsidRPr="00A30BD9" w:rsidRDefault="00C47CC3" w:rsidP="000A5698">
            <w:pPr>
              <w:pStyle w:val="Tabletext"/>
              <w:ind w:left="0" w:right="0"/>
              <w:rPr>
                <w:b/>
                <w:sz w:val="18"/>
                <w:szCs w:val="18"/>
              </w:rPr>
            </w:pPr>
            <w:r w:rsidRPr="00A30BD9">
              <w:rPr>
                <w:b/>
                <w:sz w:val="18"/>
                <w:szCs w:val="18"/>
              </w:rPr>
              <w:t>CAB</w:t>
            </w:r>
          </w:p>
          <w:p w14:paraId="0FA8C31D" w14:textId="07F7F90B" w:rsidR="00C47CC3" w:rsidRPr="00A30BD9" w:rsidRDefault="00C47CC3" w:rsidP="000A5698">
            <w:pPr>
              <w:pStyle w:val="Tabletext"/>
              <w:ind w:left="0" w:right="0"/>
              <w:rPr>
                <w:sz w:val="18"/>
                <w:szCs w:val="18"/>
              </w:rPr>
            </w:pPr>
            <w:r w:rsidRPr="00A30BD9">
              <w:rPr>
                <w:sz w:val="18"/>
                <w:szCs w:val="18"/>
              </w:rPr>
              <w:t>N=1614</w:t>
            </w:r>
          </w:p>
          <w:p w14:paraId="5851F0A6" w14:textId="77777777" w:rsidR="00C47CC3" w:rsidRPr="00A30BD9" w:rsidRDefault="00C47CC3" w:rsidP="000A5698">
            <w:pPr>
              <w:pStyle w:val="Tabletext"/>
              <w:ind w:left="0" w:right="0"/>
              <w:rPr>
                <w:sz w:val="18"/>
                <w:szCs w:val="18"/>
              </w:rPr>
            </w:pPr>
            <w:r w:rsidRPr="00A30BD9">
              <w:rPr>
                <w:sz w:val="18"/>
                <w:szCs w:val="18"/>
              </w:rPr>
              <w:t>n (%)</w:t>
            </w:r>
          </w:p>
        </w:tc>
        <w:tc>
          <w:tcPr>
            <w:tcW w:w="992" w:type="dxa"/>
          </w:tcPr>
          <w:p w14:paraId="5A89E439" w14:textId="77777777" w:rsidR="00C47CC3" w:rsidRPr="00A30BD9" w:rsidRDefault="00C47CC3" w:rsidP="000A5698">
            <w:pPr>
              <w:pStyle w:val="Tabletext"/>
              <w:ind w:left="0" w:right="0"/>
              <w:rPr>
                <w:b/>
                <w:sz w:val="18"/>
                <w:szCs w:val="18"/>
              </w:rPr>
            </w:pPr>
            <w:r w:rsidRPr="00A30BD9">
              <w:rPr>
                <w:b/>
                <w:sz w:val="18"/>
                <w:szCs w:val="18"/>
              </w:rPr>
              <w:t>TDF/FTC</w:t>
            </w:r>
          </w:p>
          <w:p w14:paraId="77054954" w14:textId="4F19DB5C" w:rsidR="00C47CC3" w:rsidRPr="00A30BD9" w:rsidRDefault="00C47CC3" w:rsidP="000A5698">
            <w:pPr>
              <w:pStyle w:val="Tabletext"/>
              <w:ind w:left="0" w:right="0"/>
              <w:rPr>
                <w:sz w:val="18"/>
                <w:szCs w:val="18"/>
              </w:rPr>
            </w:pPr>
            <w:r w:rsidRPr="00A30BD9">
              <w:rPr>
                <w:sz w:val="18"/>
                <w:szCs w:val="18"/>
              </w:rPr>
              <w:t>N=1610</w:t>
            </w:r>
          </w:p>
          <w:p w14:paraId="20DB0791" w14:textId="77777777" w:rsidR="00C47CC3" w:rsidRPr="00A30BD9" w:rsidRDefault="00C47CC3" w:rsidP="000A5698">
            <w:pPr>
              <w:pStyle w:val="Tabletext"/>
              <w:ind w:left="0" w:right="0"/>
              <w:rPr>
                <w:sz w:val="18"/>
                <w:szCs w:val="18"/>
              </w:rPr>
            </w:pPr>
            <w:r w:rsidRPr="00A30BD9">
              <w:rPr>
                <w:sz w:val="18"/>
                <w:szCs w:val="18"/>
              </w:rPr>
              <w:t>n (%)</w:t>
            </w:r>
          </w:p>
        </w:tc>
        <w:tc>
          <w:tcPr>
            <w:tcW w:w="851" w:type="dxa"/>
          </w:tcPr>
          <w:p w14:paraId="0DBDF675" w14:textId="77777777" w:rsidR="00C47CC3" w:rsidRPr="00A30BD9" w:rsidRDefault="00C47CC3" w:rsidP="000A5698">
            <w:pPr>
              <w:pStyle w:val="Tabletext"/>
              <w:ind w:left="0" w:right="0"/>
              <w:rPr>
                <w:b/>
                <w:sz w:val="18"/>
                <w:szCs w:val="18"/>
              </w:rPr>
            </w:pPr>
            <w:r w:rsidRPr="00A30BD9">
              <w:rPr>
                <w:b/>
                <w:sz w:val="18"/>
                <w:szCs w:val="18"/>
              </w:rPr>
              <w:t>CAB</w:t>
            </w:r>
          </w:p>
          <w:p w14:paraId="4BA4A37F" w14:textId="2E013363" w:rsidR="00C47CC3" w:rsidRPr="00A30BD9" w:rsidRDefault="00C47CC3" w:rsidP="000A5698">
            <w:pPr>
              <w:pStyle w:val="Tabletext"/>
              <w:ind w:left="0" w:right="0"/>
              <w:rPr>
                <w:sz w:val="18"/>
                <w:szCs w:val="18"/>
              </w:rPr>
            </w:pPr>
            <w:r w:rsidRPr="00A30BD9">
              <w:rPr>
                <w:sz w:val="18"/>
                <w:szCs w:val="18"/>
              </w:rPr>
              <w:t>N=105</w:t>
            </w:r>
          </w:p>
          <w:p w14:paraId="0621136F" w14:textId="77777777" w:rsidR="00C47CC3" w:rsidRPr="00A30BD9" w:rsidRDefault="00C47CC3" w:rsidP="000A5698">
            <w:pPr>
              <w:pStyle w:val="Tabletext"/>
              <w:ind w:left="0" w:right="0"/>
              <w:rPr>
                <w:sz w:val="18"/>
                <w:szCs w:val="18"/>
              </w:rPr>
            </w:pPr>
            <w:r w:rsidRPr="00A30BD9">
              <w:rPr>
                <w:sz w:val="18"/>
                <w:szCs w:val="18"/>
              </w:rPr>
              <w:t>n (%)</w:t>
            </w:r>
          </w:p>
        </w:tc>
        <w:tc>
          <w:tcPr>
            <w:tcW w:w="992" w:type="dxa"/>
          </w:tcPr>
          <w:p w14:paraId="3DF34A10" w14:textId="77777777" w:rsidR="00C47CC3" w:rsidRPr="00A30BD9" w:rsidRDefault="00C47CC3" w:rsidP="000A5698">
            <w:pPr>
              <w:pStyle w:val="Tabletext"/>
              <w:ind w:left="0" w:right="0"/>
              <w:rPr>
                <w:b/>
                <w:sz w:val="18"/>
                <w:szCs w:val="18"/>
              </w:rPr>
            </w:pPr>
            <w:r w:rsidRPr="00A30BD9">
              <w:rPr>
                <w:b/>
                <w:sz w:val="18"/>
                <w:szCs w:val="18"/>
              </w:rPr>
              <w:t>Placebo</w:t>
            </w:r>
          </w:p>
          <w:p w14:paraId="396D1F41" w14:textId="7F1D2411" w:rsidR="00C47CC3" w:rsidRPr="00A30BD9" w:rsidRDefault="00C47CC3" w:rsidP="000A5698">
            <w:pPr>
              <w:pStyle w:val="Tabletext"/>
              <w:ind w:left="0" w:right="0"/>
              <w:rPr>
                <w:sz w:val="18"/>
                <w:szCs w:val="18"/>
              </w:rPr>
            </w:pPr>
            <w:r w:rsidRPr="00A30BD9">
              <w:rPr>
                <w:sz w:val="18"/>
                <w:szCs w:val="18"/>
              </w:rPr>
              <w:t>N=21</w:t>
            </w:r>
          </w:p>
          <w:p w14:paraId="2A54D97B" w14:textId="77777777" w:rsidR="00C47CC3" w:rsidRPr="00A30BD9" w:rsidRDefault="00C47CC3" w:rsidP="000A5698">
            <w:pPr>
              <w:pStyle w:val="Tabletext"/>
              <w:ind w:left="0" w:right="0"/>
              <w:rPr>
                <w:sz w:val="18"/>
                <w:szCs w:val="18"/>
              </w:rPr>
            </w:pPr>
            <w:r w:rsidRPr="00A30BD9">
              <w:rPr>
                <w:sz w:val="18"/>
                <w:szCs w:val="18"/>
              </w:rPr>
              <w:t>n (%)</w:t>
            </w:r>
          </w:p>
        </w:tc>
        <w:tc>
          <w:tcPr>
            <w:tcW w:w="850" w:type="dxa"/>
          </w:tcPr>
          <w:p w14:paraId="1428077F" w14:textId="77777777" w:rsidR="00C47CC3" w:rsidRPr="00A30BD9" w:rsidRDefault="00C47CC3" w:rsidP="000A5698">
            <w:pPr>
              <w:pStyle w:val="Tabletext"/>
              <w:ind w:left="0" w:right="0"/>
              <w:rPr>
                <w:b/>
                <w:sz w:val="18"/>
                <w:szCs w:val="18"/>
              </w:rPr>
            </w:pPr>
            <w:r w:rsidRPr="00A30BD9">
              <w:rPr>
                <w:b/>
                <w:sz w:val="18"/>
                <w:szCs w:val="18"/>
              </w:rPr>
              <w:t>CAB</w:t>
            </w:r>
          </w:p>
          <w:p w14:paraId="5EB4555F" w14:textId="1BFDAED7" w:rsidR="00C47CC3" w:rsidRPr="00A30BD9" w:rsidRDefault="00C47CC3" w:rsidP="000A5698">
            <w:pPr>
              <w:pStyle w:val="Tabletext"/>
              <w:ind w:left="0" w:right="0"/>
              <w:rPr>
                <w:sz w:val="18"/>
                <w:szCs w:val="18"/>
              </w:rPr>
            </w:pPr>
            <w:r w:rsidRPr="00A30BD9">
              <w:rPr>
                <w:sz w:val="18"/>
                <w:szCs w:val="18"/>
              </w:rPr>
              <w:t>N=151</w:t>
            </w:r>
          </w:p>
          <w:p w14:paraId="473C0D3B" w14:textId="77777777" w:rsidR="00C47CC3" w:rsidRPr="00A30BD9" w:rsidRDefault="00C47CC3" w:rsidP="000A5698">
            <w:pPr>
              <w:pStyle w:val="Tabletext"/>
              <w:ind w:left="0" w:right="0"/>
              <w:rPr>
                <w:sz w:val="18"/>
                <w:szCs w:val="18"/>
              </w:rPr>
            </w:pPr>
            <w:r w:rsidRPr="00A30BD9">
              <w:rPr>
                <w:sz w:val="18"/>
                <w:szCs w:val="18"/>
              </w:rPr>
              <w:t>n (%)</w:t>
            </w:r>
          </w:p>
        </w:tc>
        <w:tc>
          <w:tcPr>
            <w:tcW w:w="993" w:type="dxa"/>
          </w:tcPr>
          <w:p w14:paraId="65D4639A" w14:textId="77777777" w:rsidR="00C47CC3" w:rsidRPr="00A30BD9" w:rsidRDefault="00C47CC3" w:rsidP="000A5698">
            <w:pPr>
              <w:pStyle w:val="Tabletext"/>
              <w:ind w:left="0" w:right="0"/>
              <w:rPr>
                <w:b/>
                <w:sz w:val="18"/>
                <w:szCs w:val="18"/>
              </w:rPr>
            </w:pPr>
            <w:r w:rsidRPr="00A30BD9">
              <w:rPr>
                <w:b/>
                <w:sz w:val="18"/>
                <w:szCs w:val="18"/>
              </w:rPr>
              <w:t>Placebo</w:t>
            </w:r>
          </w:p>
          <w:p w14:paraId="1FFDFC9D" w14:textId="6E2941F3" w:rsidR="00C47CC3" w:rsidRPr="00A30BD9" w:rsidRDefault="00C47CC3" w:rsidP="000A5698">
            <w:pPr>
              <w:pStyle w:val="Tabletext"/>
              <w:ind w:left="0" w:right="0"/>
              <w:rPr>
                <w:sz w:val="18"/>
                <w:szCs w:val="18"/>
              </w:rPr>
            </w:pPr>
            <w:r w:rsidRPr="00A30BD9">
              <w:rPr>
                <w:sz w:val="18"/>
                <w:szCs w:val="18"/>
              </w:rPr>
              <w:t>N=48</w:t>
            </w:r>
          </w:p>
          <w:p w14:paraId="6DD0DB90" w14:textId="77777777" w:rsidR="00C47CC3" w:rsidRPr="00A30BD9" w:rsidRDefault="00C47CC3" w:rsidP="000A5698">
            <w:pPr>
              <w:pStyle w:val="Tabletext"/>
              <w:ind w:left="0" w:right="0"/>
              <w:rPr>
                <w:sz w:val="18"/>
                <w:szCs w:val="18"/>
              </w:rPr>
            </w:pPr>
            <w:r w:rsidRPr="00A30BD9">
              <w:rPr>
                <w:sz w:val="18"/>
                <w:szCs w:val="18"/>
              </w:rPr>
              <w:t>n (%)</w:t>
            </w:r>
          </w:p>
        </w:tc>
      </w:tr>
      <w:tr w:rsidR="0059470F" w:rsidRPr="00A30BD9" w14:paraId="6FA93574" w14:textId="77777777" w:rsidTr="00A30BD9">
        <w:trPr>
          <w:trHeight w:val="240"/>
        </w:trPr>
        <w:tc>
          <w:tcPr>
            <w:tcW w:w="983" w:type="dxa"/>
            <w:gridSpan w:val="2"/>
          </w:tcPr>
          <w:p w14:paraId="67565C14" w14:textId="77777777" w:rsidR="003768A7" w:rsidRPr="00A30BD9" w:rsidRDefault="003768A7" w:rsidP="000A5698">
            <w:pPr>
              <w:pStyle w:val="Tabletext"/>
              <w:ind w:left="0" w:right="0"/>
              <w:rPr>
                <w:b/>
                <w:bCs/>
                <w:sz w:val="18"/>
                <w:szCs w:val="18"/>
              </w:rPr>
            </w:pPr>
            <w:r w:rsidRPr="00A30BD9">
              <w:rPr>
                <w:b/>
                <w:bCs/>
                <w:sz w:val="18"/>
                <w:szCs w:val="18"/>
              </w:rPr>
              <w:t>Any AE</w:t>
            </w:r>
          </w:p>
        </w:tc>
        <w:tc>
          <w:tcPr>
            <w:tcW w:w="850" w:type="dxa"/>
          </w:tcPr>
          <w:p w14:paraId="77175D01" w14:textId="77777777" w:rsidR="003768A7" w:rsidRPr="00A30BD9" w:rsidRDefault="003768A7" w:rsidP="000A5698">
            <w:pPr>
              <w:pStyle w:val="Tabletext"/>
              <w:ind w:left="0" w:right="0"/>
              <w:rPr>
                <w:sz w:val="18"/>
                <w:szCs w:val="18"/>
              </w:rPr>
            </w:pPr>
            <w:r w:rsidRPr="00A30BD9">
              <w:rPr>
                <w:sz w:val="18"/>
                <w:szCs w:val="18"/>
              </w:rPr>
              <w:t>2174 (95)</w:t>
            </w:r>
          </w:p>
        </w:tc>
        <w:tc>
          <w:tcPr>
            <w:tcW w:w="992" w:type="dxa"/>
          </w:tcPr>
          <w:p w14:paraId="5657F0B0" w14:textId="77777777" w:rsidR="003768A7" w:rsidRPr="00A30BD9" w:rsidRDefault="003768A7" w:rsidP="000A5698">
            <w:pPr>
              <w:pStyle w:val="Tabletext"/>
              <w:ind w:left="0" w:right="0"/>
              <w:rPr>
                <w:sz w:val="18"/>
                <w:szCs w:val="18"/>
              </w:rPr>
            </w:pPr>
            <w:r w:rsidRPr="00A30BD9">
              <w:rPr>
                <w:sz w:val="18"/>
                <w:szCs w:val="18"/>
              </w:rPr>
              <w:t>2157 (94)</w:t>
            </w:r>
          </w:p>
        </w:tc>
        <w:tc>
          <w:tcPr>
            <w:tcW w:w="851" w:type="dxa"/>
          </w:tcPr>
          <w:p w14:paraId="06B97D90" w14:textId="77777777" w:rsidR="003768A7" w:rsidRPr="00A30BD9" w:rsidRDefault="003768A7" w:rsidP="000A5698">
            <w:pPr>
              <w:pStyle w:val="Tabletext"/>
              <w:ind w:left="0" w:right="0"/>
              <w:rPr>
                <w:sz w:val="18"/>
                <w:szCs w:val="18"/>
              </w:rPr>
            </w:pPr>
            <w:r w:rsidRPr="00A30BD9">
              <w:rPr>
                <w:sz w:val="18"/>
                <w:szCs w:val="18"/>
              </w:rPr>
              <w:t>1556 (96)</w:t>
            </w:r>
          </w:p>
        </w:tc>
        <w:tc>
          <w:tcPr>
            <w:tcW w:w="992" w:type="dxa"/>
          </w:tcPr>
          <w:p w14:paraId="1512A6D3" w14:textId="77777777" w:rsidR="003768A7" w:rsidRPr="00A30BD9" w:rsidRDefault="003768A7" w:rsidP="000A5698">
            <w:pPr>
              <w:pStyle w:val="Tabletext"/>
              <w:ind w:left="0" w:right="0"/>
              <w:rPr>
                <w:sz w:val="18"/>
                <w:szCs w:val="18"/>
              </w:rPr>
            </w:pPr>
            <w:r w:rsidRPr="00A30BD9">
              <w:rPr>
                <w:sz w:val="18"/>
                <w:szCs w:val="18"/>
              </w:rPr>
              <w:t>1540 (96)</w:t>
            </w:r>
          </w:p>
        </w:tc>
        <w:tc>
          <w:tcPr>
            <w:tcW w:w="851" w:type="dxa"/>
          </w:tcPr>
          <w:p w14:paraId="0796B842" w14:textId="77777777" w:rsidR="003768A7" w:rsidRPr="00A30BD9" w:rsidRDefault="003768A7" w:rsidP="000A5698">
            <w:pPr>
              <w:pStyle w:val="Tabletext"/>
              <w:ind w:left="0" w:right="0"/>
              <w:rPr>
                <w:sz w:val="18"/>
                <w:szCs w:val="18"/>
              </w:rPr>
            </w:pPr>
            <w:r w:rsidRPr="00A30BD9">
              <w:rPr>
                <w:sz w:val="18"/>
                <w:szCs w:val="18"/>
              </w:rPr>
              <w:t>101 (96)</w:t>
            </w:r>
          </w:p>
        </w:tc>
        <w:tc>
          <w:tcPr>
            <w:tcW w:w="992" w:type="dxa"/>
          </w:tcPr>
          <w:p w14:paraId="3C277A05" w14:textId="77777777" w:rsidR="003768A7" w:rsidRPr="00A30BD9" w:rsidRDefault="003768A7" w:rsidP="000A5698">
            <w:pPr>
              <w:pStyle w:val="Tabletext"/>
              <w:ind w:left="0" w:right="0"/>
              <w:rPr>
                <w:sz w:val="18"/>
                <w:szCs w:val="18"/>
              </w:rPr>
            </w:pPr>
            <w:r w:rsidRPr="00A30BD9">
              <w:rPr>
                <w:sz w:val="18"/>
                <w:szCs w:val="18"/>
              </w:rPr>
              <w:t>20 (95)</w:t>
            </w:r>
          </w:p>
        </w:tc>
        <w:tc>
          <w:tcPr>
            <w:tcW w:w="850" w:type="dxa"/>
          </w:tcPr>
          <w:p w14:paraId="5180D494" w14:textId="77777777" w:rsidR="003768A7" w:rsidRPr="00A30BD9" w:rsidRDefault="003768A7" w:rsidP="000A5698">
            <w:pPr>
              <w:pStyle w:val="Tabletext"/>
              <w:ind w:left="0" w:right="0"/>
              <w:rPr>
                <w:sz w:val="18"/>
                <w:szCs w:val="18"/>
              </w:rPr>
            </w:pPr>
            <w:r w:rsidRPr="00A30BD9">
              <w:rPr>
                <w:sz w:val="18"/>
                <w:szCs w:val="18"/>
              </w:rPr>
              <w:t>147 (97.4)</w:t>
            </w:r>
          </w:p>
        </w:tc>
        <w:tc>
          <w:tcPr>
            <w:tcW w:w="993" w:type="dxa"/>
          </w:tcPr>
          <w:p w14:paraId="56680589" w14:textId="77777777" w:rsidR="003768A7" w:rsidRPr="00A30BD9" w:rsidRDefault="003768A7" w:rsidP="000A5698">
            <w:pPr>
              <w:pStyle w:val="Tabletext"/>
              <w:ind w:left="0" w:right="0"/>
              <w:rPr>
                <w:sz w:val="18"/>
                <w:szCs w:val="18"/>
              </w:rPr>
            </w:pPr>
            <w:r w:rsidRPr="00A30BD9">
              <w:rPr>
                <w:sz w:val="18"/>
                <w:szCs w:val="18"/>
              </w:rPr>
              <w:t>48 (100)</w:t>
            </w:r>
          </w:p>
        </w:tc>
      </w:tr>
      <w:tr w:rsidR="0059470F" w:rsidRPr="00A30BD9" w14:paraId="467B2A5C" w14:textId="77777777" w:rsidTr="00A30BD9">
        <w:trPr>
          <w:trHeight w:val="240"/>
        </w:trPr>
        <w:tc>
          <w:tcPr>
            <w:tcW w:w="983" w:type="dxa"/>
            <w:gridSpan w:val="2"/>
          </w:tcPr>
          <w:p w14:paraId="18E22D35" w14:textId="77777777" w:rsidR="00C47CC3" w:rsidRPr="00A30BD9" w:rsidRDefault="00C47CC3" w:rsidP="000A5698">
            <w:pPr>
              <w:pStyle w:val="Tabletext"/>
              <w:ind w:left="0" w:right="0"/>
              <w:rPr>
                <w:sz w:val="18"/>
                <w:szCs w:val="18"/>
              </w:rPr>
            </w:pPr>
            <w:r w:rsidRPr="00A30BD9">
              <w:rPr>
                <w:sz w:val="18"/>
                <w:szCs w:val="18"/>
              </w:rPr>
              <w:t>Drug-related AEs</w:t>
            </w:r>
          </w:p>
        </w:tc>
        <w:tc>
          <w:tcPr>
            <w:tcW w:w="850" w:type="dxa"/>
          </w:tcPr>
          <w:p w14:paraId="37ED005A" w14:textId="77777777" w:rsidR="00C47CC3" w:rsidRPr="00A30BD9" w:rsidRDefault="00C47CC3" w:rsidP="000A5698">
            <w:pPr>
              <w:pStyle w:val="Tabletext"/>
              <w:ind w:left="0" w:right="0"/>
              <w:rPr>
                <w:sz w:val="18"/>
                <w:szCs w:val="18"/>
              </w:rPr>
            </w:pPr>
            <w:r w:rsidRPr="00A30BD9">
              <w:rPr>
                <w:sz w:val="18"/>
                <w:szCs w:val="18"/>
              </w:rPr>
              <w:t>1874 (82)</w:t>
            </w:r>
          </w:p>
        </w:tc>
        <w:tc>
          <w:tcPr>
            <w:tcW w:w="992" w:type="dxa"/>
          </w:tcPr>
          <w:p w14:paraId="1A335C15" w14:textId="3FD3EAEF" w:rsidR="00C47CC3" w:rsidRPr="00A30BD9" w:rsidRDefault="00C47CC3" w:rsidP="000A5698">
            <w:pPr>
              <w:pStyle w:val="Tabletext"/>
              <w:ind w:left="0" w:right="0"/>
              <w:rPr>
                <w:sz w:val="18"/>
                <w:szCs w:val="18"/>
              </w:rPr>
            </w:pPr>
            <w:r w:rsidRPr="00A30BD9">
              <w:rPr>
                <w:sz w:val="18"/>
                <w:szCs w:val="18"/>
              </w:rPr>
              <w:t>1355</w:t>
            </w:r>
            <w:r w:rsidR="002D66CB" w:rsidRPr="00A30BD9">
              <w:rPr>
                <w:sz w:val="18"/>
                <w:szCs w:val="18"/>
              </w:rPr>
              <w:br/>
            </w:r>
            <w:r w:rsidRPr="00A30BD9">
              <w:rPr>
                <w:sz w:val="18"/>
                <w:szCs w:val="18"/>
              </w:rPr>
              <w:t>(59)</w:t>
            </w:r>
          </w:p>
        </w:tc>
        <w:tc>
          <w:tcPr>
            <w:tcW w:w="851" w:type="dxa"/>
          </w:tcPr>
          <w:p w14:paraId="3F604DDF" w14:textId="77777777" w:rsidR="00C47CC3" w:rsidRPr="00A30BD9" w:rsidRDefault="00C47CC3" w:rsidP="000A5698">
            <w:pPr>
              <w:pStyle w:val="Tabletext"/>
              <w:ind w:left="0" w:right="0"/>
              <w:rPr>
                <w:sz w:val="18"/>
                <w:szCs w:val="18"/>
              </w:rPr>
            </w:pPr>
            <w:r w:rsidRPr="00A30BD9">
              <w:rPr>
                <w:sz w:val="18"/>
                <w:szCs w:val="18"/>
              </w:rPr>
              <w:t>1098 (68)</w:t>
            </w:r>
          </w:p>
        </w:tc>
        <w:tc>
          <w:tcPr>
            <w:tcW w:w="992" w:type="dxa"/>
          </w:tcPr>
          <w:p w14:paraId="6C983F59" w14:textId="3FE89CC7" w:rsidR="00C47CC3" w:rsidRPr="00A30BD9" w:rsidRDefault="00C47CC3" w:rsidP="000A5698">
            <w:pPr>
              <w:pStyle w:val="Tabletext"/>
              <w:ind w:left="0" w:right="0"/>
              <w:rPr>
                <w:sz w:val="18"/>
                <w:szCs w:val="18"/>
              </w:rPr>
            </w:pPr>
            <w:r w:rsidRPr="00A30BD9">
              <w:rPr>
                <w:sz w:val="18"/>
                <w:szCs w:val="18"/>
              </w:rPr>
              <w:t>1014</w:t>
            </w:r>
            <w:r w:rsidR="002D66CB" w:rsidRPr="00A30BD9">
              <w:rPr>
                <w:sz w:val="18"/>
                <w:szCs w:val="18"/>
              </w:rPr>
              <w:br/>
            </w:r>
            <w:r w:rsidRPr="00A30BD9">
              <w:rPr>
                <w:sz w:val="18"/>
                <w:szCs w:val="18"/>
              </w:rPr>
              <w:t>(63</w:t>
            </w:r>
            <w:r w:rsidR="002D66CB" w:rsidRPr="00A30BD9">
              <w:rPr>
                <w:sz w:val="18"/>
                <w:szCs w:val="18"/>
              </w:rPr>
              <w:t>)</w:t>
            </w:r>
          </w:p>
        </w:tc>
        <w:tc>
          <w:tcPr>
            <w:tcW w:w="851" w:type="dxa"/>
          </w:tcPr>
          <w:p w14:paraId="27C32348" w14:textId="77777777" w:rsidR="00C47CC3" w:rsidRPr="00A30BD9" w:rsidRDefault="00C47CC3" w:rsidP="000A5698">
            <w:pPr>
              <w:pStyle w:val="Tabletext"/>
              <w:ind w:left="0" w:right="0"/>
              <w:rPr>
                <w:sz w:val="18"/>
                <w:szCs w:val="18"/>
              </w:rPr>
            </w:pPr>
            <w:r w:rsidRPr="00A30BD9">
              <w:rPr>
                <w:sz w:val="18"/>
                <w:szCs w:val="18"/>
              </w:rPr>
              <w:t>101 (96)</w:t>
            </w:r>
          </w:p>
        </w:tc>
        <w:tc>
          <w:tcPr>
            <w:tcW w:w="992" w:type="dxa"/>
          </w:tcPr>
          <w:p w14:paraId="042D5501" w14:textId="59D362D8" w:rsidR="00C47CC3" w:rsidRPr="00A30BD9" w:rsidRDefault="00C47CC3" w:rsidP="000A5698">
            <w:pPr>
              <w:pStyle w:val="Tabletext"/>
              <w:ind w:left="0" w:right="0"/>
              <w:rPr>
                <w:sz w:val="18"/>
                <w:szCs w:val="18"/>
              </w:rPr>
            </w:pPr>
            <w:r w:rsidRPr="00A30BD9">
              <w:rPr>
                <w:sz w:val="18"/>
                <w:szCs w:val="18"/>
              </w:rPr>
              <w:t>15</w:t>
            </w:r>
            <w:r w:rsidR="002D66CB" w:rsidRPr="00A30BD9">
              <w:rPr>
                <w:sz w:val="18"/>
                <w:szCs w:val="18"/>
              </w:rPr>
              <w:br/>
            </w:r>
            <w:r w:rsidRPr="00A30BD9">
              <w:rPr>
                <w:sz w:val="18"/>
                <w:szCs w:val="18"/>
              </w:rPr>
              <w:t>(71)</w:t>
            </w:r>
          </w:p>
        </w:tc>
        <w:tc>
          <w:tcPr>
            <w:tcW w:w="850" w:type="dxa"/>
          </w:tcPr>
          <w:p w14:paraId="5A22C4A7" w14:textId="77777777" w:rsidR="00C47CC3" w:rsidRPr="00A30BD9" w:rsidRDefault="00C47CC3" w:rsidP="000A5698">
            <w:pPr>
              <w:pStyle w:val="Tabletext"/>
              <w:ind w:left="0" w:right="0"/>
              <w:rPr>
                <w:sz w:val="18"/>
                <w:szCs w:val="18"/>
              </w:rPr>
            </w:pPr>
            <w:r w:rsidRPr="00A30BD9">
              <w:rPr>
                <w:sz w:val="18"/>
                <w:szCs w:val="18"/>
              </w:rPr>
              <w:t>138 (91.4)</w:t>
            </w:r>
          </w:p>
        </w:tc>
        <w:tc>
          <w:tcPr>
            <w:tcW w:w="993" w:type="dxa"/>
          </w:tcPr>
          <w:p w14:paraId="02DF2AD7" w14:textId="1D83EF88" w:rsidR="00C47CC3" w:rsidRPr="00A30BD9" w:rsidRDefault="00C47CC3" w:rsidP="000A5698">
            <w:pPr>
              <w:pStyle w:val="Tabletext"/>
              <w:ind w:left="0" w:right="0"/>
              <w:rPr>
                <w:sz w:val="18"/>
                <w:szCs w:val="18"/>
              </w:rPr>
            </w:pPr>
            <w:r w:rsidRPr="00A30BD9">
              <w:rPr>
                <w:sz w:val="18"/>
                <w:szCs w:val="18"/>
              </w:rPr>
              <w:t>39</w:t>
            </w:r>
            <w:r w:rsidR="002D66CB" w:rsidRPr="00A30BD9">
              <w:rPr>
                <w:sz w:val="18"/>
                <w:szCs w:val="18"/>
              </w:rPr>
              <w:br/>
            </w:r>
            <w:r w:rsidRPr="00A30BD9">
              <w:rPr>
                <w:sz w:val="18"/>
                <w:szCs w:val="18"/>
              </w:rPr>
              <w:t>(81.3)</w:t>
            </w:r>
          </w:p>
        </w:tc>
      </w:tr>
      <w:tr w:rsidR="0059470F" w:rsidRPr="00A30BD9" w14:paraId="451E0BB7" w14:textId="77777777" w:rsidTr="00A30BD9">
        <w:trPr>
          <w:trHeight w:val="240"/>
        </w:trPr>
        <w:tc>
          <w:tcPr>
            <w:tcW w:w="983" w:type="dxa"/>
            <w:gridSpan w:val="2"/>
          </w:tcPr>
          <w:p w14:paraId="0289A592" w14:textId="7BA29EBF" w:rsidR="00C47CC3" w:rsidRPr="00A30BD9" w:rsidRDefault="00C47CC3" w:rsidP="000A5698">
            <w:pPr>
              <w:pStyle w:val="Tabletext"/>
              <w:ind w:left="0" w:right="0"/>
              <w:rPr>
                <w:sz w:val="18"/>
                <w:szCs w:val="18"/>
              </w:rPr>
            </w:pPr>
            <w:r w:rsidRPr="00A30BD9">
              <w:rPr>
                <w:sz w:val="18"/>
                <w:szCs w:val="18"/>
              </w:rPr>
              <w:t>Drug-related AEs, excl</w:t>
            </w:r>
            <w:r w:rsidR="000A5698" w:rsidRPr="00A30BD9">
              <w:rPr>
                <w:sz w:val="18"/>
                <w:szCs w:val="18"/>
              </w:rPr>
              <w:t>uding</w:t>
            </w:r>
            <w:r w:rsidRPr="00A30BD9">
              <w:rPr>
                <w:sz w:val="18"/>
                <w:szCs w:val="18"/>
              </w:rPr>
              <w:t xml:space="preserve"> ISRs</w:t>
            </w:r>
          </w:p>
        </w:tc>
        <w:tc>
          <w:tcPr>
            <w:tcW w:w="850" w:type="dxa"/>
          </w:tcPr>
          <w:p w14:paraId="75A18729" w14:textId="77777777" w:rsidR="00C47CC3" w:rsidRPr="00A30BD9" w:rsidRDefault="00C47CC3" w:rsidP="000A5698">
            <w:pPr>
              <w:pStyle w:val="Tabletext"/>
              <w:ind w:left="0" w:right="0"/>
              <w:rPr>
                <w:sz w:val="18"/>
                <w:szCs w:val="18"/>
              </w:rPr>
            </w:pPr>
            <w:r w:rsidRPr="00A30BD9">
              <w:rPr>
                <w:sz w:val="18"/>
                <w:szCs w:val="18"/>
              </w:rPr>
              <w:t>1075 (47)</w:t>
            </w:r>
          </w:p>
        </w:tc>
        <w:tc>
          <w:tcPr>
            <w:tcW w:w="992" w:type="dxa"/>
          </w:tcPr>
          <w:p w14:paraId="50CB27C8" w14:textId="77777777" w:rsidR="00C47CC3" w:rsidRPr="00A30BD9" w:rsidRDefault="00C47CC3" w:rsidP="000A5698">
            <w:pPr>
              <w:pStyle w:val="Tabletext"/>
              <w:ind w:left="0" w:right="0"/>
              <w:rPr>
                <w:sz w:val="18"/>
                <w:szCs w:val="18"/>
              </w:rPr>
            </w:pPr>
            <w:r w:rsidRPr="00A30BD9">
              <w:rPr>
                <w:sz w:val="18"/>
                <w:szCs w:val="18"/>
              </w:rPr>
              <w:t>1134 (50)</w:t>
            </w:r>
          </w:p>
        </w:tc>
        <w:tc>
          <w:tcPr>
            <w:tcW w:w="851" w:type="dxa"/>
          </w:tcPr>
          <w:p w14:paraId="1CC20630" w14:textId="4CF7870E" w:rsidR="00C47CC3" w:rsidRPr="00A30BD9" w:rsidRDefault="00C47CC3" w:rsidP="000A5698">
            <w:pPr>
              <w:pStyle w:val="Tabletext"/>
              <w:ind w:left="0" w:right="0"/>
              <w:rPr>
                <w:sz w:val="18"/>
                <w:szCs w:val="18"/>
              </w:rPr>
            </w:pPr>
            <w:r w:rsidRPr="00A30BD9">
              <w:rPr>
                <w:sz w:val="18"/>
                <w:szCs w:val="18"/>
              </w:rPr>
              <w:t>980</w:t>
            </w:r>
            <w:r w:rsidR="002D66CB" w:rsidRPr="00A30BD9">
              <w:rPr>
                <w:sz w:val="18"/>
                <w:szCs w:val="18"/>
              </w:rPr>
              <w:t xml:space="preserve"> </w:t>
            </w:r>
            <w:r w:rsidRPr="00A30BD9">
              <w:rPr>
                <w:sz w:val="18"/>
                <w:szCs w:val="18"/>
              </w:rPr>
              <w:t>(61)</w:t>
            </w:r>
          </w:p>
        </w:tc>
        <w:tc>
          <w:tcPr>
            <w:tcW w:w="992" w:type="dxa"/>
          </w:tcPr>
          <w:p w14:paraId="5A7433CE" w14:textId="77777777" w:rsidR="00C47CC3" w:rsidRPr="00A30BD9" w:rsidRDefault="00C47CC3" w:rsidP="000A5698">
            <w:pPr>
              <w:pStyle w:val="Tabletext"/>
              <w:ind w:left="0" w:right="0"/>
              <w:rPr>
                <w:sz w:val="18"/>
                <w:szCs w:val="18"/>
              </w:rPr>
            </w:pPr>
            <w:r w:rsidRPr="00A30BD9">
              <w:rPr>
                <w:sz w:val="18"/>
                <w:szCs w:val="18"/>
              </w:rPr>
              <w:t>998 (62)</w:t>
            </w:r>
          </w:p>
        </w:tc>
        <w:tc>
          <w:tcPr>
            <w:tcW w:w="851" w:type="dxa"/>
          </w:tcPr>
          <w:p w14:paraId="36F453E8" w14:textId="77777777" w:rsidR="00C47CC3" w:rsidRPr="00A30BD9" w:rsidRDefault="00C47CC3" w:rsidP="000A5698">
            <w:pPr>
              <w:pStyle w:val="Tabletext"/>
              <w:ind w:left="0" w:right="0"/>
              <w:rPr>
                <w:sz w:val="18"/>
                <w:szCs w:val="18"/>
              </w:rPr>
            </w:pPr>
            <w:r w:rsidRPr="00A30BD9">
              <w:rPr>
                <w:sz w:val="18"/>
                <w:szCs w:val="18"/>
              </w:rPr>
              <w:t>NA</w:t>
            </w:r>
          </w:p>
        </w:tc>
        <w:tc>
          <w:tcPr>
            <w:tcW w:w="992" w:type="dxa"/>
          </w:tcPr>
          <w:p w14:paraId="5643BE9A" w14:textId="77777777" w:rsidR="00C47CC3" w:rsidRPr="00A30BD9" w:rsidRDefault="00C47CC3" w:rsidP="000A5698">
            <w:pPr>
              <w:pStyle w:val="Tabletext"/>
              <w:ind w:left="0" w:right="0"/>
              <w:rPr>
                <w:sz w:val="18"/>
                <w:szCs w:val="18"/>
              </w:rPr>
            </w:pPr>
            <w:r w:rsidRPr="00A30BD9">
              <w:rPr>
                <w:sz w:val="18"/>
                <w:szCs w:val="18"/>
              </w:rPr>
              <w:t>NA</w:t>
            </w:r>
          </w:p>
        </w:tc>
        <w:tc>
          <w:tcPr>
            <w:tcW w:w="850" w:type="dxa"/>
          </w:tcPr>
          <w:p w14:paraId="7FF3F32E" w14:textId="7DC21311" w:rsidR="00C47CC3" w:rsidRPr="00A30BD9" w:rsidRDefault="00C47CC3" w:rsidP="000A5698">
            <w:pPr>
              <w:pStyle w:val="Tabletext"/>
              <w:ind w:left="0" w:right="0"/>
              <w:rPr>
                <w:sz w:val="18"/>
                <w:szCs w:val="18"/>
              </w:rPr>
            </w:pPr>
            <w:r w:rsidRPr="00A30BD9">
              <w:rPr>
                <w:sz w:val="18"/>
                <w:szCs w:val="18"/>
              </w:rPr>
              <w:t>118</w:t>
            </w:r>
            <w:r w:rsidR="002D66CB" w:rsidRPr="00A30BD9">
              <w:rPr>
                <w:sz w:val="18"/>
                <w:szCs w:val="18"/>
              </w:rPr>
              <w:t xml:space="preserve"> </w:t>
            </w:r>
            <w:r w:rsidRPr="00A30BD9">
              <w:rPr>
                <w:sz w:val="18"/>
                <w:szCs w:val="18"/>
              </w:rPr>
              <w:t>(78)</w:t>
            </w:r>
          </w:p>
        </w:tc>
        <w:tc>
          <w:tcPr>
            <w:tcW w:w="993" w:type="dxa"/>
          </w:tcPr>
          <w:p w14:paraId="4CC538BA" w14:textId="77777777" w:rsidR="00C47CC3" w:rsidRPr="00A30BD9" w:rsidRDefault="00C47CC3" w:rsidP="000A5698">
            <w:pPr>
              <w:pStyle w:val="Tabletext"/>
              <w:ind w:left="0" w:right="0"/>
              <w:rPr>
                <w:sz w:val="18"/>
                <w:szCs w:val="18"/>
              </w:rPr>
            </w:pPr>
            <w:r w:rsidRPr="00A30BD9">
              <w:rPr>
                <w:sz w:val="18"/>
                <w:szCs w:val="18"/>
              </w:rPr>
              <w:t>38 (79)</w:t>
            </w:r>
          </w:p>
        </w:tc>
      </w:tr>
      <w:tr w:rsidR="0059470F" w:rsidRPr="00A30BD9" w14:paraId="4ED1E440" w14:textId="77777777" w:rsidTr="00A30BD9">
        <w:trPr>
          <w:trHeight w:val="240"/>
        </w:trPr>
        <w:tc>
          <w:tcPr>
            <w:tcW w:w="983" w:type="dxa"/>
            <w:gridSpan w:val="2"/>
          </w:tcPr>
          <w:p w14:paraId="1ABA4DA1" w14:textId="77777777" w:rsidR="00C47CC3" w:rsidRPr="00A30BD9" w:rsidRDefault="00C47CC3" w:rsidP="000A5698">
            <w:pPr>
              <w:pStyle w:val="Tabletext"/>
              <w:ind w:left="0" w:right="0"/>
              <w:rPr>
                <w:sz w:val="18"/>
                <w:szCs w:val="18"/>
              </w:rPr>
            </w:pPr>
            <w:r w:rsidRPr="00A30BD9">
              <w:rPr>
                <w:sz w:val="18"/>
                <w:szCs w:val="18"/>
              </w:rPr>
              <w:t>ISR AE</w:t>
            </w:r>
          </w:p>
        </w:tc>
        <w:tc>
          <w:tcPr>
            <w:tcW w:w="850" w:type="dxa"/>
          </w:tcPr>
          <w:p w14:paraId="7840CB3D" w14:textId="77777777" w:rsidR="00C47CC3" w:rsidRPr="00A30BD9" w:rsidRDefault="00C47CC3" w:rsidP="000A5698">
            <w:pPr>
              <w:pStyle w:val="Tabletext"/>
              <w:ind w:left="0" w:right="0"/>
              <w:rPr>
                <w:sz w:val="18"/>
                <w:szCs w:val="18"/>
              </w:rPr>
            </w:pPr>
            <w:r w:rsidRPr="00A30BD9">
              <w:rPr>
                <w:sz w:val="18"/>
                <w:szCs w:val="18"/>
              </w:rPr>
              <w:t>1740 (76)</w:t>
            </w:r>
          </w:p>
        </w:tc>
        <w:tc>
          <w:tcPr>
            <w:tcW w:w="992" w:type="dxa"/>
          </w:tcPr>
          <w:p w14:paraId="68C1D460" w14:textId="77777777" w:rsidR="00C47CC3" w:rsidRPr="00A30BD9" w:rsidRDefault="00C47CC3" w:rsidP="000A5698">
            <w:pPr>
              <w:pStyle w:val="Tabletext"/>
              <w:ind w:left="0" w:right="0"/>
              <w:rPr>
                <w:sz w:val="18"/>
                <w:szCs w:val="18"/>
              </w:rPr>
            </w:pPr>
            <w:r w:rsidRPr="00A30BD9">
              <w:rPr>
                <w:sz w:val="18"/>
                <w:szCs w:val="18"/>
              </w:rPr>
              <w:t>726 (32)</w:t>
            </w:r>
          </w:p>
        </w:tc>
        <w:tc>
          <w:tcPr>
            <w:tcW w:w="851" w:type="dxa"/>
          </w:tcPr>
          <w:p w14:paraId="6EFD5265" w14:textId="77777777" w:rsidR="00C47CC3" w:rsidRPr="00A30BD9" w:rsidRDefault="00C47CC3" w:rsidP="000A5698">
            <w:pPr>
              <w:pStyle w:val="Tabletext"/>
              <w:ind w:left="0" w:right="0"/>
              <w:rPr>
                <w:sz w:val="18"/>
                <w:szCs w:val="18"/>
              </w:rPr>
            </w:pPr>
            <w:r w:rsidRPr="00A30BD9">
              <w:rPr>
                <w:sz w:val="18"/>
                <w:szCs w:val="18"/>
              </w:rPr>
              <w:t>578 (38)</w:t>
            </w:r>
          </w:p>
        </w:tc>
        <w:tc>
          <w:tcPr>
            <w:tcW w:w="992" w:type="dxa"/>
          </w:tcPr>
          <w:p w14:paraId="074EDFA3" w14:textId="77777777" w:rsidR="00C47CC3" w:rsidRPr="00A30BD9" w:rsidRDefault="00C47CC3" w:rsidP="000A5698">
            <w:pPr>
              <w:pStyle w:val="Tabletext"/>
              <w:ind w:left="0" w:right="0"/>
              <w:rPr>
                <w:sz w:val="18"/>
                <w:szCs w:val="18"/>
              </w:rPr>
            </w:pPr>
            <w:r w:rsidRPr="00A30BD9">
              <w:rPr>
                <w:sz w:val="18"/>
                <w:szCs w:val="18"/>
              </w:rPr>
              <w:t>166 (11)</w:t>
            </w:r>
          </w:p>
        </w:tc>
        <w:tc>
          <w:tcPr>
            <w:tcW w:w="851" w:type="dxa"/>
          </w:tcPr>
          <w:p w14:paraId="77E615E7" w14:textId="77777777" w:rsidR="00C47CC3" w:rsidRPr="00A30BD9" w:rsidRDefault="00C47CC3" w:rsidP="000A5698">
            <w:pPr>
              <w:pStyle w:val="Tabletext"/>
              <w:ind w:left="0" w:right="0"/>
              <w:rPr>
                <w:sz w:val="18"/>
                <w:szCs w:val="18"/>
              </w:rPr>
            </w:pPr>
            <w:r w:rsidRPr="00A30BD9">
              <w:rPr>
                <w:sz w:val="18"/>
                <w:szCs w:val="18"/>
              </w:rPr>
              <w:t>N=94</w:t>
            </w:r>
          </w:p>
          <w:p w14:paraId="50E326C5" w14:textId="77777777" w:rsidR="00C47CC3" w:rsidRPr="00A30BD9" w:rsidRDefault="00C47CC3" w:rsidP="000A5698">
            <w:pPr>
              <w:pStyle w:val="Tabletext"/>
              <w:ind w:left="0" w:right="0"/>
              <w:rPr>
                <w:sz w:val="18"/>
                <w:szCs w:val="18"/>
              </w:rPr>
            </w:pPr>
            <w:r w:rsidRPr="00A30BD9">
              <w:rPr>
                <w:sz w:val="18"/>
                <w:szCs w:val="18"/>
              </w:rPr>
              <w:t>87 (93)</w:t>
            </w:r>
          </w:p>
        </w:tc>
        <w:tc>
          <w:tcPr>
            <w:tcW w:w="992" w:type="dxa"/>
          </w:tcPr>
          <w:p w14:paraId="3553241E" w14:textId="77777777" w:rsidR="00C47CC3" w:rsidRPr="00A30BD9" w:rsidRDefault="00C47CC3" w:rsidP="000A5698">
            <w:pPr>
              <w:pStyle w:val="Tabletext"/>
              <w:ind w:left="0" w:right="0"/>
              <w:rPr>
                <w:sz w:val="18"/>
                <w:szCs w:val="18"/>
              </w:rPr>
            </w:pPr>
            <w:r w:rsidRPr="00A30BD9">
              <w:rPr>
                <w:sz w:val="18"/>
                <w:szCs w:val="18"/>
              </w:rPr>
              <w:t>N=21</w:t>
            </w:r>
          </w:p>
          <w:p w14:paraId="519D507D" w14:textId="77777777" w:rsidR="00C47CC3" w:rsidRPr="00A30BD9" w:rsidRDefault="00C47CC3" w:rsidP="000A5698">
            <w:pPr>
              <w:pStyle w:val="Tabletext"/>
              <w:ind w:left="0" w:right="0"/>
              <w:rPr>
                <w:sz w:val="18"/>
                <w:szCs w:val="18"/>
              </w:rPr>
            </w:pPr>
            <w:r w:rsidRPr="00A30BD9">
              <w:rPr>
                <w:sz w:val="18"/>
                <w:szCs w:val="18"/>
              </w:rPr>
              <w:t>12(57)</w:t>
            </w:r>
          </w:p>
        </w:tc>
        <w:tc>
          <w:tcPr>
            <w:tcW w:w="850" w:type="dxa"/>
          </w:tcPr>
          <w:p w14:paraId="1B25B117" w14:textId="77777777" w:rsidR="00C47CC3" w:rsidRPr="00A30BD9" w:rsidRDefault="00C47CC3" w:rsidP="000A5698">
            <w:pPr>
              <w:pStyle w:val="Tabletext"/>
              <w:ind w:left="0" w:right="0"/>
              <w:rPr>
                <w:sz w:val="18"/>
                <w:szCs w:val="18"/>
              </w:rPr>
            </w:pPr>
            <w:r w:rsidRPr="00A30BD9">
              <w:rPr>
                <w:sz w:val="18"/>
                <w:szCs w:val="18"/>
              </w:rPr>
              <w:t>N=134</w:t>
            </w:r>
          </w:p>
          <w:p w14:paraId="1007857E" w14:textId="77777777" w:rsidR="00C47CC3" w:rsidRPr="00A30BD9" w:rsidRDefault="00C47CC3" w:rsidP="000A5698">
            <w:pPr>
              <w:pStyle w:val="Tabletext"/>
              <w:ind w:left="0" w:right="0"/>
              <w:rPr>
                <w:sz w:val="18"/>
                <w:szCs w:val="18"/>
              </w:rPr>
            </w:pPr>
            <w:r w:rsidRPr="00A30BD9">
              <w:rPr>
                <w:sz w:val="18"/>
                <w:szCs w:val="18"/>
              </w:rPr>
              <w:t>121 (90.3)</w:t>
            </w:r>
          </w:p>
        </w:tc>
        <w:tc>
          <w:tcPr>
            <w:tcW w:w="993" w:type="dxa"/>
          </w:tcPr>
          <w:p w14:paraId="0B98E6DA" w14:textId="77777777" w:rsidR="00C47CC3" w:rsidRPr="00A30BD9" w:rsidRDefault="00C47CC3" w:rsidP="000A5698">
            <w:pPr>
              <w:pStyle w:val="Tabletext"/>
              <w:ind w:left="0" w:right="0"/>
              <w:rPr>
                <w:sz w:val="18"/>
                <w:szCs w:val="18"/>
              </w:rPr>
            </w:pPr>
            <w:r w:rsidRPr="00A30BD9">
              <w:rPr>
                <w:sz w:val="18"/>
                <w:szCs w:val="18"/>
              </w:rPr>
              <w:t>N=43</w:t>
            </w:r>
          </w:p>
          <w:p w14:paraId="03DCF5E4" w14:textId="77777777" w:rsidR="00C47CC3" w:rsidRPr="00A30BD9" w:rsidRDefault="00C47CC3" w:rsidP="000A5698">
            <w:pPr>
              <w:pStyle w:val="Tabletext"/>
              <w:ind w:left="0" w:right="0"/>
              <w:rPr>
                <w:sz w:val="18"/>
                <w:szCs w:val="18"/>
              </w:rPr>
            </w:pPr>
            <w:r w:rsidRPr="00A30BD9">
              <w:rPr>
                <w:sz w:val="18"/>
                <w:szCs w:val="18"/>
              </w:rPr>
              <w:t>38 (88.4)</w:t>
            </w:r>
          </w:p>
        </w:tc>
      </w:tr>
      <w:tr w:rsidR="0059470F" w:rsidRPr="00A30BD9" w14:paraId="5E5AC07D" w14:textId="77777777" w:rsidTr="00A30BD9">
        <w:trPr>
          <w:trHeight w:val="240"/>
        </w:trPr>
        <w:tc>
          <w:tcPr>
            <w:tcW w:w="983" w:type="dxa"/>
            <w:gridSpan w:val="2"/>
          </w:tcPr>
          <w:p w14:paraId="652E3C78" w14:textId="77777777" w:rsidR="003768A7" w:rsidRPr="00A30BD9" w:rsidRDefault="003768A7" w:rsidP="000A5698">
            <w:pPr>
              <w:pStyle w:val="Tabletext"/>
              <w:ind w:left="0" w:right="0"/>
              <w:rPr>
                <w:b/>
                <w:bCs/>
                <w:sz w:val="18"/>
                <w:szCs w:val="18"/>
              </w:rPr>
            </w:pPr>
            <w:r w:rsidRPr="00A30BD9">
              <w:rPr>
                <w:b/>
                <w:bCs/>
                <w:sz w:val="18"/>
                <w:szCs w:val="18"/>
              </w:rPr>
              <w:t>Any Grade 2-5 AEs</w:t>
            </w:r>
          </w:p>
        </w:tc>
        <w:tc>
          <w:tcPr>
            <w:tcW w:w="850" w:type="dxa"/>
          </w:tcPr>
          <w:p w14:paraId="39D2C3E7" w14:textId="77777777" w:rsidR="003768A7" w:rsidRPr="00A30BD9" w:rsidRDefault="003768A7" w:rsidP="000A5698">
            <w:pPr>
              <w:pStyle w:val="Tabletext"/>
              <w:ind w:left="0" w:right="0"/>
              <w:rPr>
                <w:sz w:val="18"/>
                <w:szCs w:val="18"/>
              </w:rPr>
            </w:pPr>
            <w:r w:rsidRPr="00A30BD9">
              <w:rPr>
                <w:sz w:val="18"/>
                <w:szCs w:val="18"/>
              </w:rPr>
              <w:t>1022 (48)</w:t>
            </w:r>
          </w:p>
        </w:tc>
        <w:tc>
          <w:tcPr>
            <w:tcW w:w="992" w:type="dxa"/>
          </w:tcPr>
          <w:p w14:paraId="65B23581" w14:textId="77777777" w:rsidR="003768A7" w:rsidRPr="00A30BD9" w:rsidRDefault="003768A7" w:rsidP="000A5698">
            <w:pPr>
              <w:pStyle w:val="Tabletext"/>
              <w:ind w:left="0" w:right="0"/>
              <w:rPr>
                <w:sz w:val="18"/>
                <w:szCs w:val="18"/>
              </w:rPr>
            </w:pPr>
            <w:r w:rsidRPr="00A30BD9">
              <w:rPr>
                <w:sz w:val="18"/>
                <w:szCs w:val="18"/>
              </w:rPr>
              <w:t>139 (7)</w:t>
            </w:r>
          </w:p>
        </w:tc>
        <w:tc>
          <w:tcPr>
            <w:tcW w:w="851" w:type="dxa"/>
          </w:tcPr>
          <w:p w14:paraId="00BB85BC" w14:textId="77777777" w:rsidR="003768A7" w:rsidRPr="00A30BD9" w:rsidRDefault="003768A7" w:rsidP="000A5698">
            <w:pPr>
              <w:pStyle w:val="Tabletext"/>
              <w:ind w:left="0" w:right="0"/>
              <w:rPr>
                <w:sz w:val="18"/>
                <w:szCs w:val="18"/>
              </w:rPr>
            </w:pPr>
            <w:r w:rsidRPr="00A30BD9">
              <w:rPr>
                <w:sz w:val="18"/>
                <w:szCs w:val="18"/>
              </w:rPr>
              <w:t>196 (13)</w:t>
            </w:r>
          </w:p>
        </w:tc>
        <w:tc>
          <w:tcPr>
            <w:tcW w:w="992" w:type="dxa"/>
          </w:tcPr>
          <w:p w14:paraId="3506380B" w14:textId="77777777" w:rsidR="003768A7" w:rsidRPr="00A30BD9" w:rsidRDefault="003768A7" w:rsidP="000A5698">
            <w:pPr>
              <w:pStyle w:val="Tabletext"/>
              <w:ind w:left="0" w:right="0"/>
              <w:rPr>
                <w:sz w:val="18"/>
                <w:szCs w:val="18"/>
              </w:rPr>
            </w:pPr>
            <w:r w:rsidRPr="00A30BD9">
              <w:rPr>
                <w:sz w:val="18"/>
                <w:szCs w:val="18"/>
              </w:rPr>
              <w:t>27 (2)</w:t>
            </w:r>
          </w:p>
        </w:tc>
        <w:tc>
          <w:tcPr>
            <w:tcW w:w="851" w:type="dxa"/>
          </w:tcPr>
          <w:p w14:paraId="4AA0C10F" w14:textId="77777777" w:rsidR="003768A7" w:rsidRPr="00A30BD9" w:rsidRDefault="003768A7" w:rsidP="000A5698">
            <w:pPr>
              <w:pStyle w:val="Tabletext"/>
              <w:ind w:left="0" w:right="0"/>
              <w:rPr>
                <w:sz w:val="18"/>
                <w:szCs w:val="18"/>
              </w:rPr>
            </w:pPr>
            <w:r w:rsidRPr="00A30BD9">
              <w:rPr>
                <w:sz w:val="18"/>
                <w:szCs w:val="18"/>
              </w:rPr>
              <w:t>75 (80)</w:t>
            </w:r>
          </w:p>
        </w:tc>
        <w:tc>
          <w:tcPr>
            <w:tcW w:w="992" w:type="dxa"/>
          </w:tcPr>
          <w:p w14:paraId="141B313C" w14:textId="77777777" w:rsidR="003768A7" w:rsidRPr="00A30BD9" w:rsidRDefault="003768A7" w:rsidP="000A5698">
            <w:pPr>
              <w:pStyle w:val="Tabletext"/>
              <w:ind w:left="0" w:right="0"/>
              <w:rPr>
                <w:sz w:val="18"/>
                <w:szCs w:val="18"/>
              </w:rPr>
            </w:pPr>
            <w:r w:rsidRPr="00A30BD9">
              <w:rPr>
                <w:sz w:val="18"/>
                <w:szCs w:val="18"/>
              </w:rPr>
              <w:t>10 (48)</w:t>
            </w:r>
          </w:p>
        </w:tc>
        <w:tc>
          <w:tcPr>
            <w:tcW w:w="850" w:type="dxa"/>
          </w:tcPr>
          <w:p w14:paraId="723C7F3E" w14:textId="77777777" w:rsidR="003768A7" w:rsidRPr="00A30BD9" w:rsidRDefault="003768A7" w:rsidP="000A5698">
            <w:pPr>
              <w:pStyle w:val="Tabletext"/>
              <w:ind w:left="0" w:right="0"/>
              <w:rPr>
                <w:sz w:val="18"/>
                <w:szCs w:val="18"/>
              </w:rPr>
            </w:pPr>
            <w:r w:rsidRPr="00A30BD9">
              <w:rPr>
                <w:sz w:val="18"/>
                <w:szCs w:val="18"/>
              </w:rPr>
              <w:t>121 (90.3)</w:t>
            </w:r>
          </w:p>
        </w:tc>
        <w:tc>
          <w:tcPr>
            <w:tcW w:w="993" w:type="dxa"/>
          </w:tcPr>
          <w:p w14:paraId="15EA736C" w14:textId="77777777" w:rsidR="003768A7" w:rsidRPr="00A30BD9" w:rsidRDefault="003768A7" w:rsidP="000A5698">
            <w:pPr>
              <w:pStyle w:val="Tabletext"/>
              <w:ind w:left="0" w:right="0"/>
              <w:rPr>
                <w:sz w:val="18"/>
                <w:szCs w:val="18"/>
              </w:rPr>
            </w:pPr>
            <w:r w:rsidRPr="00A30BD9">
              <w:rPr>
                <w:sz w:val="18"/>
                <w:szCs w:val="18"/>
              </w:rPr>
              <w:t>38 (88.4)</w:t>
            </w:r>
          </w:p>
        </w:tc>
      </w:tr>
      <w:tr w:rsidR="0059470F" w:rsidRPr="00A30BD9" w14:paraId="09F45A5B" w14:textId="77777777" w:rsidTr="00A30BD9">
        <w:trPr>
          <w:trHeight w:val="240"/>
        </w:trPr>
        <w:tc>
          <w:tcPr>
            <w:tcW w:w="983" w:type="dxa"/>
            <w:gridSpan w:val="2"/>
          </w:tcPr>
          <w:p w14:paraId="5A975579" w14:textId="77777777" w:rsidR="003768A7" w:rsidRPr="00A30BD9" w:rsidRDefault="003768A7" w:rsidP="000A5698">
            <w:pPr>
              <w:pStyle w:val="Tabletext"/>
              <w:ind w:left="0" w:right="0"/>
              <w:rPr>
                <w:b/>
                <w:bCs/>
                <w:sz w:val="18"/>
                <w:szCs w:val="18"/>
              </w:rPr>
            </w:pPr>
            <w:r w:rsidRPr="00A30BD9">
              <w:rPr>
                <w:b/>
                <w:bCs/>
                <w:sz w:val="18"/>
                <w:szCs w:val="18"/>
              </w:rPr>
              <w:t>AEs leading to study drug discontinuation</w:t>
            </w:r>
          </w:p>
        </w:tc>
        <w:tc>
          <w:tcPr>
            <w:tcW w:w="850" w:type="dxa"/>
          </w:tcPr>
          <w:p w14:paraId="7AB6E988" w14:textId="77777777" w:rsidR="003768A7" w:rsidRPr="00A30BD9" w:rsidRDefault="003768A7" w:rsidP="000A5698">
            <w:pPr>
              <w:pStyle w:val="Tabletext"/>
              <w:ind w:left="0" w:right="0"/>
              <w:rPr>
                <w:sz w:val="18"/>
                <w:szCs w:val="18"/>
              </w:rPr>
            </w:pPr>
            <w:r w:rsidRPr="00A30BD9">
              <w:rPr>
                <w:sz w:val="18"/>
                <w:szCs w:val="18"/>
              </w:rPr>
              <w:t>135 (6)</w:t>
            </w:r>
          </w:p>
        </w:tc>
        <w:tc>
          <w:tcPr>
            <w:tcW w:w="992" w:type="dxa"/>
          </w:tcPr>
          <w:p w14:paraId="5629F9CB" w14:textId="77777777" w:rsidR="003768A7" w:rsidRPr="00A30BD9" w:rsidRDefault="003768A7" w:rsidP="000A5698">
            <w:pPr>
              <w:pStyle w:val="Tabletext"/>
              <w:ind w:left="0" w:right="0"/>
              <w:rPr>
                <w:sz w:val="18"/>
                <w:szCs w:val="18"/>
              </w:rPr>
            </w:pPr>
            <w:r w:rsidRPr="00A30BD9">
              <w:rPr>
                <w:sz w:val="18"/>
                <w:szCs w:val="18"/>
              </w:rPr>
              <w:t>91 (4)</w:t>
            </w:r>
          </w:p>
        </w:tc>
        <w:tc>
          <w:tcPr>
            <w:tcW w:w="851" w:type="dxa"/>
          </w:tcPr>
          <w:p w14:paraId="2360D676" w14:textId="77777777" w:rsidR="003768A7" w:rsidRPr="00A30BD9" w:rsidRDefault="003768A7" w:rsidP="000A5698">
            <w:pPr>
              <w:pStyle w:val="Tabletext"/>
              <w:ind w:left="0" w:right="0"/>
              <w:rPr>
                <w:sz w:val="18"/>
                <w:szCs w:val="18"/>
              </w:rPr>
            </w:pPr>
            <w:r w:rsidRPr="00A30BD9">
              <w:rPr>
                <w:sz w:val="18"/>
                <w:szCs w:val="18"/>
              </w:rPr>
              <w:t xml:space="preserve">17 (1) </w:t>
            </w:r>
          </w:p>
        </w:tc>
        <w:tc>
          <w:tcPr>
            <w:tcW w:w="992" w:type="dxa"/>
          </w:tcPr>
          <w:p w14:paraId="55102E0E" w14:textId="77777777" w:rsidR="003768A7" w:rsidRPr="00A30BD9" w:rsidRDefault="003768A7" w:rsidP="000A5698">
            <w:pPr>
              <w:pStyle w:val="Tabletext"/>
              <w:ind w:left="0" w:right="0"/>
              <w:rPr>
                <w:sz w:val="18"/>
                <w:szCs w:val="18"/>
              </w:rPr>
            </w:pPr>
            <w:r w:rsidRPr="00A30BD9">
              <w:rPr>
                <w:sz w:val="18"/>
                <w:szCs w:val="18"/>
              </w:rPr>
              <w:t>22 (1)</w:t>
            </w:r>
          </w:p>
        </w:tc>
        <w:tc>
          <w:tcPr>
            <w:tcW w:w="851" w:type="dxa"/>
          </w:tcPr>
          <w:p w14:paraId="68C3A9F9" w14:textId="77777777" w:rsidR="003768A7" w:rsidRPr="00A30BD9" w:rsidRDefault="003768A7" w:rsidP="000A5698">
            <w:pPr>
              <w:pStyle w:val="Tabletext"/>
              <w:ind w:left="0" w:right="0"/>
              <w:rPr>
                <w:sz w:val="18"/>
                <w:szCs w:val="18"/>
              </w:rPr>
            </w:pPr>
            <w:r w:rsidRPr="00A30BD9">
              <w:rPr>
                <w:sz w:val="18"/>
                <w:szCs w:val="18"/>
              </w:rPr>
              <w:t>7 (7)</w:t>
            </w:r>
          </w:p>
        </w:tc>
        <w:tc>
          <w:tcPr>
            <w:tcW w:w="992" w:type="dxa"/>
          </w:tcPr>
          <w:p w14:paraId="355C9BF6" w14:textId="77777777" w:rsidR="003768A7" w:rsidRPr="00A30BD9" w:rsidRDefault="003768A7" w:rsidP="000A5698">
            <w:pPr>
              <w:pStyle w:val="Tabletext"/>
              <w:ind w:left="0" w:right="0"/>
              <w:rPr>
                <w:sz w:val="18"/>
                <w:szCs w:val="18"/>
              </w:rPr>
            </w:pPr>
            <w:r w:rsidRPr="00A30BD9">
              <w:rPr>
                <w:sz w:val="18"/>
                <w:szCs w:val="18"/>
              </w:rPr>
              <w:t>1 (5)</w:t>
            </w:r>
          </w:p>
        </w:tc>
        <w:tc>
          <w:tcPr>
            <w:tcW w:w="850" w:type="dxa"/>
          </w:tcPr>
          <w:p w14:paraId="3CD7F26D" w14:textId="77777777" w:rsidR="003768A7" w:rsidRPr="00A30BD9" w:rsidRDefault="003768A7" w:rsidP="000A5698">
            <w:pPr>
              <w:pStyle w:val="Tabletext"/>
              <w:ind w:left="0" w:right="0"/>
              <w:rPr>
                <w:sz w:val="18"/>
                <w:szCs w:val="18"/>
              </w:rPr>
            </w:pPr>
            <w:r w:rsidRPr="00A30BD9">
              <w:rPr>
                <w:sz w:val="18"/>
                <w:szCs w:val="18"/>
              </w:rPr>
              <w:t>18 (11.9)</w:t>
            </w:r>
          </w:p>
        </w:tc>
        <w:tc>
          <w:tcPr>
            <w:tcW w:w="993" w:type="dxa"/>
          </w:tcPr>
          <w:p w14:paraId="437C1311" w14:textId="77777777" w:rsidR="003768A7" w:rsidRPr="00A30BD9" w:rsidRDefault="003768A7" w:rsidP="000A5698">
            <w:pPr>
              <w:pStyle w:val="Tabletext"/>
              <w:ind w:left="0" w:right="0"/>
              <w:rPr>
                <w:sz w:val="18"/>
                <w:szCs w:val="18"/>
              </w:rPr>
            </w:pPr>
            <w:r w:rsidRPr="00A30BD9">
              <w:rPr>
                <w:sz w:val="18"/>
                <w:szCs w:val="18"/>
              </w:rPr>
              <w:t>2 (4.2)</w:t>
            </w:r>
          </w:p>
        </w:tc>
      </w:tr>
      <w:tr w:rsidR="0059470F" w:rsidRPr="00A30BD9" w14:paraId="685E8741" w14:textId="77777777" w:rsidTr="00A30BD9">
        <w:trPr>
          <w:trHeight w:val="240"/>
        </w:trPr>
        <w:tc>
          <w:tcPr>
            <w:tcW w:w="983" w:type="dxa"/>
            <w:gridSpan w:val="2"/>
          </w:tcPr>
          <w:p w14:paraId="7E3B0D1A" w14:textId="77777777" w:rsidR="003768A7" w:rsidRPr="00A30BD9" w:rsidRDefault="003768A7" w:rsidP="000A5698">
            <w:pPr>
              <w:pStyle w:val="Tabletext"/>
              <w:ind w:left="0" w:right="0"/>
              <w:rPr>
                <w:b/>
                <w:bCs/>
                <w:sz w:val="18"/>
                <w:szCs w:val="18"/>
              </w:rPr>
            </w:pPr>
            <w:r w:rsidRPr="00A30BD9">
              <w:rPr>
                <w:b/>
                <w:bCs/>
                <w:sz w:val="18"/>
                <w:szCs w:val="18"/>
              </w:rPr>
              <w:t>Any SAE</w:t>
            </w:r>
          </w:p>
        </w:tc>
        <w:tc>
          <w:tcPr>
            <w:tcW w:w="850" w:type="dxa"/>
          </w:tcPr>
          <w:p w14:paraId="3A72998E" w14:textId="77777777" w:rsidR="003768A7" w:rsidRPr="00A30BD9" w:rsidRDefault="003768A7" w:rsidP="000A5698">
            <w:pPr>
              <w:pStyle w:val="Tabletext"/>
              <w:ind w:left="0" w:right="0"/>
              <w:rPr>
                <w:sz w:val="18"/>
                <w:szCs w:val="18"/>
              </w:rPr>
            </w:pPr>
            <w:r w:rsidRPr="00A30BD9">
              <w:rPr>
                <w:sz w:val="18"/>
                <w:szCs w:val="18"/>
              </w:rPr>
              <w:t>109 (5)</w:t>
            </w:r>
          </w:p>
        </w:tc>
        <w:tc>
          <w:tcPr>
            <w:tcW w:w="992" w:type="dxa"/>
          </w:tcPr>
          <w:p w14:paraId="5979A0D8" w14:textId="77777777" w:rsidR="003768A7" w:rsidRPr="00A30BD9" w:rsidRDefault="003768A7" w:rsidP="000A5698">
            <w:pPr>
              <w:pStyle w:val="Tabletext"/>
              <w:ind w:left="0" w:right="0"/>
              <w:rPr>
                <w:sz w:val="18"/>
                <w:szCs w:val="18"/>
              </w:rPr>
            </w:pPr>
            <w:r w:rsidRPr="00A30BD9">
              <w:rPr>
                <w:sz w:val="18"/>
                <w:szCs w:val="18"/>
              </w:rPr>
              <w:t>104 (5)</w:t>
            </w:r>
          </w:p>
        </w:tc>
        <w:tc>
          <w:tcPr>
            <w:tcW w:w="851" w:type="dxa"/>
          </w:tcPr>
          <w:p w14:paraId="2A1C6A84" w14:textId="77777777" w:rsidR="003768A7" w:rsidRPr="00A30BD9" w:rsidRDefault="003768A7" w:rsidP="000A5698">
            <w:pPr>
              <w:pStyle w:val="Tabletext"/>
              <w:ind w:left="0" w:right="0"/>
              <w:rPr>
                <w:sz w:val="18"/>
                <w:szCs w:val="18"/>
              </w:rPr>
            </w:pPr>
            <w:r w:rsidRPr="00A30BD9">
              <w:rPr>
                <w:sz w:val="18"/>
                <w:szCs w:val="18"/>
              </w:rPr>
              <w:t>25 (2)</w:t>
            </w:r>
          </w:p>
        </w:tc>
        <w:tc>
          <w:tcPr>
            <w:tcW w:w="992" w:type="dxa"/>
          </w:tcPr>
          <w:p w14:paraId="1F2F20F2" w14:textId="77777777" w:rsidR="003768A7" w:rsidRPr="00A30BD9" w:rsidRDefault="003768A7" w:rsidP="000A5698">
            <w:pPr>
              <w:pStyle w:val="Tabletext"/>
              <w:ind w:left="0" w:right="0"/>
              <w:rPr>
                <w:sz w:val="18"/>
                <w:szCs w:val="18"/>
              </w:rPr>
            </w:pPr>
            <w:r w:rsidRPr="00A30BD9">
              <w:rPr>
                <w:sz w:val="18"/>
                <w:szCs w:val="18"/>
              </w:rPr>
              <w:t>33 (2)</w:t>
            </w:r>
          </w:p>
        </w:tc>
        <w:tc>
          <w:tcPr>
            <w:tcW w:w="851" w:type="dxa"/>
          </w:tcPr>
          <w:p w14:paraId="6E0FB954" w14:textId="77777777" w:rsidR="003768A7" w:rsidRPr="00A30BD9" w:rsidRDefault="003768A7" w:rsidP="000A5698">
            <w:pPr>
              <w:pStyle w:val="Tabletext"/>
              <w:ind w:left="0" w:right="0"/>
              <w:rPr>
                <w:sz w:val="18"/>
                <w:szCs w:val="18"/>
              </w:rPr>
            </w:pPr>
            <w:r w:rsidRPr="00A30BD9">
              <w:rPr>
                <w:sz w:val="18"/>
                <w:szCs w:val="18"/>
              </w:rPr>
              <w:t>1 (&lt;1)</w:t>
            </w:r>
          </w:p>
        </w:tc>
        <w:tc>
          <w:tcPr>
            <w:tcW w:w="992" w:type="dxa"/>
          </w:tcPr>
          <w:p w14:paraId="6C45CE6A" w14:textId="77777777" w:rsidR="003768A7" w:rsidRPr="00A30BD9" w:rsidRDefault="003768A7" w:rsidP="000A5698">
            <w:pPr>
              <w:pStyle w:val="Tabletext"/>
              <w:ind w:left="0" w:right="0"/>
              <w:rPr>
                <w:sz w:val="18"/>
                <w:szCs w:val="18"/>
              </w:rPr>
            </w:pPr>
            <w:r w:rsidRPr="00A30BD9">
              <w:rPr>
                <w:sz w:val="18"/>
                <w:szCs w:val="18"/>
              </w:rPr>
              <w:t>1 (5)</w:t>
            </w:r>
          </w:p>
        </w:tc>
        <w:tc>
          <w:tcPr>
            <w:tcW w:w="850" w:type="dxa"/>
          </w:tcPr>
          <w:p w14:paraId="4D0C9EEF" w14:textId="77777777" w:rsidR="003768A7" w:rsidRPr="00A30BD9" w:rsidRDefault="003768A7" w:rsidP="000A5698">
            <w:pPr>
              <w:pStyle w:val="Tabletext"/>
              <w:ind w:left="0" w:right="0"/>
              <w:rPr>
                <w:sz w:val="18"/>
                <w:szCs w:val="18"/>
              </w:rPr>
            </w:pPr>
            <w:r w:rsidRPr="00A30BD9">
              <w:rPr>
                <w:sz w:val="18"/>
                <w:szCs w:val="18"/>
              </w:rPr>
              <w:t>2 (1)</w:t>
            </w:r>
          </w:p>
        </w:tc>
        <w:tc>
          <w:tcPr>
            <w:tcW w:w="993" w:type="dxa"/>
          </w:tcPr>
          <w:p w14:paraId="783A1C59" w14:textId="77777777" w:rsidR="003768A7" w:rsidRPr="00A30BD9" w:rsidRDefault="003768A7" w:rsidP="000A5698">
            <w:pPr>
              <w:pStyle w:val="Tabletext"/>
              <w:ind w:left="0" w:right="0"/>
              <w:rPr>
                <w:sz w:val="18"/>
                <w:szCs w:val="18"/>
              </w:rPr>
            </w:pPr>
            <w:r w:rsidRPr="00A30BD9">
              <w:rPr>
                <w:sz w:val="18"/>
                <w:szCs w:val="18"/>
              </w:rPr>
              <w:t>0</w:t>
            </w:r>
          </w:p>
        </w:tc>
      </w:tr>
      <w:tr w:rsidR="0059470F" w:rsidRPr="00A30BD9" w14:paraId="01D9A478" w14:textId="77777777" w:rsidTr="00A30BD9">
        <w:trPr>
          <w:trHeight w:val="240"/>
        </w:trPr>
        <w:tc>
          <w:tcPr>
            <w:tcW w:w="983" w:type="dxa"/>
            <w:gridSpan w:val="2"/>
          </w:tcPr>
          <w:p w14:paraId="42F8FE4B" w14:textId="77777777" w:rsidR="00C47CC3" w:rsidRPr="00A30BD9" w:rsidRDefault="00C47CC3" w:rsidP="000A5698">
            <w:pPr>
              <w:pStyle w:val="Tabletext"/>
              <w:ind w:left="0" w:right="0"/>
              <w:rPr>
                <w:sz w:val="18"/>
                <w:szCs w:val="18"/>
              </w:rPr>
            </w:pPr>
            <w:r w:rsidRPr="00A30BD9">
              <w:rPr>
                <w:sz w:val="18"/>
                <w:szCs w:val="18"/>
              </w:rPr>
              <w:t>Drug-related SAEs</w:t>
            </w:r>
          </w:p>
        </w:tc>
        <w:tc>
          <w:tcPr>
            <w:tcW w:w="850" w:type="dxa"/>
          </w:tcPr>
          <w:p w14:paraId="654060D4" w14:textId="77777777" w:rsidR="00C47CC3" w:rsidRPr="00A30BD9" w:rsidRDefault="00C47CC3" w:rsidP="000A5698">
            <w:pPr>
              <w:pStyle w:val="Tabletext"/>
              <w:ind w:left="0" w:right="0"/>
              <w:rPr>
                <w:sz w:val="18"/>
                <w:szCs w:val="18"/>
              </w:rPr>
            </w:pPr>
            <w:r w:rsidRPr="00A30BD9">
              <w:rPr>
                <w:sz w:val="18"/>
                <w:szCs w:val="18"/>
              </w:rPr>
              <w:t>4 (&lt;1)</w:t>
            </w:r>
          </w:p>
        </w:tc>
        <w:tc>
          <w:tcPr>
            <w:tcW w:w="992" w:type="dxa"/>
          </w:tcPr>
          <w:p w14:paraId="71CFA032" w14:textId="77777777" w:rsidR="00C47CC3" w:rsidRPr="00A30BD9" w:rsidRDefault="00C47CC3" w:rsidP="000A5698">
            <w:pPr>
              <w:pStyle w:val="Tabletext"/>
              <w:ind w:left="0" w:right="0"/>
              <w:rPr>
                <w:sz w:val="18"/>
                <w:szCs w:val="18"/>
              </w:rPr>
            </w:pPr>
            <w:r w:rsidRPr="00A30BD9">
              <w:rPr>
                <w:sz w:val="18"/>
                <w:szCs w:val="18"/>
              </w:rPr>
              <w:t>3 (&lt;1)</w:t>
            </w:r>
          </w:p>
        </w:tc>
        <w:tc>
          <w:tcPr>
            <w:tcW w:w="851" w:type="dxa"/>
          </w:tcPr>
          <w:p w14:paraId="45418FAE" w14:textId="77777777" w:rsidR="00C47CC3" w:rsidRPr="00A30BD9" w:rsidRDefault="00C47CC3" w:rsidP="000A5698">
            <w:pPr>
              <w:pStyle w:val="Tabletext"/>
              <w:ind w:left="0" w:right="0"/>
              <w:rPr>
                <w:sz w:val="18"/>
                <w:szCs w:val="18"/>
              </w:rPr>
            </w:pPr>
            <w:r w:rsidRPr="00A30BD9">
              <w:rPr>
                <w:sz w:val="18"/>
                <w:szCs w:val="18"/>
              </w:rPr>
              <w:t>1 (&lt;1)</w:t>
            </w:r>
          </w:p>
        </w:tc>
        <w:tc>
          <w:tcPr>
            <w:tcW w:w="992" w:type="dxa"/>
          </w:tcPr>
          <w:p w14:paraId="7F31E73D" w14:textId="77777777" w:rsidR="00C47CC3" w:rsidRPr="00A30BD9" w:rsidRDefault="00C47CC3" w:rsidP="000A5698">
            <w:pPr>
              <w:pStyle w:val="Tabletext"/>
              <w:ind w:left="0" w:right="0"/>
              <w:rPr>
                <w:sz w:val="18"/>
                <w:szCs w:val="18"/>
              </w:rPr>
            </w:pPr>
            <w:r w:rsidRPr="00A30BD9">
              <w:rPr>
                <w:sz w:val="18"/>
                <w:szCs w:val="18"/>
              </w:rPr>
              <w:t>3 (&lt;1)</w:t>
            </w:r>
          </w:p>
        </w:tc>
        <w:tc>
          <w:tcPr>
            <w:tcW w:w="851" w:type="dxa"/>
          </w:tcPr>
          <w:p w14:paraId="388117FB" w14:textId="77777777" w:rsidR="00C47CC3" w:rsidRPr="00A30BD9" w:rsidRDefault="00C47CC3" w:rsidP="000A5698">
            <w:pPr>
              <w:pStyle w:val="Tabletext"/>
              <w:ind w:left="0" w:right="0"/>
              <w:rPr>
                <w:sz w:val="18"/>
                <w:szCs w:val="18"/>
              </w:rPr>
            </w:pPr>
            <w:r w:rsidRPr="00A30BD9">
              <w:rPr>
                <w:sz w:val="18"/>
                <w:szCs w:val="18"/>
              </w:rPr>
              <w:t>0</w:t>
            </w:r>
          </w:p>
        </w:tc>
        <w:tc>
          <w:tcPr>
            <w:tcW w:w="992" w:type="dxa"/>
          </w:tcPr>
          <w:p w14:paraId="4B81C5BC" w14:textId="77777777" w:rsidR="00C47CC3" w:rsidRPr="00A30BD9" w:rsidRDefault="00C47CC3" w:rsidP="000A5698">
            <w:pPr>
              <w:pStyle w:val="Tabletext"/>
              <w:ind w:left="0" w:right="0"/>
              <w:rPr>
                <w:sz w:val="18"/>
                <w:szCs w:val="18"/>
              </w:rPr>
            </w:pPr>
            <w:r w:rsidRPr="00A30BD9">
              <w:rPr>
                <w:sz w:val="18"/>
                <w:szCs w:val="18"/>
              </w:rPr>
              <w:t>1 (5)</w:t>
            </w:r>
          </w:p>
        </w:tc>
        <w:tc>
          <w:tcPr>
            <w:tcW w:w="850" w:type="dxa"/>
          </w:tcPr>
          <w:p w14:paraId="4C8B970F" w14:textId="77777777" w:rsidR="00C47CC3" w:rsidRPr="00A30BD9" w:rsidRDefault="00C47CC3" w:rsidP="000A5698">
            <w:pPr>
              <w:pStyle w:val="Tabletext"/>
              <w:ind w:left="0" w:right="0"/>
              <w:rPr>
                <w:sz w:val="18"/>
                <w:szCs w:val="18"/>
              </w:rPr>
            </w:pPr>
            <w:r w:rsidRPr="00A30BD9">
              <w:rPr>
                <w:sz w:val="18"/>
                <w:szCs w:val="18"/>
              </w:rPr>
              <w:t>2 (1)</w:t>
            </w:r>
          </w:p>
        </w:tc>
        <w:tc>
          <w:tcPr>
            <w:tcW w:w="993" w:type="dxa"/>
          </w:tcPr>
          <w:p w14:paraId="222F0B85" w14:textId="77777777" w:rsidR="00C47CC3" w:rsidRPr="00A30BD9" w:rsidRDefault="00C47CC3" w:rsidP="000A5698">
            <w:pPr>
              <w:pStyle w:val="Tabletext"/>
              <w:ind w:left="0" w:right="0"/>
              <w:rPr>
                <w:sz w:val="18"/>
                <w:szCs w:val="18"/>
              </w:rPr>
            </w:pPr>
            <w:r w:rsidRPr="00A30BD9">
              <w:rPr>
                <w:sz w:val="18"/>
                <w:szCs w:val="18"/>
              </w:rPr>
              <w:t>0</w:t>
            </w:r>
          </w:p>
        </w:tc>
      </w:tr>
      <w:tr w:rsidR="0059470F" w:rsidRPr="00A30BD9" w14:paraId="73F66CA7" w14:textId="77777777" w:rsidTr="00A30BD9">
        <w:trPr>
          <w:trHeight w:val="240"/>
        </w:trPr>
        <w:tc>
          <w:tcPr>
            <w:tcW w:w="983" w:type="dxa"/>
            <w:gridSpan w:val="2"/>
          </w:tcPr>
          <w:p w14:paraId="7F58EFE7" w14:textId="77777777" w:rsidR="00C47CC3" w:rsidRPr="00A30BD9" w:rsidRDefault="00C47CC3" w:rsidP="000A5698">
            <w:pPr>
              <w:pStyle w:val="Tabletext"/>
              <w:ind w:left="0" w:right="0"/>
              <w:rPr>
                <w:sz w:val="18"/>
                <w:szCs w:val="18"/>
              </w:rPr>
            </w:pPr>
            <w:r w:rsidRPr="00A30BD9">
              <w:rPr>
                <w:sz w:val="18"/>
                <w:szCs w:val="18"/>
              </w:rPr>
              <w:t>Fatal SAEs</w:t>
            </w:r>
          </w:p>
        </w:tc>
        <w:tc>
          <w:tcPr>
            <w:tcW w:w="850" w:type="dxa"/>
          </w:tcPr>
          <w:p w14:paraId="11F86882" w14:textId="77777777" w:rsidR="00C47CC3" w:rsidRPr="00A30BD9" w:rsidRDefault="00C47CC3" w:rsidP="000A5698">
            <w:pPr>
              <w:pStyle w:val="Tabletext"/>
              <w:ind w:left="0" w:right="0"/>
              <w:rPr>
                <w:sz w:val="18"/>
                <w:szCs w:val="18"/>
              </w:rPr>
            </w:pPr>
            <w:r w:rsidRPr="00A30BD9">
              <w:rPr>
                <w:sz w:val="18"/>
                <w:szCs w:val="18"/>
              </w:rPr>
              <w:t>4 (&lt;1)</w:t>
            </w:r>
          </w:p>
        </w:tc>
        <w:tc>
          <w:tcPr>
            <w:tcW w:w="992" w:type="dxa"/>
          </w:tcPr>
          <w:p w14:paraId="01CDF2CF" w14:textId="77777777" w:rsidR="00C47CC3" w:rsidRPr="00A30BD9" w:rsidRDefault="00C47CC3" w:rsidP="000A5698">
            <w:pPr>
              <w:pStyle w:val="Tabletext"/>
              <w:ind w:left="0" w:right="0"/>
              <w:rPr>
                <w:sz w:val="18"/>
                <w:szCs w:val="18"/>
              </w:rPr>
            </w:pPr>
            <w:r w:rsidRPr="00A30BD9">
              <w:rPr>
                <w:sz w:val="18"/>
                <w:szCs w:val="18"/>
              </w:rPr>
              <w:t>6 (&lt;1)</w:t>
            </w:r>
          </w:p>
        </w:tc>
        <w:tc>
          <w:tcPr>
            <w:tcW w:w="851" w:type="dxa"/>
          </w:tcPr>
          <w:p w14:paraId="54E8AFC9" w14:textId="77777777" w:rsidR="00C47CC3" w:rsidRPr="00A30BD9" w:rsidRDefault="00C47CC3" w:rsidP="000A5698">
            <w:pPr>
              <w:pStyle w:val="Tabletext"/>
              <w:ind w:left="0" w:right="0"/>
              <w:rPr>
                <w:sz w:val="18"/>
                <w:szCs w:val="18"/>
              </w:rPr>
            </w:pPr>
            <w:r w:rsidRPr="00A30BD9">
              <w:rPr>
                <w:sz w:val="18"/>
                <w:szCs w:val="18"/>
              </w:rPr>
              <w:t>2</w:t>
            </w:r>
          </w:p>
        </w:tc>
        <w:tc>
          <w:tcPr>
            <w:tcW w:w="992" w:type="dxa"/>
          </w:tcPr>
          <w:p w14:paraId="7DACA1E3" w14:textId="77777777" w:rsidR="00C47CC3" w:rsidRPr="00A30BD9" w:rsidRDefault="00C47CC3" w:rsidP="000A5698">
            <w:pPr>
              <w:pStyle w:val="Tabletext"/>
              <w:ind w:left="0" w:right="0"/>
              <w:rPr>
                <w:sz w:val="18"/>
                <w:szCs w:val="18"/>
              </w:rPr>
            </w:pPr>
            <w:r w:rsidRPr="00A30BD9">
              <w:rPr>
                <w:sz w:val="18"/>
                <w:szCs w:val="18"/>
              </w:rPr>
              <w:t>0</w:t>
            </w:r>
          </w:p>
        </w:tc>
        <w:tc>
          <w:tcPr>
            <w:tcW w:w="851" w:type="dxa"/>
          </w:tcPr>
          <w:p w14:paraId="62CB7993" w14:textId="77777777" w:rsidR="00C47CC3" w:rsidRPr="00A30BD9" w:rsidRDefault="00C47CC3" w:rsidP="000A5698">
            <w:pPr>
              <w:pStyle w:val="Tabletext"/>
              <w:ind w:left="0" w:right="0"/>
              <w:rPr>
                <w:sz w:val="18"/>
                <w:szCs w:val="18"/>
              </w:rPr>
            </w:pPr>
            <w:r w:rsidRPr="00A30BD9">
              <w:rPr>
                <w:sz w:val="18"/>
                <w:szCs w:val="18"/>
              </w:rPr>
              <w:t>0</w:t>
            </w:r>
          </w:p>
        </w:tc>
        <w:tc>
          <w:tcPr>
            <w:tcW w:w="992" w:type="dxa"/>
          </w:tcPr>
          <w:p w14:paraId="3303DCD6" w14:textId="77777777" w:rsidR="00C47CC3" w:rsidRPr="00A30BD9" w:rsidRDefault="00C47CC3" w:rsidP="000A5698">
            <w:pPr>
              <w:pStyle w:val="Tabletext"/>
              <w:ind w:left="0" w:right="0"/>
              <w:rPr>
                <w:sz w:val="18"/>
                <w:szCs w:val="18"/>
              </w:rPr>
            </w:pPr>
            <w:r w:rsidRPr="00A30BD9">
              <w:rPr>
                <w:sz w:val="18"/>
                <w:szCs w:val="18"/>
              </w:rPr>
              <w:t>0</w:t>
            </w:r>
          </w:p>
        </w:tc>
        <w:tc>
          <w:tcPr>
            <w:tcW w:w="850" w:type="dxa"/>
          </w:tcPr>
          <w:p w14:paraId="363BCED1" w14:textId="77777777" w:rsidR="00C47CC3" w:rsidRPr="00A30BD9" w:rsidRDefault="00C47CC3" w:rsidP="000A5698">
            <w:pPr>
              <w:pStyle w:val="Tabletext"/>
              <w:ind w:left="0" w:right="0"/>
              <w:rPr>
                <w:sz w:val="18"/>
                <w:szCs w:val="18"/>
              </w:rPr>
            </w:pPr>
            <w:r w:rsidRPr="00A30BD9">
              <w:rPr>
                <w:sz w:val="18"/>
                <w:szCs w:val="18"/>
              </w:rPr>
              <w:t>0</w:t>
            </w:r>
          </w:p>
        </w:tc>
        <w:tc>
          <w:tcPr>
            <w:tcW w:w="993" w:type="dxa"/>
          </w:tcPr>
          <w:p w14:paraId="2F79EFEF" w14:textId="77777777" w:rsidR="00C47CC3" w:rsidRPr="00A30BD9" w:rsidRDefault="00C47CC3" w:rsidP="000A5698">
            <w:pPr>
              <w:pStyle w:val="Tabletext"/>
              <w:ind w:left="0" w:right="0"/>
              <w:rPr>
                <w:sz w:val="18"/>
                <w:szCs w:val="18"/>
              </w:rPr>
            </w:pPr>
            <w:r w:rsidRPr="00A30BD9">
              <w:rPr>
                <w:sz w:val="18"/>
                <w:szCs w:val="18"/>
              </w:rPr>
              <w:t>0</w:t>
            </w:r>
          </w:p>
        </w:tc>
      </w:tr>
      <w:tr w:rsidR="0059470F" w:rsidRPr="00A30BD9" w14:paraId="44F9C749" w14:textId="77777777" w:rsidTr="00A30BD9">
        <w:trPr>
          <w:trHeight w:val="240"/>
        </w:trPr>
        <w:tc>
          <w:tcPr>
            <w:tcW w:w="983" w:type="dxa"/>
            <w:gridSpan w:val="2"/>
          </w:tcPr>
          <w:p w14:paraId="2889D43F" w14:textId="77777777" w:rsidR="00C47CC3" w:rsidRPr="00A30BD9" w:rsidRDefault="00C47CC3" w:rsidP="000A5698">
            <w:pPr>
              <w:pStyle w:val="Tabletext"/>
              <w:ind w:left="0" w:right="0"/>
              <w:rPr>
                <w:sz w:val="18"/>
                <w:szCs w:val="18"/>
              </w:rPr>
            </w:pPr>
            <w:r w:rsidRPr="00A30BD9">
              <w:rPr>
                <w:sz w:val="18"/>
                <w:szCs w:val="18"/>
              </w:rPr>
              <w:t>Drug-related fatal SAEs</w:t>
            </w:r>
          </w:p>
        </w:tc>
        <w:tc>
          <w:tcPr>
            <w:tcW w:w="850" w:type="dxa"/>
          </w:tcPr>
          <w:p w14:paraId="4AA041C3" w14:textId="77777777" w:rsidR="00C47CC3" w:rsidRPr="00A30BD9" w:rsidRDefault="00C47CC3" w:rsidP="000A5698">
            <w:pPr>
              <w:pStyle w:val="Tabletext"/>
              <w:ind w:left="0" w:right="0"/>
              <w:rPr>
                <w:sz w:val="18"/>
                <w:szCs w:val="18"/>
              </w:rPr>
            </w:pPr>
            <w:r w:rsidRPr="00A30BD9">
              <w:rPr>
                <w:sz w:val="18"/>
                <w:szCs w:val="18"/>
              </w:rPr>
              <w:t>0</w:t>
            </w:r>
          </w:p>
        </w:tc>
        <w:tc>
          <w:tcPr>
            <w:tcW w:w="992" w:type="dxa"/>
          </w:tcPr>
          <w:p w14:paraId="0107BD9F" w14:textId="77777777" w:rsidR="00C47CC3" w:rsidRPr="00A30BD9" w:rsidRDefault="00C47CC3" w:rsidP="000A5698">
            <w:pPr>
              <w:pStyle w:val="Tabletext"/>
              <w:ind w:left="0" w:right="0"/>
              <w:rPr>
                <w:sz w:val="18"/>
                <w:szCs w:val="18"/>
              </w:rPr>
            </w:pPr>
            <w:r w:rsidRPr="00A30BD9">
              <w:rPr>
                <w:sz w:val="18"/>
                <w:szCs w:val="18"/>
              </w:rPr>
              <w:t>1 (&lt;1)</w:t>
            </w:r>
          </w:p>
        </w:tc>
        <w:tc>
          <w:tcPr>
            <w:tcW w:w="851" w:type="dxa"/>
          </w:tcPr>
          <w:p w14:paraId="21021FD5" w14:textId="77777777" w:rsidR="00C47CC3" w:rsidRPr="00A30BD9" w:rsidRDefault="00C47CC3" w:rsidP="000A5698">
            <w:pPr>
              <w:pStyle w:val="Tabletext"/>
              <w:ind w:left="0" w:right="0"/>
              <w:rPr>
                <w:sz w:val="18"/>
                <w:szCs w:val="18"/>
              </w:rPr>
            </w:pPr>
            <w:r w:rsidRPr="00A30BD9">
              <w:rPr>
                <w:sz w:val="18"/>
                <w:szCs w:val="18"/>
              </w:rPr>
              <w:t>0</w:t>
            </w:r>
          </w:p>
        </w:tc>
        <w:tc>
          <w:tcPr>
            <w:tcW w:w="992" w:type="dxa"/>
          </w:tcPr>
          <w:p w14:paraId="698BE227" w14:textId="77777777" w:rsidR="00C47CC3" w:rsidRPr="00A30BD9" w:rsidRDefault="00C47CC3" w:rsidP="000A5698">
            <w:pPr>
              <w:pStyle w:val="Tabletext"/>
              <w:ind w:left="0" w:right="0"/>
              <w:rPr>
                <w:sz w:val="18"/>
                <w:szCs w:val="18"/>
              </w:rPr>
            </w:pPr>
            <w:r w:rsidRPr="00A30BD9">
              <w:rPr>
                <w:sz w:val="18"/>
                <w:szCs w:val="18"/>
              </w:rPr>
              <w:t>0</w:t>
            </w:r>
          </w:p>
        </w:tc>
        <w:tc>
          <w:tcPr>
            <w:tcW w:w="851" w:type="dxa"/>
          </w:tcPr>
          <w:p w14:paraId="366FEB37" w14:textId="77777777" w:rsidR="00C47CC3" w:rsidRPr="00A30BD9" w:rsidRDefault="00C47CC3" w:rsidP="000A5698">
            <w:pPr>
              <w:pStyle w:val="Tabletext"/>
              <w:ind w:left="0" w:right="0"/>
              <w:rPr>
                <w:sz w:val="18"/>
                <w:szCs w:val="18"/>
              </w:rPr>
            </w:pPr>
            <w:r w:rsidRPr="00A30BD9">
              <w:rPr>
                <w:sz w:val="18"/>
                <w:szCs w:val="18"/>
              </w:rPr>
              <w:t>0</w:t>
            </w:r>
          </w:p>
        </w:tc>
        <w:tc>
          <w:tcPr>
            <w:tcW w:w="992" w:type="dxa"/>
          </w:tcPr>
          <w:p w14:paraId="7E9F747E" w14:textId="77777777" w:rsidR="00C47CC3" w:rsidRPr="00A30BD9" w:rsidRDefault="00C47CC3" w:rsidP="000A5698">
            <w:pPr>
              <w:pStyle w:val="Tabletext"/>
              <w:ind w:left="0" w:right="0"/>
              <w:rPr>
                <w:sz w:val="18"/>
                <w:szCs w:val="18"/>
              </w:rPr>
            </w:pPr>
            <w:r w:rsidRPr="00A30BD9">
              <w:rPr>
                <w:sz w:val="18"/>
                <w:szCs w:val="18"/>
              </w:rPr>
              <w:t>0</w:t>
            </w:r>
          </w:p>
        </w:tc>
        <w:tc>
          <w:tcPr>
            <w:tcW w:w="850" w:type="dxa"/>
          </w:tcPr>
          <w:p w14:paraId="46450BF8" w14:textId="77777777" w:rsidR="00C47CC3" w:rsidRPr="00A30BD9" w:rsidRDefault="00C47CC3" w:rsidP="000A5698">
            <w:pPr>
              <w:pStyle w:val="Tabletext"/>
              <w:ind w:left="0" w:right="0"/>
              <w:rPr>
                <w:sz w:val="18"/>
                <w:szCs w:val="18"/>
              </w:rPr>
            </w:pPr>
            <w:r w:rsidRPr="00A30BD9">
              <w:rPr>
                <w:sz w:val="18"/>
                <w:szCs w:val="18"/>
              </w:rPr>
              <w:t>0</w:t>
            </w:r>
          </w:p>
        </w:tc>
        <w:tc>
          <w:tcPr>
            <w:tcW w:w="993" w:type="dxa"/>
          </w:tcPr>
          <w:p w14:paraId="61E90F38" w14:textId="77777777" w:rsidR="00C47CC3" w:rsidRPr="00A30BD9" w:rsidRDefault="00C47CC3" w:rsidP="000A5698">
            <w:pPr>
              <w:pStyle w:val="Tabletext"/>
              <w:ind w:left="0" w:right="0"/>
              <w:rPr>
                <w:sz w:val="18"/>
                <w:szCs w:val="18"/>
              </w:rPr>
            </w:pPr>
            <w:r w:rsidRPr="00A30BD9">
              <w:rPr>
                <w:sz w:val="18"/>
                <w:szCs w:val="18"/>
              </w:rPr>
              <w:t>0</w:t>
            </w:r>
          </w:p>
        </w:tc>
      </w:tr>
    </w:tbl>
    <w:p w14:paraId="46528D15" w14:textId="5C7FB943" w:rsidR="001B71F9" w:rsidRPr="00866CBB" w:rsidRDefault="00866CBB" w:rsidP="00866CBB">
      <w:pPr>
        <w:pStyle w:val="TableDescription"/>
      </w:pPr>
      <w:r w:rsidRPr="00866CBB">
        <w:t xml:space="preserve">Abbreviations: AE = adverse event; </w:t>
      </w:r>
      <w:r w:rsidR="008449C5" w:rsidRPr="00866CBB">
        <w:t>CAB =</w:t>
      </w:r>
      <w:r w:rsidR="001B71F9" w:rsidRPr="00866CBB">
        <w:t xml:space="preserve"> cabotegravir</w:t>
      </w:r>
      <w:r w:rsidRPr="00866CBB">
        <w:t xml:space="preserve">; FTC = emtricitabine; ISR = injection site reaction; </w:t>
      </w:r>
      <w:r w:rsidR="008449C5" w:rsidRPr="00866CBB">
        <w:t>N =</w:t>
      </w:r>
      <w:r w:rsidR="00342B4E" w:rsidRPr="00866CBB">
        <w:t xml:space="preserve"> number of subjects</w:t>
      </w:r>
      <w:r w:rsidRPr="00866CBB">
        <w:t xml:space="preserve">; </w:t>
      </w:r>
      <w:r w:rsidR="008449C5" w:rsidRPr="00866CBB">
        <w:t>n =</w:t>
      </w:r>
      <w:r w:rsidR="00342B4E" w:rsidRPr="00866CBB">
        <w:t xml:space="preserve"> number of subjects in group</w:t>
      </w:r>
      <w:r w:rsidRPr="00866CBB">
        <w:t xml:space="preserve">; SAE = serious adverse event; </w:t>
      </w:r>
      <w:r w:rsidR="001B71F9" w:rsidRPr="00866CBB">
        <w:t>TDF =</w:t>
      </w:r>
      <w:r w:rsidR="00342B4E" w:rsidRPr="00866CBB">
        <w:t xml:space="preserve"> tenofovir disoproxil fumarate</w:t>
      </w:r>
      <w:r w:rsidRPr="00866CBB">
        <w:t>.</w:t>
      </w:r>
    </w:p>
    <w:p w14:paraId="4C27D555" w14:textId="77777777" w:rsidR="003768A7" w:rsidRPr="00527BFD" w:rsidRDefault="003768A7" w:rsidP="003C2E00">
      <w:pPr>
        <w:pStyle w:val="Heading6"/>
        <w:rPr>
          <w:rFonts w:eastAsia="TimesNewRoman"/>
          <w:lang w:val="en-US"/>
        </w:rPr>
      </w:pPr>
      <w:r w:rsidRPr="00527BFD">
        <w:rPr>
          <w:rFonts w:eastAsia="TimesNewRoman"/>
          <w:lang w:val="en-US"/>
        </w:rPr>
        <w:lastRenderedPageBreak/>
        <w:t>Injection site reactions</w:t>
      </w:r>
    </w:p>
    <w:p w14:paraId="2F300CED" w14:textId="41048D5D" w:rsidR="003768A7" w:rsidRPr="00527BFD" w:rsidRDefault="003768A7" w:rsidP="00BB4257">
      <w:r w:rsidRPr="00527BFD">
        <w:t xml:space="preserve">As might be expected, a greater proportion of participants in the </w:t>
      </w:r>
      <w:r w:rsidR="00FD52A9" w:rsidRPr="00527BFD">
        <w:t>cabotegravir</w:t>
      </w:r>
      <w:r w:rsidRPr="00527BFD">
        <w:t xml:space="preserve"> group experienced ISR AEs compared with participants in the TDF/</w:t>
      </w:r>
      <w:r w:rsidR="000B10F7" w:rsidRPr="00527BFD">
        <w:t>emtricitabine</w:t>
      </w:r>
      <w:r w:rsidRPr="00527BFD">
        <w:t xml:space="preserve"> or placebo groups. Injection site pain was the most frequently reported ISR (81% of </w:t>
      </w:r>
      <w:r w:rsidR="00FD52A9" w:rsidRPr="00527BFD">
        <w:t>cabotegravir</w:t>
      </w:r>
      <w:r w:rsidRPr="00527BFD">
        <w:t xml:space="preserve"> participants in </w:t>
      </w:r>
      <w:r w:rsidR="00BB0AC1" w:rsidRPr="00527BFD">
        <w:t>the HPTN 083 trial</w:t>
      </w:r>
      <w:r w:rsidRPr="00527BFD">
        <w:t xml:space="preserve">, 34% in </w:t>
      </w:r>
      <w:r w:rsidR="00CC53B1" w:rsidRPr="00527BFD">
        <w:t>the HPTN 084 trial</w:t>
      </w:r>
      <w:r w:rsidRPr="00527BFD">
        <w:t>), and other frequently reported ISRs (</w:t>
      </w:r>
      <w:r w:rsidR="00754F3F" w:rsidRPr="00527BFD">
        <w:t xml:space="preserve">more than </w:t>
      </w:r>
      <w:r w:rsidRPr="00527BFD">
        <w:t xml:space="preserve">10% of </w:t>
      </w:r>
      <w:r w:rsidR="00FD52A9" w:rsidRPr="00527BFD">
        <w:t>cabotegravir</w:t>
      </w:r>
      <w:r w:rsidRPr="00527BFD">
        <w:t xml:space="preserve"> participants) included injection site nodule, induration, and swelling. All other ISRs were reported in </w:t>
      </w:r>
      <w:r w:rsidR="00754F3F" w:rsidRPr="00527BFD">
        <w:t xml:space="preserve">less than </w:t>
      </w:r>
      <w:r w:rsidRPr="00527BFD">
        <w:t xml:space="preserve">3% of </w:t>
      </w:r>
      <w:r w:rsidR="00FD52A9" w:rsidRPr="00527BFD">
        <w:t>cabotegravir</w:t>
      </w:r>
      <w:r w:rsidRPr="00527BFD">
        <w:t xml:space="preserve"> participants. I</w:t>
      </w:r>
      <w:r w:rsidR="00596ACC" w:rsidRPr="00527BFD">
        <w:t>n</w:t>
      </w:r>
      <w:r w:rsidRPr="00527BFD">
        <w:t xml:space="preserve"> </w:t>
      </w:r>
      <w:r w:rsidR="00BB0AC1" w:rsidRPr="00527BFD">
        <w:t>the HPTN 083 trial</w:t>
      </w:r>
      <w:r w:rsidRPr="00527BFD">
        <w:t xml:space="preserve"> 27 participants (1%) discontinued </w:t>
      </w:r>
      <w:r w:rsidR="00FD52A9" w:rsidRPr="00527BFD">
        <w:t>cabotegravir</w:t>
      </w:r>
      <w:r w:rsidRPr="00527BFD">
        <w:t xml:space="preserve"> related to injection intolerance, with no participants doing so in </w:t>
      </w:r>
      <w:r w:rsidR="00CC53B1" w:rsidRPr="00527BFD">
        <w:t>the HPTN</w:t>
      </w:r>
      <w:r w:rsidR="00596ACC" w:rsidRPr="00527BFD">
        <w:t> </w:t>
      </w:r>
      <w:r w:rsidR="00CC53B1" w:rsidRPr="00527BFD">
        <w:t>084 trial</w:t>
      </w:r>
      <w:r w:rsidRPr="00527BFD">
        <w:t xml:space="preserve">. The majority of the ISRs were Grade 1 (34% </w:t>
      </w:r>
      <w:r w:rsidR="00596ACC" w:rsidRPr="00527BFD">
        <w:t xml:space="preserve">in </w:t>
      </w:r>
      <w:r w:rsidR="00BB0AC1" w:rsidRPr="00527BFD">
        <w:t>the HPTN 083 trial</w:t>
      </w:r>
      <w:r w:rsidR="00596ACC" w:rsidRPr="00527BFD">
        <w:t xml:space="preserve">, </w:t>
      </w:r>
      <w:r w:rsidRPr="00527BFD">
        <w:t xml:space="preserve">25% </w:t>
      </w:r>
      <w:r w:rsidR="00596ACC" w:rsidRPr="00527BFD">
        <w:t xml:space="preserve">in </w:t>
      </w:r>
      <w:r w:rsidR="00CC53B1" w:rsidRPr="00527BFD">
        <w:t>the HPTN 084 trial</w:t>
      </w:r>
      <w:r w:rsidRPr="00527BFD">
        <w:t>) or Grade</w:t>
      </w:r>
      <w:r w:rsidR="002D66CB">
        <w:t> </w:t>
      </w:r>
      <w:r w:rsidRPr="00527BFD">
        <w:t xml:space="preserve">2 (46% </w:t>
      </w:r>
      <w:r w:rsidR="00596ACC" w:rsidRPr="00527BFD">
        <w:t xml:space="preserve">in the </w:t>
      </w:r>
      <w:r w:rsidRPr="00527BFD">
        <w:t>HPTN</w:t>
      </w:r>
      <w:r w:rsidR="00B614A4" w:rsidRPr="00527BFD">
        <w:t xml:space="preserve"> </w:t>
      </w:r>
      <w:r w:rsidRPr="00527BFD">
        <w:t>083</w:t>
      </w:r>
      <w:r w:rsidR="00596ACC" w:rsidRPr="00527BFD">
        <w:t xml:space="preserve"> trial and </w:t>
      </w:r>
      <w:r w:rsidRPr="00527BFD">
        <w:t xml:space="preserve">13% </w:t>
      </w:r>
      <w:r w:rsidR="00596ACC" w:rsidRPr="00527BFD">
        <w:t xml:space="preserve">in </w:t>
      </w:r>
      <w:r w:rsidR="00CC53B1" w:rsidRPr="00527BFD">
        <w:t>the HPTN</w:t>
      </w:r>
      <w:r w:rsidR="00596ACC" w:rsidRPr="00527BFD">
        <w:t> </w:t>
      </w:r>
      <w:r w:rsidR="00CC53B1" w:rsidRPr="00527BFD">
        <w:t>084 trial</w:t>
      </w:r>
      <w:r w:rsidRPr="00527BFD">
        <w:t xml:space="preserve">) with few </w:t>
      </w:r>
      <w:proofErr w:type="gramStart"/>
      <w:r w:rsidRPr="00527BFD">
        <w:t>Grade</w:t>
      </w:r>
      <w:proofErr w:type="gramEnd"/>
      <w:r w:rsidRPr="00527BFD">
        <w:t xml:space="preserve"> 3 ISRs (1</w:t>
      </w:r>
      <w:r w:rsidR="00596ACC" w:rsidRPr="00527BFD">
        <w:t xml:space="preserve">% to </w:t>
      </w:r>
      <w:r w:rsidRPr="00527BFD">
        <w:t xml:space="preserve">3%) and no ISRs had severity </w:t>
      </w:r>
      <w:r w:rsidR="00754F3F" w:rsidRPr="00527BFD">
        <w:t xml:space="preserve">higher than </w:t>
      </w:r>
      <w:r w:rsidRPr="00527BFD">
        <w:t>Grade</w:t>
      </w:r>
      <w:r w:rsidR="00596ACC" w:rsidRPr="00527BFD">
        <w:t> </w:t>
      </w:r>
      <w:r w:rsidRPr="00527BFD">
        <w:t>3. Furthermore, the incidence and intensity of ISRs decreased over time and the majority of ISRs recovered</w:t>
      </w:r>
      <w:r w:rsidR="00596ACC" w:rsidRPr="00527BFD">
        <w:t xml:space="preserve"> or </w:t>
      </w:r>
      <w:r w:rsidRPr="00527BFD">
        <w:t>resolved</w:t>
      </w:r>
      <w:r w:rsidR="00596ACC" w:rsidRPr="00527BFD">
        <w:t xml:space="preserve"> (see </w:t>
      </w:r>
      <w:r w:rsidR="00596ACC" w:rsidRPr="00527BFD">
        <w:fldChar w:fldCharType="begin"/>
      </w:r>
      <w:r w:rsidR="00596ACC" w:rsidRPr="00527BFD">
        <w:instrText xml:space="preserve"> REF _Ref115893802 \h </w:instrText>
      </w:r>
      <w:r w:rsidR="00527BFD" w:rsidRPr="00527BFD">
        <w:instrText xml:space="preserve"> \* MERGEFORMAT </w:instrText>
      </w:r>
      <w:r w:rsidR="00596ACC" w:rsidRPr="00527BFD">
        <w:fldChar w:fldCharType="separate"/>
      </w:r>
      <w:r w:rsidR="001702C9" w:rsidRPr="0025423A">
        <w:t xml:space="preserve">Figure </w:t>
      </w:r>
      <w:r w:rsidR="001702C9">
        <w:rPr>
          <w:noProof/>
        </w:rPr>
        <w:t>9</w:t>
      </w:r>
      <w:r w:rsidR="00596ACC" w:rsidRPr="00527BFD">
        <w:fldChar w:fldCharType="end"/>
      </w:r>
      <w:r w:rsidR="00596ACC" w:rsidRPr="00527BFD">
        <w:t xml:space="preserve"> below)</w:t>
      </w:r>
      <w:r w:rsidRPr="00527BFD">
        <w:t>.</w:t>
      </w:r>
    </w:p>
    <w:p w14:paraId="1E7FF367" w14:textId="0D9394B4" w:rsidR="003768A7" w:rsidRPr="0025423A" w:rsidRDefault="00596ACC" w:rsidP="0025423A">
      <w:pPr>
        <w:pStyle w:val="FigureTitle"/>
      </w:pPr>
      <w:bookmarkStart w:id="100" w:name="_Ref115893802"/>
      <w:r w:rsidRPr="0025423A">
        <w:t xml:space="preserve">Figure </w:t>
      </w:r>
      <w:r w:rsidR="00234D1A">
        <w:fldChar w:fldCharType="begin"/>
      </w:r>
      <w:r w:rsidR="00234D1A">
        <w:instrText xml:space="preserve"> SEQ Figure \* ARABIC </w:instrText>
      </w:r>
      <w:r w:rsidR="00234D1A">
        <w:fldChar w:fldCharType="separate"/>
      </w:r>
      <w:r w:rsidR="001702C9">
        <w:rPr>
          <w:noProof/>
        </w:rPr>
        <w:t>9</w:t>
      </w:r>
      <w:r w:rsidR="00234D1A">
        <w:rPr>
          <w:noProof/>
        </w:rPr>
        <w:fldChar w:fldCharType="end"/>
      </w:r>
      <w:bookmarkEnd w:id="100"/>
      <w:r w:rsidR="003768A7" w:rsidRPr="0025423A">
        <w:t xml:space="preserve">: </w:t>
      </w:r>
      <w:r w:rsidR="00AC3147" w:rsidRPr="0025423A">
        <w:t>Study 201738 (</w:t>
      </w:r>
      <w:r w:rsidRPr="0025423A">
        <w:t>HPTN 083 trial</w:t>
      </w:r>
      <w:r w:rsidR="00AC3147" w:rsidRPr="0025423A">
        <w:t>)</w:t>
      </w:r>
      <w:r w:rsidRPr="0025423A">
        <w:t xml:space="preserve"> </w:t>
      </w:r>
      <w:r w:rsidR="003768A7" w:rsidRPr="0025423A">
        <w:t>Plot o</w:t>
      </w:r>
      <w:r w:rsidR="00AC3147" w:rsidRPr="0025423A">
        <w:t>f incidence of study drug injection site reaction adverse events by visit and intensity (overall) during Step 2</w:t>
      </w:r>
      <w:r w:rsidR="00A31150" w:rsidRPr="0025423A">
        <w:t xml:space="preserve"> (injection Step</w:t>
      </w:r>
      <w:r w:rsidR="00D46635" w:rsidRPr="0025423A">
        <w:t> </w:t>
      </w:r>
      <w:r w:rsidR="00A31150" w:rsidRPr="0025423A">
        <w:t>2 safety population)</w:t>
      </w:r>
    </w:p>
    <w:p w14:paraId="2DA97B94" w14:textId="748BAA0F" w:rsidR="003768A7" w:rsidRDefault="00A31150" w:rsidP="00866CBB">
      <w:r>
        <w:rPr>
          <w:noProof/>
          <w:lang w:val="en-GB" w:eastAsia="en-GB"/>
        </w:rPr>
        <w:drawing>
          <wp:inline distT="0" distB="0" distL="0" distR="0" wp14:anchorId="668EA8A2" wp14:editId="5930C3A6">
            <wp:extent cx="5400040" cy="4412615"/>
            <wp:effectExtent l="0" t="0" r="0" b="6985"/>
            <wp:docPr id="35" name="Picture 35" descr="Figure 9: Study 201738 (HPTN 083 trial) Plot of incidence of study drug injection site reaction adverse events by visit and intensity (overall) during Step 2 (injection Step 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9: Study 201738 (HPTN 083 trial) Plot of incidence of study drug injection site reaction adverse events by visit and intensity (overall) during Step 2 (injection Step 2 safety population)"/>
                    <pic:cNvPicPr/>
                  </pic:nvPicPr>
                  <pic:blipFill>
                    <a:blip r:embed="rId34"/>
                    <a:stretch>
                      <a:fillRect/>
                    </a:stretch>
                  </pic:blipFill>
                  <pic:spPr>
                    <a:xfrm>
                      <a:off x="0" y="0"/>
                      <a:ext cx="5400040" cy="4412615"/>
                    </a:xfrm>
                    <a:prstGeom prst="rect">
                      <a:avLst/>
                    </a:prstGeom>
                  </pic:spPr>
                </pic:pic>
              </a:graphicData>
            </a:graphic>
          </wp:inline>
        </w:drawing>
      </w:r>
    </w:p>
    <w:p w14:paraId="50FE9EB0" w14:textId="5792511E" w:rsidR="001B71F9" w:rsidRPr="00866CBB" w:rsidRDefault="00866CBB" w:rsidP="00866CBB">
      <w:pPr>
        <w:pStyle w:val="FigureDescription"/>
      </w:pPr>
      <w:r w:rsidRPr="00866CBB">
        <w:t xml:space="preserve">Abbreviations: </w:t>
      </w:r>
      <w:r w:rsidR="001B71F9" w:rsidRPr="00866CBB">
        <w:t>AE</w:t>
      </w:r>
      <w:r w:rsidR="00F37923" w:rsidRPr="00866CBB">
        <w:t xml:space="preserve"> = adverse event</w:t>
      </w:r>
      <w:r w:rsidRPr="00866CBB">
        <w:t xml:space="preserve">; </w:t>
      </w:r>
      <w:r w:rsidR="001B71F9" w:rsidRPr="00866CBB">
        <w:t>CAB</w:t>
      </w:r>
      <w:r w:rsidR="00F37923" w:rsidRPr="00866CBB">
        <w:t xml:space="preserve"> = cabotegravir</w:t>
      </w:r>
      <w:r w:rsidRPr="00866CBB">
        <w:t xml:space="preserve">; FTC = emtricitabine; n = number of subjects in group; </w:t>
      </w:r>
      <w:r w:rsidR="001B71F9" w:rsidRPr="00866CBB">
        <w:t>TDF</w:t>
      </w:r>
      <w:r w:rsidR="00F37923" w:rsidRPr="00866CBB">
        <w:t xml:space="preserve"> = tenofovir disoproxil fumarate</w:t>
      </w:r>
      <w:r w:rsidRPr="00866CBB">
        <w:t>.</w:t>
      </w:r>
    </w:p>
    <w:p w14:paraId="59F6A957" w14:textId="77777777" w:rsidR="003768A7" w:rsidRPr="00527BFD" w:rsidRDefault="003768A7" w:rsidP="00BB4257">
      <w:pPr>
        <w:pStyle w:val="Heading6"/>
        <w:rPr>
          <w:rFonts w:eastAsiaTheme="minorHAnsi"/>
        </w:rPr>
      </w:pPr>
      <w:r w:rsidRPr="00527BFD">
        <w:rPr>
          <w:rFonts w:eastAsiaTheme="minorHAnsi"/>
        </w:rPr>
        <w:t>Other common adverse events</w:t>
      </w:r>
    </w:p>
    <w:p w14:paraId="66CB60DE" w14:textId="0A402A86" w:rsidR="003768A7" w:rsidRPr="00527BFD" w:rsidRDefault="003768A7" w:rsidP="00BB4257">
      <w:r w:rsidRPr="00527BFD">
        <w:t xml:space="preserve">The 6 most common AEs in </w:t>
      </w:r>
      <w:r w:rsidR="00BB0AC1" w:rsidRPr="00527BFD">
        <w:t>the HPTN 083 trial</w:t>
      </w:r>
      <w:r w:rsidRPr="00527BFD">
        <w:t xml:space="preserve"> were the same in both groups and are listed here as </w:t>
      </w:r>
      <w:r w:rsidR="0023090E" w:rsidRPr="00527BFD">
        <w:t>Preferred Term (</w:t>
      </w:r>
      <w:r w:rsidRPr="00527BFD">
        <w:t>PT</w:t>
      </w:r>
      <w:r w:rsidR="0023090E" w:rsidRPr="00527BFD">
        <w:t>)</w:t>
      </w:r>
      <w:r w:rsidRPr="00527BFD">
        <w:t xml:space="preserve"> (n </w:t>
      </w:r>
      <w:r w:rsidR="005F0BCE" w:rsidRPr="00527BFD">
        <w:t>(</w:t>
      </w:r>
      <w:r w:rsidRPr="00527BFD">
        <w:t>n%</w:t>
      </w:r>
      <w:r w:rsidR="005F0BCE" w:rsidRPr="00527BFD">
        <w:t>)</w:t>
      </w:r>
      <w:r w:rsidRPr="00527BFD">
        <w:t xml:space="preserve"> participants) for each group: injection site pain (1713</w:t>
      </w:r>
      <w:r w:rsidR="00D46635">
        <w:t> </w:t>
      </w:r>
      <w:r w:rsidR="005F0BCE" w:rsidRPr="00527BFD">
        <w:t>(</w:t>
      </w:r>
      <w:r w:rsidRPr="00527BFD">
        <w:t>75%</w:t>
      </w:r>
      <w:r w:rsidR="005F0BCE" w:rsidRPr="00527BFD">
        <w:t>)</w:t>
      </w:r>
      <w:r w:rsidR="00596ACC" w:rsidRPr="00527BFD">
        <w:t xml:space="preserve"> in the cabotegravir group, </w:t>
      </w:r>
      <w:r w:rsidRPr="00527BFD">
        <w:t xml:space="preserve">688 </w:t>
      </w:r>
      <w:r w:rsidR="005F0BCE" w:rsidRPr="00527BFD">
        <w:t>(</w:t>
      </w:r>
      <w:r w:rsidRPr="00527BFD">
        <w:t>30%</w:t>
      </w:r>
      <w:r w:rsidR="005F0BCE" w:rsidRPr="00527BFD">
        <w:t>)</w:t>
      </w:r>
      <w:r w:rsidR="00596ACC" w:rsidRPr="00527BFD">
        <w:t xml:space="preserve"> in the TDF/emtricitabine group</w:t>
      </w:r>
      <w:r w:rsidRPr="00527BFD">
        <w:t xml:space="preserve">), creatinine renal clearance decreased (1576 </w:t>
      </w:r>
      <w:r w:rsidR="005F0BCE" w:rsidRPr="00527BFD">
        <w:t>(</w:t>
      </w:r>
      <w:r w:rsidRPr="00527BFD">
        <w:t>69%</w:t>
      </w:r>
      <w:r w:rsidR="005F0BCE" w:rsidRPr="00527BFD">
        <w:t>)</w:t>
      </w:r>
      <w:r w:rsidR="00596ACC" w:rsidRPr="00527BFD">
        <w:t xml:space="preserve"> in the cabotegravir group, </w:t>
      </w:r>
      <w:r w:rsidRPr="00527BFD">
        <w:t xml:space="preserve">1661 </w:t>
      </w:r>
      <w:r w:rsidR="005F0BCE" w:rsidRPr="00527BFD">
        <w:t>(</w:t>
      </w:r>
      <w:r w:rsidRPr="00527BFD">
        <w:t>73%</w:t>
      </w:r>
      <w:r w:rsidR="005F0BCE" w:rsidRPr="00527BFD">
        <w:t>)</w:t>
      </w:r>
      <w:r w:rsidR="00596ACC" w:rsidRPr="00527BFD">
        <w:t xml:space="preserve"> in the TDF/emtricitabine group</w:t>
      </w:r>
      <w:r w:rsidRPr="00527BFD">
        <w:t xml:space="preserve">), blood creatinine phosphokinase increased (506 </w:t>
      </w:r>
      <w:r w:rsidR="005F0BCE" w:rsidRPr="00527BFD">
        <w:t>(</w:t>
      </w:r>
      <w:r w:rsidRPr="00527BFD">
        <w:t>22%</w:t>
      </w:r>
      <w:r w:rsidR="005F0BCE" w:rsidRPr="00527BFD">
        <w:t>)</w:t>
      </w:r>
      <w:r w:rsidR="00596ACC" w:rsidRPr="00527BFD">
        <w:t xml:space="preserve"> in </w:t>
      </w:r>
      <w:r w:rsidR="00596ACC" w:rsidRPr="00527BFD">
        <w:lastRenderedPageBreak/>
        <w:t>the cabotegravir group,</w:t>
      </w:r>
      <w:r w:rsidRPr="00527BFD">
        <w:t xml:space="preserve"> 497 </w:t>
      </w:r>
      <w:r w:rsidR="005F0BCE" w:rsidRPr="00527BFD">
        <w:t>(</w:t>
      </w:r>
      <w:r w:rsidRPr="00527BFD">
        <w:t>22%</w:t>
      </w:r>
      <w:r w:rsidR="005F0BCE" w:rsidRPr="00527BFD">
        <w:t>)</w:t>
      </w:r>
      <w:r w:rsidR="00596ACC" w:rsidRPr="00527BFD">
        <w:t xml:space="preserve"> in the TDF/emtricitabine group</w:t>
      </w:r>
      <w:r w:rsidRPr="00527BFD">
        <w:t xml:space="preserve">), blood creatinine increased (379 </w:t>
      </w:r>
      <w:r w:rsidR="005F0BCE" w:rsidRPr="00527BFD">
        <w:t>(</w:t>
      </w:r>
      <w:r w:rsidRPr="00527BFD">
        <w:t>17%</w:t>
      </w:r>
      <w:r w:rsidR="005F0BCE" w:rsidRPr="00527BFD">
        <w:t>)</w:t>
      </w:r>
      <w:r w:rsidR="00596ACC" w:rsidRPr="00527BFD">
        <w:t xml:space="preserve"> in the cabotegravir group,</w:t>
      </w:r>
      <w:r w:rsidRPr="00527BFD">
        <w:t xml:space="preserve"> 426 </w:t>
      </w:r>
      <w:r w:rsidR="005F0BCE" w:rsidRPr="00527BFD">
        <w:t>(</w:t>
      </w:r>
      <w:r w:rsidRPr="00527BFD">
        <w:t>19%</w:t>
      </w:r>
      <w:r w:rsidR="005F0BCE" w:rsidRPr="00527BFD">
        <w:t>)</w:t>
      </w:r>
      <w:r w:rsidR="00596ACC" w:rsidRPr="00527BFD">
        <w:t xml:space="preserve"> in the TDF/emtricitabine group</w:t>
      </w:r>
      <w:r w:rsidRPr="00527BFD">
        <w:t xml:space="preserve">), nasopharyngitis (383 </w:t>
      </w:r>
      <w:r w:rsidR="005F0BCE" w:rsidRPr="00527BFD">
        <w:t>(</w:t>
      </w:r>
      <w:r w:rsidRPr="00527BFD">
        <w:t>17%</w:t>
      </w:r>
      <w:r w:rsidR="005F0BCE" w:rsidRPr="00527BFD">
        <w:t>)</w:t>
      </w:r>
      <w:r w:rsidR="00596ACC" w:rsidRPr="00527BFD">
        <w:t xml:space="preserve"> in the cabotegravir group,</w:t>
      </w:r>
      <w:r w:rsidRPr="00527BFD">
        <w:t xml:space="preserve"> 379 </w:t>
      </w:r>
      <w:r w:rsidR="005F0BCE" w:rsidRPr="00527BFD">
        <w:t>(</w:t>
      </w:r>
      <w:r w:rsidRPr="00527BFD">
        <w:t>17%</w:t>
      </w:r>
      <w:r w:rsidR="005F0BCE" w:rsidRPr="00527BFD">
        <w:t>)</w:t>
      </w:r>
      <w:r w:rsidR="00596ACC" w:rsidRPr="00527BFD">
        <w:t xml:space="preserve"> in the TDF/emtricitabine group</w:t>
      </w:r>
      <w:r w:rsidRPr="00527BFD">
        <w:t xml:space="preserve">), and headache (377 </w:t>
      </w:r>
      <w:r w:rsidR="005F0BCE" w:rsidRPr="00527BFD">
        <w:t>(</w:t>
      </w:r>
      <w:r w:rsidRPr="00527BFD">
        <w:t>17%</w:t>
      </w:r>
      <w:r w:rsidR="005F0BCE" w:rsidRPr="00527BFD">
        <w:t>)</w:t>
      </w:r>
      <w:r w:rsidR="00596ACC" w:rsidRPr="00527BFD">
        <w:t xml:space="preserve"> in the cabotegravir group, </w:t>
      </w:r>
      <w:r w:rsidRPr="00527BFD">
        <w:t>356</w:t>
      </w:r>
      <w:r w:rsidR="00D46635">
        <w:t> </w:t>
      </w:r>
      <w:r w:rsidR="005F0BCE" w:rsidRPr="00527BFD">
        <w:t>(</w:t>
      </w:r>
      <w:r w:rsidRPr="00527BFD">
        <w:t>16%</w:t>
      </w:r>
      <w:r w:rsidR="005F0BCE" w:rsidRPr="00527BFD">
        <w:t>)</w:t>
      </w:r>
      <w:r w:rsidR="00596ACC" w:rsidRPr="00527BFD">
        <w:t xml:space="preserve"> in the TDF/emtricitabine group</w:t>
      </w:r>
      <w:r w:rsidRPr="00527BFD">
        <w:t>).</w:t>
      </w:r>
    </w:p>
    <w:p w14:paraId="09376E0B" w14:textId="1C267EDF" w:rsidR="00596ACC" w:rsidRPr="00527BFD" w:rsidRDefault="003768A7" w:rsidP="00BB4257">
      <w:r w:rsidRPr="00527BFD">
        <w:t xml:space="preserve">In </w:t>
      </w:r>
      <w:r w:rsidR="00CC53B1" w:rsidRPr="00527BFD">
        <w:t>the HPTN 084 trial</w:t>
      </w:r>
      <w:r w:rsidRPr="00527BFD">
        <w:t>, the most common (</w:t>
      </w:r>
      <w:r w:rsidR="00754F3F" w:rsidRPr="00527BFD">
        <w:t xml:space="preserve">more than </w:t>
      </w:r>
      <w:r w:rsidRPr="00527BFD">
        <w:t xml:space="preserve">10%) AE PTs in both the </w:t>
      </w:r>
      <w:r w:rsidR="00FD52A9" w:rsidRPr="00527BFD">
        <w:t>cabotegravir</w:t>
      </w:r>
      <w:r w:rsidRPr="00527BFD">
        <w:t xml:space="preserve"> and TDF/</w:t>
      </w:r>
      <w:r w:rsidR="000B10F7" w:rsidRPr="00527BFD">
        <w:t>emtricitabine</w:t>
      </w:r>
      <w:r w:rsidRPr="00527BFD">
        <w:t xml:space="preserve"> groups were creatinine renal clearance decreased, blood glucose increased, amylase increased, injection site pain, blood glucose decreased, headache, blood creatinine increased, blood phosphorous decreased, upper respiratory tract infection, blood creatine phosphokinase increased, </w:t>
      </w:r>
      <w:r w:rsidR="0023090E" w:rsidRPr="00527BFD">
        <w:t>alanine aminotransferase (</w:t>
      </w:r>
      <w:r w:rsidRPr="00527BFD">
        <w:t>ALT</w:t>
      </w:r>
      <w:r w:rsidR="0023090E" w:rsidRPr="00527BFD">
        <w:t>)</w:t>
      </w:r>
      <w:r w:rsidRPr="00527BFD">
        <w:t xml:space="preserve"> increased, urinary tract infection, </w:t>
      </w:r>
      <w:r w:rsidR="0023090E" w:rsidRPr="00527BFD">
        <w:t>aspartate aminotransferase (</w:t>
      </w:r>
      <w:r w:rsidRPr="00527BFD">
        <w:t>AST</w:t>
      </w:r>
      <w:r w:rsidR="0023090E" w:rsidRPr="00527BFD">
        <w:t>)</w:t>
      </w:r>
      <w:r w:rsidRPr="00527BFD">
        <w:t xml:space="preserve"> increased, and lipase increased.</w:t>
      </w:r>
    </w:p>
    <w:p w14:paraId="3E829410" w14:textId="4ED50DB9" w:rsidR="003768A7" w:rsidRPr="00527BFD" w:rsidRDefault="003768A7" w:rsidP="00BB4257">
      <w:r w:rsidRPr="00527BFD">
        <w:t>The common AEs and relative risk</w:t>
      </w:r>
      <w:r w:rsidR="00596ACC" w:rsidRPr="00527BFD">
        <w:t xml:space="preserve"> of</w:t>
      </w:r>
      <w:r w:rsidRPr="00527BFD">
        <w:t xml:space="preserve"> </w:t>
      </w:r>
      <w:r w:rsidR="00FD52A9" w:rsidRPr="00527BFD">
        <w:t>cabotegravir</w:t>
      </w:r>
      <w:r w:rsidRPr="00527BFD">
        <w:t xml:space="preserve"> </w:t>
      </w:r>
      <w:r w:rsidR="00754F3F" w:rsidRPr="00527BFD">
        <w:t>versus</w:t>
      </w:r>
      <w:r w:rsidRPr="00527BFD">
        <w:t xml:space="preserve"> TDF/</w:t>
      </w:r>
      <w:r w:rsidR="000B10F7" w:rsidRPr="00527BFD">
        <w:t>emtricitabine</w:t>
      </w:r>
      <w:r w:rsidRPr="00527BFD">
        <w:t xml:space="preserve"> for the two pivotal studies are shown in</w:t>
      </w:r>
      <w:r w:rsidR="00596ACC" w:rsidRPr="00527BFD">
        <w:t xml:space="preserve"> </w:t>
      </w:r>
      <w:r w:rsidR="00596ACC" w:rsidRPr="00527BFD">
        <w:fldChar w:fldCharType="begin"/>
      </w:r>
      <w:r w:rsidR="00596ACC" w:rsidRPr="00527BFD">
        <w:instrText xml:space="preserve"> REF _Ref115894173 \h </w:instrText>
      </w:r>
      <w:r w:rsidR="00527BFD" w:rsidRPr="00527BFD">
        <w:instrText xml:space="preserve"> \* MERGEFORMAT </w:instrText>
      </w:r>
      <w:r w:rsidR="00596ACC" w:rsidRPr="00527BFD">
        <w:fldChar w:fldCharType="separate"/>
      </w:r>
      <w:r w:rsidR="001702C9" w:rsidRPr="0025423A">
        <w:t xml:space="preserve">Figure </w:t>
      </w:r>
      <w:r w:rsidR="001702C9">
        <w:rPr>
          <w:noProof/>
        </w:rPr>
        <w:t>10</w:t>
      </w:r>
      <w:r w:rsidR="00596ACC" w:rsidRPr="00527BFD">
        <w:fldChar w:fldCharType="end"/>
      </w:r>
      <w:r w:rsidR="00596ACC" w:rsidRPr="00527BFD">
        <w:t xml:space="preserve"> and </w:t>
      </w:r>
      <w:r w:rsidR="00596ACC" w:rsidRPr="00527BFD">
        <w:fldChar w:fldCharType="begin"/>
      </w:r>
      <w:r w:rsidR="00596ACC" w:rsidRPr="00527BFD">
        <w:instrText xml:space="preserve"> REF _Ref115894181 \h </w:instrText>
      </w:r>
      <w:r w:rsidR="00527BFD" w:rsidRPr="00527BFD">
        <w:instrText xml:space="preserve"> \* MERGEFORMAT </w:instrText>
      </w:r>
      <w:r w:rsidR="00596ACC" w:rsidRPr="00527BFD">
        <w:fldChar w:fldCharType="separate"/>
      </w:r>
      <w:r w:rsidR="001702C9" w:rsidRPr="0025423A">
        <w:t xml:space="preserve">Figure </w:t>
      </w:r>
      <w:r w:rsidR="001702C9">
        <w:rPr>
          <w:noProof/>
        </w:rPr>
        <w:t>11</w:t>
      </w:r>
      <w:r w:rsidR="00596ACC" w:rsidRPr="00527BFD">
        <w:fldChar w:fldCharType="end"/>
      </w:r>
      <w:r w:rsidR="00596ACC" w:rsidRPr="00527BFD">
        <w:t xml:space="preserve"> below</w:t>
      </w:r>
      <w:r w:rsidRPr="00527BFD">
        <w:t xml:space="preserve">. Overall, most of the commonly reported AE PTs (reported in </w:t>
      </w:r>
      <w:r w:rsidR="00FD52A9" w:rsidRPr="00527BFD">
        <w:t>at least</w:t>
      </w:r>
      <w:r w:rsidRPr="00527BFD">
        <w:t xml:space="preserve"> 5% of participants) in were similar proportions between the 2 treatment groups with a few exceptions</w:t>
      </w:r>
      <w:r w:rsidR="00AA6088">
        <w:t xml:space="preserve"> (see </w:t>
      </w:r>
      <w:r w:rsidR="00AA6088">
        <w:fldChar w:fldCharType="begin"/>
      </w:r>
      <w:r w:rsidR="00AA6088">
        <w:instrText xml:space="preserve"> REF _Ref115897965 \h </w:instrText>
      </w:r>
      <w:r w:rsidR="00AA6088">
        <w:fldChar w:fldCharType="separate"/>
      </w:r>
      <w:r w:rsidR="001702C9" w:rsidRPr="0025423A">
        <w:t xml:space="preserve">Table </w:t>
      </w:r>
      <w:r w:rsidR="001702C9">
        <w:rPr>
          <w:noProof/>
        </w:rPr>
        <w:t>16</w:t>
      </w:r>
      <w:r w:rsidR="00AA6088">
        <w:fldChar w:fldCharType="end"/>
      </w:r>
      <w:r w:rsidRPr="00527BFD">
        <w:t>).</w:t>
      </w:r>
    </w:p>
    <w:p w14:paraId="18306DBC" w14:textId="7B110098" w:rsidR="003768A7" w:rsidRPr="0025423A" w:rsidRDefault="00596ACC" w:rsidP="0025423A">
      <w:pPr>
        <w:pStyle w:val="FigureTitle"/>
      </w:pPr>
      <w:bookmarkStart w:id="101" w:name="_Ref115894173"/>
      <w:r w:rsidRPr="0025423A">
        <w:t xml:space="preserve">Figure </w:t>
      </w:r>
      <w:r w:rsidR="00234D1A">
        <w:fldChar w:fldCharType="begin"/>
      </w:r>
      <w:r w:rsidR="00234D1A">
        <w:instrText xml:space="preserve"> SEQ Figure \* ARABIC </w:instrText>
      </w:r>
      <w:r w:rsidR="00234D1A">
        <w:fldChar w:fldCharType="separate"/>
      </w:r>
      <w:r w:rsidR="001702C9">
        <w:rPr>
          <w:noProof/>
        </w:rPr>
        <w:t>10</w:t>
      </w:r>
      <w:r w:rsidR="00234D1A">
        <w:rPr>
          <w:noProof/>
        </w:rPr>
        <w:fldChar w:fldCharType="end"/>
      </w:r>
      <w:bookmarkEnd w:id="101"/>
      <w:r w:rsidRPr="0025423A">
        <w:t>:</w:t>
      </w:r>
      <w:r w:rsidR="003768A7" w:rsidRPr="0025423A">
        <w:t xml:space="preserve"> </w:t>
      </w:r>
      <w:bookmarkStart w:id="102" w:name="_Hlk99698503"/>
      <w:r w:rsidR="00AC3147" w:rsidRPr="0025423A">
        <w:t xml:space="preserve">Study 201737 (HPTN 083 trial) </w:t>
      </w:r>
      <w:r w:rsidR="003768A7" w:rsidRPr="0025423A">
        <w:t xml:space="preserve">Plot of </w:t>
      </w:r>
      <w:r w:rsidR="00AC3147" w:rsidRPr="0025423A">
        <w:t>common (at least 5%) adverse events and relative risk: cabotegravir versus tenofovir disoproxil fumarate</w:t>
      </w:r>
      <w:r w:rsidR="0025423A">
        <w:t xml:space="preserve"> </w:t>
      </w:r>
      <w:r w:rsidR="00AC3147" w:rsidRPr="0025423A">
        <w:t>/</w:t>
      </w:r>
      <w:r w:rsidR="0025423A">
        <w:t xml:space="preserve"> </w:t>
      </w:r>
      <w:r w:rsidR="00AC3147" w:rsidRPr="0025423A">
        <w:t>emtricitabine</w:t>
      </w:r>
      <w:bookmarkEnd w:id="102"/>
      <w:r w:rsidR="00A31150" w:rsidRPr="0025423A">
        <w:t xml:space="preserve"> in Steps 1 and 2 (safety population)</w:t>
      </w:r>
    </w:p>
    <w:p w14:paraId="73D6A131" w14:textId="334A2DB4" w:rsidR="00A31150" w:rsidRDefault="00A31150" w:rsidP="00866CBB">
      <w:r>
        <w:rPr>
          <w:noProof/>
          <w:lang w:val="en-GB" w:eastAsia="en-GB"/>
        </w:rPr>
        <w:drawing>
          <wp:inline distT="0" distB="0" distL="0" distR="0" wp14:anchorId="1A28F363" wp14:editId="70A7129D">
            <wp:extent cx="5330265" cy="3956957"/>
            <wp:effectExtent l="0" t="0" r="3810" b="5715"/>
            <wp:docPr id="36" name="Picture 36" descr="Figure 10: Study 201737 (HPTN 083 trial) Plot of common (at least 5%) adverse events and relative risk: cabotegravir versus tenofovir disoproxil fumarate / emtricitabine in Steps 1 and 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10: Study 201737 (HPTN 083 trial) Plot of common (at least 5%) adverse events and relative risk: cabotegravir versus tenofovir disoproxil fumarate / emtricitabine in Steps 1 and 2 (safety population)"/>
                    <pic:cNvPicPr/>
                  </pic:nvPicPr>
                  <pic:blipFill>
                    <a:blip r:embed="rId35"/>
                    <a:stretch>
                      <a:fillRect/>
                    </a:stretch>
                  </pic:blipFill>
                  <pic:spPr>
                    <a:xfrm>
                      <a:off x="0" y="0"/>
                      <a:ext cx="5335173" cy="3960600"/>
                    </a:xfrm>
                    <a:prstGeom prst="rect">
                      <a:avLst/>
                    </a:prstGeom>
                  </pic:spPr>
                </pic:pic>
              </a:graphicData>
            </a:graphic>
          </wp:inline>
        </w:drawing>
      </w:r>
    </w:p>
    <w:p w14:paraId="43D59FE4" w14:textId="71879A80" w:rsidR="001B71F9" w:rsidRPr="00866CBB" w:rsidRDefault="00866CBB" w:rsidP="00866CBB">
      <w:pPr>
        <w:pStyle w:val="FigureDescription"/>
      </w:pPr>
      <w:r w:rsidRPr="00866CBB">
        <w:t xml:space="preserve">Abbreviations: CAB = cabotegravir; </w:t>
      </w:r>
      <w:r w:rsidR="001B71F9" w:rsidRPr="00866CBB">
        <w:t>CI = confidence interval</w:t>
      </w:r>
      <w:r w:rsidRPr="00866CBB">
        <w:t xml:space="preserve">; FTC = emtricitabine; </w:t>
      </w:r>
      <w:r w:rsidR="001B71F9" w:rsidRPr="00866CBB">
        <w:t>TDF =</w:t>
      </w:r>
      <w:r w:rsidR="00342B4E" w:rsidRPr="00866CBB">
        <w:t xml:space="preserve"> tenofovir disoproxil fumarate</w:t>
      </w:r>
      <w:r w:rsidRPr="00866CBB">
        <w:t>.</w:t>
      </w:r>
    </w:p>
    <w:p w14:paraId="68DB8F98" w14:textId="262B5501" w:rsidR="003768A7" w:rsidRPr="0025423A" w:rsidRDefault="00596ACC" w:rsidP="0025423A">
      <w:pPr>
        <w:pStyle w:val="FigureTitle"/>
      </w:pPr>
      <w:bookmarkStart w:id="103" w:name="_Ref115894181"/>
      <w:r w:rsidRPr="0025423A">
        <w:lastRenderedPageBreak/>
        <w:t xml:space="preserve">Figure </w:t>
      </w:r>
      <w:r w:rsidR="00234D1A">
        <w:fldChar w:fldCharType="begin"/>
      </w:r>
      <w:r w:rsidR="00234D1A">
        <w:instrText xml:space="preserve"> SEQ Figure \* ARABIC </w:instrText>
      </w:r>
      <w:r w:rsidR="00234D1A">
        <w:fldChar w:fldCharType="separate"/>
      </w:r>
      <w:r w:rsidR="001702C9">
        <w:rPr>
          <w:noProof/>
        </w:rPr>
        <w:t>11</w:t>
      </w:r>
      <w:r w:rsidR="00234D1A">
        <w:rPr>
          <w:noProof/>
        </w:rPr>
        <w:fldChar w:fldCharType="end"/>
      </w:r>
      <w:bookmarkEnd w:id="103"/>
      <w:r w:rsidRPr="0025423A">
        <w:t>:</w:t>
      </w:r>
      <w:r w:rsidR="003768A7" w:rsidRPr="0025423A">
        <w:t xml:space="preserve"> </w:t>
      </w:r>
      <w:r w:rsidR="00AC3147" w:rsidRPr="0025423A">
        <w:t xml:space="preserve">Study 201737 (HPTN 084 trial) </w:t>
      </w:r>
      <w:r w:rsidR="003768A7" w:rsidRPr="0025423A">
        <w:t xml:space="preserve">Plot of </w:t>
      </w:r>
      <w:r w:rsidR="00AC3147" w:rsidRPr="0025423A">
        <w:t>common (at least 5%) adverse events and relative risk: cabotegravir versus tenofovir disoproxil fumarate</w:t>
      </w:r>
      <w:r w:rsidR="0025423A" w:rsidRPr="0025423A">
        <w:t xml:space="preserve"> </w:t>
      </w:r>
      <w:r w:rsidR="00AC3147" w:rsidRPr="0025423A">
        <w:t>/</w:t>
      </w:r>
      <w:r w:rsidR="0025423A" w:rsidRPr="0025423A">
        <w:t xml:space="preserve"> </w:t>
      </w:r>
      <w:r w:rsidR="00AC3147" w:rsidRPr="0025423A">
        <w:t>emtricitabine</w:t>
      </w:r>
      <w:r w:rsidR="00A31150" w:rsidRPr="0025423A">
        <w:t xml:space="preserve"> in Steps 1 and 2 (safety population)</w:t>
      </w:r>
    </w:p>
    <w:p w14:paraId="05881765" w14:textId="2C570579" w:rsidR="00A31150" w:rsidRDefault="00A31150" w:rsidP="00866CBB">
      <w:r>
        <w:rPr>
          <w:noProof/>
          <w:lang w:val="en-GB" w:eastAsia="en-GB"/>
        </w:rPr>
        <w:drawing>
          <wp:inline distT="0" distB="0" distL="0" distR="0" wp14:anchorId="572CC12D" wp14:editId="15AF531A">
            <wp:extent cx="5290033" cy="4152900"/>
            <wp:effectExtent l="0" t="0" r="6350" b="0"/>
            <wp:docPr id="37" name="Picture 37" descr="Figure 11: Study 201737 (HPTN 084 trial) Plot of common (at least 5%) adverse events and relative risk: cabotegravir versus tenofovir disoproxil fumarate / emtricitabine in Steps 1 and 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Figure 11: Study 201737 (HPTN 084 trial) Plot of common (at least 5%) adverse events and relative risk: cabotegravir versus tenofovir disoproxil fumarate / emtricitabine in Steps 1 and 2 (safety population)"/>
                    <pic:cNvPicPr/>
                  </pic:nvPicPr>
                  <pic:blipFill>
                    <a:blip r:embed="rId36"/>
                    <a:stretch>
                      <a:fillRect/>
                    </a:stretch>
                  </pic:blipFill>
                  <pic:spPr>
                    <a:xfrm>
                      <a:off x="0" y="0"/>
                      <a:ext cx="5295603" cy="4157272"/>
                    </a:xfrm>
                    <a:prstGeom prst="rect">
                      <a:avLst/>
                    </a:prstGeom>
                  </pic:spPr>
                </pic:pic>
              </a:graphicData>
            </a:graphic>
          </wp:inline>
        </w:drawing>
      </w:r>
    </w:p>
    <w:p w14:paraId="15C2A39F" w14:textId="4513808D" w:rsidR="001B71F9" w:rsidRPr="00866CBB" w:rsidRDefault="00866CBB" w:rsidP="00866CBB">
      <w:pPr>
        <w:pStyle w:val="FigureDescription"/>
      </w:pPr>
      <w:r w:rsidRPr="00866CBB">
        <w:t xml:space="preserve">Abbreviations: CAB = cabotegravir; </w:t>
      </w:r>
      <w:r w:rsidR="001B71F9" w:rsidRPr="00866CBB">
        <w:t>CI = confidence interval</w:t>
      </w:r>
      <w:r w:rsidRPr="00866CBB">
        <w:t xml:space="preserve">; FTC = emtricitabine; </w:t>
      </w:r>
      <w:r w:rsidR="001B71F9" w:rsidRPr="00866CBB">
        <w:t>TDF =</w:t>
      </w:r>
      <w:r w:rsidR="00342B4E" w:rsidRPr="00866CBB">
        <w:t xml:space="preserve"> tenofovir disoproxil fumarate</w:t>
      </w:r>
      <w:r w:rsidRPr="00866CBB">
        <w:t>.</w:t>
      </w:r>
    </w:p>
    <w:p w14:paraId="62F0462D" w14:textId="3B0DB495" w:rsidR="003768A7" w:rsidRPr="00866CBB" w:rsidRDefault="00A31150" w:rsidP="00866CBB">
      <w:pPr>
        <w:pStyle w:val="FigureDescription"/>
      </w:pPr>
      <w:r w:rsidRPr="00866CBB">
        <w:t>Several</w:t>
      </w:r>
      <w:r w:rsidR="00866CBB">
        <w:t xml:space="preserve"> adverse event</w:t>
      </w:r>
      <w:r w:rsidRPr="00866CBB">
        <w:t xml:space="preserve"> </w:t>
      </w:r>
      <w:r w:rsidR="00866CBB">
        <w:t>(</w:t>
      </w:r>
      <w:r w:rsidRPr="00866CBB">
        <w:t>AE</w:t>
      </w:r>
      <w:r w:rsidR="00866CBB">
        <w:t>)</w:t>
      </w:r>
      <w:r w:rsidRPr="00866CBB">
        <w:t xml:space="preserve"> terms (including injection site nodule) were not included in this figure because their incidence was 4.X%</w:t>
      </w:r>
      <w:r w:rsidR="00846FEE">
        <w:t xml:space="preserve"> (which rounded up to 5%)</w:t>
      </w:r>
      <w:r w:rsidRPr="00866CBB">
        <w:t xml:space="preserve">. This figure includes AE terms with an unrounded incidence of </w:t>
      </w:r>
      <w:r w:rsidR="00866CBB">
        <w:t xml:space="preserve">at least </w:t>
      </w:r>
      <w:r w:rsidRPr="00866CBB">
        <w:t>5.0%.</w:t>
      </w:r>
    </w:p>
    <w:p w14:paraId="36C105F6" w14:textId="4139DB19" w:rsidR="003768A7" w:rsidRPr="0025423A" w:rsidRDefault="005F7C07" w:rsidP="0025423A">
      <w:pPr>
        <w:pStyle w:val="TableTitle"/>
      </w:pPr>
      <w:bookmarkStart w:id="104" w:name="_Ref116225952"/>
      <w:r w:rsidRPr="0025423A">
        <w:t xml:space="preserve">Table </w:t>
      </w:r>
      <w:r w:rsidR="00234D1A">
        <w:fldChar w:fldCharType="begin"/>
      </w:r>
      <w:r w:rsidR="00234D1A">
        <w:instrText xml:space="preserve"> SEQ Table \* ARABIC </w:instrText>
      </w:r>
      <w:r w:rsidR="00234D1A">
        <w:fldChar w:fldCharType="separate"/>
      </w:r>
      <w:r w:rsidR="001702C9">
        <w:rPr>
          <w:noProof/>
        </w:rPr>
        <w:t>14</w:t>
      </w:r>
      <w:r w:rsidR="00234D1A">
        <w:rPr>
          <w:noProof/>
        </w:rPr>
        <w:fldChar w:fldCharType="end"/>
      </w:r>
      <w:bookmarkEnd w:id="104"/>
      <w:r w:rsidR="003768A7" w:rsidRPr="0025423A">
        <w:t xml:space="preserve">: </w:t>
      </w:r>
      <w:r w:rsidR="009F1F1B" w:rsidRPr="0025423A">
        <w:t xml:space="preserve">Study 201738 (HPTN 083 trial) and Study 201737 (HPTN 084 trial) </w:t>
      </w:r>
      <w:r w:rsidR="003768A7" w:rsidRPr="0025423A">
        <w:t xml:space="preserve">Adverse events where proportions were different between </w:t>
      </w:r>
      <w:r w:rsidR="00FD52A9" w:rsidRPr="0025423A">
        <w:t xml:space="preserve">cabotegravir </w:t>
      </w:r>
      <w:r w:rsidR="003768A7" w:rsidRPr="0025423A">
        <w:t xml:space="preserve">and </w:t>
      </w:r>
      <w:r w:rsidR="00F13517" w:rsidRPr="0025423A">
        <w:t>tenofovir disoproxil fumarate</w:t>
      </w:r>
      <w:r w:rsidR="0025423A">
        <w:t xml:space="preserve"> </w:t>
      </w:r>
      <w:r w:rsidR="003768A7" w:rsidRPr="0025423A">
        <w:t>/</w:t>
      </w:r>
      <w:r w:rsidR="0025423A">
        <w:t xml:space="preserve"> </w:t>
      </w:r>
      <w:r w:rsidR="000B10F7" w:rsidRPr="0025423A">
        <w:t>emtricitabine</w:t>
      </w:r>
      <w:r w:rsidR="003768A7" w:rsidRPr="0025423A">
        <w:t xml:space="preserve"> groups</w:t>
      </w:r>
    </w:p>
    <w:tbl>
      <w:tblPr>
        <w:tblStyle w:val="TableTGAblue"/>
        <w:tblW w:w="8354" w:type="dxa"/>
        <w:tblLook w:val="04A0" w:firstRow="1" w:lastRow="0" w:firstColumn="1" w:lastColumn="0" w:noHBand="0" w:noVBand="1"/>
      </w:tblPr>
      <w:tblGrid>
        <w:gridCol w:w="1077"/>
        <w:gridCol w:w="3593"/>
        <w:gridCol w:w="3684"/>
      </w:tblGrid>
      <w:tr w:rsidR="003768A7" w:rsidRPr="00527BFD" w14:paraId="5A0726B9" w14:textId="77777777" w:rsidTr="005B0974">
        <w:trPr>
          <w:cnfStyle w:val="100000000000" w:firstRow="1" w:lastRow="0" w:firstColumn="0" w:lastColumn="0" w:oddVBand="0" w:evenVBand="0" w:oddHBand="0" w:evenHBand="0" w:firstRowFirstColumn="0" w:firstRowLastColumn="0" w:lastRowFirstColumn="0" w:lastRowLastColumn="0"/>
        </w:trPr>
        <w:tc>
          <w:tcPr>
            <w:tcW w:w="1077" w:type="dxa"/>
          </w:tcPr>
          <w:p w14:paraId="17F09AE4" w14:textId="77777777" w:rsidR="003768A7" w:rsidRPr="00527BFD" w:rsidRDefault="003768A7" w:rsidP="00B0698F">
            <w:pPr>
              <w:pStyle w:val="Tabletext"/>
              <w:ind w:left="0" w:right="0"/>
            </w:pPr>
          </w:p>
        </w:tc>
        <w:tc>
          <w:tcPr>
            <w:tcW w:w="3593" w:type="dxa"/>
          </w:tcPr>
          <w:p w14:paraId="0472E9EF" w14:textId="20C48112" w:rsidR="003768A7" w:rsidRPr="00527BFD" w:rsidRDefault="003768A7" w:rsidP="00B0698F">
            <w:pPr>
              <w:pStyle w:val="Tabletext"/>
              <w:ind w:left="0" w:right="0"/>
            </w:pPr>
            <w:r w:rsidRPr="00527BFD">
              <w:t xml:space="preserve">AEs where proportions higher in </w:t>
            </w:r>
            <w:r w:rsidR="00FD52A9" w:rsidRPr="00527BFD">
              <w:t>cabotegravir</w:t>
            </w:r>
            <w:r w:rsidRPr="00527BFD">
              <w:t xml:space="preserve"> compared to TDF/</w:t>
            </w:r>
            <w:r w:rsidR="00F25AFD" w:rsidRPr="00F25AFD">
              <w:t>emtricitabine</w:t>
            </w:r>
            <w:r w:rsidR="00F25AFD">
              <w:t xml:space="preserve"> groups</w:t>
            </w:r>
          </w:p>
        </w:tc>
        <w:tc>
          <w:tcPr>
            <w:tcW w:w="3684" w:type="dxa"/>
          </w:tcPr>
          <w:p w14:paraId="478525C7" w14:textId="6CC5DA89" w:rsidR="003768A7" w:rsidRPr="00527BFD" w:rsidRDefault="003768A7" w:rsidP="00B0698F">
            <w:pPr>
              <w:pStyle w:val="Tabletext"/>
              <w:ind w:left="0" w:right="0"/>
            </w:pPr>
            <w:r w:rsidRPr="00527BFD">
              <w:t>AEs where proportions higher in TDF/</w:t>
            </w:r>
            <w:r w:rsidR="000B10F7" w:rsidRPr="00527BFD">
              <w:t>emtricitabine</w:t>
            </w:r>
            <w:r w:rsidRPr="00527BFD">
              <w:t xml:space="preserve"> compared to </w:t>
            </w:r>
            <w:r w:rsidR="00FD52A9" w:rsidRPr="00527BFD">
              <w:t>cabotegravir</w:t>
            </w:r>
            <w:r w:rsidR="00F25AFD" w:rsidRPr="00527BFD">
              <w:t xml:space="preserve"> groups</w:t>
            </w:r>
          </w:p>
        </w:tc>
      </w:tr>
      <w:tr w:rsidR="003768A7" w:rsidRPr="00527BFD" w14:paraId="12B9F442" w14:textId="77777777" w:rsidTr="005B0974">
        <w:trPr>
          <w:trHeight w:val="1474"/>
        </w:trPr>
        <w:tc>
          <w:tcPr>
            <w:tcW w:w="1077" w:type="dxa"/>
          </w:tcPr>
          <w:p w14:paraId="5F656278" w14:textId="77777777" w:rsidR="003768A7" w:rsidRPr="00527BFD" w:rsidRDefault="003768A7" w:rsidP="00B0698F">
            <w:pPr>
              <w:pStyle w:val="Tabletext"/>
              <w:ind w:left="0" w:right="0"/>
            </w:pPr>
            <w:r w:rsidRPr="00527BFD">
              <w:t>HPTN 083</w:t>
            </w:r>
          </w:p>
        </w:tc>
        <w:tc>
          <w:tcPr>
            <w:tcW w:w="3593" w:type="dxa"/>
          </w:tcPr>
          <w:p w14:paraId="4F7F7893" w14:textId="77777777" w:rsidR="003768A7" w:rsidRPr="00527BFD" w:rsidRDefault="003768A7" w:rsidP="00B0698F">
            <w:pPr>
              <w:pStyle w:val="Tabletext"/>
              <w:ind w:left="0" w:right="0"/>
            </w:pPr>
            <w:r w:rsidRPr="00527BFD">
              <w:t>ISR events (injection site pain, nodule*, induration*, and swelling)</w:t>
            </w:r>
          </w:p>
          <w:p w14:paraId="68417737" w14:textId="77777777" w:rsidR="003768A7" w:rsidRPr="00527BFD" w:rsidRDefault="003768A7" w:rsidP="00B0698F">
            <w:pPr>
              <w:pStyle w:val="Tabletext"/>
              <w:ind w:left="0" w:right="0"/>
            </w:pPr>
            <w:r w:rsidRPr="00527BFD">
              <w:t>Blood glucose increased*</w:t>
            </w:r>
          </w:p>
          <w:p w14:paraId="328774B0" w14:textId="77777777" w:rsidR="003768A7" w:rsidRPr="00527BFD" w:rsidRDefault="003768A7" w:rsidP="00B0698F">
            <w:pPr>
              <w:pStyle w:val="Tabletext"/>
              <w:ind w:left="0" w:right="0"/>
            </w:pPr>
            <w:r w:rsidRPr="00527BFD">
              <w:t>Pyrexia*</w:t>
            </w:r>
          </w:p>
          <w:p w14:paraId="11945982" w14:textId="77777777" w:rsidR="003768A7" w:rsidRPr="00527BFD" w:rsidRDefault="003768A7" w:rsidP="00B0698F">
            <w:pPr>
              <w:pStyle w:val="Tabletext"/>
              <w:ind w:left="0" w:right="0"/>
            </w:pPr>
            <w:r w:rsidRPr="00527BFD">
              <w:t>Pharyngitis</w:t>
            </w:r>
          </w:p>
          <w:p w14:paraId="033A9457" w14:textId="77777777" w:rsidR="003768A7" w:rsidRPr="00527BFD" w:rsidRDefault="003768A7" w:rsidP="00B0698F">
            <w:pPr>
              <w:pStyle w:val="Tabletext"/>
              <w:ind w:left="0" w:right="0"/>
            </w:pPr>
            <w:r w:rsidRPr="00527BFD">
              <w:t>Hypertension</w:t>
            </w:r>
          </w:p>
        </w:tc>
        <w:tc>
          <w:tcPr>
            <w:tcW w:w="3684" w:type="dxa"/>
          </w:tcPr>
          <w:p w14:paraId="79598559" w14:textId="77777777" w:rsidR="003768A7" w:rsidRPr="00527BFD" w:rsidRDefault="003768A7" w:rsidP="00B0698F">
            <w:pPr>
              <w:pStyle w:val="Tabletext"/>
              <w:ind w:left="0" w:right="0"/>
            </w:pPr>
            <w:r w:rsidRPr="00527BFD">
              <w:t>Creatinine renal clearance decreased</w:t>
            </w:r>
          </w:p>
          <w:p w14:paraId="7A5DACEE" w14:textId="77777777" w:rsidR="003768A7" w:rsidRPr="00527BFD" w:rsidRDefault="003768A7" w:rsidP="00B0698F">
            <w:pPr>
              <w:pStyle w:val="Tabletext"/>
              <w:ind w:left="0" w:right="0"/>
            </w:pPr>
            <w:r w:rsidRPr="00527BFD">
              <w:t>Blood creatinine increased</w:t>
            </w:r>
          </w:p>
          <w:p w14:paraId="76C01221" w14:textId="77777777" w:rsidR="003768A7" w:rsidRPr="00527BFD" w:rsidRDefault="003768A7" w:rsidP="00B0698F">
            <w:pPr>
              <w:pStyle w:val="Tabletext"/>
              <w:ind w:left="0" w:right="0"/>
            </w:pPr>
            <w:r w:rsidRPr="00527BFD">
              <w:t>Alanine aminotransferase increased</w:t>
            </w:r>
          </w:p>
          <w:p w14:paraId="41847CF1" w14:textId="77777777" w:rsidR="003768A7" w:rsidRPr="00527BFD" w:rsidRDefault="003768A7" w:rsidP="00B0698F">
            <w:pPr>
              <w:pStyle w:val="Tabletext"/>
              <w:ind w:left="0" w:right="0"/>
            </w:pPr>
            <w:r w:rsidRPr="00527BFD">
              <w:t>Nausea**</w:t>
            </w:r>
          </w:p>
        </w:tc>
      </w:tr>
      <w:tr w:rsidR="003768A7" w:rsidRPr="00527BFD" w14:paraId="3A640C64" w14:textId="77777777" w:rsidTr="005B0974">
        <w:trPr>
          <w:cantSplit/>
          <w:trHeight w:val="528"/>
        </w:trPr>
        <w:tc>
          <w:tcPr>
            <w:tcW w:w="1077" w:type="dxa"/>
          </w:tcPr>
          <w:p w14:paraId="02DC3F21" w14:textId="77777777" w:rsidR="003768A7" w:rsidRPr="00527BFD" w:rsidRDefault="003768A7" w:rsidP="00B0698F">
            <w:pPr>
              <w:pStyle w:val="Tabletext"/>
              <w:ind w:left="0" w:right="0"/>
            </w:pPr>
            <w:r w:rsidRPr="00527BFD">
              <w:lastRenderedPageBreak/>
              <w:t>HPTN 084</w:t>
            </w:r>
          </w:p>
        </w:tc>
        <w:tc>
          <w:tcPr>
            <w:tcW w:w="3593" w:type="dxa"/>
          </w:tcPr>
          <w:p w14:paraId="566E7C79" w14:textId="77777777" w:rsidR="003768A7" w:rsidRPr="00527BFD" w:rsidRDefault="003768A7" w:rsidP="00B0698F">
            <w:pPr>
              <w:pStyle w:val="Tabletext"/>
              <w:ind w:left="0" w:right="0"/>
            </w:pPr>
            <w:r w:rsidRPr="00527BFD">
              <w:t>ISR events (injection site pain*, nodule and swelling) *</w:t>
            </w:r>
          </w:p>
          <w:p w14:paraId="67AA2398" w14:textId="77777777" w:rsidR="003768A7" w:rsidRPr="00527BFD" w:rsidRDefault="003768A7" w:rsidP="00B0698F">
            <w:pPr>
              <w:pStyle w:val="Tabletext"/>
              <w:ind w:left="0" w:right="0"/>
            </w:pPr>
            <w:r w:rsidRPr="00527BFD">
              <w:t>Blood glucose increased*</w:t>
            </w:r>
          </w:p>
        </w:tc>
        <w:tc>
          <w:tcPr>
            <w:tcW w:w="3684" w:type="dxa"/>
          </w:tcPr>
          <w:p w14:paraId="052475CF" w14:textId="77777777" w:rsidR="003768A7" w:rsidRPr="00527BFD" w:rsidRDefault="003768A7" w:rsidP="00B0698F">
            <w:pPr>
              <w:pStyle w:val="Tabletext"/>
              <w:ind w:left="0" w:right="0"/>
            </w:pPr>
            <w:r w:rsidRPr="00527BFD">
              <w:t>Blood phosphorus decreased**</w:t>
            </w:r>
          </w:p>
          <w:p w14:paraId="62C835C7" w14:textId="77777777" w:rsidR="003768A7" w:rsidRPr="00527BFD" w:rsidRDefault="003768A7" w:rsidP="00B0698F">
            <w:pPr>
              <w:pStyle w:val="Tabletext"/>
              <w:ind w:left="0" w:right="0"/>
            </w:pPr>
            <w:r w:rsidRPr="00527BFD">
              <w:t>Nausea**</w:t>
            </w:r>
          </w:p>
          <w:p w14:paraId="35C3FA3F" w14:textId="77777777" w:rsidR="003768A7" w:rsidRPr="00527BFD" w:rsidRDefault="003768A7" w:rsidP="00B0698F">
            <w:pPr>
              <w:pStyle w:val="Tabletext"/>
              <w:ind w:left="0" w:right="0"/>
            </w:pPr>
            <w:r w:rsidRPr="00527BFD">
              <w:t>Vomiting**</w:t>
            </w:r>
          </w:p>
        </w:tc>
      </w:tr>
    </w:tbl>
    <w:p w14:paraId="15889C19" w14:textId="25936FA7" w:rsidR="001B71F9" w:rsidRPr="00866CBB" w:rsidRDefault="00866CBB" w:rsidP="00866CBB">
      <w:pPr>
        <w:pStyle w:val="TableDescription"/>
      </w:pPr>
      <w:r w:rsidRPr="00866CBB">
        <w:t xml:space="preserve">Abbreviations: </w:t>
      </w:r>
      <w:r w:rsidR="001B71F9" w:rsidRPr="00866CBB">
        <w:t>AE =</w:t>
      </w:r>
      <w:r w:rsidR="00342B4E" w:rsidRPr="00866CBB">
        <w:t xml:space="preserve"> adverse event</w:t>
      </w:r>
      <w:r w:rsidRPr="00866CBB">
        <w:t xml:space="preserve">; ISR = injection site reaction; </w:t>
      </w:r>
      <w:r w:rsidR="001B71F9" w:rsidRPr="00866CBB">
        <w:t>TDF =</w:t>
      </w:r>
      <w:r w:rsidR="00342B4E" w:rsidRPr="00866CBB">
        <w:t xml:space="preserve"> tenofovir disoproxil fumarate</w:t>
      </w:r>
      <w:r w:rsidRPr="00866CBB">
        <w:t>.</w:t>
      </w:r>
    </w:p>
    <w:p w14:paraId="74BE1633" w14:textId="1BDC9C72" w:rsidR="00866CBB" w:rsidRPr="00866CBB" w:rsidRDefault="003768A7" w:rsidP="00866CBB">
      <w:pPr>
        <w:pStyle w:val="TableDescription"/>
      </w:pPr>
      <w:r w:rsidRPr="00866CBB">
        <w:t>*</w:t>
      </w:r>
      <w:r w:rsidR="00A30BD9">
        <w:t xml:space="preserve"> </w:t>
      </w:r>
      <w:r w:rsidRPr="00866CBB">
        <w:t xml:space="preserve">Relative risk </w:t>
      </w:r>
      <w:r w:rsidR="00754F3F" w:rsidRPr="00866CBB">
        <w:t>greater than</w:t>
      </w:r>
      <w:r w:rsidRPr="00866CBB">
        <w:t xml:space="preserve"> </w:t>
      </w:r>
      <w:r w:rsidR="00866CBB" w:rsidRPr="00866CBB">
        <w:t>one</w:t>
      </w:r>
      <w:r w:rsidRPr="00866CBB">
        <w:t xml:space="preserve"> and the lower limit of the confidence interval is greater than </w:t>
      </w:r>
      <w:r w:rsidR="00866CBB" w:rsidRPr="00866CBB">
        <w:t>one</w:t>
      </w:r>
      <w:r w:rsidRPr="00866CBB">
        <w:t xml:space="preserve"> indicating this event occurred more frequently in </w:t>
      </w:r>
      <w:r w:rsidR="00FD52A9" w:rsidRPr="00866CBB">
        <w:t>cabotegravir</w:t>
      </w:r>
      <w:r w:rsidRPr="00866CBB">
        <w:t xml:space="preserve"> compared to TDF/</w:t>
      </w:r>
      <w:r w:rsidR="000B10F7" w:rsidRPr="00866CBB">
        <w:t>emtricitabine</w:t>
      </w:r>
      <w:r w:rsidRPr="00866CBB">
        <w:t>.</w:t>
      </w:r>
    </w:p>
    <w:p w14:paraId="2B3C3970" w14:textId="546AE960" w:rsidR="003768A7" w:rsidRPr="00866CBB" w:rsidRDefault="003768A7" w:rsidP="00866CBB">
      <w:pPr>
        <w:pStyle w:val="TableDescription"/>
      </w:pPr>
      <w:r w:rsidRPr="00866CBB">
        <w:t xml:space="preserve">** Relative risk </w:t>
      </w:r>
      <w:r w:rsidR="00754F3F" w:rsidRPr="00866CBB">
        <w:t>lower than</w:t>
      </w:r>
      <w:r w:rsidRPr="00866CBB">
        <w:t xml:space="preserve"> </w:t>
      </w:r>
      <w:r w:rsidR="00866CBB" w:rsidRPr="00866CBB">
        <w:t>one</w:t>
      </w:r>
      <w:r w:rsidRPr="00866CBB">
        <w:t xml:space="preserve"> and the upper limit of the confidence interval is less than </w:t>
      </w:r>
      <w:r w:rsidR="00866CBB" w:rsidRPr="00866CBB">
        <w:t>one</w:t>
      </w:r>
      <w:r w:rsidRPr="00866CBB">
        <w:t xml:space="preserve"> indicating this event occurred more frequently in TDF/</w:t>
      </w:r>
      <w:r w:rsidR="000B10F7" w:rsidRPr="00866CBB">
        <w:t>emtricitabine</w:t>
      </w:r>
      <w:r w:rsidRPr="00866CBB">
        <w:t xml:space="preserve"> compared to </w:t>
      </w:r>
      <w:r w:rsidR="00FD52A9" w:rsidRPr="00866CBB">
        <w:t>cabotegravir</w:t>
      </w:r>
      <w:r w:rsidRPr="00866CBB">
        <w:t>.</w:t>
      </w:r>
    </w:p>
    <w:p w14:paraId="46E4CF08" w14:textId="660B77B2" w:rsidR="003768A7" w:rsidRPr="00527BFD" w:rsidRDefault="003768A7" w:rsidP="00BB4257">
      <w:r w:rsidRPr="00527BFD">
        <w:t xml:space="preserve">In the HPTN 077 </w:t>
      </w:r>
      <w:r w:rsidR="00CC53B1" w:rsidRPr="00527BFD">
        <w:t>trial</w:t>
      </w:r>
      <w:r w:rsidRPr="00527BFD">
        <w:t xml:space="preserve">, the primary safety end point analyses included </w:t>
      </w:r>
      <w:r w:rsidR="00B0698F" w:rsidRPr="00527BFD">
        <w:t xml:space="preserve">Grade </w:t>
      </w:r>
      <w:r w:rsidRPr="00527BFD">
        <w:t xml:space="preserve">2 or higher clinical AEs. The overall incidence of </w:t>
      </w:r>
      <w:r w:rsidR="00B0698F" w:rsidRPr="00527BFD">
        <w:t xml:space="preserve">grade </w:t>
      </w:r>
      <w:r w:rsidR="00754F3F" w:rsidRPr="00527BFD">
        <w:t xml:space="preserve">higher than </w:t>
      </w:r>
      <w:r w:rsidRPr="00527BFD">
        <w:t xml:space="preserve">2 AEs was similar in the </w:t>
      </w:r>
      <w:r w:rsidR="00FD52A9" w:rsidRPr="00527BFD">
        <w:t>cabotegravir</w:t>
      </w:r>
      <w:r w:rsidRPr="00527BFD">
        <w:t xml:space="preserve"> and placebo treatment groups </w:t>
      </w:r>
      <w:r w:rsidR="005F0BCE" w:rsidRPr="00527BFD">
        <w:t>(</w:t>
      </w:r>
      <w:r w:rsidRPr="00527BFD">
        <w:t xml:space="preserve">90% (121/134) </w:t>
      </w:r>
      <w:r w:rsidR="00754F3F" w:rsidRPr="00527BFD">
        <w:t>versus</w:t>
      </w:r>
      <w:r w:rsidRPr="00527BFD">
        <w:t xml:space="preserve"> 88% (38/43)</w:t>
      </w:r>
      <w:r w:rsidR="005F7C07">
        <w:t xml:space="preserve">, see </w:t>
      </w:r>
      <w:r w:rsidR="005F7C07">
        <w:fldChar w:fldCharType="begin"/>
      </w:r>
      <w:r w:rsidR="005F7C07">
        <w:instrText xml:space="preserve"> REF _Ref116225952 \h </w:instrText>
      </w:r>
      <w:r w:rsidR="005F7C07">
        <w:fldChar w:fldCharType="separate"/>
      </w:r>
      <w:r w:rsidR="001702C9" w:rsidRPr="0025423A">
        <w:t xml:space="preserve">Table </w:t>
      </w:r>
      <w:r w:rsidR="001702C9">
        <w:rPr>
          <w:noProof/>
        </w:rPr>
        <w:t>14</w:t>
      </w:r>
      <w:r w:rsidR="005F7C07">
        <w:fldChar w:fldCharType="end"/>
      </w:r>
      <w:r w:rsidR="005F7C07">
        <w:t xml:space="preserve"> above)</w:t>
      </w:r>
      <w:r w:rsidRPr="00527BFD">
        <w:t xml:space="preserve">. The most reported on-treatment AEs for both groups included creatinine clearance decreased, blood glucose increased, and headache. Injection site events, including site pain, induration, bruising, swelling, </w:t>
      </w:r>
      <w:proofErr w:type="gramStart"/>
      <w:r w:rsidRPr="00527BFD">
        <w:t>erythema</w:t>
      </w:r>
      <w:proofErr w:type="gramEnd"/>
      <w:r w:rsidR="00B0698F" w:rsidRPr="00527BFD">
        <w:t xml:space="preserve"> and </w:t>
      </w:r>
      <w:r w:rsidRPr="00527BFD">
        <w:t xml:space="preserve">pyrexia were higher in the </w:t>
      </w:r>
      <w:r w:rsidR="00FD52A9" w:rsidRPr="00527BFD">
        <w:t>cabotegravir</w:t>
      </w:r>
      <w:r w:rsidRPr="00527BFD">
        <w:t xml:space="preserve"> group.</w:t>
      </w:r>
    </w:p>
    <w:p w14:paraId="52E7321C" w14:textId="20F0D12F" w:rsidR="003768A7" w:rsidRPr="00527BFD" w:rsidRDefault="003768A7" w:rsidP="00BB4257">
      <w:r w:rsidRPr="00527BFD">
        <w:t xml:space="preserve">The ÉCLAIR </w:t>
      </w:r>
      <w:r w:rsidR="00B614A4" w:rsidRPr="00527BFD">
        <w:t>trial</w:t>
      </w:r>
      <w:r w:rsidRPr="00527BFD">
        <w:t xml:space="preserve"> evaluated the safety </w:t>
      </w:r>
      <w:r w:rsidR="00FD52A9" w:rsidRPr="00527BFD">
        <w:t>cabotegravir</w:t>
      </w:r>
      <w:r w:rsidR="00B0698F" w:rsidRPr="00527BFD">
        <w:t xml:space="preserve"> </w:t>
      </w:r>
      <w:r w:rsidRPr="00527BFD">
        <w:t>LA (800</w:t>
      </w:r>
      <w:r w:rsidR="00E83512" w:rsidRPr="00527BFD">
        <w:t xml:space="preserve"> </w:t>
      </w:r>
      <w:r w:rsidRPr="00527BFD">
        <w:t>mg dose administered at 3</w:t>
      </w:r>
      <w:r w:rsidR="00B0698F" w:rsidRPr="00527BFD">
        <w:t> </w:t>
      </w:r>
      <w:r w:rsidRPr="00527BFD">
        <w:t xml:space="preserve">time points at 12-week intervals). A larger proportion of participants in the </w:t>
      </w:r>
      <w:r w:rsidR="00FD52A9" w:rsidRPr="00527BFD">
        <w:t>cabotegravir</w:t>
      </w:r>
      <w:r w:rsidRPr="00527BFD">
        <w:t xml:space="preserve"> group experienced ISR (</w:t>
      </w:r>
      <w:r w:rsidR="005F7C07">
        <w:fldChar w:fldCharType="begin"/>
      </w:r>
      <w:r w:rsidR="005F7C07">
        <w:instrText xml:space="preserve"> REF _Ref115891114 \h </w:instrText>
      </w:r>
      <w:r w:rsidR="005F7C07">
        <w:fldChar w:fldCharType="separate"/>
      </w:r>
      <w:r w:rsidR="001702C9" w:rsidRPr="0025423A">
        <w:t xml:space="preserve">Table </w:t>
      </w:r>
      <w:r w:rsidR="001702C9">
        <w:rPr>
          <w:noProof/>
        </w:rPr>
        <w:t>13</w:t>
      </w:r>
      <w:r w:rsidR="005F7C07">
        <w:fldChar w:fldCharType="end"/>
      </w:r>
      <w:r w:rsidRPr="00527BFD">
        <w:t>)</w:t>
      </w:r>
      <w:r w:rsidR="005F7C07">
        <w:t>.</w:t>
      </w:r>
      <w:r w:rsidRPr="00527BFD">
        <w:t xml:space="preserve"> Other common side effects (</w:t>
      </w:r>
      <w:r w:rsidR="00754F3F" w:rsidRPr="00527BFD">
        <w:t xml:space="preserve">more than </w:t>
      </w:r>
      <w:r w:rsidRPr="00527BFD">
        <w:t xml:space="preserve">10%) were headache, upper respiratory tract infection, pyrexia, </w:t>
      </w:r>
      <w:r w:rsidR="001B4B1D" w:rsidRPr="00527BFD">
        <w:t>diarrhoea</w:t>
      </w:r>
      <w:r w:rsidRPr="00527BFD">
        <w:t>, fatigue, nasopharyngitis, and myalgia.</w:t>
      </w:r>
    </w:p>
    <w:p w14:paraId="0A7A2B99" w14:textId="62F7C2EC" w:rsidR="003768A7" w:rsidRPr="00527BFD" w:rsidRDefault="003768A7" w:rsidP="00BB4257">
      <w:r w:rsidRPr="00527BFD">
        <w:t>In study 206898</w:t>
      </w:r>
      <w:r w:rsidR="00B0698F" w:rsidRPr="00527BFD">
        <w:t>,</w:t>
      </w:r>
      <w:r w:rsidRPr="00527BFD">
        <w:t xml:space="preserve"> all 48 subjects (48 </w:t>
      </w:r>
      <w:r w:rsidR="005F0BCE" w:rsidRPr="00527BFD">
        <w:t>(</w:t>
      </w:r>
      <w:r w:rsidRPr="00527BFD">
        <w:t>100%</w:t>
      </w:r>
      <w:r w:rsidR="005F0BCE" w:rsidRPr="00527BFD">
        <w:t>)</w:t>
      </w:r>
      <w:r w:rsidRPr="00527BFD">
        <w:t xml:space="preserve">) reported at least </w:t>
      </w:r>
      <w:r w:rsidR="00B0698F" w:rsidRPr="00527BFD">
        <w:t>one</w:t>
      </w:r>
      <w:r w:rsidRPr="00527BFD">
        <w:t xml:space="preserve"> AE during the study. Most AEs were reported during </w:t>
      </w:r>
      <w:r w:rsidR="00B0698F" w:rsidRPr="00527BFD">
        <w:t xml:space="preserve">injection phase </w:t>
      </w:r>
      <w:r w:rsidRPr="00527BFD">
        <w:t xml:space="preserve">and were Grade 1 or 2. The </w:t>
      </w:r>
      <w:proofErr w:type="gramStart"/>
      <w:r w:rsidRPr="00527BFD">
        <w:t>most commonly reported</w:t>
      </w:r>
      <w:proofErr w:type="gramEnd"/>
      <w:r w:rsidRPr="00527BFD">
        <w:t xml:space="preserve"> AE was injection site pain. One subject in </w:t>
      </w:r>
      <w:r w:rsidR="00B0698F" w:rsidRPr="00527BFD">
        <w:t xml:space="preserve">oral phase experienced </w:t>
      </w:r>
      <w:r w:rsidRPr="00527BFD">
        <w:t>2</w:t>
      </w:r>
      <w:r w:rsidR="00B0698F" w:rsidRPr="00527BFD">
        <w:t> </w:t>
      </w:r>
      <w:r w:rsidRPr="00527BFD">
        <w:t xml:space="preserve">AEs leading to permanent discontinuation of study drug. One subject reported </w:t>
      </w:r>
      <w:r w:rsidR="00B0698F" w:rsidRPr="00527BFD">
        <w:t>one</w:t>
      </w:r>
      <w:r w:rsidRPr="00527BFD">
        <w:t xml:space="preserve"> </w:t>
      </w:r>
      <w:r w:rsidR="0023090E" w:rsidRPr="00527BFD">
        <w:t>serious adverse event (</w:t>
      </w:r>
      <w:r w:rsidRPr="00527BFD">
        <w:t>SAE</w:t>
      </w:r>
      <w:r w:rsidR="0023090E" w:rsidRPr="00527BFD">
        <w:t>)</w:t>
      </w:r>
      <w:r w:rsidRPr="00527BFD">
        <w:t xml:space="preserve"> during the </w:t>
      </w:r>
      <w:r w:rsidR="00B0698F" w:rsidRPr="00527BFD">
        <w:t>injection phase</w:t>
      </w:r>
      <w:r w:rsidRPr="00527BFD">
        <w:t>. No death</w:t>
      </w:r>
      <w:r w:rsidR="001B4B1D">
        <w:t>s</w:t>
      </w:r>
      <w:r w:rsidRPr="00527BFD">
        <w:t xml:space="preserve"> w</w:t>
      </w:r>
      <w:r w:rsidR="001B4B1D">
        <w:t>ere</w:t>
      </w:r>
      <w:r w:rsidRPr="00527BFD">
        <w:t xml:space="preserve"> reported. A total of 29 (60%) subjects reported at least </w:t>
      </w:r>
      <w:r w:rsidR="00B0698F" w:rsidRPr="00527BFD">
        <w:t>one</w:t>
      </w:r>
      <w:r w:rsidRPr="00527BFD">
        <w:t xml:space="preserve"> Grade 2 or higher laboratory abnormality. None of these laboratory abnormalities met the withdrawal criteria.</w:t>
      </w:r>
    </w:p>
    <w:p w14:paraId="5B248399" w14:textId="01D3756A" w:rsidR="00BB4257" w:rsidRPr="00527BFD" w:rsidRDefault="003768A7" w:rsidP="0059470F">
      <w:pPr>
        <w:pStyle w:val="Heading5"/>
      </w:pPr>
      <w:r w:rsidRPr="00527BFD">
        <w:t>Treatment</w:t>
      </w:r>
      <w:r w:rsidR="00714561">
        <w:t>-</w:t>
      </w:r>
      <w:r w:rsidRPr="00527BFD">
        <w:t>related adverse events (adverse drug reactions)</w:t>
      </w:r>
    </w:p>
    <w:p w14:paraId="62CC1579" w14:textId="19E7F75E" w:rsidR="003768A7" w:rsidRPr="00527BFD" w:rsidRDefault="003768A7" w:rsidP="00BB4257">
      <w:r w:rsidRPr="00527BFD">
        <w:t xml:space="preserve">A higher proportion of participants in the </w:t>
      </w:r>
      <w:r w:rsidR="00FD52A9" w:rsidRPr="00527BFD">
        <w:t>cabotegravir</w:t>
      </w:r>
      <w:r w:rsidRPr="00527BFD">
        <w:t xml:space="preserve"> groups reported events that were considered to be drug-related compared to participants in the TDF/</w:t>
      </w:r>
      <w:r w:rsidR="000B10F7" w:rsidRPr="00527BFD">
        <w:t>emtricitabine</w:t>
      </w:r>
      <w:r w:rsidRPr="00527BFD">
        <w:t xml:space="preserve"> (</w:t>
      </w:r>
      <w:r w:rsidR="00BB0AC1" w:rsidRPr="00527BFD">
        <w:t>the HPTN</w:t>
      </w:r>
      <w:r w:rsidR="00D46635">
        <w:t> </w:t>
      </w:r>
      <w:r w:rsidR="00BB0AC1" w:rsidRPr="00527BFD">
        <w:t xml:space="preserve">083 </w:t>
      </w:r>
      <w:r w:rsidR="00B614A4" w:rsidRPr="00527BFD">
        <w:t>and HPTN</w:t>
      </w:r>
      <w:r w:rsidRPr="00527BFD">
        <w:t xml:space="preserve"> 084</w:t>
      </w:r>
      <w:r w:rsidR="00B614A4" w:rsidRPr="00527BFD">
        <w:t xml:space="preserve"> trials</w:t>
      </w:r>
      <w:r w:rsidRPr="00527BFD">
        <w:t>) or placebo groups (</w:t>
      </w:r>
      <w:r w:rsidR="00CC53B1" w:rsidRPr="00527BFD">
        <w:t xml:space="preserve">the HPTN 077 and </w:t>
      </w:r>
      <w:r w:rsidR="00C47CC3" w:rsidRPr="00527BFD">
        <w:t>ÉCLAIR</w:t>
      </w:r>
      <w:r w:rsidR="00CC53B1" w:rsidRPr="00527BFD">
        <w:t xml:space="preserve"> trials</w:t>
      </w:r>
      <w:r w:rsidRPr="00527BFD">
        <w:t>), and this was mostly related to higher incidence of ISRs</w:t>
      </w:r>
      <w:r w:rsidR="005F0BCE" w:rsidRPr="00527BFD">
        <w:t xml:space="preserve"> </w:t>
      </w:r>
      <w:r w:rsidRPr="00527BFD">
        <w:t>(</w:t>
      </w:r>
      <w:r w:rsidR="001B4B1D">
        <w:t xml:space="preserve">see </w:t>
      </w:r>
      <w:r w:rsidR="005F7C07">
        <w:fldChar w:fldCharType="begin"/>
      </w:r>
      <w:r w:rsidR="005F7C07">
        <w:instrText xml:space="preserve"> REF _Ref116225952 \h </w:instrText>
      </w:r>
      <w:r w:rsidR="005F7C07">
        <w:fldChar w:fldCharType="separate"/>
      </w:r>
      <w:r w:rsidR="001702C9" w:rsidRPr="0025423A">
        <w:t xml:space="preserve">Table </w:t>
      </w:r>
      <w:r w:rsidR="001702C9">
        <w:rPr>
          <w:noProof/>
        </w:rPr>
        <w:t>14</w:t>
      </w:r>
      <w:r w:rsidR="005F7C07">
        <w:fldChar w:fldCharType="end"/>
      </w:r>
      <w:r w:rsidRPr="00527BFD">
        <w:t>) The most frequently reported non-ISR drug</w:t>
      </w:r>
      <w:r w:rsidR="00714561">
        <w:t>-</w:t>
      </w:r>
      <w:r w:rsidRPr="00527BFD">
        <w:t xml:space="preserve">related AEs were blood creatinine increases in </w:t>
      </w:r>
      <w:r w:rsidR="00FD52A9" w:rsidRPr="00527BFD">
        <w:t>cabotegravir</w:t>
      </w:r>
      <w:r w:rsidRPr="00527BFD">
        <w:t xml:space="preserve"> and TDF/</w:t>
      </w:r>
      <w:r w:rsidR="000B10F7" w:rsidRPr="00527BFD">
        <w:t>emtricitabine</w:t>
      </w:r>
      <w:r w:rsidRPr="00527BFD">
        <w:t xml:space="preserve"> groups and </w:t>
      </w:r>
      <w:r w:rsidR="001B4B1D" w:rsidRPr="00527BFD">
        <w:t>diarrhoea</w:t>
      </w:r>
      <w:r w:rsidRPr="00527BFD">
        <w:t xml:space="preserve"> and nausea in the TDF/</w:t>
      </w:r>
      <w:r w:rsidR="000B10F7" w:rsidRPr="00527BFD">
        <w:t>emtricitabine</w:t>
      </w:r>
      <w:r w:rsidRPr="00527BFD">
        <w:t xml:space="preserve"> group. In </w:t>
      </w:r>
      <w:r w:rsidR="00CC53B1" w:rsidRPr="00527BFD">
        <w:t>the HPTN</w:t>
      </w:r>
      <w:r w:rsidR="00B0698F" w:rsidRPr="00527BFD">
        <w:t> </w:t>
      </w:r>
      <w:r w:rsidR="00CC53B1" w:rsidRPr="00527BFD">
        <w:t xml:space="preserve">077 trial </w:t>
      </w:r>
      <w:r w:rsidRPr="00527BFD">
        <w:t xml:space="preserve">outside of ISRs, the most frequently reported AEs in the </w:t>
      </w:r>
      <w:r w:rsidR="00FD52A9" w:rsidRPr="00527BFD">
        <w:t>cabotegravir</w:t>
      </w:r>
      <w:r w:rsidRPr="00527BFD">
        <w:t xml:space="preserve"> treatment group were headache (23%) and creatinine renal clearance decreased (22%), although reduced creatin</w:t>
      </w:r>
      <w:r w:rsidR="001B4B1D">
        <w:t>in</w:t>
      </w:r>
      <w:r w:rsidRPr="00527BFD">
        <w:t>e clearance was also seen in the placebo group (25%).</w:t>
      </w:r>
    </w:p>
    <w:p w14:paraId="79ADD5C9" w14:textId="77777777" w:rsidR="003768A7" w:rsidRPr="00527BFD" w:rsidRDefault="003768A7" w:rsidP="0059470F">
      <w:pPr>
        <w:pStyle w:val="Heading5"/>
        <w:rPr>
          <w:rFonts w:eastAsia="TimesNewRoman"/>
          <w:lang w:val="en-US"/>
        </w:rPr>
      </w:pPr>
      <w:r w:rsidRPr="00527BFD">
        <w:rPr>
          <w:rFonts w:eastAsia="TimesNewRoman"/>
          <w:lang w:val="en-US"/>
        </w:rPr>
        <w:t>Deaths and other serious adverse events</w:t>
      </w:r>
    </w:p>
    <w:p w14:paraId="1CEF6912" w14:textId="53A6BDFC" w:rsidR="003768A7" w:rsidRPr="00527BFD" w:rsidRDefault="003768A7" w:rsidP="00BB4257">
      <w:r w:rsidRPr="00527BFD">
        <w:t xml:space="preserve">In </w:t>
      </w:r>
      <w:r w:rsidR="00BB0AC1" w:rsidRPr="00527BFD">
        <w:t>the HPTN 083 trial</w:t>
      </w:r>
      <w:r w:rsidRPr="00527BFD">
        <w:t xml:space="preserve"> there were 10 deaths reported in </w:t>
      </w:r>
      <w:r w:rsidR="00290775" w:rsidRPr="00527BFD">
        <w:t xml:space="preserve">Steps </w:t>
      </w:r>
      <w:r w:rsidRPr="00527BFD">
        <w:t xml:space="preserve">1 and 2 (4 </w:t>
      </w:r>
      <w:r w:rsidR="001B4B1D">
        <w:t xml:space="preserve">subjects </w:t>
      </w:r>
      <w:r w:rsidRPr="00527BFD">
        <w:t xml:space="preserve">in the </w:t>
      </w:r>
      <w:r w:rsidR="00FD52A9" w:rsidRPr="00527BFD">
        <w:t>cabotegravir</w:t>
      </w:r>
      <w:r w:rsidRPr="00527BFD">
        <w:t xml:space="preserve"> group</w:t>
      </w:r>
      <w:r w:rsidR="00290775" w:rsidRPr="00527BFD">
        <w:t>,</w:t>
      </w:r>
      <w:r w:rsidRPr="00527BFD">
        <w:t xml:space="preserve"> 6 in the TDF</w:t>
      </w:r>
      <w:r w:rsidR="0063449D" w:rsidRPr="00527BFD">
        <w:t>/emtricitabine</w:t>
      </w:r>
      <w:r w:rsidRPr="00527BFD">
        <w:t xml:space="preserve"> group), of which one in the TDF/</w:t>
      </w:r>
      <w:r w:rsidR="000B10F7" w:rsidRPr="00527BFD">
        <w:t>emtricitabine</w:t>
      </w:r>
      <w:r w:rsidRPr="00527BFD">
        <w:t xml:space="preserve"> group </w:t>
      </w:r>
      <w:proofErr w:type="gramStart"/>
      <w:r w:rsidRPr="00527BFD">
        <w:t>was considered to be</w:t>
      </w:r>
      <w:proofErr w:type="gramEnd"/>
      <w:r w:rsidRPr="00527BFD">
        <w:t xml:space="preserve"> drug</w:t>
      </w:r>
      <w:r w:rsidR="00714561">
        <w:t>-</w:t>
      </w:r>
      <w:r w:rsidRPr="00527BFD">
        <w:t>related by the investigator (</w:t>
      </w:r>
      <w:r w:rsidR="00290775" w:rsidRPr="00527BFD">
        <w:t>cardiac disorder</w:t>
      </w:r>
      <w:r w:rsidRPr="00527BFD">
        <w:t>). One death occurred during Step 3 (</w:t>
      </w:r>
      <w:r w:rsidR="001B4B1D">
        <w:t xml:space="preserve">reported as a </w:t>
      </w:r>
      <w:r w:rsidRPr="00527BFD">
        <w:t>stab wound</w:t>
      </w:r>
      <w:r w:rsidR="00E846E7">
        <w:t xml:space="preserve"> </w:t>
      </w:r>
      <w:r w:rsidRPr="00527BFD">
        <w:t xml:space="preserve">in </w:t>
      </w:r>
      <w:r w:rsidR="00290775" w:rsidRPr="00527BFD">
        <w:t xml:space="preserve">the </w:t>
      </w:r>
      <w:r w:rsidRPr="00527BFD">
        <w:t>TDF/</w:t>
      </w:r>
      <w:r w:rsidR="000B10F7" w:rsidRPr="00527BFD">
        <w:t>emtricitabine</w:t>
      </w:r>
      <w:r w:rsidRPr="00527BFD">
        <w:t xml:space="preserve"> group</w:t>
      </w:r>
      <w:r w:rsidR="005F7C07">
        <w:t xml:space="preserve">, see </w:t>
      </w:r>
      <w:r w:rsidR="005F7C07">
        <w:fldChar w:fldCharType="begin"/>
      </w:r>
      <w:r w:rsidR="005F7C07">
        <w:instrText xml:space="preserve"> REF _Ref116225952 \h </w:instrText>
      </w:r>
      <w:r w:rsidR="005F7C07">
        <w:fldChar w:fldCharType="separate"/>
      </w:r>
      <w:r w:rsidR="001702C9" w:rsidRPr="0025423A">
        <w:t xml:space="preserve">Table </w:t>
      </w:r>
      <w:r w:rsidR="001702C9">
        <w:rPr>
          <w:noProof/>
        </w:rPr>
        <w:t>14</w:t>
      </w:r>
      <w:r w:rsidR="005F7C07">
        <w:fldChar w:fldCharType="end"/>
      </w:r>
      <w:r w:rsidR="005F7C07">
        <w:t>)</w:t>
      </w:r>
      <w:r w:rsidRPr="00527BFD">
        <w:t xml:space="preserve">. In </w:t>
      </w:r>
      <w:r w:rsidR="00CC53B1" w:rsidRPr="00527BFD">
        <w:t>the HPTN</w:t>
      </w:r>
      <w:r w:rsidR="00290775" w:rsidRPr="00527BFD">
        <w:t> </w:t>
      </w:r>
      <w:r w:rsidR="00CC53B1" w:rsidRPr="00527BFD">
        <w:t>084 trial</w:t>
      </w:r>
      <w:r w:rsidRPr="00527BFD">
        <w:t xml:space="preserve">, three deaths occurred in the </w:t>
      </w:r>
      <w:r w:rsidR="00FD52A9" w:rsidRPr="00527BFD">
        <w:t>cabotegravir</w:t>
      </w:r>
      <w:r w:rsidRPr="00527BFD">
        <w:t xml:space="preserve"> group (</w:t>
      </w:r>
      <w:r w:rsidR="001B4B1D">
        <w:t xml:space="preserve">reported as </w:t>
      </w:r>
      <w:r w:rsidRPr="00527BFD">
        <w:t>hypertensive heart disease</w:t>
      </w:r>
      <w:r w:rsidR="00846FEE">
        <w:t>,</w:t>
      </w:r>
      <w:r w:rsidRPr="00527BFD">
        <w:t xml:space="preserve"> </w:t>
      </w:r>
      <w:proofErr w:type="gramStart"/>
      <w:r w:rsidRPr="00527BFD">
        <w:t>headache</w:t>
      </w:r>
      <w:proofErr w:type="gramEnd"/>
      <w:r w:rsidR="00846FEE">
        <w:t xml:space="preserve"> and</w:t>
      </w:r>
      <w:r w:rsidRPr="00527BFD">
        <w:t xml:space="preserve"> cerebrovascular accident). No deaths were reported in the TDF/</w:t>
      </w:r>
      <w:r w:rsidR="000B10F7" w:rsidRPr="00527BFD">
        <w:t>emtricitabine</w:t>
      </w:r>
      <w:r w:rsidRPr="00527BFD">
        <w:t xml:space="preserve"> group. None </w:t>
      </w:r>
      <w:r w:rsidRPr="00527BFD">
        <w:lastRenderedPageBreak/>
        <w:t xml:space="preserve">of the deaths in the </w:t>
      </w:r>
      <w:r w:rsidR="00FD52A9" w:rsidRPr="00527BFD">
        <w:t>cabotegravir</w:t>
      </w:r>
      <w:r w:rsidRPr="00527BFD">
        <w:t xml:space="preserve"> group </w:t>
      </w:r>
      <w:proofErr w:type="gramStart"/>
      <w:r w:rsidRPr="00527BFD">
        <w:t>were considered to be</w:t>
      </w:r>
      <w:proofErr w:type="gramEnd"/>
      <w:r w:rsidRPr="00527BFD">
        <w:t xml:space="preserve"> related to study treatment. No deaths, and few SAEs were reported during the supportive studies from the </w:t>
      </w:r>
      <w:r w:rsidR="00FD52A9" w:rsidRPr="00527BFD">
        <w:t>cabotegravir</w:t>
      </w:r>
      <w:r w:rsidRPr="00527BFD">
        <w:t xml:space="preserve"> </w:t>
      </w:r>
      <w:proofErr w:type="spellStart"/>
      <w:r w:rsidRPr="00527BFD">
        <w:t>PrEP</w:t>
      </w:r>
      <w:proofErr w:type="spellEnd"/>
      <w:r w:rsidRPr="00527BFD">
        <w:t xml:space="preserve"> program (</w:t>
      </w:r>
      <w:r w:rsidR="00CC53B1" w:rsidRPr="00527BFD">
        <w:t xml:space="preserve">the </w:t>
      </w:r>
      <w:r w:rsidR="00C47CC3" w:rsidRPr="00527BFD">
        <w:t>ÉCLAIR</w:t>
      </w:r>
      <w:r w:rsidR="00CC53B1" w:rsidRPr="00527BFD">
        <w:t xml:space="preserve"> and </w:t>
      </w:r>
      <w:r w:rsidRPr="00527BFD">
        <w:t>HPTN</w:t>
      </w:r>
      <w:r w:rsidR="00A15ADC">
        <w:t> </w:t>
      </w:r>
      <w:r w:rsidRPr="00527BFD">
        <w:t>077</w:t>
      </w:r>
      <w:r w:rsidR="00CC53B1" w:rsidRPr="00527BFD">
        <w:t xml:space="preserve"> trials</w:t>
      </w:r>
      <w:r w:rsidRPr="00527BFD">
        <w:t>).</w:t>
      </w:r>
    </w:p>
    <w:p w14:paraId="279EA47E" w14:textId="406076BE" w:rsidR="003768A7" w:rsidRPr="00527BFD" w:rsidRDefault="003768A7" w:rsidP="00BB4257">
      <w:r w:rsidRPr="00527BFD">
        <w:t>The proportion of participants with SAEs was low and similar in both treatment groups (</w:t>
      </w:r>
      <w:r w:rsidR="00290775" w:rsidRPr="00527BFD">
        <w:t xml:space="preserve">5% in the cabotegravir group and 5% in the TDF/emtricitabine group of </w:t>
      </w:r>
      <w:r w:rsidR="00BB0AC1" w:rsidRPr="00527BFD">
        <w:t>the HPTN</w:t>
      </w:r>
      <w:r w:rsidR="00290775" w:rsidRPr="00527BFD">
        <w:t> </w:t>
      </w:r>
      <w:r w:rsidR="00BB0AC1" w:rsidRPr="00527BFD">
        <w:t>083 trial</w:t>
      </w:r>
      <w:r w:rsidR="00290775" w:rsidRPr="00527BFD">
        <w:t>;</w:t>
      </w:r>
      <w:r w:rsidRPr="00527BFD">
        <w:t xml:space="preserve"> </w:t>
      </w:r>
      <w:r w:rsidR="00290775" w:rsidRPr="00527BFD">
        <w:t xml:space="preserve">2% in the </w:t>
      </w:r>
      <w:r w:rsidR="00FD52A9" w:rsidRPr="00527BFD">
        <w:t>cabotegravir</w:t>
      </w:r>
      <w:r w:rsidR="00290775" w:rsidRPr="00527BFD">
        <w:t xml:space="preserve"> group and 2% in the</w:t>
      </w:r>
      <w:r w:rsidRPr="00527BFD">
        <w:t xml:space="preserve"> TDF/</w:t>
      </w:r>
      <w:r w:rsidR="000B10F7" w:rsidRPr="00527BFD">
        <w:t>emtricitabine</w:t>
      </w:r>
      <w:r w:rsidRPr="00527BFD">
        <w:t xml:space="preserve"> </w:t>
      </w:r>
      <w:r w:rsidR="00290775" w:rsidRPr="00527BFD">
        <w:t>group of the HPTN 084 trial</w:t>
      </w:r>
      <w:r w:rsidRPr="00527BFD">
        <w:t>) with no concerning trends observed.</w:t>
      </w:r>
    </w:p>
    <w:p w14:paraId="0C193E28" w14:textId="6A02AE3F" w:rsidR="003768A7" w:rsidRPr="00527BFD" w:rsidRDefault="003768A7" w:rsidP="00290775">
      <w:r w:rsidRPr="00527BFD">
        <w:t xml:space="preserve">In </w:t>
      </w:r>
      <w:r w:rsidR="00BB0AC1" w:rsidRPr="00527BFD">
        <w:t>the HPTN 083 trial</w:t>
      </w:r>
      <w:r w:rsidRPr="00527BFD">
        <w:t xml:space="preserve"> there were 5 drug</w:t>
      </w:r>
      <w:r w:rsidR="00714561">
        <w:t>-</w:t>
      </w:r>
      <w:r w:rsidRPr="00527BFD">
        <w:t xml:space="preserve">related SAEs in 4 </w:t>
      </w:r>
      <w:r w:rsidR="00FD52A9" w:rsidRPr="00527BFD">
        <w:t>cabotegravir</w:t>
      </w:r>
      <w:r w:rsidRPr="00527BFD">
        <w:t xml:space="preserve"> group participants and 4 drug</w:t>
      </w:r>
      <w:r w:rsidR="00714561">
        <w:t>-</w:t>
      </w:r>
      <w:r w:rsidRPr="00527BFD">
        <w:t>related SAEs in 3 participants in the TDF/</w:t>
      </w:r>
      <w:r w:rsidR="000B10F7" w:rsidRPr="00527BFD">
        <w:t>emtricitabine</w:t>
      </w:r>
      <w:r w:rsidRPr="00527BFD">
        <w:t xml:space="preserve"> group. In the </w:t>
      </w:r>
      <w:r w:rsidR="00FD52A9" w:rsidRPr="00527BFD">
        <w:t>cabotegravir</w:t>
      </w:r>
      <w:r w:rsidRPr="00527BFD">
        <w:t xml:space="preserve"> group these were suicide attempts (n</w:t>
      </w:r>
      <w:r w:rsidR="00754F3F" w:rsidRPr="00527BFD">
        <w:t xml:space="preserve"> = </w:t>
      </w:r>
      <w:r w:rsidRPr="00527BFD">
        <w:t xml:space="preserve">2), and </w:t>
      </w:r>
      <w:r w:rsidR="00290775" w:rsidRPr="00527BFD">
        <w:t>one</w:t>
      </w:r>
      <w:r w:rsidRPr="00527BFD">
        <w:t xml:space="preserve"> each of affective disorder, a seizure disorder, and an immune thrombocytopenic event. In the TDF/</w:t>
      </w:r>
      <w:r w:rsidR="000B10F7" w:rsidRPr="00527BFD">
        <w:t>emtricitabine</w:t>
      </w:r>
      <w:r w:rsidRPr="00527BFD">
        <w:t xml:space="preserve"> group these were a suicide attempt, one increased ALT and 2</w:t>
      </w:r>
      <w:r w:rsidR="00290775" w:rsidRPr="00527BFD">
        <w:t> </w:t>
      </w:r>
      <w:r w:rsidRPr="00527BFD">
        <w:t>episodes of serious cardiac disorder in the same person.</w:t>
      </w:r>
    </w:p>
    <w:p w14:paraId="3F7249D7" w14:textId="3C73A49D" w:rsidR="003768A7" w:rsidRPr="00527BFD" w:rsidRDefault="003768A7" w:rsidP="00290775">
      <w:r w:rsidRPr="00527BFD">
        <w:t xml:space="preserve">In </w:t>
      </w:r>
      <w:r w:rsidR="00CC53B1" w:rsidRPr="00527BFD">
        <w:t>the HPTN 084 trial</w:t>
      </w:r>
      <w:r w:rsidRPr="00527BFD">
        <w:t xml:space="preserve"> there was one SAE in a </w:t>
      </w:r>
      <w:r w:rsidR="00FD52A9" w:rsidRPr="00527BFD">
        <w:t>cabotegravir</w:t>
      </w:r>
      <w:r w:rsidRPr="00527BFD">
        <w:t xml:space="preserve"> participant (respiratory tract infection) and 4 SAEs in 3 participants in the TDF/</w:t>
      </w:r>
      <w:r w:rsidR="000B10F7" w:rsidRPr="00527BFD">
        <w:t>emtricitabine</w:t>
      </w:r>
      <w:r w:rsidRPr="00527BFD">
        <w:t xml:space="preserve"> group (Increased AST, increased ALT, </w:t>
      </w:r>
      <w:proofErr w:type="gramStart"/>
      <w:r w:rsidRPr="00527BFD">
        <w:t>hepatotoxicity</w:t>
      </w:r>
      <w:proofErr w:type="gramEnd"/>
      <w:r w:rsidR="00290775" w:rsidRPr="00527BFD">
        <w:t xml:space="preserve"> and </w:t>
      </w:r>
      <w:r w:rsidRPr="00527BFD">
        <w:t>seizure).</w:t>
      </w:r>
    </w:p>
    <w:p w14:paraId="1E87979F" w14:textId="3274573F" w:rsidR="003768A7" w:rsidRPr="00527BFD" w:rsidRDefault="003768A7" w:rsidP="00290775">
      <w:r w:rsidRPr="00527BFD">
        <w:t xml:space="preserve">In the </w:t>
      </w:r>
      <w:r w:rsidR="00C47CC3" w:rsidRPr="00527BFD">
        <w:t>ÉCLAIR</w:t>
      </w:r>
      <w:r w:rsidRPr="00527BFD">
        <w:t xml:space="preserve"> </w:t>
      </w:r>
      <w:r w:rsidR="00290775" w:rsidRPr="00527BFD">
        <w:t>trial,</w:t>
      </w:r>
      <w:r w:rsidRPr="00527BFD">
        <w:t xml:space="preserve"> a participant in the </w:t>
      </w:r>
      <w:r w:rsidR="00FD52A9" w:rsidRPr="00527BFD">
        <w:t>cabotegravir</w:t>
      </w:r>
      <w:r w:rsidRPr="00527BFD">
        <w:t xml:space="preserve"> group had an SAE of deep vein thrombosis.</w:t>
      </w:r>
    </w:p>
    <w:p w14:paraId="52D0726C" w14:textId="1B152DEA" w:rsidR="003768A7" w:rsidRPr="00527BFD" w:rsidRDefault="003768A7" w:rsidP="00290775">
      <w:r w:rsidRPr="00527BFD">
        <w:t xml:space="preserve">In the HPTN 077 </w:t>
      </w:r>
      <w:r w:rsidR="00CC53B1" w:rsidRPr="00527BFD">
        <w:t>trial</w:t>
      </w:r>
      <w:r w:rsidRPr="00527BFD">
        <w:t xml:space="preserve">, 13 participants experienced 14 SAEs (11 participants in </w:t>
      </w:r>
      <w:r w:rsidR="00290775" w:rsidRPr="00527BFD">
        <w:t xml:space="preserve">the </w:t>
      </w:r>
      <w:r w:rsidR="00FD52A9" w:rsidRPr="00527BFD">
        <w:t>cabotegravir</w:t>
      </w:r>
      <w:r w:rsidRPr="00527BFD">
        <w:t xml:space="preserve"> group, 2 in </w:t>
      </w:r>
      <w:r w:rsidR="00290775" w:rsidRPr="00527BFD">
        <w:t xml:space="preserve">the </w:t>
      </w:r>
      <w:r w:rsidRPr="00527BFD">
        <w:t>placebo</w:t>
      </w:r>
      <w:r w:rsidR="00290775" w:rsidRPr="00527BFD">
        <w:t xml:space="preserve"> group</w:t>
      </w:r>
      <w:r w:rsidRPr="00527BFD">
        <w:t>).</w:t>
      </w:r>
      <w:r w:rsidR="005F0BCE" w:rsidRPr="00527BFD">
        <w:t xml:space="preserve"> </w:t>
      </w:r>
      <w:r w:rsidRPr="00527BFD">
        <w:t>The SAEs were vertigo (</w:t>
      </w:r>
      <w:r w:rsidR="00290775" w:rsidRPr="00527BFD">
        <w:t>one participant</w:t>
      </w:r>
      <w:r w:rsidRPr="00527BFD">
        <w:t>), acute kidney injury (</w:t>
      </w:r>
      <w:r w:rsidR="00290775" w:rsidRPr="00527BFD">
        <w:t>one participant</w:t>
      </w:r>
      <w:r w:rsidRPr="00527BFD">
        <w:t>), laryngitis (</w:t>
      </w:r>
      <w:r w:rsidR="00290775" w:rsidRPr="00527BFD">
        <w:t>one participant</w:t>
      </w:r>
      <w:r w:rsidRPr="00527BFD">
        <w:t>), deep venous thrombosis (</w:t>
      </w:r>
      <w:r w:rsidR="00290775" w:rsidRPr="00527BFD">
        <w:t>one participant</w:t>
      </w:r>
      <w:r w:rsidRPr="00527BFD">
        <w:t>), ankle fracture (</w:t>
      </w:r>
      <w:r w:rsidR="00290775" w:rsidRPr="00527BFD">
        <w:t>one participant</w:t>
      </w:r>
      <w:r w:rsidRPr="00527BFD">
        <w:t>), GIT motility disorder (</w:t>
      </w:r>
      <w:r w:rsidR="00290775" w:rsidRPr="00527BFD">
        <w:t>one participant</w:t>
      </w:r>
      <w:r w:rsidRPr="00527BFD">
        <w:t>), procedural pain (</w:t>
      </w:r>
      <w:r w:rsidR="00290775" w:rsidRPr="00527BFD">
        <w:t>one participant</w:t>
      </w:r>
      <w:r w:rsidRPr="00527BFD">
        <w:t>), anorexia nervosa (</w:t>
      </w:r>
      <w:r w:rsidR="00290775" w:rsidRPr="00527BFD">
        <w:t>one participant</w:t>
      </w:r>
      <w:r w:rsidRPr="00527BFD">
        <w:t>), asthma (</w:t>
      </w:r>
      <w:r w:rsidR="00290775" w:rsidRPr="00527BFD">
        <w:t>one participant</w:t>
      </w:r>
      <w:r w:rsidRPr="00527BFD">
        <w:t>) hypertensive crisis (</w:t>
      </w:r>
      <w:r w:rsidR="00290775" w:rsidRPr="00527BFD">
        <w:t>one participant</w:t>
      </w:r>
      <w:r w:rsidRPr="00527BFD">
        <w:t>) and pre-eclampsia (</w:t>
      </w:r>
      <w:r w:rsidR="00290775" w:rsidRPr="00527BFD">
        <w:t>one participant</w:t>
      </w:r>
      <w:r w:rsidRPr="00527BFD">
        <w:t xml:space="preserve">). In the placebo </w:t>
      </w:r>
      <w:r w:rsidR="00290775" w:rsidRPr="00527BFD">
        <w:t xml:space="preserve">group, </w:t>
      </w:r>
      <w:r w:rsidRPr="00527BFD">
        <w:t>these were cholelithiasis (</w:t>
      </w:r>
      <w:r w:rsidR="00290775" w:rsidRPr="00527BFD">
        <w:t>one participant</w:t>
      </w:r>
      <w:r w:rsidRPr="00527BFD">
        <w:t>) and spontaneous abortion (</w:t>
      </w:r>
      <w:r w:rsidR="00290775" w:rsidRPr="00527BFD">
        <w:t>one participant</w:t>
      </w:r>
      <w:r w:rsidRPr="00527BFD">
        <w:t>). None of these events were thought to be related to the study drug.</w:t>
      </w:r>
    </w:p>
    <w:p w14:paraId="21C273E6" w14:textId="77777777" w:rsidR="003768A7" w:rsidRPr="00527BFD" w:rsidRDefault="003768A7" w:rsidP="0059470F">
      <w:pPr>
        <w:pStyle w:val="Heading5"/>
        <w:rPr>
          <w:rFonts w:eastAsia="MS Mincho"/>
          <w:lang w:eastAsia="ja-JP"/>
        </w:rPr>
      </w:pPr>
      <w:r w:rsidRPr="00527BFD">
        <w:rPr>
          <w:rFonts w:eastAsia="MS Mincho"/>
          <w:lang w:eastAsia="ja-JP"/>
        </w:rPr>
        <w:t>Discontinuation of medication due to adverse events</w:t>
      </w:r>
    </w:p>
    <w:p w14:paraId="3BE51027" w14:textId="71CC7004" w:rsidR="003768A7" w:rsidRPr="00527BFD" w:rsidRDefault="003768A7" w:rsidP="00BB4257">
      <w:r w:rsidRPr="00527BFD">
        <w:t xml:space="preserve">In </w:t>
      </w:r>
      <w:r w:rsidR="00BB0AC1" w:rsidRPr="00527BFD">
        <w:t>the HPTN 083 trial</w:t>
      </w:r>
      <w:r w:rsidRPr="00527BFD">
        <w:t xml:space="preserve"> the proportion of participants with AEs leading to study drug discontinuation was low and similar in the </w:t>
      </w:r>
      <w:r w:rsidR="00FD52A9" w:rsidRPr="00527BFD">
        <w:t>cabotegravir</w:t>
      </w:r>
      <w:r w:rsidRPr="00527BFD">
        <w:t xml:space="preserve"> and TDF/</w:t>
      </w:r>
      <w:r w:rsidR="000B10F7" w:rsidRPr="00527BFD">
        <w:t>emtricitabine</w:t>
      </w:r>
      <w:r w:rsidRPr="00527BFD">
        <w:t xml:space="preserve"> treatment groups </w:t>
      </w:r>
      <w:r w:rsidR="005F0BCE" w:rsidRPr="00527BFD">
        <w:t>(</w:t>
      </w:r>
      <w:r w:rsidRPr="00527BFD">
        <w:t>6% (n</w:t>
      </w:r>
      <w:r w:rsidR="00754F3F" w:rsidRPr="00527BFD">
        <w:t xml:space="preserve"> = </w:t>
      </w:r>
      <w:r w:rsidRPr="00527BFD">
        <w:t xml:space="preserve">135) </w:t>
      </w:r>
      <w:r w:rsidR="00754F3F" w:rsidRPr="00527BFD">
        <w:t>versus</w:t>
      </w:r>
      <w:r w:rsidRPr="00527BFD">
        <w:t xml:space="preserve"> 4% (n</w:t>
      </w:r>
      <w:r w:rsidR="00754F3F" w:rsidRPr="00527BFD">
        <w:t xml:space="preserve"> = </w:t>
      </w:r>
      <w:r w:rsidRPr="00527BFD">
        <w:t>91)</w:t>
      </w:r>
      <w:r w:rsidR="00290775" w:rsidRPr="00527BFD">
        <w:t>)</w:t>
      </w:r>
      <w:r w:rsidRPr="00527BFD">
        <w:t>. Of these</w:t>
      </w:r>
      <w:r w:rsidR="00290775" w:rsidRPr="00527BFD">
        <w:t>,</w:t>
      </w:r>
      <w:r w:rsidRPr="00527BFD">
        <w:t xml:space="preserve"> 24 participants discontinued during the Step 1 period and never received injections. Most of the discontinuations were due to ISRs in the </w:t>
      </w:r>
      <w:r w:rsidR="00FD52A9" w:rsidRPr="00527BFD">
        <w:t>cabotegravir</w:t>
      </w:r>
      <w:r w:rsidRPr="00527BFD">
        <w:t xml:space="preserve"> group (n</w:t>
      </w:r>
      <w:r w:rsidR="00754F3F" w:rsidRPr="00527BFD">
        <w:t xml:space="preserve"> = </w:t>
      </w:r>
      <w:r w:rsidRPr="00527BFD">
        <w:t>47). There were nine participants who had drug-related Grade 3 and higher non-ISR AEs leading to discontinuation of study drug. In the TDF/</w:t>
      </w:r>
      <w:r w:rsidR="000B10F7" w:rsidRPr="00527BFD">
        <w:t>emtricitabine</w:t>
      </w:r>
      <w:r w:rsidRPr="00527BFD">
        <w:t xml:space="preserve"> group, 17 participants had drug-related Grade 3 or higher AEs leading to discontinuation of study with majority due to laboratory abnormalities.</w:t>
      </w:r>
    </w:p>
    <w:p w14:paraId="5DA97A96" w14:textId="400E1401" w:rsidR="003768A7" w:rsidRPr="00527BFD" w:rsidRDefault="003768A7" w:rsidP="00BB4257">
      <w:r w:rsidRPr="00527BFD">
        <w:t xml:space="preserve">In </w:t>
      </w:r>
      <w:r w:rsidR="00CC53B1" w:rsidRPr="00527BFD">
        <w:t>the HPTN 084 trial</w:t>
      </w:r>
      <w:r w:rsidRPr="00527BFD">
        <w:t xml:space="preserve"> the proportion of participants with AEs leading to study drug discontinuation was low and the same in both treatment groups </w:t>
      </w:r>
      <w:r w:rsidR="005F0BCE" w:rsidRPr="00527BFD">
        <w:t>(</w:t>
      </w:r>
      <w:r w:rsidRPr="00527BFD">
        <w:t>1% (n</w:t>
      </w:r>
      <w:r w:rsidR="00754F3F" w:rsidRPr="00527BFD">
        <w:t xml:space="preserve"> = </w:t>
      </w:r>
      <w:r w:rsidRPr="00527BFD">
        <w:t xml:space="preserve">17) </w:t>
      </w:r>
      <w:r w:rsidR="00754F3F" w:rsidRPr="00527BFD">
        <w:t>versus</w:t>
      </w:r>
      <w:r w:rsidRPr="00527BFD">
        <w:t xml:space="preserve"> 1% (n</w:t>
      </w:r>
      <w:r w:rsidR="00754F3F" w:rsidRPr="00527BFD">
        <w:t xml:space="preserve"> = </w:t>
      </w:r>
      <w:r w:rsidRPr="00527BFD">
        <w:t>22). Of these 10 participants discontinued study drug during Step 1 and never received injections. No participants in either group discontinued the study drug due to ISRs. In both groups drug-related Grade 3 reactions were low (</w:t>
      </w:r>
      <w:r w:rsidR="00754F3F" w:rsidRPr="00527BFD">
        <w:t xml:space="preserve">lower than </w:t>
      </w:r>
      <w:r w:rsidRPr="00527BFD">
        <w:t>1%) and none of these AEs were serious, with majority due to laboratory abnormalities.</w:t>
      </w:r>
    </w:p>
    <w:p w14:paraId="49D0C534" w14:textId="127FC142" w:rsidR="003768A7" w:rsidRPr="00527BFD" w:rsidRDefault="003768A7" w:rsidP="00BB4257">
      <w:r w:rsidRPr="00527BFD">
        <w:t xml:space="preserve">In the ECLAIR </w:t>
      </w:r>
      <w:r w:rsidR="00290775" w:rsidRPr="00527BFD">
        <w:t>trial,</w:t>
      </w:r>
      <w:r w:rsidRPr="00527BFD">
        <w:t xml:space="preserve"> 7 participants in the </w:t>
      </w:r>
      <w:r w:rsidR="00FD52A9" w:rsidRPr="00527BFD">
        <w:t>cabotegravir</w:t>
      </w:r>
      <w:r w:rsidRPr="00527BFD">
        <w:t xml:space="preserve"> group and </w:t>
      </w:r>
      <w:r w:rsidR="00290775" w:rsidRPr="00527BFD">
        <w:t>one</w:t>
      </w:r>
      <w:r w:rsidRPr="00527BFD">
        <w:t xml:space="preserve"> in the placebo </w:t>
      </w:r>
      <w:r w:rsidR="00290775" w:rsidRPr="00527BFD">
        <w:t xml:space="preserve">group </w:t>
      </w:r>
      <w:r w:rsidRPr="00527BFD">
        <w:t>experienced an AE that led to withdrawal</w:t>
      </w:r>
      <w:r w:rsidR="00290775" w:rsidRPr="00527BFD">
        <w:t xml:space="preserve"> or </w:t>
      </w:r>
      <w:r w:rsidRPr="00527BFD">
        <w:t xml:space="preserve">permanent discontinuation of the drug. All AEs that lead to discontinuation in the </w:t>
      </w:r>
      <w:r w:rsidR="00FD52A9" w:rsidRPr="00527BFD">
        <w:t>cabotegravir</w:t>
      </w:r>
      <w:r w:rsidRPr="00527BFD">
        <w:t xml:space="preserve"> group were non serious, resolved, and occurred during the oral phase.</w:t>
      </w:r>
    </w:p>
    <w:p w14:paraId="692A2744" w14:textId="7E50744E" w:rsidR="003768A7" w:rsidRPr="00527BFD" w:rsidRDefault="003768A7" w:rsidP="00BB4257">
      <w:r w:rsidRPr="00527BFD">
        <w:t xml:space="preserve">In </w:t>
      </w:r>
      <w:r w:rsidR="00CC53B1" w:rsidRPr="00527BFD">
        <w:t>the HPTN 077 trial</w:t>
      </w:r>
      <w:r w:rsidRPr="00527BFD">
        <w:t xml:space="preserve">, 18 participants in the </w:t>
      </w:r>
      <w:r w:rsidR="00FD52A9" w:rsidRPr="00527BFD">
        <w:t>cabotegravir</w:t>
      </w:r>
      <w:r w:rsidRPr="00527BFD">
        <w:t xml:space="preserve"> treatment and 2 participants in the placebo group experienced one or more AE(s) that led to withdrawal or permanent discontinuation of study drug. In the </w:t>
      </w:r>
      <w:r w:rsidR="00FD52A9" w:rsidRPr="00527BFD">
        <w:t>cabotegravir</w:t>
      </w:r>
      <w:r w:rsidRPr="00527BFD">
        <w:t xml:space="preserve"> treatment group, 6 withdrew due to an AE during the </w:t>
      </w:r>
      <w:r w:rsidR="005C62ED" w:rsidRPr="00527BFD">
        <w:t>oral lead-in</w:t>
      </w:r>
      <w:r w:rsidRPr="00527BFD">
        <w:t xml:space="preserve"> </w:t>
      </w:r>
      <w:r w:rsidR="00290775" w:rsidRPr="00527BFD">
        <w:t>phase</w:t>
      </w:r>
      <w:r w:rsidRPr="00527BFD">
        <w:t xml:space="preserve">, 11 withdrew during </w:t>
      </w:r>
      <w:r w:rsidR="00290775" w:rsidRPr="00527BFD">
        <w:t>the injection phase</w:t>
      </w:r>
      <w:r w:rsidRPr="00527BFD">
        <w:t xml:space="preserve">, and </w:t>
      </w:r>
      <w:r w:rsidR="00290775" w:rsidRPr="00527BFD">
        <w:t>one</w:t>
      </w:r>
      <w:r w:rsidRPr="00527BFD">
        <w:t xml:space="preserve"> withdrew during the </w:t>
      </w:r>
      <w:r w:rsidR="00290775" w:rsidRPr="00527BFD">
        <w:t>tail phase</w:t>
      </w:r>
      <w:r w:rsidRPr="00527BFD">
        <w:t xml:space="preserve">. Only 4 participants in the </w:t>
      </w:r>
      <w:r w:rsidR="00FD52A9" w:rsidRPr="00527BFD">
        <w:t>cabotegravir</w:t>
      </w:r>
      <w:r w:rsidRPr="00527BFD">
        <w:t xml:space="preserve"> group withdrew </w:t>
      </w:r>
      <w:r w:rsidRPr="00527BFD">
        <w:lastRenderedPageBreak/>
        <w:t>from the study due to injection intolerability. Most of the discontinuations occurred in Cohort</w:t>
      </w:r>
      <w:r w:rsidR="00290775" w:rsidRPr="00527BFD">
        <w:t> </w:t>
      </w:r>
      <w:r w:rsidRPr="00527BFD">
        <w:t>1.</w:t>
      </w:r>
      <w:bookmarkStart w:id="105" w:name="_Toc241374321"/>
      <w:bookmarkStart w:id="106" w:name="_Ref271044780"/>
      <w:bookmarkStart w:id="107" w:name="_Ref271196640"/>
      <w:bookmarkStart w:id="108" w:name="_Ref272333085"/>
      <w:bookmarkStart w:id="109" w:name="_Toc272414668"/>
      <w:bookmarkStart w:id="110" w:name="_Toc290888532"/>
      <w:bookmarkStart w:id="111" w:name="_Toc416353748"/>
      <w:bookmarkStart w:id="112" w:name="_Toc421005291"/>
      <w:bookmarkStart w:id="113" w:name="_Toc432079168"/>
      <w:bookmarkStart w:id="114" w:name="_Toc432080741"/>
      <w:bookmarkStart w:id="115" w:name="_Toc97028759"/>
    </w:p>
    <w:p w14:paraId="2C12F6CD" w14:textId="77777777" w:rsidR="003768A7" w:rsidRPr="00527BFD" w:rsidRDefault="003768A7" w:rsidP="0059470F">
      <w:pPr>
        <w:pStyle w:val="Heading5"/>
        <w:rPr>
          <w:rFonts w:eastAsia="TimesNewRoman" w:cs="TimesNewRoman"/>
          <w:color w:val="000000"/>
          <w:lang w:val="en-US"/>
        </w:rPr>
      </w:pPr>
      <w:r w:rsidRPr="00527BFD">
        <w:rPr>
          <w:lang w:eastAsia="ja-JP"/>
        </w:rPr>
        <w:t>Adverse events of special interest</w:t>
      </w:r>
    </w:p>
    <w:p w14:paraId="3841F259" w14:textId="77777777" w:rsidR="00290775" w:rsidRPr="00527BFD" w:rsidRDefault="003768A7" w:rsidP="0059470F">
      <w:pPr>
        <w:pStyle w:val="Heading6"/>
      </w:pPr>
      <w:r w:rsidRPr="00527BFD">
        <w:t xml:space="preserve">Liver </w:t>
      </w:r>
      <w:r w:rsidR="00290775" w:rsidRPr="00527BFD">
        <w:t>function and hepatotoxicity</w:t>
      </w:r>
    </w:p>
    <w:p w14:paraId="6E92E91E" w14:textId="06837DF7" w:rsidR="003768A7" w:rsidRPr="00527BFD" w:rsidRDefault="003768A7" w:rsidP="00BB4257">
      <w:r w:rsidRPr="00527BFD">
        <w:t xml:space="preserve">Elevated aminotransferases have been observed with </w:t>
      </w:r>
      <w:r w:rsidR="00FD52A9" w:rsidRPr="00527BFD">
        <w:t>cabotegravir</w:t>
      </w:r>
      <w:r w:rsidRPr="00527BFD">
        <w:t xml:space="preserve"> during the </w:t>
      </w:r>
      <w:r w:rsidR="00FD52A9" w:rsidRPr="00527BFD">
        <w:t>cabotegravir</w:t>
      </w:r>
      <w:r w:rsidRPr="00527BFD">
        <w:t xml:space="preserve"> </w:t>
      </w:r>
      <w:r w:rsidR="00816729" w:rsidRPr="00527BFD">
        <w:t xml:space="preserve">treatment </w:t>
      </w:r>
      <w:r w:rsidRPr="00527BFD">
        <w:t xml:space="preserve">program in HIV-infected individuals, and hepatotoxicity is a known adverse drug reaction for </w:t>
      </w:r>
      <w:r w:rsidR="00FD52A9" w:rsidRPr="00527BFD">
        <w:t>cabotegravir</w:t>
      </w:r>
      <w:r w:rsidRPr="00527BFD">
        <w:t>.</w:t>
      </w:r>
      <w:r w:rsidR="005F0BCE" w:rsidRPr="00527BFD">
        <w:t xml:space="preserve"> </w:t>
      </w:r>
      <w:r w:rsidRPr="00527BFD">
        <w:t xml:space="preserve">In </w:t>
      </w:r>
      <w:r w:rsidR="00BB0AC1" w:rsidRPr="00527BFD">
        <w:t xml:space="preserve">the HPTN 083 </w:t>
      </w:r>
      <w:r w:rsidRPr="00527BFD">
        <w:t xml:space="preserve">and </w:t>
      </w:r>
      <w:r w:rsidR="00CC53B1" w:rsidRPr="00527BFD">
        <w:t>HPTN 084 trial</w:t>
      </w:r>
      <w:r w:rsidR="00FD7F88" w:rsidRPr="00527BFD">
        <w:t>s,</w:t>
      </w:r>
      <w:r w:rsidRPr="00527BFD">
        <w:t xml:space="preserve"> the frequency of hepatotoxicity and other potentially associated AEs were low (</w:t>
      </w:r>
      <w:r w:rsidR="00754F3F" w:rsidRPr="00527BFD">
        <w:t xml:space="preserve">lower than </w:t>
      </w:r>
      <w:r w:rsidRPr="00527BFD">
        <w:t xml:space="preserve">1% in either treatment group) and similar between treatment groups with the most common being hepatic steatosis. All hepatotoxicity AEs were Grade 1 or 2 with no serious hepatotoxicity reported in </w:t>
      </w:r>
      <w:r w:rsidR="00FD52A9" w:rsidRPr="00527BFD">
        <w:t>cabotegravir</w:t>
      </w:r>
      <w:r w:rsidRPr="00527BFD">
        <w:t xml:space="preserve"> participants. During Step</w:t>
      </w:r>
      <w:r w:rsidR="00FD7F88" w:rsidRPr="00527BFD">
        <w:t>s</w:t>
      </w:r>
      <w:r w:rsidRPr="00527BFD">
        <w:t xml:space="preserve"> 1 and 2, maximum intensity of Grade 3 or 4 treatment-emergent liver enzyme abnormality observations was comparable between groups, with many patients having alternate causes for the liver enzyme abnormalities. Possible or probable drug induced liver injury in </w:t>
      </w:r>
      <w:r w:rsidR="00BB0AC1" w:rsidRPr="00527BFD">
        <w:t>the HPTN</w:t>
      </w:r>
      <w:r w:rsidR="00FD7F88" w:rsidRPr="00527BFD">
        <w:t> </w:t>
      </w:r>
      <w:r w:rsidR="00BB0AC1" w:rsidRPr="00527BFD">
        <w:t xml:space="preserve">083 </w:t>
      </w:r>
      <w:r w:rsidRPr="00527BFD">
        <w:t xml:space="preserve">and </w:t>
      </w:r>
      <w:r w:rsidR="00FD7F88" w:rsidRPr="00527BFD">
        <w:t>HPTN 0</w:t>
      </w:r>
      <w:r w:rsidRPr="00527BFD">
        <w:t>84</w:t>
      </w:r>
      <w:r w:rsidR="00FD7F88" w:rsidRPr="00527BFD">
        <w:t xml:space="preserve"> trials</w:t>
      </w:r>
      <w:r w:rsidRPr="00527BFD">
        <w:t xml:space="preserve"> was observed in 14 and 8 people respectively in the </w:t>
      </w:r>
      <w:r w:rsidR="00FD52A9" w:rsidRPr="00527BFD">
        <w:t>cabotegravir</w:t>
      </w:r>
      <w:r w:rsidRPr="00527BFD">
        <w:t xml:space="preserve"> group. In </w:t>
      </w:r>
      <w:r w:rsidR="00BB0AC1" w:rsidRPr="00527BFD">
        <w:t>the HPTN 083 trial</w:t>
      </w:r>
      <w:r w:rsidRPr="00527BFD">
        <w:t xml:space="preserve">, one participant in the </w:t>
      </w:r>
      <w:r w:rsidR="00FD52A9" w:rsidRPr="00527BFD">
        <w:t>cabotegravir</w:t>
      </w:r>
      <w:r w:rsidRPr="00527BFD">
        <w:t xml:space="preserve"> group had a hepatic event that led to drug discontinuation.</w:t>
      </w:r>
      <w:r w:rsidR="005F0BCE" w:rsidRPr="00527BFD">
        <w:t xml:space="preserve"> </w:t>
      </w:r>
      <w:r w:rsidRPr="00527BFD">
        <w:t xml:space="preserve">In </w:t>
      </w:r>
      <w:r w:rsidR="00CC53B1" w:rsidRPr="00527BFD">
        <w:t>the HPTN 084 trial</w:t>
      </w:r>
      <w:r w:rsidRPr="00527BFD">
        <w:t xml:space="preserve">, there was a single </w:t>
      </w:r>
      <w:r w:rsidR="00FD7F88" w:rsidRPr="00527BFD">
        <w:t xml:space="preserve">hepatotoxicity </w:t>
      </w:r>
      <w:r w:rsidR="0023090E" w:rsidRPr="00527BFD">
        <w:t>adverse event of special interest (</w:t>
      </w:r>
      <w:r w:rsidRPr="00527BFD">
        <w:t>AESI</w:t>
      </w:r>
      <w:r w:rsidR="0023090E" w:rsidRPr="00527BFD">
        <w:t>)</w:t>
      </w:r>
      <w:r w:rsidRPr="00527BFD">
        <w:t xml:space="preserve"> in the </w:t>
      </w:r>
      <w:r w:rsidR="00FD52A9" w:rsidRPr="00527BFD">
        <w:t>cabotegravir</w:t>
      </w:r>
      <w:r w:rsidRPr="00527BFD">
        <w:t xml:space="preserve"> group, which was serious, but considered unrelated by the investigator (</w:t>
      </w:r>
      <w:r w:rsidR="00FD7F88" w:rsidRPr="00527BFD">
        <w:t xml:space="preserve">hepatitis </w:t>
      </w:r>
      <w:r w:rsidRPr="00527BFD">
        <w:t>A).</w:t>
      </w:r>
    </w:p>
    <w:p w14:paraId="7FFB59A0" w14:textId="77777777" w:rsidR="00FD7F88" w:rsidRPr="00527BFD" w:rsidRDefault="003768A7" w:rsidP="0059470F">
      <w:pPr>
        <w:pStyle w:val="Heading6"/>
      </w:pPr>
      <w:r w:rsidRPr="00527BFD">
        <w:t>Renal function and renal toxicity</w:t>
      </w:r>
    </w:p>
    <w:p w14:paraId="15060B27" w14:textId="73E9616C" w:rsidR="003768A7" w:rsidRPr="00527BFD" w:rsidRDefault="003768A7" w:rsidP="00BB4257">
      <w:r w:rsidRPr="00527BFD">
        <w:t>There were no pre-specified AESIs (</w:t>
      </w:r>
      <w:r w:rsidR="00FD7F88" w:rsidRPr="00527BFD">
        <w:t>tha</w:t>
      </w:r>
      <w:r w:rsidR="005F0BCE" w:rsidRPr="00527BFD">
        <w:t>t is</w:t>
      </w:r>
      <w:r w:rsidR="00754F3F" w:rsidRPr="00527BFD">
        <w:t>,</w:t>
      </w:r>
      <w:r w:rsidRPr="00527BFD">
        <w:t xml:space="preserve"> renal failure</w:t>
      </w:r>
      <w:r w:rsidR="00FD7F88" w:rsidRPr="00527BFD">
        <w:t xml:space="preserve"> or </w:t>
      </w:r>
      <w:r w:rsidRPr="00527BFD">
        <w:t xml:space="preserve">impairment, acute kidney injury, </w:t>
      </w:r>
      <w:proofErr w:type="gramStart"/>
      <w:r w:rsidRPr="00527BFD">
        <w:t>anuria</w:t>
      </w:r>
      <w:proofErr w:type="gramEnd"/>
      <w:r w:rsidR="00FD7F88" w:rsidRPr="00527BFD">
        <w:t xml:space="preserve"> and</w:t>
      </w:r>
      <w:r w:rsidRPr="00527BFD">
        <w:t xml:space="preserve"> dialysis) reported for those in the </w:t>
      </w:r>
      <w:r w:rsidR="00FD52A9" w:rsidRPr="00527BFD">
        <w:t>cabotegravir</w:t>
      </w:r>
      <w:r w:rsidRPr="00527BFD">
        <w:t xml:space="preserve"> group in both </w:t>
      </w:r>
      <w:r w:rsidR="00BB0AC1" w:rsidRPr="00527BFD">
        <w:t>the HPTN</w:t>
      </w:r>
      <w:r w:rsidR="00FD7F88" w:rsidRPr="00527BFD">
        <w:t> </w:t>
      </w:r>
      <w:r w:rsidR="00BB0AC1" w:rsidRPr="00527BFD">
        <w:t>083 trial</w:t>
      </w:r>
      <w:r w:rsidRPr="00527BFD">
        <w:t xml:space="preserve"> and </w:t>
      </w:r>
      <w:r w:rsidR="00FD7F88" w:rsidRPr="00527BFD">
        <w:t>HPTN </w:t>
      </w:r>
      <w:r w:rsidRPr="00527BFD">
        <w:t xml:space="preserve">084 </w:t>
      </w:r>
      <w:r w:rsidR="00FD7F88" w:rsidRPr="00527BFD">
        <w:t>trials</w:t>
      </w:r>
      <w:r w:rsidRPr="00527BFD">
        <w:t xml:space="preserve">. The frequencies of blood creatinine increases, and the severity were similar between treatment groups in </w:t>
      </w:r>
      <w:r w:rsidR="00BB0AC1" w:rsidRPr="00527BFD">
        <w:t>the HPTN 083 trial</w:t>
      </w:r>
      <w:r w:rsidRPr="00527BFD">
        <w:t xml:space="preserve"> (</w:t>
      </w:r>
      <w:r w:rsidR="00FD7F88" w:rsidRPr="00527BFD">
        <w:t xml:space="preserve">17% in the cabotegravir group, </w:t>
      </w:r>
      <w:r w:rsidRPr="00527BFD">
        <w:t>n</w:t>
      </w:r>
      <w:r w:rsidR="00FD7F88" w:rsidRPr="00527BFD">
        <w:t> </w:t>
      </w:r>
      <w:r w:rsidR="00754F3F" w:rsidRPr="00527BFD">
        <w:t xml:space="preserve">= </w:t>
      </w:r>
      <w:r w:rsidRPr="00527BFD">
        <w:t xml:space="preserve">379; </w:t>
      </w:r>
      <w:r w:rsidR="00FD7F88" w:rsidRPr="00527BFD">
        <w:t xml:space="preserve">19% in the </w:t>
      </w:r>
      <w:r w:rsidRPr="00527BFD">
        <w:t>TDC/</w:t>
      </w:r>
      <w:r w:rsidR="000B10F7" w:rsidRPr="00527BFD">
        <w:t>emtricitabine</w:t>
      </w:r>
      <w:r w:rsidR="00FD7F88" w:rsidRPr="00527BFD">
        <w:t xml:space="preserve"> group,</w:t>
      </w:r>
      <w:r w:rsidRPr="00527BFD">
        <w:t xml:space="preserve"> n</w:t>
      </w:r>
      <w:r w:rsidR="00754F3F" w:rsidRPr="00527BFD">
        <w:t xml:space="preserve"> = </w:t>
      </w:r>
      <w:r w:rsidRPr="00527BFD">
        <w:t xml:space="preserve">426) and </w:t>
      </w:r>
      <w:r w:rsidR="00CC53B1" w:rsidRPr="00527BFD">
        <w:t>the HPTN</w:t>
      </w:r>
      <w:r w:rsidR="00FD7F88" w:rsidRPr="00527BFD">
        <w:t> </w:t>
      </w:r>
      <w:r w:rsidR="00CC53B1" w:rsidRPr="00527BFD">
        <w:t xml:space="preserve">084 trial </w:t>
      </w:r>
      <w:r w:rsidRPr="00527BFD">
        <w:t>(</w:t>
      </w:r>
      <w:r w:rsidR="00FD7F88" w:rsidRPr="00527BFD">
        <w:t xml:space="preserve">22% in the </w:t>
      </w:r>
      <w:r w:rsidR="00FD52A9" w:rsidRPr="00527BFD">
        <w:t>cabotegravir</w:t>
      </w:r>
      <w:r w:rsidRPr="00527BFD">
        <w:t xml:space="preserve"> </w:t>
      </w:r>
      <w:r w:rsidR="00FD7F88" w:rsidRPr="00527BFD">
        <w:t xml:space="preserve">group, </w:t>
      </w:r>
      <w:r w:rsidRPr="00527BFD">
        <w:t>n</w:t>
      </w:r>
      <w:r w:rsidR="00754F3F" w:rsidRPr="00527BFD">
        <w:t xml:space="preserve"> = </w:t>
      </w:r>
      <w:r w:rsidRPr="00527BFD">
        <w:t xml:space="preserve">363; </w:t>
      </w:r>
      <w:r w:rsidR="00FD7F88" w:rsidRPr="00527BFD">
        <w:t xml:space="preserve">22% in the </w:t>
      </w:r>
      <w:r w:rsidRPr="00527BFD">
        <w:t>TDC/</w:t>
      </w:r>
      <w:r w:rsidR="000B10F7" w:rsidRPr="00527BFD">
        <w:t>emtricitabine</w:t>
      </w:r>
      <w:r w:rsidR="00FD7F88" w:rsidRPr="00527BFD">
        <w:t xml:space="preserve"> group,</w:t>
      </w:r>
      <w:r w:rsidRPr="00527BFD">
        <w:t xml:space="preserve"> n</w:t>
      </w:r>
      <w:r w:rsidR="00754F3F" w:rsidRPr="00527BFD">
        <w:t xml:space="preserve"> = </w:t>
      </w:r>
      <w:r w:rsidRPr="00527BFD">
        <w:t xml:space="preserve">347;). Similarly, creatinine renal clearance decreases were present and similar in both treatment groups in </w:t>
      </w:r>
      <w:r w:rsidR="00BB0AC1" w:rsidRPr="00527BFD">
        <w:t>the HPTN 083 trial</w:t>
      </w:r>
      <w:r w:rsidRPr="00527BFD">
        <w:t xml:space="preserve"> (</w:t>
      </w:r>
      <w:r w:rsidR="00FD7F88" w:rsidRPr="00527BFD">
        <w:t xml:space="preserve">69% in the </w:t>
      </w:r>
      <w:r w:rsidR="00FD52A9" w:rsidRPr="00527BFD">
        <w:t>cabotegravir</w:t>
      </w:r>
      <w:r w:rsidRPr="00527BFD">
        <w:t xml:space="preserve"> </w:t>
      </w:r>
      <w:r w:rsidR="0023090E" w:rsidRPr="00527BFD">
        <w:t xml:space="preserve">group, </w:t>
      </w:r>
      <w:r w:rsidRPr="00527BFD">
        <w:t>n</w:t>
      </w:r>
      <w:r w:rsidR="00754F3F" w:rsidRPr="00527BFD">
        <w:t xml:space="preserve"> =</w:t>
      </w:r>
      <w:r w:rsidR="00FD7F88" w:rsidRPr="00527BFD">
        <w:t> </w:t>
      </w:r>
      <w:r w:rsidRPr="00527BFD">
        <w:t>1577</w:t>
      </w:r>
      <w:r w:rsidR="00FD7F88" w:rsidRPr="00527BFD">
        <w:t xml:space="preserve">; 73% in the </w:t>
      </w:r>
      <w:r w:rsidRPr="00527BFD">
        <w:t>TDC/</w:t>
      </w:r>
      <w:r w:rsidR="000B10F7" w:rsidRPr="00527BFD">
        <w:t>emtricitabine</w:t>
      </w:r>
      <w:r w:rsidRPr="00527BFD">
        <w:t xml:space="preserve"> </w:t>
      </w:r>
      <w:r w:rsidR="00FD7F88" w:rsidRPr="00527BFD">
        <w:t xml:space="preserve">group, n = </w:t>
      </w:r>
      <w:r w:rsidRPr="00527BFD">
        <w:t xml:space="preserve">1661) and </w:t>
      </w:r>
      <w:r w:rsidR="00CC53B1" w:rsidRPr="00527BFD">
        <w:t>the HPTN 084 trial</w:t>
      </w:r>
      <w:r w:rsidRPr="00527BFD">
        <w:t xml:space="preserve"> (</w:t>
      </w:r>
      <w:r w:rsidR="00FD7F88" w:rsidRPr="00527BFD">
        <w:t xml:space="preserve">72% in the </w:t>
      </w:r>
      <w:r w:rsidR="00FD52A9" w:rsidRPr="00527BFD">
        <w:t>cabotegravir</w:t>
      </w:r>
      <w:r w:rsidRPr="00527BFD">
        <w:t xml:space="preserve"> </w:t>
      </w:r>
      <w:r w:rsidR="00FD7F88" w:rsidRPr="00527BFD">
        <w:t xml:space="preserve">group, </w:t>
      </w:r>
      <w:r w:rsidRPr="00527BFD">
        <w:t>n</w:t>
      </w:r>
      <w:r w:rsidR="00754F3F" w:rsidRPr="00527BFD">
        <w:t xml:space="preserve"> = </w:t>
      </w:r>
      <w:r w:rsidRPr="00527BFD">
        <w:t xml:space="preserve">1160; </w:t>
      </w:r>
      <w:r w:rsidR="00FD7F88" w:rsidRPr="00527BFD">
        <w:t xml:space="preserve">74% in the </w:t>
      </w:r>
      <w:r w:rsidRPr="00527BFD">
        <w:t>TDC/</w:t>
      </w:r>
      <w:r w:rsidR="000B10F7" w:rsidRPr="00527BFD">
        <w:t>emtricitabine</w:t>
      </w:r>
      <w:r w:rsidRPr="00527BFD">
        <w:t xml:space="preserve"> </w:t>
      </w:r>
      <w:r w:rsidR="00FD7F88" w:rsidRPr="00527BFD">
        <w:t xml:space="preserve">group, </w:t>
      </w:r>
      <w:r w:rsidRPr="00527BFD">
        <w:t>n</w:t>
      </w:r>
      <w:r w:rsidR="00754F3F" w:rsidRPr="00527BFD">
        <w:t xml:space="preserve"> = </w:t>
      </w:r>
      <w:r w:rsidRPr="00527BFD">
        <w:t>1192)</w:t>
      </w:r>
      <w:r w:rsidR="003C2E00">
        <w:t>.</w:t>
      </w:r>
      <w:r w:rsidRPr="00527BFD">
        <w:t xml:space="preserve"> There were 4</w:t>
      </w:r>
      <w:r w:rsidR="00D46635">
        <w:t> </w:t>
      </w:r>
      <w:r w:rsidRPr="00527BFD">
        <w:t xml:space="preserve">participants where </w:t>
      </w:r>
      <w:r w:rsidR="00FD52A9" w:rsidRPr="00527BFD">
        <w:t>cabotegravir</w:t>
      </w:r>
      <w:r w:rsidRPr="00527BFD">
        <w:t xml:space="preserve"> was discontinued a because of renal concerns in </w:t>
      </w:r>
      <w:r w:rsidR="00BB0AC1" w:rsidRPr="00527BFD">
        <w:t>the HPTN</w:t>
      </w:r>
      <w:r w:rsidR="00FD7F88" w:rsidRPr="00527BFD">
        <w:t> </w:t>
      </w:r>
      <w:r w:rsidR="00BB0AC1" w:rsidRPr="00527BFD">
        <w:t>083 trial</w:t>
      </w:r>
      <w:r w:rsidRPr="00527BFD">
        <w:t xml:space="preserve">, but no instances in </w:t>
      </w:r>
      <w:r w:rsidR="00CC53B1" w:rsidRPr="00527BFD">
        <w:t>the HPTN</w:t>
      </w:r>
      <w:r w:rsidR="00FD7F88" w:rsidRPr="00527BFD">
        <w:t> </w:t>
      </w:r>
      <w:r w:rsidR="00CC53B1" w:rsidRPr="00527BFD">
        <w:t>084 trial</w:t>
      </w:r>
      <w:r w:rsidRPr="00527BFD">
        <w:t>.</w:t>
      </w:r>
    </w:p>
    <w:p w14:paraId="22CFFC0B" w14:textId="05DE3BC5" w:rsidR="00FD7F88" w:rsidRPr="00527BFD" w:rsidRDefault="003768A7" w:rsidP="0059470F">
      <w:pPr>
        <w:pStyle w:val="Heading6"/>
      </w:pPr>
      <w:r w:rsidRPr="00527BFD">
        <w:t xml:space="preserve">Hypersensitivity </w:t>
      </w:r>
      <w:r w:rsidR="00FD7F88" w:rsidRPr="00527BFD">
        <w:t>reactions</w:t>
      </w:r>
    </w:p>
    <w:p w14:paraId="60221970" w14:textId="1B8A46EF" w:rsidR="003768A7" w:rsidRPr="00527BFD" w:rsidRDefault="003768A7" w:rsidP="00BB4257">
      <w:r w:rsidRPr="00527BFD">
        <w:t xml:space="preserve">Hypersensitivity reactions have been reported with integrase inhibitors other than </w:t>
      </w:r>
      <w:r w:rsidR="00FD52A9" w:rsidRPr="00527BFD">
        <w:t>cabotegravir</w:t>
      </w:r>
      <w:r w:rsidRPr="00527BFD">
        <w:t xml:space="preserve"> and are characteri</w:t>
      </w:r>
      <w:r w:rsidR="00462EFD" w:rsidRPr="00527BFD">
        <w:t>s</w:t>
      </w:r>
      <w:r w:rsidRPr="00527BFD">
        <w:t>ed by rash, constitutional findings, and sometimes organ dysfunction, including hepatic failure.</w:t>
      </w:r>
      <w:r w:rsidR="005F0BCE" w:rsidRPr="00527BFD">
        <w:t xml:space="preserve"> </w:t>
      </w:r>
      <w:r w:rsidRPr="00527BFD">
        <w:t xml:space="preserve">There were no cases of immediate or delayed hypersensitivity in either pivotal study, although 2% of patients in both treatment groups in </w:t>
      </w:r>
      <w:r w:rsidR="00BB0AC1" w:rsidRPr="00527BFD">
        <w:t>the HPTN 083 trial</w:t>
      </w:r>
      <w:r w:rsidRPr="00527BFD">
        <w:t xml:space="preserve"> and 1% in both groups in </w:t>
      </w:r>
      <w:r w:rsidR="00CC53B1" w:rsidRPr="00527BFD">
        <w:t>the HPTN 084 trial</w:t>
      </w:r>
      <w:r w:rsidRPr="00527BFD">
        <w:t xml:space="preserve"> had potential hypersensitivity. None of the potential hypersensitivity AESIs in either group were serious or led to study drug discontinuation in either group.</w:t>
      </w:r>
    </w:p>
    <w:p w14:paraId="3C6378AE" w14:textId="77777777" w:rsidR="00FD7F88" w:rsidRPr="00527BFD" w:rsidRDefault="003768A7" w:rsidP="0059470F">
      <w:pPr>
        <w:pStyle w:val="Heading6"/>
        <w:rPr>
          <w:szCs w:val="28"/>
        </w:rPr>
      </w:pPr>
      <w:r w:rsidRPr="00527BFD">
        <w:rPr>
          <w:szCs w:val="28"/>
        </w:rPr>
        <w:t>Rash</w:t>
      </w:r>
    </w:p>
    <w:p w14:paraId="2A7EB875" w14:textId="0C90935B" w:rsidR="003768A7" w:rsidRPr="00527BFD" w:rsidRDefault="00FD7F88" w:rsidP="00BB4257">
      <w:r w:rsidRPr="00527BFD">
        <w:t xml:space="preserve">Rash </w:t>
      </w:r>
      <w:r w:rsidR="003768A7" w:rsidRPr="00527BFD">
        <w:t xml:space="preserve">was present in 4% of participants in both </w:t>
      </w:r>
      <w:r w:rsidR="00BB0AC1" w:rsidRPr="00527BFD">
        <w:t>the HPTN 083</w:t>
      </w:r>
      <w:r w:rsidR="003768A7" w:rsidRPr="00527BFD">
        <w:t xml:space="preserve"> and </w:t>
      </w:r>
      <w:r w:rsidR="00CC53B1" w:rsidRPr="00527BFD">
        <w:t>HPTN 084 trial</w:t>
      </w:r>
      <w:r w:rsidRPr="00527BFD">
        <w:t>s</w:t>
      </w:r>
      <w:r w:rsidR="003768A7" w:rsidRPr="00527BFD">
        <w:t xml:space="preserve">. Study drug discontinuations or interruptions were rare. In </w:t>
      </w:r>
      <w:r w:rsidR="00BB0AC1" w:rsidRPr="00527BFD">
        <w:t>the HPTN 083 trial</w:t>
      </w:r>
      <w:r w:rsidR="003768A7" w:rsidRPr="00527BFD">
        <w:t xml:space="preserve"> there was one Grade 4 SAE of Stevens-Johnson syndrome which was considered unrelated to study medication.</w:t>
      </w:r>
    </w:p>
    <w:p w14:paraId="46C2CF82" w14:textId="21843956" w:rsidR="00FD7F88" w:rsidRPr="00527BFD" w:rsidRDefault="003768A7" w:rsidP="0059470F">
      <w:pPr>
        <w:pStyle w:val="Heading6"/>
        <w:rPr>
          <w:szCs w:val="28"/>
        </w:rPr>
      </w:pPr>
      <w:r w:rsidRPr="00527BFD">
        <w:rPr>
          <w:szCs w:val="28"/>
        </w:rPr>
        <w:t>Hyperglycaemia and</w:t>
      </w:r>
      <w:r w:rsidR="00FD7F88" w:rsidRPr="00527BFD">
        <w:rPr>
          <w:szCs w:val="28"/>
        </w:rPr>
        <w:t xml:space="preserve"> diabetes</w:t>
      </w:r>
    </w:p>
    <w:p w14:paraId="2712412A" w14:textId="405CB0C3" w:rsidR="003768A7" w:rsidRPr="00527BFD" w:rsidRDefault="003768A7" w:rsidP="00BB4257">
      <w:r w:rsidRPr="00527BFD">
        <w:t xml:space="preserve">There is interest in whether </w:t>
      </w:r>
      <w:r w:rsidR="00FD7F88" w:rsidRPr="00527BFD">
        <w:t>integrase strand transfer inhibitor</w:t>
      </w:r>
      <w:r w:rsidRPr="00527BFD">
        <w:t xml:space="preserve">s, impact glycaemic control. In both </w:t>
      </w:r>
      <w:r w:rsidR="00BB0AC1" w:rsidRPr="00527BFD">
        <w:t xml:space="preserve">the HPTN 083 </w:t>
      </w:r>
      <w:r w:rsidRPr="00527BFD">
        <w:t xml:space="preserve">and </w:t>
      </w:r>
      <w:r w:rsidR="00FD7F88" w:rsidRPr="00527BFD">
        <w:t xml:space="preserve">HPTN </w:t>
      </w:r>
      <w:r w:rsidRPr="00527BFD">
        <w:t>084</w:t>
      </w:r>
      <w:r w:rsidR="00FD7F88" w:rsidRPr="00527BFD">
        <w:t xml:space="preserve"> trials</w:t>
      </w:r>
      <w:r w:rsidRPr="00527BFD">
        <w:t xml:space="preserve">, there was no evidence of worsening of glycaemic profile of participants receiving </w:t>
      </w:r>
      <w:r w:rsidR="00FD52A9" w:rsidRPr="00527BFD">
        <w:t>cabotegravir</w:t>
      </w:r>
      <w:r w:rsidRPr="00527BFD">
        <w:t xml:space="preserve">. Although there was increase in </w:t>
      </w:r>
      <w:r w:rsidRPr="00527BFD">
        <w:lastRenderedPageBreak/>
        <w:t xml:space="preserve">the proportion of participants reporting AEs of blood glucose increased for participants in the </w:t>
      </w:r>
      <w:r w:rsidR="00FD52A9" w:rsidRPr="00527BFD">
        <w:t>cabotegravir</w:t>
      </w:r>
      <w:r w:rsidRPr="00527BFD">
        <w:t xml:space="preserve"> group in </w:t>
      </w:r>
      <w:r w:rsidR="00BB0AC1" w:rsidRPr="00527BFD">
        <w:t>the HPTN 083 trial</w:t>
      </w:r>
      <w:r w:rsidRPr="00527BFD">
        <w:t xml:space="preserve"> (12% </w:t>
      </w:r>
      <w:r w:rsidR="00754F3F" w:rsidRPr="00527BFD">
        <w:t>versus</w:t>
      </w:r>
      <w:r w:rsidRPr="00527BFD">
        <w:t xml:space="preserve"> 9%) and </w:t>
      </w:r>
      <w:r w:rsidR="00CC53B1" w:rsidRPr="00527BFD">
        <w:t>the HPTN 084 trial</w:t>
      </w:r>
      <w:r w:rsidRPr="00527BFD">
        <w:t xml:space="preserve"> (43% </w:t>
      </w:r>
      <w:r w:rsidR="00754F3F" w:rsidRPr="00527BFD">
        <w:t>versus</w:t>
      </w:r>
      <w:r w:rsidRPr="00527BFD">
        <w:t xml:space="preserve"> 34%) all other AEs associated with Hyperglycaemia were </w:t>
      </w:r>
      <w:r w:rsidR="00754F3F" w:rsidRPr="00527BFD">
        <w:t>lower than</w:t>
      </w:r>
      <w:r w:rsidRPr="00527BFD">
        <w:t xml:space="preserve"> 1% and had a similar frequency across both groups. The frequency of AEs of blood glucose increased in the </w:t>
      </w:r>
      <w:r w:rsidR="00FD52A9" w:rsidRPr="00527BFD">
        <w:t>cabotegravir</w:t>
      </w:r>
      <w:r w:rsidRPr="00527BFD">
        <w:t xml:space="preserve"> group was greater in study </w:t>
      </w:r>
      <w:r w:rsidR="00CC53B1" w:rsidRPr="00527BFD">
        <w:t>the HPTN 084 trial</w:t>
      </w:r>
      <w:r w:rsidRPr="00527BFD">
        <w:t xml:space="preserve"> (43%) compared to </w:t>
      </w:r>
      <w:r w:rsidR="00BB0AC1" w:rsidRPr="00527BFD">
        <w:t>the HPTN 083 trial</w:t>
      </w:r>
      <w:r w:rsidRPr="00527BFD">
        <w:t xml:space="preserve"> (12%). When the totality of laboratory abnormalities was considered, there was no clinically meaningful difference from Baseline of blood glucose over time.</w:t>
      </w:r>
    </w:p>
    <w:p w14:paraId="4C393F66" w14:textId="77777777" w:rsidR="00FD7F88" w:rsidRPr="00527BFD" w:rsidRDefault="003768A7" w:rsidP="0059470F">
      <w:pPr>
        <w:pStyle w:val="Heading6"/>
        <w:rPr>
          <w:szCs w:val="28"/>
        </w:rPr>
      </w:pPr>
      <w:r w:rsidRPr="00527BFD">
        <w:rPr>
          <w:szCs w:val="28"/>
        </w:rPr>
        <w:t>Electrocardiograph findings and cardiovascular safety</w:t>
      </w:r>
    </w:p>
    <w:p w14:paraId="6DAFD7F1" w14:textId="58A1A4B9" w:rsidR="003768A7" w:rsidRPr="00527BFD" w:rsidRDefault="003768A7" w:rsidP="00BB4257">
      <w:r w:rsidRPr="00527BFD">
        <w:t>No clinically significant findings were observed in the pivotal or supportive studies.</w:t>
      </w:r>
    </w:p>
    <w:p w14:paraId="4B646E6B" w14:textId="77777777" w:rsidR="00FD7F88" w:rsidRPr="00527BFD" w:rsidRDefault="003768A7" w:rsidP="0059470F">
      <w:pPr>
        <w:pStyle w:val="Heading6"/>
        <w:rPr>
          <w:szCs w:val="28"/>
        </w:rPr>
      </w:pPr>
      <w:r w:rsidRPr="00527BFD">
        <w:rPr>
          <w:szCs w:val="28"/>
        </w:rPr>
        <w:t>Neuropsychiatric events</w:t>
      </w:r>
    </w:p>
    <w:p w14:paraId="1FC9B069" w14:textId="667A3C41" w:rsidR="003768A7" w:rsidRPr="00527BFD" w:rsidRDefault="003768A7" w:rsidP="00BB4257">
      <w:r w:rsidRPr="00527BFD">
        <w:t xml:space="preserve">Neuropsychiatric AEs such as depression, anxiety, and sleep disorders have been reported with </w:t>
      </w:r>
      <w:r w:rsidR="00FD52A9" w:rsidRPr="00527BFD">
        <w:t>cabotegravir</w:t>
      </w:r>
      <w:r w:rsidRPr="00527BFD">
        <w:t xml:space="preserve"> treatment in HIV-infected individuals and are considered </w:t>
      </w:r>
      <w:r w:rsidR="00D43DAD" w:rsidRPr="00527BFD">
        <w:t xml:space="preserve">adverse drug reactions </w:t>
      </w:r>
      <w:r w:rsidRPr="00527BFD">
        <w:t xml:space="preserve">for </w:t>
      </w:r>
      <w:r w:rsidR="00FD52A9" w:rsidRPr="00527BFD">
        <w:t>cabotegravir</w:t>
      </w:r>
      <w:r w:rsidRPr="00527BFD">
        <w:t xml:space="preserve"> </w:t>
      </w:r>
      <w:r w:rsidR="00F272D2" w:rsidRPr="00527BFD">
        <w:t>treatment</w:t>
      </w:r>
      <w:r w:rsidRPr="00527BFD">
        <w:t xml:space="preserve"> (</w:t>
      </w:r>
      <w:r w:rsidR="00500960">
        <w:t xml:space="preserve">see </w:t>
      </w:r>
      <w:r w:rsidR="00BF0DD0">
        <w:t xml:space="preserve">the </w:t>
      </w:r>
      <w:proofErr w:type="spellStart"/>
      <w:r w:rsidR="00BF0DD0">
        <w:t>AusPAR</w:t>
      </w:r>
      <w:proofErr w:type="spellEnd"/>
      <w:r w:rsidR="00BF0DD0">
        <w:t xml:space="preserve"> for </w:t>
      </w:r>
      <w:r w:rsidR="00500960">
        <w:t>Submission</w:t>
      </w:r>
      <w:r w:rsidR="00D46635">
        <w:t> </w:t>
      </w:r>
      <w:r w:rsidRPr="00527BFD">
        <w:t>PM</w:t>
      </w:r>
      <w:r w:rsidR="00D46635">
        <w:noBreakHyphen/>
      </w:r>
      <w:r w:rsidRPr="00527BFD">
        <w:t>2019</w:t>
      </w:r>
      <w:r w:rsidR="00D46635">
        <w:noBreakHyphen/>
      </w:r>
      <w:r w:rsidRPr="00527BFD">
        <w:t>04281</w:t>
      </w:r>
      <w:r w:rsidR="00D46635">
        <w:noBreakHyphen/>
      </w:r>
      <w:r w:rsidRPr="00527BFD">
        <w:t>1</w:t>
      </w:r>
      <w:r w:rsidR="00D46635">
        <w:noBreakHyphen/>
      </w:r>
      <w:r w:rsidRPr="00527BFD">
        <w:t>2)</w:t>
      </w:r>
      <w:r w:rsidR="00500960">
        <w:t>.</w:t>
      </w:r>
      <w:r w:rsidR="00BF0DD0">
        <w:rPr>
          <w:vertAlign w:val="superscript"/>
        </w:rPr>
        <w:fldChar w:fldCharType="begin"/>
      </w:r>
      <w:r w:rsidR="00BF0DD0">
        <w:rPr>
          <w:vertAlign w:val="superscript"/>
        </w:rPr>
        <w:instrText xml:space="preserve"> NOTEREF _Ref119672096 \h  \* MERGEFORMAT </w:instrText>
      </w:r>
      <w:r w:rsidR="00BF0DD0">
        <w:rPr>
          <w:vertAlign w:val="superscript"/>
        </w:rPr>
      </w:r>
      <w:r w:rsidR="00BF0DD0">
        <w:rPr>
          <w:vertAlign w:val="superscript"/>
        </w:rPr>
        <w:fldChar w:fldCharType="separate"/>
      </w:r>
      <w:r w:rsidR="001702C9">
        <w:rPr>
          <w:vertAlign w:val="superscript"/>
        </w:rPr>
        <w:t>9</w:t>
      </w:r>
      <w:r w:rsidR="00BF0DD0">
        <w:rPr>
          <w:vertAlign w:val="superscript"/>
        </w:rPr>
        <w:fldChar w:fldCharType="end"/>
      </w:r>
      <w:r w:rsidRPr="00527BFD">
        <w:t xml:space="preserve"> In </w:t>
      </w:r>
      <w:r w:rsidR="00BB0AC1" w:rsidRPr="00527BFD">
        <w:t xml:space="preserve">the HPTN 083 </w:t>
      </w:r>
      <w:r w:rsidRPr="00527BFD">
        <w:t xml:space="preserve">and </w:t>
      </w:r>
      <w:r w:rsidR="00CC53B1" w:rsidRPr="00527BFD">
        <w:t>HPTN 084 trial</w:t>
      </w:r>
      <w:r w:rsidR="00F272D2" w:rsidRPr="00527BFD">
        <w:t>s,</w:t>
      </w:r>
      <w:r w:rsidRPr="00527BFD">
        <w:t xml:space="preserve"> the proportion of participants with neuropsychiatric AESIs were similar across the treatment groups. The frequency </w:t>
      </w:r>
      <w:r w:rsidR="00F272D2" w:rsidRPr="00527BFD">
        <w:t xml:space="preserve">of suicidal ideation and behaviours </w:t>
      </w:r>
      <w:r w:rsidRPr="00527BFD">
        <w:t>AESI was low (</w:t>
      </w:r>
      <w:r w:rsidR="00754F3F" w:rsidRPr="00527BFD">
        <w:t xml:space="preserve">lower than </w:t>
      </w:r>
      <w:r w:rsidRPr="00527BFD">
        <w:t xml:space="preserve">1%) and was similar across the </w:t>
      </w:r>
      <w:r w:rsidR="00FD52A9" w:rsidRPr="00527BFD">
        <w:t>cabotegravir</w:t>
      </w:r>
      <w:r w:rsidRPr="00527BFD">
        <w:t xml:space="preserve"> and TDF/</w:t>
      </w:r>
      <w:r w:rsidR="000B10F7" w:rsidRPr="00527BFD">
        <w:t>emtricitabine</w:t>
      </w:r>
      <w:r w:rsidRPr="00527BFD">
        <w:t xml:space="preserve"> groups (</w:t>
      </w:r>
      <w:r w:rsidR="00F272D2" w:rsidRPr="00527BFD">
        <w:t xml:space="preserve">see </w:t>
      </w:r>
      <w:r w:rsidR="00F272D2" w:rsidRPr="00527BFD">
        <w:fldChar w:fldCharType="begin"/>
      </w:r>
      <w:r w:rsidR="00F272D2" w:rsidRPr="00527BFD">
        <w:instrText xml:space="preserve"> REF _Ref115897631 \h </w:instrText>
      </w:r>
      <w:r w:rsidR="00527BFD" w:rsidRPr="00527BFD">
        <w:instrText xml:space="preserve"> \* MERGEFORMAT </w:instrText>
      </w:r>
      <w:r w:rsidR="00F272D2" w:rsidRPr="00527BFD">
        <w:fldChar w:fldCharType="separate"/>
      </w:r>
      <w:r w:rsidR="001702C9" w:rsidRPr="0025423A">
        <w:t xml:space="preserve">Table </w:t>
      </w:r>
      <w:r w:rsidR="001702C9">
        <w:rPr>
          <w:noProof/>
        </w:rPr>
        <w:t>15</w:t>
      </w:r>
      <w:r w:rsidR="00F272D2" w:rsidRPr="00527BFD">
        <w:fldChar w:fldCharType="end"/>
      </w:r>
      <w:r w:rsidR="00F272D2" w:rsidRPr="00527BFD">
        <w:t xml:space="preserve"> below</w:t>
      </w:r>
      <w:r w:rsidRPr="00527BFD">
        <w:t>)</w:t>
      </w:r>
      <w:r w:rsidR="003A1035" w:rsidRPr="00527BFD">
        <w:t>.</w:t>
      </w:r>
    </w:p>
    <w:p w14:paraId="5D9C5620" w14:textId="41C3AA15" w:rsidR="003768A7" w:rsidRPr="0025423A" w:rsidRDefault="00F272D2" w:rsidP="0025423A">
      <w:pPr>
        <w:pStyle w:val="TableTitle"/>
      </w:pPr>
      <w:bookmarkStart w:id="116" w:name="_Ref115897631"/>
      <w:r w:rsidRPr="0025423A">
        <w:t xml:space="preserve">Table </w:t>
      </w:r>
      <w:r w:rsidR="00234D1A">
        <w:fldChar w:fldCharType="begin"/>
      </w:r>
      <w:r w:rsidR="00234D1A">
        <w:instrText xml:space="preserve"> SEQ Table \* ARABIC </w:instrText>
      </w:r>
      <w:r w:rsidR="00234D1A">
        <w:fldChar w:fldCharType="separate"/>
      </w:r>
      <w:r w:rsidR="001702C9">
        <w:rPr>
          <w:noProof/>
        </w:rPr>
        <w:t>15</w:t>
      </w:r>
      <w:r w:rsidR="00234D1A">
        <w:rPr>
          <w:noProof/>
        </w:rPr>
        <w:fldChar w:fldCharType="end"/>
      </w:r>
      <w:bookmarkEnd w:id="116"/>
      <w:r w:rsidR="003768A7" w:rsidRPr="0025423A">
        <w:t xml:space="preserve">: </w:t>
      </w:r>
      <w:r w:rsidR="009F1F1B" w:rsidRPr="0025423A">
        <w:t>Study 201738 (</w:t>
      </w:r>
      <w:r w:rsidRPr="0025423A">
        <w:t>HPTN 083</w:t>
      </w:r>
      <w:r w:rsidR="009F1F1B" w:rsidRPr="0025423A">
        <w:t xml:space="preserve"> trial)</w:t>
      </w:r>
      <w:r w:rsidRPr="0025423A">
        <w:t xml:space="preserve"> and </w:t>
      </w:r>
      <w:r w:rsidR="009F1F1B" w:rsidRPr="0025423A">
        <w:t>Study 201739 (</w:t>
      </w:r>
      <w:r w:rsidRPr="0025423A">
        <w:t>HPTN 084 trial</w:t>
      </w:r>
      <w:r w:rsidR="009F1F1B" w:rsidRPr="0025423A">
        <w:t>)</w:t>
      </w:r>
      <w:r w:rsidRPr="0025423A">
        <w:t xml:space="preserve"> </w:t>
      </w:r>
      <w:r w:rsidR="003768A7" w:rsidRPr="0025423A">
        <w:t>Summary o</w:t>
      </w:r>
      <w:r w:rsidRPr="0025423A">
        <w:t xml:space="preserve">f neuropsychiatric </w:t>
      </w:r>
      <w:r w:rsidR="00C24737" w:rsidRPr="0025423A">
        <w:t xml:space="preserve">adverse event of special interest </w:t>
      </w:r>
      <w:r w:rsidR="003768A7" w:rsidRPr="0025423A">
        <w:t xml:space="preserve">during </w:t>
      </w:r>
      <w:r w:rsidRPr="0025423A">
        <w:t>Steps</w:t>
      </w:r>
      <w:r w:rsidR="00D46635" w:rsidRPr="0025423A">
        <w:t> </w:t>
      </w:r>
      <w:r w:rsidR="003768A7" w:rsidRPr="0025423A">
        <w:t>1 and 2</w:t>
      </w:r>
      <w:r w:rsidR="000C2FE2" w:rsidRPr="0025423A">
        <w:t xml:space="preserve"> (safety population)</w:t>
      </w:r>
    </w:p>
    <w:tbl>
      <w:tblPr>
        <w:tblStyle w:val="TableTGAblue"/>
        <w:tblW w:w="8495" w:type="dxa"/>
        <w:tblLayout w:type="fixed"/>
        <w:tblLook w:val="04A0" w:firstRow="1" w:lastRow="0" w:firstColumn="1" w:lastColumn="0" w:noHBand="0" w:noVBand="1"/>
      </w:tblPr>
      <w:tblGrid>
        <w:gridCol w:w="1833"/>
        <w:gridCol w:w="1397"/>
        <w:gridCol w:w="1890"/>
        <w:gridCol w:w="1391"/>
        <w:gridCol w:w="1984"/>
      </w:tblGrid>
      <w:tr w:rsidR="003768A7" w:rsidRPr="00527BFD" w14:paraId="7D498ADA" w14:textId="77777777" w:rsidTr="00A30BD9">
        <w:trPr>
          <w:cnfStyle w:val="100000000000" w:firstRow="1" w:lastRow="0" w:firstColumn="0" w:lastColumn="0" w:oddVBand="0" w:evenVBand="0" w:oddHBand="0" w:evenHBand="0" w:firstRowFirstColumn="0" w:firstRowLastColumn="0" w:lastRowFirstColumn="0" w:lastRowLastColumn="0"/>
        </w:trPr>
        <w:tc>
          <w:tcPr>
            <w:tcW w:w="1833" w:type="dxa"/>
          </w:tcPr>
          <w:p w14:paraId="256B3095" w14:textId="77777777" w:rsidR="003768A7" w:rsidRPr="00527BFD" w:rsidRDefault="003768A7" w:rsidP="00B83042">
            <w:pPr>
              <w:pStyle w:val="Tabletext"/>
              <w:ind w:left="0" w:right="0"/>
            </w:pPr>
            <w:r w:rsidRPr="00527BFD">
              <w:t>Neuropsychiatric AESI</w:t>
            </w:r>
          </w:p>
        </w:tc>
        <w:tc>
          <w:tcPr>
            <w:tcW w:w="3287" w:type="dxa"/>
            <w:gridSpan w:val="2"/>
          </w:tcPr>
          <w:p w14:paraId="1C339B0C" w14:textId="77777777" w:rsidR="003768A7" w:rsidRPr="00527BFD" w:rsidRDefault="003768A7" w:rsidP="00B83042">
            <w:pPr>
              <w:pStyle w:val="Tabletext"/>
              <w:ind w:left="0" w:right="0"/>
              <w:rPr>
                <w:b w:val="0"/>
                <w:bCs/>
              </w:rPr>
            </w:pPr>
            <w:r w:rsidRPr="00527BFD">
              <w:rPr>
                <w:bCs/>
              </w:rPr>
              <w:t>HPTN 083</w:t>
            </w:r>
          </w:p>
        </w:tc>
        <w:tc>
          <w:tcPr>
            <w:tcW w:w="3375" w:type="dxa"/>
            <w:gridSpan w:val="2"/>
          </w:tcPr>
          <w:p w14:paraId="02CFE9D0" w14:textId="77777777" w:rsidR="003768A7" w:rsidRPr="00527BFD" w:rsidRDefault="003768A7" w:rsidP="00B83042">
            <w:pPr>
              <w:pStyle w:val="Tabletext"/>
              <w:ind w:left="0" w:right="0"/>
              <w:rPr>
                <w:b w:val="0"/>
                <w:bCs/>
              </w:rPr>
            </w:pPr>
            <w:r w:rsidRPr="00527BFD">
              <w:rPr>
                <w:bCs/>
              </w:rPr>
              <w:t>HPTN 084</w:t>
            </w:r>
          </w:p>
        </w:tc>
      </w:tr>
      <w:tr w:rsidR="003768A7" w:rsidRPr="00527BFD" w14:paraId="3ABB084D" w14:textId="77777777" w:rsidTr="00A30BD9">
        <w:tc>
          <w:tcPr>
            <w:tcW w:w="1833" w:type="dxa"/>
          </w:tcPr>
          <w:p w14:paraId="0960D98B" w14:textId="77777777" w:rsidR="003768A7" w:rsidRPr="00527BFD" w:rsidRDefault="003768A7" w:rsidP="00B83042">
            <w:pPr>
              <w:pStyle w:val="Tabletext"/>
              <w:ind w:left="0" w:right="0"/>
              <w:rPr>
                <w:bCs/>
              </w:rPr>
            </w:pPr>
          </w:p>
        </w:tc>
        <w:tc>
          <w:tcPr>
            <w:tcW w:w="1397" w:type="dxa"/>
          </w:tcPr>
          <w:p w14:paraId="34C163A3" w14:textId="77777777" w:rsidR="00A30BD9" w:rsidRDefault="000C2FE2" w:rsidP="00B83042">
            <w:pPr>
              <w:pStyle w:val="Tabletext"/>
              <w:ind w:left="0" w:right="0"/>
              <w:rPr>
                <w:rFonts w:cs="Calibri"/>
                <w:b/>
                <w:bCs/>
              </w:rPr>
            </w:pPr>
            <w:r w:rsidRPr="0059470F">
              <w:rPr>
                <w:rFonts w:cs="Calibri"/>
                <w:b/>
                <w:bCs/>
              </w:rPr>
              <w:t>Cabotegravir</w:t>
            </w:r>
          </w:p>
          <w:p w14:paraId="638655C7" w14:textId="1E9E2A16" w:rsidR="003768A7" w:rsidRPr="00527BFD" w:rsidRDefault="003768A7" w:rsidP="00B83042">
            <w:pPr>
              <w:pStyle w:val="Tabletext"/>
              <w:ind w:left="0" w:right="0"/>
              <w:rPr>
                <w:rFonts w:cs="Calibri"/>
                <w:bCs/>
              </w:rPr>
            </w:pPr>
            <w:r w:rsidRPr="00527BFD">
              <w:rPr>
                <w:rFonts w:cs="Calibri"/>
                <w:bCs/>
              </w:rPr>
              <w:t>(N=2281)</w:t>
            </w:r>
          </w:p>
          <w:p w14:paraId="33959A8C" w14:textId="06F27E87" w:rsidR="003768A7" w:rsidRPr="00527BFD" w:rsidRDefault="003768A7" w:rsidP="00B83042">
            <w:pPr>
              <w:pStyle w:val="Tabletext"/>
              <w:ind w:left="0" w:right="0"/>
              <w:rPr>
                <w:rFonts w:cs="Calibri"/>
              </w:rPr>
            </w:pPr>
            <w:r w:rsidRPr="00527BFD">
              <w:rPr>
                <w:rFonts w:cs="Calibri"/>
              </w:rPr>
              <w:t>Number (%)</w:t>
            </w:r>
            <w:r w:rsidR="000C2FE2">
              <w:rPr>
                <w:rFonts w:cs="Calibri"/>
              </w:rPr>
              <w:t xml:space="preserve"> participants</w:t>
            </w:r>
          </w:p>
        </w:tc>
        <w:tc>
          <w:tcPr>
            <w:tcW w:w="1890" w:type="dxa"/>
          </w:tcPr>
          <w:p w14:paraId="753C1FD5" w14:textId="77777777" w:rsidR="00A30BD9" w:rsidRDefault="003768A7" w:rsidP="00B83042">
            <w:pPr>
              <w:pStyle w:val="Tabletext"/>
              <w:ind w:left="0" w:right="0"/>
              <w:rPr>
                <w:rFonts w:cs="Calibri"/>
                <w:b/>
                <w:bCs/>
              </w:rPr>
            </w:pPr>
            <w:r w:rsidRPr="0059470F">
              <w:rPr>
                <w:rFonts w:cs="Calibri"/>
                <w:b/>
                <w:bCs/>
              </w:rPr>
              <w:t>TDF/</w:t>
            </w:r>
            <w:r w:rsidR="000B10F7" w:rsidRPr="0059470F">
              <w:rPr>
                <w:rFonts w:cs="Calibri"/>
                <w:b/>
                <w:bCs/>
              </w:rPr>
              <w:t>emtricitabine</w:t>
            </w:r>
          </w:p>
          <w:p w14:paraId="0D56ABE1" w14:textId="0BD13DCA" w:rsidR="003768A7" w:rsidRPr="00527BFD" w:rsidRDefault="003768A7" w:rsidP="00B83042">
            <w:pPr>
              <w:pStyle w:val="Tabletext"/>
              <w:ind w:left="0" w:right="0"/>
              <w:rPr>
                <w:rFonts w:cs="Calibri"/>
                <w:bCs/>
              </w:rPr>
            </w:pPr>
            <w:r w:rsidRPr="00527BFD">
              <w:rPr>
                <w:rFonts w:cs="Calibri"/>
                <w:bCs/>
              </w:rPr>
              <w:t>(N=2285)</w:t>
            </w:r>
          </w:p>
          <w:p w14:paraId="510C80FF" w14:textId="55326B83" w:rsidR="003768A7" w:rsidRPr="00527BFD" w:rsidRDefault="003768A7" w:rsidP="00B83042">
            <w:pPr>
              <w:pStyle w:val="Tabletext"/>
              <w:ind w:left="0" w:right="0"/>
              <w:rPr>
                <w:rFonts w:cs="Calibri"/>
              </w:rPr>
            </w:pPr>
            <w:r w:rsidRPr="00527BFD">
              <w:rPr>
                <w:rFonts w:cs="Calibri"/>
              </w:rPr>
              <w:t>Number (%)</w:t>
            </w:r>
            <w:r w:rsidR="000C2FE2">
              <w:rPr>
                <w:rFonts w:cs="Calibri"/>
              </w:rPr>
              <w:t xml:space="preserve"> participants</w:t>
            </w:r>
          </w:p>
        </w:tc>
        <w:tc>
          <w:tcPr>
            <w:tcW w:w="1391" w:type="dxa"/>
          </w:tcPr>
          <w:p w14:paraId="075CBD27" w14:textId="77777777" w:rsidR="00A30BD9" w:rsidRDefault="000C2FE2" w:rsidP="00B83042">
            <w:pPr>
              <w:pStyle w:val="Tabletext"/>
              <w:ind w:left="0" w:right="0"/>
              <w:rPr>
                <w:rFonts w:cs="Calibri"/>
                <w:b/>
                <w:bCs/>
              </w:rPr>
            </w:pPr>
            <w:r w:rsidRPr="0059470F">
              <w:rPr>
                <w:rFonts w:cs="Calibri"/>
                <w:b/>
                <w:bCs/>
              </w:rPr>
              <w:t>Cabotegravir</w:t>
            </w:r>
          </w:p>
          <w:p w14:paraId="67BDA18F" w14:textId="3FF7253F" w:rsidR="003768A7" w:rsidRPr="00527BFD" w:rsidRDefault="003768A7" w:rsidP="00B83042">
            <w:pPr>
              <w:pStyle w:val="Tabletext"/>
              <w:ind w:left="0" w:right="0"/>
              <w:rPr>
                <w:rFonts w:cs="Calibri"/>
                <w:bCs/>
              </w:rPr>
            </w:pPr>
            <w:r w:rsidRPr="00527BFD">
              <w:rPr>
                <w:rFonts w:cs="Calibri"/>
                <w:bCs/>
              </w:rPr>
              <w:t>(N=1614)</w:t>
            </w:r>
          </w:p>
          <w:p w14:paraId="70EBCC81" w14:textId="61E9E278" w:rsidR="003768A7" w:rsidRPr="00527BFD" w:rsidRDefault="003768A7" w:rsidP="00B83042">
            <w:pPr>
              <w:pStyle w:val="Tabletext"/>
              <w:ind w:left="0" w:right="0"/>
              <w:rPr>
                <w:rFonts w:cs="Calibri"/>
              </w:rPr>
            </w:pPr>
            <w:r w:rsidRPr="00527BFD">
              <w:rPr>
                <w:rFonts w:cs="Calibri"/>
              </w:rPr>
              <w:t>Number (%)</w:t>
            </w:r>
            <w:r w:rsidR="000C2FE2">
              <w:rPr>
                <w:rFonts w:cs="Calibri"/>
              </w:rPr>
              <w:t xml:space="preserve"> participants</w:t>
            </w:r>
          </w:p>
        </w:tc>
        <w:tc>
          <w:tcPr>
            <w:tcW w:w="1984" w:type="dxa"/>
          </w:tcPr>
          <w:p w14:paraId="2AB36A06" w14:textId="77777777" w:rsidR="00A30BD9" w:rsidRDefault="003768A7" w:rsidP="00B83042">
            <w:pPr>
              <w:pStyle w:val="Tabletext"/>
              <w:ind w:left="0" w:right="0"/>
              <w:rPr>
                <w:rFonts w:cs="Calibri"/>
                <w:b/>
                <w:bCs/>
              </w:rPr>
            </w:pPr>
            <w:r w:rsidRPr="0059470F">
              <w:rPr>
                <w:rFonts w:cs="Calibri"/>
                <w:b/>
                <w:bCs/>
              </w:rPr>
              <w:t>TDF/</w:t>
            </w:r>
            <w:r w:rsidR="000B10F7" w:rsidRPr="0059470F">
              <w:rPr>
                <w:rFonts w:cs="Calibri"/>
                <w:b/>
                <w:bCs/>
              </w:rPr>
              <w:t>emtricitabine</w:t>
            </w:r>
          </w:p>
          <w:p w14:paraId="21115DBC" w14:textId="7521BF43" w:rsidR="003768A7" w:rsidRPr="00527BFD" w:rsidRDefault="003768A7" w:rsidP="00B83042">
            <w:pPr>
              <w:pStyle w:val="Tabletext"/>
              <w:ind w:left="0" w:right="0"/>
              <w:rPr>
                <w:rFonts w:cs="Calibri"/>
                <w:bCs/>
              </w:rPr>
            </w:pPr>
            <w:r w:rsidRPr="00527BFD">
              <w:rPr>
                <w:rFonts w:cs="Calibri"/>
                <w:bCs/>
              </w:rPr>
              <w:t>(N=1610)</w:t>
            </w:r>
          </w:p>
          <w:p w14:paraId="3245CC4A" w14:textId="60CF28E1" w:rsidR="003768A7" w:rsidRPr="00527BFD" w:rsidRDefault="003768A7" w:rsidP="00B83042">
            <w:pPr>
              <w:pStyle w:val="Tabletext"/>
              <w:ind w:left="0" w:right="0"/>
              <w:rPr>
                <w:rFonts w:cs="Calibri"/>
              </w:rPr>
            </w:pPr>
            <w:r w:rsidRPr="00527BFD">
              <w:rPr>
                <w:rFonts w:cs="Calibri"/>
              </w:rPr>
              <w:t>Number (%)</w:t>
            </w:r>
            <w:r w:rsidR="000C2FE2">
              <w:rPr>
                <w:rFonts w:cs="Calibri"/>
              </w:rPr>
              <w:t xml:space="preserve"> participants</w:t>
            </w:r>
          </w:p>
        </w:tc>
      </w:tr>
      <w:tr w:rsidR="003768A7" w:rsidRPr="00527BFD" w14:paraId="0CC24D34" w14:textId="77777777" w:rsidTr="00A30BD9">
        <w:tc>
          <w:tcPr>
            <w:tcW w:w="1833" w:type="dxa"/>
          </w:tcPr>
          <w:p w14:paraId="343A4E83" w14:textId="0460F2A7" w:rsidR="003768A7" w:rsidRPr="00527BFD" w:rsidRDefault="003768A7" w:rsidP="00B83042">
            <w:pPr>
              <w:pStyle w:val="Tabletext"/>
              <w:ind w:left="0" w:right="0"/>
            </w:pPr>
            <w:r w:rsidRPr="00527BFD">
              <w:t xml:space="preserve">Sleep </w:t>
            </w:r>
            <w:r w:rsidR="00F267D8" w:rsidRPr="00527BFD">
              <w:t>disorders</w:t>
            </w:r>
          </w:p>
        </w:tc>
        <w:tc>
          <w:tcPr>
            <w:tcW w:w="1397" w:type="dxa"/>
          </w:tcPr>
          <w:p w14:paraId="3BE2B794" w14:textId="77777777" w:rsidR="003768A7" w:rsidRPr="00527BFD" w:rsidRDefault="003768A7" w:rsidP="00B83042">
            <w:pPr>
              <w:pStyle w:val="Tabletext"/>
              <w:ind w:left="0" w:right="0"/>
              <w:rPr>
                <w:rFonts w:cs="Calibri"/>
              </w:rPr>
            </w:pPr>
            <w:r w:rsidRPr="00527BFD">
              <w:rPr>
                <w:rFonts w:eastAsia="ArialNarrow" w:cs="Calibri"/>
              </w:rPr>
              <w:t>217 (10%)</w:t>
            </w:r>
          </w:p>
        </w:tc>
        <w:tc>
          <w:tcPr>
            <w:tcW w:w="1890" w:type="dxa"/>
          </w:tcPr>
          <w:p w14:paraId="03A98741" w14:textId="77777777" w:rsidR="003768A7" w:rsidRPr="00527BFD" w:rsidRDefault="003768A7" w:rsidP="00B83042">
            <w:pPr>
              <w:pStyle w:val="Tabletext"/>
              <w:ind w:left="0" w:right="0"/>
              <w:rPr>
                <w:rFonts w:cs="Calibri"/>
              </w:rPr>
            </w:pPr>
            <w:r w:rsidRPr="00527BFD">
              <w:rPr>
                <w:rFonts w:cs="Calibri"/>
              </w:rPr>
              <w:t>248 (11%)</w:t>
            </w:r>
          </w:p>
        </w:tc>
        <w:tc>
          <w:tcPr>
            <w:tcW w:w="1391" w:type="dxa"/>
          </w:tcPr>
          <w:p w14:paraId="19B67DF7" w14:textId="77777777" w:rsidR="003768A7" w:rsidRPr="00527BFD" w:rsidRDefault="003768A7" w:rsidP="00B83042">
            <w:pPr>
              <w:pStyle w:val="Tabletext"/>
              <w:ind w:left="0" w:right="0"/>
              <w:rPr>
                <w:rFonts w:cs="Calibri"/>
              </w:rPr>
            </w:pPr>
            <w:r w:rsidRPr="00527BFD">
              <w:rPr>
                <w:rFonts w:cs="Calibri"/>
              </w:rPr>
              <w:t>81 (5%)</w:t>
            </w:r>
          </w:p>
        </w:tc>
        <w:tc>
          <w:tcPr>
            <w:tcW w:w="1984" w:type="dxa"/>
          </w:tcPr>
          <w:p w14:paraId="090B2CCC" w14:textId="77777777" w:rsidR="003768A7" w:rsidRPr="00527BFD" w:rsidRDefault="003768A7" w:rsidP="00B83042">
            <w:pPr>
              <w:pStyle w:val="Tabletext"/>
              <w:ind w:left="0" w:right="0"/>
              <w:rPr>
                <w:rFonts w:cs="Calibri"/>
              </w:rPr>
            </w:pPr>
            <w:r w:rsidRPr="00527BFD">
              <w:rPr>
                <w:rFonts w:cs="Calibri"/>
              </w:rPr>
              <w:t>76 (5%)</w:t>
            </w:r>
          </w:p>
        </w:tc>
      </w:tr>
      <w:tr w:rsidR="003768A7" w:rsidRPr="00527BFD" w14:paraId="60996793" w14:textId="77777777" w:rsidTr="00A30BD9">
        <w:tc>
          <w:tcPr>
            <w:tcW w:w="1833" w:type="dxa"/>
          </w:tcPr>
          <w:p w14:paraId="1518751F" w14:textId="77777777" w:rsidR="003768A7" w:rsidRPr="00527BFD" w:rsidRDefault="003768A7" w:rsidP="00B83042">
            <w:pPr>
              <w:pStyle w:val="Tabletext"/>
              <w:ind w:left="0" w:right="0"/>
            </w:pPr>
            <w:r w:rsidRPr="00527BFD">
              <w:t>Depression</w:t>
            </w:r>
          </w:p>
        </w:tc>
        <w:tc>
          <w:tcPr>
            <w:tcW w:w="1397" w:type="dxa"/>
          </w:tcPr>
          <w:p w14:paraId="6651E6B3" w14:textId="77777777" w:rsidR="003768A7" w:rsidRPr="00527BFD" w:rsidRDefault="003768A7" w:rsidP="00B83042">
            <w:pPr>
              <w:pStyle w:val="Tabletext"/>
              <w:ind w:left="0" w:right="0"/>
              <w:rPr>
                <w:rFonts w:cs="Calibri"/>
              </w:rPr>
            </w:pPr>
            <w:r w:rsidRPr="00527BFD">
              <w:rPr>
                <w:rFonts w:eastAsia="ArialNarrow" w:cs="Calibri"/>
              </w:rPr>
              <w:t>115 (5%)</w:t>
            </w:r>
          </w:p>
        </w:tc>
        <w:tc>
          <w:tcPr>
            <w:tcW w:w="1890" w:type="dxa"/>
          </w:tcPr>
          <w:p w14:paraId="6F0C42F5" w14:textId="77777777" w:rsidR="003768A7" w:rsidRPr="00527BFD" w:rsidRDefault="003768A7" w:rsidP="00B83042">
            <w:pPr>
              <w:pStyle w:val="Tabletext"/>
              <w:ind w:left="0" w:right="0"/>
              <w:rPr>
                <w:rFonts w:cs="Calibri"/>
              </w:rPr>
            </w:pPr>
            <w:r w:rsidRPr="00527BFD">
              <w:rPr>
                <w:rFonts w:cs="Calibri"/>
              </w:rPr>
              <w:t>108 (5%)</w:t>
            </w:r>
          </w:p>
        </w:tc>
        <w:tc>
          <w:tcPr>
            <w:tcW w:w="1391" w:type="dxa"/>
          </w:tcPr>
          <w:p w14:paraId="44719A5A" w14:textId="77777777" w:rsidR="003768A7" w:rsidRPr="00527BFD" w:rsidRDefault="003768A7" w:rsidP="00B83042">
            <w:pPr>
              <w:pStyle w:val="Tabletext"/>
              <w:ind w:left="0" w:right="0"/>
              <w:rPr>
                <w:rFonts w:cs="Calibri"/>
              </w:rPr>
            </w:pPr>
            <w:r w:rsidRPr="00527BFD">
              <w:rPr>
                <w:rFonts w:cs="Calibri"/>
              </w:rPr>
              <w:t>16 (&lt;1%)</w:t>
            </w:r>
          </w:p>
        </w:tc>
        <w:tc>
          <w:tcPr>
            <w:tcW w:w="1984" w:type="dxa"/>
          </w:tcPr>
          <w:p w14:paraId="553B5785" w14:textId="77777777" w:rsidR="003768A7" w:rsidRPr="00527BFD" w:rsidRDefault="003768A7" w:rsidP="00B83042">
            <w:pPr>
              <w:pStyle w:val="Tabletext"/>
              <w:ind w:left="0" w:right="0"/>
              <w:rPr>
                <w:rFonts w:cs="Calibri"/>
              </w:rPr>
            </w:pPr>
            <w:r w:rsidRPr="00527BFD">
              <w:rPr>
                <w:rFonts w:cs="Calibri"/>
              </w:rPr>
              <w:t>11 (&lt;1%)</w:t>
            </w:r>
          </w:p>
        </w:tc>
      </w:tr>
      <w:tr w:rsidR="003768A7" w:rsidRPr="00527BFD" w14:paraId="7CF44014" w14:textId="77777777" w:rsidTr="00A30BD9">
        <w:tc>
          <w:tcPr>
            <w:tcW w:w="1833" w:type="dxa"/>
          </w:tcPr>
          <w:p w14:paraId="78275F92" w14:textId="77777777" w:rsidR="003768A7" w:rsidRPr="00527BFD" w:rsidRDefault="003768A7" w:rsidP="00B83042">
            <w:pPr>
              <w:pStyle w:val="Tabletext"/>
              <w:ind w:left="0" w:right="0"/>
            </w:pPr>
            <w:r w:rsidRPr="00527BFD">
              <w:t>Anxiety</w:t>
            </w:r>
          </w:p>
        </w:tc>
        <w:tc>
          <w:tcPr>
            <w:tcW w:w="1397" w:type="dxa"/>
          </w:tcPr>
          <w:p w14:paraId="198A56D5" w14:textId="77777777" w:rsidR="003768A7" w:rsidRPr="00527BFD" w:rsidRDefault="003768A7" w:rsidP="00B83042">
            <w:pPr>
              <w:pStyle w:val="Tabletext"/>
              <w:ind w:left="0" w:right="0"/>
              <w:rPr>
                <w:rFonts w:cs="Calibri"/>
              </w:rPr>
            </w:pPr>
            <w:r w:rsidRPr="00527BFD">
              <w:rPr>
                <w:rFonts w:eastAsia="ArialNarrow" w:cs="Calibri"/>
              </w:rPr>
              <w:t>99 (4%)</w:t>
            </w:r>
          </w:p>
        </w:tc>
        <w:tc>
          <w:tcPr>
            <w:tcW w:w="1890" w:type="dxa"/>
          </w:tcPr>
          <w:p w14:paraId="6B31E758" w14:textId="77777777" w:rsidR="003768A7" w:rsidRPr="00527BFD" w:rsidRDefault="003768A7" w:rsidP="00B83042">
            <w:pPr>
              <w:pStyle w:val="Tabletext"/>
              <w:ind w:left="0" w:right="0"/>
              <w:rPr>
                <w:rFonts w:cs="Calibri"/>
              </w:rPr>
            </w:pPr>
            <w:r w:rsidRPr="00527BFD">
              <w:rPr>
                <w:rFonts w:cs="Calibri"/>
              </w:rPr>
              <w:t>97 (4%)</w:t>
            </w:r>
          </w:p>
        </w:tc>
        <w:tc>
          <w:tcPr>
            <w:tcW w:w="1391" w:type="dxa"/>
          </w:tcPr>
          <w:p w14:paraId="7484FD1F" w14:textId="77777777" w:rsidR="003768A7" w:rsidRPr="00527BFD" w:rsidRDefault="003768A7" w:rsidP="00B83042">
            <w:pPr>
              <w:pStyle w:val="Tabletext"/>
              <w:ind w:left="0" w:right="0"/>
              <w:rPr>
                <w:rFonts w:cs="Calibri"/>
              </w:rPr>
            </w:pPr>
            <w:r w:rsidRPr="00527BFD">
              <w:rPr>
                <w:rFonts w:cs="Calibri"/>
              </w:rPr>
              <w:t>9 (&lt;1%)</w:t>
            </w:r>
          </w:p>
        </w:tc>
        <w:tc>
          <w:tcPr>
            <w:tcW w:w="1984" w:type="dxa"/>
          </w:tcPr>
          <w:p w14:paraId="2CEF8CAB" w14:textId="77777777" w:rsidR="003768A7" w:rsidRPr="00527BFD" w:rsidRDefault="003768A7" w:rsidP="00B83042">
            <w:pPr>
              <w:pStyle w:val="Tabletext"/>
              <w:ind w:left="0" w:right="0"/>
              <w:rPr>
                <w:rFonts w:cs="Calibri"/>
              </w:rPr>
            </w:pPr>
            <w:r w:rsidRPr="00527BFD">
              <w:rPr>
                <w:rFonts w:cs="Calibri"/>
              </w:rPr>
              <w:t>6 (&lt;1%)</w:t>
            </w:r>
          </w:p>
        </w:tc>
      </w:tr>
      <w:tr w:rsidR="003768A7" w:rsidRPr="00527BFD" w14:paraId="1C78A2B0" w14:textId="77777777" w:rsidTr="00A30BD9">
        <w:tc>
          <w:tcPr>
            <w:tcW w:w="1833" w:type="dxa"/>
          </w:tcPr>
          <w:p w14:paraId="414B35CD" w14:textId="1122A474" w:rsidR="003768A7" w:rsidRPr="00527BFD" w:rsidRDefault="003768A7" w:rsidP="00B83042">
            <w:pPr>
              <w:pStyle w:val="Tabletext"/>
              <w:ind w:left="0" w:right="0"/>
            </w:pPr>
            <w:r w:rsidRPr="00527BFD">
              <w:t xml:space="preserve">Mood </w:t>
            </w:r>
            <w:r w:rsidR="00F267D8" w:rsidRPr="00527BFD">
              <w:t>disorders</w:t>
            </w:r>
          </w:p>
        </w:tc>
        <w:tc>
          <w:tcPr>
            <w:tcW w:w="1397" w:type="dxa"/>
          </w:tcPr>
          <w:p w14:paraId="7D5BE118" w14:textId="77777777" w:rsidR="003768A7" w:rsidRPr="00527BFD" w:rsidRDefault="003768A7" w:rsidP="00B83042">
            <w:pPr>
              <w:pStyle w:val="Tabletext"/>
              <w:ind w:left="0" w:right="0"/>
              <w:rPr>
                <w:rFonts w:cs="Calibri"/>
              </w:rPr>
            </w:pPr>
            <w:r w:rsidRPr="00527BFD">
              <w:rPr>
                <w:rFonts w:eastAsia="ArialNarrow" w:cs="Calibri"/>
              </w:rPr>
              <w:t>30 (1%)</w:t>
            </w:r>
          </w:p>
        </w:tc>
        <w:tc>
          <w:tcPr>
            <w:tcW w:w="1890" w:type="dxa"/>
          </w:tcPr>
          <w:p w14:paraId="48D75DF0" w14:textId="77777777" w:rsidR="003768A7" w:rsidRPr="00527BFD" w:rsidRDefault="003768A7" w:rsidP="00B83042">
            <w:pPr>
              <w:pStyle w:val="Tabletext"/>
              <w:ind w:left="0" w:right="0"/>
              <w:rPr>
                <w:rFonts w:cs="Calibri"/>
              </w:rPr>
            </w:pPr>
            <w:r w:rsidRPr="00527BFD">
              <w:rPr>
                <w:rFonts w:cs="Calibri"/>
              </w:rPr>
              <w:t>19 (&lt;1%)</w:t>
            </w:r>
          </w:p>
        </w:tc>
        <w:tc>
          <w:tcPr>
            <w:tcW w:w="1391" w:type="dxa"/>
          </w:tcPr>
          <w:p w14:paraId="093BA2B9" w14:textId="77777777" w:rsidR="003768A7" w:rsidRPr="00527BFD" w:rsidRDefault="003768A7" w:rsidP="00B83042">
            <w:pPr>
              <w:pStyle w:val="Tabletext"/>
              <w:ind w:left="0" w:right="0"/>
              <w:rPr>
                <w:rFonts w:cs="Calibri"/>
              </w:rPr>
            </w:pPr>
            <w:r w:rsidRPr="00527BFD">
              <w:rPr>
                <w:rFonts w:cs="Calibri"/>
              </w:rPr>
              <w:t>7 (&lt;1%)</w:t>
            </w:r>
          </w:p>
        </w:tc>
        <w:tc>
          <w:tcPr>
            <w:tcW w:w="1984" w:type="dxa"/>
          </w:tcPr>
          <w:p w14:paraId="4FDE4136" w14:textId="77777777" w:rsidR="003768A7" w:rsidRPr="00527BFD" w:rsidRDefault="003768A7" w:rsidP="00B83042">
            <w:pPr>
              <w:pStyle w:val="Tabletext"/>
              <w:ind w:left="0" w:right="0"/>
              <w:rPr>
                <w:rFonts w:cs="Calibri"/>
              </w:rPr>
            </w:pPr>
            <w:r w:rsidRPr="00527BFD">
              <w:rPr>
                <w:rFonts w:cs="Calibri"/>
              </w:rPr>
              <w:t>12 (&lt;1%)</w:t>
            </w:r>
          </w:p>
        </w:tc>
      </w:tr>
      <w:tr w:rsidR="003768A7" w:rsidRPr="00527BFD" w14:paraId="76068B3E" w14:textId="77777777" w:rsidTr="00A30BD9">
        <w:tc>
          <w:tcPr>
            <w:tcW w:w="1833" w:type="dxa"/>
          </w:tcPr>
          <w:p w14:paraId="5B060D42" w14:textId="53147A6D" w:rsidR="003768A7" w:rsidRPr="00527BFD" w:rsidRDefault="003768A7" w:rsidP="00B83042">
            <w:pPr>
              <w:pStyle w:val="Tabletext"/>
              <w:ind w:left="0" w:right="0"/>
            </w:pPr>
            <w:r w:rsidRPr="00527BFD">
              <w:t xml:space="preserve">Suicidal </w:t>
            </w:r>
            <w:r w:rsidR="00F267D8" w:rsidRPr="00527BFD">
              <w:t>ideation</w:t>
            </w:r>
            <w:r w:rsidRPr="00527BFD">
              <w:t>/ behaviour</w:t>
            </w:r>
          </w:p>
        </w:tc>
        <w:tc>
          <w:tcPr>
            <w:tcW w:w="1397" w:type="dxa"/>
          </w:tcPr>
          <w:p w14:paraId="12377638" w14:textId="77777777" w:rsidR="003768A7" w:rsidRPr="00527BFD" w:rsidRDefault="003768A7" w:rsidP="00B83042">
            <w:pPr>
              <w:pStyle w:val="Tabletext"/>
              <w:ind w:left="0" w:right="0"/>
              <w:rPr>
                <w:rFonts w:cs="Calibri"/>
              </w:rPr>
            </w:pPr>
            <w:r w:rsidRPr="00527BFD">
              <w:rPr>
                <w:rFonts w:eastAsia="ArialNarrow" w:cs="Calibri"/>
              </w:rPr>
              <w:t>25 (1%)</w:t>
            </w:r>
          </w:p>
        </w:tc>
        <w:tc>
          <w:tcPr>
            <w:tcW w:w="1890" w:type="dxa"/>
          </w:tcPr>
          <w:p w14:paraId="74BF02A1" w14:textId="77777777" w:rsidR="003768A7" w:rsidRPr="00527BFD" w:rsidRDefault="003768A7" w:rsidP="00B83042">
            <w:pPr>
              <w:pStyle w:val="Tabletext"/>
              <w:ind w:left="0" w:right="0"/>
              <w:rPr>
                <w:rFonts w:cs="Calibri"/>
              </w:rPr>
            </w:pPr>
            <w:r w:rsidRPr="00527BFD">
              <w:rPr>
                <w:rFonts w:cs="Calibri"/>
              </w:rPr>
              <w:t>23 (1%)</w:t>
            </w:r>
          </w:p>
        </w:tc>
        <w:tc>
          <w:tcPr>
            <w:tcW w:w="1391" w:type="dxa"/>
          </w:tcPr>
          <w:p w14:paraId="5ED4D4D8" w14:textId="77777777" w:rsidR="003768A7" w:rsidRPr="00527BFD" w:rsidRDefault="003768A7" w:rsidP="00B83042">
            <w:pPr>
              <w:pStyle w:val="Tabletext"/>
              <w:ind w:left="0" w:right="0"/>
              <w:rPr>
                <w:rFonts w:cs="Calibri"/>
              </w:rPr>
            </w:pPr>
            <w:r w:rsidRPr="00527BFD">
              <w:rPr>
                <w:rFonts w:cs="Calibri"/>
              </w:rPr>
              <w:t>3 (&lt;1%)</w:t>
            </w:r>
          </w:p>
        </w:tc>
        <w:tc>
          <w:tcPr>
            <w:tcW w:w="1984" w:type="dxa"/>
          </w:tcPr>
          <w:p w14:paraId="25F65423" w14:textId="77777777" w:rsidR="003768A7" w:rsidRPr="00527BFD" w:rsidRDefault="003768A7" w:rsidP="00B83042">
            <w:pPr>
              <w:pStyle w:val="Tabletext"/>
              <w:ind w:left="0" w:right="0"/>
              <w:rPr>
                <w:rFonts w:cs="Calibri"/>
              </w:rPr>
            </w:pPr>
            <w:r w:rsidRPr="00527BFD">
              <w:rPr>
                <w:rFonts w:cs="Calibri"/>
              </w:rPr>
              <w:t>6 (&lt;1%)</w:t>
            </w:r>
          </w:p>
        </w:tc>
      </w:tr>
      <w:tr w:rsidR="003768A7" w:rsidRPr="00527BFD" w14:paraId="77EBDFE4" w14:textId="77777777" w:rsidTr="00A30BD9">
        <w:tc>
          <w:tcPr>
            <w:tcW w:w="1833" w:type="dxa"/>
          </w:tcPr>
          <w:p w14:paraId="7418C321" w14:textId="2B21DCFA" w:rsidR="003768A7" w:rsidRPr="00527BFD" w:rsidRDefault="003768A7" w:rsidP="00B83042">
            <w:pPr>
              <w:pStyle w:val="Tabletext"/>
              <w:ind w:left="0" w:right="0"/>
            </w:pPr>
            <w:r w:rsidRPr="00527BFD">
              <w:t xml:space="preserve">Bipolar </w:t>
            </w:r>
            <w:r w:rsidR="00F267D8" w:rsidRPr="00527BFD">
              <w:t>disorder</w:t>
            </w:r>
          </w:p>
        </w:tc>
        <w:tc>
          <w:tcPr>
            <w:tcW w:w="1397" w:type="dxa"/>
          </w:tcPr>
          <w:p w14:paraId="7502C1B2" w14:textId="77777777" w:rsidR="003768A7" w:rsidRPr="00527BFD" w:rsidRDefault="003768A7" w:rsidP="00B83042">
            <w:pPr>
              <w:pStyle w:val="Tabletext"/>
              <w:ind w:left="0" w:right="0"/>
              <w:rPr>
                <w:rFonts w:cs="Calibri"/>
              </w:rPr>
            </w:pPr>
            <w:r w:rsidRPr="00527BFD">
              <w:rPr>
                <w:rFonts w:cs="Calibri"/>
              </w:rPr>
              <w:t>5 (&lt;1%)</w:t>
            </w:r>
          </w:p>
        </w:tc>
        <w:tc>
          <w:tcPr>
            <w:tcW w:w="1890" w:type="dxa"/>
          </w:tcPr>
          <w:p w14:paraId="05CDBB7C" w14:textId="77777777" w:rsidR="003768A7" w:rsidRPr="00527BFD" w:rsidRDefault="003768A7" w:rsidP="00B83042">
            <w:pPr>
              <w:pStyle w:val="Tabletext"/>
              <w:ind w:left="0" w:right="0"/>
              <w:rPr>
                <w:rFonts w:cs="Calibri"/>
              </w:rPr>
            </w:pPr>
            <w:r w:rsidRPr="00527BFD">
              <w:rPr>
                <w:rFonts w:cs="Calibri"/>
              </w:rPr>
              <w:t>6 (&lt;1%)</w:t>
            </w:r>
          </w:p>
        </w:tc>
        <w:tc>
          <w:tcPr>
            <w:tcW w:w="1391" w:type="dxa"/>
          </w:tcPr>
          <w:p w14:paraId="409E343A" w14:textId="77777777" w:rsidR="003768A7" w:rsidRPr="00527BFD" w:rsidRDefault="003768A7" w:rsidP="00B83042">
            <w:pPr>
              <w:pStyle w:val="Tabletext"/>
              <w:ind w:left="0" w:right="0"/>
              <w:rPr>
                <w:rFonts w:cs="Calibri"/>
              </w:rPr>
            </w:pPr>
            <w:r w:rsidRPr="00527BFD">
              <w:rPr>
                <w:rFonts w:cs="Calibri"/>
              </w:rPr>
              <w:t>1 (&lt;1%)</w:t>
            </w:r>
          </w:p>
        </w:tc>
        <w:tc>
          <w:tcPr>
            <w:tcW w:w="1984" w:type="dxa"/>
          </w:tcPr>
          <w:p w14:paraId="1046670C" w14:textId="345FA519" w:rsidR="003768A7" w:rsidRPr="00527BFD" w:rsidRDefault="003768A7" w:rsidP="00B83042">
            <w:pPr>
              <w:pStyle w:val="Tabletext"/>
              <w:ind w:left="0" w:right="0"/>
              <w:rPr>
                <w:rFonts w:cs="Calibri"/>
              </w:rPr>
            </w:pPr>
            <w:r w:rsidRPr="00527BFD">
              <w:rPr>
                <w:rFonts w:cs="Calibri"/>
              </w:rPr>
              <w:t>2 (&lt;1</w:t>
            </w:r>
            <w:r w:rsidR="003C2E00">
              <w:rPr>
                <w:rFonts w:cs="Calibri"/>
              </w:rPr>
              <w:t>%</w:t>
            </w:r>
            <w:r w:rsidRPr="00527BFD">
              <w:rPr>
                <w:rFonts w:cs="Calibri"/>
              </w:rPr>
              <w:t>)</w:t>
            </w:r>
          </w:p>
        </w:tc>
      </w:tr>
      <w:tr w:rsidR="003768A7" w:rsidRPr="00527BFD" w14:paraId="68034098" w14:textId="77777777" w:rsidTr="00A30BD9">
        <w:tc>
          <w:tcPr>
            <w:tcW w:w="1833" w:type="dxa"/>
          </w:tcPr>
          <w:p w14:paraId="2EF9384C" w14:textId="77777777" w:rsidR="003768A7" w:rsidRPr="00527BFD" w:rsidRDefault="003768A7" w:rsidP="00B83042">
            <w:pPr>
              <w:pStyle w:val="Tabletext"/>
              <w:ind w:left="0" w:right="0"/>
            </w:pPr>
            <w:r w:rsidRPr="00527BFD">
              <w:t>Psychosis</w:t>
            </w:r>
          </w:p>
        </w:tc>
        <w:tc>
          <w:tcPr>
            <w:tcW w:w="1397" w:type="dxa"/>
          </w:tcPr>
          <w:p w14:paraId="29F188DD" w14:textId="77777777" w:rsidR="003768A7" w:rsidRPr="00527BFD" w:rsidRDefault="003768A7" w:rsidP="00B83042">
            <w:pPr>
              <w:pStyle w:val="Tabletext"/>
              <w:ind w:left="0" w:right="0"/>
              <w:rPr>
                <w:rFonts w:cs="Calibri"/>
              </w:rPr>
            </w:pPr>
            <w:r w:rsidRPr="00527BFD">
              <w:rPr>
                <w:rFonts w:cs="Calibri"/>
              </w:rPr>
              <w:t>3 (&lt;1%)</w:t>
            </w:r>
          </w:p>
        </w:tc>
        <w:tc>
          <w:tcPr>
            <w:tcW w:w="1890" w:type="dxa"/>
          </w:tcPr>
          <w:p w14:paraId="321C442D" w14:textId="77777777" w:rsidR="003768A7" w:rsidRPr="00527BFD" w:rsidRDefault="003768A7" w:rsidP="00B83042">
            <w:pPr>
              <w:pStyle w:val="Tabletext"/>
              <w:ind w:left="0" w:right="0"/>
              <w:rPr>
                <w:rFonts w:cs="Calibri"/>
              </w:rPr>
            </w:pPr>
            <w:r w:rsidRPr="00527BFD">
              <w:rPr>
                <w:rFonts w:cs="Calibri"/>
              </w:rPr>
              <w:t>4 (&lt;1%)</w:t>
            </w:r>
          </w:p>
        </w:tc>
        <w:tc>
          <w:tcPr>
            <w:tcW w:w="1391" w:type="dxa"/>
          </w:tcPr>
          <w:p w14:paraId="01704D8A" w14:textId="77777777" w:rsidR="003768A7" w:rsidRPr="00527BFD" w:rsidRDefault="003768A7" w:rsidP="00B83042">
            <w:pPr>
              <w:pStyle w:val="Tabletext"/>
              <w:ind w:left="0" w:right="0"/>
              <w:rPr>
                <w:rFonts w:cs="Calibri"/>
              </w:rPr>
            </w:pPr>
            <w:r w:rsidRPr="00527BFD">
              <w:rPr>
                <w:rFonts w:cs="Calibri"/>
              </w:rPr>
              <w:t>0</w:t>
            </w:r>
          </w:p>
        </w:tc>
        <w:tc>
          <w:tcPr>
            <w:tcW w:w="1984" w:type="dxa"/>
          </w:tcPr>
          <w:p w14:paraId="4C5B5CC8" w14:textId="77777777" w:rsidR="003768A7" w:rsidRPr="00527BFD" w:rsidRDefault="003768A7" w:rsidP="00B83042">
            <w:pPr>
              <w:pStyle w:val="Tabletext"/>
              <w:ind w:left="0" w:right="0"/>
              <w:rPr>
                <w:rFonts w:cs="Calibri"/>
              </w:rPr>
            </w:pPr>
            <w:r w:rsidRPr="00527BFD">
              <w:rPr>
                <w:rFonts w:cs="Calibri"/>
              </w:rPr>
              <w:t>0</w:t>
            </w:r>
          </w:p>
        </w:tc>
      </w:tr>
    </w:tbl>
    <w:p w14:paraId="72A670BA" w14:textId="5504806F" w:rsidR="001B71F9" w:rsidRPr="00A937CF" w:rsidRDefault="00866CBB" w:rsidP="00A937CF">
      <w:pPr>
        <w:pStyle w:val="TableDescription"/>
      </w:pPr>
      <w:r w:rsidRPr="00A937CF">
        <w:t xml:space="preserve">Abbreviations: </w:t>
      </w:r>
      <w:r w:rsidR="001B71F9" w:rsidRPr="00A937CF">
        <w:t>AESI =</w:t>
      </w:r>
      <w:r w:rsidR="00F37923" w:rsidRPr="00A937CF">
        <w:t xml:space="preserve"> adverse event of special interest</w:t>
      </w:r>
      <w:r w:rsidRPr="00A937CF">
        <w:t xml:space="preserve">; N = number of subjects; </w:t>
      </w:r>
      <w:r w:rsidR="001B71F9" w:rsidRPr="00A937CF">
        <w:t>TDF =</w:t>
      </w:r>
      <w:r w:rsidR="00342B4E" w:rsidRPr="00A937CF">
        <w:t xml:space="preserve"> tenofovir disoproxil fumarate</w:t>
      </w:r>
      <w:r w:rsidRPr="00A937CF">
        <w:t>.</w:t>
      </w:r>
    </w:p>
    <w:p w14:paraId="3CA3D475" w14:textId="2A99583F" w:rsidR="000C2FE2" w:rsidRPr="00A937CF" w:rsidRDefault="000C2FE2" w:rsidP="00A937CF">
      <w:pPr>
        <w:pStyle w:val="TableDescription"/>
      </w:pPr>
      <w:r w:rsidRPr="00A937CF">
        <w:t xml:space="preserve">Number of </w:t>
      </w:r>
      <w:r w:rsidR="00A937CF" w:rsidRPr="00A937CF">
        <w:t>events:</w:t>
      </w:r>
      <w:r w:rsidRPr="00A937CF">
        <w:t xml:space="preserve"> total number of AEs during Step</w:t>
      </w:r>
      <w:r w:rsidR="00A937CF" w:rsidRPr="00A937CF">
        <w:t>s</w:t>
      </w:r>
      <w:r w:rsidRPr="00A937CF">
        <w:t xml:space="preserve"> 1 and 2.</w:t>
      </w:r>
    </w:p>
    <w:p w14:paraId="13222C75" w14:textId="56B13C97" w:rsidR="000C2FE2" w:rsidRPr="00A937CF" w:rsidRDefault="000C2FE2" w:rsidP="00A937CF">
      <w:pPr>
        <w:pStyle w:val="TableDescription"/>
      </w:pPr>
      <w:r w:rsidRPr="00A937CF">
        <w:t xml:space="preserve">Number (%) </w:t>
      </w:r>
      <w:r w:rsidR="00A937CF" w:rsidRPr="00A937CF">
        <w:t>participants:</w:t>
      </w:r>
      <w:r w:rsidRPr="00A937CF">
        <w:t xml:space="preserve"> total (%) number of unique participants.</w:t>
      </w:r>
    </w:p>
    <w:p w14:paraId="22177629" w14:textId="140534BF" w:rsidR="000C2FE2" w:rsidRPr="00A937CF" w:rsidRDefault="00A937CF" w:rsidP="00A937CF">
      <w:pPr>
        <w:pStyle w:val="TableDescription"/>
      </w:pPr>
      <w:r w:rsidRPr="00A937CF">
        <w:lastRenderedPageBreak/>
        <w:t>Adverse events (</w:t>
      </w:r>
      <w:r w:rsidR="000C2FE2" w:rsidRPr="00A937CF">
        <w:t>AEs</w:t>
      </w:r>
      <w:r w:rsidRPr="00A937CF">
        <w:t>)</w:t>
      </w:r>
      <w:r w:rsidR="000C2FE2" w:rsidRPr="00A937CF">
        <w:t xml:space="preserve"> were coded to </w:t>
      </w:r>
      <w:r w:rsidRPr="00A937CF">
        <w:t xml:space="preserve">System Organ Class </w:t>
      </w:r>
      <w:r w:rsidR="000C2FE2" w:rsidRPr="00A937CF">
        <w:t xml:space="preserve">and </w:t>
      </w:r>
      <w:r w:rsidRPr="00A937CF">
        <w:t xml:space="preserve">Preferred Term </w:t>
      </w:r>
      <w:r w:rsidR="000C2FE2" w:rsidRPr="00A937CF">
        <w:t xml:space="preserve">using </w:t>
      </w:r>
      <w:r w:rsidR="00846FEE" w:rsidRPr="00846FEE">
        <w:t xml:space="preserve">Medical Dictionary for Regulatory Activities </w:t>
      </w:r>
      <w:r w:rsidR="00846FEE">
        <w:t>(</w:t>
      </w:r>
      <w:r w:rsidR="000C2FE2" w:rsidRPr="00A937CF">
        <w:t>MedDRA</w:t>
      </w:r>
      <w:r w:rsidR="00846FEE">
        <w:t>)</w:t>
      </w:r>
      <w:r w:rsidR="00846FEE">
        <w:rPr>
          <w:rStyle w:val="FootnoteReference"/>
        </w:rPr>
        <w:footnoteReference w:id="12"/>
      </w:r>
      <w:r w:rsidR="000C2FE2" w:rsidRPr="00A937CF">
        <w:t xml:space="preserve"> coding dictionary version 23.1.</w:t>
      </w:r>
    </w:p>
    <w:p w14:paraId="58F77F15" w14:textId="695E6ABC" w:rsidR="000C2FE2" w:rsidRPr="00A937CF" w:rsidRDefault="000C2FE2" w:rsidP="00A937CF">
      <w:pPr>
        <w:pStyle w:val="TableDescription"/>
      </w:pPr>
      <w:r w:rsidRPr="00A937CF">
        <w:t xml:space="preserve">Sites were instructed to only enter Grade 2 or higher laboratory abnormalities AEs, however all laboratory abnormalities AEs that were entered into the </w:t>
      </w:r>
      <w:r w:rsidR="00342B4E" w:rsidRPr="00A937CF">
        <w:t>case report form</w:t>
      </w:r>
      <w:r w:rsidRPr="00A937CF">
        <w:t xml:space="preserve"> are included in this table even if they are Grade 1</w:t>
      </w:r>
    </w:p>
    <w:p w14:paraId="06600870" w14:textId="798BD385" w:rsidR="000C2FE2" w:rsidRPr="00A937CF" w:rsidRDefault="000C2FE2" w:rsidP="00A937CF">
      <w:pPr>
        <w:pStyle w:val="TableDescription"/>
      </w:pPr>
      <w:r w:rsidRPr="00A937CF">
        <w:t xml:space="preserve">If a participant had more than one AE for a specific term, they are only counted once in the </w:t>
      </w:r>
      <w:r w:rsidR="00A937CF" w:rsidRPr="00A937CF">
        <w:t>number of participants wit</w:t>
      </w:r>
      <w:r w:rsidRPr="00A937CF">
        <w:t xml:space="preserve">h AEs for that </w:t>
      </w:r>
      <w:r w:rsidR="00A937CF" w:rsidRPr="00A937CF">
        <w:t>System Organ Class</w:t>
      </w:r>
      <w:r w:rsidRPr="00A937CF">
        <w:t xml:space="preserve"> and </w:t>
      </w:r>
      <w:r w:rsidR="00A937CF" w:rsidRPr="00A937CF">
        <w:t>T</w:t>
      </w:r>
      <w:r w:rsidRPr="00A937CF">
        <w:t>erm.</w:t>
      </w:r>
    </w:p>
    <w:p w14:paraId="2F889706" w14:textId="5C621C19" w:rsidR="000C2FE2" w:rsidRPr="00A937CF" w:rsidRDefault="00A937CF" w:rsidP="00A937CF">
      <w:pPr>
        <w:pStyle w:val="TableDescription"/>
      </w:pPr>
      <w:r w:rsidRPr="00A937CF">
        <w:t>Preferred Terms</w:t>
      </w:r>
      <w:r w:rsidR="000C2FE2" w:rsidRPr="00A937CF">
        <w:t xml:space="preserve"> are listed in the order of decreasing frequency in the </w:t>
      </w:r>
      <w:r w:rsidRPr="00A937CF">
        <w:t xml:space="preserve">cabotegravir </w:t>
      </w:r>
      <w:r w:rsidR="000C2FE2" w:rsidRPr="00A937CF">
        <w:t>group.</w:t>
      </w:r>
    </w:p>
    <w:p w14:paraId="0C0A2F45" w14:textId="06601815" w:rsidR="00FD7F88" w:rsidRPr="00527BFD" w:rsidRDefault="003768A7" w:rsidP="0059470F">
      <w:pPr>
        <w:pStyle w:val="Heading6"/>
        <w:rPr>
          <w:szCs w:val="28"/>
        </w:rPr>
      </w:pPr>
      <w:r w:rsidRPr="00527BFD">
        <w:rPr>
          <w:szCs w:val="28"/>
        </w:rPr>
        <w:t xml:space="preserve">Seizures and </w:t>
      </w:r>
      <w:r w:rsidR="00F272D2" w:rsidRPr="00527BFD">
        <w:rPr>
          <w:szCs w:val="28"/>
        </w:rPr>
        <w:t>seizure-like events</w:t>
      </w:r>
    </w:p>
    <w:p w14:paraId="12B0C2BE" w14:textId="1DB21DBA" w:rsidR="003768A7" w:rsidRPr="00527BFD" w:rsidRDefault="003768A7" w:rsidP="00BB4257">
      <w:r w:rsidRPr="00527BFD">
        <w:t>A small number of seizures (</w:t>
      </w:r>
      <w:r w:rsidR="00FD52A9" w:rsidRPr="00527BFD">
        <w:t xml:space="preserve">less than </w:t>
      </w:r>
      <w:r w:rsidRPr="00527BFD">
        <w:t xml:space="preserve">1%) were reported during the </w:t>
      </w:r>
      <w:r w:rsidR="00FD52A9" w:rsidRPr="00527BFD">
        <w:t>cabotegravir</w:t>
      </w:r>
      <w:r w:rsidRPr="00527BFD">
        <w:t xml:space="preserve"> development program (for HIV treatment or </w:t>
      </w:r>
      <w:proofErr w:type="spellStart"/>
      <w:r w:rsidRPr="00527BFD">
        <w:t>PrEP</w:t>
      </w:r>
      <w:proofErr w:type="spellEnd"/>
      <w:r w:rsidRPr="00527BFD">
        <w:t xml:space="preserve">), which prompted enhanced reporting of similar events in </w:t>
      </w:r>
      <w:r w:rsidR="00BB0AC1" w:rsidRPr="00527BFD">
        <w:t xml:space="preserve">the HPTN 083 </w:t>
      </w:r>
      <w:r w:rsidRPr="00527BFD">
        <w:t xml:space="preserve">and </w:t>
      </w:r>
      <w:r w:rsidR="00CC53B1" w:rsidRPr="00527BFD">
        <w:t>HPTN 084 trials</w:t>
      </w:r>
      <w:r w:rsidRPr="00527BFD">
        <w:t>. A history of seizures, per self</w:t>
      </w:r>
      <w:r w:rsidR="00F272D2" w:rsidRPr="00527BFD">
        <w:noBreakHyphen/>
      </w:r>
      <w:r w:rsidRPr="00527BFD">
        <w:t xml:space="preserve">report, was an exclusion criterion for these two studies. Sites were required to report suspected seizure AEs in an expedited manner as serious reports. The number and proportion of participants with AEs potentially related to seizure or seizure-like events was similar in both treatment groups with </w:t>
      </w:r>
      <w:r w:rsidR="00FD52A9" w:rsidRPr="00527BFD">
        <w:t>less than</w:t>
      </w:r>
      <w:r w:rsidRPr="00527BFD">
        <w:t xml:space="preserve"> 1% in each group in </w:t>
      </w:r>
      <w:r w:rsidR="00BB0AC1" w:rsidRPr="00527BFD">
        <w:t>the HPTN</w:t>
      </w:r>
      <w:r w:rsidR="00F272D2" w:rsidRPr="00527BFD">
        <w:t> </w:t>
      </w:r>
      <w:r w:rsidR="00BB0AC1" w:rsidRPr="00527BFD">
        <w:t xml:space="preserve">083 </w:t>
      </w:r>
      <w:r w:rsidRPr="00527BFD">
        <w:t>and HPTN 084</w:t>
      </w:r>
      <w:r w:rsidR="00CC53B1" w:rsidRPr="00527BFD">
        <w:t xml:space="preserve"> trials</w:t>
      </w:r>
      <w:r w:rsidRPr="00527BFD">
        <w:t xml:space="preserve">. Of those having seizures, </w:t>
      </w:r>
      <w:r w:rsidR="00F272D2" w:rsidRPr="00527BFD">
        <w:t>one</w:t>
      </w:r>
      <w:r w:rsidRPr="00527BFD">
        <w:t xml:space="preserve"> participant in the </w:t>
      </w:r>
      <w:r w:rsidR="00FD52A9" w:rsidRPr="00527BFD">
        <w:t>cabotegravir</w:t>
      </w:r>
      <w:r w:rsidRPr="00527BFD">
        <w:t xml:space="preserve"> group in </w:t>
      </w:r>
      <w:r w:rsidR="00BB0AC1" w:rsidRPr="00527BFD">
        <w:t>the HPTN 083 trial</w:t>
      </w:r>
      <w:r w:rsidRPr="00527BFD">
        <w:t xml:space="preserve"> had a seizure that </w:t>
      </w:r>
      <w:proofErr w:type="gramStart"/>
      <w:r w:rsidRPr="00527BFD">
        <w:t>was considered to be</w:t>
      </w:r>
      <w:proofErr w:type="gramEnd"/>
      <w:r w:rsidRPr="00527BFD">
        <w:t xml:space="preserve"> </w:t>
      </w:r>
      <w:r w:rsidR="00714561" w:rsidRPr="00527BFD">
        <w:t>drug</w:t>
      </w:r>
      <w:r w:rsidR="00714561">
        <w:t xml:space="preserve"> related</w:t>
      </w:r>
      <w:r w:rsidRPr="00527BFD">
        <w:t>.</w:t>
      </w:r>
    </w:p>
    <w:p w14:paraId="1DB6E301" w14:textId="77777777" w:rsidR="00FD7F88" w:rsidRPr="00527BFD" w:rsidRDefault="003768A7" w:rsidP="0059470F">
      <w:pPr>
        <w:pStyle w:val="Heading6"/>
        <w:rPr>
          <w:szCs w:val="28"/>
        </w:rPr>
      </w:pPr>
      <w:r w:rsidRPr="00527BFD">
        <w:rPr>
          <w:szCs w:val="28"/>
        </w:rPr>
        <w:t>Weight gain</w:t>
      </w:r>
    </w:p>
    <w:p w14:paraId="02B2EABE" w14:textId="5F2BA4C2" w:rsidR="003768A7" w:rsidRPr="00527BFD" w:rsidRDefault="003768A7" w:rsidP="00BB4257">
      <w:r w:rsidRPr="00527BFD">
        <w:t xml:space="preserve">Weight gain has been reported during </w:t>
      </w:r>
      <w:r w:rsidR="00FD52A9" w:rsidRPr="00527BFD">
        <w:t>cabotegravir</w:t>
      </w:r>
      <w:r w:rsidRPr="00527BFD">
        <w:t xml:space="preserve"> treatment in HIV-infected individuals. It is unknown whether weight gain is associated with </w:t>
      </w:r>
      <w:r w:rsidR="00FD52A9" w:rsidRPr="00527BFD">
        <w:t>cabotegravir</w:t>
      </w:r>
      <w:r w:rsidRPr="00527BFD">
        <w:t xml:space="preserve"> </w:t>
      </w:r>
      <w:proofErr w:type="spellStart"/>
      <w:r w:rsidRPr="00527BFD">
        <w:t>PrEP</w:t>
      </w:r>
      <w:proofErr w:type="spellEnd"/>
      <w:r w:rsidRPr="00527BFD">
        <w:t xml:space="preserve"> administration in HIV</w:t>
      </w:r>
      <w:r w:rsidR="00D46635">
        <w:noBreakHyphen/>
      </w:r>
      <w:r w:rsidRPr="00527BFD">
        <w:t xml:space="preserve">uninfected individuals. In the pivotal studies </w:t>
      </w:r>
      <w:r w:rsidR="00F272D2" w:rsidRPr="00527BFD">
        <w:t>(</w:t>
      </w:r>
      <w:r w:rsidR="00BB0AC1" w:rsidRPr="00527BFD">
        <w:t xml:space="preserve">the HPTN 083 </w:t>
      </w:r>
      <w:r w:rsidRPr="00527BFD">
        <w:t>and</w:t>
      </w:r>
      <w:r w:rsidR="00F272D2" w:rsidRPr="00527BFD">
        <w:t xml:space="preserve"> HPTN</w:t>
      </w:r>
      <w:r w:rsidRPr="00527BFD">
        <w:t xml:space="preserve"> 084 </w:t>
      </w:r>
      <w:r w:rsidR="00F272D2" w:rsidRPr="00527BFD">
        <w:t xml:space="preserve">trials) </w:t>
      </w:r>
      <w:r w:rsidRPr="00527BFD">
        <w:t>weight gain AESI was similar in both treatment arms and was low (</w:t>
      </w:r>
      <w:r w:rsidR="00FD52A9" w:rsidRPr="00527BFD">
        <w:t xml:space="preserve">less than </w:t>
      </w:r>
      <w:r w:rsidRPr="00527BFD">
        <w:t>1% of participants).</w:t>
      </w:r>
    </w:p>
    <w:p w14:paraId="2AA87E98" w14:textId="77777777" w:rsidR="00FD7F88" w:rsidRPr="00527BFD" w:rsidRDefault="003768A7" w:rsidP="0059470F">
      <w:pPr>
        <w:pStyle w:val="Heading6"/>
        <w:rPr>
          <w:szCs w:val="28"/>
        </w:rPr>
      </w:pPr>
      <w:r w:rsidRPr="00527BFD">
        <w:rPr>
          <w:szCs w:val="28"/>
        </w:rPr>
        <w:t>Rhabdomyolysis</w:t>
      </w:r>
    </w:p>
    <w:p w14:paraId="5E4953A9" w14:textId="53AEBFEA" w:rsidR="003768A7" w:rsidRPr="00527BFD" w:rsidRDefault="003768A7" w:rsidP="00BB4257">
      <w:r w:rsidRPr="00527BFD">
        <w:t xml:space="preserve">Transient, asymptomatic elevations of </w:t>
      </w:r>
      <w:r w:rsidR="00F272D2" w:rsidRPr="00527BFD">
        <w:t xml:space="preserve">creatine </w:t>
      </w:r>
      <w:r w:rsidR="003C2E00">
        <w:t>phospho</w:t>
      </w:r>
      <w:r w:rsidR="00F272D2" w:rsidRPr="00527BFD">
        <w:t>kinase</w:t>
      </w:r>
      <w:r w:rsidRPr="00527BFD">
        <w:t xml:space="preserve"> levels have been observed in HIV-infected individuals participating in the </w:t>
      </w:r>
      <w:r w:rsidR="00FD52A9" w:rsidRPr="00527BFD">
        <w:t>cabotegravir</w:t>
      </w:r>
      <w:r w:rsidRPr="00527BFD">
        <w:t xml:space="preserve"> treatment development program without evidence of rhabdomyolysis. Rhabdomyolysis has been reported with </w:t>
      </w:r>
      <w:proofErr w:type="spellStart"/>
      <w:r w:rsidR="00F272D2" w:rsidRPr="00527BFD">
        <w:t>raltegravir</w:t>
      </w:r>
      <w:proofErr w:type="spellEnd"/>
      <w:r w:rsidRPr="00527BFD">
        <w:t>, another integrase inhibitor.</w:t>
      </w:r>
    </w:p>
    <w:p w14:paraId="061C6778" w14:textId="77777777" w:rsidR="00FD7F88" w:rsidRPr="00527BFD" w:rsidRDefault="003768A7" w:rsidP="0059470F">
      <w:pPr>
        <w:pStyle w:val="Heading6"/>
        <w:rPr>
          <w:szCs w:val="28"/>
        </w:rPr>
      </w:pPr>
      <w:r w:rsidRPr="00527BFD">
        <w:rPr>
          <w:szCs w:val="28"/>
        </w:rPr>
        <w:t>Pancreatitis</w:t>
      </w:r>
    </w:p>
    <w:p w14:paraId="39F12E2B" w14:textId="74FF6D98" w:rsidR="003768A7" w:rsidRPr="00527BFD" w:rsidRDefault="003768A7" w:rsidP="00BB4257">
      <w:r w:rsidRPr="00527BFD">
        <w:t>No subjects in either group had an AE potentially associated with pancreatitis.</w:t>
      </w:r>
    </w:p>
    <w:p w14:paraId="7484F17F" w14:textId="0A8935DA" w:rsidR="003768A7" w:rsidRPr="00527BFD" w:rsidRDefault="003768A7" w:rsidP="00BB4257">
      <w:pPr>
        <w:pStyle w:val="Heading5"/>
        <w:rPr>
          <w:rFonts w:eastAsia="TimesNewRoman"/>
          <w:lang w:val="en-US"/>
        </w:rPr>
      </w:pPr>
      <w:r w:rsidRPr="00527BFD">
        <w:rPr>
          <w:rFonts w:eastAsia="TimesNewRoman"/>
          <w:lang w:val="en-US"/>
        </w:rPr>
        <w:t xml:space="preserve">Safety in </w:t>
      </w:r>
      <w:r w:rsidR="00C24737" w:rsidRPr="00527BFD">
        <w:rPr>
          <w:rFonts w:eastAsia="TimesNewRoman"/>
          <w:lang w:val="en-US"/>
        </w:rPr>
        <w:t xml:space="preserve">human immunodeficiency virus </w:t>
      </w:r>
      <w:r w:rsidRPr="00527BFD">
        <w:rPr>
          <w:rFonts w:eastAsia="TimesNewRoman"/>
          <w:lang w:val="en-US"/>
        </w:rPr>
        <w:t xml:space="preserve">infected adolescents from </w:t>
      </w:r>
      <w:r w:rsidR="00F272D2" w:rsidRPr="00527BFD">
        <w:rPr>
          <w:rFonts w:eastAsia="TimesNewRoman"/>
          <w:lang w:val="en-US"/>
        </w:rPr>
        <w:t>Study</w:t>
      </w:r>
      <w:r w:rsidR="00D46635">
        <w:rPr>
          <w:rFonts w:eastAsia="TimesNewRoman"/>
          <w:lang w:val="en-US"/>
        </w:rPr>
        <w:t> </w:t>
      </w:r>
      <w:r w:rsidRPr="00527BFD">
        <w:rPr>
          <w:rFonts w:eastAsia="TimesNewRoman"/>
          <w:lang w:val="en-US"/>
        </w:rPr>
        <w:t>208580</w:t>
      </w:r>
      <w:r w:rsidR="00F272D2" w:rsidRPr="00527BFD">
        <w:rPr>
          <w:rFonts w:eastAsia="TimesNewRoman"/>
          <w:lang w:val="en-US"/>
        </w:rPr>
        <w:t xml:space="preserve"> (</w:t>
      </w:r>
      <w:r w:rsidR="00CC53B1" w:rsidRPr="00527BFD">
        <w:rPr>
          <w:rFonts w:eastAsia="TimesNewRoman"/>
          <w:lang w:val="en-US"/>
        </w:rPr>
        <w:t>MOCHA trial</w:t>
      </w:r>
      <w:r w:rsidR="00F272D2" w:rsidRPr="00527BFD">
        <w:rPr>
          <w:rFonts w:eastAsia="TimesNewRoman"/>
          <w:lang w:val="en-US"/>
        </w:rPr>
        <w:t>)</w:t>
      </w:r>
    </w:p>
    <w:p w14:paraId="2B319916" w14:textId="42F55ECE" w:rsidR="003768A7" w:rsidRPr="00527BFD" w:rsidRDefault="003768A7" w:rsidP="00BB4257">
      <w:r w:rsidRPr="00527BFD">
        <w:t xml:space="preserve">The safety of adolescents in </w:t>
      </w:r>
      <w:proofErr w:type="spellStart"/>
      <w:r w:rsidRPr="00527BFD">
        <w:t>PrEP</w:t>
      </w:r>
      <w:proofErr w:type="spellEnd"/>
      <w:r w:rsidRPr="00527BFD">
        <w:t xml:space="preserve"> receiving </w:t>
      </w:r>
      <w:r w:rsidR="00FD52A9" w:rsidRPr="00527BFD">
        <w:t>cabotegravir</w:t>
      </w:r>
      <w:r w:rsidRPr="00527BFD">
        <w:t xml:space="preserve"> is informed by the safety data from the MOCHA </w:t>
      </w:r>
      <w:r w:rsidR="00CC53B1" w:rsidRPr="00527BFD">
        <w:t>trial</w:t>
      </w:r>
      <w:r w:rsidRPr="00527BFD">
        <w:t xml:space="preserve"> which enrolled 8 (6</w:t>
      </w:r>
      <w:r w:rsidR="00A90EA7" w:rsidRPr="00527BFD">
        <w:t xml:space="preserve"> males</w:t>
      </w:r>
      <w:r w:rsidRPr="00527BFD">
        <w:t xml:space="preserve">) participants receiving </w:t>
      </w:r>
      <w:r w:rsidR="00FD52A9" w:rsidRPr="00527BFD">
        <w:t>cabotegravir</w:t>
      </w:r>
      <w:r w:rsidRPr="00527BFD">
        <w:t xml:space="preserve"> and in addition to </w:t>
      </w:r>
      <w:r w:rsidR="005C62ED" w:rsidRPr="00527BFD">
        <w:t>combination antiretroviral therapy</w:t>
      </w:r>
      <w:r w:rsidRPr="00527BFD">
        <w:t>.</w:t>
      </w:r>
      <w:r w:rsidR="005F0BCE" w:rsidRPr="00527BFD">
        <w:t xml:space="preserve"> </w:t>
      </w:r>
      <w:r w:rsidRPr="00527BFD">
        <w:t>All 8 participants are from the U</w:t>
      </w:r>
      <w:r w:rsidR="00F272D2" w:rsidRPr="00527BFD">
        <w:t>S</w:t>
      </w:r>
      <w:r w:rsidR="003C2E00">
        <w:t>A</w:t>
      </w:r>
      <w:r w:rsidRPr="00527BFD">
        <w:t>, with a median age of 14.5 years. Most participants had AEs. Three of 8 (37.5%) participants in Cohort</w:t>
      </w:r>
      <w:r w:rsidR="00F272D2" w:rsidRPr="00527BFD">
        <w:t> </w:t>
      </w:r>
      <w:r w:rsidRPr="00527BFD">
        <w:t>1C had Grade 3 AEs (neutropenia and insomnia; n</w:t>
      </w:r>
      <w:r w:rsidR="00754F3F" w:rsidRPr="00527BFD">
        <w:t xml:space="preserve"> = </w:t>
      </w:r>
      <w:r w:rsidRPr="00527BFD">
        <w:t>1 each) or Grade 4 (n</w:t>
      </w:r>
      <w:r w:rsidR="00754F3F" w:rsidRPr="00527BFD">
        <w:t xml:space="preserve"> = </w:t>
      </w:r>
      <w:r w:rsidRPr="00527BFD">
        <w:t>1; blood creatine</w:t>
      </w:r>
      <w:r w:rsidR="003C2E00">
        <w:t xml:space="preserve"> phospho</w:t>
      </w:r>
      <w:r w:rsidRPr="00527BFD">
        <w:t>kinase increased) at Week 16 visit</w:t>
      </w:r>
      <w:r w:rsidR="005F0BCE" w:rsidRPr="00527BFD">
        <w:t xml:space="preserve"> </w:t>
      </w:r>
      <w:r w:rsidRPr="00527BFD">
        <w:t>(</w:t>
      </w:r>
      <w:r w:rsidR="00F272D2" w:rsidRPr="00527BFD">
        <w:t xml:space="preserve">see </w:t>
      </w:r>
      <w:r w:rsidR="00F272D2" w:rsidRPr="00527BFD">
        <w:fldChar w:fldCharType="begin"/>
      </w:r>
      <w:r w:rsidR="00F272D2" w:rsidRPr="00527BFD">
        <w:instrText xml:space="preserve"> REF _Ref115897965 \h </w:instrText>
      </w:r>
      <w:r w:rsidR="00527BFD" w:rsidRPr="00527BFD">
        <w:instrText xml:space="preserve"> \* MERGEFORMAT </w:instrText>
      </w:r>
      <w:r w:rsidR="00F272D2" w:rsidRPr="00527BFD">
        <w:fldChar w:fldCharType="separate"/>
      </w:r>
      <w:r w:rsidR="001702C9" w:rsidRPr="0025423A">
        <w:t xml:space="preserve">Table </w:t>
      </w:r>
      <w:r w:rsidR="001702C9">
        <w:rPr>
          <w:noProof/>
        </w:rPr>
        <w:t>16</w:t>
      </w:r>
      <w:r w:rsidR="00F272D2" w:rsidRPr="00527BFD">
        <w:fldChar w:fldCharType="end"/>
      </w:r>
      <w:r w:rsidR="00F272D2" w:rsidRPr="00527BFD">
        <w:t xml:space="preserve"> below</w:t>
      </w:r>
      <w:r w:rsidRPr="00527BFD">
        <w:t>)</w:t>
      </w:r>
      <w:r w:rsidR="00F272D2" w:rsidRPr="00527BFD">
        <w:t>.</w:t>
      </w:r>
      <w:r w:rsidRPr="00527BFD">
        <w:t xml:space="preserve"> </w:t>
      </w:r>
      <w:bookmarkEnd w:id="105"/>
      <w:bookmarkEnd w:id="106"/>
      <w:bookmarkEnd w:id="107"/>
      <w:bookmarkEnd w:id="108"/>
      <w:bookmarkEnd w:id="109"/>
      <w:bookmarkEnd w:id="110"/>
      <w:bookmarkEnd w:id="111"/>
      <w:bookmarkEnd w:id="112"/>
      <w:bookmarkEnd w:id="113"/>
      <w:bookmarkEnd w:id="114"/>
      <w:bookmarkEnd w:id="115"/>
      <w:r w:rsidRPr="00527BFD">
        <w:t xml:space="preserve">There were no deaths or pregnancies in Cohort 1C. There were no SAEs or AEs leading to premature permanent discontinuation in Cohort 1C. No clinically important findings were </w:t>
      </w:r>
      <w:r w:rsidRPr="00527BFD">
        <w:lastRenderedPageBreak/>
        <w:t xml:space="preserve">noted in either Cohort 1C with respect to laboratory assessments, </w:t>
      </w:r>
      <w:r w:rsidR="00F272D2" w:rsidRPr="00527BFD">
        <w:t>electrocardiograms</w:t>
      </w:r>
      <w:r w:rsidRPr="00527BFD">
        <w:t>, or vital signs.</w:t>
      </w:r>
    </w:p>
    <w:p w14:paraId="03B09797" w14:textId="6D28EC0B" w:rsidR="003768A7" w:rsidRPr="0025423A" w:rsidRDefault="00F272D2" w:rsidP="0025423A">
      <w:pPr>
        <w:pStyle w:val="TableTitle"/>
      </w:pPr>
      <w:bookmarkStart w:id="117" w:name="_Ref115897965"/>
      <w:r w:rsidRPr="0025423A">
        <w:t xml:space="preserve">Table </w:t>
      </w:r>
      <w:r w:rsidR="00234D1A">
        <w:fldChar w:fldCharType="begin"/>
      </w:r>
      <w:r w:rsidR="00234D1A">
        <w:instrText xml:space="preserve"> SEQ Table \* ARABIC </w:instrText>
      </w:r>
      <w:r w:rsidR="00234D1A">
        <w:fldChar w:fldCharType="separate"/>
      </w:r>
      <w:r w:rsidR="001702C9">
        <w:rPr>
          <w:noProof/>
        </w:rPr>
        <w:t>16</w:t>
      </w:r>
      <w:r w:rsidR="00234D1A">
        <w:rPr>
          <w:noProof/>
        </w:rPr>
        <w:fldChar w:fldCharType="end"/>
      </w:r>
      <w:bookmarkEnd w:id="117"/>
      <w:r w:rsidR="003768A7" w:rsidRPr="0025423A">
        <w:t xml:space="preserve">: </w:t>
      </w:r>
      <w:r w:rsidR="009F1F1B" w:rsidRPr="0025423A">
        <w:t xml:space="preserve">Study </w:t>
      </w:r>
      <w:r w:rsidRPr="0025423A">
        <w:t>208580</w:t>
      </w:r>
      <w:r w:rsidR="009F1F1B" w:rsidRPr="0025423A">
        <w:t xml:space="preserve"> (</w:t>
      </w:r>
      <w:r w:rsidRPr="0025423A">
        <w:t>MOCHA trial</w:t>
      </w:r>
      <w:r w:rsidR="009F1F1B" w:rsidRPr="0025423A">
        <w:t>)</w:t>
      </w:r>
      <w:r w:rsidRPr="0025423A">
        <w:t xml:space="preserve"> </w:t>
      </w:r>
      <w:r w:rsidR="00725B26" w:rsidRPr="0025423A">
        <w:t>Cohort 1C</w:t>
      </w:r>
      <w:r w:rsidR="00725B26">
        <w:t xml:space="preserve"> </w:t>
      </w:r>
      <w:r w:rsidR="003768A7" w:rsidRPr="0025423A">
        <w:t>Summary of adverse events</w:t>
      </w:r>
    </w:p>
    <w:p w14:paraId="327B6C55" w14:textId="2DF2167F" w:rsidR="000C2FE2" w:rsidRPr="00527BFD" w:rsidRDefault="000C2FE2" w:rsidP="00A937CF">
      <w:r>
        <w:rPr>
          <w:noProof/>
          <w:lang w:val="en-GB" w:eastAsia="en-GB"/>
        </w:rPr>
        <w:drawing>
          <wp:inline distT="0" distB="0" distL="0" distR="0" wp14:anchorId="3B55D650" wp14:editId="1E99B37F">
            <wp:extent cx="5400040" cy="2935605"/>
            <wp:effectExtent l="0" t="0" r="0" b="0"/>
            <wp:docPr id="2" name="Picture 2" descr="Table 16: Study 208580 (MOCHA trial) Cohort 1C Summary of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6: Study 208580 (MOCHA trial) Cohort 1C Summary of adverse events"/>
                    <pic:cNvPicPr/>
                  </pic:nvPicPr>
                  <pic:blipFill>
                    <a:blip r:embed="rId37"/>
                    <a:stretch>
                      <a:fillRect/>
                    </a:stretch>
                  </pic:blipFill>
                  <pic:spPr>
                    <a:xfrm>
                      <a:off x="0" y="0"/>
                      <a:ext cx="5400040" cy="2935605"/>
                    </a:xfrm>
                    <a:prstGeom prst="rect">
                      <a:avLst/>
                    </a:prstGeom>
                  </pic:spPr>
                </pic:pic>
              </a:graphicData>
            </a:graphic>
          </wp:inline>
        </w:drawing>
      </w:r>
    </w:p>
    <w:p w14:paraId="6AEE2E8A" w14:textId="29F98BF6" w:rsidR="001B71F9" w:rsidRPr="00A937CF" w:rsidRDefault="00A937CF" w:rsidP="00A937CF">
      <w:pPr>
        <w:pStyle w:val="TableDescription"/>
      </w:pPr>
      <w:r w:rsidRPr="00A937CF">
        <w:t xml:space="preserve">Abbreviations: </w:t>
      </w:r>
      <w:r w:rsidR="001B71F9" w:rsidRPr="00A937CF">
        <w:t>AE =</w:t>
      </w:r>
      <w:r w:rsidR="00342B4E" w:rsidRPr="00A937CF">
        <w:t xml:space="preserve"> adverse event</w:t>
      </w:r>
      <w:r w:rsidRPr="00A937CF">
        <w:t xml:space="preserve">; CAB = cabotegravir; </w:t>
      </w:r>
      <w:proofErr w:type="spellStart"/>
      <w:r w:rsidRPr="00A937CF">
        <w:t>cART</w:t>
      </w:r>
      <w:proofErr w:type="spellEnd"/>
      <w:r w:rsidRPr="00A937CF">
        <w:t xml:space="preserve"> = combination </w:t>
      </w:r>
      <w:bookmarkStart w:id="118" w:name="_Hlk116329259"/>
      <w:r w:rsidRPr="00A937CF">
        <w:t>antiretroviral therapy</w:t>
      </w:r>
      <w:bookmarkEnd w:id="118"/>
      <w:r w:rsidRPr="00A937CF">
        <w:t xml:space="preserve">; </w:t>
      </w:r>
      <w:r w:rsidR="001B71F9" w:rsidRPr="00A937CF">
        <w:t>ISR</w:t>
      </w:r>
      <w:r w:rsidR="003C2E00">
        <w:t> </w:t>
      </w:r>
      <w:r w:rsidR="001B71F9" w:rsidRPr="00A937CF">
        <w:t>=</w:t>
      </w:r>
      <w:r w:rsidR="00342B4E" w:rsidRPr="00A937CF">
        <w:t xml:space="preserve"> injection site reaction</w:t>
      </w:r>
      <w:r w:rsidRPr="00A937CF">
        <w:t xml:space="preserve">; </w:t>
      </w:r>
      <w:r w:rsidR="001B71F9" w:rsidRPr="00A937CF">
        <w:t xml:space="preserve">n = </w:t>
      </w:r>
      <w:r w:rsidR="00342B4E" w:rsidRPr="00A937CF">
        <w:t>number of subjects in group</w:t>
      </w:r>
      <w:r w:rsidRPr="00A937CF">
        <w:t xml:space="preserve">; N/a = not applicable; NR = not reported; </w:t>
      </w:r>
      <w:r w:rsidR="001B71F9" w:rsidRPr="00A937CF">
        <w:t>OLI =</w:t>
      </w:r>
      <w:r w:rsidR="00F37923" w:rsidRPr="00A937CF">
        <w:t xml:space="preserve"> oral lead-in</w:t>
      </w:r>
      <w:r w:rsidRPr="00A937CF">
        <w:t>; SAE = serious adverse event.</w:t>
      </w:r>
    </w:p>
    <w:p w14:paraId="7A911F32" w14:textId="5E67ADF4" w:rsidR="000C2FE2" w:rsidRPr="00A937CF" w:rsidRDefault="000C2FE2" w:rsidP="00A937CF">
      <w:pPr>
        <w:pStyle w:val="TableDescription"/>
      </w:pPr>
      <w:r w:rsidRPr="00A937CF">
        <w:t xml:space="preserve">a. </w:t>
      </w:r>
      <w:r w:rsidR="00A937CF" w:rsidRPr="00A937CF">
        <w:t>Adverse events (</w:t>
      </w:r>
      <w:r w:rsidRPr="00A937CF">
        <w:t>AEs</w:t>
      </w:r>
      <w:r w:rsidR="00A937CF" w:rsidRPr="00A937CF">
        <w:t>)</w:t>
      </w:r>
      <w:r w:rsidRPr="00A937CF">
        <w:t xml:space="preserve"> after oral treatment end date </w:t>
      </w:r>
      <w:r w:rsidR="00A937CF" w:rsidRPr="00A937CF">
        <w:t>plus one</w:t>
      </w:r>
      <w:r w:rsidRPr="00A937CF">
        <w:t xml:space="preserve"> day for participants who discontinued treatment in OLI and AEs after Week 4b injection date</w:t>
      </w:r>
      <w:r w:rsidR="00A937CF" w:rsidRPr="00A937CF">
        <w:t xml:space="preserve"> minus one</w:t>
      </w:r>
      <w:r w:rsidRPr="00A937CF">
        <w:t xml:space="preserve"> day for participants who received injections have been excluded from the OLI analysis.</w:t>
      </w:r>
    </w:p>
    <w:p w14:paraId="441C233C" w14:textId="44C3EAA2" w:rsidR="000C2FE2" w:rsidRPr="00A937CF" w:rsidRDefault="000C2FE2" w:rsidP="00A937CF">
      <w:pPr>
        <w:pStyle w:val="TableDescription"/>
      </w:pPr>
      <w:r w:rsidRPr="00A937CF">
        <w:t xml:space="preserve">b. </w:t>
      </w:r>
      <w:r w:rsidR="00A937CF" w:rsidRPr="00A937CF">
        <w:t>Adverse events (</w:t>
      </w:r>
      <w:r w:rsidRPr="00A937CF">
        <w:t>AEs</w:t>
      </w:r>
      <w:r w:rsidR="00A937CF" w:rsidRPr="00A937CF">
        <w:t>)</w:t>
      </w:r>
      <w:r w:rsidRPr="00A937CF">
        <w:t xml:space="preserve"> after oral treatment end date </w:t>
      </w:r>
      <w:r w:rsidR="00A937CF" w:rsidRPr="00A937CF">
        <w:t>plus one</w:t>
      </w:r>
      <w:r w:rsidRPr="00A937CF">
        <w:t xml:space="preserve"> day for participants who discontinued treatment in OLI and AEs after final injection date </w:t>
      </w:r>
      <w:r w:rsidR="00A937CF" w:rsidRPr="00A937CF">
        <w:t xml:space="preserve">plus </w:t>
      </w:r>
      <w:r w:rsidRPr="00A937CF">
        <w:t>42 days for participants who received injections have been excluded from the analysis through Week 16.</w:t>
      </w:r>
    </w:p>
    <w:p w14:paraId="068091F0" w14:textId="7C217AC6" w:rsidR="000C2FE2" w:rsidRPr="00A937CF" w:rsidRDefault="000C2FE2" w:rsidP="00A937CF">
      <w:pPr>
        <w:pStyle w:val="TableDescription"/>
      </w:pPr>
      <w:r w:rsidRPr="00A937CF">
        <w:t xml:space="preserve">c. Includes data from </w:t>
      </w:r>
      <w:r w:rsidR="00A937CF" w:rsidRPr="00A937CF">
        <w:t>long-term safety and washout PK follow-up (</w:t>
      </w:r>
      <w:r w:rsidRPr="00A937CF">
        <w:t>LSFU</w:t>
      </w:r>
      <w:r w:rsidR="00A937CF" w:rsidRPr="00A937CF">
        <w:t>)</w:t>
      </w:r>
      <w:r w:rsidRPr="00A937CF">
        <w:t>; no results have been excluded from the analysis for all available data.</w:t>
      </w:r>
    </w:p>
    <w:p w14:paraId="0D6B4F33" w14:textId="77777777" w:rsidR="000C2FE2" w:rsidRPr="00A937CF" w:rsidRDefault="000C2FE2" w:rsidP="00A937CF">
      <w:pPr>
        <w:pStyle w:val="TableDescription"/>
      </w:pPr>
      <w:r w:rsidRPr="00A937CF">
        <w:t>d. Includes clinical and laboratory-related AEs.</w:t>
      </w:r>
    </w:p>
    <w:p w14:paraId="2B9625B5" w14:textId="596CD0CD" w:rsidR="000C2FE2" w:rsidRPr="00A937CF" w:rsidRDefault="000C2FE2" w:rsidP="00A937CF">
      <w:pPr>
        <w:pStyle w:val="TableDescription"/>
      </w:pPr>
      <w:r w:rsidRPr="00A937CF">
        <w:t xml:space="preserve">e. Grade 1 = </w:t>
      </w:r>
      <w:r w:rsidR="00A937CF" w:rsidRPr="00A937CF">
        <w:t>mild</w:t>
      </w:r>
      <w:r w:rsidRPr="00A937CF">
        <w:t xml:space="preserve">, 2 = </w:t>
      </w:r>
      <w:r w:rsidR="00A937CF" w:rsidRPr="00A937CF">
        <w:t>moderate</w:t>
      </w:r>
      <w:r w:rsidRPr="00A937CF">
        <w:t xml:space="preserve">, 3 </w:t>
      </w:r>
      <w:r w:rsidR="00A937CF" w:rsidRPr="00A937CF">
        <w:t>= severe, 4 = potentially life-threatening, 5 = death</w:t>
      </w:r>
      <w:r w:rsidRPr="00A937CF">
        <w:t>; no Grade</w:t>
      </w:r>
      <w:r w:rsidR="00D46635">
        <w:t> </w:t>
      </w:r>
      <w:r w:rsidRPr="00A937CF">
        <w:t>5 AEs were reported.</w:t>
      </w:r>
    </w:p>
    <w:p w14:paraId="3A315B02" w14:textId="77777777" w:rsidR="000C2FE2" w:rsidRPr="00A937CF" w:rsidRDefault="000C2FE2" w:rsidP="00A937CF">
      <w:pPr>
        <w:pStyle w:val="TableDescription"/>
      </w:pPr>
      <w:r w:rsidRPr="00A937CF">
        <w:t>f. Drug-relatedness of AEs was determined by the investigator.</w:t>
      </w:r>
    </w:p>
    <w:p w14:paraId="23FB9C61" w14:textId="0B4A9912" w:rsidR="003768A7" w:rsidRPr="00A937CF" w:rsidRDefault="000C2FE2" w:rsidP="00A937CF">
      <w:pPr>
        <w:pStyle w:val="TableDescription"/>
      </w:pPr>
      <w:r w:rsidRPr="00A937CF">
        <w:t xml:space="preserve">g. </w:t>
      </w:r>
      <w:r w:rsidR="00A937CF" w:rsidRPr="00A937CF">
        <w:t>Serious adverse events (</w:t>
      </w:r>
      <w:r w:rsidRPr="00A937CF">
        <w:t>SAEs</w:t>
      </w:r>
      <w:r w:rsidR="00A937CF" w:rsidRPr="00A937CF">
        <w:t>)</w:t>
      </w:r>
      <w:r w:rsidRPr="00A937CF">
        <w:t xml:space="preserve"> included International Conference on Harmonisation of Technical Requirements for Registration of Pharmaceuticals for Human Use (ICH)</w:t>
      </w:r>
      <w:r w:rsidR="00846FEE">
        <w:rPr>
          <w:rStyle w:val="FootnoteReference"/>
        </w:rPr>
        <w:footnoteReference w:id="13"/>
      </w:r>
      <w:r w:rsidRPr="00A937CF">
        <w:t>-defined SAEs and malignancies.</w:t>
      </w:r>
    </w:p>
    <w:p w14:paraId="70BBCCD9" w14:textId="42252C0B" w:rsidR="003768A7" w:rsidRPr="00527BFD" w:rsidRDefault="003768A7" w:rsidP="00BB4257">
      <w:pPr>
        <w:pStyle w:val="Heading5"/>
        <w:rPr>
          <w:rFonts w:eastAsiaTheme="minorHAnsi"/>
        </w:rPr>
      </w:pPr>
      <w:r w:rsidRPr="00527BFD">
        <w:rPr>
          <w:rFonts w:eastAsiaTheme="minorHAnsi"/>
        </w:rPr>
        <w:t xml:space="preserve">Safety in subgroup of participants </w:t>
      </w:r>
      <w:r w:rsidR="00FD52A9" w:rsidRPr="00527BFD">
        <w:rPr>
          <w:rFonts w:eastAsiaTheme="minorHAnsi"/>
        </w:rPr>
        <w:t xml:space="preserve">less than </w:t>
      </w:r>
      <w:r w:rsidRPr="00527BFD">
        <w:rPr>
          <w:rFonts w:eastAsiaTheme="minorHAnsi"/>
        </w:rPr>
        <w:t xml:space="preserve">25 years of age from </w:t>
      </w:r>
      <w:r w:rsidR="00FD52A9" w:rsidRPr="00527BFD">
        <w:rPr>
          <w:rFonts w:eastAsiaTheme="minorHAnsi"/>
        </w:rPr>
        <w:t>cabotegravir</w:t>
      </w:r>
      <w:r w:rsidRPr="00527BFD">
        <w:rPr>
          <w:rFonts w:eastAsiaTheme="minorHAnsi"/>
        </w:rPr>
        <w:t xml:space="preserve"> </w:t>
      </w:r>
      <w:r w:rsidR="00C24737" w:rsidRPr="00527BFD">
        <w:rPr>
          <w:rFonts w:eastAsiaTheme="minorHAnsi"/>
        </w:rPr>
        <w:t>pre</w:t>
      </w:r>
      <w:r w:rsidR="00C24737" w:rsidRPr="00527BFD">
        <w:rPr>
          <w:rFonts w:eastAsiaTheme="minorHAnsi"/>
        </w:rPr>
        <w:noBreakHyphen/>
        <w:t xml:space="preserve">exposure prophylaxis </w:t>
      </w:r>
      <w:r w:rsidR="00F272D2" w:rsidRPr="00527BFD">
        <w:rPr>
          <w:rFonts w:eastAsiaTheme="minorHAnsi"/>
        </w:rPr>
        <w:t>pivotal studies</w:t>
      </w:r>
    </w:p>
    <w:p w14:paraId="1A47BDE1" w14:textId="6C38282D" w:rsidR="003768A7" w:rsidRPr="00527BFD" w:rsidRDefault="003768A7" w:rsidP="00BB4257">
      <w:r w:rsidRPr="00527BFD">
        <w:t xml:space="preserve">In </w:t>
      </w:r>
      <w:r w:rsidR="00BB0AC1" w:rsidRPr="00527BFD">
        <w:t>the HPTN 083 trial</w:t>
      </w:r>
      <w:r w:rsidRPr="00527BFD">
        <w:t xml:space="preserve">, 1,845 participants (930 </w:t>
      </w:r>
      <w:r w:rsidR="00F272D2" w:rsidRPr="00527BFD">
        <w:t xml:space="preserve">in the cabotegravir group, </w:t>
      </w:r>
      <w:r w:rsidRPr="00527BFD">
        <w:t xml:space="preserve">915 in the </w:t>
      </w:r>
      <w:r w:rsidR="00F272D2" w:rsidRPr="00527BFD">
        <w:t>T</w:t>
      </w:r>
      <w:r w:rsidRPr="00527BFD">
        <w:t>DF/</w:t>
      </w:r>
      <w:r w:rsidR="000B10F7" w:rsidRPr="00527BFD">
        <w:t>emtricitabine</w:t>
      </w:r>
      <w:r w:rsidRPr="00527BFD">
        <w:t xml:space="preserve"> </w:t>
      </w:r>
      <w:r w:rsidR="00F272D2" w:rsidRPr="00527BFD">
        <w:t>group</w:t>
      </w:r>
      <w:r w:rsidRPr="00527BFD">
        <w:t xml:space="preserve">) aged </w:t>
      </w:r>
      <w:r w:rsidR="00FD52A9" w:rsidRPr="00527BFD">
        <w:t xml:space="preserve">less than </w:t>
      </w:r>
      <w:r w:rsidRPr="00527BFD">
        <w:t>25 years were enrolled</w:t>
      </w:r>
      <w:r w:rsidR="00F272D2" w:rsidRPr="00527BFD">
        <w:t>. T</w:t>
      </w:r>
      <w:r w:rsidRPr="00527BFD">
        <w:t xml:space="preserve">he mean age of this subgroup was 21.4 and 21.3 years, respectively (range 18 to 24 years). In this </w:t>
      </w:r>
      <w:r w:rsidR="00FD52A9" w:rsidRPr="00527BFD">
        <w:t>less than</w:t>
      </w:r>
      <w:r w:rsidRPr="00527BFD">
        <w:t xml:space="preserve"> 25</w:t>
      </w:r>
      <w:r w:rsidR="00F272D2" w:rsidRPr="00527BFD">
        <w:t> </w:t>
      </w:r>
      <w:r w:rsidRPr="00527BFD">
        <w:t xml:space="preserve">years subgroup, 38 participants (4%) in each treatment group weighed </w:t>
      </w:r>
      <w:r w:rsidR="00FD52A9" w:rsidRPr="00527BFD">
        <w:t xml:space="preserve">less than </w:t>
      </w:r>
      <w:r w:rsidRPr="00527BFD">
        <w:t>50</w:t>
      </w:r>
      <w:r w:rsidR="00F272D2" w:rsidRPr="00527BFD">
        <w:t> </w:t>
      </w:r>
      <w:r w:rsidRPr="00527BFD">
        <w:t xml:space="preserve">kg </w:t>
      </w:r>
      <w:r w:rsidR="005F0BCE" w:rsidRPr="00527BFD">
        <w:t>(</w:t>
      </w:r>
      <w:r w:rsidRPr="00527BFD">
        <w:t xml:space="preserve">mean weight in overall population was 71.18 kg </w:t>
      </w:r>
      <w:r w:rsidR="00F272D2" w:rsidRPr="00527BFD">
        <w:t>in the cabotegravir group</w:t>
      </w:r>
      <w:r w:rsidR="00C0260B" w:rsidRPr="00527BFD">
        <w:t>,</w:t>
      </w:r>
      <w:r w:rsidRPr="00527BFD">
        <w:t xml:space="preserve"> 71.43 kg </w:t>
      </w:r>
      <w:r w:rsidR="00C0260B" w:rsidRPr="00527BFD">
        <w:t>in the</w:t>
      </w:r>
      <w:r w:rsidRPr="00527BFD">
        <w:t xml:space="preserve"> </w:t>
      </w:r>
      <w:r w:rsidRPr="00527BFD">
        <w:lastRenderedPageBreak/>
        <w:t>TDF/</w:t>
      </w:r>
      <w:r w:rsidR="000B10F7" w:rsidRPr="00527BFD">
        <w:t>emtricitabine</w:t>
      </w:r>
      <w:r w:rsidRPr="00527BFD">
        <w:t xml:space="preserve"> group</w:t>
      </w:r>
      <w:r w:rsidR="005F0BCE" w:rsidRPr="00527BFD">
        <w:t>)</w:t>
      </w:r>
      <w:r w:rsidRPr="00527BFD">
        <w:t>. The most reported AEs in both groups were creatinine renal clearance decreased (</w:t>
      </w:r>
      <w:r w:rsidR="00C0260B" w:rsidRPr="00527BFD">
        <w:t xml:space="preserve">66% in the </w:t>
      </w:r>
      <w:r w:rsidR="00FD52A9" w:rsidRPr="00527BFD">
        <w:t>cabotegravir</w:t>
      </w:r>
      <w:r w:rsidRPr="00527BFD">
        <w:t xml:space="preserve"> </w:t>
      </w:r>
      <w:r w:rsidR="00C0260B" w:rsidRPr="00527BFD">
        <w:t xml:space="preserve">group </w:t>
      </w:r>
      <w:r w:rsidR="00754F3F" w:rsidRPr="00527BFD">
        <w:t>versus</w:t>
      </w:r>
      <w:r w:rsidRPr="00527BFD">
        <w:t xml:space="preserve"> </w:t>
      </w:r>
      <w:r w:rsidR="00C0260B" w:rsidRPr="00527BFD">
        <w:t xml:space="preserve">70% in the </w:t>
      </w:r>
      <w:r w:rsidRPr="00527BFD">
        <w:t>TDF/</w:t>
      </w:r>
      <w:r w:rsidR="000B10F7" w:rsidRPr="00527BFD">
        <w:t>emtricitabine</w:t>
      </w:r>
      <w:r w:rsidR="00C0260B" w:rsidRPr="00527BFD">
        <w:t xml:space="preserve"> group)</w:t>
      </w:r>
      <w:r w:rsidRPr="00527BFD">
        <w:t xml:space="preserve"> and injection site pain (76% </w:t>
      </w:r>
      <w:r w:rsidR="00754F3F" w:rsidRPr="00527BFD">
        <w:t>versus</w:t>
      </w:r>
      <w:r w:rsidRPr="00527BFD">
        <w:t xml:space="preserve"> 28%). As expected, ISRs were reported more frequently in the </w:t>
      </w:r>
      <w:r w:rsidR="00FD52A9" w:rsidRPr="00527BFD">
        <w:t>cabotegravir</w:t>
      </w:r>
      <w:r w:rsidRPr="00527BFD">
        <w:t xml:space="preserve"> (76%) compared to the TDF/</w:t>
      </w:r>
      <w:r w:rsidR="000B10F7" w:rsidRPr="00527BFD">
        <w:t>emtricitabine</w:t>
      </w:r>
      <w:r w:rsidRPr="00527BFD">
        <w:t xml:space="preserve"> (28%) group.</w:t>
      </w:r>
    </w:p>
    <w:p w14:paraId="79ECDC71" w14:textId="30C2C444" w:rsidR="003768A7" w:rsidRPr="00527BFD" w:rsidRDefault="003768A7" w:rsidP="00BB4257">
      <w:r w:rsidRPr="00527BFD">
        <w:t xml:space="preserve">In </w:t>
      </w:r>
      <w:r w:rsidR="00CC53B1" w:rsidRPr="00527BFD">
        <w:t>the HPTN 084 trial</w:t>
      </w:r>
      <w:r w:rsidRPr="00527BFD">
        <w:t xml:space="preserve">, 1,594 participants (800 in the </w:t>
      </w:r>
      <w:r w:rsidR="00FD52A9" w:rsidRPr="00527BFD">
        <w:t>cabotegravir</w:t>
      </w:r>
      <w:r w:rsidRPr="00527BFD">
        <w:t xml:space="preserve"> </w:t>
      </w:r>
      <w:r w:rsidR="00C0260B" w:rsidRPr="00527BFD">
        <w:t xml:space="preserve">group, 794 in the </w:t>
      </w:r>
      <w:r w:rsidRPr="00527BFD">
        <w:t>TDF/</w:t>
      </w:r>
      <w:r w:rsidR="000B10F7" w:rsidRPr="00527BFD">
        <w:t>emtricitabine</w:t>
      </w:r>
      <w:r w:rsidRPr="00527BFD">
        <w:t xml:space="preserve"> group) aged </w:t>
      </w:r>
      <w:r w:rsidR="00FD52A9" w:rsidRPr="00527BFD">
        <w:t xml:space="preserve">less than </w:t>
      </w:r>
      <w:r w:rsidRPr="00527BFD">
        <w:t xml:space="preserve">25 years were enrolled; the mean age of this subgroup was 21.5 years in both subgroups (range 18 to 24 years). In this </w:t>
      </w:r>
      <w:r w:rsidR="00FD52A9" w:rsidRPr="00527BFD">
        <w:t>less than</w:t>
      </w:r>
      <w:r w:rsidRPr="00527BFD">
        <w:t xml:space="preserve"> 25</w:t>
      </w:r>
      <w:r w:rsidR="00C0260B" w:rsidRPr="00527BFD">
        <w:t> </w:t>
      </w:r>
      <w:r w:rsidRPr="00527BFD">
        <w:t>year</w:t>
      </w:r>
      <w:r w:rsidR="00C0260B" w:rsidRPr="00527BFD">
        <w:t>s</w:t>
      </w:r>
      <w:r w:rsidRPr="00527BFD">
        <w:t xml:space="preserve"> subgroup, 82 (10%) and 93 (12%) participants in each treatment group weighed </w:t>
      </w:r>
      <w:r w:rsidR="00FD52A9" w:rsidRPr="00527BFD">
        <w:t xml:space="preserve">less than </w:t>
      </w:r>
      <w:r w:rsidRPr="00527BFD">
        <w:t>50</w:t>
      </w:r>
      <w:r w:rsidR="00C0260B" w:rsidRPr="00527BFD">
        <w:t> </w:t>
      </w:r>
      <w:r w:rsidRPr="00527BFD">
        <w:t xml:space="preserve">kg </w:t>
      </w:r>
      <w:r w:rsidR="005F0BCE" w:rsidRPr="00527BFD">
        <w:t>(</w:t>
      </w:r>
      <w:r w:rsidRPr="00527BFD">
        <w:t>mean weight in overall population was 65.7kg</w:t>
      </w:r>
      <w:r w:rsidR="00C0260B" w:rsidRPr="00527BFD">
        <w:t xml:space="preserve"> in the cabotegravir group, </w:t>
      </w:r>
      <w:r w:rsidRPr="00527BFD">
        <w:t>64.8</w:t>
      </w:r>
      <w:r w:rsidR="00D46635">
        <w:t> </w:t>
      </w:r>
      <w:r w:rsidRPr="00527BFD">
        <w:t>kg in the TDF/</w:t>
      </w:r>
      <w:r w:rsidR="000B10F7" w:rsidRPr="00527BFD">
        <w:t>emtricitabine</w:t>
      </w:r>
      <w:r w:rsidRPr="00527BFD">
        <w:t xml:space="preserve"> group</w:t>
      </w:r>
      <w:r w:rsidR="005F0BCE" w:rsidRPr="00527BFD">
        <w:t>)</w:t>
      </w:r>
      <w:r w:rsidRPr="00527BFD">
        <w:t>. The most reported AEs in both treatment groups were creatinine renal clearance decreased (</w:t>
      </w:r>
      <w:r w:rsidR="00C0260B" w:rsidRPr="00527BFD">
        <w:t xml:space="preserve">70% in the </w:t>
      </w:r>
      <w:r w:rsidR="00FD52A9" w:rsidRPr="00527BFD">
        <w:t>cabotegravir</w:t>
      </w:r>
      <w:r w:rsidRPr="00527BFD">
        <w:t xml:space="preserve"> </w:t>
      </w:r>
      <w:r w:rsidR="00C0260B" w:rsidRPr="00527BFD">
        <w:t xml:space="preserve">group </w:t>
      </w:r>
      <w:r w:rsidR="00754F3F" w:rsidRPr="00527BFD">
        <w:t>versus</w:t>
      </w:r>
      <w:r w:rsidRPr="00527BFD">
        <w:t xml:space="preserve"> </w:t>
      </w:r>
      <w:r w:rsidR="00C0260B" w:rsidRPr="00527BFD">
        <w:t xml:space="preserve">70% in the </w:t>
      </w:r>
      <w:r w:rsidRPr="00527BFD">
        <w:t>TDF/</w:t>
      </w:r>
      <w:r w:rsidR="000B10F7" w:rsidRPr="00527BFD">
        <w:t>emtricitabine</w:t>
      </w:r>
      <w:r w:rsidR="00C0260B" w:rsidRPr="00527BFD">
        <w:t xml:space="preserve"> group</w:t>
      </w:r>
      <w:r w:rsidRPr="00527BFD">
        <w:t xml:space="preserve">), amylase increased (36% </w:t>
      </w:r>
      <w:r w:rsidR="00754F3F" w:rsidRPr="00527BFD">
        <w:t>versus</w:t>
      </w:r>
      <w:r w:rsidRPr="00527BFD">
        <w:t xml:space="preserve"> 36%). As expected ISRs were more frequent in the </w:t>
      </w:r>
      <w:r w:rsidR="00FD52A9" w:rsidRPr="00527BFD">
        <w:t>cabotegravir</w:t>
      </w:r>
      <w:r w:rsidRPr="00527BFD">
        <w:t xml:space="preserve"> group (34%) compared to the TDF/</w:t>
      </w:r>
      <w:r w:rsidR="000B10F7" w:rsidRPr="00527BFD">
        <w:t>emtricitabine</w:t>
      </w:r>
      <w:r w:rsidRPr="00527BFD">
        <w:t xml:space="preserve"> (8%) group.</w:t>
      </w:r>
    </w:p>
    <w:p w14:paraId="25844AF7" w14:textId="743120A1" w:rsidR="003768A7" w:rsidRPr="00527BFD" w:rsidRDefault="003768A7" w:rsidP="00BB4257">
      <w:pPr>
        <w:pStyle w:val="Heading5"/>
        <w:rPr>
          <w:rFonts w:eastAsiaTheme="minorHAnsi"/>
        </w:rPr>
      </w:pPr>
      <w:r w:rsidRPr="00527BFD">
        <w:rPr>
          <w:rFonts w:eastAsiaTheme="minorHAnsi"/>
        </w:rPr>
        <w:t xml:space="preserve">Use in </w:t>
      </w:r>
      <w:r w:rsidR="00C0260B" w:rsidRPr="00527BFD">
        <w:rPr>
          <w:rFonts w:eastAsiaTheme="minorHAnsi"/>
        </w:rPr>
        <w:t>pregnancy and lactation</w:t>
      </w:r>
    </w:p>
    <w:p w14:paraId="3321B42D" w14:textId="26DE8F03" w:rsidR="003768A7" w:rsidRPr="00527BFD" w:rsidRDefault="003768A7" w:rsidP="00BB4257">
      <w:r w:rsidRPr="00527BFD">
        <w:t xml:space="preserve">No studies have been conducted with </w:t>
      </w:r>
      <w:r w:rsidR="00FD52A9" w:rsidRPr="00527BFD">
        <w:t>cabotegravir</w:t>
      </w:r>
      <w:r w:rsidRPr="00527BFD">
        <w:t xml:space="preserve"> </w:t>
      </w:r>
      <w:proofErr w:type="spellStart"/>
      <w:r w:rsidRPr="00527BFD">
        <w:t>PrEP</w:t>
      </w:r>
      <w:proofErr w:type="spellEnd"/>
      <w:r w:rsidRPr="00527BFD">
        <w:t xml:space="preserve"> in pregnant women, and pregnant women were excluded from the </w:t>
      </w:r>
      <w:r w:rsidR="00FD52A9" w:rsidRPr="00527BFD">
        <w:t>cabotegravir</w:t>
      </w:r>
      <w:r w:rsidRPr="00527BFD">
        <w:t xml:space="preserve"> </w:t>
      </w:r>
      <w:proofErr w:type="spellStart"/>
      <w:r w:rsidRPr="00527BFD">
        <w:t>PrEP</w:t>
      </w:r>
      <w:proofErr w:type="spellEnd"/>
      <w:r w:rsidRPr="00527BFD">
        <w:t xml:space="preserve"> studies. </w:t>
      </w:r>
      <w:r w:rsidR="003C2E00">
        <w:t>Women</w:t>
      </w:r>
      <w:r w:rsidR="003C2E00" w:rsidRPr="00527BFD">
        <w:t xml:space="preserve"> </w:t>
      </w:r>
      <w:r w:rsidRPr="00527BFD">
        <w:t xml:space="preserve">of childbearing potential were enrolled in </w:t>
      </w:r>
      <w:r w:rsidR="00CC53B1" w:rsidRPr="00527BFD">
        <w:t xml:space="preserve">the HPTN 084 </w:t>
      </w:r>
      <w:r w:rsidRPr="00527BFD">
        <w:t>and HPTN 077</w:t>
      </w:r>
      <w:r w:rsidR="00CC53B1" w:rsidRPr="00527BFD">
        <w:t xml:space="preserve"> trials</w:t>
      </w:r>
      <w:r w:rsidRPr="00527BFD">
        <w:t xml:space="preserve">, were counselled regarding avoiding pregnancy, were required to have a negative pregnancy test at Day 1 and were retested regularly. </w:t>
      </w:r>
      <w:r w:rsidR="003C2E00">
        <w:t>Women</w:t>
      </w:r>
      <w:r w:rsidRPr="00527BFD">
        <w:t xml:space="preserve"> who became pregnant on study during </w:t>
      </w:r>
      <w:r w:rsidR="00CC53B1" w:rsidRPr="00527BFD">
        <w:t>the HPTN 084 trial</w:t>
      </w:r>
      <w:r w:rsidRPr="00527BFD">
        <w:t xml:space="preserve"> were placed on open label TDF/</w:t>
      </w:r>
      <w:r w:rsidR="000B10F7" w:rsidRPr="00527BFD">
        <w:t>emtricitabine</w:t>
      </w:r>
      <w:r w:rsidRPr="00527BFD">
        <w:t xml:space="preserve"> and those in </w:t>
      </w:r>
      <w:r w:rsidR="00CC53B1" w:rsidRPr="00527BFD">
        <w:t>the HPTN</w:t>
      </w:r>
      <w:r w:rsidR="00C0260B" w:rsidRPr="00527BFD">
        <w:t> </w:t>
      </w:r>
      <w:r w:rsidR="00CC53B1" w:rsidRPr="00527BFD">
        <w:t xml:space="preserve">077 trial </w:t>
      </w:r>
      <w:r w:rsidRPr="00527BFD">
        <w:t>were required to discontinue investigational products. Pregnancy outcome information was sought during follow up of participants who became pregnant on study.</w:t>
      </w:r>
    </w:p>
    <w:p w14:paraId="2C61B784" w14:textId="1AC3F2AA" w:rsidR="003768A7" w:rsidRPr="00527BFD" w:rsidRDefault="003768A7" w:rsidP="00BB4257">
      <w:r w:rsidRPr="00527BFD">
        <w:t xml:space="preserve">In </w:t>
      </w:r>
      <w:r w:rsidR="00CC53B1" w:rsidRPr="00527BFD">
        <w:t>the HPTN 084 trial</w:t>
      </w:r>
      <w:r w:rsidRPr="00527BFD">
        <w:t>, 72 participants (</w:t>
      </w:r>
      <w:r w:rsidR="00C0260B" w:rsidRPr="00527BFD">
        <w:t xml:space="preserve">38 in the </w:t>
      </w:r>
      <w:r w:rsidR="00FD52A9" w:rsidRPr="00527BFD">
        <w:t>cabotegravir</w:t>
      </w:r>
      <w:r w:rsidR="00C0260B" w:rsidRPr="00527BFD">
        <w:t xml:space="preserve"> group</w:t>
      </w:r>
      <w:r w:rsidRPr="00527BFD">
        <w:t xml:space="preserve">, </w:t>
      </w:r>
      <w:r w:rsidR="00C0260B" w:rsidRPr="00527BFD">
        <w:t xml:space="preserve">34 in the </w:t>
      </w:r>
      <w:r w:rsidRPr="00527BFD">
        <w:t>TDF/</w:t>
      </w:r>
      <w:r w:rsidR="000B10F7" w:rsidRPr="00527BFD">
        <w:t>emtricitabine</w:t>
      </w:r>
      <w:r w:rsidR="00C0260B" w:rsidRPr="00527BFD">
        <w:t xml:space="preserve"> group</w:t>
      </w:r>
      <w:r w:rsidRPr="00527BFD">
        <w:t>) had 77 pregnancies at the time of the data cut-off of 5</w:t>
      </w:r>
      <w:r w:rsidR="00C0260B" w:rsidRPr="00527BFD">
        <w:t> </w:t>
      </w:r>
      <w:r w:rsidRPr="00527BFD">
        <w:t>November 2020. Of these</w:t>
      </w:r>
      <w:r w:rsidR="00C0260B" w:rsidRPr="00527BFD">
        <w:t>,</w:t>
      </w:r>
      <w:r w:rsidRPr="00527BFD">
        <w:t xml:space="preserve"> 49 were confirmed pregnancies (20 full term live births, 9</w:t>
      </w:r>
      <w:r w:rsidR="00C0260B" w:rsidRPr="00527BFD">
        <w:t> </w:t>
      </w:r>
      <w:r w:rsidRPr="00527BFD">
        <w:t>pregnancy losses and 18 ongoing pregnancies)</w:t>
      </w:r>
      <w:r w:rsidR="00C0260B" w:rsidRPr="00527BFD">
        <w:t>,</w:t>
      </w:r>
      <w:r w:rsidRPr="00527BFD">
        <w:t xml:space="preserve"> 20 pregnancies ended before the confirmation test, and 8 pregnancies were pending confirmation. In </w:t>
      </w:r>
      <w:r w:rsidR="00CC53B1" w:rsidRPr="00527BFD">
        <w:t xml:space="preserve">the HPTN 077 trial </w:t>
      </w:r>
      <w:r w:rsidRPr="00527BFD">
        <w:t xml:space="preserve">three pregnancies were reported, which resulted in two full term births, and </w:t>
      </w:r>
      <w:r w:rsidR="00C0260B" w:rsidRPr="00527BFD">
        <w:t>one</w:t>
      </w:r>
      <w:r w:rsidRPr="00527BFD">
        <w:t xml:space="preserve"> pregnancy loss at about 13 weeks.</w:t>
      </w:r>
    </w:p>
    <w:p w14:paraId="53944B5B" w14:textId="6C737EB5" w:rsidR="003768A7" w:rsidRPr="00527BFD" w:rsidRDefault="003768A7" w:rsidP="00BB4257">
      <w:r w:rsidRPr="00527BFD">
        <w:t xml:space="preserve">The safety of exposure of </w:t>
      </w:r>
      <w:r w:rsidR="00FD52A9" w:rsidRPr="00527BFD">
        <w:t>cabotegravir</w:t>
      </w:r>
      <w:r w:rsidRPr="00527BFD">
        <w:t xml:space="preserve"> oral and LA to infants through breastfeeding has not been established. Women who were breastfeeding infants were excluded from the studies. It is expected that </w:t>
      </w:r>
      <w:r w:rsidR="00FD52A9" w:rsidRPr="00527BFD">
        <w:t>cabotegravir</w:t>
      </w:r>
      <w:r w:rsidRPr="00527BFD">
        <w:t xml:space="preserve"> will be secreted into human milk based on animal data, although this has not been confirmed in humans. Cabotegravir may be present in human milk for 12 months or longer after the last injection.</w:t>
      </w:r>
    </w:p>
    <w:p w14:paraId="36942E94" w14:textId="77777777" w:rsidR="008E7846" w:rsidRPr="00527BFD" w:rsidRDefault="00386150" w:rsidP="007B6132">
      <w:pPr>
        <w:pStyle w:val="Heading3"/>
        <w:rPr>
          <w:lang w:eastAsia="en-AU"/>
        </w:rPr>
      </w:pPr>
      <w:bookmarkStart w:id="119" w:name="_Toc314842514"/>
      <w:bookmarkStart w:id="120" w:name="_Toc120100543"/>
      <w:r w:rsidRPr="00527BFD">
        <w:rPr>
          <w:lang w:eastAsia="en-AU"/>
        </w:rPr>
        <w:t>Risk m</w:t>
      </w:r>
      <w:r w:rsidR="008E7846" w:rsidRPr="00527BFD">
        <w:rPr>
          <w:lang w:eastAsia="en-AU"/>
        </w:rPr>
        <w:t xml:space="preserve">anagement </w:t>
      </w:r>
      <w:r w:rsidRPr="00527BFD">
        <w:rPr>
          <w:lang w:eastAsia="en-AU"/>
        </w:rPr>
        <w:t>p</w:t>
      </w:r>
      <w:r w:rsidR="008E7846" w:rsidRPr="00527BFD">
        <w:rPr>
          <w:lang w:eastAsia="en-AU"/>
        </w:rPr>
        <w:t>lan</w:t>
      </w:r>
      <w:bookmarkEnd w:id="119"/>
      <w:bookmarkEnd w:id="120"/>
    </w:p>
    <w:p w14:paraId="14EDCEDE" w14:textId="0ADD2A49" w:rsidR="003A1035" w:rsidRPr="00527BFD" w:rsidRDefault="00E83512" w:rsidP="003A1035">
      <w:bookmarkStart w:id="121" w:name="_Toc247691531"/>
      <w:bookmarkStart w:id="122" w:name="_Toc314842515"/>
      <w:bookmarkStart w:id="123" w:name="_Toc196046505"/>
      <w:bookmarkStart w:id="124" w:name="_Toc196046949"/>
      <w:r w:rsidRPr="00527BFD">
        <w:t>The sponsor</w:t>
      </w:r>
      <w:r w:rsidR="003A1035" w:rsidRPr="00527BFD">
        <w:t xml:space="preserve"> has submitted </w:t>
      </w:r>
      <w:r w:rsidR="00A7618B" w:rsidRPr="00527BFD">
        <w:t>European Union (</w:t>
      </w:r>
      <w:r w:rsidR="003A1035" w:rsidRPr="00527BFD">
        <w:t>EU</w:t>
      </w:r>
      <w:r w:rsidR="00A7618B" w:rsidRPr="00527BFD">
        <w:t>)</w:t>
      </w:r>
      <w:r w:rsidR="003A1035" w:rsidRPr="00527BFD">
        <w:t>-</w:t>
      </w:r>
      <w:r w:rsidR="00F13517" w:rsidRPr="00527BFD">
        <w:t>risk management plan (</w:t>
      </w:r>
      <w:r w:rsidR="003A1035" w:rsidRPr="00527BFD">
        <w:t>RMP</w:t>
      </w:r>
      <w:r w:rsidR="00F13517" w:rsidRPr="00527BFD">
        <w:t>)</w:t>
      </w:r>
      <w:r w:rsidR="003A1035" w:rsidRPr="00527BFD">
        <w:t xml:space="preserve"> version 0.1 (dated 29 September 2021; </w:t>
      </w:r>
      <w:r w:rsidR="00F13517" w:rsidRPr="00527BFD">
        <w:t>data lock point (</w:t>
      </w:r>
      <w:r w:rsidR="003A1035" w:rsidRPr="00527BFD">
        <w:t>DLP</w:t>
      </w:r>
      <w:r w:rsidR="00F13517" w:rsidRPr="00527BFD">
        <w:t>)</w:t>
      </w:r>
      <w:r w:rsidR="003A1035" w:rsidRPr="00527BFD">
        <w:t xml:space="preserve"> 5</w:t>
      </w:r>
      <w:r w:rsidR="00C0260B" w:rsidRPr="00527BFD">
        <w:t> </w:t>
      </w:r>
      <w:r w:rsidR="003A1035" w:rsidRPr="00527BFD">
        <w:t xml:space="preserve">November 2020) and </w:t>
      </w:r>
      <w:r w:rsidR="00F13517" w:rsidRPr="00527BFD">
        <w:t>Australia specific annex (</w:t>
      </w:r>
      <w:r w:rsidR="003A1035" w:rsidRPr="00527BFD">
        <w:t>ASA</w:t>
      </w:r>
      <w:r w:rsidR="00F13517" w:rsidRPr="00527BFD">
        <w:t>)</w:t>
      </w:r>
      <w:r w:rsidR="003A1035" w:rsidRPr="00527BFD">
        <w:t xml:space="preserve"> version 1.0 (dated 15 October 2021) in support of this </w:t>
      </w:r>
      <w:r w:rsidR="0063449D" w:rsidRPr="00527BFD">
        <w:t>submission</w:t>
      </w:r>
      <w:r w:rsidR="003A1035" w:rsidRPr="00527BFD">
        <w:t xml:space="preserve"> for </w:t>
      </w:r>
      <w:r w:rsidR="005A3930" w:rsidRPr="00527BFD">
        <w:t>pre-exposure prophylaxis</w:t>
      </w:r>
      <w:r w:rsidR="003A1035" w:rsidRPr="00527BFD">
        <w:t xml:space="preserve">. The most recently evaluated EU-RMP for </w:t>
      </w:r>
      <w:proofErr w:type="spellStart"/>
      <w:r w:rsidR="003A1035" w:rsidRPr="00527BFD">
        <w:t>Vocabria</w:t>
      </w:r>
      <w:proofErr w:type="spellEnd"/>
      <w:r w:rsidR="003A1035" w:rsidRPr="00527BFD">
        <w:t xml:space="preserve"> 30</w:t>
      </w:r>
      <w:r w:rsidR="00D46635">
        <w:t> </w:t>
      </w:r>
      <w:r w:rsidR="003A1035" w:rsidRPr="00527BFD">
        <w:t>mg tablets (and prolonged</w:t>
      </w:r>
      <w:r w:rsidR="00714561">
        <w:t>-</w:t>
      </w:r>
      <w:r w:rsidR="003A1035" w:rsidRPr="00527BFD">
        <w:t xml:space="preserve">release suspension for injection (no combination injection in </w:t>
      </w:r>
      <w:r w:rsidR="00356947" w:rsidRPr="00527BFD">
        <w:t xml:space="preserve">the </w:t>
      </w:r>
      <w:r w:rsidR="003A1035" w:rsidRPr="00527BFD">
        <w:t xml:space="preserve">EU)) for the treatment of </w:t>
      </w:r>
      <w:r w:rsidR="005A3930" w:rsidRPr="00527BFD">
        <w:t>human immunodeficiency virus type 1</w:t>
      </w:r>
      <w:r w:rsidR="003A1035" w:rsidRPr="00527BFD">
        <w:t xml:space="preserve"> infection was version</w:t>
      </w:r>
      <w:r w:rsidR="00D46635">
        <w:t> </w:t>
      </w:r>
      <w:r w:rsidR="003A1035" w:rsidRPr="00527BFD">
        <w:t>0.6 (dated 12 October 2020; DLP 6</w:t>
      </w:r>
      <w:r w:rsidR="00C0260B" w:rsidRPr="00527BFD">
        <w:t> </w:t>
      </w:r>
      <w:r w:rsidR="003A1035" w:rsidRPr="00527BFD">
        <w:t>June</w:t>
      </w:r>
      <w:r w:rsidR="00C0260B" w:rsidRPr="00527BFD">
        <w:t> </w:t>
      </w:r>
      <w:r w:rsidR="003A1035" w:rsidRPr="00527BFD">
        <w:t xml:space="preserve">2019) and ASA version 2.0 </w:t>
      </w:r>
      <w:r w:rsidR="00C0260B" w:rsidRPr="00527BFD">
        <w:t>(</w:t>
      </w:r>
      <w:r w:rsidR="003A1035" w:rsidRPr="00527BFD">
        <w:t>dated 5 October 2021</w:t>
      </w:r>
      <w:r w:rsidR="00356947" w:rsidRPr="00527BFD">
        <w:t xml:space="preserve">) for </w:t>
      </w:r>
      <w:proofErr w:type="spellStart"/>
      <w:r w:rsidR="00356947" w:rsidRPr="00527BFD">
        <w:t>Vocabria</w:t>
      </w:r>
      <w:proofErr w:type="spellEnd"/>
      <w:r w:rsidR="00356947" w:rsidRPr="00527BFD">
        <w:t xml:space="preserve"> tablets</w:t>
      </w:r>
      <w:r w:rsidR="003A1035" w:rsidRPr="00527BFD">
        <w:t>. For combination treatment (injection), EU-RMP version 3.0 (dated 28</w:t>
      </w:r>
      <w:r w:rsidR="003C2E00">
        <w:t> </w:t>
      </w:r>
      <w:r w:rsidR="003A1035" w:rsidRPr="00527BFD">
        <w:t>October 2021; DLP 21</w:t>
      </w:r>
      <w:r w:rsidR="00C0260B" w:rsidRPr="00527BFD">
        <w:t> </w:t>
      </w:r>
      <w:r w:rsidR="003A1035" w:rsidRPr="00527BFD">
        <w:t>February</w:t>
      </w:r>
      <w:r w:rsidR="00C0260B" w:rsidRPr="00527BFD">
        <w:t> </w:t>
      </w:r>
      <w:r w:rsidR="003A1035" w:rsidRPr="00527BFD">
        <w:t>2020)</w:t>
      </w:r>
      <w:r w:rsidR="00C0260B" w:rsidRPr="00527BFD">
        <w:t xml:space="preserve"> for</w:t>
      </w:r>
      <w:r w:rsidR="003A1035" w:rsidRPr="00527BFD">
        <w:t xml:space="preserve"> </w:t>
      </w:r>
      <w:proofErr w:type="spellStart"/>
      <w:r w:rsidR="003A1035" w:rsidRPr="00527BFD">
        <w:t>Vocabria</w:t>
      </w:r>
      <w:proofErr w:type="spellEnd"/>
      <w:r w:rsidR="003A1035" w:rsidRPr="00527BFD">
        <w:t xml:space="preserve"> tablets and prolonged</w:t>
      </w:r>
      <w:r w:rsidR="00714561">
        <w:t>-</w:t>
      </w:r>
      <w:r w:rsidR="003A1035" w:rsidRPr="00527BFD">
        <w:t xml:space="preserve">release suspension for injection (submitted with EU-RMP for </w:t>
      </w:r>
      <w:proofErr w:type="spellStart"/>
      <w:r w:rsidR="003A1035" w:rsidRPr="00527BFD">
        <w:t>rilpivirine</w:t>
      </w:r>
      <w:proofErr w:type="spellEnd"/>
      <w:r w:rsidR="003A1035" w:rsidRPr="00527BFD">
        <w:t xml:space="preserve"> EU-RMP version</w:t>
      </w:r>
      <w:r w:rsidR="00D46635">
        <w:t> </w:t>
      </w:r>
      <w:r w:rsidR="003A1035" w:rsidRPr="00527BFD">
        <w:t>3.1 (dated 22 October 2021</w:t>
      </w:r>
      <w:r w:rsidR="00356947" w:rsidRPr="00527BFD">
        <w:t>;</w:t>
      </w:r>
      <w:r w:rsidR="003A1035" w:rsidRPr="00527BFD">
        <w:t xml:space="preserve"> DLP: 21</w:t>
      </w:r>
      <w:r w:rsidR="00356947" w:rsidRPr="00527BFD">
        <w:t> </w:t>
      </w:r>
      <w:r w:rsidR="003A1035" w:rsidRPr="00527BFD">
        <w:t>February</w:t>
      </w:r>
      <w:r w:rsidR="00356947" w:rsidRPr="00527BFD">
        <w:t> </w:t>
      </w:r>
      <w:r w:rsidR="003A1035" w:rsidRPr="00527BFD">
        <w:t>2020)) and ASA version 2.0 (dated 31</w:t>
      </w:r>
      <w:r w:rsidR="003C2E00">
        <w:t> </w:t>
      </w:r>
      <w:r w:rsidR="003A1035" w:rsidRPr="00527BFD">
        <w:t>January</w:t>
      </w:r>
      <w:r w:rsidR="003C2E00">
        <w:t> </w:t>
      </w:r>
      <w:r w:rsidR="003A1035" w:rsidRPr="00527BFD">
        <w:t xml:space="preserve">2022) for </w:t>
      </w:r>
      <w:proofErr w:type="spellStart"/>
      <w:r w:rsidR="003A1035" w:rsidRPr="00527BFD">
        <w:t>Cabenuva</w:t>
      </w:r>
      <w:proofErr w:type="spellEnd"/>
      <w:r w:rsidR="003A1035" w:rsidRPr="00527BFD">
        <w:t xml:space="preserve"> was evaluated.</w:t>
      </w:r>
    </w:p>
    <w:p w14:paraId="0225E4D5" w14:textId="759EB125" w:rsidR="003A1035" w:rsidRPr="00527BFD" w:rsidRDefault="003A1035" w:rsidP="003A1035">
      <w:bookmarkStart w:id="125" w:name="_Hlk101424837"/>
      <w:r w:rsidRPr="00527BFD">
        <w:lastRenderedPageBreak/>
        <w:t xml:space="preserve">In response to rolling questions sent </w:t>
      </w:r>
      <w:r w:rsidR="00356947" w:rsidRPr="00527BFD">
        <w:t xml:space="preserve">on </w:t>
      </w:r>
      <w:r w:rsidRPr="00527BFD">
        <w:t>13 April 2022, the sponsor has submitted ASA version</w:t>
      </w:r>
      <w:r w:rsidR="00356947" w:rsidRPr="00527BFD">
        <w:t> </w:t>
      </w:r>
      <w:r w:rsidRPr="00527BFD">
        <w:t>1.0</w:t>
      </w:r>
      <w:r w:rsidR="00356947" w:rsidRPr="00527BFD">
        <w:t xml:space="preserve"> (</w:t>
      </w:r>
      <w:r w:rsidRPr="00527BFD">
        <w:t>dated 14 April 2022</w:t>
      </w:r>
      <w:r w:rsidR="00356947" w:rsidRPr="00527BFD">
        <w:t>)</w:t>
      </w:r>
      <w:r w:rsidRPr="00527BFD">
        <w:t xml:space="preserve"> in support of its </w:t>
      </w:r>
      <w:r w:rsidR="00356947" w:rsidRPr="00527BFD">
        <w:t>submission</w:t>
      </w:r>
      <w:r w:rsidRPr="00527BFD">
        <w:t>.</w:t>
      </w:r>
    </w:p>
    <w:bookmarkEnd w:id="125"/>
    <w:p w14:paraId="3C89113B" w14:textId="37F6EDDA" w:rsidR="0074163C" w:rsidRPr="00527BFD" w:rsidRDefault="0074163C" w:rsidP="0074163C">
      <w:r w:rsidRPr="00527BFD">
        <w:t xml:space="preserve">The summary of safety concerns and their associated risk monitoring and mitigation strategies are summarised in </w:t>
      </w:r>
      <w:r w:rsidR="00C0260B" w:rsidRPr="00527BFD">
        <w:fldChar w:fldCharType="begin"/>
      </w:r>
      <w:r w:rsidR="00C0260B" w:rsidRPr="00527BFD">
        <w:instrText xml:space="preserve"> REF _Ref97629131 \h </w:instrText>
      </w:r>
      <w:r w:rsidR="00527BFD" w:rsidRPr="00527BFD">
        <w:instrText xml:space="preserve"> \* MERGEFORMAT </w:instrText>
      </w:r>
      <w:r w:rsidR="00C0260B" w:rsidRPr="00527BFD">
        <w:fldChar w:fldCharType="separate"/>
      </w:r>
      <w:r w:rsidR="001702C9" w:rsidRPr="0025423A">
        <w:t xml:space="preserve">Table </w:t>
      </w:r>
      <w:r w:rsidR="001702C9">
        <w:rPr>
          <w:noProof/>
        </w:rPr>
        <w:t>17</w:t>
      </w:r>
      <w:r w:rsidR="00C0260B" w:rsidRPr="00527BFD">
        <w:fldChar w:fldCharType="end"/>
      </w:r>
      <w:r w:rsidRPr="00527BFD">
        <w:t xml:space="preserve">. Further information regarding </w:t>
      </w:r>
      <w:r w:rsidR="00CC5044" w:rsidRPr="00527BFD">
        <w:t>the TGA</w:t>
      </w:r>
      <w:r w:rsidR="00BF7063" w:rsidRPr="00527BFD">
        <w:t>’</w:t>
      </w:r>
      <w:r w:rsidR="00CC5044" w:rsidRPr="00527BFD">
        <w:t>s r</w:t>
      </w:r>
      <w:r w:rsidRPr="00527BFD">
        <w:t xml:space="preserve">isk management approach can be found in </w:t>
      </w:r>
      <w:hyperlink r:id="rId38" w:history="1">
        <w:r w:rsidRPr="00527BFD">
          <w:rPr>
            <w:rStyle w:val="Hyperlink"/>
          </w:rPr>
          <w:t>risk management plans for medicines and biologicals</w:t>
        </w:r>
      </w:hyperlink>
      <w:r w:rsidRPr="00527BFD">
        <w:t xml:space="preserve"> and </w:t>
      </w:r>
      <w:hyperlink r:id="rId39" w:history="1">
        <w:r w:rsidRPr="00527BFD">
          <w:rPr>
            <w:rStyle w:val="Hyperlink"/>
          </w:rPr>
          <w:t>the TGA's risk management approach</w:t>
        </w:r>
      </w:hyperlink>
      <w:r w:rsidRPr="00527BFD">
        <w:t>.</w:t>
      </w:r>
    </w:p>
    <w:p w14:paraId="7166D979" w14:textId="2FB98912" w:rsidR="0074163C" w:rsidRPr="0025423A" w:rsidRDefault="0074163C" w:rsidP="0025423A">
      <w:pPr>
        <w:pStyle w:val="TableTitle"/>
      </w:pPr>
      <w:bookmarkStart w:id="126" w:name="_Ref97629131"/>
      <w:r w:rsidRPr="0025423A">
        <w:t xml:space="preserve">Table </w:t>
      </w:r>
      <w:r w:rsidR="00234D1A">
        <w:fldChar w:fldCharType="begin"/>
      </w:r>
      <w:r w:rsidR="00234D1A">
        <w:instrText xml:space="preserve"> SEQ Table \* ARABIC </w:instrText>
      </w:r>
      <w:r w:rsidR="00234D1A">
        <w:fldChar w:fldCharType="separate"/>
      </w:r>
      <w:r w:rsidR="001702C9">
        <w:rPr>
          <w:noProof/>
        </w:rPr>
        <w:t>17</w:t>
      </w:r>
      <w:r w:rsidR="00234D1A">
        <w:rPr>
          <w:noProof/>
        </w:rPr>
        <w:fldChar w:fldCharType="end"/>
      </w:r>
      <w:bookmarkEnd w:id="126"/>
      <w:r w:rsidRPr="0025423A">
        <w:t>: Summary of safety concerns</w:t>
      </w:r>
    </w:p>
    <w:tbl>
      <w:tblPr>
        <w:tblStyle w:val="TableTGAblue"/>
        <w:tblW w:w="8359" w:type="dxa"/>
        <w:tblLayout w:type="fixed"/>
        <w:tblLook w:val="04A0" w:firstRow="1" w:lastRow="0" w:firstColumn="1" w:lastColumn="0" w:noHBand="0" w:noVBand="1"/>
      </w:tblPr>
      <w:tblGrid>
        <w:gridCol w:w="1413"/>
        <w:gridCol w:w="2410"/>
        <w:gridCol w:w="992"/>
        <w:gridCol w:w="1276"/>
        <w:gridCol w:w="992"/>
        <w:gridCol w:w="1276"/>
      </w:tblGrid>
      <w:tr w:rsidR="003A1035" w:rsidRPr="003C2E00" w14:paraId="038EFA92" w14:textId="77777777" w:rsidTr="0059470F">
        <w:trPr>
          <w:cnfStyle w:val="100000000000" w:firstRow="1" w:lastRow="0" w:firstColumn="0" w:lastColumn="0" w:oddVBand="0" w:evenVBand="0" w:oddHBand="0" w:evenHBand="0" w:firstRowFirstColumn="0" w:firstRowLastColumn="0" w:lastRowFirstColumn="0" w:lastRowLastColumn="0"/>
          <w:trHeight w:val="131"/>
        </w:trPr>
        <w:tc>
          <w:tcPr>
            <w:tcW w:w="3823" w:type="dxa"/>
            <w:gridSpan w:val="2"/>
            <w:vMerge w:val="restart"/>
            <w:tcBorders>
              <w:top w:val="single" w:sz="4" w:space="0" w:color="auto"/>
              <w:left w:val="single" w:sz="4" w:space="0" w:color="auto"/>
              <w:bottom w:val="single" w:sz="4" w:space="0" w:color="auto"/>
              <w:right w:val="single" w:sz="4" w:space="0" w:color="auto"/>
            </w:tcBorders>
          </w:tcPr>
          <w:p w14:paraId="0F69A1C0" w14:textId="77777777" w:rsidR="003A1035" w:rsidRPr="0059470F" w:rsidRDefault="003A1035" w:rsidP="003A1035">
            <w:pPr>
              <w:pStyle w:val="Tabletext"/>
              <w:ind w:left="0" w:right="0"/>
              <w:rPr>
                <w:sz w:val="20"/>
                <w:szCs w:val="20"/>
              </w:rPr>
            </w:pPr>
            <w:r w:rsidRPr="0059470F">
              <w:rPr>
                <w:sz w:val="20"/>
                <w:szCs w:val="20"/>
              </w:rPr>
              <w:t>Summary of safety concerns</w:t>
            </w:r>
          </w:p>
        </w:tc>
        <w:tc>
          <w:tcPr>
            <w:tcW w:w="2268" w:type="dxa"/>
            <w:gridSpan w:val="2"/>
            <w:tcBorders>
              <w:top w:val="single" w:sz="4" w:space="0" w:color="auto"/>
              <w:left w:val="single" w:sz="4" w:space="0" w:color="auto"/>
              <w:bottom w:val="single" w:sz="4" w:space="0" w:color="auto"/>
              <w:right w:val="single" w:sz="4" w:space="0" w:color="auto"/>
            </w:tcBorders>
          </w:tcPr>
          <w:p w14:paraId="626EF360" w14:textId="77777777" w:rsidR="003A1035" w:rsidRPr="0059470F" w:rsidRDefault="003A1035" w:rsidP="003A1035">
            <w:pPr>
              <w:pStyle w:val="Tabletext"/>
              <w:ind w:left="0" w:right="0"/>
              <w:rPr>
                <w:sz w:val="20"/>
                <w:szCs w:val="20"/>
              </w:rPr>
            </w:pPr>
            <w:r w:rsidRPr="0059470F">
              <w:rPr>
                <w:sz w:val="20"/>
                <w:szCs w:val="20"/>
              </w:rPr>
              <w:t>Pharmacovigilance</w:t>
            </w:r>
          </w:p>
        </w:tc>
        <w:tc>
          <w:tcPr>
            <w:tcW w:w="2268" w:type="dxa"/>
            <w:gridSpan w:val="2"/>
            <w:tcBorders>
              <w:top w:val="single" w:sz="4" w:space="0" w:color="auto"/>
              <w:left w:val="single" w:sz="4" w:space="0" w:color="auto"/>
              <w:bottom w:val="single" w:sz="4" w:space="0" w:color="auto"/>
              <w:right w:val="single" w:sz="4" w:space="0" w:color="auto"/>
            </w:tcBorders>
          </w:tcPr>
          <w:p w14:paraId="557BA5A8" w14:textId="2448C6DB" w:rsidR="003A1035" w:rsidRPr="0059470F" w:rsidRDefault="003A1035" w:rsidP="003A1035">
            <w:pPr>
              <w:pStyle w:val="Tabletext"/>
              <w:ind w:left="0" w:right="0"/>
              <w:rPr>
                <w:sz w:val="20"/>
                <w:szCs w:val="20"/>
              </w:rPr>
            </w:pPr>
            <w:r w:rsidRPr="0059470F">
              <w:rPr>
                <w:sz w:val="20"/>
                <w:szCs w:val="20"/>
              </w:rPr>
              <w:t xml:space="preserve">Risk </w:t>
            </w:r>
            <w:r w:rsidR="00C0260B" w:rsidRPr="0059470F">
              <w:rPr>
                <w:sz w:val="20"/>
                <w:szCs w:val="20"/>
              </w:rPr>
              <w:t>m</w:t>
            </w:r>
            <w:r w:rsidRPr="0059470F">
              <w:rPr>
                <w:sz w:val="20"/>
                <w:szCs w:val="20"/>
              </w:rPr>
              <w:t>inimisation</w:t>
            </w:r>
          </w:p>
        </w:tc>
      </w:tr>
      <w:tr w:rsidR="0059470F" w:rsidRPr="003C2E00" w14:paraId="77F47295" w14:textId="77777777" w:rsidTr="0059470F">
        <w:trPr>
          <w:trHeight w:val="150"/>
        </w:trPr>
        <w:tc>
          <w:tcPr>
            <w:tcW w:w="3823" w:type="dxa"/>
            <w:gridSpan w:val="2"/>
            <w:vMerge/>
            <w:tcBorders>
              <w:top w:val="single" w:sz="4" w:space="0" w:color="auto"/>
              <w:left w:val="single" w:sz="4" w:space="0" w:color="auto"/>
              <w:bottom w:val="single" w:sz="4" w:space="0" w:color="auto"/>
              <w:right w:val="single" w:sz="4" w:space="0" w:color="auto"/>
            </w:tcBorders>
            <w:shd w:val="clear" w:color="auto" w:fill="006DA7"/>
          </w:tcPr>
          <w:p w14:paraId="1F2F7308" w14:textId="77777777" w:rsidR="003A1035" w:rsidRPr="0059470F" w:rsidRDefault="003A1035" w:rsidP="003A1035">
            <w:pPr>
              <w:pStyle w:val="Tabletext"/>
              <w:ind w:left="0" w:right="0"/>
              <w:rPr>
                <w:b/>
                <w:color w:val="FFFFFF" w:themeColor="background1"/>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7A5CB206" w14:textId="77777777" w:rsidR="003A1035" w:rsidRPr="0059470F" w:rsidRDefault="003A1035" w:rsidP="003A1035">
            <w:pPr>
              <w:pStyle w:val="Tabletext"/>
              <w:ind w:left="0" w:right="0"/>
              <w:rPr>
                <w:b/>
                <w:color w:val="FFFFFF" w:themeColor="background1"/>
                <w:sz w:val="20"/>
                <w:szCs w:val="20"/>
              </w:rPr>
            </w:pPr>
            <w:r w:rsidRPr="0059470F">
              <w:rPr>
                <w:b/>
                <w:color w:val="FFFFFF" w:themeColor="background1"/>
                <w:sz w:val="20"/>
                <w:szCs w:val="20"/>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51269241" w14:textId="77777777" w:rsidR="003A1035" w:rsidRPr="0059470F" w:rsidRDefault="003A1035" w:rsidP="003A1035">
            <w:pPr>
              <w:pStyle w:val="Tabletext"/>
              <w:ind w:left="0" w:right="0"/>
              <w:rPr>
                <w:b/>
                <w:color w:val="FFFFFF" w:themeColor="background1"/>
                <w:sz w:val="20"/>
                <w:szCs w:val="20"/>
              </w:rPr>
            </w:pPr>
            <w:r w:rsidRPr="0059470F">
              <w:rPr>
                <w:b/>
                <w:color w:val="FFFFFF" w:themeColor="background1"/>
                <w:sz w:val="20"/>
                <w:szCs w:val="20"/>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4FC5AE0A" w14:textId="77777777" w:rsidR="003A1035" w:rsidRPr="0059470F" w:rsidRDefault="003A1035" w:rsidP="003A1035">
            <w:pPr>
              <w:pStyle w:val="Tabletext"/>
              <w:ind w:left="0" w:right="0"/>
              <w:rPr>
                <w:b/>
                <w:color w:val="FFFFFF" w:themeColor="background1"/>
                <w:sz w:val="20"/>
                <w:szCs w:val="20"/>
              </w:rPr>
            </w:pPr>
            <w:r w:rsidRPr="0059470F">
              <w:rPr>
                <w:b/>
                <w:color w:val="FFFFFF" w:themeColor="background1"/>
                <w:sz w:val="20"/>
                <w:szCs w:val="20"/>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6DB29B15" w14:textId="77777777" w:rsidR="003A1035" w:rsidRPr="0059470F" w:rsidRDefault="003A1035" w:rsidP="003A1035">
            <w:pPr>
              <w:pStyle w:val="Tabletext"/>
              <w:ind w:left="0" w:right="0"/>
              <w:rPr>
                <w:b/>
                <w:color w:val="FFFFFF" w:themeColor="background1"/>
                <w:sz w:val="20"/>
                <w:szCs w:val="20"/>
              </w:rPr>
            </w:pPr>
            <w:r w:rsidRPr="0059470F">
              <w:rPr>
                <w:b/>
                <w:color w:val="FFFFFF" w:themeColor="background1"/>
                <w:sz w:val="20"/>
                <w:szCs w:val="20"/>
              </w:rPr>
              <w:t>Additional</w:t>
            </w:r>
          </w:p>
        </w:tc>
      </w:tr>
      <w:tr w:rsidR="0059470F" w:rsidRPr="003C2E00" w14:paraId="26D1149E" w14:textId="77777777" w:rsidTr="0059470F">
        <w:trPr>
          <w:trHeight w:val="137"/>
        </w:trPr>
        <w:tc>
          <w:tcPr>
            <w:tcW w:w="1413" w:type="dxa"/>
            <w:vMerge w:val="restart"/>
            <w:tcBorders>
              <w:top w:val="single" w:sz="4" w:space="0" w:color="auto"/>
            </w:tcBorders>
          </w:tcPr>
          <w:p w14:paraId="77DCA501" w14:textId="77777777" w:rsidR="003A1035" w:rsidRPr="0059470F" w:rsidRDefault="003A1035" w:rsidP="003A1035">
            <w:pPr>
              <w:pStyle w:val="Tabletext"/>
              <w:ind w:left="0" w:right="0"/>
              <w:rPr>
                <w:b/>
                <w:sz w:val="20"/>
                <w:szCs w:val="20"/>
              </w:rPr>
            </w:pPr>
            <w:r w:rsidRPr="0059470F">
              <w:rPr>
                <w:b/>
                <w:sz w:val="20"/>
                <w:szCs w:val="20"/>
              </w:rPr>
              <w:t>Important identified risks</w:t>
            </w:r>
          </w:p>
        </w:tc>
        <w:tc>
          <w:tcPr>
            <w:tcW w:w="2410" w:type="dxa"/>
            <w:tcBorders>
              <w:top w:val="single" w:sz="4" w:space="0" w:color="auto"/>
            </w:tcBorders>
          </w:tcPr>
          <w:p w14:paraId="66B30056" w14:textId="77777777" w:rsidR="003A1035" w:rsidRPr="0059470F" w:rsidRDefault="003A1035" w:rsidP="003A1035">
            <w:pPr>
              <w:pStyle w:val="Tabletext"/>
              <w:ind w:left="0" w:right="0"/>
              <w:rPr>
                <w:sz w:val="20"/>
                <w:szCs w:val="20"/>
              </w:rPr>
            </w:pPr>
            <w:r w:rsidRPr="0059470F">
              <w:rPr>
                <w:sz w:val="20"/>
                <w:szCs w:val="20"/>
              </w:rPr>
              <w:t>Hepatotoxicity</w:t>
            </w:r>
          </w:p>
        </w:tc>
        <w:tc>
          <w:tcPr>
            <w:tcW w:w="992" w:type="dxa"/>
            <w:tcBorders>
              <w:top w:val="single" w:sz="4" w:space="0" w:color="auto"/>
            </w:tcBorders>
          </w:tcPr>
          <w:p w14:paraId="7C20CF83" w14:textId="77777777" w:rsidR="003A1035" w:rsidRPr="0059470F" w:rsidRDefault="003A1035" w:rsidP="003A1035">
            <w:pPr>
              <w:pStyle w:val="Tabletext"/>
              <w:ind w:left="0" w:right="0"/>
              <w:jc w:val="center"/>
              <w:rPr>
                <w:sz w:val="20"/>
                <w:szCs w:val="20"/>
              </w:rPr>
            </w:pPr>
            <w:r w:rsidRPr="0059470F">
              <w:rPr>
                <w:sz w:val="20"/>
                <w:szCs w:val="20"/>
              </w:rPr>
              <w:sym w:font="Wingdings" w:char="F0FC"/>
            </w:r>
          </w:p>
        </w:tc>
        <w:tc>
          <w:tcPr>
            <w:tcW w:w="1276" w:type="dxa"/>
            <w:tcBorders>
              <w:top w:val="single" w:sz="4" w:space="0" w:color="auto"/>
            </w:tcBorders>
          </w:tcPr>
          <w:p w14:paraId="11C5C07D" w14:textId="77777777" w:rsidR="003A1035" w:rsidRPr="0059470F" w:rsidRDefault="003A1035" w:rsidP="003A1035">
            <w:pPr>
              <w:pStyle w:val="Tabletext"/>
              <w:ind w:left="0" w:right="0"/>
              <w:jc w:val="center"/>
              <w:rPr>
                <w:sz w:val="20"/>
                <w:szCs w:val="20"/>
              </w:rPr>
            </w:pPr>
            <w:r w:rsidRPr="0059470F">
              <w:rPr>
                <w:sz w:val="20"/>
                <w:szCs w:val="20"/>
              </w:rPr>
              <w:sym w:font="Wingdings" w:char="F0FC"/>
            </w:r>
            <w:r w:rsidRPr="0059470F">
              <w:rPr>
                <w:sz w:val="20"/>
                <w:szCs w:val="20"/>
              </w:rPr>
              <w:t>*</w:t>
            </w:r>
          </w:p>
        </w:tc>
        <w:tc>
          <w:tcPr>
            <w:tcW w:w="992" w:type="dxa"/>
            <w:tcBorders>
              <w:top w:val="single" w:sz="4" w:space="0" w:color="auto"/>
            </w:tcBorders>
          </w:tcPr>
          <w:p w14:paraId="6A764477" w14:textId="77777777" w:rsidR="003A1035" w:rsidRPr="0059470F" w:rsidRDefault="003A1035" w:rsidP="003A1035">
            <w:pPr>
              <w:pStyle w:val="Tabletext"/>
              <w:ind w:left="0" w:right="0"/>
              <w:jc w:val="center"/>
              <w:rPr>
                <w:sz w:val="20"/>
                <w:szCs w:val="20"/>
              </w:rPr>
            </w:pPr>
            <w:r w:rsidRPr="0059470F">
              <w:rPr>
                <w:sz w:val="20"/>
                <w:szCs w:val="20"/>
              </w:rPr>
              <w:sym w:font="Wingdings" w:char="F0FC"/>
            </w:r>
          </w:p>
        </w:tc>
        <w:tc>
          <w:tcPr>
            <w:tcW w:w="1276" w:type="dxa"/>
            <w:tcBorders>
              <w:top w:val="single" w:sz="4" w:space="0" w:color="auto"/>
            </w:tcBorders>
          </w:tcPr>
          <w:p w14:paraId="562D66E4" w14:textId="77777777" w:rsidR="003A1035" w:rsidRPr="0059470F" w:rsidRDefault="003A1035" w:rsidP="003A1035">
            <w:pPr>
              <w:pStyle w:val="Tabletext"/>
              <w:ind w:left="0" w:right="0"/>
              <w:jc w:val="center"/>
              <w:rPr>
                <w:sz w:val="20"/>
                <w:szCs w:val="20"/>
              </w:rPr>
            </w:pPr>
            <w:r w:rsidRPr="0059470F">
              <w:rPr>
                <w:sz w:val="20"/>
                <w:szCs w:val="20"/>
              </w:rPr>
              <w:t>–</w:t>
            </w:r>
          </w:p>
        </w:tc>
      </w:tr>
      <w:tr w:rsidR="0059470F" w:rsidRPr="003C2E00" w14:paraId="65F10A6F" w14:textId="77777777" w:rsidTr="0059470F">
        <w:trPr>
          <w:trHeight w:val="94"/>
        </w:trPr>
        <w:tc>
          <w:tcPr>
            <w:tcW w:w="1413" w:type="dxa"/>
            <w:vMerge/>
          </w:tcPr>
          <w:p w14:paraId="3E10B86E" w14:textId="77777777" w:rsidR="003A1035" w:rsidRPr="0059470F" w:rsidRDefault="003A1035" w:rsidP="003A1035">
            <w:pPr>
              <w:pStyle w:val="Tabletext"/>
              <w:ind w:left="0" w:right="0"/>
              <w:rPr>
                <w:b/>
                <w:sz w:val="20"/>
                <w:szCs w:val="20"/>
              </w:rPr>
            </w:pPr>
          </w:p>
        </w:tc>
        <w:tc>
          <w:tcPr>
            <w:tcW w:w="2410" w:type="dxa"/>
          </w:tcPr>
          <w:p w14:paraId="2280354B" w14:textId="356FE46F" w:rsidR="003A1035" w:rsidRPr="0059470F" w:rsidRDefault="0023090E" w:rsidP="003A1035">
            <w:pPr>
              <w:pStyle w:val="Tabletext"/>
              <w:ind w:left="0" w:right="0"/>
              <w:rPr>
                <w:sz w:val="20"/>
                <w:szCs w:val="20"/>
              </w:rPr>
            </w:pPr>
            <w:r w:rsidRPr="0059470F">
              <w:rPr>
                <w:sz w:val="20"/>
                <w:szCs w:val="20"/>
              </w:rPr>
              <w:t>Human immunodeficiency virus type 1 (</w:t>
            </w:r>
            <w:r w:rsidR="003A1035" w:rsidRPr="0059470F">
              <w:rPr>
                <w:sz w:val="20"/>
                <w:szCs w:val="20"/>
              </w:rPr>
              <w:t>HIV-1</w:t>
            </w:r>
            <w:r w:rsidRPr="0059470F">
              <w:rPr>
                <w:sz w:val="20"/>
                <w:szCs w:val="20"/>
              </w:rPr>
              <w:t>)</w:t>
            </w:r>
            <w:r w:rsidR="003A1035" w:rsidRPr="0059470F">
              <w:rPr>
                <w:sz w:val="20"/>
                <w:szCs w:val="20"/>
              </w:rPr>
              <w:t xml:space="preserve"> seroconversion</w:t>
            </w:r>
          </w:p>
        </w:tc>
        <w:tc>
          <w:tcPr>
            <w:tcW w:w="992" w:type="dxa"/>
          </w:tcPr>
          <w:p w14:paraId="2B895637" w14:textId="77777777" w:rsidR="003A1035" w:rsidRPr="0059470F" w:rsidRDefault="003A1035" w:rsidP="003A1035">
            <w:pPr>
              <w:pStyle w:val="Tabletext"/>
              <w:ind w:left="0" w:right="0"/>
              <w:jc w:val="center"/>
              <w:rPr>
                <w:sz w:val="20"/>
                <w:szCs w:val="20"/>
              </w:rPr>
            </w:pPr>
            <w:r w:rsidRPr="0059470F">
              <w:rPr>
                <w:sz w:val="20"/>
                <w:szCs w:val="20"/>
              </w:rPr>
              <w:sym w:font="Wingdings" w:char="F0FC"/>
            </w:r>
          </w:p>
        </w:tc>
        <w:tc>
          <w:tcPr>
            <w:tcW w:w="1276" w:type="dxa"/>
          </w:tcPr>
          <w:p w14:paraId="4EBD38E6" w14:textId="77777777" w:rsidR="003A1035" w:rsidRPr="0059470F" w:rsidRDefault="003A1035" w:rsidP="003A1035">
            <w:pPr>
              <w:pStyle w:val="Tabletext"/>
              <w:ind w:left="0" w:right="0"/>
              <w:jc w:val="center"/>
              <w:rPr>
                <w:sz w:val="20"/>
                <w:szCs w:val="20"/>
              </w:rPr>
            </w:pPr>
            <w:r w:rsidRPr="0059470F">
              <w:rPr>
                <w:sz w:val="20"/>
                <w:szCs w:val="20"/>
              </w:rPr>
              <w:sym w:font="Wingdings" w:char="F0FC"/>
            </w:r>
            <w:r w:rsidRPr="0059470F">
              <w:rPr>
                <w:sz w:val="20"/>
                <w:szCs w:val="20"/>
              </w:rPr>
              <w:t>*</w:t>
            </w:r>
          </w:p>
        </w:tc>
        <w:tc>
          <w:tcPr>
            <w:tcW w:w="992" w:type="dxa"/>
          </w:tcPr>
          <w:p w14:paraId="4C3C9CE1" w14:textId="77777777" w:rsidR="003A1035" w:rsidRPr="0059470F" w:rsidRDefault="003A1035" w:rsidP="003A1035">
            <w:pPr>
              <w:pStyle w:val="Tabletext"/>
              <w:ind w:left="0" w:right="0"/>
              <w:jc w:val="center"/>
              <w:rPr>
                <w:sz w:val="20"/>
                <w:szCs w:val="20"/>
              </w:rPr>
            </w:pPr>
            <w:r w:rsidRPr="0059470F">
              <w:rPr>
                <w:sz w:val="20"/>
                <w:szCs w:val="20"/>
              </w:rPr>
              <w:sym w:font="Wingdings" w:char="F0FC"/>
            </w:r>
          </w:p>
        </w:tc>
        <w:tc>
          <w:tcPr>
            <w:tcW w:w="1276" w:type="dxa"/>
          </w:tcPr>
          <w:p w14:paraId="4C5B4EF6" w14:textId="77777777" w:rsidR="003A1035" w:rsidRPr="0059470F" w:rsidRDefault="003A1035" w:rsidP="003A1035">
            <w:pPr>
              <w:pStyle w:val="Tabletext"/>
              <w:ind w:left="0" w:right="0"/>
              <w:jc w:val="center"/>
              <w:rPr>
                <w:sz w:val="20"/>
                <w:szCs w:val="20"/>
              </w:rPr>
            </w:pPr>
            <w:r w:rsidRPr="0059470F">
              <w:rPr>
                <w:sz w:val="20"/>
                <w:szCs w:val="20"/>
              </w:rPr>
              <w:t>–</w:t>
            </w:r>
          </w:p>
        </w:tc>
      </w:tr>
      <w:tr w:rsidR="0059470F" w:rsidRPr="003C2E00" w14:paraId="0C17276D" w14:textId="77777777" w:rsidTr="0059470F">
        <w:trPr>
          <w:trHeight w:val="187"/>
        </w:trPr>
        <w:tc>
          <w:tcPr>
            <w:tcW w:w="1413" w:type="dxa"/>
            <w:vMerge/>
          </w:tcPr>
          <w:p w14:paraId="6B2A20B5" w14:textId="77777777" w:rsidR="003A1035" w:rsidRPr="0059470F" w:rsidRDefault="003A1035" w:rsidP="003A1035">
            <w:pPr>
              <w:pStyle w:val="Tabletext"/>
              <w:ind w:left="0" w:right="0"/>
              <w:rPr>
                <w:b/>
                <w:sz w:val="20"/>
                <w:szCs w:val="20"/>
              </w:rPr>
            </w:pPr>
          </w:p>
        </w:tc>
        <w:tc>
          <w:tcPr>
            <w:tcW w:w="2410" w:type="dxa"/>
          </w:tcPr>
          <w:p w14:paraId="4A35BE88" w14:textId="77777777" w:rsidR="003A1035" w:rsidRPr="0059470F" w:rsidRDefault="003A1035" w:rsidP="003A1035">
            <w:pPr>
              <w:pStyle w:val="Tabletext"/>
              <w:ind w:left="0" w:right="0"/>
              <w:rPr>
                <w:sz w:val="20"/>
                <w:szCs w:val="20"/>
              </w:rPr>
            </w:pPr>
            <w:r w:rsidRPr="0059470F">
              <w:rPr>
                <w:sz w:val="20"/>
                <w:szCs w:val="20"/>
              </w:rPr>
              <w:t>Development of resistance:</w:t>
            </w:r>
          </w:p>
          <w:p w14:paraId="0ADB4E23" w14:textId="2F2B007C" w:rsidR="003A1035" w:rsidRPr="0059470F" w:rsidRDefault="003A1035" w:rsidP="00C0260B">
            <w:pPr>
              <w:pStyle w:val="ListBullet"/>
              <w:rPr>
                <w:sz w:val="20"/>
                <w:szCs w:val="20"/>
              </w:rPr>
            </w:pPr>
            <w:r w:rsidRPr="0059470F">
              <w:rPr>
                <w:sz w:val="20"/>
                <w:szCs w:val="20"/>
              </w:rPr>
              <w:t xml:space="preserve">In participants starting </w:t>
            </w:r>
            <w:r w:rsidR="00FD52A9" w:rsidRPr="0059470F">
              <w:rPr>
                <w:sz w:val="20"/>
                <w:szCs w:val="20"/>
              </w:rPr>
              <w:t>cabotegravir</w:t>
            </w:r>
            <w:r w:rsidRPr="0059470F">
              <w:rPr>
                <w:sz w:val="20"/>
                <w:szCs w:val="20"/>
              </w:rPr>
              <w:t xml:space="preserve"> with unrecogni</w:t>
            </w:r>
            <w:r w:rsidR="00462EFD" w:rsidRPr="0059470F">
              <w:rPr>
                <w:sz w:val="20"/>
                <w:szCs w:val="20"/>
              </w:rPr>
              <w:t>s</w:t>
            </w:r>
            <w:r w:rsidRPr="0059470F">
              <w:rPr>
                <w:sz w:val="20"/>
                <w:szCs w:val="20"/>
              </w:rPr>
              <w:t>ed or acute HIV-1 infection</w:t>
            </w:r>
          </w:p>
          <w:p w14:paraId="1A514951" w14:textId="0DCBDC4C" w:rsidR="003A1035" w:rsidRPr="0059470F" w:rsidRDefault="003A1035" w:rsidP="00C0260B">
            <w:pPr>
              <w:pStyle w:val="ListBullet"/>
              <w:rPr>
                <w:sz w:val="20"/>
                <w:szCs w:val="20"/>
              </w:rPr>
            </w:pPr>
            <w:r w:rsidRPr="0059470F">
              <w:rPr>
                <w:sz w:val="20"/>
                <w:szCs w:val="20"/>
              </w:rPr>
              <w:t xml:space="preserve">Due to breakthrough HIV-1 infection while on </w:t>
            </w:r>
            <w:r w:rsidR="00FD52A9" w:rsidRPr="0059470F">
              <w:rPr>
                <w:sz w:val="20"/>
                <w:szCs w:val="20"/>
              </w:rPr>
              <w:t>cabotegravir</w:t>
            </w:r>
            <w:r w:rsidRPr="0059470F">
              <w:rPr>
                <w:sz w:val="20"/>
                <w:szCs w:val="20"/>
              </w:rPr>
              <w:t xml:space="preserve"> </w:t>
            </w:r>
            <w:r w:rsidR="005C62ED" w:rsidRPr="0059470F">
              <w:rPr>
                <w:sz w:val="20"/>
                <w:szCs w:val="20"/>
              </w:rPr>
              <w:t>oral lead-in</w:t>
            </w:r>
            <w:r w:rsidRPr="0059470F">
              <w:rPr>
                <w:sz w:val="20"/>
                <w:szCs w:val="20"/>
              </w:rPr>
              <w:t xml:space="preserve"> or </w:t>
            </w:r>
            <w:r w:rsidR="00BB7D88" w:rsidRPr="0059470F">
              <w:rPr>
                <w:sz w:val="20"/>
                <w:szCs w:val="20"/>
              </w:rPr>
              <w:t xml:space="preserve">long-acting </w:t>
            </w:r>
            <w:r w:rsidRPr="0059470F">
              <w:rPr>
                <w:sz w:val="20"/>
                <w:szCs w:val="20"/>
              </w:rPr>
              <w:t>and delayed diagnosis</w:t>
            </w:r>
          </w:p>
          <w:p w14:paraId="3B766F89" w14:textId="65B98EDE" w:rsidR="003A1035" w:rsidRPr="0059470F" w:rsidRDefault="003A1035" w:rsidP="00C0260B">
            <w:pPr>
              <w:pStyle w:val="ListBullet"/>
              <w:rPr>
                <w:sz w:val="20"/>
                <w:szCs w:val="20"/>
              </w:rPr>
            </w:pPr>
            <w:r w:rsidRPr="0059470F">
              <w:rPr>
                <w:sz w:val="20"/>
                <w:szCs w:val="20"/>
              </w:rPr>
              <w:t>Potential risk of HIV</w:t>
            </w:r>
            <w:r w:rsidR="00BB7D88" w:rsidRPr="0059470F">
              <w:rPr>
                <w:sz w:val="20"/>
                <w:szCs w:val="20"/>
              </w:rPr>
              <w:noBreakHyphen/>
            </w:r>
            <w:r w:rsidRPr="0059470F">
              <w:rPr>
                <w:sz w:val="20"/>
                <w:szCs w:val="20"/>
              </w:rPr>
              <w:t>1 acquisition occurring during ‘PK</w:t>
            </w:r>
            <w:r w:rsidR="0023090E" w:rsidRPr="0059470F">
              <w:rPr>
                <w:sz w:val="20"/>
                <w:szCs w:val="20"/>
              </w:rPr>
              <w:t xml:space="preserve"> [pharmacokinetic]</w:t>
            </w:r>
            <w:r w:rsidRPr="0059470F">
              <w:rPr>
                <w:sz w:val="20"/>
                <w:szCs w:val="20"/>
              </w:rPr>
              <w:t xml:space="preserve"> tail’ and diagnosis is delayed, or effective </w:t>
            </w:r>
            <w:r w:rsidR="00F0419F" w:rsidRPr="0059470F">
              <w:rPr>
                <w:sz w:val="20"/>
                <w:szCs w:val="20"/>
              </w:rPr>
              <w:t xml:space="preserve">antiretroviral </w:t>
            </w:r>
            <w:r w:rsidRPr="0059470F">
              <w:rPr>
                <w:sz w:val="20"/>
                <w:szCs w:val="20"/>
              </w:rPr>
              <w:t>is not started timely</w:t>
            </w:r>
          </w:p>
        </w:tc>
        <w:tc>
          <w:tcPr>
            <w:tcW w:w="992" w:type="dxa"/>
          </w:tcPr>
          <w:p w14:paraId="49A19CB5" w14:textId="77777777" w:rsidR="003A1035" w:rsidRPr="0059470F" w:rsidRDefault="003A1035" w:rsidP="003A1035">
            <w:pPr>
              <w:pStyle w:val="Tabletext"/>
              <w:ind w:left="0" w:right="0"/>
              <w:jc w:val="center"/>
              <w:rPr>
                <w:sz w:val="20"/>
                <w:szCs w:val="20"/>
              </w:rPr>
            </w:pPr>
            <w:r w:rsidRPr="0059470F">
              <w:rPr>
                <w:sz w:val="20"/>
                <w:szCs w:val="20"/>
              </w:rPr>
              <w:sym w:font="Wingdings" w:char="F0FC"/>
            </w:r>
          </w:p>
        </w:tc>
        <w:tc>
          <w:tcPr>
            <w:tcW w:w="1276" w:type="dxa"/>
          </w:tcPr>
          <w:p w14:paraId="58059F99" w14:textId="77777777" w:rsidR="003A1035" w:rsidRPr="0059470F" w:rsidRDefault="003A1035" w:rsidP="003A1035">
            <w:pPr>
              <w:pStyle w:val="Tabletext"/>
              <w:ind w:left="0" w:right="0"/>
              <w:jc w:val="center"/>
              <w:rPr>
                <w:sz w:val="20"/>
                <w:szCs w:val="20"/>
              </w:rPr>
            </w:pPr>
            <w:r w:rsidRPr="0059470F">
              <w:rPr>
                <w:sz w:val="20"/>
                <w:szCs w:val="20"/>
              </w:rPr>
              <w:sym w:font="Wingdings" w:char="F0FC"/>
            </w:r>
            <w:r w:rsidRPr="0059470F">
              <w:rPr>
                <w:sz w:val="20"/>
                <w:szCs w:val="20"/>
              </w:rPr>
              <w:t>*</w:t>
            </w:r>
          </w:p>
        </w:tc>
        <w:tc>
          <w:tcPr>
            <w:tcW w:w="992" w:type="dxa"/>
          </w:tcPr>
          <w:p w14:paraId="6AC8943C" w14:textId="77777777" w:rsidR="003A1035" w:rsidRPr="0059470F" w:rsidRDefault="003A1035" w:rsidP="003A1035">
            <w:pPr>
              <w:pStyle w:val="Tabletext"/>
              <w:ind w:left="0" w:right="0"/>
              <w:jc w:val="center"/>
              <w:rPr>
                <w:sz w:val="20"/>
                <w:szCs w:val="20"/>
              </w:rPr>
            </w:pPr>
            <w:r w:rsidRPr="0059470F">
              <w:rPr>
                <w:sz w:val="20"/>
                <w:szCs w:val="20"/>
              </w:rPr>
              <w:sym w:font="Wingdings" w:char="F0FC"/>
            </w:r>
          </w:p>
        </w:tc>
        <w:tc>
          <w:tcPr>
            <w:tcW w:w="1276" w:type="dxa"/>
          </w:tcPr>
          <w:p w14:paraId="2BEBB1F7" w14:textId="77777777" w:rsidR="003A1035" w:rsidRPr="0059470F" w:rsidRDefault="003A1035" w:rsidP="003A1035">
            <w:pPr>
              <w:pStyle w:val="Tabletext"/>
              <w:ind w:left="0" w:right="0"/>
              <w:jc w:val="center"/>
              <w:rPr>
                <w:sz w:val="20"/>
                <w:szCs w:val="20"/>
              </w:rPr>
            </w:pPr>
            <w:r w:rsidRPr="0059470F">
              <w:rPr>
                <w:sz w:val="20"/>
                <w:szCs w:val="20"/>
              </w:rPr>
              <w:t>–</w:t>
            </w:r>
          </w:p>
        </w:tc>
      </w:tr>
      <w:tr w:rsidR="0059470F" w:rsidRPr="003C2E00" w14:paraId="6254822F" w14:textId="77777777" w:rsidTr="0059470F">
        <w:trPr>
          <w:trHeight w:val="159"/>
        </w:trPr>
        <w:tc>
          <w:tcPr>
            <w:tcW w:w="1413" w:type="dxa"/>
          </w:tcPr>
          <w:p w14:paraId="6F503A24" w14:textId="77777777" w:rsidR="003A1035" w:rsidRPr="0059470F" w:rsidRDefault="003A1035" w:rsidP="003A1035">
            <w:pPr>
              <w:pStyle w:val="Tabletext"/>
              <w:ind w:left="0" w:right="0"/>
              <w:rPr>
                <w:b/>
                <w:sz w:val="20"/>
                <w:szCs w:val="20"/>
              </w:rPr>
            </w:pPr>
            <w:r w:rsidRPr="0059470F">
              <w:rPr>
                <w:b/>
                <w:sz w:val="20"/>
                <w:szCs w:val="20"/>
              </w:rPr>
              <w:t>Important potential risks</w:t>
            </w:r>
          </w:p>
        </w:tc>
        <w:tc>
          <w:tcPr>
            <w:tcW w:w="2410" w:type="dxa"/>
          </w:tcPr>
          <w:p w14:paraId="73D36419" w14:textId="77777777" w:rsidR="003A1035" w:rsidRPr="0059470F" w:rsidRDefault="003A1035" w:rsidP="003A1035">
            <w:pPr>
              <w:pStyle w:val="Tabletext"/>
              <w:ind w:left="0" w:right="0"/>
              <w:rPr>
                <w:sz w:val="20"/>
                <w:szCs w:val="20"/>
              </w:rPr>
            </w:pPr>
            <w:r w:rsidRPr="0059470F">
              <w:rPr>
                <w:sz w:val="20"/>
                <w:szCs w:val="20"/>
              </w:rPr>
              <w:t>None</w:t>
            </w:r>
          </w:p>
        </w:tc>
        <w:tc>
          <w:tcPr>
            <w:tcW w:w="992" w:type="dxa"/>
          </w:tcPr>
          <w:p w14:paraId="0FB3F804" w14:textId="77777777" w:rsidR="003A1035" w:rsidRPr="0059470F" w:rsidRDefault="003A1035" w:rsidP="003A1035">
            <w:pPr>
              <w:pStyle w:val="Tabletext"/>
              <w:ind w:left="0" w:right="0"/>
              <w:jc w:val="center"/>
              <w:rPr>
                <w:sz w:val="20"/>
                <w:szCs w:val="20"/>
              </w:rPr>
            </w:pPr>
            <w:r w:rsidRPr="0059470F">
              <w:rPr>
                <w:sz w:val="20"/>
                <w:szCs w:val="20"/>
              </w:rPr>
              <w:t>–</w:t>
            </w:r>
          </w:p>
        </w:tc>
        <w:tc>
          <w:tcPr>
            <w:tcW w:w="1276" w:type="dxa"/>
          </w:tcPr>
          <w:p w14:paraId="063E5858" w14:textId="77777777" w:rsidR="003A1035" w:rsidRPr="0059470F" w:rsidRDefault="003A1035" w:rsidP="003A1035">
            <w:pPr>
              <w:pStyle w:val="Tabletext"/>
              <w:ind w:left="0" w:right="0"/>
              <w:jc w:val="center"/>
              <w:rPr>
                <w:sz w:val="20"/>
                <w:szCs w:val="20"/>
              </w:rPr>
            </w:pPr>
            <w:r w:rsidRPr="0059470F">
              <w:rPr>
                <w:sz w:val="20"/>
                <w:szCs w:val="20"/>
              </w:rPr>
              <w:t>–</w:t>
            </w:r>
          </w:p>
        </w:tc>
        <w:tc>
          <w:tcPr>
            <w:tcW w:w="992" w:type="dxa"/>
          </w:tcPr>
          <w:p w14:paraId="20CFE5DD" w14:textId="77777777" w:rsidR="003A1035" w:rsidRPr="0059470F" w:rsidRDefault="003A1035" w:rsidP="003A1035">
            <w:pPr>
              <w:pStyle w:val="Tabletext"/>
              <w:ind w:left="0" w:right="0"/>
              <w:jc w:val="center"/>
              <w:rPr>
                <w:sz w:val="20"/>
                <w:szCs w:val="20"/>
              </w:rPr>
            </w:pPr>
            <w:r w:rsidRPr="0059470F">
              <w:rPr>
                <w:sz w:val="20"/>
                <w:szCs w:val="20"/>
              </w:rPr>
              <w:t>–</w:t>
            </w:r>
          </w:p>
        </w:tc>
        <w:tc>
          <w:tcPr>
            <w:tcW w:w="1276" w:type="dxa"/>
          </w:tcPr>
          <w:p w14:paraId="62B2041C" w14:textId="77777777" w:rsidR="003A1035" w:rsidRPr="0059470F" w:rsidRDefault="003A1035" w:rsidP="003A1035">
            <w:pPr>
              <w:pStyle w:val="Tabletext"/>
              <w:ind w:left="0" w:right="0"/>
              <w:jc w:val="center"/>
              <w:rPr>
                <w:sz w:val="20"/>
                <w:szCs w:val="20"/>
              </w:rPr>
            </w:pPr>
            <w:r w:rsidRPr="0059470F">
              <w:rPr>
                <w:sz w:val="20"/>
                <w:szCs w:val="20"/>
              </w:rPr>
              <w:t>–</w:t>
            </w:r>
          </w:p>
        </w:tc>
      </w:tr>
      <w:tr w:rsidR="0059470F" w:rsidRPr="003C2E00" w14:paraId="7EF281B2" w14:textId="77777777" w:rsidTr="0059470F">
        <w:trPr>
          <w:trHeight w:val="178"/>
        </w:trPr>
        <w:tc>
          <w:tcPr>
            <w:tcW w:w="1413" w:type="dxa"/>
          </w:tcPr>
          <w:p w14:paraId="5F132102" w14:textId="77777777" w:rsidR="003A1035" w:rsidRPr="0059470F" w:rsidRDefault="003A1035" w:rsidP="003A1035">
            <w:pPr>
              <w:pStyle w:val="Tabletext"/>
              <w:ind w:left="0" w:right="0"/>
              <w:rPr>
                <w:b/>
                <w:sz w:val="20"/>
                <w:szCs w:val="20"/>
              </w:rPr>
            </w:pPr>
            <w:r w:rsidRPr="0059470F">
              <w:rPr>
                <w:b/>
                <w:sz w:val="20"/>
                <w:szCs w:val="20"/>
              </w:rPr>
              <w:t>Missing information</w:t>
            </w:r>
          </w:p>
        </w:tc>
        <w:tc>
          <w:tcPr>
            <w:tcW w:w="2410" w:type="dxa"/>
          </w:tcPr>
          <w:p w14:paraId="7BE6450E" w14:textId="77777777" w:rsidR="003A1035" w:rsidRPr="0059470F" w:rsidRDefault="003A1035" w:rsidP="003A1035">
            <w:pPr>
              <w:pStyle w:val="Tabletext"/>
              <w:ind w:left="0" w:right="0"/>
              <w:rPr>
                <w:sz w:val="20"/>
                <w:szCs w:val="20"/>
              </w:rPr>
            </w:pPr>
            <w:r w:rsidRPr="0059470F">
              <w:rPr>
                <w:sz w:val="20"/>
                <w:szCs w:val="20"/>
              </w:rPr>
              <w:t>Use in pregnancy</w:t>
            </w:r>
          </w:p>
        </w:tc>
        <w:tc>
          <w:tcPr>
            <w:tcW w:w="992" w:type="dxa"/>
          </w:tcPr>
          <w:p w14:paraId="4BF4298A" w14:textId="77777777" w:rsidR="003A1035" w:rsidRPr="0059470F" w:rsidRDefault="003A1035" w:rsidP="003A1035">
            <w:pPr>
              <w:pStyle w:val="Tabletext"/>
              <w:ind w:left="0" w:right="0"/>
              <w:jc w:val="center"/>
              <w:rPr>
                <w:sz w:val="20"/>
                <w:szCs w:val="20"/>
              </w:rPr>
            </w:pPr>
            <w:r w:rsidRPr="0059470F">
              <w:rPr>
                <w:sz w:val="20"/>
                <w:szCs w:val="20"/>
              </w:rPr>
              <w:sym w:font="Wingdings" w:char="F0FC"/>
            </w:r>
          </w:p>
        </w:tc>
        <w:tc>
          <w:tcPr>
            <w:tcW w:w="1276" w:type="dxa"/>
          </w:tcPr>
          <w:p w14:paraId="70EA6BEC" w14:textId="77777777" w:rsidR="003A1035" w:rsidRPr="0059470F" w:rsidRDefault="003A1035" w:rsidP="003A1035">
            <w:pPr>
              <w:pStyle w:val="Tabletext"/>
              <w:ind w:left="0" w:right="0"/>
              <w:jc w:val="center"/>
              <w:rPr>
                <w:sz w:val="20"/>
                <w:szCs w:val="20"/>
              </w:rPr>
            </w:pPr>
            <w:r w:rsidRPr="0059470F">
              <w:rPr>
                <w:sz w:val="20"/>
                <w:szCs w:val="20"/>
              </w:rPr>
              <w:sym w:font="Wingdings" w:char="F0FC"/>
            </w:r>
            <w:r w:rsidRPr="0059470F">
              <w:rPr>
                <w:rFonts w:asciiTheme="majorHAnsi" w:hAnsiTheme="majorHAnsi"/>
                <w:sz w:val="20"/>
                <w:szCs w:val="20"/>
              </w:rPr>
              <w:t>†</w:t>
            </w:r>
          </w:p>
        </w:tc>
        <w:tc>
          <w:tcPr>
            <w:tcW w:w="992" w:type="dxa"/>
          </w:tcPr>
          <w:p w14:paraId="6C3B1FF0" w14:textId="77777777" w:rsidR="003A1035" w:rsidRPr="0059470F" w:rsidRDefault="003A1035" w:rsidP="003A1035">
            <w:pPr>
              <w:pStyle w:val="Tabletext"/>
              <w:ind w:left="0" w:right="0"/>
              <w:jc w:val="center"/>
              <w:rPr>
                <w:sz w:val="20"/>
                <w:szCs w:val="20"/>
              </w:rPr>
            </w:pPr>
            <w:r w:rsidRPr="0059470F">
              <w:rPr>
                <w:sz w:val="20"/>
                <w:szCs w:val="20"/>
              </w:rPr>
              <w:sym w:font="Wingdings" w:char="F0FC"/>
            </w:r>
          </w:p>
        </w:tc>
        <w:tc>
          <w:tcPr>
            <w:tcW w:w="1276" w:type="dxa"/>
          </w:tcPr>
          <w:p w14:paraId="334526E9" w14:textId="77777777" w:rsidR="003A1035" w:rsidRPr="0059470F" w:rsidRDefault="003A1035" w:rsidP="003A1035">
            <w:pPr>
              <w:pStyle w:val="Tabletext"/>
              <w:ind w:left="0" w:right="0"/>
              <w:jc w:val="center"/>
              <w:rPr>
                <w:sz w:val="20"/>
                <w:szCs w:val="20"/>
              </w:rPr>
            </w:pPr>
            <w:r w:rsidRPr="0059470F">
              <w:rPr>
                <w:sz w:val="20"/>
                <w:szCs w:val="20"/>
              </w:rPr>
              <w:t>–</w:t>
            </w:r>
          </w:p>
        </w:tc>
      </w:tr>
    </w:tbl>
    <w:p w14:paraId="38668DB0" w14:textId="715A0BF2" w:rsidR="003A1035" w:rsidRPr="00527BFD" w:rsidRDefault="003A1035" w:rsidP="003A1035">
      <w:pPr>
        <w:pStyle w:val="TableDescription"/>
      </w:pPr>
      <w:r w:rsidRPr="00527BFD">
        <w:t>*</w:t>
      </w:r>
      <w:r w:rsidR="00A30BD9">
        <w:t xml:space="preserve"> </w:t>
      </w:r>
      <w:r w:rsidR="00C0260B" w:rsidRPr="00527BFD">
        <w:t xml:space="preserve">Cabotegravir </w:t>
      </w:r>
      <w:r w:rsidR="00BB7D88" w:rsidRPr="00BB7D88">
        <w:t xml:space="preserve">long-acting </w:t>
      </w:r>
      <w:r w:rsidR="005A3930" w:rsidRPr="00527BFD">
        <w:t xml:space="preserve">pre-exposure prophylaxis </w:t>
      </w:r>
      <w:r w:rsidR="00C0260B" w:rsidRPr="00527BFD">
        <w:t>cohort study to assess adherence and effectiveness, and monitor for safety and resistance</w:t>
      </w:r>
    </w:p>
    <w:p w14:paraId="7CCE8A57" w14:textId="468B73B0" w:rsidR="003A1035" w:rsidRPr="00527BFD" w:rsidRDefault="003A1035" w:rsidP="003A1035">
      <w:pPr>
        <w:pStyle w:val="TableDescription"/>
      </w:pPr>
      <w:r w:rsidRPr="00527BFD">
        <w:lastRenderedPageBreak/>
        <w:t xml:space="preserve">† Antiretroviral </w:t>
      </w:r>
      <w:r w:rsidR="00C0260B" w:rsidRPr="00527BFD">
        <w:t>pregnancy registry</w:t>
      </w:r>
    </w:p>
    <w:p w14:paraId="1A9E2B10" w14:textId="4DDF0933" w:rsidR="003A1035" w:rsidRPr="00527BFD" w:rsidRDefault="003A1035" w:rsidP="003A1035">
      <w:pPr>
        <w:pStyle w:val="ListBullet"/>
      </w:pPr>
      <w:r w:rsidRPr="00527BFD">
        <w:t>No new safety concerns have been identified by the clinical evaluat</w:t>
      </w:r>
      <w:r w:rsidR="00462EFD" w:rsidRPr="00527BFD">
        <w:t>ion</w:t>
      </w:r>
      <w:r w:rsidRPr="00527BFD">
        <w:t xml:space="preserve"> and the sponsor has satisfactorily addressed RMP recommendation 1.</w:t>
      </w:r>
      <w:r w:rsidR="005F7C07">
        <w:rPr>
          <w:rStyle w:val="FootnoteReference"/>
        </w:rPr>
        <w:footnoteReference w:id="14"/>
      </w:r>
      <w:r w:rsidRPr="00527BFD">
        <w:t xml:space="preserve"> Therefore, the summary of safety concerns is satisfactory.</w:t>
      </w:r>
    </w:p>
    <w:p w14:paraId="40E6B73D" w14:textId="5698AA58" w:rsidR="003A1035" w:rsidRPr="00527BFD" w:rsidRDefault="003A1035" w:rsidP="003A1035">
      <w:pPr>
        <w:pStyle w:val="ListBullet"/>
      </w:pPr>
      <w:r w:rsidRPr="00527BFD">
        <w:t xml:space="preserve">Routine and additional pharmacovigilance activities are proposed. Planned additional pharmacovigilance activities include </w:t>
      </w:r>
      <w:r w:rsidR="00FD52A9" w:rsidRPr="00527BFD">
        <w:t>cabotegravir</w:t>
      </w:r>
      <w:r w:rsidRPr="00527BFD">
        <w:t xml:space="preserve"> LA </w:t>
      </w:r>
      <w:proofErr w:type="spellStart"/>
      <w:r w:rsidRPr="00527BFD">
        <w:t>PrEP</w:t>
      </w:r>
      <w:proofErr w:type="spellEnd"/>
      <w:r w:rsidRPr="00527BFD">
        <w:t xml:space="preserve"> </w:t>
      </w:r>
      <w:r w:rsidR="003903E5" w:rsidRPr="00527BFD">
        <w:t xml:space="preserve">cohort study </w:t>
      </w:r>
      <w:r w:rsidRPr="00527BFD">
        <w:t xml:space="preserve">to assess adherence and effectiveness and monitor for safety and resistance (EU patients only) and an Antiretroviral Pregnancy Registry (APR) which is multinational. The pharmacovigilance plan is acceptable and will provide further information </w:t>
      </w:r>
      <w:r w:rsidR="003903E5" w:rsidRPr="00527BFD">
        <w:t>on the important identified risks and missing information in the summary of safety concerns</w:t>
      </w:r>
      <w:r w:rsidRPr="00527BFD">
        <w:t>.</w:t>
      </w:r>
    </w:p>
    <w:p w14:paraId="4E029CE7" w14:textId="5E24D581" w:rsidR="003A1035" w:rsidRPr="00527BFD" w:rsidRDefault="003A1035" w:rsidP="003A1035">
      <w:pPr>
        <w:pStyle w:val="ListBullet"/>
      </w:pPr>
      <w:r w:rsidRPr="00527BFD">
        <w:t>Routine risk minimisation activities only are proposed which has been previously considered acceptable.</w:t>
      </w:r>
    </w:p>
    <w:p w14:paraId="48D4EC29" w14:textId="77777777" w:rsidR="008E7846" w:rsidRPr="00527BFD" w:rsidRDefault="00AA0ED0" w:rsidP="008E7846">
      <w:pPr>
        <w:pStyle w:val="Heading3"/>
      </w:pPr>
      <w:bookmarkStart w:id="127" w:name="_Toc120100544"/>
      <w:r w:rsidRPr="00527BFD">
        <w:t>Risk-benefit a</w:t>
      </w:r>
      <w:r w:rsidR="008E7846" w:rsidRPr="00527BFD">
        <w:t>nalysis</w:t>
      </w:r>
      <w:bookmarkEnd w:id="121"/>
      <w:bookmarkEnd w:id="122"/>
      <w:bookmarkEnd w:id="127"/>
    </w:p>
    <w:p w14:paraId="2B74C9F2" w14:textId="77777777" w:rsidR="0074163C" w:rsidRPr="00527BFD" w:rsidRDefault="0074163C" w:rsidP="0074163C">
      <w:pPr>
        <w:pStyle w:val="Heading4"/>
      </w:pPr>
      <w:bookmarkStart w:id="128" w:name="_Toc98931932"/>
      <w:r w:rsidRPr="00527BFD">
        <w:t>Delegate’s considerations</w:t>
      </w:r>
      <w:bookmarkEnd w:id="128"/>
    </w:p>
    <w:p w14:paraId="7D66F1BC" w14:textId="71ABE855" w:rsidR="005F4DCE" w:rsidRDefault="005F4DCE" w:rsidP="006F211B">
      <w:pPr>
        <w:pStyle w:val="Heading5"/>
      </w:pPr>
      <w:r>
        <w:t>Pre-exposure prophylaxis</w:t>
      </w:r>
    </w:p>
    <w:p w14:paraId="5C79ACBB" w14:textId="5C9FE6D2" w:rsidR="003768A7" w:rsidRPr="00527BFD" w:rsidRDefault="003768A7" w:rsidP="003768A7">
      <w:r w:rsidRPr="00527BFD">
        <w:t xml:space="preserve">The </w:t>
      </w:r>
      <w:r w:rsidR="005A3930" w:rsidRPr="00527BFD">
        <w:t>human immunodeficiency virus (</w:t>
      </w:r>
      <w:r w:rsidRPr="00527BFD">
        <w:t>HIV</w:t>
      </w:r>
      <w:r w:rsidR="005A3930" w:rsidRPr="00527BFD">
        <w:t>)</w:t>
      </w:r>
      <w:r w:rsidRPr="00527BFD">
        <w:t xml:space="preserve"> pandemic remains a global public health concern, and an ongoing issue in Australia.</w:t>
      </w:r>
      <w:r w:rsidR="005F0BCE" w:rsidRPr="00527BFD">
        <w:t xml:space="preserve"> </w:t>
      </w:r>
      <w:r w:rsidRPr="00527BFD">
        <w:t>Whilst HIV infection can now be managed very effectively with antiretroviral drugs, there are significant ongoing morbidity and chronic disease costs and monitoring, and no cure or vaccination is currently available. Thus, prevention of infection including the use of pre-exposure prophylaxis</w:t>
      </w:r>
      <w:r w:rsidR="00356947" w:rsidRPr="00527BFD">
        <w:t xml:space="preserve"> (</w:t>
      </w:r>
      <w:proofErr w:type="spellStart"/>
      <w:r w:rsidR="00356947" w:rsidRPr="00527BFD">
        <w:t>PrEP</w:t>
      </w:r>
      <w:proofErr w:type="spellEnd"/>
      <w:r w:rsidR="00356947" w:rsidRPr="00527BFD">
        <w:t>)</w:t>
      </w:r>
      <w:r w:rsidRPr="00527BFD">
        <w:t>, remains an important priority.</w:t>
      </w:r>
    </w:p>
    <w:p w14:paraId="3FE9403D" w14:textId="7C2DD9FA" w:rsidR="005F4DCE" w:rsidRDefault="003768A7" w:rsidP="003A1035">
      <w:r w:rsidRPr="00527BFD">
        <w:t xml:space="preserve">The current available HIV </w:t>
      </w:r>
      <w:proofErr w:type="spellStart"/>
      <w:r w:rsidRPr="00527BFD">
        <w:t>PrEP</w:t>
      </w:r>
      <w:proofErr w:type="spellEnd"/>
      <w:r w:rsidRPr="00527BFD">
        <w:t xml:space="preserve"> includes 2 tenofovir-based, fixed-dose antiretroviral combination regimens, </w:t>
      </w:r>
      <w:r w:rsidR="000D7AA5" w:rsidRPr="00527BFD">
        <w:t>tenofovir disoproxil fumarate (</w:t>
      </w:r>
      <w:r w:rsidRPr="00527BFD">
        <w:t>TDF</w:t>
      </w:r>
      <w:r w:rsidR="000D7AA5" w:rsidRPr="00527BFD">
        <w:t>)</w:t>
      </w:r>
      <w:r w:rsidRPr="00527BFD">
        <w:t>/</w:t>
      </w:r>
      <w:r w:rsidR="000B10F7" w:rsidRPr="00527BFD">
        <w:t>emtricitabine</w:t>
      </w:r>
      <w:r w:rsidRPr="00527BFD">
        <w:t xml:space="preserve"> (</w:t>
      </w:r>
      <w:r w:rsidR="00A34410" w:rsidRPr="00527BFD">
        <w:t>Truv</w:t>
      </w:r>
      <w:r w:rsidR="004221E5">
        <w:t>a</w:t>
      </w:r>
      <w:r w:rsidR="00A34410" w:rsidRPr="00527BFD">
        <w:t>da</w:t>
      </w:r>
      <w:r w:rsidRPr="00527BFD">
        <w:t>)</w:t>
      </w:r>
      <w:r w:rsidR="00760F5D" w:rsidRPr="00760F5D">
        <w:rPr>
          <w:vertAlign w:val="superscript"/>
        </w:rPr>
        <w:fldChar w:fldCharType="begin"/>
      </w:r>
      <w:r w:rsidR="00760F5D" w:rsidRPr="00760F5D">
        <w:rPr>
          <w:vertAlign w:val="superscript"/>
        </w:rPr>
        <w:instrText xml:space="preserve"> NOTEREF _Ref116218581 \h </w:instrText>
      </w:r>
      <w:r w:rsidR="00760F5D">
        <w:rPr>
          <w:vertAlign w:val="superscript"/>
        </w:rPr>
        <w:instrText xml:space="preserve"> \* MERGEFORMAT </w:instrText>
      </w:r>
      <w:r w:rsidR="00760F5D" w:rsidRPr="00760F5D">
        <w:rPr>
          <w:vertAlign w:val="superscript"/>
        </w:rPr>
      </w:r>
      <w:r w:rsidR="00760F5D" w:rsidRPr="00760F5D">
        <w:rPr>
          <w:vertAlign w:val="superscript"/>
        </w:rPr>
        <w:fldChar w:fldCharType="separate"/>
      </w:r>
      <w:r w:rsidR="001702C9">
        <w:rPr>
          <w:vertAlign w:val="superscript"/>
        </w:rPr>
        <w:t>5</w:t>
      </w:r>
      <w:r w:rsidR="00760F5D" w:rsidRPr="00760F5D">
        <w:rPr>
          <w:vertAlign w:val="superscript"/>
        </w:rPr>
        <w:fldChar w:fldCharType="end"/>
      </w:r>
      <w:r w:rsidRPr="00527BFD">
        <w:t xml:space="preserve"> and </w:t>
      </w:r>
      <w:r w:rsidR="000D7AA5" w:rsidRPr="00527BFD">
        <w:t>tenofovir alafenamide (</w:t>
      </w:r>
      <w:r w:rsidRPr="00527BFD">
        <w:t>TAF</w:t>
      </w:r>
      <w:r w:rsidR="000D7AA5" w:rsidRPr="00527BFD">
        <w:t>)</w:t>
      </w:r>
      <w:r w:rsidRPr="00527BFD">
        <w:t>/</w:t>
      </w:r>
      <w:r w:rsidR="000B10F7" w:rsidRPr="00527BFD">
        <w:t>emtricitabine</w:t>
      </w:r>
      <w:r w:rsidRPr="00527BFD">
        <w:t xml:space="preserve"> (</w:t>
      </w:r>
      <w:proofErr w:type="spellStart"/>
      <w:r w:rsidR="00A34410" w:rsidRPr="00527BFD">
        <w:t>Descovy</w:t>
      </w:r>
      <w:proofErr w:type="spellEnd"/>
      <w:r w:rsidRPr="00527BFD">
        <w:t>)</w:t>
      </w:r>
      <w:r w:rsidR="004221E5" w:rsidRPr="004221E5">
        <w:rPr>
          <w:vertAlign w:val="superscript"/>
        </w:rPr>
        <w:fldChar w:fldCharType="begin"/>
      </w:r>
      <w:r w:rsidR="004221E5" w:rsidRPr="004221E5">
        <w:rPr>
          <w:vertAlign w:val="superscript"/>
        </w:rPr>
        <w:instrText xml:space="preserve"> NOTEREF _Ref116218533 \h </w:instrText>
      </w:r>
      <w:r w:rsidR="004221E5">
        <w:rPr>
          <w:vertAlign w:val="superscript"/>
        </w:rPr>
        <w:instrText xml:space="preserve"> \* MERGEFORMAT </w:instrText>
      </w:r>
      <w:r w:rsidR="004221E5" w:rsidRPr="004221E5">
        <w:rPr>
          <w:vertAlign w:val="superscript"/>
        </w:rPr>
      </w:r>
      <w:r w:rsidR="004221E5" w:rsidRPr="004221E5">
        <w:rPr>
          <w:vertAlign w:val="superscript"/>
        </w:rPr>
        <w:fldChar w:fldCharType="separate"/>
      </w:r>
      <w:r w:rsidR="001702C9">
        <w:rPr>
          <w:vertAlign w:val="superscript"/>
        </w:rPr>
        <w:t>7</w:t>
      </w:r>
      <w:r w:rsidR="004221E5" w:rsidRPr="004221E5">
        <w:rPr>
          <w:vertAlign w:val="superscript"/>
        </w:rPr>
        <w:fldChar w:fldCharType="end"/>
      </w:r>
      <w:r w:rsidRPr="00527BFD">
        <w:t xml:space="preserve"> requiring daily oral administration.</w:t>
      </w:r>
      <w:r w:rsidR="005F4DCE" w:rsidRPr="00760F5D">
        <w:rPr>
          <w:vertAlign w:val="superscript"/>
        </w:rPr>
        <w:fldChar w:fldCharType="begin"/>
      </w:r>
      <w:r w:rsidR="005F4DCE" w:rsidRPr="00760F5D">
        <w:rPr>
          <w:vertAlign w:val="superscript"/>
        </w:rPr>
        <w:instrText xml:space="preserve"> NOTEREF _Ref119671347 \h </w:instrText>
      </w:r>
      <w:r w:rsidR="005F4DCE">
        <w:rPr>
          <w:vertAlign w:val="superscript"/>
        </w:rPr>
        <w:instrText xml:space="preserve"> \* MERGEFORMAT </w:instrText>
      </w:r>
      <w:r w:rsidR="005F4DCE" w:rsidRPr="00760F5D">
        <w:rPr>
          <w:vertAlign w:val="superscript"/>
        </w:rPr>
      </w:r>
      <w:r w:rsidR="005F4DCE" w:rsidRPr="00760F5D">
        <w:rPr>
          <w:vertAlign w:val="superscript"/>
        </w:rPr>
        <w:fldChar w:fldCharType="separate"/>
      </w:r>
      <w:r w:rsidR="001702C9">
        <w:rPr>
          <w:vertAlign w:val="superscript"/>
        </w:rPr>
        <w:t>4</w:t>
      </w:r>
      <w:r w:rsidR="005F4DCE" w:rsidRPr="00760F5D">
        <w:rPr>
          <w:vertAlign w:val="superscript"/>
        </w:rPr>
        <w:fldChar w:fldCharType="end"/>
      </w:r>
      <w:r w:rsidRPr="00527BFD">
        <w:t xml:space="preserve"> These are indicated for use in combination with safer sex practices and are approved and are available in Australia and </w:t>
      </w:r>
      <w:r w:rsidR="00A34410" w:rsidRPr="00527BFD">
        <w:t>internationally</w:t>
      </w:r>
      <w:r w:rsidRPr="00527BFD">
        <w:t>.</w:t>
      </w:r>
      <w:r w:rsidR="005F4DCE" w:rsidRPr="00675F03">
        <w:rPr>
          <w:vertAlign w:val="superscript"/>
        </w:rPr>
        <w:fldChar w:fldCharType="begin"/>
      </w:r>
      <w:r w:rsidR="005F4DCE" w:rsidRPr="00675F03">
        <w:rPr>
          <w:vertAlign w:val="superscript"/>
        </w:rPr>
        <w:instrText xml:space="preserve"> NOTEREF _Ref119671347 \h </w:instrText>
      </w:r>
      <w:r w:rsidR="005F4DCE">
        <w:rPr>
          <w:vertAlign w:val="superscript"/>
        </w:rPr>
        <w:instrText xml:space="preserve"> \* MERGEFORMAT </w:instrText>
      </w:r>
      <w:r w:rsidR="005F4DCE" w:rsidRPr="00675F03">
        <w:rPr>
          <w:vertAlign w:val="superscript"/>
        </w:rPr>
      </w:r>
      <w:r w:rsidR="005F4DCE" w:rsidRPr="00675F03">
        <w:rPr>
          <w:vertAlign w:val="superscript"/>
        </w:rPr>
        <w:fldChar w:fldCharType="separate"/>
      </w:r>
      <w:r w:rsidR="001702C9">
        <w:rPr>
          <w:vertAlign w:val="superscript"/>
        </w:rPr>
        <w:t>4</w:t>
      </w:r>
      <w:r w:rsidR="005F4DCE" w:rsidRPr="00675F03">
        <w:rPr>
          <w:vertAlign w:val="superscript"/>
        </w:rPr>
        <w:fldChar w:fldCharType="end"/>
      </w:r>
      <w:r w:rsidR="005F0BCE" w:rsidRPr="00527BFD">
        <w:t xml:space="preserve"> </w:t>
      </w:r>
      <w:r w:rsidRPr="00527BFD">
        <w:t>When used as instructed these are reasonably effective. However, the use of TDF/</w:t>
      </w:r>
      <w:r w:rsidR="000B10F7" w:rsidRPr="00527BFD">
        <w:t>emtricitabine</w:t>
      </w:r>
      <w:r w:rsidRPr="00527BFD">
        <w:t xml:space="preserve"> and TAF/</w:t>
      </w:r>
      <w:r w:rsidR="000B10F7" w:rsidRPr="00527BFD">
        <w:t>emtricitabine</w:t>
      </w:r>
      <w:r w:rsidRPr="00527BFD">
        <w:t xml:space="preserve"> for </w:t>
      </w:r>
      <w:proofErr w:type="spellStart"/>
      <w:r w:rsidRPr="00527BFD">
        <w:t>PrEP</w:t>
      </w:r>
      <w:proofErr w:type="spellEnd"/>
      <w:r w:rsidRPr="00527BFD">
        <w:t xml:space="preserve"> has limitations.</w:t>
      </w:r>
    </w:p>
    <w:p w14:paraId="42E464EA" w14:textId="15C9274A" w:rsidR="003768A7" w:rsidRDefault="003768A7" w:rsidP="003A1035">
      <w:r w:rsidRPr="00527BFD">
        <w:t>In a systematic review of randomi</w:t>
      </w:r>
      <w:r w:rsidR="00462EFD" w:rsidRPr="00527BFD">
        <w:t>s</w:t>
      </w:r>
      <w:r w:rsidRPr="00527BFD">
        <w:t xml:space="preserve">ed clinical trials of oral </w:t>
      </w:r>
      <w:proofErr w:type="spellStart"/>
      <w:r w:rsidRPr="00527BFD">
        <w:t>PrEP</w:t>
      </w:r>
      <w:proofErr w:type="spellEnd"/>
      <w:r w:rsidRPr="00527BFD">
        <w:t xml:space="preserve"> versus placebo or no oral </w:t>
      </w:r>
      <w:proofErr w:type="spellStart"/>
      <w:r w:rsidRPr="00527BFD">
        <w:t>PrEP</w:t>
      </w:r>
      <w:proofErr w:type="spellEnd"/>
      <w:r w:rsidRPr="00527BFD">
        <w:t xml:space="preserve">, adherence rate of </w:t>
      </w:r>
      <w:r w:rsidR="00754F3F" w:rsidRPr="00527BFD">
        <w:t xml:space="preserve">higher than </w:t>
      </w:r>
      <w:r w:rsidRPr="00527BFD">
        <w:t xml:space="preserve">70% to oral </w:t>
      </w:r>
      <w:proofErr w:type="spellStart"/>
      <w:r w:rsidRPr="00527BFD">
        <w:t>PrEP</w:t>
      </w:r>
      <w:proofErr w:type="spellEnd"/>
      <w:r w:rsidRPr="00527BFD">
        <w:t xml:space="preserve"> was associated with 73% effectiveness in the reduction of new HIV-1 infections, while adherences between 40% to 70% or </w:t>
      </w:r>
      <w:r w:rsidR="00754F3F" w:rsidRPr="00527BFD">
        <w:t xml:space="preserve">lower than </w:t>
      </w:r>
      <w:r w:rsidRPr="00527BFD">
        <w:t>40% were associated with effectiveness rates of 49% and 7%, respectively</w:t>
      </w:r>
      <w:r w:rsidR="00A34410" w:rsidRPr="00527BFD">
        <w:t>.</w:t>
      </w:r>
      <w:r w:rsidR="00A34410" w:rsidRPr="00527BFD">
        <w:rPr>
          <w:rStyle w:val="FootnoteReference"/>
        </w:rPr>
        <w:footnoteReference w:id="15"/>
      </w:r>
      <w:r w:rsidR="00A34410" w:rsidRPr="00527BFD">
        <w:t xml:space="preserve"> </w:t>
      </w:r>
      <w:r w:rsidRPr="00527BFD">
        <w:t>There are substantial data to support acceptance and preference for less frequent dosing.</w:t>
      </w:r>
      <w:r w:rsidR="00A34410" w:rsidRPr="004221E5">
        <w:rPr>
          <w:rStyle w:val="FootnoteReference"/>
        </w:rPr>
        <w:footnoteReference w:id="16"/>
      </w:r>
      <w:r w:rsidR="004221E5" w:rsidRPr="004221E5">
        <w:rPr>
          <w:vertAlign w:val="superscript"/>
        </w:rPr>
        <w:t>,</w:t>
      </w:r>
      <w:r w:rsidR="004221E5" w:rsidRPr="004221E5">
        <w:rPr>
          <w:rStyle w:val="FootnoteReference"/>
        </w:rPr>
        <w:footnoteReference w:id="17"/>
      </w:r>
      <w:r w:rsidR="004221E5" w:rsidRPr="004221E5">
        <w:rPr>
          <w:vertAlign w:val="superscript"/>
        </w:rPr>
        <w:t>,</w:t>
      </w:r>
      <w:r w:rsidR="004221E5" w:rsidRPr="004221E5">
        <w:rPr>
          <w:rStyle w:val="FootnoteReference"/>
        </w:rPr>
        <w:footnoteReference w:id="18"/>
      </w:r>
      <w:r w:rsidRPr="00527BFD">
        <w:t xml:space="preserve"> The </w:t>
      </w:r>
      <w:r w:rsidR="00FD52A9" w:rsidRPr="00527BFD">
        <w:t>cabotegravir</w:t>
      </w:r>
      <w:r w:rsidRPr="00527BFD">
        <w:t xml:space="preserve"> </w:t>
      </w:r>
      <w:proofErr w:type="spellStart"/>
      <w:r w:rsidRPr="00527BFD">
        <w:t>PrEP</w:t>
      </w:r>
      <w:proofErr w:type="spellEnd"/>
      <w:r w:rsidRPr="00527BFD">
        <w:t xml:space="preserve"> long</w:t>
      </w:r>
      <w:r w:rsidR="00A34410" w:rsidRPr="00527BFD">
        <w:noBreakHyphen/>
      </w:r>
      <w:r w:rsidRPr="00527BFD">
        <w:t>acting HIV-1 prophylaxis option has the potential to improve adherence, and thus may provide a more effective option for people at risk of acquiring HIV.</w:t>
      </w:r>
    </w:p>
    <w:p w14:paraId="41730823" w14:textId="0D44DF64" w:rsidR="005F4DCE" w:rsidRPr="00527BFD" w:rsidRDefault="005F4DCE" w:rsidP="006F211B">
      <w:pPr>
        <w:pStyle w:val="Heading5"/>
      </w:pPr>
      <w:r>
        <w:lastRenderedPageBreak/>
        <w:t>Summary of efficacy and safety</w:t>
      </w:r>
    </w:p>
    <w:p w14:paraId="572A3FFF" w14:textId="1292F50B" w:rsidR="003768A7" w:rsidRPr="00527BFD" w:rsidRDefault="003768A7" w:rsidP="003A1035">
      <w:r w:rsidRPr="00527BFD">
        <w:t>In the two large</w:t>
      </w:r>
      <w:r w:rsidR="00A34410" w:rsidRPr="00527BFD">
        <w:t xml:space="preserve"> </w:t>
      </w:r>
      <w:r w:rsidRPr="00527BFD">
        <w:t>scale multinational prospective randomised clinical trials (</w:t>
      </w:r>
      <w:r w:rsidR="00BB0AC1" w:rsidRPr="00527BFD">
        <w:t>the HPTN</w:t>
      </w:r>
      <w:r w:rsidR="00A34410" w:rsidRPr="00527BFD">
        <w:t> </w:t>
      </w:r>
      <w:r w:rsidR="00BB0AC1" w:rsidRPr="00527BFD">
        <w:t xml:space="preserve">083 </w:t>
      </w:r>
      <w:r w:rsidRPr="00527BFD">
        <w:t>and HPTN 084</w:t>
      </w:r>
      <w:r w:rsidR="00CC53B1" w:rsidRPr="00527BFD">
        <w:t xml:space="preserve"> trials</w:t>
      </w:r>
      <w:r w:rsidRPr="00527BFD">
        <w:t xml:space="preserve">) investigating the efficacy of </w:t>
      </w:r>
      <w:r w:rsidR="00FD52A9" w:rsidRPr="00527BFD">
        <w:t>cabotegravir</w:t>
      </w:r>
      <w:r w:rsidRPr="00527BFD">
        <w:t xml:space="preserve">, a long-acting injectable drug for HIV prevention; compared with daily combined oral TDF and emtricitabine there is improved effectiveness of </w:t>
      </w:r>
      <w:r w:rsidR="00FD52A9" w:rsidRPr="00527BFD">
        <w:t>cabotegravir</w:t>
      </w:r>
      <w:r w:rsidRPr="00527BFD">
        <w:t xml:space="preserve"> over TDF/</w:t>
      </w:r>
      <w:r w:rsidR="000B10F7" w:rsidRPr="00527BFD">
        <w:t>emtricitabine</w:t>
      </w:r>
      <w:r w:rsidRPr="00527BFD">
        <w:t>. Together these two studies enrolled 7</w:t>
      </w:r>
      <w:r w:rsidR="00A34410" w:rsidRPr="00527BFD">
        <w:t>,</w:t>
      </w:r>
      <w:r w:rsidRPr="00527BFD">
        <w:t xml:space="preserve">794 participants, including men who have sex with men, transgender and cisgender women, populations who are at high risk for sexually acquired HIV infection and were conducted in countries where there is a large burden of HIV infection. </w:t>
      </w:r>
      <w:r w:rsidR="00FD52A9" w:rsidRPr="00527BFD">
        <w:t>cabotegravir</w:t>
      </w:r>
      <w:r w:rsidRPr="00527BFD">
        <w:t xml:space="preserve"> </w:t>
      </w:r>
      <w:proofErr w:type="spellStart"/>
      <w:r w:rsidRPr="00527BFD">
        <w:t>PrEP</w:t>
      </w:r>
      <w:proofErr w:type="spellEnd"/>
      <w:r w:rsidRPr="00527BFD">
        <w:t xml:space="preserve"> demonstrated superior efficacy when compared to a daily oral active TDF/</w:t>
      </w:r>
      <w:r w:rsidR="000B10F7" w:rsidRPr="00527BFD">
        <w:t>emtricitabine</w:t>
      </w:r>
      <w:r w:rsidRPr="00527BFD">
        <w:t>, resulting in 66% and 89% reductions, in the two trials respectively in the rate of HIV incident infections in the high-risk populations undertaking the two studies.</w:t>
      </w:r>
    </w:p>
    <w:p w14:paraId="3216885D" w14:textId="2D5D76C3" w:rsidR="003768A7" w:rsidRPr="00527BFD" w:rsidRDefault="003768A7" w:rsidP="003768A7">
      <w:r w:rsidRPr="00527BFD">
        <w:t>The overall rate of HIV acquisition in all subgroups analysed, including key subgroups (</w:t>
      </w:r>
      <w:r w:rsidR="001C1AE8" w:rsidRPr="00527BFD">
        <w:t>transgender women</w:t>
      </w:r>
      <w:r w:rsidRPr="00527BFD">
        <w:t xml:space="preserve">, age </w:t>
      </w:r>
      <w:r w:rsidR="00FD52A9" w:rsidRPr="00527BFD">
        <w:t xml:space="preserve">less than </w:t>
      </w:r>
      <w:r w:rsidRPr="00527BFD">
        <w:t xml:space="preserve">25 years, and African American </w:t>
      </w:r>
      <w:r w:rsidR="001C1AE8" w:rsidRPr="00527BFD">
        <w:t>cisgender men who have sex with men</w:t>
      </w:r>
      <w:r w:rsidRPr="00527BFD">
        <w:t xml:space="preserve"> and </w:t>
      </w:r>
      <w:r w:rsidR="001C1AE8" w:rsidRPr="00527BFD">
        <w:t>transgender women</w:t>
      </w:r>
      <w:r w:rsidR="005F4DCE">
        <w:t xml:space="preserve"> in the USA</w:t>
      </w:r>
      <w:r w:rsidRPr="00527BFD">
        <w:t>), was consistent with the overall observed treatment effect, demonstrating for all subgroups</w:t>
      </w:r>
      <w:r w:rsidR="005F4DCE">
        <w:t xml:space="preserve"> </w:t>
      </w:r>
      <w:r w:rsidRPr="00527BFD">
        <w:t>a lower rate of incident HIV</w:t>
      </w:r>
      <w:r w:rsidR="002A526F">
        <w:noBreakHyphen/>
      </w:r>
      <w:r w:rsidRPr="00527BFD">
        <w:t>1 infections in participants randomi</w:t>
      </w:r>
      <w:r w:rsidR="00462EFD" w:rsidRPr="00527BFD">
        <w:t>s</w:t>
      </w:r>
      <w:r w:rsidRPr="00527BFD">
        <w:t xml:space="preserve">ed to the </w:t>
      </w:r>
      <w:r w:rsidR="00FD52A9" w:rsidRPr="00527BFD">
        <w:t>cabotegravir</w:t>
      </w:r>
      <w:r w:rsidRPr="00527BFD">
        <w:t xml:space="preserve"> group compared with those randomi</w:t>
      </w:r>
      <w:r w:rsidR="00462EFD" w:rsidRPr="00527BFD">
        <w:t>s</w:t>
      </w:r>
      <w:r w:rsidRPr="00527BFD">
        <w:t>ed to the TDF/</w:t>
      </w:r>
      <w:r w:rsidR="000B10F7" w:rsidRPr="00527BFD">
        <w:t>emtricitabine</w:t>
      </w:r>
      <w:r w:rsidRPr="00527BFD">
        <w:t xml:space="preserve"> group.</w:t>
      </w:r>
    </w:p>
    <w:p w14:paraId="5C72716D" w14:textId="7039D46F" w:rsidR="003768A7" w:rsidRPr="00527BFD" w:rsidRDefault="003768A7" w:rsidP="003768A7">
      <w:r w:rsidRPr="00527BFD">
        <w:t xml:space="preserve">The long-term </w:t>
      </w:r>
      <w:r w:rsidR="00FD52A9" w:rsidRPr="00527BFD">
        <w:t>cabotegravir</w:t>
      </w:r>
      <w:r w:rsidRPr="00527BFD">
        <w:t xml:space="preserve"> </w:t>
      </w:r>
      <w:proofErr w:type="spellStart"/>
      <w:r w:rsidRPr="00527BFD">
        <w:t>PrEP</w:t>
      </w:r>
      <w:proofErr w:type="spellEnd"/>
      <w:r w:rsidRPr="00527BFD">
        <w:t xml:space="preserve"> dosing regimen, involving </w:t>
      </w:r>
      <w:r w:rsidR="00A34410" w:rsidRPr="00527BFD">
        <w:t>second</w:t>
      </w:r>
      <w:r w:rsidRPr="00527BFD">
        <w:t xml:space="preserve"> monthly </w:t>
      </w:r>
      <w:r w:rsidR="00E908B2" w:rsidRPr="00527BFD">
        <w:t>intramuscular</w:t>
      </w:r>
      <w:r w:rsidRPr="00527BFD">
        <w:t xml:space="preserve"> injections, may improve adherence to </w:t>
      </w:r>
      <w:proofErr w:type="spellStart"/>
      <w:r w:rsidRPr="00527BFD">
        <w:t>PrEP</w:t>
      </w:r>
      <w:proofErr w:type="spellEnd"/>
      <w:r w:rsidRPr="00527BFD">
        <w:t xml:space="preserve"> as compared to daily oral </w:t>
      </w:r>
      <w:proofErr w:type="spellStart"/>
      <w:r w:rsidRPr="00527BFD">
        <w:t>PrEP</w:t>
      </w:r>
      <w:proofErr w:type="spellEnd"/>
      <w:r w:rsidRPr="00527BFD">
        <w:t xml:space="preserve"> regimens by managing key issues of stigma, need for daily oral dosing, and negotiation of protection of HIV infection with partners. Adherence is important for </w:t>
      </w:r>
      <w:proofErr w:type="spellStart"/>
      <w:r w:rsidRPr="00527BFD">
        <w:t>PrEP</w:t>
      </w:r>
      <w:proofErr w:type="spellEnd"/>
      <w:r w:rsidRPr="00527BFD">
        <w:t xml:space="preserve"> efficacy, and less frequent dosing may improve this.</w:t>
      </w:r>
      <w:r w:rsidR="005F0BCE" w:rsidRPr="00527BFD">
        <w:t xml:space="preserve"> </w:t>
      </w:r>
      <w:r w:rsidRPr="00527BFD">
        <w:t xml:space="preserve">Most participants receiving </w:t>
      </w:r>
      <w:r w:rsidR="00FD52A9" w:rsidRPr="00527BFD">
        <w:t>cabotegravir</w:t>
      </w:r>
      <w:r w:rsidRPr="00527BFD">
        <w:t xml:space="preserve"> favoured </w:t>
      </w:r>
      <w:r w:rsidR="00E908B2" w:rsidRPr="00527BFD">
        <w:t>intramuscular</w:t>
      </w:r>
      <w:r w:rsidRPr="00527BFD">
        <w:t xml:space="preserve"> </w:t>
      </w:r>
      <w:proofErr w:type="spellStart"/>
      <w:r w:rsidRPr="00527BFD">
        <w:t>PrEP</w:t>
      </w:r>
      <w:proofErr w:type="spellEnd"/>
      <w:r w:rsidRPr="00527BFD">
        <w:t xml:space="preserve"> injections over daily oral </w:t>
      </w:r>
      <w:proofErr w:type="spellStart"/>
      <w:r w:rsidRPr="00527BFD">
        <w:t>PrEP</w:t>
      </w:r>
      <w:proofErr w:type="spellEnd"/>
      <w:r w:rsidRPr="00527BFD">
        <w:t xml:space="preserve"> and most were willing to continue, with </w:t>
      </w:r>
      <w:r w:rsidR="00FD52A9" w:rsidRPr="00527BFD">
        <w:t>cabotegravir</w:t>
      </w:r>
      <w:r w:rsidRPr="00527BFD">
        <w:t xml:space="preserve"> </w:t>
      </w:r>
      <w:r w:rsidR="00BB7D88" w:rsidRPr="00BB7D88">
        <w:t xml:space="preserve">long-acting </w:t>
      </w:r>
      <w:r w:rsidR="00BB7D88">
        <w:t>(</w:t>
      </w:r>
      <w:r w:rsidRPr="00527BFD">
        <w:t>LA</w:t>
      </w:r>
      <w:r w:rsidR="00BB7D88">
        <w:t>)</w:t>
      </w:r>
      <w:r w:rsidRPr="00527BFD">
        <w:t xml:space="preserve"> injections.</w:t>
      </w:r>
    </w:p>
    <w:p w14:paraId="2B330F49" w14:textId="0FA5C3B0" w:rsidR="003768A7" w:rsidRDefault="003768A7" w:rsidP="003768A7">
      <w:r w:rsidRPr="00527BFD">
        <w:t xml:space="preserve">In pivotal and supportive studies, </w:t>
      </w:r>
      <w:r w:rsidR="00FD52A9" w:rsidRPr="00527BFD">
        <w:t>cabotegravir</w:t>
      </w:r>
      <w:r w:rsidRPr="00527BFD">
        <w:t xml:space="preserve"> </w:t>
      </w:r>
      <w:proofErr w:type="spellStart"/>
      <w:r w:rsidRPr="00527BFD">
        <w:t>PrEP</w:t>
      </w:r>
      <w:proofErr w:type="spellEnd"/>
      <w:r w:rsidRPr="00527BFD">
        <w:t xml:space="preserve"> was well-tolerated; </w:t>
      </w:r>
      <w:r w:rsidR="001C4E02" w:rsidRPr="00527BFD">
        <w:t>injection site reactions (</w:t>
      </w:r>
      <w:r w:rsidRPr="00527BFD">
        <w:t>ISRs</w:t>
      </w:r>
      <w:r w:rsidR="001C4E02" w:rsidRPr="00527BFD">
        <w:t>)</w:t>
      </w:r>
      <w:r w:rsidRPr="00527BFD">
        <w:t xml:space="preserve"> were generally mild or moderate and the rate of study drug discontinuation due to ISRs was very low. Other risks of </w:t>
      </w:r>
      <w:r w:rsidR="00FD52A9" w:rsidRPr="00527BFD">
        <w:t>cabotegravir</w:t>
      </w:r>
      <w:r w:rsidRPr="00527BFD">
        <w:t xml:space="preserve"> </w:t>
      </w:r>
      <w:proofErr w:type="spellStart"/>
      <w:r w:rsidRPr="00527BFD">
        <w:t>PrEP</w:t>
      </w:r>
      <w:proofErr w:type="spellEnd"/>
      <w:r w:rsidRPr="00527BFD">
        <w:t xml:space="preserve"> include the potential for hepatotoxicity, hypersensitivity reactions, rash and neuropsychiatric events and weight gain. Except for ISRs, </w:t>
      </w:r>
      <w:proofErr w:type="gramStart"/>
      <w:r w:rsidRPr="00527BFD">
        <w:t>the majority of</w:t>
      </w:r>
      <w:proofErr w:type="gramEnd"/>
      <w:r w:rsidRPr="00527BFD">
        <w:t xml:space="preserve"> </w:t>
      </w:r>
      <w:r w:rsidR="00D43DAD" w:rsidRPr="00527BFD">
        <w:t xml:space="preserve">adverse drug reactions </w:t>
      </w:r>
      <w:r w:rsidRPr="00527BFD">
        <w:t xml:space="preserve">have occurred in low proportions of participants in pivotal and supportive studies and have generally not been treatment limiting. </w:t>
      </w:r>
      <w:r w:rsidR="00FD52A9" w:rsidRPr="00527BFD">
        <w:t>cabotegravir</w:t>
      </w:r>
      <w:r w:rsidRPr="00527BFD">
        <w:t xml:space="preserve"> has a favourable drug interaction profile with few clinically relevant interactions that require a dose separation or contraindication. </w:t>
      </w:r>
      <w:r w:rsidR="005F4DCE">
        <w:t>C</w:t>
      </w:r>
      <w:r w:rsidR="00FD52A9" w:rsidRPr="00527BFD">
        <w:t>abotegravir</w:t>
      </w:r>
      <w:r w:rsidRPr="00527BFD">
        <w:t xml:space="preserve"> LA may be administered and used for </w:t>
      </w:r>
      <w:proofErr w:type="spellStart"/>
      <w:r w:rsidRPr="00527BFD">
        <w:t>PrEP</w:t>
      </w:r>
      <w:proofErr w:type="spellEnd"/>
      <w:r w:rsidRPr="00527BFD">
        <w:t xml:space="preserve"> in individuals on concurrent contraception, including injectable LA forms. There were also no substantial differences in the safety profile for HIV-uninfected participants in the </w:t>
      </w:r>
      <w:r w:rsidR="00FD52A9" w:rsidRPr="00527BFD">
        <w:t>cabotegravir</w:t>
      </w:r>
      <w:r w:rsidRPr="00527BFD">
        <w:t xml:space="preserve"> </w:t>
      </w:r>
      <w:proofErr w:type="spellStart"/>
      <w:r w:rsidRPr="00527BFD">
        <w:t>PrEP</w:t>
      </w:r>
      <w:proofErr w:type="spellEnd"/>
      <w:r w:rsidRPr="00527BFD">
        <w:t xml:space="preserve"> program as compared to HIV</w:t>
      </w:r>
      <w:r w:rsidR="00A34410" w:rsidRPr="00527BFD">
        <w:noBreakHyphen/>
      </w:r>
      <w:r w:rsidRPr="00527BFD">
        <w:t xml:space="preserve">infected participants in the </w:t>
      </w:r>
      <w:r w:rsidR="00FD52A9" w:rsidRPr="00527BFD">
        <w:t>cabotegravir</w:t>
      </w:r>
      <w:r w:rsidRPr="00527BFD">
        <w:t xml:space="preserve"> </w:t>
      </w:r>
      <w:r w:rsidR="00A34410" w:rsidRPr="00527BFD">
        <w:t xml:space="preserve">treatment </w:t>
      </w:r>
      <w:r w:rsidRPr="00527BFD">
        <w:t>program.</w:t>
      </w:r>
    </w:p>
    <w:p w14:paraId="59E139D9" w14:textId="17881E1B" w:rsidR="005F4DCE" w:rsidRPr="00527BFD" w:rsidRDefault="005F4DCE" w:rsidP="006F211B">
      <w:pPr>
        <w:pStyle w:val="Heading5"/>
      </w:pPr>
      <w:r>
        <w:t>Deficiencies of the data</w:t>
      </w:r>
    </w:p>
    <w:p w14:paraId="45724BCC" w14:textId="24E71AAB" w:rsidR="003768A7" w:rsidRPr="00527BFD" w:rsidRDefault="0059470F" w:rsidP="003768A7">
      <w:r>
        <w:t>Overall,</w:t>
      </w:r>
      <w:r w:rsidR="005F4DCE">
        <w:t xml:space="preserve"> the data supplied with this submission </w:t>
      </w:r>
      <w:r w:rsidR="003768A7" w:rsidRPr="00527BFD">
        <w:t xml:space="preserve">has some evidence gaps or outstanding issues as </w:t>
      </w:r>
      <w:r w:rsidR="00A34410" w:rsidRPr="00527BFD">
        <w:t>given below.</w:t>
      </w:r>
    </w:p>
    <w:p w14:paraId="48C42026" w14:textId="6F11FAFE" w:rsidR="003768A7" w:rsidRPr="00527BFD" w:rsidRDefault="003768A7" w:rsidP="0059470F">
      <w:pPr>
        <w:pStyle w:val="Heading6"/>
      </w:pPr>
      <w:r w:rsidRPr="00527BFD">
        <w:t xml:space="preserve">Use in </w:t>
      </w:r>
      <w:r w:rsidR="00A34410" w:rsidRPr="00527BFD">
        <w:t>adolescent subjects</w:t>
      </w:r>
    </w:p>
    <w:p w14:paraId="27122487" w14:textId="490345EF" w:rsidR="003768A7" w:rsidRPr="00527BFD" w:rsidRDefault="003768A7" w:rsidP="003768A7">
      <w:r w:rsidRPr="00527BFD">
        <w:t>Whilst the sponsor is recommending use in adolescents weighing at least 35</w:t>
      </w:r>
      <w:r w:rsidR="00A34410" w:rsidRPr="00527BFD">
        <w:t xml:space="preserve"> </w:t>
      </w:r>
      <w:r w:rsidRPr="00527BFD">
        <w:t xml:space="preserve">kg, there is currently a lack of data in adolescent participants. The current dossier does not include efficacy data for proposed </w:t>
      </w:r>
      <w:r w:rsidR="00FD52A9" w:rsidRPr="00527BFD">
        <w:t>cabotegravir</w:t>
      </w:r>
      <w:r w:rsidRPr="00527BFD">
        <w:t xml:space="preserve"> </w:t>
      </w:r>
      <w:proofErr w:type="spellStart"/>
      <w:r w:rsidRPr="00527BFD">
        <w:t>PrEP</w:t>
      </w:r>
      <w:proofErr w:type="spellEnd"/>
      <w:r w:rsidRPr="00527BFD">
        <w:t xml:space="preserve"> regimen in HIV-negative at-risk adolescents.</w:t>
      </w:r>
      <w:r w:rsidR="005F0BCE" w:rsidRPr="00527BFD">
        <w:t xml:space="preserve"> </w:t>
      </w:r>
      <w:r w:rsidRPr="00527BFD">
        <w:t xml:space="preserve">Primary analysis of HIV incidence in participants aged </w:t>
      </w:r>
      <w:r w:rsidR="00FD52A9" w:rsidRPr="00527BFD">
        <w:t>less than</w:t>
      </w:r>
      <w:r w:rsidRPr="00527BFD">
        <w:t xml:space="preserve"> 25</w:t>
      </w:r>
      <w:r w:rsidR="00610E29" w:rsidRPr="00527BFD">
        <w:t xml:space="preserve"> years </w:t>
      </w:r>
      <w:r w:rsidRPr="00527BFD">
        <w:t>(</w:t>
      </w:r>
      <w:r w:rsidR="00610E29" w:rsidRPr="00527BFD">
        <w:t xml:space="preserve">that is </w:t>
      </w:r>
      <w:r w:rsidRPr="00527BFD">
        <w:t xml:space="preserve">18 to </w:t>
      </w:r>
      <w:r w:rsidR="00FD52A9" w:rsidRPr="00527BFD">
        <w:t xml:space="preserve">less than </w:t>
      </w:r>
      <w:r w:rsidRPr="00527BFD">
        <w:t xml:space="preserve">25 years) showed a 65% and 83% reduction in risk of acquiring HIV infection with the </w:t>
      </w:r>
      <w:r w:rsidR="00FD52A9" w:rsidRPr="00527BFD">
        <w:t>cabotegravir</w:t>
      </w:r>
      <w:r w:rsidRPr="00527BFD">
        <w:t xml:space="preserve"> </w:t>
      </w:r>
      <w:proofErr w:type="spellStart"/>
      <w:r w:rsidRPr="00527BFD">
        <w:t>PrEP</w:t>
      </w:r>
      <w:proofErr w:type="spellEnd"/>
      <w:r w:rsidRPr="00527BFD">
        <w:t xml:space="preserve"> regimen compared to the oral regimen in the two pivotal studies.</w:t>
      </w:r>
    </w:p>
    <w:p w14:paraId="4A4B56D0" w14:textId="50F6D448" w:rsidR="003768A7" w:rsidRPr="00527BFD" w:rsidRDefault="003768A7" w:rsidP="003768A7">
      <w:r w:rsidRPr="00527BFD">
        <w:t>To</w:t>
      </w:r>
      <w:r w:rsidR="00610E29" w:rsidRPr="00527BFD">
        <w:t>-</w:t>
      </w:r>
      <w:r w:rsidRPr="00527BFD">
        <w:t>date</w:t>
      </w:r>
      <w:r w:rsidR="00CA5416">
        <w:t>,</w:t>
      </w:r>
      <w:r w:rsidRPr="00527BFD">
        <w:t xml:space="preserve"> data from 8 adolescents in the USA receiving </w:t>
      </w:r>
      <w:r w:rsidR="00FD52A9" w:rsidRPr="00527BFD">
        <w:t>cabotegravir</w:t>
      </w:r>
      <w:r w:rsidRPr="00527BFD">
        <w:t xml:space="preserve"> as part of HIV treatment, and </w:t>
      </w:r>
      <w:r w:rsidR="00D43DAD" w:rsidRPr="00527BFD">
        <w:t xml:space="preserve">population pharmacokinetic </w:t>
      </w:r>
      <w:r w:rsidRPr="00527BFD">
        <w:t xml:space="preserve">modelling is the totality of evidence provided for this age group. However, data in younger adults (aged </w:t>
      </w:r>
      <w:r w:rsidR="00FD52A9" w:rsidRPr="00527BFD">
        <w:t xml:space="preserve">less than </w:t>
      </w:r>
      <w:r w:rsidRPr="00527BFD">
        <w:t>25 years)</w:t>
      </w:r>
      <w:r w:rsidR="00610E29" w:rsidRPr="00527BFD">
        <w:t>,</w:t>
      </w:r>
      <w:r w:rsidRPr="00527BFD">
        <w:t xml:space="preserve"> and in </w:t>
      </w:r>
      <w:r w:rsidRPr="00527BFD">
        <w:lastRenderedPageBreak/>
        <w:t>people weighing less than 50</w:t>
      </w:r>
      <w:r w:rsidR="00610E29" w:rsidRPr="00527BFD">
        <w:t xml:space="preserve"> </w:t>
      </w:r>
      <w:r w:rsidRPr="00527BFD">
        <w:t>kg does not suggest any significant concern. The observed safety data reported for 8</w:t>
      </w:r>
      <w:r w:rsidR="00610E29" w:rsidRPr="00527BFD">
        <w:t> </w:t>
      </w:r>
      <w:r w:rsidRPr="00527BFD">
        <w:t xml:space="preserve">adolescent participants within Study 208580 </w:t>
      </w:r>
      <w:r w:rsidR="00610E29" w:rsidRPr="00527BFD">
        <w:t xml:space="preserve">(the MOCHA trial) </w:t>
      </w:r>
      <w:r w:rsidRPr="00527BFD">
        <w:t xml:space="preserve">do not suggest a different safety profile for </w:t>
      </w:r>
      <w:r w:rsidR="00FD52A9" w:rsidRPr="00527BFD">
        <w:t>cabotegravir</w:t>
      </w:r>
      <w:r w:rsidRPr="00527BFD">
        <w:t xml:space="preserve"> in adolescents relative to adults with HIV infection although interpretation is limited by small sample size. The current dossier does not include efficacy data for proposed </w:t>
      </w:r>
      <w:r w:rsidR="00FD52A9" w:rsidRPr="00527BFD">
        <w:t>cabotegravir</w:t>
      </w:r>
      <w:r w:rsidRPr="00527BFD">
        <w:t xml:space="preserve"> </w:t>
      </w:r>
      <w:proofErr w:type="spellStart"/>
      <w:r w:rsidRPr="00527BFD">
        <w:t>PrEP</w:t>
      </w:r>
      <w:proofErr w:type="spellEnd"/>
      <w:r w:rsidRPr="00527BFD">
        <w:t xml:space="preserve"> regimen in HIV</w:t>
      </w:r>
      <w:r w:rsidR="00CA5416">
        <w:noBreakHyphen/>
      </w:r>
      <w:r w:rsidRPr="00527BFD">
        <w:t>negative at-risk adolescents.</w:t>
      </w:r>
    </w:p>
    <w:p w14:paraId="474E3AB6" w14:textId="54A7AB99" w:rsidR="003768A7" w:rsidRPr="00527BFD" w:rsidRDefault="003768A7" w:rsidP="0059470F">
      <w:pPr>
        <w:pStyle w:val="Heading6"/>
      </w:pPr>
      <w:r w:rsidRPr="00527BFD">
        <w:t xml:space="preserve">Lack of comparison with </w:t>
      </w:r>
      <w:r w:rsidR="000D7AA5" w:rsidRPr="00527BFD">
        <w:t>tenofovir alafenamide</w:t>
      </w:r>
      <w:r w:rsidRPr="00527BFD">
        <w:t>/</w:t>
      </w:r>
      <w:r w:rsidR="000B10F7" w:rsidRPr="00527BFD">
        <w:t>emtricitabine</w:t>
      </w:r>
    </w:p>
    <w:p w14:paraId="1F2F2718" w14:textId="506B4B7F" w:rsidR="003768A7" w:rsidRPr="00527BFD" w:rsidRDefault="003768A7" w:rsidP="003768A7">
      <w:r w:rsidRPr="00527BFD">
        <w:t xml:space="preserve">The newer alafenamide form of tenofovir (TAF) has improved </w:t>
      </w:r>
      <w:r w:rsidR="00C56168" w:rsidRPr="00527BFD">
        <w:t xml:space="preserve">pharmacokinetics </w:t>
      </w:r>
      <w:r w:rsidRPr="00527BFD">
        <w:t xml:space="preserve">compared to the earlier disoproxil fumarate form of tenofovir (TDF). Much higher intracellular tenofovir levels are achieved with TAF, thus requiring reduced dosing compared with TDF (25 mg </w:t>
      </w:r>
      <w:r w:rsidR="00754F3F" w:rsidRPr="00527BFD">
        <w:t>versus</w:t>
      </w:r>
      <w:r w:rsidRPr="00527BFD">
        <w:t xml:space="preserve"> 300 mg). This also reduces the severity of off-target renal and bone effects known to be associated with tenofovir. Both</w:t>
      </w:r>
      <w:r w:rsidR="00CA5416">
        <w:t xml:space="preserve"> forms of tenofovir </w:t>
      </w:r>
      <w:r w:rsidRPr="00527BFD">
        <w:t>(</w:t>
      </w:r>
      <w:r w:rsidR="00CA5416">
        <w:t xml:space="preserve">as </w:t>
      </w:r>
      <w:r w:rsidRPr="00527BFD">
        <w:t xml:space="preserve">TDF or TAF) need to be given with </w:t>
      </w:r>
      <w:r w:rsidR="000B10F7" w:rsidRPr="00527BFD">
        <w:t>emtricitabine</w:t>
      </w:r>
      <w:r w:rsidRPr="00527BFD">
        <w:t xml:space="preserve">. However, at present TDF is in wide use and remains the current standard in HIV treatment (backbone </w:t>
      </w:r>
      <w:r w:rsidR="005C62ED" w:rsidRPr="00527BFD">
        <w:t>antiretroviral therapy</w:t>
      </w:r>
      <w:r w:rsidRPr="00527BFD">
        <w:t xml:space="preserve">) and in HIV </w:t>
      </w:r>
      <w:proofErr w:type="spellStart"/>
      <w:r w:rsidRPr="00527BFD">
        <w:t>PrEP.</w:t>
      </w:r>
      <w:proofErr w:type="spellEnd"/>
    </w:p>
    <w:p w14:paraId="6EFB886D" w14:textId="402260C1" w:rsidR="003768A7" w:rsidRPr="00527BFD" w:rsidRDefault="003768A7" w:rsidP="003768A7">
      <w:r w:rsidRPr="00527BFD">
        <w:t xml:space="preserve">Although direct comparison of </w:t>
      </w:r>
      <w:r w:rsidR="00FD52A9" w:rsidRPr="00527BFD">
        <w:t>cabotegravir</w:t>
      </w:r>
      <w:r w:rsidRPr="00527BFD">
        <w:t xml:space="preserve"> with TAF/</w:t>
      </w:r>
      <w:r w:rsidR="000B10F7" w:rsidRPr="00527BFD">
        <w:t>emtricitabine</w:t>
      </w:r>
      <w:r w:rsidRPr="00527BFD">
        <w:t xml:space="preserve"> is not available, it is noted that efficacy of TAF/</w:t>
      </w:r>
      <w:r w:rsidR="000B10F7" w:rsidRPr="00527BFD">
        <w:t>emtricitabine</w:t>
      </w:r>
      <w:r w:rsidRPr="00527BFD">
        <w:t xml:space="preserve"> was found to be similar (non-inferior) the efficacy of TDF/</w:t>
      </w:r>
      <w:r w:rsidR="000B10F7" w:rsidRPr="00527BFD">
        <w:t>emtricitabine</w:t>
      </w:r>
      <w:r w:rsidRPr="00527BFD">
        <w:t xml:space="preserve"> when it was granted extension of indication to </w:t>
      </w:r>
      <w:proofErr w:type="spellStart"/>
      <w:r w:rsidRPr="00527BFD">
        <w:t>PrEP.</w:t>
      </w:r>
      <w:proofErr w:type="spellEnd"/>
      <w:r w:rsidR="005F0BCE" w:rsidRPr="00527BFD">
        <w:t xml:space="preserve"> </w:t>
      </w:r>
      <w:r w:rsidRPr="00527BFD">
        <w:t xml:space="preserve">Thus, it can be argued that there is indirect information supporting a higher efficacy of </w:t>
      </w:r>
      <w:r w:rsidR="00FD52A9" w:rsidRPr="00527BFD">
        <w:t>cabotegravir</w:t>
      </w:r>
      <w:r w:rsidRPr="00527BFD">
        <w:t xml:space="preserve"> versus TAF/</w:t>
      </w:r>
      <w:r w:rsidR="000B10F7" w:rsidRPr="00527BFD">
        <w:t>emtricitabine</w:t>
      </w:r>
      <w:r w:rsidRPr="00527BFD">
        <w:t>.</w:t>
      </w:r>
    </w:p>
    <w:p w14:paraId="1BD62FFD" w14:textId="19CC2D37" w:rsidR="003768A7" w:rsidRPr="00527BFD" w:rsidRDefault="00B6536C" w:rsidP="006F211B">
      <w:pPr>
        <w:pStyle w:val="Heading6"/>
      </w:pPr>
      <w:r w:rsidRPr="00527BFD">
        <w:t>‘</w:t>
      </w:r>
      <w:r w:rsidR="003768A7" w:rsidRPr="00527BFD">
        <w:t>Optional</w:t>
      </w:r>
      <w:r w:rsidRPr="00527BFD">
        <w:t>’</w:t>
      </w:r>
      <w:r w:rsidR="003768A7" w:rsidRPr="00527BFD">
        <w:t xml:space="preserve"> </w:t>
      </w:r>
      <w:r w:rsidR="002B70E6" w:rsidRPr="00527BFD">
        <w:t xml:space="preserve">oral lead-in </w:t>
      </w:r>
      <w:r w:rsidR="003768A7" w:rsidRPr="00527BFD">
        <w:t>dosing</w:t>
      </w:r>
    </w:p>
    <w:p w14:paraId="02FBAE38" w14:textId="38334B85" w:rsidR="003768A7" w:rsidRPr="00527BFD" w:rsidRDefault="003768A7" w:rsidP="003768A7">
      <w:r w:rsidRPr="00527BFD">
        <w:t xml:space="preserve">There is currently no data in the </w:t>
      </w:r>
      <w:r w:rsidR="00FD52A9" w:rsidRPr="00527BFD">
        <w:t>cabotegravir</w:t>
      </w:r>
      <w:r w:rsidRPr="00527BFD">
        <w:t xml:space="preserve"> </w:t>
      </w:r>
      <w:proofErr w:type="spellStart"/>
      <w:r w:rsidRPr="00527BFD">
        <w:t>Pr</w:t>
      </w:r>
      <w:r w:rsidR="00610E29" w:rsidRPr="00527BFD">
        <w:t>E</w:t>
      </w:r>
      <w:r w:rsidRPr="00527BFD">
        <w:t>P</w:t>
      </w:r>
      <w:proofErr w:type="spellEnd"/>
      <w:r w:rsidRPr="00527BFD">
        <w:t xml:space="preserve"> program that supports removing the </w:t>
      </w:r>
      <w:r w:rsidR="002B70E6" w:rsidRPr="00527BFD">
        <w:t>oral lead-in</w:t>
      </w:r>
      <w:r w:rsidRPr="00527BFD">
        <w:t xml:space="preserve"> component of the dosing schedule. In both </w:t>
      </w:r>
      <w:proofErr w:type="spellStart"/>
      <w:r w:rsidRPr="00527BFD">
        <w:t>PrEP</w:t>
      </w:r>
      <w:proofErr w:type="spellEnd"/>
      <w:r w:rsidRPr="00527BFD">
        <w:t xml:space="preserve"> pivotal studies</w:t>
      </w:r>
      <w:r w:rsidR="00CA5416">
        <w:t xml:space="preserve"> (</w:t>
      </w:r>
      <w:r w:rsidR="00CA5416">
        <w:rPr>
          <w:rFonts w:eastAsiaTheme="minorHAnsi"/>
          <w:iCs/>
        </w:rPr>
        <w:t>Study</w:t>
      </w:r>
      <w:r w:rsidR="002A526F">
        <w:rPr>
          <w:rFonts w:eastAsiaTheme="minorHAnsi"/>
          <w:iCs/>
        </w:rPr>
        <w:t> </w:t>
      </w:r>
      <w:r w:rsidR="00CA5416" w:rsidRPr="00A15ADC">
        <w:rPr>
          <w:rFonts w:eastAsiaTheme="minorHAnsi"/>
          <w:iCs/>
        </w:rPr>
        <w:t>201738</w:t>
      </w:r>
      <w:r w:rsidR="00CA5416">
        <w:rPr>
          <w:rFonts w:eastAsiaTheme="minorHAnsi"/>
          <w:iCs/>
        </w:rPr>
        <w:t xml:space="preserve"> (the </w:t>
      </w:r>
      <w:r w:rsidR="00CA5416" w:rsidRPr="00527BFD">
        <w:t xml:space="preserve">HPTN </w:t>
      </w:r>
      <w:r w:rsidR="00CA5416">
        <w:t>0</w:t>
      </w:r>
      <w:r w:rsidR="00CA5416" w:rsidRPr="00527BFD">
        <w:t>83</w:t>
      </w:r>
      <w:r w:rsidR="00CA5416">
        <w:t xml:space="preserve"> trial)</w:t>
      </w:r>
      <w:r w:rsidR="00CA5416" w:rsidRPr="00527BFD">
        <w:t xml:space="preserve"> and </w:t>
      </w:r>
      <w:r w:rsidR="00CA5416">
        <w:t xml:space="preserve">Study </w:t>
      </w:r>
      <w:r w:rsidR="00CA5416" w:rsidRPr="00A15ADC">
        <w:t>201739</w:t>
      </w:r>
      <w:r w:rsidR="00CA5416">
        <w:t xml:space="preserve"> (the </w:t>
      </w:r>
      <w:r w:rsidR="00CA5416" w:rsidRPr="00527BFD">
        <w:t xml:space="preserve">HPTN </w:t>
      </w:r>
      <w:r w:rsidR="00CA5416">
        <w:t>0</w:t>
      </w:r>
      <w:r w:rsidR="00CA5416" w:rsidRPr="00527BFD">
        <w:t>84 trial</w:t>
      </w:r>
      <w:r w:rsidR="00CA5416">
        <w:t>)),</w:t>
      </w:r>
      <w:r w:rsidRPr="00527BFD">
        <w:t xml:space="preserve"> oral lead</w:t>
      </w:r>
      <w:r w:rsidR="00665CD8" w:rsidRPr="00527BFD">
        <w:t>-</w:t>
      </w:r>
      <w:r w:rsidRPr="00527BFD">
        <w:t xml:space="preserve">in dosing was mandatory. This is </w:t>
      </w:r>
      <w:proofErr w:type="gramStart"/>
      <w:r w:rsidRPr="00527BFD">
        <w:t>similar to</w:t>
      </w:r>
      <w:proofErr w:type="gramEnd"/>
      <w:r w:rsidRPr="00527BFD">
        <w:t xml:space="preserve"> the previous </w:t>
      </w:r>
      <w:r w:rsidR="00FD52A9" w:rsidRPr="00527BFD">
        <w:t>cabotegravir</w:t>
      </w:r>
      <w:r w:rsidRPr="00527BFD">
        <w:t xml:space="preserve"> treatment studies. (</w:t>
      </w:r>
      <w:r w:rsidR="00CA5416">
        <w:t xml:space="preserve">see the </w:t>
      </w:r>
      <w:proofErr w:type="spellStart"/>
      <w:r w:rsidR="00CA5416">
        <w:t>AusPAR</w:t>
      </w:r>
      <w:proofErr w:type="spellEnd"/>
      <w:r w:rsidR="00CA5416">
        <w:t xml:space="preserve"> for </w:t>
      </w:r>
      <w:r w:rsidR="00500960">
        <w:t>Submission </w:t>
      </w:r>
      <w:r w:rsidRPr="00527BFD">
        <w:t>PM-2019-04281-1-2)</w:t>
      </w:r>
      <w:r w:rsidR="00CA5416">
        <w:t>.</w:t>
      </w:r>
      <w:r w:rsidR="00CA5416">
        <w:rPr>
          <w:vertAlign w:val="superscript"/>
        </w:rPr>
        <w:fldChar w:fldCharType="begin"/>
      </w:r>
      <w:r w:rsidR="00CA5416">
        <w:rPr>
          <w:vertAlign w:val="superscript"/>
        </w:rPr>
        <w:instrText xml:space="preserve"> NOTEREF _Ref119672096 \h  \* MERGEFORMAT </w:instrText>
      </w:r>
      <w:r w:rsidR="00CA5416">
        <w:rPr>
          <w:vertAlign w:val="superscript"/>
        </w:rPr>
      </w:r>
      <w:r w:rsidR="00CA5416">
        <w:rPr>
          <w:vertAlign w:val="superscript"/>
        </w:rPr>
        <w:fldChar w:fldCharType="separate"/>
      </w:r>
      <w:r w:rsidR="001702C9">
        <w:rPr>
          <w:vertAlign w:val="superscript"/>
        </w:rPr>
        <w:t>9</w:t>
      </w:r>
      <w:r w:rsidR="00CA5416">
        <w:rPr>
          <w:vertAlign w:val="superscript"/>
        </w:rPr>
        <w:fldChar w:fldCharType="end"/>
      </w:r>
      <w:r w:rsidRPr="00527BFD">
        <w:t xml:space="preserve"> In the </w:t>
      </w:r>
      <w:r w:rsidR="00FD52A9" w:rsidRPr="00527BFD">
        <w:t>cabotegravir</w:t>
      </w:r>
      <w:r w:rsidRPr="00527BFD">
        <w:t xml:space="preserve"> treatment studies, </w:t>
      </w:r>
      <w:r w:rsidR="002B70E6" w:rsidRPr="00527BFD">
        <w:t>oral lead-in</w:t>
      </w:r>
      <w:r w:rsidRPr="00527BFD">
        <w:t xml:space="preserve"> was utilised as a mitigation against possible acute, severe drug toxicity (</w:t>
      </w:r>
      <w:r w:rsidR="00754F3F" w:rsidRPr="00527BFD">
        <w:t>for example,</w:t>
      </w:r>
      <w:r w:rsidRPr="00527BFD">
        <w:t xml:space="preserve"> hypersensitivity) prior to </w:t>
      </w:r>
      <w:r w:rsidR="00FD52A9" w:rsidRPr="00527BFD">
        <w:t>cabotegravir</w:t>
      </w:r>
      <w:r w:rsidRPr="00527BFD">
        <w:t xml:space="preserve"> prolonged-release injection as the </w:t>
      </w:r>
      <w:r w:rsidR="00FD52A9" w:rsidRPr="00527BFD">
        <w:t>cabotegravir</w:t>
      </w:r>
      <w:r w:rsidRPr="00527BFD">
        <w:t>-specific safety profile was being characteri</w:t>
      </w:r>
      <w:r w:rsidR="00462EFD" w:rsidRPr="00527BFD">
        <w:t>s</w:t>
      </w:r>
      <w:r w:rsidRPr="00527BFD">
        <w:t xml:space="preserve">ed. As clinical safety data for </w:t>
      </w:r>
      <w:r w:rsidR="00FD52A9" w:rsidRPr="00527BFD">
        <w:t>cabotegravir</w:t>
      </w:r>
      <w:r w:rsidRPr="00527BFD">
        <w:t xml:space="preserve"> have accumulated no significant safety concerns have been identified.</w:t>
      </w:r>
    </w:p>
    <w:p w14:paraId="098E22C8" w14:textId="23C0C57C" w:rsidR="003768A7" w:rsidRPr="00527BFD" w:rsidRDefault="003768A7" w:rsidP="003768A7">
      <w:r w:rsidRPr="00527BFD">
        <w:t xml:space="preserve">The totality of safety and PK data from both the </w:t>
      </w:r>
      <w:r w:rsidR="00FD52A9" w:rsidRPr="00527BFD">
        <w:t>cabotegravir</w:t>
      </w:r>
      <w:r w:rsidRPr="00527BFD">
        <w:t xml:space="preserve"> </w:t>
      </w:r>
      <w:proofErr w:type="spellStart"/>
      <w:r w:rsidRPr="00527BFD">
        <w:t>PrEP</w:t>
      </w:r>
      <w:proofErr w:type="spellEnd"/>
      <w:r w:rsidRPr="00527BFD">
        <w:t xml:space="preserve"> and </w:t>
      </w:r>
      <w:r w:rsidR="00FD52A9" w:rsidRPr="00527BFD">
        <w:t>cabotegravir</w:t>
      </w:r>
      <w:r w:rsidRPr="00527BFD">
        <w:t xml:space="preserve"> Treatment programs suggest that the efficacy for </w:t>
      </w:r>
      <w:r w:rsidR="00FD52A9" w:rsidRPr="00527BFD">
        <w:t>cabotegravir</w:t>
      </w:r>
      <w:r w:rsidRPr="00527BFD">
        <w:t xml:space="preserve"> is not dependent on differences in exposure between dosing regimens with and without </w:t>
      </w:r>
      <w:r w:rsidR="002B70E6" w:rsidRPr="00527BFD">
        <w:t>oral lead-in</w:t>
      </w:r>
      <w:r w:rsidRPr="00527BFD">
        <w:t xml:space="preserve">. Furthermore, the slightly lower </w:t>
      </w:r>
      <w:r w:rsidR="00FD52A9" w:rsidRPr="00527BFD">
        <w:t>cabotegravir</w:t>
      </w:r>
      <w:r w:rsidRPr="00527BFD">
        <w:t xml:space="preserve"> exposures observed with a </w:t>
      </w:r>
      <w:r w:rsidR="009F1F1B" w:rsidRPr="009F1F1B">
        <w:t>direct to injection</w:t>
      </w:r>
      <w:r w:rsidRPr="00527BFD">
        <w:t xml:space="preserve"> regimen (no </w:t>
      </w:r>
      <w:r w:rsidR="002B70E6" w:rsidRPr="00527BFD">
        <w:t>oral lead-in</w:t>
      </w:r>
      <w:r w:rsidRPr="00527BFD">
        <w:t xml:space="preserve">) </w:t>
      </w:r>
      <w:r w:rsidR="00610E29" w:rsidRPr="00527BFD">
        <w:t xml:space="preserve">in </w:t>
      </w:r>
      <w:r w:rsidR="002B70E6" w:rsidRPr="00527BFD">
        <w:t xml:space="preserve">the </w:t>
      </w:r>
      <w:r w:rsidRPr="00527BFD">
        <w:t xml:space="preserve">FLAIR extension study is not clinically meaningful. Lastly, the tolerability of </w:t>
      </w:r>
      <w:r w:rsidR="00FD52A9" w:rsidRPr="00527BFD">
        <w:t>cabotegravir</w:t>
      </w:r>
      <w:r w:rsidRPr="00527BFD">
        <w:t xml:space="preserve"> injections is comparable across participants in whom such injections were preceded by </w:t>
      </w:r>
      <w:r w:rsidR="00FD52A9" w:rsidRPr="00527BFD">
        <w:t>cabotegravir</w:t>
      </w:r>
      <w:r w:rsidRPr="00527BFD">
        <w:t xml:space="preserve"> </w:t>
      </w:r>
      <w:r w:rsidR="002B70E6" w:rsidRPr="00527BFD">
        <w:t>oral lead-in</w:t>
      </w:r>
      <w:r w:rsidRPr="00527BFD">
        <w:t xml:space="preserve"> </w:t>
      </w:r>
      <w:r w:rsidR="00754F3F" w:rsidRPr="00527BFD">
        <w:t>versus</w:t>
      </w:r>
      <w:r w:rsidRPr="00527BFD">
        <w:t xml:space="preserve"> those who initiated </w:t>
      </w:r>
      <w:r w:rsidR="00FD52A9" w:rsidRPr="00527BFD">
        <w:t>cabotegravir</w:t>
      </w:r>
      <w:r w:rsidRPr="00527BFD">
        <w:t xml:space="preserve"> injections without </w:t>
      </w:r>
      <w:r w:rsidR="002B70E6" w:rsidRPr="00527BFD">
        <w:t>oral lead-in</w:t>
      </w:r>
      <w:r w:rsidRPr="00527BFD">
        <w:t>.</w:t>
      </w:r>
    </w:p>
    <w:p w14:paraId="2CD906A6" w14:textId="4762648D" w:rsidR="003768A7" w:rsidRPr="00527BFD" w:rsidRDefault="003768A7" w:rsidP="003768A7">
      <w:r w:rsidRPr="00527BFD">
        <w:t xml:space="preserve">Given that in the </w:t>
      </w:r>
      <w:r w:rsidR="00BB0AC1" w:rsidRPr="00527BFD">
        <w:t>HPTN 083 trial</w:t>
      </w:r>
      <w:r w:rsidRPr="00527BFD">
        <w:t xml:space="preserve"> of the 8 people who were actively receiving </w:t>
      </w:r>
      <w:r w:rsidR="00FD52A9" w:rsidRPr="00527BFD">
        <w:t>cabotegravir</w:t>
      </w:r>
      <w:r w:rsidRPr="00527BFD">
        <w:t xml:space="preserve"> at the time of acquiring their HIV infection, 3 of these people were in the </w:t>
      </w:r>
      <w:r w:rsidR="002B70E6" w:rsidRPr="00527BFD">
        <w:t>oral lead-in</w:t>
      </w:r>
      <w:r w:rsidRPr="00527BFD">
        <w:t xml:space="preserve"> phase of their treatment. Thus, careful consideration of the role of </w:t>
      </w:r>
      <w:r w:rsidR="002B70E6" w:rsidRPr="00527BFD">
        <w:t>oral lead-in</w:t>
      </w:r>
      <w:r w:rsidRPr="00527BFD">
        <w:t xml:space="preserve"> is required, and further investigation would be of benefit.</w:t>
      </w:r>
    </w:p>
    <w:p w14:paraId="79438F93" w14:textId="438960C3" w:rsidR="003768A7" w:rsidRPr="00527BFD" w:rsidRDefault="003768A7" w:rsidP="0059470F">
      <w:pPr>
        <w:pStyle w:val="Heading6"/>
      </w:pPr>
      <w:r w:rsidRPr="00527BFD">
        <w:t xml:space="preserve">Risk of </w:t>
      </w:r>
      <w:r w:rsidR="005A3930" w:rsidRPr="00527BFD">
        <w:t xml:space="preserve">human immunodeficiency virus </w:t>
      </w:r>
      <w:r w:rsidRPr="00527BFD">
        <w:t xml:space="preserve">acquisition and development of resistance to </w:t>
      </w:r>
      <w:r w:rsidR="00FD52A9" w:rsidRPr="00527BFD">
        <w:t>cabotegravir</w:t>
      </w:r>
    </w:p>
    <w:p w14:paraId="1348D4B6" w14:textId="27E39885" w:rsidR="003768A7" w:rsidRPr="00527BFD" w:rsidRDefault="003768A7" w:rsidP="003768A7">
      <w:r w:rsidRPr="00527BFD">
        <w:t xml:space="preserve">Apart from the rare risk of HIV acquisition when </w:t>
      </w:r>
      <w:proofErr w:type="spellStart"/>
      <w:r w:rsidRPr="00527BFD">
        <w:t>PrEP</w:t>
      </w:r>
      <w:proofErr w:type="spellEnd"/>
      <w:r w:rsidRPr="00527BFD">
        <w:t xml:space="preserve"> is used correctly, there is an increased risk for seroconversion if the individual at risk of HIV acquisition does not adhere to the </w:t>
      </w:r>
      <w:r w:rsidR="00FD52A9" w:rsidRPr="00527BFD">
        <w:t>cabotegravir</w:t>
      </w:r>
      <w:r w:rsidRPr="00527BFD">
        <w:t xml:space="preserve"> </w:t>
      </w:r>
      <w:proofErr w:type="spellStart"/>
      <w:r w:rsidRPr="00527BFD">
        <w:t>PrEP</w:t>
      </w:r>
      <w:proofErr w:type="spellEnd"/>
      <w:r w:rsidRPr="00527BFD">
        <w:t xml:space="preserve"> dosing schedule. Thus, if early HIV infection is not recogni</w:t>
      </w:r>
      <w:r w:rsidR="00462EFD" w:rsidRPr="00527BFD">
        <w:t>s</w:t>
      </w:r>
      <w:r w:rsidRPr="00527BFD">
        <w:t xml:space="preserve">ed whilst on </w:t>
      </w:r>
      <w:r w:rsidR="00FD52A9" w:rsidRPr="00527BFD">
        <w:t>cabotegravir</w:t>
      </w:r>
      <w:r w:rsidRPr="00527BFD">
        <w:t xml:space="preserve"> </w:t>
      </w:r>
      <w:proofErr w:type="spellStart"/>
      <w:r w:rsidRPr="00527BFD">
        <w:t>PrEP</w:t>
      </w:r>
      <w:proofErr w:type="spellEnd"/>
      <w:r w:rsidRPr="00527BFD">
        <w:t xml:space="preserve"> or before starting treatment, there is an increased risk of resistance to integrase inhibitors developing. This is because </w:t>
      </w:r>
      <w:r w:rsidR="00FD52A9" w:rsidRPr="00527BFD">
        <w:t>cabotegravir</w:t>
      </w:r>
      <w:r w:rsidRPr="00527BFD">
        <w:t xml:space="preserve"> alone is inadequate treatment for HIV, and in the individual being treated with an incomplete </w:t>
      </w:r>
      <w:r w:rsidRPr="00527BFD">
        <w:lastRenderedPageBreak/>
        <w:t xml:space="preserve">regimen which is not able to fully suppress the viral replication, leading to possible development of </w:t>
      </w:r>
      <w:r w:rsidR="00FD7F88" w:rsidRPr="00527BFD">
        <w:t>integrase strand transfer inhibitor</w:t>
      </w:r>
      <w:r w:rsidRPr="00527BFD">
        <w:t xml:space="preserve"> resistance may occur. The plan to help mitigate this is regular HIV testing, including prior to commencing on treatment. The current recommended frequency is prior to starting treatment and before each injection.</w:t>
      </w:r>
      <w:r w:rsidR="005F0BCE" w:rsidRPr="00527BFD">
        <w:t xml:space="preserve"> </w:t>
      </w:r>
      <w:r w:rsidRPr="00527BFD">
        <w:t xml:space="preserve">There is no data at this stage to show that people will adhere to this scheduling, and whether this testing mitigates this risk. It is noted in the </w:t>
      </w:r>
      <w:r w:rsidR="000D7AA5" w:rsidRPr="00527BFD">
        <w:t>risk management plan</w:t>
      </w:r>
      <w:r w:rsidRPr="00527BFD">
        <w:t xml:space="preserve"> that a 5</w:t>
      </w:r>
      <w:r w:rsidR="000D7AA5" w:rsidRPr="00527BFD">
        <w:noBreakHyphen/>
      </w:r>
      <w:r w:rsidRPr="00527BFD">
        <w:t>year prospective pharmacovigilance study is planned.</w:t>
      </w:r>
    </w:p>
    <w:p w14:paraId="1271EE4A" w14:textId="77777777" w:rsidR="0074163C" w:rsidRPr="00527BFD" w:rsidRDefault="0074163C" w:rsidP="0074163C">
      <w:pPr>
        <w:pStyle w:val="Heading4"/>
      </w:pPr>
      <w:bookmarkStart w:id="129" w:name="_Toc98931933"/>
      <w:r w:rsidRPr="00527BFD">
        <w:t>Proposed action</w:t>
      </w:r>
      <w:bookmarkEnd w:id="129"/>
    </w:p>
    <w:p w14:paraId="131669FB" w14:textId="6D8D9579" w:rsidR="003768A7" w:rsidRPr="00527BFD" w:rsidRDefault="003768A7" w:rsidP="003768A7">
      <w:r w:rsidRPr="00527BFD">
        <w:t xml:space="preserve">Whilst there are some limitations in the available data, the overall efficacy and safety profile for </w:t>
      </w:r>
      <w:r w:rsidR="00FD52A9" w:rsidRPr="00527BFD">
        <w:t>cabotegravir</w:t>
      </w:r>
      <w:r w:rsidRPr="00527BFD">
        <w:t xml:space="preserve"> as </w:t>
      </w:r>
      <w:proofErr w:type="spellStart"/>
      <w:r w:rsidRPr="00527BFD">
        <w:t>PrEP</w:t>
      </w:r>
      <w:proofErr w:type="spellEnd"/>
      <w:r w:rsidRPr="00527BFD">
        <w:t xml:space="preserve"> is positive with a large potential benefit, and minimal risks.</w:t>
      </w:r>
    </w:p>
    <w:p w14:paraId="03D248E3" w14:textId="027B8BFA" w:rsidR="003768A7" w:rsidRPr="00527BFD" w:rsidRDefault="003768A7" w:rsidP="003768A7">
      <w:r w:rsidRPr="00527BFD">
        <w:t xml:space="preserve">Pending advice from </w:t>
      </w:r>
      <w:r w:rsidR="00A7618B" w:rsidRPr="00527BFD">
        <w:t>Advisory Committee on Medicines</w:t>
      </w:r>
      <w:r w:rsidR="000D7AA5" w:rsidRPr="00527BFD">
        <w:t xml:space="preserve"> (ACM)</w:t>
      </w:r>
      <w:r w:rsidRPr="00527BFD">
        <w:t xml:space="preserve">, the sponsor’s </w:t>
      </w:r>
      <w:r w:rsidR="00610E29" w:rsidRPr="00527BFD">
        <w:t>p</w:t>
      </w:r>
      <w:r w:rsidRPr="00527BFD">
        <w:t xml:space="preserve">re-ACM </w:t>
      </w:r>
      <w:r w:rsidR="00610E29" w:rsidRPr="00527BFD">
        <w:t>response</w:t>
      </w:r>
      <w:r w:rsidRPr="00527BFD">
        <w:t xml:space="preserve">, and changes to the indication and </w:t>
      </w:r>
      <w:r w:rsidR="000D7AA5" w:rsidRPr="00527BFD">
        <w:t>Product Information</w:t>
      </w:r>
      <w:r w:rsidRPr="00527BFD">
        <w:t xml:space="preserve"> as outlined, the delegate considers the benefit</w:t>
      </w:r>
      <w:r w:rsidR="00610E29" w:rsidRPr="00527BFD">
        <w:t>-</w:t>
      </w:r>
      <w:r w:rsidRPr="00527BFD">
        <w:t>risk profile to be positive and recommends approval.</w:t>
      </w:r>
    </w:p>
    <w:p w14:paraId="28CD2E17" w14:textId="77777777" w:rsidR="0074163C" w:rsidRPr="00527BFD" w:rsidRDefault="0074163C" w:rsidP="0074163C">
      <w:pPr>
        <w:pStyle w:val="Heading4"/>
      </w:pPr>
      <w:bookmarkStart w:id="130" w:name="_Toc98931934"/>
      <w:r w:rsidRPr="00527BFD">
        <w:t>Questions for the sponsor</w:t>
      </w:r>
      <w:bookmarkEnd w:id="130"/>
    </w:p>
    <w:p w14:paraId="626DF30F" w14:textId="77777777" w:rsidR="0074163C" w:rsidRPr="00527BFD" w:rsidRDefault="0074163C" w:rsidP="0074163C">
      <w:r w:rsidRPr="00527BFD">
        <w:t>The sponsor provided the following response to questions from the Delegate.</w:t>
      </w:r>
    </w:p>
    <w:p w14:paraId="1D3B754B" w14:textId="3FD017A9" w:rsidR="003768A7" w:rsidRPr="00514EEA" w:rsidRDefault="00514EEA" w:rsidP="00D84BE1">
      <w:pPr>
        <w:pStyle w:val="Numberbullet0"/>
        <w:rPr>
          <w:b/>
          <w:bCs/>
          <w:i/>
          <w:iCs/>
        </w:rPr>
      </w:pPr>
      <w:r>
        <w:rPr>
          <w:b/>
          <w:bCs/>
          <w:i/>
          <w:iCs/>
        </w:rPr>
        <w:t>Is there a</w:t>
      </w:r>
      <w:r w:rsidR="003768A7" w:rsidRPr="00514EEA">
        <w:rPr>
          <w:b/>
          <w:bCs/>
          <w:i/>
          <w:iCs/>
        </w:rPr>
        <w:t xml:space="preserve">ny further data from the MOCHA </w:t>
      </w:r>
      <w:r w:rsidR="00CC53B1" w:rsidRPr="00514EEA">
        <w:rPr>
          <w:b/>
          <w:bCs/>
          <w:i/>
          <w:iCs/>
        </w:rPr>
        <w:t>trial</w:t>
      </w:r>
      <w:r w:rsidR="003768A7" w:rsidRPr="00514EEA">
        <w:rPr>
          <w:b/>
          <w:bCs/>
          <w:i/>
          <w:iCs/>
        </w:rPr>
        <w:t xml:space="preserve"> </w:t>
      </w:r>
      <w:r w:rsidRPr="00514EEA">
        <w:rPr>
          <w:b/>
          <w:bCs/>
          <w:i/>
          <w:iCs/>
        </w:rPr>
        <w:t>(</w:t>
      </w:r>
      <w:r w:rsidRPr="0059470F">
        <w:rPr>
          <w:b/>
          <w:i/>
        </w:rPr>
        <w:t xml:space="preserve">Study 208580) </w:t>
      </w:r>
      <w:r>
        <w:rPr>
          <w:b/>
          <w:bCs/>
          <w:i/>
          <w:iCs/>
        </w:rPr>
        <w:t>or</w:t>
      </w:r>
      <w:r w:rsidR="003768A7" w:rsidRPr="00514EEA">
        <w:rPr>
          <w:b/>
          <w:bCs/>
          <w:i/>
          <w:iCs/>
        </w:rPr>
        <w:t xml:space="preserve"> any other data available for people </w:t>
      </w:r>
      <w:r w:rsidR="00FD52A9" w:rsidRPr="00514EEA">
        <w:rPr>
          <w:b/>
          <w:bCs/>
          <w:i/>
          <w:iCs/>
        </w:rPr>
        <w:t>less than</w:t>
      </w:r>
      <w:r w:rsidR="003768A7" w:rsidRPr="00514EEA">
        <w:rPr>
          <w:b/>
          <w:bCs/>
          <w:i/>
          <w:iCs/>
        </w:rPr>
        <w:t xml:space="preserve"> 18 years age either as part of a </w:t>
      </w:r>
      <w:r w:rsidR="00FD52A9" w:rsidRPr="00514EEA">
        <w:rPr>
          <w:b/>
          <w:bCs/>
          <w:i/>
          <w:iCs/>
        </w:rPr>
        <w:t>cabotegravir</w:t>
      </w:r>
      <w:r w:rsidR="003768A7" w:rsidRPr="00514EEA">
        <w:rPr>
          <w:b/>
          <w:bCs/>
          <w:i/>
          <w:iCs/>
        </w:rPr>
        <w:t xml:space="preserve"> </w:t>
      </w:r>
      <w:r w:rsidR="00356947" w:rsidRPr="00514EEA">
        <w:rPr>
          <w:b/>
          <w:bCs/>
          <w:i/>
          <w:iCs/>
        </w:rPr>
        <w:t>pre</w:t>
      </w:r>
      <w:r w:rsidR="002A526F">
        <w:rPr>
          <w:b/>
          <w:bCs/>
          <w:i/>
          <w:iCs/>
        </w:rPr>
        <w:noBreakHyphen/>
      </w:r>
      <w:r w:rsidR="00356947" w:rsidRPr="00514EEA">
        <w:rPr>
          <w:b/>
          <w:bCs/>
          <w:i/>
          <w:iCs/>
        </w:rPr>
        <w:t xml:space="preserve">exposure prophylaxis </w:t>
      </w:r>
      <w:r w:rsidR="003768A7" w:rsidRPr="00514EEA">
        <w:rPr>
          <w:b/>
          <w:bCs/>
          <w:i/>
          <w:iCs/>
        </w:rPr>
        <w:t>or treatment programs</w:t>
      </w:r>
      <w:r>
        <w:rPr>
          <w:b/>
          <w:bCs/>
          <w:i/>
          <w:iCs/>
        </w:rPr>
        <w:t>?</w:t>
      </w:r>
    </w:p>
    <w:p w14:paraId="76090106" w14:textId="130CCEED" w:rsidR="00D84BE1" w:rsidRPr="00527BFD" w:rsidRDefault="00D84BE1" w:rsidP="00D84BE1">
      <w:r w:rsidRPr="00527BFD">
        <w:t xml:space="preserve">The </w:t>
      </w:r>
      <w:r w:rsidR="00610E29" w:rsidRPr="00527BFD">
        <w:t xml:space="preserve">sponsor </w:t>
      </w:r>
      <w:r w:rsidRPr="00527BFD">
        <w:t xml:space="preserve">confirms that no further adolescent data is available </w:t>
      </w:r>
      <w:proofErr w:type="gramStart"/>
      <w:r w:rsidRPr="00527BFD">
        <w:t>at this time</w:t>
      </w:r>
      <w:proofErr w:type="gramEnd"/>
      <w:r w:rsidRPr="00527BFD">
        <w:t xml:space="preserve">. Interim results from the two ongoing </w:t>
      </w:r>
      <w:r w:rsidR="00356947" w:rsidRPr="00527BFD">
        <w:t>pre-exposure prophylaxis (</w:t>
      </w:r>
      <w:proofErr w:type="spellStart"/>
      <w:r w:rsidRPr="00527BFD">
        <w:t>PrEP</w:t>
      </w:r>
      <w:proofErr w:type="spellEnd"/>
      <w:r w:rsidR="00356947" w:rsidRPr="00527BFD">
        <w:t>)</w:t>
      </w:r>
      <w:r w:rsidRPr="00527BFD">
        <w:t xml:space="preserve"> studies (</w:t>
      </w:r>
      <w:r w:rsidR="00CC53B1" w:rsidRPr="00527BFD">
        <w:t xml:space="preserve">the </w:t>
      </w:r>
      <w:r w:rsidRPr="00527BFD">
        <w:t>HPTN</w:t>
      </w:r>
      <w:r w:rsidR="002A526F">
        <w:t> </w:t>
      </w:r>
      <w:r w:rsidRPr="00527BFD">
        <w:t>083</w:t>
      </w:r>
      <w:r w:rsidR="002A526F">
        <w:noBreakHyphen/>
      </w:r>
      <w:r w:rsidRPr="00527BFD">
        <w:t>01 and HPTN 084-01</w:t>
      </w:r>
      <w:r w:rsidR="00CC53B1" w:rsidRPr="00527BFD">
        <w:t xml:space="preserve"> trials</w:t>
      </w:r>
      <w:r w:rsidRPr="00527BFD">
        <w:t xml:space="preserve">) in adolescents or additional data from the ongoing adolescent </w:t>
      </w:r>
      <w:r w:rsidR="00FD52A9" w:rsidRPr="00527BFD">
        <w:t>cabotegravir</w:t>
      </w:r>
      <w:r w:rsidRPr="00527BFD">
        <w:t xml:space="preserve"> </w:t>
      </w:r>
      <w:r w:rsidR="00610E29" w:rsidRPr="00527BFD">
        <w:t xml:space="preserve">treatment </w:t>
      </w:r>
      <w:r w:rsidRPr="00527BFD">
        <w:t>Study</w:t>
      </w:r>
      <w:r w:rsidR="00610E29" w:rsidRPr="00527BFD">
        <w:t> </w:t>
      </w:r>
      <w:r w:rsidRPr="00527BFD">
        <w:t>208580 (</w:t>
      </w:r>
      <w:r w:rsidR="00CC53B1" w:rsidRPr="00527BFD">
        <w:t xml:space="preserve">the </w:t>
      </w:r>
      <w:r w:rsidRPr="00527BFD">
        <w:t>MOCHA</w:t>
      </w:r>
      <w:r w:rsidR="00CC53B1" w:rsidRPr="00527BFD">
        <w:t xml:space="preserve"> trial</w:t>
      </w:r>
      <w:r w:rsidRPr="00527BFD">
        <w:t xml:space="preserve">) are not available to the </w:t>
      </w:r>
      <w:r w:rsidR="00610E29" w:rsidRPr="00527BFD">
        <w:t xml:space="preserve">sponsor </w:t>
      </w:r>
      <w:proofErr w:type="gramStart"/>
      <w:r w:rsidRPr="00527BFD">
        <w:t>at this time</w:t>
      </w:r>
      <w:proofErr w:type="gramEnd"/>
      <w:r w:rsidRPr="00527BFD">
        <w:t xml:space="preserve">. The adolescent </w:t>
      </w:r>
      <w:proofErr w:type="spellStart"/>
      <w:r w:rsidRPr="00527BFD">
        <w:t>PrEP</w:t>
      </w:r>
      <w:proofErr w:type="spellEnd"/>
      <w:r w:rsidRPr="00527BFD">
        <w:t xml:space="preserve"> studies recently underwent </w:t>
      </w:r>
      <w:r w:rsidR="000D7AA5" w:rsidRPr="00527BFD">
        <w:t>Data and Safety Monitoring Board (</w:t>
      </w:r>
      <w:r w:rsidRPr="00527BFD">
        <w:t>DSMB</w:t>
      </w:r>
      <w:r w:rsidR="000D7AA5" w:rsidRPr="00527BFD">
        <w:t>)</w:t>
      </w:r>
      <w:r w:rsidRPr="00527BFD">
        <w:t xml:space="preserve"> review on 3 May 2022. While the </w:t>
      </w:r>
      <w:r w:rsidR="00610E29" w:rsidRPr="00527BFD">
        <w:t xml:space="preserve">sponsor </w:t>
      </w:r>
      <w:r w:rsidRPr="00527BFD">
        <w:t>is blinded to</w:t>
      </w:r>
      <w:r w:rsidR="00606757" w:rsidRPr="00527BFD">
        <w:t xml:space="preserve"> </w:t>
      </w:r>
      <w:r w:rsidRPr="00527BFD">
        <w:t xml:space="preserve">the content of the closed DSMB reports as this is managed by the study sponsor, the </w:t>
      </w:r>
      <w:r w:rsidR="000D7AA5" w:rsidRPr="00527BFD">
        <w:t xml:space="preserve">United States </w:t>
      </w:r>
      <w:r w:rsidRPr="00527BFD">
        <w:t>National Institutes of</w:t>
      </w:r>
      <w:r w:rsidR="00606757" w:rsidRPr="00527BFD">
        <w:t xml:space="preserve"> </w:t>
      </w:r>
      <w:r w:rsidRPr="00527BFD">
        <w:t xml:space="preserve">Health Division of </w:t>
      </w:r>
      <w:r w:rsidR="00A7618B" w:rsidRPr="00527BFD">
        <w:t xml:space="preserve">Immunodeficiency Disease Syndrome </w:t>
      </w:r>
      <w:r w:rsidRPr="00527BFD">
        <w:t xml:space="preserve">(NIH-DAIDS), the DSMB indicated that these 2 </w:t>
      </w:r>
      <w:proofErr w:type="spellStart"/>
      <w:r w:rsidRPr="00527BFD">
        <w:t>PrEP</w:t>
      </w:r>
      <w:proofErr w:type="spellEnd"/>
      <w:r w:rsidRPr="00527BFD">
        <w:t xml:space="preserve"> studies can proceed as planned. The MOCHA </w:t>
      </w:r>
      <w:r w:rsidR="00CC53B1" w:rsidRPr="00527BFD">
        <w:t>trial</w:t>
      </w:r>
      <w:r w:rsidRPr="00527BFD">
        <w:t xml:space="preserve"> is also</w:t>
      </w:r>
      <w:r w:rsidR="00606757" w:rsidRPr="00527BFD">
        <w:t xml:space="preserve"> </w:t>
      </w:r>
      <w:r w:rsidRPr="00527BFD">
        <w:t>sponsored by NIH-DAIDS and recently underwent a planned Study Monitoring Committee (SMC) review.</w:t>
      </w:r>
      <w:r w:rsidR="00606757" w:rsidRPr="00527BFD">
        <w:t xml:space="preserve"> </w:t>
      </w:r>
      <w:r w:rsidRPr="00527BFD">
        <w:t>The SMC indicated that the study may proceed and open the treatment cohort (Cohort 2) to participants who</w:t>
      </w:r>
      <w:r w:rsidR="00606757" w:rsidRPr="00527BFD">
        <w:t xml:space="preserve"> </w:t>
      </w:r>
      <w:r w:rsidRPr="00527BFD">
        <w:t>were not previously enrolled in Cohort 1 of the study.</w:t>
      </w:r>
    </w:p>
    <w:p w14:paraId="0D0F8B80" w14:textId="6D945DB3" w:rsidR="003768A7" w:rsidRPr="00527BFD" w:rsidRDefault="003768A7" w:rsidP="00D84BE1">
      <w:pPr>
        <w:pStyle w:val="Numberbullet0"/>
        <w:rPr>
          <w:b/>
          <w:bCs/>
          <w:i/>
          <w:iCs/>
        </w:rPr>
      </w:pPr>
      <w:r w:rsidRPr="00527BFD">
        <w:rPr>
          <w:b/>
          <w:bCs/>
          <w:i/>
          <w:iCs/>
        </w:rPr>
        <w:t>Apart from the FLAIR extension phase</w:t>
      </w:r>
      <w:r w:rsidR="00514EEA">
        <w:rPr>
          <w:b/>
          <w:bCs/>
          <w:i/>
          <w:iCs/>
        </w:rPr>
        <w:t xml:space="preserve"> </w:t>
      </w:r>
      <w:r w:rsidR="00514EEA" w:rsidRPr="00514EEA">
        <w:rPr>
          <w:b/>
          <w:bCs/>
          <w:i/>
          <w:iCs/>
        </w:rPr>
        <w:t>(</w:t>
      </w:r>
      <w:r w:rsidR="00514EEA" w:rsidRPr="00096C61">
        <w:rPr>
          <w:b/>
          <w:i/>
        </w:rPr>
        <w:t>Study 201584)</w:t>
      </w:r>
      <w:r w:rsidR="00610E29" w:rsidRPr="00514EEA">
        <w:rPr>
          <w:b/>
          <w:bCs/>
          <w:i/>
          <w:iCs/>
        </w:rPr>
        <w:t>,</w:t>
      </w:r>
      <w:r w:rsidRPr="00527BFD">
        <w:rPr>
          <w:b/>
          <w:bCs/>
          <w:i/>
          <w:iCs/>
        </w:rPr>
        <w:t xml:space="preserve"> is there any data </w:t>
      </w:r>
      <w:r w:rsidR="00514EEA">
        <w:rPr>
          <w:b/>
          <w:bCs/>
          <w:i/>
          <w:iCs/>
        </w:rPr>
        <w:t>on</w:t>
      </w:r>
      <w:r w:rsidRPr="00527BFD">
        <w:rPr>
          <w:b/>
          <w:bCs/>
          <w:i/>
          <w:iCs/>
        </w:rPr>
        <w:t xml:space="preserve"> utilising </w:t>
      </w:r>
      <w:r w:rsidR="00FD52A9" w:rsidRPr="00527BFD">
        <w:rPr>
          <w:b/>
          <w:bCs/>
          <w:i/>
          <w:iCs/>
        </w:rPr>
        <w:t>cabotegravir</w:t>
      </w:r>
      <w:r w:rsidRPr="00527BFD">
        <w:rPr>
          <w:b/>
          <w:bCs/>
          <w:i/>
          <w:iCs/>
        </w:rPr>
        <w:t xml:space="preserve"> and not using </w:t>
      </w:r>
      <w:r w:rsidR="00514EEA">
        <w:rPr>
          <w:b/>
          <w:bCs/>
          <w:i/>
          <w:iCs/>
        </w:rPr>
        <w:t xml:space="preserve">an </w:t>
      </w:r>
      <w:r w:rsidRPr="00527BFD">
        <w:rPr>
          <w:b/>
          <w:bCs/>
          <w:i/>
          <w:iCs/>
        </w:rPr>
        <w:t>oral lea</w:t>
      </w:r>
      <w:r w:rsidR="00514EEA">
        <w:rPr>
          <w:b/>
          <w:bCs/>
          <w:i/>
          <w:iCs/>
        </w:rPr>
        <w:t>d</w:t>
      </w:r>
      <w:r w:rsidR="00665CD8" w:rsidRPr="00527BFD">
        <w:rPr>
          <w:b/>
          <w:bCs/>
          <w:i/>
          <w:iCs/>
        </w:rPr>
        <w:t>-</w:t>
      </w:r>
      <w:r w:rsidRPr="00527BFD">
        <w:rPr>
          <w:b/>
          <w:bCs/>
          <w:i/>
          <w:iCs/>
        </w:rPr>
        <w:t>in</w:t>
      </w:r>
      <w:r w:rsidR="00665CD8" w:rsidRPr="00527BFD">
        <w:rPr>
          <w:b/>
          <w:bCs/>
          <w:i/>
          <w:iCs/>
        </w:rPr>
        <w:t>,</w:t>
      </w:r>
      <w:r w:rsidRPr="00527BFD">
        <w:rPr>
          <w:b/>
          <w:bCs/>
          <w:i/>
          <w:iCs/>
        </w:rPr>
        <w:t xml:space="preserve"> </w:t>
      </w:r>
      <w:proofErr w:type="gramStart"/>
      <w:r w:rsidRPr="00527BFD">
        <w:rPr>
          <w:b/>
          <w:bCs/>
          <w:i/>
          <w:iCs/>
        </w:rPr>
        <w:t>in particular is</w:t>
      </w:r>
      <w:proofErr w:type="gramEnd"/>
      <w:r w:rsidRPr="00527BFD">
        <w:rPr>
          <w:b/>
          <w:bCs/>
          <w:i/>
          <w:iCs/>
        </w:rPr>
        <w:t xml:space="preserve"> there any data </w:t>
      </w:r>
      <w:r w:rsidR="00514EEA">
        <w:rPr>
          <w:b/>
          <w:bCs/>
          <w:i/>
          <w:iCs/>
        </w:rPr>
        <w:t>regarding</w:t>
      </w:r>
      <w:r w:rsidR="00514EEA" w:rsidRPr="00527BFD">
        <w:rPr>
          <w:b/>
          <w:bCs/>
          <w:i/>
          <w:iCs/>
        </w:rPr>
        <w:t xml:space="preserve"> </w:t>
      </w:r>
      <w:r w:rsidR="00356947" w:rsidRPr="00527BFD">
        <w:rPr>
          <w:b/>
          <w:bCs/>
          <w:i/>
          <w:iCs/>
        </w:rPr>
        <w:t>pre-exposure prophylaxis</w:t>
      </w:r>
      <w:r w:rsidR="00610E29" w:rsidRPr="00527BFD">
        <w:rPr>
          <w:b/>
          <w:bCs/>
          <w:i/>
          <w:iCs/>
        </w:rPr>
        <w:t>?</w:t>
      </w:r>
    </w:p>
    <w:p w14:paraId="68B25FE1" w14:textId="155C639C" w:rsidR="00606757" w:rsidRPr="00527BFD" w:rsidRDefault="00606757" w:rsidP="00606757">
      <w:r w:rsidRPr="00527BFD">
        <w:t xml:space="preserve">The </w:t>
      </w:r>
      <w:r w:rsidR="00610E29" w:rsidRPr="00527BFD">
        <w:t xml:space="preserve">sponsor </w:t>
      </w:r>
      <w:r w:rsidRPr="00527BFD">
        <w:t xml:space="preserve">currently does not have any other data regarding the use of </w:t>
      </w:r>
      <w:r w:rsidR="00FD52A9" w:rsidRPr="00527BFD">
        <w:t>cabotegravir</w:t>
      </w:r>
      <w:r w:rsidRPr="00527BFD">
        <w:t xml:space="preserve"> </w:t>
      </w:r>
      <w:r w:rsidR="00BB7D88" w:rsidRPr="00BB7D88">
        <w:t>long</w:t>
      </w:r>
      <w:r w:rsidR="002A526F">
        <w:noBreakHyphen/>
      </w:r>
      <w:r w:rsidR="00BB7D88" w:rsidRPr="00BB7D88">
        <w:t xml:space="preserve">acting </w:t>
      </w:r>
      <w:r w:rsidR="00BB7D88">
        <w:t>(</w:t>
      </w:r>
      <w:r w:rsidRPr="00527BFD">
        <w:t>LA</w:t>
      </w:r>
      <w:r w:rsidR="00BB7D88">
        <w:t>)</w:t>
      </w:r>
      <w:r w:rsidRPr="00527BFD">
        <w:t xml:space="preserve"> for </w:t>
      </w:r>
      <w:proofErr w:type="spellStart"/>
      <w:r w:rsidRPr="00527BFD">
        <w:t>PrEP</w:t>
      </w:r>
      <w:proofErr w:type="spellEnd"/>
      <w:r w:rsidRPr="00527BFD">
        <w:t xml:space="preserve"> without an oral lead-in.</w:t>
      </w:r>
    </w:p>
    <w:p w14:paraId="28676B64" w14:textId="072C625B" w:rsidR="003768A7" w:rsidRPr="00527BFD" w:rsidRDefault="003768A7" w:rsidP="00D84BE1">
      <w:pPr>
        <w:pStyle w:val="Numberbullet0"/>
        <w:rPr>
          <w:b/>
          <w:bCs/>
          <w:i/>
          <w:iCs/>
        </w:rPr>
      </w:pPr>
      <w:r w:rsidRPr="00527BFD">
        <w:rPr>
          <w:b/>
          <w:bCs/>
          <w:i/>
          <w:iCs/>
        </w:rPr>
        <w:t>Please outline the reasoning</w:t>
      </w:r>
      <w:r w:rsidR="00610E29" w:rsidRPr="00527BFD">
        <w:rPr>
          <w:b/>
          <w:bCs/>
          <w:i/>
          <w:iCs/>
        </w:rPr>
        <w:t xml:space="preserve"> or</w:t>
      </w:r>
      <w:r w:rsidRPr="00527BFD">
        <w:rPr>
          <w:b/>
          <w:bCs/>
          <w:i/>
          <w:iCs/>
        </w:rPr>
        <w:t xml:space="preserve"> data behind the decision to have the </w:t>
      </w:r>
      <w:r w:rsidR="00610E29" w:rsidRPr="00527BFD">
        <w:rPr>
          <w:b/>
          <w:bCs/>
          <w:i/>
          <w:iCs/>
        </w:rPr>
        <w:t>first</w:t>
      </w:r>
      <w:r w:rsidRPr="00527BFD">
        <w:rPr>
          <w:b/>
          <w:bCs/>
          <w:i/>
          <w:iCs/>
        </w:rPr>
        <w:t xml:space="preserve"> </w:t>
      </w:r>
      <w:r w:rsidR="00610E29" w:rsidRPr="00527BFD">
        <w:rPr>
          <w:b/>
          <w:bCs/>
          <w:i/>
          <w:iCs/>
        </w:rPr>
        <w:t>two</w:t>
      </w:r>
      <w:r w:rsidRPr="00527BFD">
        <w:rPr>
          <w:b/>
          <w:bCs/>
          <w:i/>
          <w:iCs/>
        </w:rPr>
        <w:t xml:space="preserve"> injections separated by</w:t>
      </w:r>
      <w:r w:rsidR="005F0BCE" w:rsidRPr="00527BFD">
        <w:rPr>
          <w:b/>
          <w:bCs/>
          <w:i/>
          <w:iCs/>
        </w:rPr>
        <w:t xml:space="preserve"> </w:t>
      </w:r>
      <w:r w:rsidR="00610E29" w:rsidRPr="00527BFD">
        <w:rPr>
          <w:b/>
          <w:bCs/>
          <w:i/>
          <w:iCs/>
        </w:rPr>
        <w:t>one</w:t>
      </w:r>
      <w:r w:rsidRPr="00527BFD">
        <w:rPr>
          <w:b/>
          <w:bCs/>
          <w:i/>
          <w:iCs/>
        </w:rPr>
        <w:t xml:space="preserve"> month, and then </w:t>
      </w:r>
      <w:r w:rsidR="00610E29" w:rsidRPr="00527BFD">
        <w:rPr>
          <w:b/>
          <w:bCs/>
          <w:i/>
          <w:iCs/>
        </w:rPr>
        <w:t>two</w:t>
      </w:r>
      <w:r w:rsidRPr="00527BFD">
        <w:rPr>
          <w:b/>
          <w:bCs/>
          <w:i/>
          <w:iCs/>
        </w:rPr>
        <w:t xml:space="preserve"> monthly after that. The monthly interval for the </w:t>
      </w:r>
      <w:r w:rsidR="00610E29" w:rsidRPr="00527BFD">
        <w:rPr>
          <w:b/>
          <w:bCs/>
          <w:i/>
          <w:iCs/>
        </w:rPr>
        <w:t>second</w:t>
      </w:r>
      <w:r w:rsidRPr="00527BFD">
        <w:rPr>
          <w:b/>
          <w:bCs/>
          <w:i/>
          <w:iCs/>
        </w:rPr>
        <w:t xml:space="preserve"> injection is not clear from the data provided.</w:t>
      </w:r>
    </w:p>
    <w:p w14:paraId="43A72685" w14:textId="36E94411" w:rsidR="00606757" w:rsidRPr="00527BFD" w:rsidRDefault="00606757" w:rsidP="00606757">
      <w:r w:rsidRPr="00527BFD">
        <w:t xml:space="preserve">For </w:t>
      </w:r>
      <w:proofErr w:type="gramStart"/>
      <w:r w:rsidRPr="00527BFD">
        <w:t xml:space="preserve">the </w:t>
      </w:r>
      <w:r w:rsidR="00A90EA7" w:rsidRPr="00527BFD">
        <w:t>every</w:t>
      </w:r>
      <w:proofErr w:type="gramEnd"/>
      <w:r w:rsidR="00A90EA7" w:rsidRPr="00527BFD">
        <w:t xml:space="preserve"> 8 weeks</w:t>
      </w:r>
      <w:r w:rsidRPr="00527BFD">
        <w:t xml:space="preserve"> regimen, the first monthly injection serves as a loading dose to achieve concentrations consistent with steady</w:t>
      </w:r>
      <w:r w:rsidR="00BD0339" w:rsidRPr="00527BFD">
        <w:t xml:space="preserve"> </w:t>
      </w:r>
      <w:r w:rsidRPr="00527BFD">
        <w:t xml:space="preserve">state 4 weeks following the initiation injection. Following </w:t>
      </w:r>
      <w:r w:rsidR="00514EEA">
        <w:t xml:space="preserve">cabotegravir </w:t>
      </w:r>
      <w:r w:rsidRPr="00527BFD">
        <w:t xml:space="preserve">LA administration, </w:t>
      </w:r>
      <w:r w:rsidR="00FD52A9" w:rsidRPr="00527BFD">
        <w:t>cabotegravir</w:t>
      </w:r>
      <w:r w:rsidRPr="00527BFD">
        <w:t xml:space="preserve"> steady</w:t>
      </w:r>
      <w:r w:rsidR="00BD0339" w:rsidRPr="00527BFD">
        <w:t xml:space="preserve"> </w:t>
      </w:r>
      <w:r w:rsidRPr="00527BFD">
        <w:t xml:space="preserve">state is achieved within </w:t>
      </w:r>
      <w:r w:rsidR="00BD0339" w:rsidRPr="00527BFD">
        <w:t xml:space="preserve">approximately </w:t>
      </w:r>
      <w:r w:rsidRPr="00527BFD">
        <w:t xml:space="preserve">44 weeks; </w:t>
      </w:r>
      <w:proofErr w:type="gramStart"/>
      <w:r w:rsidRPr="00527BFD">
        <w:t>however</w:t>
      </w:r>
      <w:proofErr w:type="gramEnd"/>
      <w:r w:rsidRPr="00527BFD">
        <w:t xml:space="preserve"> the monthly loading dose injection achieves concentrations consistent with steady state 4 weeks following the initiation injection for the </w:t>
      </w:r>
      <w:proofErr w:type="spellStart"/>
      <w:r w:rsidRPr="00527BFD">
        <w:t>PrEP</w:t>
      </w:r>
      <w:proofErr w:type="spellEnd"/>
      <w:r w:rsidRPr="00527BFD">
        <w:t xml:space="preserve"> regimen. For this reason, the one month first injection interval was included in pivotal </w:t>
      </w:r>
      <w:proofErr w:type="spellStart"/>
      <w:r w:rsidRPr="00527BFD">
        <w:t>PrEP</w:t>
      </w:r>
      <w:proofErr w:type="spellEnd"/>
      <w:r w:rsidRPr="00527BFD">
        <w:t xml:space="preserve"> studies and has similarly been included in </w:t>
      </w:r>
      <w:proofErr w:type="gramStart"/>
      <w:r w:rsidRPr="00527BFD">
        <w:t xml:space="preserve">the </w:t>
      </w:r>
      <w:r w:rsidR="00A7618B" w:rsidRPr="00527BFD">
        <w:t>every</w:t>
      </w:r>
      <w:proofErr w:type="gramEnd"/>
      <w:r w:rsidR="00A7618B" w:rsidRPr="00527BFD">
        <w:t xml:space="preserve"> 2 months </w:t>
      </w:r>
      <w:r w:rsidRPr="00527BFD">
        <w:t xml:space="preserve">treatment </w:t>
      </w:r>
      <w:r w:rsidRPr="00527BFD">
        <w:lastRenderedPageBreak/>
        <w:t xml:space="preserve">regimen for </w:t>
      </w:r>
      <w:r w:rsidR="00FD52A9" w:rsidRPr="00527BFD">
        <w:t>cabotegravir</w:t>
      </w:r>
      <w:r w:rsidR="00AE677C" w:rsidRPr="00527BFD">
        <w:t xml:space="preserve"> plus</w:t>
      </w:r>
      <w:r w:rsidR="002B70E6" w:rsidRPr="00527BFD">
        <w:t xml:space="preserve"> </w:t>
      </w:r>
      <w:proofErr w:type="spellStart"/>
      <w:r w:rsidR="002B70E6" w:rsidRPr="00527BFD">
        <w:t>rilpivirine</w:t>
      </w:r>
      <w:proofErr w:type="spellEnd"/>
      <w:r w:rsidRPr="00527BFD">
        <w:t>. The impact of the one month loading injection is shown graphically in the simulation below (</w:t>
      </w:r>
      <w:r w:rsidR="00EC5B93" w:rsidRPr="00527BFD">
        <w:fldChar w:fldCharType="begin"/>
      </w:r>
      <w:r w:rsidR="00EC5B93" w:rsidRPr="00527BFD">
        <w:instrText xml:space="preserve"> REF _Ref115781113 \h </w:instrText>
      </w:r>
      <w:r w:rsidR="00527BFD" w:rsidRPr="00527BFD">
        <w:instrText xml:space="preserve"> \* MERGEFORMAT </w:instrText>
      </w:r>
      <w:r w:rsidR="00EC5B93" w:rsidRPr="00527BFD">
        <w:fldChar w:fldCharType="separate"/>
      </w:r>
      <w:r w:rsidR="001702C9" w:rsidRPr="0025423A">
        <w:t xml:space="preserve">Figure </w:t>
      </w:r>
      <w:r w:rsidR="001702C9">
        <w:rPr>
          <w:noProof/>
        </w:rPr>
        <w:t>12</w:t>
      </w:r>
      <w:r w:rsidR="00EC5B93" w:rsidRPr="00527BFD">
        <w:fldChar w:fldCharType="end"/>
      </w:r>
      <w:r w:rsidRPr="00527BFD">
        <w:t>).</w:t>
      </w:r>
    </w:p>
    <w:p w14:paraId="0AE0849D" w14:textId="6340EAAE" w:rsidR="00606757" w:rsidRPr="0025423A" w:rsidRDefault="00606757" w:rsidP="0025423A">
      <w:pPr>
        <w:pStyle w:val="FigureTitle"/>
      </w:pPr>
      <w:bookmarkStart w:id="131" w:name="_Ref115781113"/>
      <w:r w:rsidRPr="0025423A">
        <w:t xml:space="preserve">Figure </w:t>
      </w:r>
      <w:r w:rsidR="00234D1A">
        <w:fldChar w:fldCharType="begin"/>
      </w:r>
      <w:r w:rsidR="00234D1A">
        <w:instrText xml:space="preserve"> SEQ Figure \* ARABIC </w:instrText>
      </w:r>
      <w:r w:rsidR="00234D1A">
        <w:fldChar w:fldCharType="separate"/>
      </w:r>
      <w:r w:rsidR="001702C9">
        <w:rPr>
          <w:noProof/>
        </w:rPr>
        <w:t>12</w:t>
      </w:r>
      <w:r w:rsidR="00234D1A">
        <w:rPr>
          <w:noProof/>
        </w:rPr>
        <w:fldChar w:fldCharType="end"/>
      </w:r>
      <w:bookmarkEnd w:id="131"/>
      <w:r w:rsidRPr="0025423A">
        <w:t xml:space="preserve">: </w:t>
      </w:r>
      <w:r w:rsidR="00AC3147" w:rsidRPr="0025423A">
        <w:t xml:space="preserve">Simulated </w:t>
      </w:r>
      <w:r w:rsidR="00BD0339" w:rsidRPr="0025423A">
        <w:t>concentration</w:t>
      </w:r>
      <w:r w:rsidR="00AC3147" w:rsidRPr="0025423A">
        <w:t xml:space="preserve"> </w:t>
      </w:r>
      <w:r w:rsidR="00BD0339" w:rsidRPr="0025423A">
        <w:t>versus</w:t>
      </w:r>
      <w:r w:rsidR="00AC3147" w:rsidRPr="0025423A">
        <w:t xml:space="preserve"> </w:t>
      </w:r>
      <w:r w:rsidR="00BD0339" w:rsidRPr="0025423A">
        <w:t>time profile of the standard every 8</w:t>
      </w:r>
      <w:r w:rsidR="00AC3147" w:rsidRPr="0025423A">
        <w:t> </w:t>
      </w:r>
      <w:r w:rsidR="00BD0339" w:rsidRPr="0025423A">
        <w:t>weeks regimen through the follow-up period following discontinuation demonstrates how the initial monthly interval achieves steady state concentrations early in dosing</w:t>
      </w:r>
    </w:p>
    <w:p w14:paraId="42686FA5" w14:textId="5B880FF3" w:rsidR="00606757" w:rsidRDefault="00606757" w:rsidP="00466249">
      <w:r w:rsidRPr="00527BFD">
        <w:rPr>
          <w:noProof/>
          <w:lang w:val="en-GB" w:eastAsia="en-GB"/>
        </w:rPr>
        <w:drawing>
          <wp:inline distT="0" distB="0" distL="0" distR="0" wp14:anchorId="633EB0B2" wp14:editId="76D41D7C">
            <wp:extent cx="5400040" cy="2854960"/>
            <wp:effectExtent l="0" t="0" r="0" b="2540"/>
            <wp:docPr id="15" name="Picture 15" descr="Figure 12: Simulated concentration versus time profile of the standard every 8 weeks regimen through the follow-up period following discontinuation demonstrates how the initial monthly interval achieves steady state concentrations early in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2: Simulated concentration versus time profile of the standard every 8 weeks regimen through the follow-up period following discontinuation demonstrates how the initial monthly interval achieves steady state concentrations early in dosing"/>
                    <pic:cNvPicPr/>
                  </pic:nvPicPr>
                  <pic:blipFill>
                    <a:blip r:embed="rId40"/>
                    <a:stretch>
                      <a:fillRect/>
                    </a:stretch>
                  </pic:blipFill>
                  <pic:spPr>
                    <a:xfrm>
                      <a:off x="0" y="0"/>
                      <a:ext cx="5400040" cy="2854960"/>
                    </a:xfrm>
                    <a:prstGeom prst="rect">
                      <a:avLst/>
                    </a:prstGeom>
                  </pic:spPr>
                </pic:pic>
              </a:graphicData>
            </a:graphic>
          </wp:inline>
        </w:drawing>
      </w:r>
    </w:p>
    <w:p w14:paraId="0DD8C428" w14:textId="042D558B" w:rsidR="00466249" w:rsidRPr="00466249" w:rsidRDefault="00466249" w:rsidP="00466249">
      <w:pPr>
        <w:pStyle w:val="FigureDescription"/>
      </w:pPr>
      <w:r w:rsidRPr="00466249">
        <w:t>Abbreviation: IM = intramuscular.</w:t>
      </w:r>
    </w:p>
    <w:p w14:paraId="013D6A97" w14:textId="13E662DD" w:rsidR="00606757" w:rsidRPr="00466249" w:rsidRDefault="00606757" w:rsidP="00466249">
      <w:pPr>
        <w:pStyle w:val="FigureDescription"/>
      </w:pPr>
      <w:r w:rsidRPr="00466249">
        <w:t xml:space="preserve">Shaded area corresponds to the 90% </w:t>
      </w:r>
      <w:r w:rsidR="00C56168" w:rsidRPr="00466249">
        <w:t xml:space="preserve">prediction interval </w:t>
      </w:r>
      <w:r w:rsidRPr="00466249">
        <w:t>(</w:t>
      </w:r>
      <w:r w:rsidR="00466249">
        <w:t>fifth</w:t>
      </w:r>
      <w:r w:rsidRPr="00466249">
        <w:t xml:space="preserve"> and </w:t>
      </w:r>
      <w:r w:rsidR="00466249">
        <w:t>ninety fifth</w:t>
      </w:r>
      <w:r w:rsidRPr="00466249">
        <w:t xml:space="preserve"> percentiles). Simulated concentrations below </w:t>
      </w:r>
      <w:r w:rsidR="00466249" w:rsidRPr="00466249">
        <w:t xml:space="preserve">left lower quadrant </w:t>
      </w:r>
      <w:r w:rsidRPr="00466249">
        <w:t>of 0.025 µg/mL were converted to 0.025 µg/</w:t>
      </w:r>
      <w:proofErr w:type="spellStart"/>
      <w:r w:rsidRPr="00466249">
        <w:t>mL.</w:t>
      </w:r>
      <w:proofErr w:type="spellEnd"/>
      <w:r w:rsidRPr="00466249">
        <w:t xml:space="preserve"> The last </w:t>
      </w:r>
      <w:r w:rsidR="00E908B2" w:rsidRPr="00466249">
        <w:t>intramuscular</w:t>
      </w:r>
      <w:r w:rsidRPr="00466249">
        <w:t xml:space="preserve"> injection in this simulation was administered at Week 52.</w:t>
      </w:r>
    </w:p>
    <w:p w14:paraId="631B486C" w14:textId="26DFF17F" w:rsidR="003768A7" w:rsidRPr="00527BFD" w:rsidRDefault="003768A7" w:rsidP="003768A7">
      <w:pPr>
        <w:pStyle w:val="Numberbullet0"/>
        <w:rPr>
          <w:b/>
          <w:bCs/>
          <w:i/>
          <w:iCs/>
        </w:rPr>
      </w:pPr>
      <w:r w:rsidRPr="00527BFD">
        <w:rPr>
          <w:b/>
          <w:bCs/>
          <w:i/>
          <w:iCs/>
        </w:rPr>
        <w:t xml:space="preserve">Is there any additional data from the ongoing </w:t>
      </w:r>
      <w:r w:rsidR="00356947" w:rsidRPr="00527BFD">
        <w:rPr>
          <w:b/>
          <w:bCs/>
          <w:i/>
          <w:iCs/>
        </w:rPr>
        <w:t xml:space="preserve">pre-exposure prophylaxis </w:t>
      </w:r>
      <w:r w:rsidRPr="00527BFD">
        <w:rPr>
          <w:b/>
          <w:bCs/>
          <w:i/>
          <w:iCs/>
        </w:rPr>
        <w:t>studies?</w:t>
      </w:r>
    </w:p>
    <w:p w14:paraId="015854E2" w14:textId="436533D0" w:rsidR="00606757" w:rsidRPr="00527BFD" w:rsidRDefault="00606757" w:rsidP="00606757">
      <w:r w:rsidRPr="00527BFD">
        <w:t xml:space="preserve">Both </w:t>
      </w:r>
      <w:r w:rsidR="00CC53B1" w:rsidRPr="00527BFD">
        <w:t xml:space="preserve">the HPTN 083 </w:t>
      </w:r>
      <w:r w:rsidRPr="00527BFD">
        <w:t xml:space="preserve">and </w:t>
      </w:r>
      <w:r w:rsidR="00CC53B1" w:rsidRPr="00527BFD">
        <w:t>HPTN 084 trials</w:t>
      </w:r>
      <w:r w:rsidRPr="00527BFD">
        <w:t xml:space="preserve"> are in their respective open label extension phases and are ongoing. There are no available additional data from formal planned analysis from the ongoing </w:t>
      </w:r>
      <w:proofErr w:type="spellStart"/>
      <w:r w:rsidRPr="00527BFD">
        <w:t>PrEP</w:t>
      </w:r>
      <w:proofErr w:type="spellEnd"/>
      <w:r w:rsidRPr="00527BFD">
        <w:t xml:space="preserve"> studies </w:t>
      </w:r>
      <w:proofErr w:type="gramStart"/>
      <w:r w:rsidRPr="00527BFD">
        <w:t>at this time</w:t>
      </w:r>
      <w:proofErr w:type="gramEnd"/>
      <w:r w:rsidRPr="00527BFD">
        <w:t>.</w:t>
      </w:r>
    </w:p>
    <w:p w14:paraId="648113B5" w14:textId="77777777" w:rsidR="0074163C" w:rsidRPr="00527BFD" w:rsidRDefault="0074163C" w:rsidP="0074163C">
      <w:pPr>
        <w:pStyle w:val="Heading4"/>
      </w:pPr>
      <w:bookmarkStart w:id="132" w:name="_Toc98931936"/>
      <w:bookmarkStart w:id="133" w:name="_Toc247691532"/>
      <w:bookmarkStart w:id="134" w:name="_Toc314842516"/>
      <w:bookmarkEnd w:id="53"/>
      <w:bookmarkEnd w:id="123"/>
      <w:bookmarkEnd w:id="124"/>
      <w:r w:rsidRPr="00527BFD">
        <w:t>Advisory Committee considerations</w:t>
      </w:r>
      <w:bookmarkEnd w:id="132"/>
    </w:p>
    <w:p w14:paraId="46DDF772" w14:textId="2339CD15" w:rsidR="0074163C" w:rsidRPr="00527BFD" w:rsidRDefault="0074163C" w:rsidP="0074163C">
      <w:pPr>
        <w:rPr>
          <w:bCs/>
        </w:rPr>
      </w:pPr>
      <w:r w:rsidRPr="00527BFD">
        <w:rPr>
          <w:bCs/>
        </w:rPr>
        <w:t xml:space="preserve">The </w:t>
      </w:r>
      <w:hyperlink r:id="rId41" w:history="1">
        <w:r w:rsidRPr="00527BFD">
          <w:rPr>
            <w:rStyle w:val="Hyperlink"/>
            <w:szCs w:val="21"/>
          </w:rPr>
          <w:t>Advisory Committee on Medicines (ACM)</w:t>
        </w:r>
      </w:hyperlink>
      <w:r w:rsidRPr="00527BFD">
        <w:rPr>
          <w:szCs w:val="21"/>
        </w:rPr>
        <w:t>,</w:t>
      </w:r>
      <w:r w:rsidRPr="00527BFD">
        <w:rPr>
          <w:bCs/>
        </w:rPr>
        <w:t xml:space="preserve"> having considered the evaluations and the Delegate’s overview, as well as the sponsor’s response to these documents, advised the following.</w:t>
      </w:r>
    </w:p>
    <w:p w14:paraId="4C6AB172" w14:textId="77777777" w:rsidR="0074163C" w:rsidRPr="00527BFD" w:rsidRDefault="0074163C" w:rsidP="0074163C">
      <w:pPr>
        <w:pStyle w:val="Heading5"/>
      </w:pPr>
      <w:r w:rsidRPr="00527BFD">
        <w:t>Specific advice to the Delegate</w:t>
      </w:r>
    </w:p>
    <w:p w14:paraId="7BC22B06" w14:textId="500FB4F2" w:rsidR="00EC5B93" w:rsidRPr="00527BFD" w:rsidRDefault="00EC5B93" w:rsidP="003A1035">
      <w:pPr>
        <w:pStyle w:val="Numberbullet0"/>
        <w:numPr>
          <w:ilvl w:val="0"/>
          <w:numId w:val="8"/>
        </w:numPr>
        <w:rPr>
          <w:b/>
          <w:bCs/>
          <w:i/>
          <w:iCs/>
        </w:rPr>
      </w:pPr>
      <w:r w:rsidRPr="00527BFD">
        <w:rPr>
          <w:b/>
          <w:bCs/>
          <w:i/>
          <w:iCs/>
        </w:rPr>
        <w:t xml:space="preserve">The committee is asked to provide advice on the use of </w:t>
      </w:r>
      <w:r w:rsidR="00FD52A9" w:rsidRPr="00527BFD">
        <w:rPr>
          <w:b/>
          <w:bCs/>
          <w:i/>
          <w:iCs/>
        </w:rPr>
        <w:t>cabotegravir</w:t>
      </w:r>
      <w:r w:rsidRPr="00527BFD">
        <w:rPr>
          <w:b/>
          <w:bCs/>
          <w:i/>
          <w:iCs/>
        </w:rPr>
        <w:t xml:space="preserve"> </w:t>
      </w:r>
      <w:r w:rsidR="00356947" w:rsidRPr="00527BFD">
        <w:rPr>
          <w:b/>
          <w:bCs/>
          <w:i/>
          <w:iCs/>
        </w:rPr>
        <w:t xml:space="preserve">pre-exposure prophylaxis </w:t>
      </w:r>
      <w:r w:rsidRPr="00527BFD">
        <w:rPr>
          <w:b/>
          <w:bCs/>
          <w:i/>
          <w:iCs/>
        </w:rPr>
        <w:t>in at risk adolescents weighing at least 35</w:t>
      </w:r>
      <w:r w:rsidR="005E6FE5">
        <w:rPr>
          <w:b/>
          <w:bCs/>
          <w:i/>
          <w:iCs/>
        </w:rPr>
        <w:t xml:space="preserve"> </w:t>
      </w:r>
      <w:r w:rsidRPr="00527BFD">
        <w:rPr>
          <w:b/>
          <w:bCs/>
          <w:i/>
          <w:iCs/>
        </w:rPr>
        <w:t>kg.</w:t>
      </w:r>
    </w:p>
    <w:p w14:paraId="62F976FE" w14:textId="1887065E" w:rsidR="00EC5B93" w:rsidRPr="00527BFD" w:rsidRDefault="00EC5B93" w:rsidP="00EC5B93">
      <w:r w:rsidRPr="00527BFD">
        <w:t xml:space="preserve">On balance, the ACM advised that despite having limited data on the adolescent age group and no data for the 12 to 17 years age group, there is limited concern regarding the dosing of cabotegravir in adolescents. The ACM was of view that the advantages of the injection regimen can be expected to outweigh concern that might emerge in the future. The ACM agreed that it is important to increase access to </w:t>
      </w:r>
      <w:r w:rsidR="005A3930" w:rsidRPr="00527BFD">
        <w:t>human immunodeficiency virus (</w:t>
      </w:r>
      <w:r w:rsidRPr="00527BFD">
        <w:t>HIV</w:t>
      </w:r>
      <w:r w:rsidR="005A3930" w:rsidRPr="00527BFD">
        <w:t>)</w:t>
      </w:r>
      <w:r w:rsidRPr="00527BFD">
        <w:t xml:space="preserve"> preventing medicines among the adolescent population and it is plausible that injections might suit this population more than tablets due to convenience, privacy, and adherence to treatment.</w:t>
      </w:r>
    </w:p>
    <w:p w14:paraId="1756EB2F" w14:textId="6FDB81C7" w:rsidR="00EC5B93" w:rsidRPr="00527BFD" w:rsidRDefault="00EC5B93" w:rsidP="003A1035">
      <w:pPr>
        <w:pStyle w:val="Numberbullet0"/>
        <w:numPr>
          <w:ilvl w:val="0"/>
          <w:numId w:val="2"/>
        </w:numPr>
        <w:rPr>
          <w:b/>
          <w:bCs/>
          <w:i/>
          <w:iCs/>
        </w:rPr>
      </w:pPr>
      <w:r w:rsidRPr="00527BFD">
        <w:rPr>
          <w:b/>
          <w:bCs/>
          <w:i/>
          <w:iCs/>
        </w:rPr>
        <w:t>The committee is asked to provide advice on the role of oral lead</w:t>
      </w:r>
      <w:r w:rsidR="00665CD8" w:rsidRPr="00527BFD">
        <w:rPr>
          <w:b/>
          <w:bCs/>
          <w:i/>
          <w:iCs/>
        </w:rPr>
        <w:t>-</w:t>
      </w:r>
      <w:r w:rsidRPr="00527BFD">
        <w:rPr>
          <w:b/>
          <w:bCs/>
          <w:i/>
          <w:iCs/>
        </w:rPr>
        <w:t xml:space="preserve">in given the known safety profile of </w:t>
      </w:r>
      <w:r w:rsidR="00FD52A9" w:rsidRPr="00527BFD">
        <w:rPr>
          <w:b/>
          <w:bCs/>
          <w:i/>
          <w:iCs/>
        </w:rPr>
        <w:t>cabotegravir</w:t>
      </w:r>
      <w:r w:rsidRPr="00527BFD">
        <w:rPr>
          <w:b/>
          <w:bCs/>
          <w:i/>
          <w:iCs/>
        </w:rPr>
        <w:t xml:space="preserve"> and the possible increased risk of </w:t>
      </w:r>
      <w:r w:rsidR="005A3930" w:rsidRPr="00527BFD">
        <w:rPr>
          <w:b/>
          <w:bCs/>
          <w:i/>
          <w:iCs/>
        </w:rPr>
        <w:t xml:space="preserve">human </w:t>
      </w:r>
      <w:r w:rsidR="005A3930" w:rsidRPr="00527BFD">
        <w:rPr>
          <w:b/>
          <w:bCs/>
          <w:i/>
          <w:iCs/>
        </w:rPr>
        <w:lastRenderedPageBreak/>
        <w:t xml:space="preserve">immunodeficiency virus </w:t>
      </w:r>
      <w:r w:rsidRPr="00527BFD">
        <w:rPr>
          <w:b/>
          <w:bCs/>
          <w:i/>
          <w:iCs/>
        </w:rPr>
        <w:t>acquisition during optional oral lead</w:t>
      </w:r>
      <w:r w:rsidR="00665CD8" w:rsidRPr="00527BFD">
        <w:rPr>
          <w:b/>
          <w:bCs/>
          <w:i/>
          <w:iCs/>
        </w:rPr>
        <w:t>-</w:t>
      </w:r>
      <w:r w:rsidRPr="00527BFD">
        <w:rPr>
          <w:b/>
          <w:bCs/>
          <w:i/>
          <w:iCs/>
        </w:rPr>
        <w:t xml:space="preserve">in in </w:t>
      </w:r>
      <w:r w:rsidR="00BD0339" w:rsidRPr="00527BFD">
        <w:rPr>
          <w:b/>
          <w:bCs/>
          <w:i/>
          <w:iCs/>
        </w:rPr>
        <w:t>the</w:t>
      </w:r>
      <w:r w:rsidRPr="00527BFD">
        <w:rPr>
          <w:b/>
          <w:bCs/>
          <w:i/>
          <w:iCs/>
        </w:rPr>
        <w:t xml:space="preserve"> HPTN 083</w:t>
      </w:r>
      <w:r w:rsidR="00BD0339" w:rsidRPr="00527BFD">
        <w:rPr>
          <w:b/>
          <w:bCs/>
          <w:i/>
          <w:iCs/>
        </w:rPr>
        <w:t xml:space="preserve"> trial</w:t>
      </w:r>
      <w:r w:rsidRPr="00527BFD">
        <w:rPr>
          <w:b/>
          <w:bCs/>
          <w:i/>
          <w:iCs/>
        </w:rPr>
        <w:t>. If it is to be used should there be additional warnings re</w:t>
      </w:r>
      <w:r w:rsidR="00BD0339" w:rsidRPr="00527BFD">
        <w:rPr>
          <w:b/>
          <w:bCs/>
          <w:i/>
          <w:iCs/>
        </w:rPr>
        <w:t>garding</w:t>
      </w:r>
      <w:r w:rsidRPr="00527BFD">
        <w:rPr>
          <w:b/>
          <w:bCs/>
          <w:i/>
          <w:iCs/>
        </w:rPr>
        <w:t xml:space="preserve"> possible risk</w:t>
      </w:r>
      <w:r w:rsidR="00BD0339" w:rsidRPr="00527BFD">
        <w:rPr>
          <w:b/>
          <w:bCs/>
          <w:i/>
          <w:iCs/>
        </w:rPr>
        <w:t xml:space="preserve"> and so on</w:t>
      </w:r>
      <w:r w:rsidR="005E6FE5">
        <w:rPr>
          <w:b/>
          <w:bCs/>
          <w:i/>
          <w:iCs/>
        </w:rPr>
        <w:t>?</w:t>
      </w:r>
    </w:p>
    <w:p w14:paraId="7C8915AE" w14:textId="067FEDAC" w:rsidR="00EC5B93" w:rsidRPr="00527BFD" w:rsidRDefault="00EC5B93" w:rsidP="00EC5B93">
      <w:r w:rsidRPr="00527BFD">
        <w:t>The ACM noted that it is unclear that the oral lead</w:t>
      </w:r>
      <w:r w:rsidR="00665CD8" w:rsidRPr="00527BFD">
        <w:t>-</w:t>
      </w:r>
      <w:r w:rsidRPr="00527BFD">
        <w:t xml:space="preserve">in increases HIV acquisition. The ACM commented that the increase in HIV diagnoses in early </w:t>
      </w:r>
      <w:r w:rsidR="00C24737" w:rsidRPr="00527BFD">
        <w:t>pre-exposure prophylaxis (</w:t>
      </w:r>
      <w:proofErr w:type="spellStart"/>
      <w:r w:rsidRPr="00527BFD">
        <w:t>PrEP</w:t>
      </w:r>
      <w:proofErr w:type="spellEnd"/>
      <w:r w:rsidR="00C24737" w:rsidRPr="00527BFD">
        <w:t>)</w:t>
      </w:r>
      <w:r w:rsidRPr="00527BFD">
        <w:t xml:space="preserve"> treatment could be due to multiple factors such as the window of testing, HIV exposure occurring before therapeutic drug levels are achieved and changes in risk taking behaviour.</w:t>
      </w:r>
    </w:p>
    <w:p w14:paraId="3211A97A" w14:textId="4A1FFE99" w:rsidR="00EC5B93" w:rsidRPr="00527BFD" w:rsidRDefault="00EC5B93" w:rsidP="00EC5B93">
      <w:r w:rsidRPr="00527BFD">
        <w:t>The ACM recommended that an oral lead</w:t>
      </w:r>
      <w:r w:rsidR="00665CD8" w:rsidRPr="00527BFD">
        <w:t>-</w:t>
      </w:r>
      <w:r w:rsidRPr="00527BFD">
        <w:t xml:space="preserve">in remain optional, as described in the proposed indication. Further noting that the oral lead period might provide opportunity for repeat HIV testing prior to the first dose of </w:t>
      </w:r>
      <w:proofErr w:type="gramStart"/>
      <w:r w:rsidRPr="00527BFD">
        <w:t>long</w:t>
      </w:r>
      <w:r w:rsidR="00AE677C" w:rsidRPr="00527BFD">
        <w:t>-</w:t>
      </w:r>
      <w:r w:rsidRPr="00527BFD">
        <w:t>acting</w:t>
      </w:r>
      <w:proofErr w:type="gramEnd"/>
      <w:r w:rsidRPr="00527BFD">
        <w:t xml:space="preserve"> cabotegravir.</w:t>
      </w:r>
    </w:p>
    <w:p w14:paraId="6A9F6B22" w14:textId="38970D22" w:rsidR="00EC5B93" w:rsidRPr="00527BFD" w:rsidRDefault="00EC5B93" w:rsidP="003A1035">
      <w:pPr>
        <w:pStyle w:val="Numberbullet0"/>
        <w:numPr>
          <w:ilvl w:val="0"/>
          <w:numId w:val="2"/>
        </w:numPr>
        <w:rPr>
          <w:b/>
          <w:bCs/>
          <w:i/>
          <w:iCs/>
        </w:rPr>
      </w:pPr>
      <w:r w:rsidRPr="00527BFD">
        <w:rPr>
          <w:b/>
          <w:bCs/>
          <w:i/>
          <w:iCs/>
        </w:rPr>
        <w:t xml:space="preserve">The committee is asked to provide advice on the new wording of the indication for </w:t>
      </w:r>
      <w:proofErr w:type="spellStart"/>
      <w:r w:rsidRPr="00527BFD">
        <w:rPr>
          <w:b/>
          <w:bCs/>
          <w:i/>
          <w:iCs/>
        </w:rPr>
        <w:t>Apretude</w:t>
      </w:r>
      <w:proofErr w:type="spellEnd"/>
      <w:r w:rsidR="00BD0339" w:rsidRPr="00527BFD">
        <w:rPr>
          <w:b/>
          <w:bCs/>
          <w:i/>
          <w:iCs/>
        </w:rPr>
        <w:t>.</w:t>
      </w:r>
    </w:p>
    <w:p w14:paraId="00DDF1F0" w14:textId="77777777" w:rsidR="00EC5B93" w:rsidRPr="00527BFD" w:rsidRDefault="00EC5B93" w:rsidP="00EC5B93">
      <w:r w:rsidRPr="00527BFD">
        <w:t>The ACM agreed with the proposed new wording of the indication by the Delegate as listed below.</w:t>
      </w:r>
    </w:p>
    <w:p w14:paraId="5D973DF5" w14:textId="77777777" w:rsidR="00EC5B93" w:rsidRPr="00527BFD" w:rsidRDefault="00EC5B93" w:rsidP="00EC5B93">
      <w:pPr>
        <w:ind w:left="720"/>
        <w:rPr>
          <w:i/>
          <w:iCs/>
        </w:rPr>
      </w:pPr>
      <w:proofErr w:type="spellStart"/>
      <w:r w:rsidRPr="00527BFD">
        <w:rPr>
          <w:i/>
          <w:iCs/>
        </w:rPr>
        <w:t>Apretude</w:t>
      </w:r>
      <w:proofErr w:type="spellEnd"/>
      <w:r w:rsidRPr="00527BFD">
        <w:rPr>
          <w:i/>
          <w:iCs/>
        </w:rPr>
        <w:t xml:space="preserve"> is indicated in at-risk adults and adolescents weighing at least 35 kg for pre-exposure prophylaxis (</w:t>
      </w:r>
      <w:proofErr w:type="spellStart"/>
      <w:r w:rsidRPr="00527BFD">
        <w:rPr>
          <w:i/>
          <w:iCs/>
        </w:rPr>
        <w:t>PrEP</w:t>
      </w:r>
      <w:proofErr w:type="spellEnd"/>
      <w:r w:rsidRPr="00527BFD">
        <w:rPr>
          <w:i/>
          <w:iCs/>
        </w:rPr>
        <w:t>) to reduce the risk of sexually acquired HIV-1 infection.</w:t>
      </w:r>
    </w:p>
    <w:p w14:paraId="0E30BB92" w14:textId="61E83EA8" w:rsidR="00EC5B93" w:rsidRPr="00527BFD" w:rsidRDefault="00EC5B93" w:rsidP="00EC5B93">
      <w:pPr>
        <w:ind w:left="720"/>
        <w:rPr>
          <w:i/>
          <w:iCs/>
        </w:rPr>
      </w:pPr>
      <w:proofErr w:type="spellStart"/>
      <w:r w:rsidRPr="00527BFD">
        <w:rPr>
          <w:i/>
          <w:iCs/>
        </w:rPr>
        <w:t>Apretude</w:t>
      </w:r>
      <w:proofErr w:type="spellEnd"/>
      <w:r w:rsidRPr="00527BFD">
        <w:rPr>
          <w:i/>
          <w:iCs/>
        </w:rPr>
        <w:t xml:space="preserve"> tablets may be used as an oral lead-in to assess tolerability of cabotegravir prior to administration of cabotegravir injections or as short-term oral </w:t>
      </w:r>
      <w:proofErr w:type="spellStart"/>
      <w:r w:rsidRPr="00527BFD">
        <w:rPr>
          <w:i/>
          <w:iCs/>
        </w:rPr>
        <w:t>PrEP</w:t>
      </w:r>
      <w:proofErr w:type="spellEnd"/>
      <w:r w:rsidRPr="00527BFD">
        <w:rPr>
          <w:i/>
          <w:iCs/>
        </w:rPr>
        <w:t xml:space="preserve"> in individuals who will miss planned dosing with cabotegravir injections.</w:t>
      </w:r>
    </w:p>
    <w:p w14:paraId="7E988DA0" w14:textId="2C16A7D6" w:rsidR="00EC5B93" w:rsidRPr="00527BFD" w:rsidRDefault="00EC5B93" w:rsidP="00EC5B93">
      <w:pPr>
        <w:ind w:left="720"/>
        <w:rPr>
          <w:i/>
          <w:iCs/>
        </w:rPr>
      </w:pPr>
      <w:r w:rsidRPr="00527BFD">
        <w:rPr>
          <w:i/>
          <w:iCs/>
        </w:rPr>
        <w:t xml:space="preserve">Individuals must have a negative HIV-1 test prior to initiating </w:t>
      </w:r>
      <w:proofErr w:type="spellStart"/>
      <w:r w:rsidRPr="00527BFD">
        <w:rPr>
          <w:i/>
          <w:iCs/>
        </w:rPr>
        <w:t>Apretude</w:t>
      </w:r>
      <w:proofErr w:type="spellEnd"/>
      <w:r w:rsidRPr="00527BFD">
        <w:rPr>
          <w:i/>
          <w:iCs/>
        </w:rPr>
        <w:t xml:space="preserve"> for HIV</w:t>
      </w:r>
      <w:r w:rsidR="002A526F">
        <w:rPr>
          <w:i/>
          <w:iCs/>
        </w:rPr>
        <w:noBreakHyphen/>
      </w:r>
      <w:r w:rsidRPr="00527BFD">
        <w:rPr>
          <w:i/>
          <w:iCs/>
        </w:rPr>
        <w:t xml:space="preserve">1 </w:t>
      </w:r>
      <w:proofErr w:type="spellStart"/>
      <w:r w:rsidRPr="00527BFD">
        <w:rPr>
          <w:i/>
          <w:iCs/>
        </w:rPr>
        <w:t>PrEP.</w:t>
      </w:r>
      <w:proofErr w:type="spellEnd"/>
    </w:p>
    <w:p w14:paraId="3D7E3F2B" w14:textId="7D01F807" w:rsidR="00EC5B93" w:rsidRPr="00527BFD" w:rsidRDefault="00EC5B93" w:rsidP="003A1035">
      <w:pPr>
        <w:pStyle w:val="Numberbullet0"/>
        <w:numPr>
          <w:ilvl w:val="0"/>
          <w:numId w:val="2"/>
        </w:numPr>
        <w:rPr>
          <w:b/>
          <w:bCs/>
          <w:i/>
          <w:iCs/>
        </w:rPr>
      </w:pPr>
      <w:r w:rsidRPr="00527BFD">
        <w:rPr>
          <w:b/>
          <w:bCs/>
          <w:i/>
          <w:iCs/>
        </w:rPr>
        <w:t xml:space="preserve">Does the committee feel the recommendation for </w:t>
      </w:r>
      <w:r w:rsidR="005A3930" w:rsidRPr="00527BFD">
        <w:rPr>
          <w:b/>
          <w:bCs/>
          <w:i/>
          <w:iCs/>
        </w:rPr>
        <w:t xml:space="preserve">human immunodeficiency virus </w:t>
      </w:r>
      <w:r w:rsidRPr="00527BFD">
        <w:rPr>
          <w:b/>
          <w:bCs/>
          <w:i/>
          <w:iCs/>
        </w:rPr>
        <w:t xml:space="preserve">testing prior to each </w:t>
      </w:r>
      <w:r w:rsidR="00FD52A9" w:rsidRPr="00527BFD">
        <w:rPr>
          <w:b/>
          <w:bCs/>
          <w:i/>
          <w:iCs/>
        </w:rPr>
        <w:t>cabotegravir</w:t>
      </w:r>
      <w:r w:rsidRPr="00527BFD">
        <w:rPr>
          <w:b/>
          <w:bCs/>
          <w:i/>
          <w:iCs/>
        </w:rPr>
        <w:t xml:space="preserve"> injection reasonable and achievable? What is the committee’s advice regarding what should be recommended?</w:t>
      </w:r>
    </w:p>
    <w:p w14:paraId="2F4A1AD5" w14:textId="45E7E486" w:rsidR="00EC5B93" w:rsidRPr="00527BFD" w:rsidRDefault="00EC5B93" w:rsidP="00EC5B93">
      <w:r w:rsidRPr="00527BFD">
        <w:t>The ACM recommended regular testing while using long</w:t>
      </w:r>
      <w:r w:rsidR="00AE677C" w:rsidRPr="00527BFD">
        <w:t>-</w:t>
      </w:r>
      <w:r w:rsidRPr="00527BFD">
        <w:t xml:space="preserve">acting </w:t>
      </w:r>
      <w:proofErr w:type="spellStart"/>
      <w:r w:rsidRPr="00527BFD">
        <w:t>PrEP</w:t>
      </w:r>
      <w:proofErr w:type="spellEnd"/>
      <w:r w:rsidRPr="00527BFD">
        <w:t xml:space="preserve"> in keeping with current national guidelines. The current Australian clinical guidelines for HIV </w:t>
      </w:r>
      <w:proofErr w:type="spellStart"/>
      <w:r w:rsidR="00356947" w:rsidRPr="00527BFD">
        <w:t>PrEP</w:t>
      </w:r>
      <w:proofErr w:type="spellEnd"/>
      <w:r w:rsidR="00F0419F">
        <w:t>;</w:t>
      </w:r>
      <w:r w:rsidR="00F0419F">
        <w:rPr>
          <w:rStyle w:val="FootnoteReference"/>
        </w:rPr>
        <w:footnoteReference w:id="19"/>
      </w:r>
      <w:r w:rsidRPr="00527BFD">
        <w:t xml:space="preserve"> recommend HIV antigen</w:t>
      </w:r>
      <w:r w:rsidR="00BD0339" w:rsidRPr="00527BFD">
        <w:t xml:space="preserve"> or </w:t>
      </w:r>
      <w:r w:rsidRPr="00527BFD">
        <w:t>antibody testing every three months.</w:t>
      </w:r>
    </w:p>
    <w:p w14:paraId="48F4186C" w14:textId="660A3347" w:rsidR="00EC5B93" w:rsidRPr="00527BFD" w:rsidRDefault="00EC5B93" w:rsidP="00EC5B93">
      <w:r w:rsidRPr="00527BFD">
        <w:t>The ACM noted that HIV testing usually occurs at or just before the three monthly re</w:t>
      </w:r>
      <w:r w:rsidRPr="00527BFD">
        <w:noBreakHyphen/>
        <w:t>prescribing of medication. Hence, HIV testing every two months (alongside the long</w:t>
      </w:r>
      <w:r w:rsidR="00BD0339" w:rsidRPr="00527BFD">
        <w:noBreakHyphen/>
      </w:r>
      <w:r w:rsidRPr="00527BFD">
        <w:t>acting cabotegravir injection) would be feasible given a clinic visit is needed to administer cabotegravir injection.</w:t>
      </w:r>
    </w:p>
    <w:p w14:paraId="5759C62B" w14:textId="36AA1FCC" w:rsidR="00EC5B93" w:rsidRPr="00527BFD" w:rsidRDefault="00EC5B93" w:rsidP="003A1035">
      <w:pPr>
        <w:pStyle w:val="Numberbullet0"/>
        <w:numPr>
          <w:ilvl w:val="0"/>
          <w:numId w:val="2"/>
        </w:numPr>
        <w:rPr>
          <w:b/>
          <w:bCs/>
          <w:i/>
          <w:iCs/>
        </w:rPr>
      </w:pPr>
      <w:r w:rsidRPr="00527BFD">
        <w:rPr>
          <w:b/>
          <w:bCs/>
          <w:i/>
          <w:iCs/>
        </w:rPr>
        <w:t xml:space="preserve">Is there any other advice the committee would like to provide as to how to reduce the risk of emergence of resistance </w:t>
      </w:r>
      <w:r w:rsidR="00BD0339" w:rsidRPr="00527BFD">
        <w:rPr>
          <w:b/>
          <w:bCs/>
          <w:i/>
          <w:iCs/>
        </w:rPr>
        <w:t>or</w:t>
      </w:r>
      <w:r w:rsidRPr="00527BFD">
        <w:rPr>
          <w:b/>
          <w:bCs/>
          <w:i/>
          <w:iCs/>
        </w:rPr>
        <w:t xml:space="preserve"> inadequate treatment if the person becomes </w:t>
      </w:r>
      <w:r w:rsidR="005A3930" w:rsidRPr="00527BFD">
        <w:rPr>
          <w:b/>
          <w:bCs/>
          <w:i/>
          <w:iCs/>
        </w:rPr>
        <w:t xml:space="preserve">human immunodeficiency virus </w:t>
      </w:r>
      <w:r w:rsidRPr="00527BFD">
        <w:rPr>
          <w:b/>
          <w:bCs/>
          <w:i/>
          <w:iCs/>
        </w:rPr>
        <w:t>positive?</w:t>
      </w:r>
    </w:p>
    <w:p w14:paraId="2A143EC8" w14:textId="77777777" w:rsidR="00EC5B93" w:rsidRPr="00527BFD" w:rsidRDefault="00EC5B93" w:rsidP="00EC5B93">
      <w:r w:rsidRPr="00527BFD">
        <w:t xml:space="preserve">The ACM noted that the risk of resistance needs to be balanced against the HIV prevention benefit. The ACM advised that any new HIV diagnosis while on </w:t>
      </w:r>
      <w:proofErr w:type="spellStart"/>
      <w:r w:rsidRPr="00527BFD">
        <w:t>Apretude</w:t>
      </w:r>
      <w:proofErr w:type="spellEnd"/>
      <w:r w:rsidRPr="00527BFD">
        <w:t xml:space="preserve"> </w:t>
      </w:r>
      <w:proofErr w:type="spellStart"/>
      <w:r w:rsidRPr="00527BFD">
        <w:t>PrEP</w:t>
      </w:r>
      <w:proofErr w:type="spellEnd"/>
      <w:r w:rsidRPr="00527BFD">
        <w:t xml:space="preserve"> would require urgent specialist referral for HIV treatment. In addition, the ACM also recommended frequent on-treatment HIV testing while using long-acting </w:t>
      </w:r>
      <w:proofErr w:type="spellStart"/>
      <w:r w:rsidRPr="00527BFD">
        <w:t>Apretude</w:t>
      </w:r>
      <w:proofErr w:type="spellEnd"/>
      <w:r w:rsidRPr="00527BFD">
        <w:t xml:space="preserve"> as </w:t>
      </w:r>
      <w:proofErr w:type="spellStart"/>
      <w:r w:rsidRPr="00527BFD">
        <w:t>PrEP.</w:t>
      </w:r>
      <w:proofErr w:type="spellEnd"/>
    </w:p>
    <w:p w14:paraId="65B94C5B" w14:textId="03848079" w:rsidR="00EC5B93" w:rsidRPr="00527BFD" w:rsidRDefault="00EC5B93" w:rsidP="003A1035">
      <w:pPr>
        <w:pStyle w:val="Numberbullet0"/>
        <w:numPr>
          <w:ilvl w:val="0"/>
          <w:numId w:val="2"/>
        </w:numPr>
        <w:rPr>
          <w:b/>
          <w:bCs/>
          <w:i/>
          <w:iCs/>
        </w:rPr>
      </w:pPr>
      <w:r w:rsidRPr="00527BFD">
        <w:rPr>
          <w:b/>
          <w:bCs/>
          <w:i/>
          <w:iCs/>
        </w:rPr>
        <w:t>The committee is also requested to provide advice on any other issues that it thinks may be relevant to a decision on whether to approve this application.</w:t>
      </w:r>
    </w:p>
    <w:p w14:paraId="10B326C3" w14:textId="0EE2F73B" w:rsidR="00EC5B93" w:rsidRPr="00527BFD" w:rsidRDefault="00EC5B93" w:rsidP="00EC5B93">
      <w:r w:rsidRPr="00527BFD">
        <w:lastRenderedPageBreak/>
        <w:t xml:space="preserve">The ACM agreed that </w:t>
      </w:r>
      <w:proofErr w:type="gramStart"/>
      <w:r w:rsidRPr="00527BFD">
        <w:t>long</w:t>
      </w:r>
      <w:r w:rsidR="00AE677C" w:rsidRPr="00527BFD">
        <w:t>-</w:t>
      </w:r>
      <w:r w:rsidRPr="00527BFD">
        <w:t>acting</w:t>
      </w:r>
      <w:proofErr w:type="gramEnd"/>
      <w:r w:rsidRPr="00527BFD">
        <w:t xml:space="preserve"> injectable</w:t>
      </w:r>
      <w:r w:rsidR="00900310">
        <w:t>s</w:t>
      </w:r>
      <w:r w:rsidRPr="00527BFD">
        <w:t xml:space="preserve"> offer opportunities for more frequent risk assessment and opportunistic testing for sexually transmitted infections, blood borne viruses, harm reduction education and vaccination given their mode of administration.</w:t>
      </w:r>
    </w:p>
    <w:p w14:paraId="3B2CEC6A" w14:textId="77777777" w:rsidR="0074163C" w:rsidRPr="00527BFD" w:rsidRDefault="0074163C" w:rsidP="0074163C">
      <w:pPr>
        <w:pStyle w:val="Heading5"/>
      </w:pPr>
      <w:r w:rsidRPr="00527BFD">
        <w:t>Conclusion</w:t>
      </w:r>
    </w:p>
    <w:p w14:paraId="6A9C9C31" w14:textId="77777777" w:rsidR="00EC5B93" w:rsidRPr="00527BFD" w:rsidRDefault="00EC5B93" w:rsidP="00EC5B93">
      <w:r w:rsidRPr="00527BFD">
        <w:t>The ACM considered this product to have an overall positive benefit-risk profile for the indication:</w:t>
      </w:r>
    </w:p>
    <w:p w14:paraId="15210042" w14:textId="77777777" w:rsidR="00EC5B93" w:rsidRPr="00527BFD" w:rsidRDefault="00EC5B93" w:rsidP="00EC5B93">
      <w:pPr>
        <w:ind w:left="720"/>
        <w:rPr>
          <w:i/>
          <w:iCs/>
        </w:rPr>
      </w:pPr>
      <w:proofErr w:type="spellStart"/>
      <w:r w:rsidRPr="00527BFD">
        <w:rPr>
          <w:i/>
          <w:iCs/>
        </w:rPr>
        <w:t>Apretude</w:t>
      </w:r>
      <w:proofErr w:type="spellEnd"/>
      <w:r w:rsidRPr="00527BFD">
        <w:rPr>
          <w:i/>
          <w:iCs/>
        </w:rPr>
        <w:t xml:space="preserve"> is indicated in at-risk adults and adolescents weighing at least 35 kg for pre-exposure prophylaxis (</w:t>
      </w:r>
      <w:proofErr w:type="spellStart"/>
      <w:r w:rsidRPr="00527BFD">
        <w:rPr>
          <w:i/>
          <w:iCs/>
        </w:rPr>
        <w:t>PrEP</w:t>
      </w:r>
      <w:proofErr w:type="spellEnd"/>
      <w:r w:rsidRPr="00527BFD">
        <w:rPr>
          <w:i/>
          <w:iCs/>
        </w:rPr>
        <w:t>) to reduce the risk of sexually acquired HIV-1 infection.</w:t>
      </w:r>
    </w:p>
    <w:p w14:paraId="2E13B281" w14:textId="0D41476D" w:rsidR="00EC5B93" w:rsidRPr="00527BFD" w:rsidRDefault="00EC5B93" w:rsidP="00EC5B93">
      <w:pPr>
        <w:ind w:left="720"/>
        <w:rPr>
          <w:i/>
          <w:iCs/>
        </w:rPr>
      </w:pPr>
      <w:proofErr w:type="spellStart"/>
      <w:r w:rsidRPr="00527BFD">
        <w:rPr>
          <w:i/>
          <w:iCs/>
        </w:rPr>
        <w:t>Apretude</w:t>
      </w:r>
      <w:proofErr w:type="spellEnd"/>
      <w:r w:rsidRPr="00527BFD">
        <w:rPr>
          <w:i/>
          <w:iCs/>
        </w:rPr>
        <w:t xml:space="preserve"> tablets may be used as an oral lead-in to assess tolerability of cabotegravir prior to administration of cabotegravir injections or as short-term oral </w:t>
      </w:r>
      <w:proofErr w:type="spellStart"/>
      <w:r w:rsidRPr="00527BFD">
        <w:rPr>
          <w:i/>
          <w:iCs/>
        </w:rPr>
        <w:t>PrEP</w:t>
      </w:r>
      <w:proofErr w:type="spellEnd"/>
      <w:r w:rsidRPr="00527BFD">
        <w:rPr>
          <w:i/>
          <w:iCs/>
        </w:rPr>
        <w:t xml:space="preserve"> in individuals who will miss planned dosing with cabotegravir injections.</w:t>
      </w:r>
    </w:p>
    <w:p w14:paraId="2C1A73C3" w14:textId="149BAD1D" w:rsidR="00EC5B93" w:rsidRPr="00527BFD" w:rsidRDefault="00EC5B93" w:rsidP="00EC5B93">
      <w:pPr>
        <w:ind w:left="720"/>
      </w:pPr>
      <w:r w:rsidRPr="00527BFD">
        <w:rPr>
          <w:i/>
          <w:iCs/>
        </w:rPr>
        <w:t xml:space="preserve">Individuals must have a negative HIV-1 test prior to initiating </w:t>
      </w:r>
      <w:proofErr w:type="spellStart"/>
      <w:r w:rsidRPr="00527BFD">
        <w:rPr>
          <w:i/>
          <w:iCs/>
        </w:rPr>
        <w:t>Apretude</w:t>
      </w:r>
      <w:proofErr w:type="spellEnd"/>
      <w:r w:rsidRPr="00527BFD">
        <w:rPr>
          <w:i/>
          <w:iCs/>
        </w:rPr>
        <w:t xml:space="preserve"> for HIV</w:t>
      </w:r>
      <w:r w:rsidR="002A526F">
        <w:rPr>
          <w:i/>
          <w:iCs/>
        </w:rPr>
        <w:noBreakHyphen/>
      </w:r>
      <w:r w:rsidRPr="00527BFD">
        <w:rPr>
          <w:i/>
          <w:iCs/>
        </w:rPr>
        <w:t xml:space="preserve">1 </w:t>
      </w:r>
      <w:proofErr w:type="spellStart"/>
      <w:r w:rsidRPr="00527BFD">
        <w:rPr>
          <w:i/>
          <w:iCs/>
        </w:rPr>
        <w:t>PrEP.</w:t>
      </w:r>
      <w:proofErr w:type="spellEnd"/>
    </w:p>
    <w:p w14:paraId="341F8792" w14:textId="0841D3F6" w:rsidR="008E7846" w:rsidRPr="00527BFD" w:rsidRDefault="008E7846" w:rsidP="00D212F3">
      <w:pPr>
        <w:pStyle w:val="Heading2"/>
      </w:pPr>
      <w:bookmarkStart w:id="135" w:name="_Toc120100545"/>
      <w:r w:rsidRPr="00527BFD">
        <w:t>Outcome</w:t>
      </w:r>
      <w:bookmarkEnd w:id="133"/>
      <w:bookmarkEnd w:id="134"/>
      <w:bookmarkEnd w:id="135"/>
    </w:p>
    <w:p w14:paraId="38A0CC19" w14:textId="08AB7F08" w:rsidR="0074163C" w:rsidRPr="00527BFD" w:rsidRDefault="0074163C" w:rsidP="0074163C">
      <w:bookmarkStart w:id="136" w:name="_Toc247691533"/>
      <w:bookmarkStart w:id="137" w:name="_Toc314842517"/>
      <w:r w:rsidRPr="00527BFD">
        <w:t xml:space="preserve">Based on a review of quality, </w:t>
      </w:r>
      <w:r w:rsidR="00CC5044" w:rsidRPr="00527BFD">
        <w:t>safety,</w:t>
      </w:r>
      <w:r w:rsidRPr="00527BFD">
        <w:t xml:space="preserve"> and efficacy, the TGA approved the registration of </w:t>
      </w:r>
      <w:proofErr w:type="spellStart"/>
      <w:r w:rsidR="00645E5B" w:rsidRPr="00527BFD">
        <w:t>Apretude</w:t>
      </w:r>
      <w:proofErr w:type="spellEnd"/>
      <w:r w:rsidR="00645E5B" w:rsidRPr="00527BFD">
        <w:t xml:space="preserve"> </w:t>
      </w:r>
      <w:r w:rsidRPr="00527BFD">
        <w:t>(</w:t>
      </w:r>
      <w:r w:rsidR="00645E5B" w:rsidRPr="00527BFD">
        <w:t>cabotegravir</w:t>
      </w:r>
      <w:r w:rsidRPr="00527BFD">
        <w:t xml:space="preserve">) </w:t>
      </w:r>
      <w:r w:rsidR="00C66DDF" w:rsidRPr="00527BFD">
        <w:t>30 mg film</w:t>
      </w:r>
      <w:r w:rsidR="00714561">
        <w:t>-</w:t>
      </w:r>
      <w:r w:rsidR="00C66DDF" w:rsidRPr="00527BFD">
        <w:t>coated tablet in bottles and 600 mg/3 mL prolonged</w:t>
      </w:r>
      <w:r w:rsidR="00BD0339" w:rsidRPr="00527BFD">
        <w:noBreakHyphen/>
      </w:r>
      <w:r w:rsidR="00C66DDF" w:rsidRPr="00527BFD">
        <w:t>release suspension for injection in vials</w:t>
      </w:r>
      <w:r w:rsidRPr="00527BFD">
        <w:t>, for the following extension of indications:</w:t>
      </w:r>
    </w:p>
    <w:p w14:paraId="271BFD92" w14:textId="7B558123" w:rsidR="00C66DDF" w:rsidRPr="00527BFD" w:rsidRDefault="005F0BCE" w:rsidP="00C66DDF">
      <w:pPr>
        <w:ind w:left="720"/>
        <w:rPr>
          <w:i/>
          <w:iCs/>
        </w:rPr>
      </w:pPr>
      <w:proofErr w:type="spellStart"/>
      <w:r w:rsidRPr="00527BFD">
        <w:rPr>
          <w:i/>
          <w:iCs/>
        </w:rPr>
        <w:t>Apretude</w:t>
      </w:r>
      <w:proofErr w:type="spellEnd"/>
      <w:r w:rsidR="00C66DDF" w:rsidRPr="00527BFD">
        <w:rPr>
          <w:i/>
          <w:iCs/>
        </w:rPr>
        <w:t xml:space="preserve"> is indicated in at-risk adults and adolescents (at least 12 years of age) and weighing at least 35 kg for pre-exposure prophylaxis (</w:t>
      </w:r>
      <w:proofErr w:type="spellStart"/>
      <w:r w:rsidR="00C66DDF" w:rsidRPr="00527BFD">
        <w:rPr>
          <w:i/>
          <w:iCs/>
        </w:rPr>
        <w:t>PrEP</w:t>
      </w:r>
      <w:proofErr w:type="spellEnd"/>
      <w:r w:rsidR="00C66DDF" w:rsidRPr="00527BFD">
        <w:rPr>
          <w:i/>
          <w:iCs/>
        </w:rPr>
        <w:t>) to reduce the risk of sexually acquired HIV-1 infection.</w:t>
      </w:r>
    </w:p>
    <w:p w14:paraId="77DBA2AD" w14:textId="59FC885B" w:rsidR="00C66DDF" w:rsidRPr="00527BFD" w:rsidRDefault="005F0BCE" w:rsidP="00C66DDF">
      <w:pPr>
        <w:ind w:left="720"/>
        <w:rPr>
          <w:i/>
          <w:iCs/>
        </w:rPr>
      </w:pPr>
      <w:proofErr w:type="spellStart"/>
      <w:r w:rsidRPr="00527BFD">
        <w:rPr>
          <w:i/>
          <w:iCs/>
        </w:rPr>
        <w:t>Apretude</w:t>
      </w:r>
      <w:proofErr w:type="spellEnd"/>
      <w:r w:rsidR="00C66DDF" w:rsidRPr="00527BFD">
        <w:rPr>
          <w:i/>
          <w:iCs/>
        </w:rPr>
        <w:t xml:space="preserve"> tablets may be used as an oral lead-in to assess tolerability of cabotegravir prior to administration of cabotegravir injections or as short-term oral </w:t>
      </w:r>
      <w:proofErr w:type="spellStart"/>
      <w:r w:rsidR="00C66DDF" w:rsidRPr="00527BFD">
        <w:rPr>
          <w:i/>
          <w:iCs/>
        </w:rPr>
        <w:t>PrEP</w:t>
      </w:r>
      <w:proofErr w:type="spellEnd"/>
      <w:r w:rsidR="00C66DDF" w:rsidRPr="00527BFD">
        <w:rPr>
          <w:i/>
          <w:iCs/>
        </w:rPr>
        <w:t xml:space="preserve"> in individuals who will miss planned dosing with cabotegravir injections.</w:t>
      </w:r>
    </w:p>
    <w:p w14:paraId="0BC2AFAE" w14:textId="7660099F" w:rsidR="0074163C" w:rsidRPr="00527BFD" w:rsidRDefault="00C66DDF" w:rsidP="00C66DDF">
      <w:pPr>
        <w:ind w:left="720"/>
        <w:rPr>
          <w:i/>
          <w:iCs/>
        </w:rPr>
      </w:pPr>
      <w:r w:rsidRPr="00527BFD">
        <w:rPr>
          <w:i/>
          <w:iCs/>
        </w:rPr>
        <w:t xml:space="preserve">Individuals must have a documented negative HIV-1 test prior to initiating </w:t>
      </w:r>
      <w:proofErr w:type="spellStart"/>
      <w:r w:rsidR="005F0BCE" w:rsidRPr="00527BFD">
        <w:rPr>
          <w:i/>
          <w:iCs/>
        </w:rPr>
        <w:t>Apretude</w:t>
      </w:r>
      <w:proofErr w:type="spellEnd"/>
      <w:r w:rsidRPr="00527BFD">
        <w:rPr>
          <w:i/>
          <w:iCs/>
        </w:rPr>
        <w:t xml:space="preserve"> for HIV-1 </w:t>
      </w:r>
      <w:proofErr w:type="spellStart"/>
      <w:r w:rsidRPr="00527BFD">
        <w:rPr>
          <w:i/>
          <w:iCs/>
        </w:rPr>
        <w:t>PrEP.</w:t>
      </w:r>
      <w:proofErr w:type="spellEnd"/>
    </w:p>
    <w:p w14:paraId="55EC781D" w14:textId="08D74A2E" w:rsidR="0074163C" w:rsidRPr="00527BFD" w:rsidRDefault="0074163C" w:rsidP="0074163C">
      <w:r w:rsidRPr="00527BFD">
        <w:t xml:space="preserve">The above extension of indications </w:t>
      </w:r>
      <w:proofErr w:type="gramStart"/>
      <w:r w:rsidRPr="00527BFD">
        <w:t>are</w:t>
      </w:r>
      <w:proofErr w:type="gramEnd"/>
      <w:r w:rsidRPr="00527BFD">
        <w:t xml:space="preserve"> inclusive of the previous approved indications.</w:t>
      </w:r>
    </w:p>
    <w:p w14:paraId="6BC8C86C" w14:textId="77777777" w:rsidR="00D23139" w:rsidRPr="00527BFD" w:rsidRDefault="00D23139" w:rsidP="00D212F3">
      <w:pPr>
        <w:pStyle w:val="Heading3"/>
      </w:pPr>
      <w:bookmarkStart w:id="138" w:name="_Toc120100546"/>
      <w:r w:rsidRPr="00527BFD">
        <w:t>Specific conditions of registration applying to these goods</w:t>
      </w:r>
      <w:bookmarkEnd w:id="138"/>
    </w:p>
    <w:p w14:paraId="5F74D134" w14:textId="2A7A0DC1" w:rsidR="00484396" w:rsidRPr="00527BFD" w:rsidRDefault="005F0BCE" w:rsidP="00484396">
      <w:pPr>
        <w:pStyle w:val="ListBullet"/>
      </w:pPr>
      <w:proofErr w:type="spellStart"/>
      <w:r w:rsidRPr="00527BFD">
        <w:t>Apretude</w:t>
      </w:r>
      <w:proofErr w:type="spellEnd"/>
      <w:r w:rsidR="00484396" w:rsidRPr="00527BFD">
        <w:t xml:space="preserve"> (cabotegravir sodium) is to be included in the Black Triangle Scheme. The PI and CMI for [</w:t>
      </w:r>
      <w:proofErr w:type="spellStart"/>
      <w:r w:rsidRPr="00527BFD">
        <w:t>Apretude</w:t>
      </w:r>
      <w:proofErr w:type="spellEnd"/>
      <w:r w:rsidR="00484396" w:rsidRPr="00527BFD">
        <w:t>] must include the black triangle symbol and mandatory accompanying text for five years, which starts from the date the new indication is registered.</w:t>
      </w:r>
    </w:p>
    <w:p w14:paraId="1F8A922E" w14:textId="2F6A48F5" w:rsidR="00484396" w:rsidRPr="00527BFD" w:rsidRDefault="00484396" w:rsidP="00484396">
      <w:pPr>
        <w:pStyle w:val="ListBullet"/>
      </w:pPr>
      <w:r w:rsidRPr="00527BFD">
        <w:t xml:space="preserve">The </w:t>
      </w:r>
      <w:proofErr w:type="spellStart"/>
      <w:r w:rsidR="005F0BCE" w:rsidRPr="00527BFD">
        <w:t>Apretude</w:t>
      </w:r>
      <w:proofErr w:type="spellEnd"/>
      <w:r w:rsidRPr="00527BFD">
        <w:t xml:space="preserve"> EU-</w:t>
      </w:r>
      <w:r w:rsidR="00BD0339" w:rsidRPr="00527BFD">
        <w:t xml:space="preserve">risk management plan </w:t>
      </w:r>
      <w:r w:rsidRPr="00527BFD">
        <w:t>(RMP) (version 0.1, dated 29</w:t>
      </w:r>
      <w:r w:rsidR="002A526F">
        <w:t> </w:t>
      </w:r>
      <w:r w:rsidRPr="00527BFD">
        <w:t>September</w:t>
      </w:r>
      <w:r w:rsidR="002A526F">
        <w:t> </w:t>
      </w:r>
      <w:r w:rsidRPr="00527BFD">
        <w:t xml:space="preserve">2021, data lock point 5 November 2020), with Australian </w:t>
      </w:r>
      <w:r w:rsidR="00BD0339" w:rsidRPr="00527BFD">
        <w:t xml:space="preserve">specific annex </w:t>
      </w:r>
      <w:r w:rsidRPr="00527BFD">
        <w:t>(version</w:t>
      </w:r>
      <w:r w:rsidR="002A526F">
        <w:t> </w:t>
      </w:r>
      <w:r w:rsidRPr="00527BFD">
        <w:t xml:space="preserve">1.0, dated 14 April 2022), included with </w:t>
      </w:r>
      <w:r w:rsidR="00BD0339" w:rsidRPr="00527BFD">
        <w:t xml:space="preserve">Submission </w:t>
      </w:r>
      <w:r w:rsidRPr="00527BFD">
        <w:t>PM-2021-04853-1-2, and any subsequent revisions, as agreed with the TGA will be implemented in Australia.</w:t>
      </w:r>
    </w:p>
    <w:p w14:paraId="09AD5D78" w14:textId="537C52CC" w:rsidR="00484396" w:rsidRPr="00527BFD" w:rsidRDefault="00484396" w:rsidP="00484396">
      <w:pPr>
        <w:pStyle w:val="ListBullet"/>
        <w:numPr>
          <w:ilvl w:val="0"/>
          <w:numId w:val="0"/>
        </w:numPr>
        <w:ind w:left="360"/>
      </w:pPr>
      <w:r w:rsidRPr="00527BFD">
        <w:t>An obligatory component of risk management plans is routine pharmacovigilance. Routine pharmacovigilance includes the submission of periodic safety update reports (PSURs).</w:t>
      </w:r>
    </w:p>
    <w:p w14:paraId="7AB28024" w14:textId="2056AF14" w:rsidR="00484396" w:rsidRPr="00527BFD" w:rsidRDefault="00484396" w:rsidP="00484396">
      <w:pPr>
        <w:pStyle w:val="ListBullet"/>
        <w:numPr>
          <w:ilvl w:val="0"/>
          <w:numId w:val="0"/>
        </w:numPr>
        <w:ind w:left="360"/>
      </w:pPr>
      <w:r w:rsidRPr="00527BFD">
        <w:t xml:space="preserve">Unless agreed separately between the supplier who is the recipient of the approval and the TGA, the first report must be submitted to TGA no later than 15 calendar months after the date of </w:t>
      </w:r>
      <w:r w:rsidR="00BD0339" w:rsidRPr="00527BFD">
        <w:t>the</w:t>
      </w:r>
      <w:r w:rsidRPr="00527BFD">
        <w:t xml:space="preserve"> approval letter. The subsequent reports must be </w:t>
      </w:r>
      <w:r w:rsidRPr="00527BFD">
        <w:lastRenderedPageBreak/>
        <w:t xml:space="preserve">submitted no less frequently than annually from the date of the first submitted report until the period covered by such reports is not less than three years from the date of </w:t>
      </w:r>
      <w:r w:rsidR="00BD0339" w:rsidRPr="00527BFD">
        <w:t>the</w:t>
      </w:r>
      <w:r w:rsidRPr="00527BFD">
        <w:t xml:space="preserve"> approval letter. The annual submission may be made up of two PSURs each covering six months. If the sponsor wishes, the </w:t>
      </w:r>
      <w:proofErr w:type="gramStart"/>
      <w:r w:rsidRPr="00527BFD">
        <w:t>six monthly</w:t>
      </w:r>
      <w:proofErr w:type="gramEnd"/>
      <w:r w:rsidRPr="00527BFD">
        <w:t xml:space="preserve"> reports may be submitted separately as they become available.</w:t>
      </w:r>
    </w:p>
    <w:p w14:paraId="2CEAE030" w14:textId="3EBAAB35" w:rsidR="00484396" w:rsidRPr="00527BFD" w:rsidRDefault="00484396" w:rsidP="00484396">
      <w:pPr>
        <w:pStyle w:val="ListBullet"/>
        <w:numPr>
          <w:ilvl w:val="0"/>
          <w:numId w:val="0"/>
        </w:numPr>
        <w:ind w:left="360"/>
      </w:pPr>
      <w:r w:rsidRPr="00527BFD">
        <w:t xml:space="preserve">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w:t>
      </w:r>
      <w:r w:rsidR="00BD0339" w:rsidRPr="00527BFD">
        <w:t>the</w:t>
      </w:r>
      <w:r w:rsidRPr="00527BFD">
        <w:t xml:space="preserve"> approval letter.</w:t>
      </w:r>
    </w:p>
    <w:p w14:paraId="49A755B2" w14:textId="0A09B2A3" w:rsidR="00484396" w:rsidRPr="00527BFD" w:rsidRDefault="00484396" w:rsidP="00484396">
      <w:pPr>
        <w:pStyle w:val="ListBullet"/>
        <w:numPr>
          <w:ilvl w:val="0"/>
          <w:numId w:val="0"/>
        </w:numPr>
        <w:ind w:left="360"/>
      </w:pPr>
      <w:r w:rsidRPr="00527BFD">
        <w:t xml:space="preserve">The reports are to at least meet the requirements for PSURs as described in the European Medicines Agency’s Guideline on </w:t>
      </w:r>
      <w:r w:rsidR="00BD0339" w:rsidRPr="00527BFD">
        <w:t xml:space="preserve">Good Pharmacovigilance Practices </w:t>
      </w:r>
      <w:r w:rsidRPr="00527BFD">
        <w:t>(GVP) Module VII-periodic safety update report (</w:t>
      </w:r>
      <w:r w:rsidR="00BD0339" w:rsidRPr="00527BFD">
        <w:t>[Revision]</w:t>
      </w:r>
      <w:r w:rsidRPr="00527BFD">
        <w:t xml:space="preserve"> 1), Part VII.B Structures and processes. Note that submission of a PSUR does not constitute an application to vary the registration. Each report must have been prepared within ninety calendar days of the data lock point for that report.</w:t>
      </w:r>
    </w:p>
    <w:p w14:paraId="7C07E325" w14:textId="7AF16EFE" w:rsidR="00B20D41" w:rsidRDefault="00484396" w:rsidP="00B20D41">
      <w:pPr>
        <w:pStyle w:val="ListBullet"/>
      </w:pPr>
      <w:r w:rsidRPr="00527BFD">
        <w:t>Two post-authorisation studies are planned with the aim to evaluate the population receiving CAB</w:t>
      </w:r>
      <w:r w:rsidR="00FD52A9" w:rsidRPr="00527BFD">
        <w:t xml:space="preserve"> [cabotegravir]</w:t>
      </w:r>
      <w:r w:rsidRPr="00527BFD">
        <w:t xml:space="preserve"> </w:t>
      </w:r>
      <w:proofErr w:type="spellStart"/>
      <w:r w:rsidRPr="00527BFD">
        <w:t>PrEP</w:t>
      </w:r>
      <w:proofErr w:type="spellEnd"/>
      <w:r w:rsidR="00C15E74" w:rsidRPr="00527BFD">
        <w:t xml:space="preserve"> [pre-exposure prophylaxis</w:t>
      </w:r>
      <w:r w:rsidR="00B20D41">
        <w:t>], usage patterns, monitoring for effectiveness, resistance, hepatoxicity and pregnancy occurrence and outcome. Reports must be provided once available.</w:t>
      </w:r>
    </w:p>
    <w:p w14:paraId="63813C3E" w14:textId="1B3C0FB2" w:rsidR="00484396" w:rsidRPr="00527BFD" w:rsidRDefault="00B20D41" w:rsidP="00B20D41">
      <w:pPr>
        <w:pStyle w:val="ListBullet"/>
      </w:pPr>
      <w:r w:rsidRPr="00B20D41">
        <w:t xml:space="preserve">Planned additional pharmacovigilance activities include a 5-year CAB LA </w:t>
      </w:r>
      <w:proofErr w:type="spellStart"/>
      <w:r w:rsidRPr="00B20D41">
        <w:t>PrEP</w:t>
      </w:r>
      <w:proofErr w:type="spellEnd"/>
      <w:r>
        <w:t xml:space="preserve"> </w:t>
      </w:r>
      <w:r w:rsidR="00BD0339" w:rsidRPr="00527BFD">
        <w:t xml:space="preserve">cohort study to assess </w:t>
      </w:r>
      <w:r w:rsidR="00484396" w:rsidRPr="00527BFD">
        <w:t>adherence and effectiveness and monitor for safety and resistance (EU patients only) and an Antiretroviral Pregnancy Registry (APR) which is multinational. These reports must be provided once available.</w:t>
      </w:r>
    </w:p>
    <w:p w14:paraId="689CBF44" w14:textId="2D0B4997" w:rsidR="00484396" w:rsidRPr="00527BFD" w:rsidRDefault="00484396" w:rsidP="00484396">
      <w:pPr>
        <w:pStyle w:val="ListBullet"/>
      </w:pPr>
      <w:r w:rsidRPr="00527BFD">
        <w:t>For all injectable products the Product Information must be included with the product as a package insert.</w:t>
      </w:r>
    </w:p>
    <w:p w14:paraId="138FB1F9" w14:textId="05487D54" w:rsidR="008E7846" w:rsidRPr="00527BFD" w:rsidRDefault="00A80B5B" w:rsidP="00D23139">
      <w:pPr>
        <w:pStyle w:val="Heading2"/>
      </w:pPr>
      <w:bookmarkStart w:id="139" w:name="_Toc120100547"/>
      <w:r w:rsidRPr="00527BFD">
        <w:t xml:space="preserve">Attachment 1. </w:t>
      </w:r>
      <w:r w:rsidR="008E7846" w:rsidRPr="00527BFD">
        <w:t xml:space="preserve">Product </w:t>
      </w:r>
      <w:r w:rsidR="00AA0ED0" w:rsidRPr="00527BFD">
        <w:t>I</w:t>
      </w:r>
      <w:r w:rsidR="008E7846" w:rsidRPr="00527BFD">
        <w:t>nformation</w:t>
      </w:r>
      <w:bookmarkEnd w:id="136"/>
      <w:bookmarkEnd w:id="137"/>
      <w:bookmarkEnd w:id="139"/>
    </w:p>
    <w:p w14:paraId="0AAB6158" w14:textId="32CEED2B" w:rsidR="00523A21" w:rsidRPr="00527BFD" w:rsidRDefault="006136D7" w:rsidP="00C80137">
      <w:r w:rsidRPr="00527BFD">
        <w:t xml:space="preserve">The PI for </w:t>
      </w:r>
      <w:proofErr w:type="spellStart"/>
      <w:r w:rsidR="00645E5B" w:rsidRPr="00527BFD">
        <w:t>Apretude</w:t>
      </w:r>
      <w:proofErr w:type="spellEnd"/>
      <w:r w:rsidR="00645E5B" w:rsidRPr="00527BFD">
        <w:t xml:space="preserve"> </w:t>
      </w:r>
      <w:r w:rsidRPr="00527BFD">
        <w:t xml:space="preserve">approved with the submission which is described in this </w:t>
      </w:r>
      <w:proofErr w:type="spellStart"/>
      <w:r w:rsidRPr="00527BFD">
        <w:t>AusPAR</w:t>
      </w:r>
      <w:proofErr w:type="spellEnd"/>
      <w:r w:rsidRPr="00527BFD">
        <w:t xml:space="preserve"> is at Attachment 1.</w:t>
      </w:r>
      <w:r w:rsidR="00CC5044" w:rsidRPr="00527BFD">
        <w:t xml:space="preserve"> </w:t>
      </w:r>
      <w:r w:rsidR="0074163C" w:rsidRPr="00527BFD">
        <w:t xml:space="preserve">For the most recent PI, please refer to the TGA </w:t>
      </w:r>
      <w:hyperlink r:id="rId42" w:history="1">
        <w:r w:rsidR="0074163C" w:rsidRPr="00527BFD">
          <w:rPr>
            <w:rStyle w:val="Hyperlink"/>
          </w:rPr>
          <w:t>PI/CMI search facility</w:t>
        </w:r>
        <w:r w:rsidR="0074163C" w:rsidRPr="00527BFD">
          <w:rPr>
            <w:rStyle w:val="Hyperlink"/>
            <w:color w:val="auto"/>
            <w:u w:val="none"/>
          </w:rPr>
          <w:t>.</w:t>
        </w:r>
      </w:hyperlink>
    </w:p>
    <w:p w14:paraId="2A136708" w14:textId="273727D8" w:rsidR="00744121" w:rsidRPr="00527BFD" w:rsidRDefault="00744121" w:rsidP="00744121"/>
    <w:p w14:paraId="456454C1" w14:textId="77777777" w:rsidR="00C80137" w:rsidRPr="00527BFD" w:rsidRDefault="00C80137" w:rsidP="003A7F6C">
      <w:pPr>
        <w:pStyle w:val="TableTitle"/>
        <w:sectPr w:rsidR="00C80137" w:rsidRPr="00527BFD" w:rsidSect="00B452CE">
          <w:headerReference w:type="even" r:id="rId43"/>
          <w:headerReference w:type="default" r:id="rId44"/>
          <w:headerReference w:type="first" r:id="rId45"/>
          <w:footerReference w:type="first" r:id="rId4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527BFD" w14:paraId="662C69E6" w14:textId="77777777" w:rsidTr="00A05FA4">
        <w:trPr>
          <w:trHeight w:hRule="exact" w:val="704"/>
        </w:trPr>
        <w:tc>
          <w:tcPr>
            <w:tcW w:w="9175" w:type="dxa"/>
          </w:tcPr>
          <w:p w14:paraId="35144874" w14:textId="77777777" w:rsidR="001C32CD" w:rsidRPr="00527BFD" w:rsidRDefault="001C32CD" w:rsidP="00A05FA4">
            <w:pPr>
              <w:pStyle w:val="TGASignoff"/>
            </w:pPr>
            <w:r w:rsidRPr="00527BFD">
              <w:lastRenderedPageBreak/>
              <w:t>Therapeutic Goods Administration</w:t>
            </w:r>
          </w:p>
        </w:tc>
      </w:tr>
      <w:tr w:rsidR="001C32CD" w:rsidRPr="004C239D" w14:paraId="774E61C3" w14:textId="77777777" w:rsidTr="00A05FA4">
        <w:trPr>
          <w:trHeight w:val="1221"/>
        </w:trPr>
        <w:tc>
          <w:tcPr>
            <w:tcW w:w="9175" w:type="dxa"/>
            <w:tcMar>
              <w:top w:w="28" w:type="dxa"/>
            </w:tcMar>
          </w:tcPr>
          <w:p w14:paraId="50E77BA3" w14:textId="77777777" w:rsidR="001C32CD" w:rsidRPr="00527BFD" w:rsidRDefault="001C32CD" w:rsidP="00A05FA4">
            <w:pPr>
              <w:pStyle w:val="Address"/>
            </w:pPr>
            <w:r w:rsidRPr="00527BFD">
              <w:t>PO Box 100 Woden ACT 2606 Australia</w:t>
            </w:r>
          </w:p>
          <w:p w14:paraId="5B7F094F" w14:textId="476D6476" w:rsidR="001C32CD" w:rsidRPr="00527BFD" w:rsidRDefault="001C32CD" w:rsidP="00A05FA4">
            <w:pPr>
              <w:pStyle w:val="Address"/>
            </w:pPr>
            <w:r w:rsidRPr="00527BFD">
              <w:t xml:space="preserve">Email: </w:t>
            </w:r>
            <w:hyperlink r:id="rId47" w:history="1">
              <w:r w:rsidRPr="00527BFD">
                <w:rPr>
                  <w:rStyle w:val="Hyperlink"/>
                </w:rPr>
                <w:t>info@tga.gov.au</w:t>
              </w:r>
            </w:hyperlink>
            <w:r w:rsidRPr="00527BFD">
              <w:t xml:space="preserve">  Phone: 1800 020 </w:t>
            </w:r>
            <w:proofErr w:type="gramStart"/>
            <w:r w:rsidRPr="00527BFD">
              <w:t>653  Fax</w:t>
            </w:r>
            <w:proofErr w:type="gramEnd"/>
            <w:r w:rsidRPr="00527BFD">
              <w:t>: 02 6232 8605</w:t>
            </w:r>
          </w:p>
          <w:p w14:paraId="33950786" w14:textId="4AB3D48A" w:rsidR="001C32CD" w:rsidRPr="004C239D" w:rsidRDefault="00234D1A" w:rsidP="00A05FA4">
            <w:pPr>
              <w:pStyle w:val="Address"/>
              <w:spacing w:line="260" w:lineRule="atLeast"/>
              <w:rPr>
                <w:b/>
                <w:color w:val="0000FF"/>
                <w:u w:val="single"/>
              </w:rPr>
            </w:pPr>
            <w:hyperlink r:id="rId48" w:history="1">
              <w:r w:rsidR="007C6B9B" w:rsidRPr="00527BFD">
                <w:rPr>
                  <w:rStyle w:val="Hyperlink"/>
                  <w:b/>
                </w:rPr>
                <w:t>https://www.tga.gov.au</w:t>
              </w:r>
            </w:hyperlink>
          </w:p>
        </w:tc>
      </w:tr>
    </w:tbl>
    <w:p w14:paraId="15097DFD" w14:textId="77777777" w:rsidR="00774E1D" w:rsidRPr="008A5E0B" w:rsidRDefault="00774E1D" w:rsidP="004C239D"/>
    <w:sectPr w:rsidR="00774E1D" w:rsidRPr="008A5E0B" w:rsidSect="001C32CD">
      <w:headerReference w:type="even" r:id="rId49"/>
      <w:headerReference w:type="default" r:id="rId50"/>
      <w:footerReference w:type="default" r:id="rId51"/>
      <w:headerReference w:type="first" r:id="rId52"/>
      <w:footerReference w:type="first" r:id="rId5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0DCA4" w14:textId="77777777" w:rsidR="00127B93" w:rsidRDefault="00127B93" w:rsidP="00C40A36">
      <w:pPr>
        <w:spacing w:after="0"/>
      </w:pPr>
      <w:r>
        <w:separator/>
      </w:r>
    </w:p>
  </w:endnote>
  <w:endnote w:type="continuationSeparator" w:id="0">
    <w:p w14:paraId="57369B4F" w14:textId="77777777" w:rsidR="00127B93" w:rsidRDefault="00127B9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Yu Gothic UI"/>
    <w:panose1 w:val="00000000000000000000"/>
    <w:charset w:val="80"/>
    <w:family w:val="auto"/>
    <w:notTrueType/>
    <w:pitch w:val="default"/>
    <w:sig w:usb0="00000081" w:usb1="080F0000" w:usb2="00000010" w:usb3="00000000" w:csb0="00060008" w:csb1="00000000"/>
  </w:font>
  <w:font w:name="Wingdings 3">
    <w:panose1 w:val="05040102010807070707"/>
    <w:charset w:val="02"/>
    <w:family w:val="roman"/>
    <w:pitch w:val="variable"/>
    <w:sig w:usb0="00000000" w:usb1="10000000" w:usb2="00000000" w:usb3="00000000" w:csb0="8000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Narrow">
    <w:altName w:val="MS Mincho"/>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127B93" w:rsidRPr="00487162" w14:paraId="30A858F2" w14:textId="77777777" w:rsidTr="00DB750B">
      <w:trPr>
        <w:trHeight w:val="269"/>
      </w:trPr>
      <w:tc>
        <w:tcPr>
          <w:tcW w:w="7371" w:type="dxa"/>
          <w:tcMar>
            <w:top w:w="142" w:type="dxa"/>
            <w:bottom w:w="0" w:type="dxa"/>
          </w:tcMar>
        </w:tcPr>
        <w:p w14:paraId="0481D6AA" w14:textId="152694C1" w:rsidR="00127B93" w:rsidRPr="00487162" w:rsidRDefault="00127B93" w:rsidP="00460036">
          <w:pPr>
            <w:pStyle w:val="Footer"/>
          </w:pPr>
          <w:proofErr w:type="spellStart"/>
          <w:r w:rsidRPr="00487162">
            <w:t>AusPA</w:t>
          </w:r>
          <w:r>
            <w:t>R</w:t>
          </w:r>
          <w:proofErr w:type="spellEnd"/>
          <w:r>
            <w:t xml:space="preserve"> - </w:t>
          </w:r>
          <w:proofErr w:type="spellStart"/>
          <w:r w:rsidRPr="00645E5B">
            <w:t>Apretude</w:t>
          </w:r>
          <w:proofErr w:type="spellEnd"/>
          <w:r w:rsidRPr="00645E5B">
            <w:t xml:space="preserve"> </w:t>
          </w:r>
          <w:r>
            <w:t>-</w:t>
          </w:r>
          <w:r w:rsidRPr="00460036">
            <w:t xml:space="preserve"> </w:t>
          </w:r>
          <w:r w:rsidR="00D115B1">
            <w:t>c</w:t>
          </w:r>
          <w:r w:rsidR="00D115B1" w:rsidRPr="00D115B1">
            <w:t>abotegravir</w:t>
          </w:r>
          <w:r w:rsidR="00D115B1">
            <w:t xml:space="preserve"> </w:t>
          </w:r>
          <w:r>
            <w:t xml:space="preserve">- </w:t>
          </w:r>
          <w:proofErr w:type="spellStart"/>
          <w:r w:rsidRPr="00484396">
            <w:t>ViiV</w:t>
          </w:r>
          <w:proofErr w:type="spellEnd"/>
          <w:r w:rsidRPr="00484396">
            <w:t xml:space="preserve"> Healthcare Pty Ltd</w:t>
          </w:r>
          <w:r>
            <w:t xml:space="preserve"> - </w:t>
          </w:r>
          <w:r w:rsidRPr="00484396">
            <w:t>PM-2021-04853-1-2</w:t>
          </w:r>
          <w:r>
            <w:br/>
          </w:r>
          <w:r w:rsidR="00760F5D">
            <w:t>Final 2</w:t>
          </w:r>
          <w:r w:rsidR="00F1155F">
            <w:t>3</w:t>
          </w:r>
          <w:r w:rsidR="00760F5D">
            <w:t xml:space="preserve"> November 2022</w:t>
          </w:r>
        </w:p>
      </w:tc>
      <w:tc>
        <w:tcPr>
          <w:tcW w:w="1490" w:type="dxa"/>
          <w:tcMar>
            <w:top w:w="142" w:type="dxa"/>
            <w:bottom w:w="0" w:type="dxa"/>
          </w:tcMar>
        </w:tcPr>
        <w:p w14:paraId="0414E52B" w14:textId="12F5F014" w:rsidR="00127B93" w:rsidRPr="00487162" w:rsidRDefault="00127B93" w:rsidP="00DB750B">
          <w:pPr>
            <w:pStyle w:val="Footer"/>
            <w:jc w:val="right"/>
          </w:pPr>
          <w:r w:rsidRPr="00487162">
            <w:t xml:space="preserve">Page </w:t>
          </w:r>
          <w:r>
            <w:fldChar w:fldCharType="begin"/>
          </w:r>
          <w:r>
            <w:instrText xml:space="preserve"> PAGE  \* Arabic </w:instrText>
          </w:r>
          <w:r>
            <w:fldChar w:fldCharType="separate"/>
          </w:r>
          <w:r w:rsidR="00A44ABA">
            <w:rPr>
              <w:noProof/>
            </w:rPr>
            <w:t>6</w:t>
          </w:r>
          <w:r>
            <w:fldChar w:fldCharType="end"/>
          </w:r>
          <w:r w:rsidRPr="00487162">
            <w:t xml:space="preserve"> of </w:t>
          </w:r>
          <w:r w:rsidR="00234D1A">
            <w:fldChar w:fldCharType="begin"/>
          </w:r>
          <w:r w:rsidR="00234D1A">
            <w:instrText xml:space="preserve"> NUMPAGES  \* Arabic </w:instrText>
          </w:r>
          <w:r w:rsidR="00234D1A">
            <w:fldChar w:fldCharType="separate"/>
          </w:r>
          <w:r w:rsidR="00A44ABA">
            <w:rPr>
              <w:noProof/>
            </w:rPr>
            <w:t>58</w:t>
          </w:r>
          <w:r w:rsidR="00234D1A">
            <w:rPr>
              <w:noProof/>
            </w:rPr>
            <w:fldChar w:fldCharType="end"/>
          </w:r>
        </w:p>
      </w:tc>
    </w:tr>
  </w:tbl>
  <w:p w14:paraId="456909D7" w14:textId="77777777" w:rsidR="00127B93" w:rsidRDefault="00127B93"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27B93" w:rsidRPr="00487162" w14:paraId="7C06606D" w14:textId="77777777" w:rsidTr="00E45619">
      <w:trPr>
        <w:trHeight w:val="269"/>
      </w:trPr>
      <w:tc>
        <w:tcPr>
          <w:tcW w:w="4519" w:type="dxa"/>
          <w:tcBorders>
            <w:top w:val="single" w:sz="4" w:space="0" w:color="auto"/>
          </w:tcBorders>
          <w:tcMar>
            <w:top w:w="142" w:type="dxa"/>
            <w:bottom w:w="0" w:type="dxa"/>
          </w:tcMar>
        </w:tcPr>
        <w:p w14:paraId="5658E0E5" w14:textId="77777777" w:rsidR="00127B93" w:rsidRPr="00487162" w:rsidRDefault="00127B93" w:rsidP="00FE1DEE">
          <w:pPr>
            <w:pStyle w:val="Footer"/>
          </w:pPr>
          <w:r w:rsidRPr="00487162">
            <w:t>Document title, Part #, Section # - Section title</w:t>
          </w:r>
        </w:p>
        <w:p w14:paraId="2AB89B4B" w14:textId="77777777" w:rsidR="00127B93" w:rsidRPr="00487162" w:rsidRDefault="00127B93" w:rsidP="00FE1DEE">
          <w:pPr>
            <w:pStyle w:val="Footer"/>
          </w:pPr>
          <w:r w:rsidRPr="00487162">
            <w:t>V1.0 October 2010</w:t>
          </w:r>
        </w:p>
      </w:tc>
      <w:tc>
        <w:tcPr>
          <w:tcW w:w="4342" w:type="dxa"/>
          <w:tcBorders>
            <w:top w:val="single" w:sz="4" w:space="0" w:color="auto"/>
          </w:tcBorders>
          <w:tcMar>
            <w:top w:w="142" w:type="dxa"/>
            <w:bottom w:w="0" w:type="dxa"/>
          </w:tcMar>
        </w:tcPr>
        <w:p w14:paraId="072A4785" w14:textId="77777777" w:rsidR="00127B93" w:rsidRPr="00487162" w:rsidRDefault="00127B9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234D1A">
            <w:fldChar w:fldCharType="begin"/>
          </w:r>
          <w:r w:rsidR="00234D1A">
            <w:instrText xml:space="preserve"> NUMPAGES  </w:instrText>
          </w:r>
          <w:r w:rsidR="00234D1A">
            <w:fldChar w:fldCharType="separate"/>
          </w:r>
          <w:r>
            <w:rPr>
              <w:noProof/>
            </w:rPr>
            <w:t>21</w:t>
          </w:r>
          <w:r w:rsidR="00234D1A">
            <w:rPr>
              <w:noProof/>
            </w:rPr>
            <w:fldChar w:fldCharType="end"/>
          </w:r>
        </w:p>
      </w:tc>
    </w:tr>
  </w:tbl>
  <w:p w14:paraId="1BAE2EC2" w14:textId="77777777" w:rsidR="00127B93" w:rsidRDefault="00127B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8DA7" w14:textId="77777777" w:rsidR="00127B93" w:rsidRPr="001C32CD" w:rsidRDefault="00127B93"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27B93" w14:paraId="151032A6" w14:textId="77777777" w:rsidTr="0010601F">
      <w:trPr>
        <w:trHeight w:val="108"/>
      </w:trPr>
      <w:tc>
        <w:tcPr>
          <w:tcW w:w="8875" w:type="dxa"/>
          <w:gridSpan w:val="2"/>
          <w:tcBorders>
            <w:bottom w:val="single" w:sz="4" w:space="0" w:color="auto"/>
          </w:tcBorders>
          <w:tcMar>
            <w:right w:w="284" w:type="dxa"/>
          </w:tcMar>
        </w:tcPr>
        <w:p w14:paraId="2EABFE2A" w14:textId="77777777" w:rsidR="00127B93" w:rsidRDefault="00127B93" w:rsidP="006E08B3">
          <w:pPr>
            <w:pStyle w:val="Heading3"/>
          </w:pPr>
          <w:r>
            <w:t>Copyright</w:t>
          </w:r>
        </w:p>
        <w:p w14:paraId="17425BBD" w14:textId="77777777" w:rsidR="00127B93" w:rsidRDefault="00127B93" w:rsidP="006E08B3">
          <w:r>
            <w:rPr>
              <w:rFonts w:cs="Arial"/>
            </w:rPr>
            <w:t>©</w:t>
          </w:r>
          <w:r>
            <w:t xml:space="preserve"> Commonwealth of Australia [add year]</w:t>
          </w:r>
        </w:p>
        <w:p w14:paraId="67C62A43" w14:textId="77777777" w:rsidR="00127B93" w:rsidRDefault="00127B93" w:rsidP="006E08B3"/>
        <w:p w14:paraId="38504CEB" w14:textId="77777777" w:rsidR="00127B93" w:rsidRDefault="00127B9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BA3A185" w14:textId="77777777" w:rsidR="00127B93" w:rsidRDefault="00127B93" w:rsidP="006E08B3"/>
        <w:p w14:paraId="4F785677" w14:textId="77777777" w:rsidR="00127B93" w:rsidRDefault="00127B93" w:rsidP="006E08B3">
          <w:pPr>
            <w:pStyle w:val="Heading3"/>
          </w:pPr>
          <w:r>
            <w:t>Confidentiality</w:t>
          </w:r>
        </w:p>
        <w:p w14:paraId="5699E37A" w14:textId="77777777" w:rsidR="00127B93" w:rsidRDefault="00127B9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8B8ADC3" w14:textId="77777777" w:rsidR="00127B93" w:rsidRDefault="00127B93" w:rsidP="006E08B3"/>
        <w:p w14:paraId="0FEF0801" w14:textId="77777777" w:rsidR="00127B93" w:rsidRDefault="00127B93" w:rsidP="006E08B3">
          <w:r>
            <w:t>For submission made by individuals, all personal details, other than your name, will be removed from your submission before it is published on the TGA’s Internet site.</w:t>
          </w:r>
        </w:p>
        <w:p w14:paraId="6012D2FF" w14:textId="77777777" w:rsidR="00127B93" w:rsidRDefault="00127B93" w:rsidP="006E08B3"/>
        <w:p w14:paraId="4D356929" w14:textId="77777777" w:rsidR="00127B93" w:rsidRDefault="00127B93" w:rsidP="006E08B3">
          <w:r>
            <w:t>In addition, a list of parties making submissions will be published. If you do not wish to be identified with your submission you must specifically request this in the space provided in the submission coversheet.</w:t>
          </w:r>
        </w:p>
      </w:tc>
    </w:tr>
    <w:tr w:rsidR="00127B93" w14:paraId="6D69899C" w14:textId="77777777" w:rsidTr="0010601F">
      <w:trPr>
        <w:trHeight w:val="417"/>
      </w:trPr>
      <w:tc>
        <w:tcPr>
          <w:tcW w:w="4519" w:type="dxa"/>
          <w:tcBorders>
            <w:top w:val="single" w:sz="4" w:space="0" w:color="auto"/>
          </w:tcBorders>
          <w:tcMar>
            <w:top w:w="142" w:type="dxa"/>
            <w:bottom w:w="0" w:type="dxa"/>
          </w:tcMar>
        </w:tcPr>
        <w:p w14:paraId="2973BB3C" w14:textId="77777777" w:rsidR="00127B93" w:rsidRDefault="00127B93" w:rsidP="006E08B3">
          <w:r>
            <w:t>Document title, Part #, Section # - Section title</w:t>
          </w:r>
        </w:p>
        <w:p w14:paraId="57E2B7B9" w14:textId="77777777" w:rsidR="00127B93" w:rsidRDefault="00127B93" w:rsidP="006E08B3">
          <w:r>
            <w:t>V1.0 October 2010</w:t>
          </w:r>
        </w:p>
      </w:tc>
      <w:tc>
        <w:tcPr>
          <w:tcW w:w="4356" w:type="dxa"/>
          <w:tcBorders>
            <w:top w:val="single" w:sz="4" w:space="0" w:color="auto"/>
          </w:tcBorders>
          <w:tcMar>
            <w:top w:w="142" w:type="dxa"/>
            <w:bottom w:w="0" w:type="dxa"/>
          </w:tcMar>
        </w:tcPr>
        <w:p w14:paraId="2FAF26A0" w14:textId="77777777" w:rsidR="00127B93" w:rsidRDefault="00127B9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234D1A">
            <w:fldChar w:fldCharType="begin"/>
          </w:r>
          <w:r w:rsidR="00234D1A">
            <w:instrText xml:space="preserve"> NUMPAGES  \* Arabic </w:instrText>
          </w:r>
          <w:r w:rsidR="00234D1A">
            <w:fldChar w:fldCharType="separate"/>
          </w:r>
          <w:r>
            <w:rPr>
              <w:noProof/>
            </w:rPr>
            <w:t>21</w:t>
          </w:r>
          <w:r w:rsidR="00234D1A">
            <w:rPr>
              <w:noProof/>
            </w:rPr>
            <w:fldChar w:fldCharType="end"/>
          </w:r>
          <w:r>
            <w:t xml:space="preserve">  </w:t>
          </w:r>
        </w:p>
      </w:tc>
    </w:tr>
  </w:tbl>
  <w:p w14:paraId="04D11C70" w14:textId="77777777" w:rsidR="00127B93" w:rsidRDefault="00127B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30809" w14:textId="77777777" w:rsidR="00127B93" w:rsidRDefault="00127B93" w:rsidP="00C40A36">
      <w:pPr>
        <w:spacing w:after="0"/>
      </w:pPr>
      <w:r>
        <w:separator/>
      </w:r>
    </w:p>
  </w:footnote>
  <w:footnote w:type="continuationSeparator" w:id="0">
    <w:p w14:paraId="3E85C133" w14:textId="77777777" w:rsidR="00127B93" w:rsidRDefault="00127B93" w:rsidP="00C40A36">
      <w:pPr>
        <w:spacing w:after="0"/>
      </w:pPr>
      <w:r>
        <w:continuationSeparator/>
      </w:r>
    </w:p>
  </w:footnote>
  <w:footnote w:id="1">
    <w:p w14:paraId="2291675A" w14:textId="4B815EBE" w:rsidR="00127B93" w:rsidRDefault="00127B93">
      <w:pPr>
        <w:pStyle w:val="FootnoteText"/>
      </w:pPr>
      <w:r>
        <w:rPr>
          <w:rStyle w:val="FootnoteReference"/>
        </w:rPr>
        <w:footnoteRef/>
      </w:r>
      <w:r>
        <w:t xml:space="preserve"> Joint </w:t>
      </w:r>
      <w:r w:rsidRPr="004221E5">
        <w:t>United Nations Programme on HIV/AIDS (UNAIDS)</w:t>
      </w:r>
      <w:r>
        <w:t>,</w:t>
      </w:r>
      <w:r w:rsidRPr="004221E5">
        <w:t xml:space="preserve"> UNAIDS Data 20</w:t>
      </w:r>
      <w:r>
        <w:t xml:space="preserve">21, </w:t>
      </w:r>
      <w:r w:rsidRPr="007E4BE5">
        <w:t>29 November 2021</w:t>
      </w:r>
      <w:r w:rsidRPr="004221E5">
        <w:t xml:space="preserve">. Available </w:t>
      </w:r>
      <w:r>
        <w:t>at</w:t>
      </w:r>
      <w:r w:rsidRPr="004221E5">
        <w:t xml:space="preserve">: </w:t>
      </w:r>
      <w:hyperlink r:id="rId1" w:history="1">
        <w:r w:rsidRPr="00631864">
          <w:rPr>
            <w:rStyle w:val="Hyperlink"/>
          </w:rPr>
          <w:t>https://www.unaids.org/en/resources/documents/2021/2021_unaids_data</w:t>
        </w:r>
      </w:hyperlink>
      <w:r>
        <w:t xml:space="preserve"> (</w:t>
      </w:r>
      <w:r w:rsidRPr="004221E5">
        <w:t>Accessed on 1 April 2022</w:t>
      </w:r>
      <w:r>
        <w:t>).</w:t>
      </w:r>
    </w:p>
  </w:footnote>
  <w:footnote w:id="2">
    <w:p w14:paraId="58FD53FE" w14:textId="5F230524" w:rsidR="00127B93" w:rsidRDefault="00127B93">
      <w:pPr>
        <w:pStyle w:val="FootnoteText"/>
      </w:pPr>
      <w:r>
        <w:rPr>
          <w:rStyle w:val="FootnoteReference"/>
        </w:rPr>
        <w:footnoteRef/>
      </w:r>
      <w:r>
        <w:t xml:space="preserve"> </w:t>
      </w:r>
      <w:r w:rsidRPr="004221E5">
        <w:t>World Health Organization (WHO)</w:t>
      </w:r>
      <w:r>
        <w:t xml:space="preserve">, </w:t>
      </w:r>
      <w:r w:rsidRPr="007E4BE5">
        <w:t>Policy Brief: Pre-exposure Prophylaxis (‎</w:t>
      </w:r>
      <w:r w:rsidRPr="007E4BE5">
        <w:t>PrEP)‎: WHO Expands Recommendation on Oral Pre-exposure Prophylaxis of HIV Infection (‎PrEP)‎</w:t>
      </w:r>
      <w:r>
        <w:t xml:space="preserve">, </w:t>
      </w:r>
      <w:r w:rsidRPr="007E4BE5">
        <w:t>WHO/HIV/2015.48</w:t>
      </w:r>
      <w:r>
        <w:t xml:space="preserve">, </w:t>
      </w:r>
      <w:r w:rsidRPr="007E4BE5">
        <w:t>November 2015</w:t>
      </w:r>
      <w:r>
        <w:t xml:space="preserve">. </w:t>
      </w:r>
      <w:r w:rsidRPr="004221E5">
        <w:t xml:space="preserve">Available </w:t>
      </w:r>
      <w:r>
        <w:t xml:space="preserve">at: </w:t>
      </w:r>
      <w:hyperlink r:id="rId2" w:history="1">
        <w:r w:rsidRPr="00631864">
          <w:rPr>
            <w:rStyle w:val="Hyperlink"/>
          </w:rPr>
          <w:t>https://apps.who.int/iris/bitstream/handle/10665/197906/WHO_HIV_2015.48_eng.pdf?sequence=1&amp;isAllowed=y</w:t>
        </w:r>
      </w:hyperlink>
      <w:r>
        <w:t xml:space="preserve"> (</w:t>
      </w:r>
      <w:r w:rsidRPr="004221E5">
        <w:t>Accessed on 1 April 2022</w:t>
      </w:r>
      <w:r>
        <w:t>).</w:t>
      </w:r>
    </w:p>
  </w:footnote>
  <w:footnote w:id="3">
    <w:p w14:paraId="18ABBA59" w14:textId="7E1707DD" w:rsidR="00127B93" w:rsidRDefault="00127B93">
      <w:pPr>
        <w:pStyle w:val="FootnoteText"/>
      </w:pPr>
      <w:r>
        <w:rPr>
          <w:rStyle w:val="FootnoteReference"/>
        </w:rPr>
        <w:footnoteRef/>
      </w:r>
      <w:r>
        <w:t xml:space="preserve"> University of New South Walsh (UNSW) </w:t>
      </w:r>
      <w:r w:rsidRPr="004221E5">
        <w:t>Kirby Institute</w:t>
      </w:r>
      <w:r>
        <w:t xml:space="preserve">, </w:t>
      </w:r>
      <w:r w:rsidRPr="00141FD0">
        <w:t>HIV</w:t>
      </w:r>
      <w:r>
        <w:t xml:space="preserve">, 2020. Available at: </w:t>
      </w:r>
      <w:hyperlink r:id="rId3" w:history="1">
        <w:r w:rsidRPr="00631864">
          <w:rPr>
            <w:rStyle w:val="Hyperlink"/>
          </w:rPr>
          <w:t>https://data.kirby.unsw.edu.au/hiv</w:t>
        </w:r>
      </w:hyperlink>
      <w:r>
        <w:t xml:space="preserve"> (</w:t>
      </w:r>
      <w:r w:rsidRPr="004221E5">
        <w:t>Accessed 1 April 2022</w:t>
      </w:r>
      <w:r>
        <w:t>).</w:t>
      </w:r>
    </w:p>
  </w:footnote>
  <w:footnote w:id="4">
    <w:p w14:paraId="080C2335" w14:textId="0FD8A76A" w:rsidR="00DC6376" w:rsidRPr="00096C61" w:rsidRDefault="00DC6376">
      <w:pPr>
        <w:pStyle w:val="FootnoteText"/>
        <w:rPr>
          <w:lang w:val="en-GB"/>
        </w:rPr>
      </w:pPr>
      <w:r>
        <w:rPr>
          <w:rStyle w:val="FootnoteReference"/>
        </w:rPr>
        <w:footnoteRef/>
      </w:r>
      <w:r>
        <w:t xml:space="preserve"> The Australasian Society for HIV, Viral Hepatitis and Sexual Health Medicine (ASHM) National </w:t>
      </w:r>
      <w:r>
        <w:t xml:space="preserve">PrEP Guidelines Update. Prevent HIV by Prescribing PrEP. Sydney, 2021. Available at: </w:t>
      </w:r>
      <w:hyperlink r:id="rId4" w:history="1">
        <w:r>
          <w:rPr>
            <w:rStyle w:val="Hyperlink"/>
          </w:rPr>
          <w:t>ASHM-National-PrEP-Guidelines.pdf (prepguidelines.com.au)</w:t>
        </w:r>
      </w:hyperlink>
    </w:p>
  </w:footnote>
  <w:footnote w:id="5">
    <w:p w14:paraId="1DB9746D" w14:textId="46F92EFC" w:rsidR="00127B93" w:rsidRDefault="00127B93">
      <w:pPr>
        <w:pStyle w:val="FootnoteText"/>
      </w:pPr>
      <w:r>
        <w:rPr>
          <w:rStyle w:val="FootnoteReference"/>
        </w:rPr>
        <w:footnoteRef/>
      </w:r>
      <w:r>
        <w:t xml:space="preserve"> </w:t>
      </w:r>
      <w:r w:rsidRPr="008346EC">
        <w:t>Truvada (tenofovir disoproxil fumarate/emtricitabine) was first registered on the ARTG on 22 September 2005 (ARTG number: 107072).</w:t>
      </w:r>
    </w:p>
  </w:footnote>
  <w:footnote w:id="6">
    <w:p w14:paraId="4E1467EA" w14:textId="02EC08B1" w:rsidR="00DC6376" w:rsidRPr="00760F5D" w:rsidRDefault="00DC6376">
      <w:pPr>
        <w:pStyle w:val="FootnoteText"/>
        <w:rPr>
          <w:lang w:val="en-GB"/>
        </w:rPr>
      </w:pPr>
      <w:r>
        <w:rPr>
          <w:rStyle w:val="FootnoteReference"/>
        </w:rPr>
        <w:footnoteRef/>
      </w:r>
      <w:r>
        <w:t xml:space="preserve"> </w:t>
      </w:r>
      <w:r>
        <w:t>AusPAR for Truvada (</w:t>
      </w:r>
      <w:r w:rsidRPr="008346EC">
        <w:t>tenofovir disoproxil fumarate/emtricitabine</w:t>
      </w:r>
      <w:r>
        <w:t>) Gilead Sciences Pty Ltd</w:t>
      </w:r>
      <w:r w:rsidR="00760F5D">
        <w:t xml:space="preserve">, </w:t>
      </w:r>
      <w:r w:rsidR="002574A7">
        <w:t>extension of indications</w:t>
      </w:r>
      <w:r w:rsidR="00760F5D">
        <w:t>,</w:t>
      </w:r>
      <w:r w:rsidR="002574A7">
        <w:t xml:space="preserve"> </w:t>
      </w:r>
      <w:r w:rsidR="00760F5D">
        <w:t>p</w:t>
      </w:r>
      <w:r w:rsidR="002574A7">
        <w:t xml:space="preserve">ublished </w:t>
      </w:r>
      <w:r w:rsidR="00760F5D">
        <w:t xml:space="preserve">on 17 </w:t>
      </w:r>
      <w:r w:rsidR="002574A7">
        <w:t>November 2016. Available at:</w:t>
      </w:r>
      <w:r w:rsidRPr="00DC6376">
        <w:t xml:space="preserve"> </w:t>
      </w:r>
      <w:hyperlink r:id="rId5" w:history="1">
        <w:r w:rsidR="00760F5D" w:rsidRPr="00F90CC6">
          <w:rPr>
            <w:rStyle w:val="Hyperlink"/>
          </w:rPr>
          <w:t>https://www.tga.gov.au/resources/auspar/auspar-tenofovir-disoproxil-fumarate-emtricitabine</w:t>
        </w:r>
      </w:hyperlink>
      <w:r w:rsidR="00760F5D">
        <w:t>.</w:t>
      </w:r>
    </w:p>
  </w:footnote>
  <w:footnote w:id="7">
    <w:p w14:paraId="7C4DBDC3" w14:textId="505F9DDD" w:rsidR="00127B93" w:rsidRDefault="00127B93">
      <w:pPr>
        <w:pStyle w:val="FootnoteText"/>
      </w:pPr>
      <w:r>
        <w:rPr>
          <w:rStyle w:val="FootnoteReference"/>
        </w:rPr>
        <w:footnoteRef/>
      </w:r>
      <w:r>
        <w:t xml:space="preserve"> </w:t>
      </w:r>
      <w:r w:rsidRPr="008346EC">
        <w:t>Descovy (emtricitabine</w:t>
      </w:r>
      <w:r>
        <w:t>/</w:t>
      </w:r>
      <w:r w:rsidRPr="008346EC">
        <w:t>tenofovir alafenamide) was first registered on the ARTG on 1 July 2016 (ARTG number</w:t>
      </w:r>
      <w:r>
        <w:t>s</w:t>
      </w:r>
      <w:r w:rsidRPr="008346EC">
        <w:t>: 246092</w:t>
      </w:r>
      <w:r>
        <w:t xml:space="preserve"> and </w:t>
      </w:r>
      <w:r w:rsidRPr="008346EC">
        <w:t>246093).</w:t>
      </w:r>
    </w:p>
  </w:footnote>
  <w:footnote w:id="8">
    <w:p w14:paraId="7C448A90" w14:textId="229E59A7" w:rsidR="002574A7" w:rsidRPr="00760F5D" w:rsidRDefault="002574A7">
      <w:pPr>
        <w:pStyle w:val="FootnoteText"/>
        <w:rPr>
          <w:lang w:val="en-GB"/>
        </w:rPr>
      </w:pPr>
      <w:r>
        <w:rPr>
          <w:rStyle w:val="FootnoteReference"/>
        </w:rPr>
        <w:footnoteRef/>
      </w:r>
      <w:r>
        <w:t xml:space="preserve"> TGA website public notification for </w:t>
      </w:r>
      <w:r w:rsidRPr="008346EC">
        <w:t>Descovy (emtricitabine</w:t>
      </w:r>
      <w:r>
        <w:t>/</w:t>
      </w:r>
      <w:r w:rsidRPr="008346EC">
        <w:t>tenofovir alafenamide)</w:t>
      </w:r>
      <w:r>
        <w:t xml:space="preserve"> Gilead Sciences Pty Ltd</w:t>
      </w:r>
      <w:r w:rsidR="00760F5D">
        <w:t>,</w:t>
      </w:r>
      <w:r>
        <w:t xml:space="preserve"> </w:t>
      </w:r>
      <w:r w:rsidR="00760F5D">
        <w:t>extension</w:t>
      </w:r>
      <w:r>
        <w:t xml:space="preserve"> of indications. Available at:</w:t>
      </w:r>
      <w:r w:rsidRPr="008346EC">
        <w:t xml:space="preserve"> </w:t>
      </w:r>
      <w:hyperlink r:id="rId6" w:history="1">
        <w:r w:rsidR="00760F5D" w:rsidRPr="00F90CC6">
          <w:rPr>
            <w:rStyle w:val="Hyperlink"/>
          </w:rPr>
          <w:t>https://www.tga.gov.au/resources/prescription-medicines-registrations/descovy-gilead-sciences-pty-ltd</w:t>
        </w:r>
      </w:hyperlink>
      <w:r w:rsidR="00760F5D">
        <w:t>.</w:t>
      </w:r>
    </w:p>
  </w:footnote>
  <w:footnote w:id="9">
    <w:p w14:paraId="5285848C" w14:textId="278B7B9B" w:rsidR="002574A7" w:rsidRPr="00230C10" w:rsidRDefault="002574A7">
      <w:pPr>
        <w:pStyle w:val="FootnoteText"/>
        <w:rPr>
          <w:lang w:val="en-GB"/>
        </w:rPr>
      </w:pPr>
      <w:r>
        <w:rPr>
          <w:rStyle w:val="FootnoteReference"/>
        </w:rPr>
        <w:footnoteRef/>
      </w:r>
      <w:r>
        <w:t xml:space="preserve"> </w:t>
      </w:r>
      <w:r>
        <w:t xml:space="preserve">AusPAR for Vocabria and </w:t>
      </w:r>
      <w:r w:rsidRPr="002574A7">
        <w:t>Cabenuva</w:t>
      </w:r>
      <w:r>
        <w:t xml:space="preserve"> (c</w:t>
      </w:r>
      <w:r w:rsidRPr="002574A7">
        <w:t>abotegravir sodium and cabotegravir/rilpivirine</w:t>
      </w:r>
      <w:r>
        <w:t>) ViiV Healthcare Pty Ltd</w:t>
      </w:r>
      <w:r w:rsidR="00230C10">
        <w:t>, new chemical entity and new fixed dose combination</w:t>
      </w:r>
      <w:r w:rsidR="00760F5D">
        <w:t>,</w:t>
      </w:r>
      <w:r>
        <w:t xml:space="preserve"> </w:t>
      </w:r>
      <w:r w:rsidR="00760F5D">
        <w:t>p</w:t>
      </w:r>
      <w:r>
        <w:t xml:space="preserve">ublished </w:t>
      </w:r>
      <w:r w:rsidR="00230C10">
        <w:t xml:space="preserve">on 19 </w:t>
      </w:r>
      <w:r>
        <w:t xml:space="preserve">May 2021. Available at: </w:t>
      </w:r>
      <w:r w:rsidRPr="002574A7">
        <w:t>https://www.tga.gov.au/resources/auspar/auspar-cabotegravir-sodium-and-cabotegravirrilpivirine</w:t>
      </w:r>
      <w:r w:rsidR="00230C10">
        <w:t>.</w:t>
      </w:r>
    </w:p>
  </w:footnote>
  <w:footnote w:id="10">
    <w:p w14:paraId="5A047496" w14:textId="77777777" w:rsidR="00127B93" w:rsidRDefault="00127B93" w:rsidP="00EE5045">
      <w:pPr>
        <w:pStyle w:val="FootnoteText"/>
      </w:pPr>
      <w:r>
        <w:rPr>
          <w:rStyle w:val="FootnoteReference"/>
        </w:rPr>
        <w:footnoteRef/>
      </w:r>
      <w:r>
        <w:t xml:space="preserve"> </w:t>
      </w:r>
      <w:r w:rsidRPr="00EE5045">
        <w:rPr>
          <w:b/>
          <w:bCs/>
        </w:rPr>
        <w:t>Cytochrome P450 (CYP)</w:t>
      </w:r>
      <w:r>
        <w:t xml:space="preserve"> enzymes: 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2D7FA5B3" w14:textId="3AE2EB86" w:rsidR="00127B93" w:rsidRDefault="00127B93" w:rsidP="00EE5045">
      <w:pPr>
        <w:pStyle w:val="FootnoteText"/>
      </w:pPr>
      <w:r>
        <w:t xml:space="preserve">Many drugs may increase or decrease the activity of various CYP isozymes either by inducing the biosynthesis of an isozyme (enzyme induction) or by directly inhibiting the activity of the CYP (enzyme inhibition). This is a major source of adverse drug </w:t>
      </w:r>
      <w:r>
        <w:t>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1">
    <w:p w14:paraId="2F364FAA" w14:textId="7E45C294" w:rsidR="00127B93" w:rsidRDefault="00127B93">
      <w:pPr>
        <w:pStyle w:val="FootnoteText"/>
      </w:pPr>
      <w:r>
        <w:rPr>
          <w:rStyle w:val="FootnoteReference"/>
        </w:rPr>
        <w:footnoteRef/>
      </w:r>
      <w:r>
        <w:t xml:space="preserve"> </w:t>
      </w:r>
      <w:r w:rsidRPr="00C56168">
        <w:t xml:space="preserve">The randomised clinical trials analysed by the </w:t>
      </w:r>
      <w:r w:rsidRPr="00C56168">
        <w:rPr>
          <w:b/>
          <w:bCs/>
        </w:rPr>
        <w:t>intention-to-treat (ITT)</w:t>
      </w:r>
      <w:r w:rsidRPr="00C56168">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 A </w:t>
      </w:r>
      <w:r w:rsidRPr="00D43DAD">
        <w:rPr>
          <w:b/>
          <w:bCs/>
        </w:rPr>
        <w:t>modified intention-to-treat analysis (</w:t>
      </w:r>
      <w:r w:rsidRPr="00D43DAD">
        <w:rPr>
          <w:b/>
          <w:bCs/>
        </w:rPr>
        <w:t>mITT)</w:t>
      </w:r>
      <w:r w:rsidRPr="00D43DAD">
        <w:t xml:space="preserve"> may</w:t>
      </w:r>
      <w:r w:rsidRPr="00C56168">
        <w:t xml:space="preserve"> sometimes be conducted excluding </w:t>
      </w:r>
      <w:r w:rsidRPr="00C56168">
        <w:t>subjects post-randomisation.</w:t>
      </w:r>
    </w:p>
  </w:footnote>
  <w:footnote w:id="12">
    <w:p w14:paraId="26C531EB" w14:textId="7F917BE2" w:rsidR="00127B93" w:rsidRDefault="00127B93">
      <w:pPr>
        <w:pStyle w:val="FootnoteText"/>
      </w:pPr>
      <w:r>
        <w:rPr>
          <w:rStyle w:val="FootnoteReference"/>
        </w:rPr>
        <w:footnoteRef/>
      </w:r>
      <w:r>
        <w:t xml:space="preserve"> </w:t>
      </w:r>
      <w:r w:rsidRPr="00846FEE">
        <w:t xml:space="preserve">The </w:t>
      </w:r>
      <w:r w:rsidRPr="00846FEE">
        <w:rPr>
          <w:b/>
          <w:bCs/>
        </w:rPr>
        <w:t>Medical Dictionary for Regulatory Activities (MedDRA)</w:t>
      </w:r>
      <w:r w:rsidRPr="00846FEE">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r w:rsidRPr="00846FEE">
        <w:t>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13">
    <w:p w14:paraId="47DF06B4" w14:textId="25B91E77" w:rsidR="00127B93" w:rsidRDefault="00127B93">
      <w:pPr>
        <w:pStyle w:val="FootnoteText"/>
      </w:pPr>
      <w:r>
        <w:rPr>
          <w:rStyle w:val="FootnoteReference"/>
        </w:rPr>
        <w:footnoteRef/>
      </w:r>
      <w:r>
        <w:t xml:space="preserve"> </w:t>
      </w:r>
      <w:r w:rsidRPr="00846FEE">
        <w:t>The </w:t>
      </w:r>
      <w:r w:rsidRPr="00846FEE">
        <w:rPr>
          <w:b/>
          <w:bCs/>
        </w:rPr>
        <w:t>International Council for Harmonisation of Technical Requirements for Registration of Pharmaceuticals for Human Use (ICH)</w:t>
      </w:r>
      <w:r w:rsidRPr="00846FEE">
        <w:t xml:space="preserve">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14">
    <w:p w14:paraId="0070C77E" w14:textId="17BBE616" w:rsidR="00127B93" w:rsidRDefault="00127B93">
      <w:pPr>
        <w:pStyle w:val="FootnoteText"/>
      </w:pPr>
      <w:r>
        <w:rPr>
          <w:rStyle w:val="FootnoteReference"/>
        </w:rPr>
        <w:footnoteRef/>
      </w:r>
      <w:r>
        <w:t xml:space="preserve"> </w:t>
      </w:r>
      <w:r w:rsidRPr="005F7C07">
        <w:t xml:space="preserve">Inclusion of this information is beyond the scope of the </w:t>
      </w:r>
      <w:r w:rsidRPr="005F7C07">
        <w:t>AusPAR.</w:t>
      </w:r>
    </w:p>
  </w:footnote>
  <w:footnote w:id="15">
    <w:p w14:paraId="13A6ECA6" w14:textId="198855A3" w:rsidR="00127B93" w:rsidRDefault="00127B93">
      <w:pPr>
        <w:pStyle w:val="FootnoteText"/>
      </w:pPr>
      <w:r>
        <w:rPr>
          <w:rStyle w:val="FootnoteReference"/>
        </w:rPr>
        <w:footnoteRef/>
      </w:r>
      <w:r>
        <w:t xml:space="preserve"> </w:t>
      </w:r>
      <w:r w:rsidRPr="00A34410">
        <w:t>.</w:t>
      </w:r>
      <w:r w:rsidRPr="004221E5">
        <w:t xml:space="preserve"> Chou</w:t>
      </w:r>
      <w:r>
        <w:t>,</w:t>
      </w:r>
      <w:r w:rsidRPr="004221E5">
        <w:t xml:space="preserve"> R</w:t>
      </w:r>
      <w:r>
        <w:t xml:space="preserve">. et al. </w:t>
      </w:r>
      <w:r w:rsidRPr="004221E5">
        <w:t xml:space="preserve">Pre-Exposure Prophylaxis for the Prevention of HIV Infection: </w:t>
      </w:r>
      <w:r>
        <w:t>a</w:t>
      </w:r>
      <w:r w:rsidRPr="004221E5">
        <w:t xml:space="preserve"> Systematic Review for the U.S.</w:t>
      </w:r>
      <w:r>
        <w:t xml:space="preserve"> </w:t>
      </w:r>
      <w:r w:rsidRPr="00141FD0">
        <w:t>Preventive Services Task Force</w:t>
      </w:r>
      <w:r>
        <w:t xml:space="preserve">, </w:t>
      </w:r>
      <w:r w:rsidRPr="00141FD0">
        <w:rPr>
          <w:i/>
          <w:iCs/>
        </w:rPr>
        <w:t>Evidence Synthesis</w:t>
      </w:r>
      <w:r>
        <w:t xml:space="preserve">, </w:t>
      </w:r>
      <w:r w:rsidRPr="00141FD0">
        <w:t>2019</w:t>
      </w:r>
      <w:r>
        <w:t xml:space="preserve">; </w:t>
      </w:r>
      <w:r w:rsidRPr="00141FD0">
        <w:t>178</w:t>
      </w:r>
      <w:r>
        <w:t>.</w:t>
      </w:r>
    </w:p>
  </w:footnote>
  <w:footnote w:id="16">
    <w:p w14:paraId="05D18E86" w14:textId="0D8058F5" w:rsidR="00127B93" w:rsidRDefault="00127B93">
      <w:pPr>
        <w:pStyle w:val="FootnoteText"/>
      </w:pPr>
      <w:r>
        <w:rPr>
          <w:rStyle w:val="FootnoteReference"/>
        </w:rPr>
        <w:footnoteRef/>
      </w:r>
      <w:r>
        <w:t xml:space="preserve"> </w:t>
      </w:r>
      <w:r w:rsidRPr="004221E5">
        <w:t>Tolley</w:t>
      </w:r>
      <w:r>
        <w:t>,</w:t>
      </w:r>
      <w:r w:rsidRPr="004221E5">
        <w:t xml:space="preserve"> E</w:t>
      </w:r>
      <w:r>
        <w:t>.</w:t>
      </w:r>
      <w:r w:rsidRPr="004221E5">
        <w:t>E</w:t>
      </w:r>
      <w:r>
        <w:t xml:space="preserve">. et al. </w:t>
      </w:r>
      <w:r w:rsidRPr="004221E5">
        <w:t>Acceptability of Long-Acting Injectable Cabotegravir (CAB LA) in HIV-Uninfected Individuals: HPTN 077</w:t>
      </w:r>
      <w:r>
        <w:t>,</w:t>
      </w:r>
      <w:r w:rsidRPr="004221E5">
        <w:t xml:space="preserve"> </w:t>
      </w:r>
      <w:r w:rsidRPr="00500960">
        <w:rPr>
          <w:i/>
          <w:iCs/>
        </w:rPr>
        <w:t xml:space="preserve">AIDS </w:t>
      </w:r>
      <w:r w:rsidRPr="00500960">
        <w:rPr>
          <w:i/>
          <w:iCs/>
        </w:rPr>
        <w:t>Behav</w:t>
      </w:r>
      <w:r>
        <w:t>,</w:t>
      </w:r>
      <w:r w:rsidRPr="004221E5">
        <w:t xml:space="preserve"> 2020;</w:t>
      </w:r>
      <w:r>
        <w:t xml:space="preserve"> </w:t>
      </w:r>
      <w:r w:rsidRPr="004221E5">
        <w:t>24(9):</w:t>
      </w:r>
      <w:r>
        <w:t xml:space="preserve"> </w:t>
      </w:r>
      <w:r w:rsidRPr="004221E5">
        <w:t>2520-2531</w:t>
      </w:r>
      <w:r>
        <w:t>.</w:t>
      </w:r>
    </w:p>
  </w:footnote>
  <w:footnote w:id="17">
    <w:p w14:paraId="406C1823" w14:textId="7968B2F6" w:rsidR="00127B93" w:rsidRDefault="00127B93">
      <w:pPr>
        <w:pStyle w:val="FootnoteText"/>
      </w:pPr>
      <w:r>
        <w:rPr>
          <w:rStyle w:val="FootnoteReference"/>
        </w:rPr>
        <w:footnoteRef/>
      </w:r>
      <w:r>
        <w:t xml:space="preserve"> </w:t>
      </w:r>
      <w:r w:rsidRPr="004221E5">
        <w:t>Minnis</w:t>
      </w:r>
      <w:r>
        <w:t>,</w:t>
      </w:r>
      <w:r w:rsidRPr="004221E5">
        <w:t xml:space="preserve"> A</w:t>
      </w:r>
      <w:r>
        <w:t>.</w:t>
      </w:r>
      <w:r w:rsidRPr="004221E5">
        <w:t>M</w:t>
      </w:r>
      <w:r>
        <w:t xml:space="preserve">. et al </w:t>
      </w:r>
      <w:r w:rsidRPr="004221E5">
        <w:t>Preferences for Long-Acting Pre-exposure Prophylaxis (PrEP) for HIV Prevention among South African Youth: Results of a Discrete Choice Experiment</w:t>
      </w:r>
      <w:r>
        <w:t>,</w:t>
      </w:r>
      <w:r w:rsidRPr="004221E5">
        <w:t xml:space="preserve"> </w:t>
      </w:r>
      <w:r w:rsidRPr="00500960">
        <w:rPr>
          <w:i/>
          <w:iCs/>
        </w:rPr>
        <w:t>J Int AIDS Soc</w:t>
      </w:r>
      <w:r>
        <w:t>,</w:t>
      </w:r>
      <w:r w:rsidRPr="004221E5">
        <w:t xml:space="preserve"> 2020;</w:t>
      </w:r>
      <w:r>
        <w:t xml:space="preserve"> </w:t>
      </w:r>
      <w:r w:rsidRPr="004221E5">
        <w:t>23(6):</w:t>
      </w:r>
      <w:r>
        <w:t xml:space="preserve"> </w:t>
      </w:r>
      <w:r w:rsidRPr="004221E5">
        <w:t>e25528.</w:t>
      </w:r>
    </w:p>
  </w:footnote>
  <w:footnote w:id="18">
    <w:p w14:paraId="27512A0A" w14:textId="5FA751A6" w:rsidR="00127B93" w:rsidRDefault="00127B93">
      <w:pPr>
        <w:pStyle w:val="FootnoteText"/>
      </w:pPr>
      <w:r>
        <w:rPr>
          <w:rStyle w:val="FootnoteReference"/>
        </w:rPr>
        <w:footnoteRef/>
      </w:r>
      <w:r>
        <w:t xml:space="preserve"> </w:t>
      </w:r>
      <w:r w:rsidRPr="004221E5">
        <w:t>Parsons</w:t>
      </w:r>
      <w:r>
        <w:t>,</w:t>
      </w:r>
      <w:r w:rsidRPr="004221E5">
        <w:t xml:space="preserve"> J</w:t>
      </w:r>
      <w:r>
        <w:t>.</w:t>
      </w:r>
      <w:r w:rsidRPr="004221E5">
        <w:t>T</w:t>
      </w:r>
      <w:r>
        <w:t xml:space="preserve">. et al. </w:t>
      </w:r>
      <w:r w:rsidRPr="004221E5">
        <w:t>Familiarity with and Preferences for Oral and Long-Acting Injectable HIV Pre-exposure Prophylaxis (</w:t>
      </w:r>
      <w:r w:rsidRPr="004221E5">
        <w:t>PrEP) in a National Sample of Gay and Bisexual Men in the U.S</w:t>
      </w:r>
      <w:r>
        <w:t xml:space="preserve">, </w:t>
      </w:r>
      <w:r w:rsidRPr="00500960">
        <w:rPr>
          <w:i/>
          <w:iCs/>
        </w:rPr>
        <w:t>AIDS Behav</w:t>
      </w:r>
      <w:r>
        <w:t>,</w:t>
      </w:r>
      <w:r w:rsidRPr="004221E5">
        <w:t xml:space="preserve"> 2016;</w:t>
      </w:r>
      <w:r>
        <w:t xml:space="preserve"> </w:t>
      </w:r>
      <w:r w:rsidRPr="004221E5">
        <w:t>20(7):</w:t>
      </w:r>
      <w:r>
        <w:t xml:space="preserve"> </w:t>
      </w:r>
      <w:r w:rsidRPr="004221E5">
        <w:t>1390-</w:t>
      </w:r>
      <w:r>
        <w:t>139</w:t>
      </w:r>
      <w:r w:rsidRPr="004221E5">
        <w:t>9</w:t>
      </w:r>
      <w:r>
        <w:t>.</w:t>
      </w:r>
    </w:p>
  </w:footnote>
  <w:footnote w:id="19">
    <w:p w14:paraId="6C36CC1B" w14:textId="65623963" w:rsidR="00127B93" w:rsidRDefault="00127B93">
      <w:pPr>
        <w:pStyle w:val="FootnoteText"/>
      </w:pPr>
      <w:r>
        <w:rPr>
          <w:rStyle w:val="FootnoteReference"/>
        </w:rPr>
        <w:footnoteRef/>
      </w:r>
      <w:r>
        <w:t xml:space="preserve"> </w:t>
      </w:r>
      <w:r w:rsidRPr="00F0419F">
        <w:t>Australasian Society for HIV, Viral Hepatitis and Sexual Health Medicine</w:t>
      </w:r>
      <w:r>
        <w:t xml:space="preserve"> (ASHM), National </w:t>
      </w:r>
      <w:r>
        <w:t xml:space="preserve">PrEP Guidelines, </w:t>
      </w:r>
      <w:r w:rsidRPr="00F0419F">
        <w:t>Clinical Assessment before Starting PrEP</w:t>
      </w:r>
      <w:r>
        <w:t>,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8894" w14:textId="77777777" w:rsidR="00127B93" w:rsidRDefault="00127B93"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959CB" w14:textId="77777777" w:rsidR="00127B93" w:rsidRDefault="00127B93">
    <w:pPr>
      <w:rPr>
        <w:noProof/>
        <w:lang w:eastAsia="en-AU"/>
      </w:rPr>
    </w:pPr>
    <w:r w:rsidRPr="00347824">
      <w:rPr>
        <w:noProof/>
        <w:lang w:val="en-GB" w:eastAsia="en-GB"/>
      </w:rPr>
      <w:drawing>
        <wp:anchor distT="0" distB="0" distL="114300" distR="114300" simplePos="0" relativeHeight="251659264" behindDoc="1" locked="0" layoutInCell="1" allowOverlap="1" wp14:anchorId="5A30E951" wp14:editId="2173AA49">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B096C" w14:textId="77777777" w:rsidR="00127B93" w:rsidRDefault="00127B9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36852" w14:textId="77777777" w:rsidR="00127B93" w:rsidRDefault="00127B93">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BE22D" w14:textId="77777777" w:rsidR="00127B93" w:rsidRDefault="00127B93">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021FA" w14:textId="77777777" w:rsidR="00127B93" w:rsidRDefault="00127B9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F194" w14:textId="77777777" w:rsidR="00127B93" w:rsidRDefault="00127B93"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7DE47" w14:textId="77777777" w:rsidR="00127B93" w:rsidRDefault="00127B93" w:rsidP="006E08B3">
    <w:r>
      <w:t>Therapeutic Goods Administration</w:t>
    </w:r>
  </w:p>
  <w:p w14:paraId="5E5722E2" w14:textId="77777777" w:rsidR="00127B93" w:rsidRDefault="00127B93"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445EA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9108CD"/>
    <w:multiLevelType w:val="hybridMultilevel"/>
    <w:tmpl w:val="7E4207AE"/>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716792"/>
    <w:multiLevelType w:val="hybridMultilevel"/>
    <w:tmpl w:val="25EE6B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4"/>
  </w:num>
  <w:num w:numId="6">
    <w:abstractNumId w:val="5"/>
  </w:num>
  <w:num w:numId="7">
    <w:abstractNumId w:val="1"/>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E5B"/>
    <w:rsid w:val="00002031"/>
    <w:rsid w:val="00004734"/>
    <w:rsid w:val="00006B22"/>
    <w:rsid w:val="00006FAB"/>
    <w:rsid w:val="00011466"/>
    <w:rsid w:val="0001276A"/>
    <w:rsid w:val="00022ABF"/>
    <w:rsid w:val="000246AE"/>
    <w:rsid w:val="00025C67"/>
    <w:rsid w:val="00042988"/>
    <w:rsid w:val="00044772"/>
    <w:rsid w:val="0004541C"/>
    <w:rsid w:val="0005554C"/>
    <w:rsid w:val="0005559E"/>
    <w:rsid w:val="00057681"/>
    <w:rsid w:val="000604D6"/>
    <w:rsid w:val="00066B91"/>
    <w:rsid w:val="00071DA7"/>
    <w:rsid w:val="000734D8"/>
    <w:rsid w:val="00077775"/>
    <w:rsid w:val="00090471"/>
    <w:rsid w:val="00096AA7"/>
    <w:rsid w:val="00096C61"/>
    <w:rsid w:val="000A3AED"/>
    <w:rsid w:val="000A5698"/>
    <w:rsid w:val="000A5A7E"/>
    <w:rsid w:val="000B10F7"/>
    <w:rsid w:val="000B3532"/>
    <w:rsid w:val="000B3A75"/>
    <w:rsid w:val="000B50DD"/>
    <w:rsid w:val="000C00C2"/>
    <w:rsid w:val="000C2FE2"/>
    <w:rsid w:val="000C690F"/>
    <w:rsid w:val="000D1295"/>
    <w:rsid w:val="000D391B"/>
    <w:rsid w:val="000D3D6D"/>
    <w:rsid w:val="000D4FC7"/>
    <w:rsid w:val="000D7AA5"/>
    <w:rsid w:val="000E6196"/>
    <w:rsid w:val="000E6B7B"/>
    <w:rsid w:val="000F4869"/>
    <w:rsid w:val="000F5B42"/>
    <w:rsid w:val="000F6E6F"/>
    <w:rsid w:val="0010601F"/>
    <w:rsid w:val="0010788A"/>
    <w:rsid w:val="00107A31"/>
    <w:rsid w:val="00110EA5"/>
    <w:rsid w:val="00112F56"/>
    <w:rsid w:val="00117C1F"/>
    <w:rsid w:val="00122C2E"/>
    <w:rsid w:val="00124ACD"/>
    <w:rsid w:val="00125318"/>
    <w:rsid w:val="00127B93"/>
    <w:rsid w:val="001305A2"/>
    <w:rsid w:val="00133238"/>
    <w:rsid w:val="00133A1B"/>
    <w:rsid w:val="00135B20"/>
    <w:rsid w:val="0014197B"/>
    <w:rsid w:val="00141FD0"/>
    <w:rsid w:val="001447CD"/>
    <w:rsid w:val="001516B1"/>
    <w:rsid w:val="00154EBB"/>
    <w:rsid w:val="00156316"/>
    <w:rsid w:val="00161181"/>
    <w:rsid w:val="00161D56"/>
    <w:rsid w:val="00162D14"/>
    <w:rsid w:val="00163780"/>
    <w:rsid w:val="00165389"/>
    <w:rsid w:val="001702C9"/>
    <w:rsid w:val="001710C9"/>
    <w:rsid w:val="00175ECE"/>
    <w:rsid w:val="0017693F"/>
    <w:rsid w:val="0018110E"/>
    <w:rsid w:val="00181684"/>
    <w:rsid w:val="001843C6"/>
    <w:rsid w:val="001850E0"/>
    <w:rsid w:val="00185407"/>
    <w:rsid w:val="001A03AF"/>
    <w:rsid w:val="001A2158"/>
    <w:rsid w:val="001A525F"/>
    <w:rsid w:val="001A5A00"/>
    <w:rsid w:val="001A66B8"/>
    <w:rsid w:val="001B09F9"/>
    <w:rsid w:val="001B1DA4"/>
    <w:rsid w:val="001B4B1D"/>
    <w:rsid w:val="001B5C90"/>
    <w:rsid w:val="001B6448"/>
    <w:rsid w:val="001B71F9"/>
    <w:rsid w:val="001C1AE8"/>
    <w:rsid w:val="001C32CD"/>
    <w:rsid w:val="001C4290"/>
    <w:rsid w:val="001C4E02"/>
    <w:rsid w:val="001D2984"/>
    <w:rsid w:val="001E07CF"/>
    <w:rsid w:val="001E359E"/>
    <w:rsid w:val="001E59F1"/>
    <w:rsid w:val="001E70E6"/>
    <w:rsid w:val="001F2CEE"/>
    <w:rsid w:val="001F49EB"/>
    <w:rsid w:val="001F6CBA"/>
    <w:rsid w:val="00201D4E"/>
    <w:rsid w:val="002076C9"/>
    <w:rsid w:val="00220B8A"/>
    <w:rsid w:val="0022470C"/>
    <w:rsid w:val="002257F3"/>
    <w:rsid w:val="0023090E"/>
    <w:rsid w:val="00230C10"/>
    <w:rsid w:val="002314EA"/>
    <w:rsid w:val="00232A16"/>
    <w:rsid w:val="00233456"/>
    <w:rsid w:val="002339A5"/>
    <w:rsid w:val="00234D1A"/>
    <w:rsid w:val="00250271"/>
    <w:rsid w:val="00250F35"/>
    <w:rsid w:val="0025423A"/>
    <w:rsid w:val="002574A7"/>
    <w:rsid w:val="00257848"/>
    <w:rsid w:val="002578E8"/>
    <w:rsid w:val="00267C12"/>
    <w:rsid w:val="0027084A"/>
    <w:rsid w:val="00271E85"/>
    <w:rsid w:val="00274CB3"/>
    <w:rsid w:val="00280265"/>
    <w:rsid w:val="00286434"/>
    <w:rsid w:val="00286C59"/>
    <w:rsid w:val="00290775"/>
    <w:rsid w:val="00291957"/>
    <w:rsid w:val="002942D1"/>
    <w:rsid w:val="0029501A"/>
    <w:rsid w:val="002A3721"/>
    <w:rsid w:val="002A526F"/>
    <w:rsid w:val="002B1638"/>
    <w:rsid w:val="002B3624"/>
    <w:rsid w:val="002B70E6"/>
    <w:rsid w:val="002C71BC"/>
    <w:rsid w:val="002D0952"/>
    <w:rsid w:val="002D66CB"/>
    <w:rsid w:val="002D6F86"/>
    <w:rsid w:val="002E40B3"/>
    <w:rsid w:val="002E4C9A"/>
    <w:rsid w:val="002F11F8"/>
    <w:rsid w:val="002F3F56"/>
    <w:rsid w:val="002F44B5"/>
    <w:rsid w:val="002F5122"/>
    <w:rsid w:val="00311AC0"/>
    <w:rsid w:val="003176FC"/>
    <w:rsid w:val="00324E45"/>
    <w:rsid w:val="0032583B"/>
    <w:rsid w:val="00327883"/>
    <w:rsid w:val="00332715"/>
    <w:rsid w:val="00332D90"/>
    <w:rsid w:val="003336E1"/>
    <w:rsid w:val="00335504"/>
    <w:rsid w:val="00340C18"/>
    <w:rsid w:val="00342B4E"/>
    <w:rsid w:val="003442FD"/>
    <w:rsid w:val="00347824"/>
    <w:rsid w:val="00350567"/>
    <w:rsid w:val="003521E8"/>
    <w:rsid w:val="0035581C"/>
    <w:rsid w:val="00356947"/>
    <w:rsid w:val="00364168"/>
    <w:rsid w:val="00370CE3"/>
    <w:rsid w:val="003728F3"/>
    <w:rsid w:val="003735BC"/>
    <w:rsid w:val="0037496E"/>
    <w:rsid w:val="003768A7"/>
    <w:rsid w:val="00383221"/>
    <w:rsid w:val="00383E4D"/>
    <w:rsid w:val="00386150"/>
    <w:rsid w:val="003874CE"/>
    <w:rsid w:val="003903E5"/>
    <w:rsid w:val="00390900"/>
    <w:rsid w:val="003A1035"/>
    <w:rsid w:val="003A2474"/>
    <w:rsid w:val="003A7F6C"/>
    <w:rsid w:val="003B4D60"/>
    <w:rsid w:val="003B7E39"/>
    <w:rsid w:val="003C2E00"/>
    <w:rsid w:val="003C58DC"/>
    <w:rsid w:val="003D1E62"/>
    <w:rsid w:val="003E0B99"/>
    <w:rsid w:val="003E2486"/>
    <w:rsid w:val="003E29B6"/>
    <w:rsid w:val="003E3208"/>
    <w:rsid w:val="003F0B04"/>
    <w:rsid w:val="0040134E"/>
    <w:rsid w:val="0041203A"/>
    <w:rsid w:val="004221E5"/>
    <w:rsid w:val="004321C5"/>
    <w:rsid w:val="004334C7"/>
    <w:rsid w:val="00440A2D"/>
    <w:rsid w:val="00441C3F"/>
    <w:rsid w:val="00444D1A"/>
    <w:rsid w:val="0045186A"/>
    <w:rsid w:val="0045339B"/>
    <w:rsid w:val="00454BDC"/>
    <w:rsid w:val="004564A7"/>
    <w:rsid w:val="00456765"/>
    <w:rsid w:val="00460036"/>
    <w:rsid w:val="004617BF"/>
    <w:rsid w:val="00462EFD"/>
    <w:rsid w:val="00463658"/>
    <w:rsid w:val="004637A0"/>
    <w:rsid w:val="00466249"/>
    <w:rsid w:val="004722CC"/>
    <w:rsid w:val="00477A98"/>
    <w:rsid w:val="00484070"/>
    <w:rsid w:val="00484396"/>
    <w:rsid w:val="00485983"/>
    <w:rsid w:val="00490483"/>
    <w:rsid w:val="004936E4"/>
    <w:rsid w:val="00494E60"/>
    <w:rsid w:val="00497487"/>
    <w:rsid w:val="004A2771"/>
    <w:rsid w:val="004A6189"/>
    <w:rsid w:val="004A7390"/>
    <w:rsid w:val="004A74E2"/>
    <w:rsid w:val="004B3F21"/>
    <w:rsid w:val="004B7B76"/>
    <w:rsid w:val="004C239D"/>
    <w:rsid w:val="004C2B1B"/>
    <w:rsid w:val="004C2DCA"/>
    <w:rsid w:val="004C4FBE"/>
    <w:rsid w:val="004C61D2"/>
    <w:rsid w:val="004D6EC9"/>
    <w:rsid w:val="004F0C4A"/>
    <w:rsid w:val="004F0F38"/>
    <w:rsid w:val="004F47D6"/>
    <w:rsid w:val="00500337"/>
    <w:rsid w:val="00500960"/>
    <w:rsid w:val="00501921"/>
    <w:rsid w:val="00505417"/>
    <w:rsid w:val="00514EEA"/>
    <w:rsid w:val="0052149B"/>
    <w:rsid w:val="00523A21"/>
    <w:rsid w:val="00527BFD"/>
    <w:rsid w:val="00530354"/>
    <w:rsid w:val="0053625B"/>
    <w:rsid w:val="005434C6"/>
    <w:rsid w:val="00543B39"/>
    <w:rsid w:val="00545CDB"/>
    <w:rsid w:val="00546154"/>
    <w:rsid w:val="00550096"/>
    <w:rsid w:val="00555280"/>
    <w:rsid w:val="0055570E"/>
    <w:rsid w:val="00557FF9"/>
    <w:rsid w:val="00562327"/>
    <w:rsid w:val="005711D5"/>
    <w:rsid w:val="00576378"/>
    <w:rsid w:val="00577130"/>
    <w:rsid w:val="00577945"/>
    <w:rsid w:val="00577E38"/>
    <w:rsid w:val="00585322"/>
    <w:rsid w:val="005857C6"/>
    <w:rsid w:val="005864D6"/>
    <w:rsid w:val="00587EBD"/>
    <w:rsid w:val="00592F6E"/>
    <w:rsid w:val="00593AD1"/>
    <w:rsid w:val="0059470F"/>
    <w:rsid w:val="00596813"/>
    <w:rsid w:val="00596ACC"/>
    <w:rsid w:val="005A3930"/>
    <w:rsid w:val="005A68B6"/>
    <w:rsid w:val="005A79F5"/>
    <w:rsid w:val="005B0974"/>
    <w:rsid w:val="005C2DE4"/>
    <w:rsid w:val="005C494B"/>
    <w:rsid w:val="005C5570"/>
    <w:rsid w:val="005C5B66"/>
    <w:rsid w:val="005C62ED"/>
    <w:rsid w:val="005C79A4"/>
    <w:rsid w:val="005D27D0"/>
    <w:rsid w:val="005D5442"/>
    <w:rsid w:val="005E6FE5"/>
    <w:rsid w:val="005F0BCE"/>
    <w:rsid w:val="005F28C3"/>
    <w:rsid w:val="005F4DCE"/>
    <w:rsid w:val="005F7C07"/>
    <w:rsid w:val="00603F32"/>
    <w:rsid w:val="00605AD4"/>
    <w:rsid w:val="00606757"/>
    <w:rsid w:val="00610E29"/>
    <w:rsid w:val="006136D7"/>
    <w:rsid w:val="00625A6E"/>
    <w:rsid w:val="00632398"/>
    <w:rsid w:val="0063449D"/>
    <w:rsid w:val="00640FC3"/>
    <w:rsid w:val="00642020"/>
    <w:rsid w:val="006430EE"/>
    <w:rsid w:val="00643CE5"/>
    <w:rsid w:val="00645E5B"/>
    <w:rsid w:val="0065337B"/>
    <w:rsid w:val="0065419D"/>
    <w:rsid w:val="006603BC"/>
    <w:rsid w:val="006604D8"/>
    <w:rsid w:val="00664A5B"/>
    <w:rsid w:val="00665CD8"/>
    <w:rsid w:val="0066735C"/>
    <w:rsid w:val="006763D2"/>
    <w:rsid w:val="00680C08"/>
    <w:rsid w:val="006901BA"/>
    <w:rsid w:val="006916A0"/>
    <w:rsid w:val="006931B1"/>
    <w:rsid w:val="006A15C0"/>
    <w:rsid w:val="006A58A8"/>
    <w:rsid w:val="006C3E2A"/>
    <w:rsid w:val="006C642F"/>
    <w:rsid w:val="006D03E5"/>
    <w:rsid w:val="006D5D3E"/>
    <w:rsid w:val="006E08B3"/>
    <w:rsid w:val="006E7D4A"/>
    <w:rsid w:val="006F17AC"/>
    <w:rsid w:val="006F211B"/>
    <w:rsid w:val="006F25B8"/>
    <w:rsid w:val="006F3261"/>
    <w:rsid w:val="006F572E"/>
    <w:rsid w:val="00702DA3"/>
    <w:rsid w:val="007046D6"/>
    <w:rsid w:val="00704C69"/>
    <w:rsid w:val="00705DB0"/>
    <w:rsid w:val="00710248"/>
    <w:rsid w:val="0071237F"/>
    <w:rsid w:val="00714561"/>
    <w:rsid w:val="0072292E"/>
    <w:rsid w:val="00722B57"/>
    <w:rsid w:val="00725B26"/>
    <w:rsid w:val="00730F8A"/>
    <w:rsid w:val="00735A8C"/>
    <w:rsid w:val="00736B59"/>
    <w:rsid w:val="00737CEB"/>
    <w:rsid w:val="0074163C"/>
    <w:rsid w:val="0074253D"/>
    <w:rsid w:val="00744121"/>
    <w:rsid w:val="0074429B"/>
    <w:rsid w:val="0075285D"/>
    <w:rsid w:val="00754F3F"/>
    <w:rsid w:val="00756C1C"/>
    <w:rsid w:val="00760F5D"/>
    <w:rsid w:val="007615BC"/>
    <w:rsid w:val="00762F05"/>
    <w:rsid w:val="007652FF"/>
    <w:rsid w:val="007703EF"/>
    <w:rsid w:val="00770CAC"/>
    <w:rsid w:val="00770EF1"/>
    <w:rsid w:val="0077131A"/>
    <w:rsid w:val="00773EF7"/>
    <w:rsid w:val="00774E1D"/>
    <w:rsid w:val="007765D8"/>
    <w:rsid w:val="0077675A"/>
    <w:rsid w:val="00780355"/>
    <w:rsid w:val="007819FD"/>
    <w:rsid w:val="00785717"/>
    <w:rsid w:val="00785721"/>
    <w:rsid w:val="00790D43"/>
    <w:rsid w:val="00793A59"/>
    <w:rsid w:val="007A46F5"/>
    <w:rsid w:val="007A6505"/>
    <w:rsid w:val="007B6132"/>
    <w:rsid w:val="007B6E9F"/>
    <w:rsid w:val="007C1216"/>
    <w:rsid w:val="007C1AF7"/>
    <w:rsid w:val="007C6B9B"/>
    <w:rsid w:val="007D53B6"/>
    <w:rsid w:val="007E4BE5"/>
    <w:rsid w:val="007E63B2"/>
    <w:rsid w:val="00804D99"/>
    <w:rsid w:val="00805D27"/>
    <w:rsid w:val="00806DCB"/>
    <w:rsid w:val="008110BC"/>
    <w:rsid w:val="00816729"/>
    <w:rsid w:val="00821776"/>
    <w:rsid w:val="008321F5"/>
    <w:rsid w:val="00832369"/>
    <w:rsid w:val="00833ED8"/>
    <w:rsid w:val="00834660"/>
    <w:rsid w:val="008346EC"/>
    <w:rsid w:val="00836BC2"/>
    <w:rsid w:val="00841D49"/>
    <w:rsid w:val="008449C5"/>
    <w:rsid w:val="00846FEE"/>
    <w:rsid w:val="0085156D"/>
    <w:rsid w:val="00852B28"/>
    <w:rsid w:val="0085641B"/>
    <w:rsid w:val="00857136"/>
    <w:rsid w:val="00865B03"/>
    <w:rsid w:val="00866CBB"/>
    <w:rsid w:val="00875A6B"/>
    <w:rsid w:val="00885B11"/>
    <w:rsid w:val="00886D15"/>
    <w:rsid w:val="00887DD8"/>
    <w:rsid w:val="00891BA9"/>
    <w:rsid w:val="00896018"/>
    <w:rsid w:val="008960DD"/>
    <w:rsid w:val="0089635C"/>
    <w:rsid w:val="008A2B9D"/>
    <w:rsid w:val="008A30B2"/>
    <w:rsid w:val="008A3D9F"/>
    <w:rsid w:val="008A5E0B"/>
    <w:rsid w:val="008A6D59"/>
    <w:rsid w:val="008B4B03"/>
    <w:rsid w:val="008B596F"/>
    <w:rsid w:val="008B6A3C"/>
    <w:rsid w:val="008C159F"/>
    <w:rsid w:val="008C1623"/>
    <w:rsid w:val="008C1850"/>
    <w:rsid w:val="008C51A9"/>
    <w:rsid w:val="008D380A"/>
    <w:rsid w:val="008E7846"/>
    <w:rsid w:val="008F02E5"/>
    <w:rsid w:val="008F1CCC"/>
    <w:rsid w:val="008F2967"/>
    <w:rsid w:val="008F2BCF"/>
    <w:rsid w:val="008F6943"/>
    <w:rsid w:val="00900310"/>
    <w:rsid w:val="00902A21"/>
    <w:rsid w:val="009069B7"/>
    <w:rsid w:val="00911EBF"/>
    <w:rsid w:val="0091523F"/>
    <w:rsid w:val="00916B19"/>
    <w:rsid w:val="00920330"/>
    <w:rsid w:val="009219D7"/>
    <w:rsid w:val="00922D53"/>
    <w:rsid w:val="00923B70"/>
    <w:rsid w:val="00924482"/>
    <w:rsid w:val="00930237"/>
    <w:rsid w:val="00937C17"/>
    <w:rsid w:val="0094009B"/>
    <w:rsid w:val="00940A89"/>
    <w:rsid w:val="00941F77"/>
    <w:rsid w:val="00946EA5"/>
    <w:rsid w:val="009556D7"/>
    <w:rsid w:val="00960520"/>
    <w:rsid w:val="00963C08"/>
    <w:rsid w:val="009752A5"/>
    <w:rsid w:val="00981AFB"/>
    <w:rsid w:val="0098585A"/>
    <w:rsid w:val="00986A10"/>
    <w:rsid w:val="009A451A"/>
    <w:rsid w:val="009A4CC0"/>
    <w:rsid w:val="009A4CED"/>
    <w:rsid w:val="009A690D"/>
    <w:rsid w:val="009B16C5"/>
    <w:rsid w:val="009B1D12"/>
    <w:rsid w:val="009B416B"/>
    <w:rsid w:val="009C4BD5"/>
    <w:rsid w:val="009D7B77"/>
    <w:rsid w:val="009E0BB0"/>
    <w:rsid w:val="009E3FBB"/>
    <w:rsid w:val="009E5A87"/>
    <w:rsid w:val="009F1F1B"/>
    <w:rsid w:val="009F2673"/>
    <w:rsid w:val="009F7353"/>
    <w:rsid w:val="00A04F85"/>
    <w:rsid w:val="00A05FA4"/>
    <w:rsid w:val="00A102E4"/>
    <w:rsid w:val="00A1219C"/>
    <w:rsid w:val="00A12C42"/>
    <w:rsid w:val="00A13471"/>
    <w:rsid w:val="00A13DE6"/>
    <w:rsid w:val="00A14DF7"/>
    <w:rsid w:val="00A15ADC"/>
    <w:rsid w:val="00A22D57"/>
    <w:rsid w:val="00A26814"/>
    <w:rsid w:val="00A30BD9"/>
    <w:rsid w:val="00A31150"/>
    <w:rsid w:val="00A314DD"/>
    <w:rsid w:val="00A31A6B"/>
    <w:rsid w:val="00A3246D"/>
    <w:rsid w:val="00A34410"/>
    <w:rsid w:val="00A36FA7"/>
    <w:rsid w:val="00A44ABA"/>
    <w:rsid w:val="00A44DDB"/>
    <w:rsid w:val="00A475B7"/>
    <w:rsid w:val="00A47AF7"/>
    <w:rsid w:val="00A47C3E"/>
    <w:rsid w:val="00A50226"/>
    <w:rsid w:val="00A60BAD"/>
    <w:rsid w:val="00A65C98"/>
    <w:rsid w:val="00A7618B"/>
    <w:rsid w:val="00A7739E"/>
    <w:rsid w:val="00A77F87"/>
    <w:rsid w:val="00A80B5B"/>
    <w:rsid w:val="00A84E36"/>
    <w:rsid w:val="00A90EA7"/>
    <w:rsid w:val="00A91D4D"/>
    <w:rsid w:val="00A937CF"/>
    <w:rsid w:val="00A964D1"/>
    <w:rsid w:val="00A96622"/>
    <w:rsid w:val="00AA0ED0"/>
    <w:rsid w:val="00AA6088"/>
    <w:rsid w:val="00AB208C"/>
    <w:rsid w:val="00AB6628"/>
    <w:rsid w:val="00AC0351"/>
    <w:rsid w:val="00AC2B40"/>
    <w:rsid w:val="00AC2BB2"/>
    <w:rsid w:val="00AC2C3C"/>
    <w:rsid w:val="00AC3147"/>
    <w:rsid w:val="00AC512D"/>
    <w:rsid w:val="00AD0083"/>
    <w:rsid w:val="00AD3935"/>
    <w:rsid w:val="00AE65EB"/>
    <w:rsid w:val="00AE677C"/>
    <w:rsid w:val="00AE67A7"/>
    <w:rsid w:val="00AF1D94"/>
    <w:rsid w:val="00AF2313"/>
    <w:rsid w:val="00AF5489"/>
    <w:rsid w:val="00AF60C5"/>
    <w:rsid w:val="00B009C6"/>
    <w:rsid w:val="00B01548"/>
    <w:rsid w:val="00B0698F"/>
    <w:rsid w:val="00B130C5"/>
    <w:rsid w:val="00B13EBD"/>
    <w:rsid w:val="00B1406F"/>
    <w:rsid w:val="00B1517B"/>
    <w:rsid w:val="00B20D41"/>
    <w:rsid w:val="00B21D29"/>
    <w:rsid w:val="00B25034"/>
    <w:rsid w:val="00B33588"/>
    <w:rsid w:val="00B33863"/>
    <w:rsid w:val="00B37D17"/>
    <w:rsid w:val="00B4175E"/>
    <w:rsid w:val="00B41C85"/>
    <w:rsid w:val="00B452CE"/>
    <w:rsid w:val="00B51A81"/>
    <w:rsid w:val="00B54C25"/>
    <w:rsid w:val="00B614A4"/>
    <w:rsid w:val="00B6536C"/>
    <w:rsid w:val="00B76B91"/>
    <w:rsid w:val="00B77EB1"/>
    <w:rsid w:val="00B811C6"/>
    <w:rsid w:val="00B83042"/>
    <w:rsid w:val="00B855B0"/>
    <w:rsid w:val="00B92E08"/>
    <w:rsid w:val="00B95519"/>
    <w:rsid w:val="00BB0AC1"/>
    <w:rsid w:val="00BB0B78"/>
    <w:rsid w:val="00BB4257"/>
    <w:rsid w:val="00BB75D6"/>
    <w:rsid w:val="00BB7D88"/>
    <w:rsid w:val="00BC622A"/>
    <w:rsid w:val="00BD0339"/>
    <w:rsid w:val="00BE0A78"/>
    <w:rsid w:val="00BE6542"/>
    <w:rsid w:val="00BE79F0"/>
    <w:rsid w:val="00BF046D"/>
    <w:rsid w:val="00BF0DD0"/>
    <w:rsid w:val="00BF1190"/>
    <w:rsid w:val="00BF26A0"/>
    <w:rsid w:val="00BF3774"/>
    <w:rsid w:val="00BF5D04"/>
    <w:rsid w:val="00BF7063"/>
    <w:rsid w:val="00C009AA"/>
    <w:rsid w:val="00C0260B"/>
    <w:rsid w:val="00C1164D"/>
    <w:rsid w:val="00C15E74"/>
    <w:rsid w:val="00C166B3"/>
    <w:rsid w:val="00C16861"/>
    <w:rsid w:val="00C24737"/>
    <w:rsid w:val="00C34133"/>
    <w:rsid w:val="00C346AB"/>
    <w:rsid w:val="00C404A6"/>
    <w:rsid w:val="00C40A36"/>
    <w:rsid w:val="00C44419"/>
    <w:rsid w:val="00C45E7B"/>
    <w:rsid w:val="00C471B1"/>
    <w:rsid w:val="00C47CC3"/>
    <w:rsid w:val="00C525A2"/>
    <w:rsid w:val="00C52938"/>
    <w:rsid w:val="00C52E24"/>
    <w:rsid w:val="00C56168"/>
    <w:rsid w:val="00C61797"/>
    <w:rsid w:val="00C63128"/>
    <w:rsid w:val="00C6316B"/>
    <w:rsid w:val="00C634A9"/>
    <w:rsid w:val="00C64586"/>
    <w:rsid w:val="00C66DDF"/>
    <w:rsid w:val="00C70A36"/>
    <w:rsid w:val="00C70D53"/>
    <w:rsid w:val="00C7305E"/>
    <w:rsid w:val="00C73D0B"/>
    <w:rsid w:val="00C74F5C"/>
    <w:rsid w:val="00C772FF"/>
    <w:rsid w:val="00C80137"/>
    <w:rsid w:val="00C801AF"/>
    <w:rsid w:val="00C80256"/>
    <w:rsid w:val="00C94CD4"/>
    <w:rsid w:val="00C9747E"/>
    <w:rsid w:val="00CA5416"/>
    <w:rsid w:val="00CB3DE3"/>
    <w:rsid w:val="00CB59BD"/>
    <w:rsid w:val="00CB6BC0"/>
    <w:rsid w:val="00CB6FE3"/>
    <w:rsid w:val="00CC1B7C"/>
    <w:rsid w:val="00CC5044"/>
    <w:rsid w:val="00CC53B1"/>
    <w:rsid w:val="00CC727F"/>
    <w:rsid w:val="00CE655F"/>
    <w:rsid w:val="00CF15C3"/>
    <w:rsid w:val="00CF2B6F"/>
    <w:rsid w:val="00CF2F3E"/>
    <w:rsid w:val="00CF58B6"/>
    <w:rsid w:val="00CF5DAD"/>
    <w:rsid w:val="00D0062D"/>
    <w:rsid w:val="00D017ED"/>
    <w:rsid w:val="00D03BB9"/>
    <w:rsid w:val="00D040D3"/>
    <w:rsid w:val="00D04C65"/>
    <w:rsid w:val="00D115B1"/>
    <w:rsid w:val="00D153D8"/>
    <w:rsid w:val="00D201D2"/>
    <w:rsid w:val="00D212F3"/>
    <w:rsid w:val="00D224FE"/>
    <w:rsid w:val="00D23139"/>
    <w:rsid w:val="00D32DBE"/>
    <w:rsid w:val="00D32FFE"/>
    <w:rsid w:val="00D425BB"/>
    <w:rsid w:val="00D43DAD"/>
    <w:rsid w:val="00D44F64"/>
    <w:rsid w:val="00D453FA"/>
    <w:rsid w:val="00D46635"/>
    <w:rsid w:val="00D5537E"/>
    <w:rsid w:val="00D56348"/>
    <w:rsid w:val="00D568D1"/>
    <w:rsid w:val="00D6493E"/>
    <w:rsid w:val="00D7195D"/>
    <w:rsid w:val="00D72CBA"/>
    <w:rsid w:val="00D7301E"/>
    <w:rsid w:val="00D82B1A"/>
    <w:rsid w:val="00D82DF7"/>
    <w:rsid w:val="00D83AE1"/>
    <w:rsid w:val="00D84BE1"/>
    <w:rsid w:val="00D854AC"/>
    <w:rsid w:val="00D855D4"/>
    <w:rsid w:val="00D902C9"/>
    <w:rsid w:val="00D93466"/>
    <w:rsid w:val="00D979DB"/>
    <w:rsid w:val="00D97CF7"/>
    <w:rsid w:val="00DA1124"/>
    <w:rsid w:val="00DA64CB"/>
    <w:rsid w:val="00DB06B8"/>
    <w:rsid w:val="00DB6124"/>
    <w:rsid w:val="00DB6AF0"/>
    <w:rsid w:val="00DB750B"/>
    <w:rsid w:val="00DB75B7"/>
    <w:rsid w:val="00DC011A"/>
    <w:rsid w:val="00DC0A2F"/>
    <w:rsid w:val="00DC1948"/>
    <w:rsid w:val="00DC6376"/>
    <w:rsid w:val="00DC6E02"/>
    <w:rsid w:val="00DD28CD"/>
    <w:rsid w:val="00DD6F86"/>
    <w:rsid w:val="00DE02AE"/>
    <w:rsid w:val="00DE1970"/>
    <w:rsid w:val="00DE349B"/>
    <w:rsid w:val="00DE39D1"/>
    <w:rsid w:val="00DF1D7F"/>
    <w:rsid w:val="00DF4BE4"/>
    <w:rsid w:val="00DF7C6F"/>
    <w:rsid w:val="00E02382"/>
    <w:rsid w:val="00E02E69"/>
    <w:rsid w:val="00E02FB4"/>
    <w:rsid w:val="00E07052"/>
    <w:rsid w:val="00E13FC7"/>
    <w:rsid w:val="00E20571"/>
    <w:rsid w:val="00E235F7"/>
    <w:rsid w:val="00E23659"/>
    <w:rsid w:val="00E239D4"/>
    <w:rsid w:val="00E26130"/>
    <w:rsid w:val="00E33D42"/>
    <w:rsid w:val="00E40B22"/>
    <w:rsid w:val="00E41B36"/>
    <w:rsid w:val="00E44ED1"/>
    <w:rsid w:val="00E45619"/>
    <w:rsid w:val="00E4588F"/>
    <w:rsid w:val="00E46DA3"/>
    <w:rsid w:val="00E51BB1"/>
    <w:rsid w:val="00E55CB0"/>
    <w:rsid w:val="00E57026"/>
    <w:rsid w:val="00E624A5"/>
    <w:rsid w:val="00E64BA4"/>
    <w:rsid w:val="00E7344E"/>
    <w:rsid w:val="00E75294"/>
    <w:rsid w:val="00E82665"/>
    <w:rsid w:val="00E83512"/>
    <w:rsid w:val="00E846E7"/>
    <w:rsid w:val="00E908B2"/>
    <w:rsid w:val="00E93EAA"/>
    <w:rsid w:val="00EB0798"/>
    <w:rsid w:val="00EB36D6"/>
    <w:rsid w:val="00EB40AD"/>
    <w:rsid w:val="00EB586E"/>
    <w:rsid w:val="00EB5FC8"/>
    <w:rsid w:val="00EC463D"/>
    <w:rsid w:val="00EC5B93"/>
    <w:rsid w:val="00EC7A85"/>
    <w:rsid w:val="00ED2922"/>
    <w:rsid w:val="00ED3CAD"/>
    <w:rsid w:val="00ED5A41"/>
    <w:rsid w:val="00EE00F8"/>
    <w:rsid w:val="00EE1DE8"/>
    <w:rsid w:val="00EE27C2"/>
    <w:rsid w:val="00EE5045"/>
    <w:rsid w:val="00EE67E4"/>
    <w:rsid w:val="00EF4BAD"/>
    <w:rsid w:val="00EF59DC"/>
    <w:rsid w:val="00F033EC"/>
    <w:rsid w:val="00F0419F"/>
    <w:rsid w:val="00F04F68"/>
    <w:rsid w:val="00F1155F"/>
    <w:rsid w:val="00F12670"/>
    <w:rsid w:val="00F12F5E"/>
    <w:rsid w:val="00F13517"/>
    <w:rsid w:val="00F14B27"/>
    <w:rsid w:val="00F20BEA"/>
    <w:rsid w:val="00F25AFD"/>
    <w:rsid w:val="00F267D8"/>
    <w:rsid w:val="00F272D2"/>
    <w:rsid w:val="00F3148D"/>
    <w:rsid w:val="00F325C5"/>
    <w:rsid w:val="00F32FE0"/>
    <w:rsid w:val="00F35298"/>
    <w:rsid w:val="00F37923"/>
    <w:rsid w:val="00F47333"/>
    <w:rsid w:val="00F47E37"/>
    <w:rsid w:val="00F53C07"/>
    <w:rsid w:val="00F54B65"/>
    <w:rsid w:val="00F63DBF"/>
    <w:rsid w:val="00F640B6"/>
    <w:rsid w:val="00F66DF2"/>
    <w:rsid w:val="00F80E40"/>
    <w:rsid w:val="00F848D9"/>
    <w:rsid w:val="00F931CE"/>
    <w:rsid w:val="00FA4BBA"/>
    <w:rsid w:val="00FA5069"/>
    <w:rsid w:val="00FA5B82"/>
    <w:rsid w:val="00FA639E"/>
    <w:rsid w:val="00FC1FCA"/>
    <w:rsid w:val="00FC25E4"/>
    <w:rsid w:val="00FC4EF7"/>
    <w:rsid w:val="00FD0824"/>
    <w:rsid w:val="00FD119B"/>
    <w:rsid w:val="00FD1EDC"/>
    <w:rsid w:val="00FD52A9"/>
    <w:rsid w:val="00FD7F88"/>
    <w:rsid w:val="00FE1DEE"/>
    <w:rsid w:val="00FE7214"/>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4956A90"/>
  <w15:docId w15:val="{D06443FA-C686-4FD3-8620-C1DB4B654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paragraph" w:styleId="Heading9">
    <w:name w:val="heading 9"/>
    <w:basedOn w:val="Normal"/>
    <w:next w:val="Normal"/>
    <w:link w:val="Heading9Char"/>
    <w:uiPriority w:val="9"/>
    <w:unhideWhenUsed/>
    <w:qFormat/>
    <w:rsid w:val="003768A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customStyle="1" w:styleId="Default">
    <w:name w:val="Default"/>
    <w:rsid w:val="00484396"/>
    <w:pPr>
      <w:autoSpaceDE w:val="0"/>
      <w:autoSpaceDN w:val="0"/>
      <w:adjustRightInd w:val="0"/>
      <w:spacing w:after="0" w:line="240" w:lineRule="auto"/>
    </w:pPr>
    <w:rPr>
      <w:rFonts w:ascii="Cambria" w:hAnsi="Cambria" w:cs="Cambria"/>
      <w:color w:val="000000"/>
      <w:sz w:val="24"/>
      <w:szCs w:val="24"/>
    </w:rPr>
  </w:style>
  <w:style w:type="paragraph" w:customStyle="1" w:styleId="Standard">
    <w:name w:val="Standard"/>
    <w:link w:val="StandardChar"/>
    <w:qFormat/>
    <w:rsid w:val="003768A7"/>
    <w:pPr>
      <w:widowControl w:val="0"/>
      <w:spacing w:after="220" w:line="252" w:lineRule="auto"/>
    </w:pPr>
    <w:rPr>
      <w:rFonts w:ascii="Cambria" w:eastAsia="Times New Roman" w:hAnsi="Cambria" w:cs="Times New Roman"/>
      <w:kern w:val="16"/>
      <w:szCs w:val="24"/>
    </w:rPr>
  </w:style>
  <w:style w:type="character" w:customStyle="1" w:styleId="StandardChar">
    <w:name w:val="Standard Char"/>
    <w:basedOn w:val="DefaultParagraphFont"/>
    <w:link w:val="Standard"/>
    <w:rsid w:val="003768A7"/>
    <w:rPr>
      <w:rFonts w:ascii="Cambria" w:eastAsia="Times New Roman" w:hAnsi="Cambria" w:cs="Times New Roman"/>
      <w:kern w:val="16"/>
      <w:szCs w:val="24"/>
    </w:rPr>
  </w:style>
  <w:style w:type="paragraph" w:styleId="ListParagraph">
    <w:name w:val="List Paragraph"/>
    <w:basedOn w:val="Normal"/>
    <w:uiPriority w:val="34"/>
    <w:qFormat/>
    <w:rsid w:val="003768A7"/>
    <w:pPr>
      <w:spacing w:before="0" w:after="180" w:line="252" w:lineRule="auto"/>
      <w:ind w:left="720"/>
      <w:contextualSpacing/>
    </w:pPr>
    <w:rPr>
      <w:rFonts w:eastAsiaTheme="minorHAnsi"/>
      <w:kern w:val="2"/>
    </w:rPr>
  </w:style>
  <w:style w:type="character" w:customStyle="1" w:styleId="Heading9Char">
    <w:name w:val="Heading 9 Char"/>
    <w:basedOn w:val="DefaultParagraphFont"/>
    <w:link w:val="Heading9"/>
    <w:uiPriority w:val="9"/>
    <w:rsid w:val="003768A7"/>
    <w:rPr>
      <w:rFonts w:asciiTheme="majorHAnsi" w:eastAsiaTheme="majorEastAsia" w:hAnsiTheme="majorHAnsi" w:cstheme="majorBidi"/>
      <w:i/>
      <w:iCs/>
      <w:color w:val="272727" w:themeColor="text1" w:themeTint="D8"/>
      <w:sz w:val="21"/>
      <w:szCs w:val="21"/>
    </w:rPr>
  </w:style>
  <w:style w:type="paragraph" w:customStyle="1" w:styleId="FigureCaption">
    <w:name w:val="Figure Caption"/>
    <w:basedOn w:val="Normal"/>
    <w:qFormat/>
    <w:rsid w:val="003768A7"/>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3768A7"/>
    <w:pPr>
      <w:spacing w:after="240"/>
    </w:pPr>
    <w:rPr>
      <w:sz w:val="17"/>
    </w:rPr>
  </w:style>
  <w:style w:type="table" w:customStyle="1" w:styleId="TableTGA2">
    <w:name w:val="Table TGA 2"/>
    <w:basedOn w:val="TableNormal"/>
    <w:uiPriority w:val="99"/>
    <w:rsid w:val="003768A7"/>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3768A7"/>
    <w:pPr>
      <w:adjustRightInd w:val="0"/>
      <w:snapToGrid w:val="0"/>
      <w:spacing w:before="180" w:after="180"/>
    </w:pPr>
    <w:rPr>
      <w:rFonts w:eastAsia="MS Mincho"/>
      <w:b/>
      <w:szCs w:val="20"/>
      <w:lang w:eastAsia="ja-JP"/>
    </w:rPr>
  </w:style>
  <w:style w:type="paragraph" w:customStyle="1" w:styleId="Addressee">
    <w:name w:val="Addressee"/>
    <w:basedOn w:val="Normal"/>
    <w:qFormat/>
    <w:rsid w:val="003768A7"/>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3768A7"/>
    <w:rPr>
      <w:rFonts w:ascii="Arial" w:hAnsi="Arial"/>
      <w:color w:val="002C47"/>
      <w:sz w:val="14"/>
    </w:rPr>
  </w:style>
  <w:style w:type="paragraph" w:customStyle="1" w:styleId="BodyCopy">
    <w:name w:val="Body Copy"/>
    <w:basedOn w:val="Normal"/>
    <w:qFormat/>
    <w:rsid w:val="003768A7"/>
    <w:pPr>
      <w:adjustRightInd w:val="0"/>
      <w:snapToGrid w:val="0"/>
      <w:spacing w:before="180" w:after="180"/>
    </w:pPr>
    <w:rPr>
      <w:rFonts w:eastAsia="MS Mincho"/>
      <w:szCs w:val="20"/>
      <w:lang w:eastAsia="ja-JP"/>
    </w:rPr>
  </w:style>
  <w:style w:type="paragraph" w:customStyle="1" w:styleId="Bulletpoint">
    <w:name w:val="Bullet point"/>
    <w:basedOn w:val="Standard"/>
    <w:rsid w:val="003768A7"/>
    <w:pPr>
      <w:widowControl/>
      <w:numPr>
        <w:numId w:val="5"/>
      </w:numPr>
      <w:tabs>
        <w:tab w:val="clear" w:pos="369"/>
        <w:tab w:val="left" w:pos="397"/>
        <w:tab w:val="num" w:pos="511"/>
      </w:tabs>
      <w:spacing w:after="180"/>
      <w:ind w:left="0" w:firstLine="0"/>
    </w:pPr>
    <w:rPr>
      <w:snapToGrid w:val="0"/>
    </w:rPr>
  </w:style>
  <w:style w:type="paragraph" w:customStyle="1" w:styleId="PISubsection">
    <w:name w:val="PI Subsection"/>
    <w:basedOn w:val="Standard"/>
    <w:next w:val="Standard"/>
    <w:rsid w:val="003768A7"/>
    <w:pPr>
      <w:keepNext/>
      <w:widowControl/>
      <w:spacing w:after="120"/>
    </w:pPr>
    <w:rPr>
      <w:b/>
      <w:i/>
      <w:snapToGrid w:val="0"/>
      <w:kern w:val="2"/>
    </w:rPr>
  </w:style>
  <w:style w:type="paragraph" w:styleId="NormalWeb">
    <w:name w:val="Normal (Web)"/>
    <w:basedOn w:val="Normal"/>
    <w:uiPriority w:val="99"/>
    <w:unhideWhenUsed/>
    <w:rsid w:val="003768A7"/>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Comment1">
    <w:name w:val="Comment 1"/>
    <w:basedOn w:val="Normal"/>
    <w:next w:val="Normal"/>
    <w:qFormat/>
    <w:rsid w:val="003768A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8" w:hanging="1138"/>
    </w:pPr>
    <w:rPr>
      <w:rFonts w:ascii="Calibri" w:eastAsia="TimesNewRoman" w:hAnsi="Calibri" w:cs="Arial"/>
      <w:kern w:val="16"/>
      <w:szCs w:val="20"/>
      <w:lang w:eastAsia="en-AU"/>
    </w:rPr>
  </w:style>
  <w:style w:type="table" w:customStyle="1" w:styleId="TableTGAblue1">
    <w:name w:val="Table TGA blue1"/>
    <w:basedOn w:val="TableNormal"/>
    <w:uiPriority w:val="99"/>
    <w:qFormat/>
    <w:rsid w:val="003768A7"/>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character" w:styleId="Emphasis">
    <w:name w:val="Emphasis"/>
    <w:basedOn w:val="DefaultParagraphFont"/>
    <w:uiPriority w:val="20"/>
    <w:qFormat/>
    <w:rsid w:val="003768A7"/>
    <w:rPr>
      <w:b/>
      <w:bCs/>
      <w:i w:val="0"/>
      <w:iCs w:val="0"/>
    </w:rPr>
  </w:style>
  <w:style w:type="paragraph" w:customStyle="1" w:styleId="Bulletlist">
    <w:name w:val="Bullet list"/>
    <w:basedOn w:val="Standard"/>
    <w:link w:val="BulletlistChar"/>
    <w:qFormat/>
    <w:rsid w:val="003768A7"/>
    <w:pPr>
      <w:widowControl/>
      <w:numPr>
        <w:numId w:val="7"/>
      </w:numPr>
      <w:spacing w:after="180"/>
    </w:pPr>
    <w:rPr>
      <w:snapToGrid w:val="0"/>
      <w:kern w:val="2"/>
      <w:sz w:val="23"/>
    </w:rPr>
  </w:style>
  <w:style w:type="character" w:customStyle="1" w:styleId="BulletlistChar">
    <w:name w:val="Bullet list Char"/>
    <w:basedOn w:val="StandardChar"/>
    <w:link w:val="Bulletlist"/>
    <w:rsid w:val="003768A7"/>
    <w:rPr>
      <w:rFonts w:ascii="Cambria" w:eastAsia="Times New Roman" w:hAnsi="Cambria" w:cs="Times New Roman"/>
      <w:snapToGrid w:val="0"/>
      <w:kern w:val="2"/>
      <w:sz w:val="23"/>
      <w:szCs w:val="24"/>
    </w:rPr>
  </w:style>
  <w:style w:type="character" w:customStyle="1" w:styleId="TabletextChar">
    <w:name w:val="Table text Char"/>
    <w:basedOn w:val="DefaultParagraphFont"/>
    <w:link w:val="Tabletext"/>
    <w:rsid w:val="003768A7"/>
    <w:rPr>
      <w:rFonts w:ascii="Cambria" w:eastAsia="Cambria" w:hAnsi="Cambria" w:cs="Times New Roman"/>
      <w:sz w:val="19"/>
    </w:rPr>
  </w:style>
  <w:style w:type="character" w:customStyle="1" w:styleId="normaltextrun">
    <w:name w:val="normaltextrun"/>
    <w:basedOn w:val="DefaultParagraphFont"/>
    <w:rsid w:val="00DD6F86"/>
  </w:style>
  <w:style w:type="character" w:customStyle="1" w:styleId="eop">
    <w:name w:val="eop"/>
    <w:basedOn w:val="DefaultParagraphFont"/>
    <w:rsid w:val="00DD6F86"/>
  </w:style>
  <w:style w:type="character" w:styleId="UnresolvedMention">
    <w:name w:val="Unresolved Mention"/>
    <w:basedOn w:val="DefaultParagraphFont"/>
    <w:uiPriority w:val="99"/>
    <w:semiHidden/>
    <w:unhideWhenUsed/>
    <w:rsid w:val="00760F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613829213">
      <w:bodyDiv w:val="1"/>
      <w:marLeft w:val="0"/>
      <w:marRight w:val="0"/>
      <w:marTop w:val="0"/>
      <w:marBottom w:val="0"/>
      <w:divBdr>
        <w:top w:val="none" w:sz="0" w:space="0" w:color="auto"/>
        <w:left w:val="none" w:sz="0" w:space="0" w:color="auto"/>
        <w:bottom w:val="none" w:sz="0" w:space="0" w:color="auto"/>
        <w:right w:val="none" w:sz="0" w:space="0" w:color="auto"/>
      </w:divBdr>
    </w:div>
    <w:div w:id="941455376">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www.tga.gov.au/tgas-risk-management-approach"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www.tga.gov.au/picmi-search-facility" TargetMode="External"/><Relationship Id="rId47" Type="http://schemas.openxmlformats.org/officeDocument/2006/relationships/hyperlink" Target="mailto:info@tga.gov.au"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https://www.tga.gov.au/publication/risk-management-plans-medicines-and-biologicals"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tga.gov.au/priority-review-pathway-prescription-medicines"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www.tga.gov.au/committee/advisory-committee-medicines-ac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3.png"/><Relationship Id="rId45" Type="http://schemas.openxmlformats.org/officeDocument/2006/relationships/header" Target="header5.xml"/><Relationship Id="rId53"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4.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header" Target="header3.xml"/><Relationship Id="rId48" Type="http://schemas.openxmlformats.org/officeDocument/2006/relationships/hyperlink" Target="https://www.tga.gov.au" TargetMode="External"/><Relationship Id="rId8" Type="http://schemas.openxmlformats.org/officeDocument/2006/relationships/hyperlink" Target="https://www.tga.gov.au" TargetMode="External"/><Relationship Id="rId51" Type="http://schemas.openxmlformats.org/officeDocument/2006/relationships/footer" Target="foot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data.kirby.unsw.edu.au/hiv" TargetMode="External"/><Relationship Id="rId2" Type="http://schemas.openxmlformats.org/officeDocument/2006/relationships/hyperlink" Target="https://apps.who.int/iris/bitstream/handle/10665/197906/WHO_HIV_2015.48_eng.pdf?sequence=1&amp;isAllowed=y" TargetMode="External"/><Relationship Id="rId1" Type="http://schemas.openxmlformats.org/officeDocument/2006/relationships/hyperlink" Target="https://www.unaids.org/en/resources/documents/2021/2021_unaids_data" TargetMode="External"/><Relationship Id="rId6" Type="http://schemas.openxmlformats.org/officeDocument/2006/relationships/hyperlink" Target="https://www.tga.gov.au/resources/prescription-medicines-registrations/descovy-gilead-sciences-pty-ltd" TargetMode="External"/><Relationship Id="rId5" Type="http://schemas.openxmlformats.org/officeDocument/2006/relationships/hyperlink" Target="https://www.tga.gov.au/resources/auspar/auspar-tenofovir-disoproxil-fumarate-emtricitabine" TargetMode="External"/><Relationship Id="rId4" Type="http://schemas.openxmlformats.org/officeDocument/2006/relationships/hyperlink" Target="https://prepguidelines.com.au/wp-content/uploads/2021/11/ASHM-National-PrEP-Guideline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42A77-E740-4EC2-90A6-CD2961C1C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58</Pages>
  <Words>20855</Words>
  <Characters>117000</Characters>
  <Application>Microsoft Office Word</Application>
  <DocSecurity>0</DocSecurity>
  <Lines>2437</Lines>
  <Paragraphs>1094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136761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Apretude</dc:title>
  <dc:subject>prescription medicine regulation</dc:subject>
  <dc:creator>Therapeutic Goods Administration</dc:creator>
  <cp:keywords/>
  <cp:lastModifiedBy>PITKIN, Brendan</cp:lastModifiedBy>
  <cp:revision>43</cp:revision>
  <cp:lastPrinted>2019-08-14T04:30:00Z</cp:lastPrinted>
  <dcterms:created xsi:type="dcterms:W3CDTF">2022-11-18T02:15:00Z</dcterms:created>
  <dcterms:modified xsi:type="dcterms:W3CDTF">2022-12-08T00:26:00Z</dcterms:modified>
  <cp:category/>
</cp:coreProperties>
</file>