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A63B" w14:textId="77777777" w:rsidR="00471655" w:rsidRPr="009F38B8" w:rsidRDefault="00471655" w:rsidP="00471655">
      <w:pPr>
        <w:spacing w:after="0" w:line="240" w:lineRule="auto"/>
      </w:pPr>
      <w:r w:rsidRPr="009F38B8">
        <w:rPr>
          <w:rFonts w:ascii="Times New Roman" w:eastAsia="SimSun" w:hAnsi="Times New Roman" w:cs="Times New Roman"/>
          <w:sz w:val="40"/>
          <w:lang w:val="en-US"/>
        </w:rPr>
        <w:t>▼</w:t>
      </w:r>
      <w:r w:rsidR="00DD7017" w:rsidRPr="009F38B8">
        <w:t>This medicinal product is subject to additional monitoring in Australia. This will allow quick</w:t>
      </w:r>
      <w:r w:rsidRPr="009F38B8">
        <w:t xml:space="preserve"> </w:t>
      </w:r>
      <w:r w:rsidR="00DD7017" w:rsidRPr="009F38B8">
        <w:t>identification of new safety information. Healthcare professionals are asked to report any suspected</w:t>
      </w:r>
    </w:p>
    <w:p w14:paraId="7293FE12" w14:textId="77777777" w:rsidR="00DD7017" w:rsidRPr="009F38B8" w:rsidRDefault="00DD7017" w:rsidP="00471655">
      <w:pPr>
        <w:spacing w:after="0" w:line="240" w:lineRule="auto"/>
      </w:pPr>
      <w:r w:rsidRPr="009F38B8">
        <w:t>adverse events at www.tga.gov.au/reporting-problems.</w:t>
      </w:r>
    </w:p>
    <w:p w14:paraId="3286F42C" w14:textId="100CDC11" w:rsidR="00DF2FC4" w:rsidRPr="000B27CD" w:rsidRDefault="00DF2FC4" w:rsidP="00DF2FC4">
      <w:pPr>
        <w:pStyle w:val="Heading1"/>
        <w:numPr>
          <w:ilvl w:val="0"/>
          <w:numId w:val="0"/>
        </w:numPr>
        <w:jc w:val="center"/>
        <w:rPr>
          <w:rFonts w:eastAsia="SimSun"/>
        </w:rPr>
      </w:pPr>
      <w:r w:rsidRPr="000B27CD">
        <w:rPr>
          <w:rFonts w:eastAsia="SimSun"/>
        </w:rPr>
        <w:t>Australian Product information</w:t>
      </w:r>
      <w:r w:rsidR="00D772AB" w:rsidRPr="000B27CD">
        <w:rPr>
          <w:rFonts w:eastAsia="SimSun"/>
        </w:rPr>
        <w:fldChar w:fldCharType="begin"/>
      </w:r>
      <w:r w:rsidR="00D772AB" w:rsidRPr="000B27CD">
        <w:rPr>
          <w:rFonts w:eastAsia="SimSun"/>
        </w:rPr>
        <w:instrText xml:space="preserve"> DOCVARIABLE VAULT_ND_98ad5c3a-3540-40f9-802c-ef09bf054734 \* MERGEFORMAT </w:instrText>
      </w:r>
      <w:r w:rsidR="00D772AB" w:rsidRPr="000B27CD">
        <w:rPr>
          <w:rFonts w:eastAsia="SimSun"/>
        </w:rPr>
        <w:fldChar w:fldCharType="separate"/>
      </w:r>
      <w:r w:rsidR="00D772AB" w:rsidRPr="000B27CD">
        <w:rPr>
          <w:rFonts w:eastAsia="SimSun"/>
        </w:rPr>
        <w:t xml:space="preserve"> </w:t>
      </w:r>
      <w:r w:rsidR="00D772AB" w:rsidRPr="000B27CD">
        <w:rPr>
          <w:rFonts w:eastAsia="SimSun"/>
        </w:rPr>
        <w:fldChar w:fldCharType="end"/>
      </w:r>
    </w:p>
    <w:p w14:paraId="7E520ABB" w14:textId="53E677FF" w:rsidR="004032BD" w:rsidRPr="009F38B8" w:rsidRDefault="009E72A3" w:rsidP="00DF2FC4">
      <w:pPr>
        <w:pStyle w:val="Heading1"/>
        <w:numPr>
          <w:ilvl w:val="0"/>
          <w:numId w:val="0"/>
        </w:numPr>
        <w:jc w:val="center"/>
        <w:rPr>
          <w:rFonts w:eastAsia="SimSun"/>
        </w:rPr>
      </w:pPr>
      <w:r w:rsidRPr="009F38B8">
        <w:rPr>
          <w:rFonts w:eastAsia="SimSun"/>
        </w:rPr>
        <w:t>KOZEN</w:t>
      </w:r>
      <w:r w:rsidR="00D0041E" w:rsidRPr="009F38B8">
        <w:rPr>
          <w:rFonts w:eastAsia="SimSun"/>
        </w:rPr>
        <w:t>IS (Tafenoquine</w:t>
      </w:r>
      <w:r w:rsidR="004032BD" w:rsidRPr="009F38B8">
        <w:rPr>
          <w:rFonts w:eastAsia="SimSun"/>
        </w:rPr>
        <w:t>)</w:t>
      </w:r>
      <w:r w:rsidR="00D0041E" w:rsidRPr="009F38B8">
        <w:rPr>
          <w:rFonts w:eastAsia="SimSun"/>
        </w:rPr>
        <w:t xml:space="preserve"> Tablets</w:t>
      </w:r>
      <w:r w:rsidR="00923875">
        <w:rPr>
          <w:rFonts w:eastAsia="SimSun"/>
        </w:rPr>
        <w:t xml:space="preserve"> and dispersible tablets</w:t>
      </w:r>
      <w:r w:rsidR="00D772AB">
        <w:rPr>
          <w:rFonts w:eastAsia="SimSun"/>
        </w:rPr>
        <w:fldChar w:fldCharType="begin"/>
      </w:r>
      <w:r w:rsidR="00D772AB">
        <w:rPr>
          <w:rFonts w:eastAsia="SimSun"/>
        </w:rPr>
        <w:instrText xml:space="preserve"> DOCVARIABLE VAULT_ND_92f9d077-9475-4d5f-9d8c-ecb5e04c0e54 \* MERGEFORMAT </w:instrText>
      </w:r>
      <w:r w:rsidR="00D772AB">
        <w:rPr>
          <w:rFonts w:eastAsia="SimSun"/>
        </w:rPr>
        <w:fldChar w:fldCharType="separate"/>
      </w:r>
      <w:r w:rsidR="00D772AB">
        <w:rPr>
          <w:rFonts w:eastAsia="SimSun"/>
        </w:rPr>
        <w:t xml:space="preserve"> </w:t>
      </w:r>
      <w:r w:rsidR="00D772AB">
        <w:rPr>
          <w:rFonts w:eastAsia="SimSun"/>
        </w:rPr>
        <w:fldChar w:fldCharType="end"/>
      </w:r>
    </w:p>
    <w:p w14:paraId="2C72A477" w14:textId="77777777" w:rsidR="004032BD" w:rsidRPr="009F38B8" w:rsidRDefault="004032BD" w:rsidP="001A3992">
      <w:pPr>
        <w:spacing w:after="120"/>
      </w:pPr>
    </w:p>
    <w:p w14:paraId="451C3EE0" w14:textId="6D9A3394" w:rsidR="001A3992" w:rsidRPr="000B27CD" w:rsidRDefault="001A3992" w:rsidP="001A3992">
      <w:pPr>
        <w:pStyle w:val="Heading1"/>
        <w:spacing w:before="0" w:after="120"/>
      </w:pPr>
      <w:r w:rsidRPr="000B27CD">
        <w:t>Name of the medicine</w:t>
      </w:r>
      <w:fldSimple w:instr=" DOCVARIABLE VAULT_ND_f405ded0-f715-4c3e-acd6-98b52f658864 \* MERGEFORMAT ">
        <w:r w:rsidR="00D772AB" w:rsidRPr="000B27CD">
          <w:t xml:space="preserve"> </w:t>
        </w:r>
      </w:fldSimple>
    </w:p>
    <w:p w14:paraId="67A4E273" w14:textId="77777777" w:rsidR="00D0041E" w:rsidRPr="009F38B8" w:rsidRDefault="00D0041E" w:rsidP="00D0041E">
      <w:r w:rsidRPr="009F38B8">
        <w:t>Tafenoquine succinate</w:t>
      </w:r>
    </w:p>
    <w:p w14:paraId="3B905621" w14:textId="4F6C4BB3" w:rsidR="001A3992" w:rsidRPr="000B27CD" w:rsidRDefault="001A3992" w:rsidP="001A3992">
      <w:pPr>
        <w:pStyle w:val="Heading1"/>
        <w:spacing w:before="0" w:after="120"/>
      </w:pPr>
      <w:r w:rsidRPr="000B27CD">
        <w:t>Qualitative and quantitative composition</w:t>
      </w:r>
      <w:fldSimple w:instr=" DOCVARIABLE VAULT_ND_e2762da1-4388-46b2-878b-cb0823066347 \* MERGEFORMAT ">
        <w:r w:rsidR="00D772AB" w:rsidRPr="000B27CD">
          <w:t xml:space="preserve"> </w:t>
        </w:r>
      </w:fldSimple>
    </w:p>
    <w:p w14:paraId="0B3382EC" w14:textId="28B64771" w:rsidR="004C4937" w:rsidRPr="004C4937" w:rsidRDefault="00E37824" w:rsidP="00D0041E">
      <w:pPr>
        <w:rPr>
          <w:u w:val="single"/>
        </w:rPr>
      </w:pPr>
      <w:r>
        <w:rPr>
          <w:u w:val="single"/>
        </w:rPr>
        <w:t>150 mg f</w:t>
      </w:r>
      <w:r w:rsidR="004C4937" w:rsidRPr="004C4937">
        <w:rPr>
          <w:u w:val="single"/>
        </w:rPr>
        <w:t>ilm-coated tablets:</w:t>
      </w:r>
    </w:p>
    <w:p w14:paraId="2B450F99" w14:textId="7CCE2377" w:rsidR="007A1C00" w:rsidRPr="009F38B8" w:rsidRDefault="00D0041E" w:rsidP="00D0041E">
      <w:r w:rsidRPr="009F38B8">
        <w:t>Each tablet contains 188.2 mg of tafenoquine succinate (equivalent to 150 mg of tafenoquine)</w:t>
      </w:r>
      <w:r w:rsidR="007A1C00" w:rsidRPr="009F38B8">
        <w:t>.</w:t>
      </w:r>
    </w:p>
    <w:p w14:paraId="137431BB" w14:textId="4E9543F5" w:rsidR="00D0041E" w:rsidRDefault="007A1C00" w:rsidP="00D0041E">
      <w:r w:rsidRPr="009F38B8">
        <w:t>Each tablet also contains 162.8 mg of the excipient mannitol. For a full list of excipients, see Section 6.1</w:t>
      </w:r>
      <w:r w:rsidR="00FD6904">
        <w:t xml:space="preserve"> </w:t>
      </w:r>
      <w:r w:rsidR="00C14F9A">
        <w:t>LIST OF EXCIPIENTS</w:t>
      </w:r>
      <w:r w:rsidR="00FD6904">
        <w:t>.</w:t>
      </w:r>
    </w:p>
    <w:p w14:paraId="4F5CE405" w14:textId="73DF8BF2" w:rsidR="004C4937" w:rsidRPr="004C4937" w:rsidRDefault="00E37824" w:rsidP="00D0041E">
      <w:pPr>
        <w:rPr>
          <w:u w:val="single"/>
        </w:rPr>
      </w:pPr>
      <w:r>
        <w:rPr>
          <w:u w:val="single"/>
        </w:rPr>
        <w:t>50 mg f</w:t>
      </w:r>
      <w:r w:rsidR="004C4937" w:rsidRPr="004C4937">
        <w:rPr>
          <w:u w:val="single"/>
        </w:rPr>
        <w:t>ilm-coated dispersible tablets:</w:t>
      </w:r>
    </w:p>
    <w:p w14:paraId="05243204" w14:textId="55429754" w:rsidR="004C4937" w:rsidRDefault="004C4937" w:rsidP="00D0041E">
      <w:r>
        <w:t>Each dispersible tablet contains 62.74 mg of tafenoquine succinate (equivalent to 50 mg of tafenoquine).</w:t>
      </w:r>
    </w:p>
    <w:p w14:paraId="76B44309" w14:textId="12EEB165" w:rsidR="004C4937" w:rsidRPr="009F38B8" w:rsidRDefault="004C4937" w:rsidP="00D0041E">
      <w:r w:rsidRPr="009F38B8">
        <w:t>For a full list of excipients, see Section 6.1</w:t>
      </w:r>
      <w:r>
        <w:t xml:space="preserve"> LIST OF EXCIPIENTS.</w:t>
      </w:r>
    </w:p>
    <w:p w14:paraId="6BA4A1E8" w14:textId="15125EB5" w:rsidR="001A3992" w:rsidRPr="000B27CD" w:rsidRDefault="001A3992" w:rsidP="001A3992">
      <w:pPr>
        <w:pStyle w:val="Heading1"/>
        <w:spacing w:before="0" w:after="120"/>
      </w:pPr>
      <w:r w:rsidRPr="000B27CD">
        <w:t>Pharmaceutical form</w:t>
      </w:r>
      <w:fldSimple w:instr=" DOCVARIABLE VAULT_ND_7bd7b206-ff2b-4f65-9cf0-09a21ef57d1f \* MERGEFORMAT ">
        <w:r w:rsidR="00D772AB" w:rsidRPr="000B27CD">
          <w:t xml:space="preserve"> </w:t>
        </w:r>
      </w:fldSimple>
    </w:p>
    <w:p w14:paraId="25E42C5B" w14:textId="05F59EDB" w:rsidR="007A1C00" w:rsidRPr="00AC1C7C" w:rsidRDefault="00E37824" w:rsidP="007A1C00">
      <w:pPr>
        <w:rPr>
          <w:rFonts w:eastAsia="MS Mincho"/>
          <w:u w:val="single"/>
        </w:rPr>
      </w:pPr>
      <w:r>
        <w:rPr>
          <w:rFonts w:eastAsia="MS Mincho"/>
          <w:u w:val="single"/>
        </w:rPr>
        <w:t>150 mg f</w:t>
      </w:r>
      <w:r w:rsidR="007A1C00" w:rsidRPr="00AC1C7C">
        <w:rPr>
          <w:rFonts w:eastAsia="MS Mincho"/>
          <w:u w:val="single"/>
        </w:rPr>
        <w:t>ilm-coated tablets for oral administration</w:t>
      </w:r>
      <w:r w:rsidR="004C4937" w:rsidRPr="00AC1C7C">
        <w:rPr>
          <w:rFonts w:eastAsia="MS Mincho"/>
          <w:u w:val="single"/>
        </w:rPr>
        <w:t>:</w:t>
      </w:r>
    </w:p>
    <w:p w14:paraId="3D866844" w14:textId="78D36F95" w:rsidR="007A1C00" w:rsidRPr="00AC1C7C" w:rsidRDefault="007A1C00" w:rsidP="00AC1C7C">
      <w:r w:rsidRPr="00AC1C7C">
        <w:t>Pink</w:t>
      </w:r>
      <w:r w:rsidR="00556659" w:rsidRPr="00AC1C7C">
        <w:t>,</w:t>
      </w:r>
      <w:r w:rsidRPr="00AC1C7C">
        <w:t xml:space="preserve"> film-coated, capsule-shaped tablets, plain on one side and debossed with</w:t>
      </w:r>
      <w:r w:rsidRPr="00AC1C7C">
        <w:rPr>
          <w:rFonts w:hint="eastAsia"/>
        </w:rPr>
        <w:t xml:space="preserve"> </w:t>
      </w:r>
      <w:r w:rsidRPr="00AC1C7C">
        <w:t>‘GS J11’ on the other side.</w:t>
      </w:r>
    </w:p>
    <w:p w14:paraId="79D5A23B" w14:textId="3ADBE5DD" w:rsidR="004C4937" w:rsidRPr="00B77EB3" w:rsidRDefault="00E37824" w:rsidP="004C4937">
      <w:pPr>
        <w:rPr>
          <w:rFonts w:eastAsia="MS Mincho"/>
          <w:u w:val="single"/>
        </w:rPr>
      </w:pPr>
      <w:r>
        <w:rPr>
          <w:rFonts w:eastAsia="MS Mincho"/>
          <w:u w:val="single"/>
        </w:rPr>
        <w:t>50 mg f</w:t>
      </w:r>
      <w:r w:rsidR="004C4937" w:rsidRPr="00B77EB3">
        <w:rPr>
          <w:rFonts w:eastAsia="MS Mincho"/>
          <w:u w:val="single"/>
        </w:rPr>
        <w:t>ilm-coated</w:t>
      </w:r>
      <w:r w:rsidR="004C4937">
        <w:rPr>
          <w:rFonts w:eastAsia="MS Mincho"/>
          <w:u w:val="single"/>
        </w:rPr>
        <w:t xml:space="preserve"> dispersible</w:t>
      </w:r>
      <w:r w:rsidR="004C4937" w:rsidRPr="00B77EB3">
        <w:rPr>
          <w:rFonts w:eastAsia="MS Mincho"/>
          <w:u w:val="single"/>
        </w:rPr>
        <w:t xml:space="preserve"> tablets for oral administration:</w:t>
      </w:r>
    </w:p>
    <w:p w14:paraId="626C8FCD" w14:textId="4F61204C" w:rsidR="004C4937" w:rsidRPr="009F38B8" w:rsidRDefault="004C4937" w:rsidP="007A1C00">
      <w:pPr>
        <w:autoSpaceDE w:val="0"/>
        <w:autoSpaceDN w:val="0"/>
        <w:adjustRightInd w:val="0"/>
        <w:spacing w:after="0" w:line="240" w:lineRule="auto"/>
        <w:rPr>
          <w:rFonts w:eastAsia="MS Mincho"/>
        </w:rPr>
      </w:pPr>
      <w:r>
        <w:rPr>
          <w:rFonts w:eastAsia="MS Mincho"/>
        </w:rPr>
        <w:t>Yellow, film-coated, round-shaped dispersible tablets, plain on one side and debossed with “GS INC” on the other side.</w:t>
      </w:r>
    </w:p>
    <w:p w14:paraId="685ABDEF" w14:textId="77777777" w:rsidR="007A1C00" w:rsidRPr="009F38B8" w:rsidRDefault="007A1C00" w:rsidP="007A1C00">
      <w:pPr>
        <w:autoSpaceDE w:val="0"/>
        <w:autoSpaceDN w:val="0"/>
        <w:adjustRightInd w:val="0"/>
        <w:spacing w:after="0" w:line="240" w:lineRule="auto"/>
        <w:rPr>
          <w:rFonts w:eastAsia="MS Mincho"/>
        </w:rPr>
      </w:pPr>
    </w:p>
    <w:p w14:paraId="7C3573BB" w14:textId="7263CF92" w:rsidR="001A3992" w:rsidRPr="000B27CD" w:rsidRDefault="001A3992" w:rsidP="00881B3E">
      <w:pPr>
        <w:pStyle w:val="Heading1"/>
        <w:pageBreakBefore/>
        <w:spacing w:before="0" w:after="120"/>
        <w:ind w:left="431" w:hanging="431"/>
      </w:pPr>
      <w:r w:rsidRPr="000B27CD">
        <w:lastRenderedPageBreak/>
        <w:t>Clinical particulars</w:t>
      </w:r>
      <w:fldSimple w:instr=" DOCVARIABLE VAULT_ND_d60e4653-a55d-4b2b-8de6-936f1aa4568d \* MERGEFORMAT ">
        <w:r w:rsidR="00D772AB" w:rsidRPr="000B27CD">
          <w:t xml:space="preserve"> </w:t>
        </w:r>
      </w:fldSimple>
    </w:p>
    <w:p w14:paraId="29A5BB14" w14:textId="17B16D42" w:rsidR="001A3992" w:rsidRPr="00E90F5C" w:rsidRDefault="001A3992" w:rsidP="001A3992">
      <w:pPr>
        <w:pStyle w:val="Heading2"/>
        <w:spacing w:before="0" w:after="120"/>
        <w:rPr>
          <w:i/>
        </w:rPr>
      </w:pPr>
      <w:r w:rsidRPr="009F38B8">
        <w:t>Therapeutic indications</w:t>
      </w:r>
      <w:fldSimple w:instr=" DOCVARIABLE vault_nd_4c74b237-6def-4389-9fd9-5bd602949260 \* MERGEFORMAT ">
        <w:r w:rsidR="00D772AB">
          <w:t xml:space="preserve"> </w:t>
        </w:r>
      </w:fldSimple>
    </w:p>
    <w:p w14:paraId="5606C8B4" w14:textId="2244F40B" w:rsidR="007A1C00" w:rsidRPr="009F38B8" w:rsidRDefault="007A1C00" w:rsidP="007A1C00">
      <w:bookmarkStart w:id="0" w:name="_Toc157906084"/>
      <w:bookmarkStart w:id="1" w:name="_Hlk96435632"/>
      <w:r w:rsidRPr="00E90F5C">
        <w:t>Tafenoquine is indicated</w:t>
      </w:r>
      <w:r w:rsidR="00072EB9">
        <w:t>, in combination with chloroquine,</w:t>
      </w:r>
      <w:r w:rsidRPr="00E90F5C">
        <w:t xml:space="preserve"> for the radical cure (prevention of relapse) of</w:t>
      </w:r>
      <w:r w:rsidRPr="009F38B8">
        <w:t xml:space="preserve"> </w:t>
      </w:r>
      <w:r w:rsidRPr="00E90F5C">
        <w:rPr>
          <w:i/>
        </w:rPr>
        <w:t>Plasmodium vivax</w:t>
      </w:r>
      <w:r w:rsidRPr="009F38B8">
        <w:t xml:space="preserve"> </w:t>
      </w:r>
      <w:r w:rsidR="00FB2B68" w:rsidRPr="009F38B8">
        <w:t>(</w:t>
      </w:r>
      <w:r w:rsidR="00FB2B68" w:rsidRPr="00E90F5C">
        <w:rPr>
          <w:i/>
        </w:rPr>
        <w:t>P. vivax</w:t>
      </w:r>
      <w:r w:rsidR="00FB2B68" w:rsidRPr="009F38B8">
        <w:t xml:space="preserve">) </w:t>
      </w:r>
      <w:r w:rsidRPr="009F38B8">
        <w:t>malaria</w:t>
      </w:r>
      <w:r w:rsidR="00FD6904">
        <w:t xml:space="preserve"> (see S</w:t>
      </w:r>
      <w:r w:rsidR="00A17825" w:rsidRPr="009F38B8">
        <w:t xml:space="preserve">ection 4.2 </w:t>
      </w:r>
      <w:r w:rsidR="00A17825" w:rsidRPr="00FD6904">
        <w:rPr>
          <w:caps/>
        </w:rPr>
        <w:t>Dose and method of administration</w:t>
      </w:r>
      <w:r w:rsidR="00A17825" w:rsidRPr="009F38B8">
        <w:t>).</w:t>
      </w:r>
      <w:bookmarkEnd w:id="0"/>
    </w:p>
    <w:bookmarkEnd w:id="1"/>
    <w:p w14:paraId="5D4E8472" w14:textId="2709F6C0" w:rsidR="001A3992" w:rsidRPr="009F38B8" w:rsidRDefault="001A3992" w:rsidP="00E37824">
      <w:pPr>
        <w:pStyle w:val="Heading2"/>
        <w:keepNext/>
        <w:spacing w:before="0" w:after="120"/>
      </w:pPr>
      <w:r w:rsidRPr="009F38B8">
        <w:t>Dose and method of administration</w:t>
      </w:r>
      <w:fldSimple w:instr=" DOCVARIABLE vault_nd_df3e3765-d7c7-46fb-bb3d-7812547eddd7 \* MERGEFORMAT ">
        <w:r w:rsidR="00D772AB">
          <w:t xml:space="preserve"> </w:t>
        </w:r>
      </w:fldSimple>
    </w:p>
    <w:p w14:paraId="283BE833" w14:textId="77777777" w:rsidR="007A1C00" w:rsidRPr="009F38B8" w:rsidRDefault="007A1C00" w:rsidP="00E37824">
      <w:pPr>
        <w:keepNext/>
      </w:pPr>
      <w:r w:rsidRPr="009F38B8">
        <w:t xml:space="preserve">All patients must be tested for glucose-6-phosphate dehydrogenase (G6PD) deficiency prior to prescribing tafenoquine (see </w:t>
      </w:r>
      <w:r w:rsidR="00FD6904">
        <w:t>S</w:t>
      </w:r>
      <w:r w:rsidR="00921974" w:rsidRPr="009F38B8">
        <w:t xml:space="preserve">ection 4.3 </w:t>
      </w:r>
      <w:r w:rsidR="00921974" w:rsidRPr="00FD6904">
        <w:rPr>
          <w:caps/>
        </w:rPr>
        <w:t>Contraindications</w:t>
      </w:r>
      <w:r w:rsidR="00FD6904">
        <w:t xml:space="preserve"> and S</w:t>
      </w:r>
      <w:r w:rsidR="00921974" w:rsidRPr="009F38B8">
        <w:t xml:space="preserve">ection 4.4 </w:t>
      </w:r>
      <w:r w:rsidR="00921974" w:rsidRPr="00FD6904">
        <w:rPr>
          <w:caps/>
        </w:rPr>
        <w:t>Special warnings and precautions for use</w:t>
      </w:r>
      <w:r w:rsidRPr="009F38B8">
        <w:t>).</w:t>
      </w:r>
    </w:p>
    <w:p w14:paraId="1D47BDC1" w14:textId="75DAA23E" w:rsidR="003E78B5" w:rsidRPr="009F38B8" w:rsidRDefault="003E78B5" w:rsidP="003E78B5">
      <w:r w:rsidRPr="00FD6904">
        <w:t xml:space="preserve">Pregnancy should be excluded prior to the use of tafenoquine in females of </w:t>
      </w:r>
      <w:proofErr w:type="gramStart"/>
      <w:r w:rsidRPr="00FD6904">
        <w:t>child bearing</w:t>
      </w:r>
      <w:proofErr w:type="gramEnd"/>
      <w:r w:rsidRPr="00FD6904">
        <w:t xml:space="preserve"> potential (see </w:t>
      </w:r>
      <w:r w:rsidR="00FD6904">
        <w:t>S</w:t>
      </w:r>
      <w:r w:rsidRPr="00FD6904">
        <w:t xml:space="preserve">ection 4.3 </w:t>
      </w:r>
      <w:r w:rsidRPr="00FD6904">
        <w:rPr>
          <w:caps/>
        </w:rPr>
        <w:t>Contraindications</w:t>
      </w:r>
      <w:r w:rsidRPr="00FD6904">
        <w:t xml:space="preserve"> and </w:t>
      </w:r>
      <w:r w:rsidR="00FD6904">
        <w:t>S</w:t>
      </w:r>
      <w:r w:rsidRPr="00FD6904">
        <w:t xml:space="preserve">ection 4.6 </w:t>
      </w:r>
      <w:r w:rsidRPr="00FD6904">
        <w:rPr>
          <w:caps/>
        </w:rPr>
        <w:t>Fertility, pregnancy and lactation</w:t>
      </w:r>
      <w:r w:rsidRPr="00FD6904">
        <w:t>).</w:t>
      </w:r>
    </w:p>
    <w:p w14:paraId="644744B1" w14:textId="1C328444" w:rsidR="007A1C00" w:rsidRPr="009F38B8" w:rsidRDefault="00C01697" w:rsidP="007A1C00">
      <w:r w:rsidRPr="009F38B8">
        <w:t xml:space="preserve">Do not break or crush the </w:t>
      </w:r>
      <w:r w:rsidR="00CF1010">
        <w:t xml:space="preserve">150 mg </w:t>
      </w:r>
      <w:r w:rsidRPr="009F38B8">
        <w:t>tablets</w:t>
      </w:r>
      <w:r w:rsidR="00CF1010">
        <w:t xml:space="preserve"> or 50 mg dispersible tablets</w:t>
      </w:r>
      <w:r w:rsidRPr="009F38B8">
        <w:t>.</w:t>
      </w:r>
      <w:r w:rsidR="00E44E04" w:rsidRPr="009F38B8">
        <w:t xml:space="preserve"> </w:t>
      </w:r>
      <w:r w:rsidR="007A1C00" w:rsidRPr="009F38B8">
        <w:t>Tafenoquine should be taken with food to inc</w:t>
      </w:r>
      <w:r w:rsidR="0019154D" w:rsidRPr="009F38B8">
        <w:t xml:space="preserve">rease systemic absorption </w:t>
      </w:r>
      <w:r w:rsidR="007A1C00" w:rsidRPr="009F38B8">
        <w:t>(see</w:t>
      </w:r>
      <w:r w:rsidR="00FD6904">
        <w:t xml:space="preserve"> S</w:t>
      </w:r>
      <w:r w:rsidR="00921974" w:rsidRPr="009F38B8">
        <w:t xml:space="preserve">ection 5.2 </w:t>
      </w:r>
      <w:r w:rsidR="00B92803" w:rsidRPr="009F38B8">
        <w:t>PHARMACOKINETIC PROPERTIES</w:t>
      </w:r>
      <w:r w:rsidR="007A1C00" w:rsidRPr="009F38B8">
        <w:t>).</w:t>
      </w:r>
      <w:r w:rsidR="00E44E04" w:rsidRPr="009F38B8">
        <w:t xml:space="preserve"> </w:t>
      </w:r>
      <w:r w:rsidR="007A1C00" w:rsidRPr="009F38B8">
        <w:t xml:space="preserve">In the event of vomiting within 60 minutes after dosing, a repeat dose should be given. </w:t>
      </w:r>
      <w:r w:rsidR="00B92803">
        <w:t xml:space="preserve">Paediatric patients should be monitored for vomiting (or for spitting out their dose) (See Section 4.8 ADVERSE EFFECTS (UNDESIRABLE EFFECTS)). </w:t>
      </w:r>
      <w:r w:rsidR="007A1C00" w:rsidRPr="009F38B8">
        <w:t>Re-dosing should not be attempted more than once</w:t>
      </w:r>
      <w:r w:rsidR="00B92803">
        <w:t xml:space="preserve"> and is not recommended if vomiting occurs 60 minutes or longer after initial dosing</w:t>
      </w:r>
      <w:r w:rsidR="007A1C00" w:rsidRPr="009F38B8">
        <w:t>.</w:t>
      </w:r>
    </w:p>
    <w:p w14:paraId="1D232141" w14:textId="77777777" w:rsidR="003E78B5" w:rsidRPr="009F38B8" w:rsidRDefault="00676D8C" w:rsidP="003E78B5">
      <w:r w:rsidRPr="009F38B8">
        <w:t>Tafenoquine should be co-administered with chloroquine on the first or second day of the three days</w:t>
      </w:r>
      <w:r w:rsidR="00D1427B" w:rsidRPr="009F38B8">
        <w:t xml:space="preserve"> chloroquine administration </w:t>
      </w:r>
      <w:r w:rsidR="003E78B5" w:rsidRPr="00FD6904">
        <w:t xml:space="preserve">for the treatment of acute </w:t>
      </w:r>
      <w:proofErr w:type="spellStart"/>
      <w:proofErr w:type="gramStart"/>
      <w:r w:rsidR="003E78B5" w:rsidRPr="00E90F5C">
        <w:rPr>
          <w:i/>
        </w:rPr>
        <w:t>P.vivax</w:t>
      </w:r>
      <w:proofErr w:type="spellEnd"/>
      <w:proofErr w:type="gramEnd"/>
      <w:r w:rsidR="003E78B5" w:rsidRPr="00FD6904">
        <w:t xml:space="preserve"> malaria.</w:t>
      </w:r>
    </w:p>
    <w:p w14:paraId="393C5402" w14:textId="789B5D80" w:rsidR="007A1C00" w:rsidRPr="009F38B8" w:rsidRDefault="003E78B5" w:rsidP="007A1C00">
      <w:r w:rsidRPr="00FD6904">
        <w:t xml:space="preserve">Tafenoquine is NOT indicated for the treatment of acute </w:t>
      </w:r>
      <w:r w:rsidRPr="00E90F5C">
        <w:rPr>
          <w:i/>
        </w:rPr>
        <w:t>P. vivax</w:t>
      </w:r>
      <w:r w:rsidRPr="00FD6904">
        <w:t xml:space="preserve"> malaria. </w:t>
      </w:r>
      <w:r w:rsidR="00E44E04" w:rsidRPr="009F38B8">
        <w:t>Consideration should be given to official guidance on the appropriate use of antimalarial medicinal products in areas where chloroquine is not recommended.</w:t>
      </w:r>
    </w:p>
    <w:p w14:paraId="5D1D61A5" w14:textId="77777777" w:rsidR="00A5255E" w:rsidRDefault="00A5255E" w:rsidP="007A1C00">
      <w:r w:rsidRPr="00A5255E">
        <w:t xml:space="preserve">Concomitant use of tafenoquine with </w:t>
      </w:r>
      <w:proofErr w:type="spellStart"/>
      <w:r w:rsidRPr="00A5255E">
        <w:t>dihydroartemisinin</w:t>
      </w:r>
      <w:proofErr w:type="spellEnd"/>
      <w:r w:rsidRPr="00A5255E">
        <w:t>-piperaquine is not recommended (see Section 5.1 PHARMACODYNAMIC PROPERTIES, Clinical trials). The efficacy and safety of tafenoquine with antimalarials other than chloroquine have not been established.</w:t>
      </w:r>
    </w:p>
    <w:p w14:paraId="058575AB" w14:textId="5B9E25CF" w:rsidR="00E44E04" w:rsidRPr="009F38B8" w:rsidRDefault="00E44E04" w:rsidP="007A1C00">
      <w:r w:rsidRPr="009F38B8">
        <w:t xml:space="preserve">There are no data regarding the subsequent re-treatment of recurrent </w:t>
      </w:r>
      <w:r w:rsidRPr="009F38B8">
        <w:rPr>
          <w:i/>
        </w:rPr>
        <w:t>P. vivax</w:t>
      </w:r>
      <w:r w:rsidRPr="009F38B8">
        <w:t xml:space="preserve"> infection with tafenoquine following initial dosing.</w:t>
      </w:r>
    </w:p>
    <w:p w14:paraId="6BFFC6F5" w14:textId="11768A43" w:rsidR="00D45F6D" w:rsidRPr="009F38B8" w:rsidRDefault="00D45F6D" w:rsidP="008F39C6">
      <w:pPr>
        <w:pStyle w:val="Heading3"/>
        <w:ind w:left="0"/>
        <w:rPr>
          <w:snapToGrid w:val="0"/>
          <w:lang w:val="en-US"/>
        </w:rPr>
      </w:pPr>
      <w:r w:rsidRPr="009F38B8">
        <w:rPr>
          <w:snapToGrid w:val="0"/>
          <w:lang w:val="en-US"/>
        </w:rPr>
        <w:t>Populations</w:t>
      </w:r>
      <w:r w:rsidR="00D772AB">
        <w:rPr>
          <w:snapToGrid w:val="0"/>
          <w:lang w:val="en-US"/>
        </w:rPr>
        <w:fldChar w:fldCharType="begin"/>
      </w:r>
      <w:r w:rsidR="00D772AB">
        <w:rPr>
          <w:snapToGrid w:val="0"/>
          <w:lang w:val="en-US"/>
        </w:rPr>
        <w:instrText xml:space="preserve"> DOCVARIABLE vault_nd_815d9df0-79f3-4b73-96e7-dbda6b472556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4E809ACA" w14:textId="0E61A946" w:rsidR="00D45F6D" w:rsidRPr="00923875" w:rsidRDefault="00D45F6D" w:rsidP="008F39C6">
      <w:pPr>
        <w:pStyle w:val="Heading3"/>
        <w:ind w:left="0"/>
        <w:rPr>
          <w:rFonts w:ascii="Times New Roman" w:hAnsi="Times New Roman"/>
        </w:rPr>
      </w:pPr>
      <w:r w:rsidRPr="00923875">
        <w:t>Adults</w:t>
      </w:r>
      <w:r w:rsidR="00EF5A04" w:rsidRPr="00923875">
        <w:t xml:space="preserve">, </w:t>
      </w:r>
      <w:proofErr w:type="gramStart"/>
      <w:r w:rsidRPr="00923875">
        <w:t>Adolescents</w:t>
      </w:r>
      <w:proofErr w:type="gramEnd"/>
      <w:r w:rsidRPr="00923875">
        <w:t xml:space="preserve"> </w:t>
      </w:r>
      <w:r w:rsidR="00EF5A04" w:rsidRPr="00923875">
        <w:t>and children weighing greater than 35 kg</w:t>
      </w:r>
      <w:fldSimple w:instr=" DOCVARIABLE vault_nd_d6cbd976-449c-45fe-a807-ab5b7f069b35 \* MERGEFORMAT ">
        <w:r w:rsidR="00D772AB">
          <w:t xml:space="preserve"> </w:t>
        </w:r>
      </w:fldSimple>
    </w:p>
    <w:p w14:paraId="36BF25E7" w14:textId="53A7972E" w:rsidR="00D45F6D" w:rsidRPr="009F38B8" w:rsidRDefault="00D45F6D" w:rsidP="00D45F6D">
      <w:r w:rsidRPr="009F38B8">
        <w:t>A single 300 mg dose (two 150</w:t>
      </w:r>
      <w:r w:rsidR="00EF5A04">
        <w:t xml:space="preserve"> </w:t>
      </w:r>
      <w:r w:rsidRPr="009F38B8">
        <w:t>mg tafenoquine tablets</w:t>
      </w:r>
      <w:r w:rsidR="00376B82" w:rsidRPr="009F38B8">
        <w:t>)</w:t>
      </w:r>
      <w:r w:rsidRPr="009F38B8">
        <w:t xml:space="preserve"> </w:t>
      </w:r>
      <w:r w:rsidR="00376B82" w:rsidRPr="009F38B8">
        <w:t>is</w:t>
      </w:r>
      <w:r w:rsidRPr="009F38B8">
        <w:t xml:space="preserve"> recommended</w:t>
      </w:r>
      <w:r w:rsidR="00A17825" w:rsidRPr="009F38B8">
        <w:t xml:space="preserve"> to be given on Day 1 or Day 2 of</w:t>
      </w:r>
      <w:r w:rsidR="00A17825" w:rsidRPr="00FD6904">
        <w:t xml:space="preserve"> </w:t>
      </w:r>
      <w:r w:rsidR="002D31B0" w:rsidRPr="00FD6904">
        <w:t xml:space="preserve">the </w:t>
      </w:r>
      <w:proofErr w:type="gramStart"/>
      <w:r w:rsidR="002D31B0" w:rsidRPr="00FD6904">
        <w:t>3 day</w:t>
      </w:r>
      <w:proofErr w:type="gramEnd"/>
      <w:r w:rsidR="002D31B0" w:rsidRPr="00FD6904">
        <w:t xml:space="preserve"> course of chloroquine</w:t>
      </w:r>
      <w:r w:rsidR="002D31B0" w:rsidRPr="009F38B8">
        <w:t xml:space="preserve"> </w:t>
      </w:r>
      <w:r w:rsidR="00FD6904">
        <w:t>(see S</w:t>
      </w:r>
      <w:r w:rsidR="00A17825" w:rsidRPr="009F38B8">
        <w:t xml:space="preserve">ection 5.1 </w:t>
      </w:r>
      <w:r w:rsidR="00A17825" w:rsidRPr="00FD6904">
        <w:rPr>
          <w:caps/>
        </w:rPr>
        <w:t>Pharmacodynamic properties</w:t>
      </w:r>
      <w:r w:rsidR="00A17825" w:rsidRPr="009F38B8">
        <w:t>).</w:t>
      </w:r>
    </w:p>
    <w:p w14:paraId="5E1DE5AF" w14:textId="5D2C586B" w:rsidR="00D45F6D" w:rsidRPr="009F38B8" w:rsidRDefault="00D45F6D" w:rsidP="008F39C6">
      <w:pPr>
        <w:pStyle w:val="Heading3"/>
        <w:ind w:left="0"/>
        <w:rPr>
          <w:snapToGrid w:val="0"/>
          <w:lang w:val="en-US"/>
        </w:rPr>
      </w:pPr>
      <w:r w:rsidRPr="009F38B8">
        <w:rPr>
          <w:snapToGrid w:val="0"/>
          <w:lang w:val="en-US"/>
        </w:rPr>
        <w:lastRenderedPageBreak/>
        <w:t>Adolescents</w:t>
      </w:r>
      <w:r w:rsidR="00E11234">
        <w:rPr>
          <w:snapToGrid w:val="0"/>
          <w:lang w:val="en-US"/>
        </w:rPr>
        <w:t xml:space="preserve"> and </w:t>
      </w:r>
      <w:r w:rsidR="00EF5A04">
        <w:rPr>
          <w:snapToGrid w:val="0"/>
          <w:lang w:val="en-US"/>
        </w:rPr>
        <w:t>children</w:t>
      </w:r>
      <w:r w:rsidR="00E11234">
        <w:rPr>
          <w:snapToGrid w:val="0"/>
          <w:lang w:val="en-US"/>
        </w:rPr>
        <w:t xml:space="preserve"> (≥2 years of age)</w:t>
      </w:r>
      <w:r w:rsidR="00EF5A04">
        <w:rPr>
          <w:snapToGrid w:val="0"/>
          <w:lang w:val="en-US"/>
        </w:rPr>
        <w:t xml:space="preserve"> </w:t>
      </w:r>
      <w:r w:rsidR="00A91E38">
        <w:rPr>
          <w:snapToGrid w:val="0"/>
          <w:lang w:val="en-US"/>
        </w:rPr>
        <w:t xml:space="preserve">weighing </w:t>
      </w:r>
      <w:r w:rsidR="00E11234">
        <w:rPr>
          <w:snapToGrid w:val="0"/>
          <w:lang w:val="en-US"/>
        </w:rPr>
        <w:t>&gt;10</w:t>
      </w:r>
      <w:r w:rsidR="00A91E38">
        <w:rPr>
          <w:snapToGrid w:val="0"/>
          <w:lang w:val="en-US"/>
        </w:rPr>
        <w:t xml:space="preserve"> kg </w:t>
      </w:r>
      <w:r w:rsidR="00E11234">
        <w:rPr>
          <w:snapToGrid w:val="0"/>
          <w:lang w:val="en-US"/>
        </w:rPr>
        <w:t>and</w:t>
      </w:r>
      <w:r w:rsidR="00A91E38">
        <w:rPr>
          <w:snapToGrid w:val="0"/>
          <w:lang w:val="en-US"/>
        </w:rPr>
        <w:t xml:space="preserve"> </w:t>
      </w:r>
      <w:r w:rsidR="00E11234">
        <w:rPr>
          <w:snapToGrid w:val="0"/>
          <w:lang w:val="en-US"/>
        </w:rPr>
        <w:t>≤</w:t>
      </w:r>
      <w:r w:rsidR="00A91E38">
        <w:rPr>
          <w:snapToGrid w:val="0"/>
          <w:lang w:val="en-US"/>
        </w:rPr>
        <w:t>35 kg</w:t>
      </w:r>
      <w:r w:rsidR="00D772AB">
        <w:rPr>
          <w:snapToGrid w:val="0"/>
          <w:lang w:val="en-US"/>
        </w:rPr>
        <w:fldChar w:fldCharType="begin"/>
      </w:r>
      <w:r w:rsidR="00D772AB">
        <w:rPr>
          <w:snapToGrid w:val="0"/>
          <w:lang w:val="en-US"/>
        </w:rPr>
        <w:instrText xml:space="preserve"> DOCVARIABLE vault_nd_add96210-93f6-46b0-8db2-45eae0c06aa6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3C015174" w14:textId="3DBC489C" w:rsidR="00D45F6D" w:rsidRDefault="00C37E2B" w:rsidP="00E15C35">
      <w:r>
        <w:t xml:space="preserve"> </w:t>
      </w:r>
      <w:r w:rsidR="00EF5A04">
        <w:t>The recommended dose of tafenoquine dispersible tablets is determined according to weight and is presented in Table 1.</w:t>
      </w:r>
    </w:p>
    <w:p w14:paraId="47A0C58C" w14:textId="4BCB2F53" w:rsidR="00EF5A04" w:rsidRDefault="00EF5A04" w:rsidP="00E37824">
      <w:pPr>
        <w:keepNext/>
        <w:keepLines/>
        <w:spacing w:after="0"/>
        <w:rPr>
          <w:b/>
          <w:szCs w:val="24"/>
        </w:rPr>
      </w:pPr>
      <w:r w:rsidRPr="009F38B8">
        <w:rPr>
          <w:b/>
          <w:szCs w:val="24"/>
        </w:rPr>
        <w:t xml:space="preserve">Table 1. </w:t>
      </w:r>
      <w:r>
        <w:rPr>
          <w:b/>
          <w:szCs w:val="24"/>
        </w:rPr>
        <w:t xml:space="preserve">Dispersible tablet dose recommendations for patients </w:t>
      </w:r>
      <w:r w:rsidR="00E11234" w:rsidRPr="00E11234">
        <w:rPr>
          <w:b/>
          <w:szCs w:val="24"/>
        </w:rPr>
        <w:t xml:space="preserve">≥2 years </w:t>
      </w:r>
      <w:r w:rsidR="00E11234">
        <w:rPr>
          <w:b/>
          <w:szCs w:val="24"/>
        </w:rPr>
        <w:t xml:space="preserve">of age </w:t>
      </w:r>
      <w:r w:rsidR="00E11234" w:rsidRPr="00E11234">
        <w:rPr>
          <w:b/>
          <w:szCs w:val="24"/>
        </w:rPr>
        <w:t xml:space="preserve">and </w:t>
      </w:r>
      <w:r>
        <w:rPr>
          <w:b/>
          <w:szCs w:val="24"/>
        </w:rPr>
        <w:t xml:space="preserve">weighing </w:t>
      </w:r>
      <w:r w:rsidR="00E11234">
        <w:rPr>
          <w:b/>
          <w:szCs w:val="24"/>
        </w:rPr>
        <w:t>&gt;10</w:t>
      </w:r>
      <w:r>
        <w:rPr>
          <w:b/>
          <w:szCs w:val="24"/>
        </w:rPr>
        <w:t xml:space="preserve"> kg to </w:t>
      </w:r>
      <w:r w:rsidR="00E11234" w:rsidRPr="00E11234">
        <w:rPr>
          <w:b/>
          <w:szCs w:val="24"/>
        </w:rPr>
        <w:t xml:space="preserve">≤ </w:t>
      </w:r>
      <w:r>
        <w:rPr>
          <w:b/>
          <w:szCs w:val="24"/>
        </w:rPr>
        <w:t>35 kg</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3330"/>
      </w:tblGrid>
      <w:tr w:rsidR="00EF5A04" w:rsidRPr="00D56FD9" w14:paraId="51C1AD9F" w14:textId="77777777" w:rsidTr="003C7D65">
        <w:tc>
          <w:tcPr>
            <w:tcW w:w="2070" w:type="dxa"/>
          </w:tcPr>
          <w:p w14:paraId="4D4AF5DB" w14:textId="77777777" w:rsidR="00EF5A04" w:rsidRPr="007C2D14" w:rsidRDefault="00EF5A04" w:rsidP="00E37824">
            <w:pPr>
              <w:keepNext/>
              <w:keepLines/>
              <w:rPr>
                <w:b/>
                <w:bCs/>
                <w:lang w:val="en-US"/>
              </w:rPr>
            </w:pPr>
            <w:bookmarkStart w:id="2" w:name="_Hlk45102179"/>
            <w:r w:rsidRPr="007C2D14">
              <w:rPr>
                <w:b/>
                <w:bCs/>
                <w:lang w:val="en-US"/>
              </w:rPr>
              <w:t>Body Weight (kg)</w:t>
            </w:r>
          </w:p>
        </w:tc>
        <w:tc>
          <w:tcPr>
            <w:tcW w:w="2070" w:type="dxa"/>
            <w:shd w:val="clear" w:color="auto" w:fill="auto"/>
          </w:tcPr>
          <w:p w14:paraId="4FC6B58A" w14:textId="4CE37199" w:rsidR="00EF5A04" w:rsidRPr="007C2D14" w:rsidRDefault="00EF5A04" w:rsidP="00E37824">
            <w:pPr>
              <w:keepNext/>
              <w:keepLines/>
              <w:rPr>
                <w:b/>
                <w:bCs/>
                <w:lang w:val="en-US"/>
              </w:rPr>
            </w:pPr>
            <w:r w:rsidRPr="007C2D14">
              <w:rPr>
                <w:b/>
                <w:bCs/>
                <w:lang w:val="en-US"/>
              </w:rPr>
              <w:t>Total Dose</w:t>
            </w:r>
            <w:r w:rsidR="00072EB9">
              <w:rPr>
                <w:b/>
                <w:bCs/>
                <w:lang w:val="en-US"/>
              </w:rPr>
              <w:t>*</w:t>
            </w:r>
          </w:p>
        </w:tc>
        <w:tc>
          <w:tcPr>
            <w:tcW w:w="3330" w:type="dxa"/>
          </w:tcPr>
          <w:p w14:paraId="152F46F4" w14:textId="77777777" w:rsidR="00EF5A04" w:rsidRPr="007C2D14" w:rsidRDefault="00EF5A04" w:rsidP="00E37824">
            <w:pPr>
              <w:keepNext/>
              <w:keepLines/>
              <w:rPr>
                <w:b/>
                <w:bCs/>
                <w:lang w:val="en-US"/>
              </w:rPr>
            </w:pPr>
            <w:r w:rsidRPr="007C2D14">
              <w:rPr>
                <w:b/>
                <w:bCs/>
                <w:lang w:val="en-US"/>
              </w:rPr>
              <w:t>Number of Tablets</w:t>
            </w:r>
          </w:p>
        </w:tc>
      </w:tr>
      <w:tr w:rsidR="00EF5A04" w:rsidRPr="00D56FD9" w14:paraId="1FCD546D" w14:textId="77777777" w:rsidTr="003C7D65">
        <w:tc>
          <w:tcPr>
            <w:tcW w:w="2070" w:type="dxa"/>
          </w:tcPr>
          <w:p w14:paraId="02E83465" w14:textId="2911A849" w:rsidR="00EF5A04" w:rsidRPr="00AC1C7C" w:rsidRDefault="00EF5A04" w:rsidP="00E37824">
            <w:pPr>
              <w:keepNext/>
              <w:keepLines/>
              <w:rPr>
                <w:b/>
                <w:lang w:val="en-US"/>
              </w:rPr>
            </w:pPr>
            <w:r w:rsidRPr="00AC1C7C">
              <w:rPr>
                <w:lang w:val="en-US"/>
              </w:rPr>
              <w:t>&gt;</w:t>
            </w:r>
            <w:r>
              <w:rPr>
                <w:lang w:val="en-US"/>
              </w:rPr>
              <w:t xml:space="preserve"> </w:t>
            </w:r>
            <w:r w:rsidRPr="00AC1C7C">
              <w:rPr>
                <w:lang w:val="en-US"/>
              </w:rPr>
              <w:t>10 to ≤</w:t>
            </w:r>
            <w:r>
              <w:rPr>
                <w:lang w:val="en-US"/>
              </w:rPr>
              <w:t xml:space="preserve"> </w:t>
            </w:r>
            <w:r w:rsidRPr="00AC1C7C">
              <w:rPr>
                <w:lang w:val="en-US"/>
              </w:rPr>
              <w:t>20</w:t>
            </w:r>
          </w:p>
        </w:tc>
        <w:tc>
          <w:tcPr>
            <w:tcW w:w="2070" w:type="dxa"/>
            <w:shd w:val="clear" w:color="auto" w:fill="auto"/>
          </w:tcPr>
          <w:p w14:paraId="212EC3E9" w14:textId="77777777" w:rsidR="00EF5A04" w:rsidRPr="00D56FD9" w:rsidRDefault="00EF5A04" w:rsidP="00E37824">
            <w:pPr>
              <w:keepNext/>
              <w:keepLines/>
              <w:rPr>
                <w:lang w:val="en-US"/>
              </w:rPr>
            </w:pPr>
            <w:r>
              <w:rPr>
                <w:lang w:val="en-US"/>
              </w:rPr>
              <w:t xml:space="preserve">100 mg </w:t>
            </w:r>
          </w:p>
        </w:tc>
        <w:tc>
          <w:tcPr>
            <w:tcW w:w="3330" w:type="dxa"/>
          </w:tcPr>
          <w:p w14:paraId="1A1E847C" w14:textId="77777777" w:rsidR="00EF5A04" w:rsidRDefault="00EF5A04" w:rsidP="00E37824">
            <w:pPr>
              <w:keepNext/>
              <w:keepLines/>
              <w:rPr>
                <w:lang w:val="en-US"/>
              </w:rPr>
            </w:pPr>
            <w:r>
              <w:rPr>
                <w:lang w:val="en-US"/>
              </w:rPr>
              <w:t>Two 50 mg dispersible tablets</w:t>
            </w:r>
          </w:p>
        </w:tc>
      </w:tr>
      <w:tr w:rsidR="00EF5A04" w:rsidRPr="00D56FD9" w14:paraId="506900CE" w14:textId="77777777" w:rsidTr="003C7D65">
        <w:tc>
          <w:tcPr>
            <w:tcW w:w="2070" w:type="dxa"/>
          </w:tcPr>
          <w:p w14:paraId="232CA919" w14:textId="536AD703" w:rsidR="00EF5A04" w:rsidRPr="00AC1C7C" w:rsidRDefault="00EF5A04" w:rsidP="00E37824">
            <w:pPr>
              <w:keepNext/>
              <w:keepLines/>
              <w:rPr>
                <w:b/>
                <w:lang w:val="en-US"/>
              </w:rPr>
            </w:pPr>
            <w:r w:rsidRPr="00AC1C7C">
              <w:rPr>
                <w:lang w:val="en-US"/>
              </w:rPr>
              <w:t>&gt;</w:t>
            </w:r>
            <w:r>
              <w:rPr>
                <w:lang w:val="en-US"/>
              </w:rPr>
              <w:t xml:space="preserve"> </w:t>
            </w:r>
            <w:r w:rsidRPr="00AC1C7C">
              <w:rPr>
                <w:lang w:val="en-US"/>
              </w:rPr>
              <w:t>20 to ≤</w:t>
            </w:r>
            <w:r>
              <w:rPr>
                <w:lang w:val="en-US"/>
              </w:rPr>
              <w:t xml:space="preserve"> </w:t>
            </w:r>
            <w:r w:rsidRPr="00AC1C7C">
              <w:rPr>
                <w:lang w:val="en-US"/>
              </w:rPr>
              <w:t>35</w:t>
            </w:r>
          </w:p>
        </w:tc>
        <w:tc>
          <w:tcPr>
            <w:tcW w:w="2070" w:type="dxa"/>
            <w:shd w:val="clear" w:color="auto" w:fill="auto"/>
          </w:tcPr>
          <w:p w14:paraId="035FF336" w14:textId="77777777" w:rsidR="00EF5A04" w:rsidRPr="00D56FD9" w:rsidRDefault="00EF5A04" w:rsidP="00E37824">
            <w:pPr>
              <w:keepNext/>
              <w:keepLines/>
              <w:rPr>
                <w:lang w:val="en-US"/>
              </w:rPr>
            </w:pPr>
            <w:r>
              <w:rPr>
                <w:lang w:val="en-US"/>
              </w:rPr>
              <w:t xml:space="preserve">200 mg </w:t>
            </w:r>
          </w:p>
        </w:tc>
        <w:tc>
          <w:tcPr>
            <w:tcW w:w="3330" w:type="dxa"/>
          </w:tcPr>
          <w:p w14:paraId="13020AE7" w14:textId="77777777" w:rsidR="00EF5A04" w:rsidRDefault="00EF5A04" w:rsidP="00E37824">
            <w:pPr>
              <w:keepNext/>
              <w:keepLines/>
              <w:rPr>
                <w:lang w:val="en-US"/>
              </w:rPr>
            </w:pPr>
            <w:r>
              <w:rPr>
                <w:lang w:val="en-US"/>
              </w:rPr>
              <w:t>Four 50 mg dispersible tablets</w:t>
            </w:r>
          </w:p>
        </w:tc>
      </w:tr>
    </w:tbl>
    <w:bookmarkEnd w:id="2"/>
    <w:p w14:paraId="38C2DF9C" w14:textId="024D074D" w:rsidR="00EF5A04" w:rsidRPr="00DF2070" w:rsidRDefault="00072EB9" w:rsidP="00DF2070">
      <w:pPr>
        <w:keepNext/>
        <w:keepLines/>
        <w:rPr>
          <w:bCs/>
          <w:sz w:val="18"/>
          <w:szCs w:val="18"/>
        </w:rPr>
      </w:pPr>
      <w:r w:rsidRPr="00DF2070">
        <w:rPr>
          <w:bCs/>
          <w:sz w:val="18"/>
          <w:szCs w:val="18"/>
        </w:rPr>
        <w:t>*Single dose to be taken on Day 1 or Day 2 of the 3-day course of chloroquine</w:t>
      </w:r>
    </w:p>
    <w:p w14:paraId="10A29526" w14:textId="0F98A453" w:rsidR="00EF5A04" w:rsidRDefault="00EF5A04" w:rsidP="00E15C35">
      <w:r>
        <w:t xml:space="preserve">The </w:t>
      </w:r>
      <w:r w:rsidR="00DF2070">
        <w:t xml:space="preserve">50 mg dispersible </w:t>
      </w:r>
      <w:r>
        <w:t xml:space="preserve">tablet(s) should be fully </w:t>
      </w:r>
      <w:r w:rsidR="00DF2070">
        <w:t>dissolved</w:t>
      </w:r>
      <w:r>
        <w:t xml:space="preserve"> before swallowing. Only water should be used for </w:t>
      </w:r>
      <w:r w:rsidR="00DF2070">
        <w:t>dissolution</w:t>
      </w:r>
      <w:r>
        <w:t xml:space="preserve">. The amount of water for </w:t>
      </w:r>
      <w:r w:rsidR="00DF2070">
        <w:t>dissolution</w:t>
      </w:r>
      <w:r>
        <w:t xml:space="preserve"> will depend on the number of tablets prescribed (See the Instructions for Use leaflet</w:t>
      </w:r>
      <w:r w:rsidR="00CF1010">
        <w:t xml:space="preserve"> </w:t>
      </w:r>
      <w:r w:rsidR="001B614C">
        <w:t xml:space="preserve">in the 50 mg dispersible tablet packaging </w:t>
      </w:r>
      <w:r w:rsidR="00CF1010">
        <w:t>for complete administration instructions with illustrations</w:t>
      </w:r>
      <w:r>
        <w:t>).</w:t>
      </w:r>
      <w:r w:rsidR="000B3544">
        <w:t xml:space="preserve"> Read the Instructions for Use before starting the therapy.</w:t>
      </w:r>
      <w:r w:rsidR="00E508D6">
        <w:t xml:space="preserve"> </w:t>
      </w:r>
    </w:p>
    <w:p w14:paraId="7E9C7C8F" w14:textId="3DA1DC2A" w:rsidR="00DF2070" w:rsidRPr="00DF2070" w:rsidRDefault="00DF2070" w:rsidP="00DF2070">
      <w:pPr>
        <w:rPr>
          <w:lang w:val="en-GB"/>
        </w:rPr>
      </w:pPr>
      <w:r w:rsidRPr="00DF2070">
        <w:rPr>
          <w:lang w:val="en-GB"/>
        </w:rPr>
        <w:t>The dose recommendations in Table 1 above are based on pharmacokinetic modelling. The doses across the body-weight bands were selected to achieve plasma drug levels comparable to those in adults &amp; adolescents at the approved clinical dose</w:t>
      </w:r>
      <w:r w:rsidR="006F1913">
        <w:rPr>
          <w:lang w:val="en-GB"/>
        </w:rPr>
        <w:t xml:space="preserve"> (see Section 5.1 PHARMACODYNAMIC PROPERTIES, Clinical Trials)</w:t>
      </w:r>
      <w:r w:rsidRPr="00DF2070">
        <w:rPr>
          <w:lang w:val="en-GB"/>
        </w:rPr>
        <w:t>.</w:t>
      </w:r>
    </w:p>
    <w:p w14:paraId="1E0E9C53" w14:textId="5CC9D65E" w:rsidR="00DF2070" w:rsidRPr="00DF2070" w:rsidRDefault="00DF2070" w:rsidP="00DF2070">
      <w:pPr>
        <w:pStyle w:val="Heading3"/>
        <w:ind w:left="0"/>
        <w:rPr>
          <w:snapToGrid w:val="0"/>
          <w:lang w:val="en-US"/>
        </w:rPr>
      </w:pPr>
      <w:r w:rsidRPr="00DF2070">
        <w:rPr>
          <w:snapToGrid w:val="0"/>
          <w:lang w:val="en-US"/>
        </w:rPr>
        <w:t xml:space="preserve">Children </w:t>
      </w:r>
      <w:r w:rsidR="0040686B">
        <w:rPr>
          <w:snapToGrid w:val="0"/>
          <w:lang w:val="en-US"/>
        </w:rPr>
        <w:t xml:space="preserve">less than </w:t>
      </w:r>
      <w:r w:rsidR="006F1913">
        <w:rPr>
          <w:snapToGrid w:val="0"/>
          <w:lang w:val="en-US"/>
        </w:rPr>
        <w:t xml:space="preserve">2 years </w:t>
      </w:r>
      <w:r w:rsidRPr="00DF2070">
        <w:rPr>
          <w:snapToGrid w:val="0"/>
          <w:lang w:val="en-US"/>
        </w:rPr>
        <w:t>of age</w:t>
      </w:r>
      <w:r w:rsidR="006F1913">
        <w:rPr>
          <w:snapToGrid w:val="0"/>
          <w:lang w:val="en-US"/>
        </w:rPr>
        <w:t xml:space="preserve"> </w:t>
      </w:r>
      <w:r w:rsidR="000B27CD">
        <w:rPr>
          <w:snapToGrid w:val="0"/>
          <w:lang w:val="en-US"/>
        </w:rPr>
        <w:fldChar w:fldCharType="begin"/>
      </w:r>
      <w:r w:rsidR="000B27CD">
        <w:rPr>
          <w:snapToGrid w:val="0"/>
          <w:lang w:val="en-US"/>
        </w:rPr>
        <w:instrText xml:space="preserve"> DOCVARIABLE vault_nd_ad126125-cfbc-4061-80e7-829389b66d46 \* MERGEFORMAT </w:instrText>
      </w:r>
      <w:r w:rsidR="000B27CD">
        <w:rPr>
          <w:snapToGrid w:val="0"/>
          <w:lang w:val="en-US"/>
        </w:rPr>
        <w:fldChar w:fldCharType="separate"/>
      </w:r>
      <w:r w:rsidR="000B27CD">
        <w:rPr>
          <w:snapToGrid w:val="0"/>
          <w:lang w:val="en-US"/>
        </w:rPr>
        <w:t xml:space="preserve"> </w:t>
      </w:r>
      <w:r w:rsidR="000B27CD">
        <w:rPr>
          <w:snapToGrid w:val="0"/>
          <w:lang w:val="en-US"/>
        </w:rPr>
        <w:fldChar w:fldCharType="end"/>
      </w:r>
    </w:p>
    <w:p w14:paraId="733D5DE8" w14:textId="0E7E35D5" w:rsidR="00DF2070" w:rsidRPr="00AC1C7C" w:rsidRDefault="00DF2070" w:rsidP="00E15C35">
      <w:r w:rsidRPr="00DF2070">
        <w:t xml:space="preserve">The </w:t>
      </w:r>
      <w:r>
        <w:t>use</w:t>
      </w:r>
      <w:r w:rsidRPr="00DF2070">
        <w:t xml:space="preserve"> of tafenoquine in children </w:t>
      </w:r>
      <w:r w:rsidR="006F1913">
        <w:t>&lt; 2 years</w:t>
      </w:r>
      <w:r w:rsidRPr="00DF2070">
        <w:t xml:space="preserve"> of age</w:t>
      </w:r>
      <w:r>
        <w:t xml:space="preserve"> </w:t>
      </w:r>
      <w:r w:rsidRPr="00DF2070">
        <w:rPr>
          <w:lang w:val="en-GB"/>
        </w:rPr>
        <w:t>is not recommended as the safety and efficacy of tafenoquine have not been established in this age group</w:t>
      </w:r>
      <w:r>
        <w:rPr>
          <w:lang w:val="en-GB"/>
        </w:rPr>
        <w:t>.</w:t>
      </w:r>
    </w:p>
    <w:p w14:paraId="199E91AE" w14:textId="58A69523" w:rsidR="00D45F6D" w:rsidRPr="009F38B8" w:rsidRDefault="00D45F6D" w:rsidP="008F39C6">
      <w:pPr>
        <w:pStyle w:val="Heading3"/>
        <w:ind w:left="0"/>
        <w:rPr>
          <w:snapToGrid w:val="0"/>
          <w:lang w:val="en-US"/>
        </w:rPr>
      </w:pPr>
      <w:r w:rsidRPr="009F38B8">
        <w:rPr>
          <w:snapToGrid w:val="0"/>
          <w:lang w:val="en-US"/>
        </w:rPr>
        <w:t>Elderly (65 years or older)</w:t>
      </w:r>
      <w:r w:rsidR="00D772AB">
        <w:rPr>
          <w:snapToGrid w:val="0"/>
          <w:lang w:val="en-US"/>
        </w:rPr>
        <w:fldChar w:fldCharType="begin"/>
      </w:r>
      <w:r w:rsidR="00D772AB">
        <w:rPr>
          <w:snapToGrid w:val="0"/>
          <w:lang w:val="en-US"/>
        </w:rPr>
        <w:instrText xml:space="preserve"> DOCVARIABLE vault_nd_99c54035-bf37-410b-a391-cd1dc0d14094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73477F13" w14:textId="77777777" w:rsidR="00D45F6D" w:rsidRPr="009F38B8" w:rsidRDefault="00D45F6D" w:rsidP="00D45F6D">
      <w:r w:rsidRPr="009F38B8">
        <w:t xml:space="preserve">There are limited data available on the use of tafenoquine </w:t>
      </w:r>
      <w:r w:rsidR="0019154D" w:rsidRPr="009F38B8">
        <w:t>in patients aged 65 years and old</w:t>
      </w:r>
      <w:r w:rsidRPr="009F38B8">
        <w:t xml:space="preserve">er.  However, there is no evidence that elderly patients require a different dose than younger adult patients </w:t>
      </w:r>
      <w:r w:rsidR="00FD6904">
        <w:t>(see S</w:t>
      </w:r>
      <w:r w:rsidR="00921974" w:rsidRPr="009F38B8">
        <w:t xml:space="preserve">ection 5.2 </w:t>
      </w:r>
      <w:r w:rsidR="00921974" w:rsidRPr="00FD6904">
        <w:rPr>
          <w:caps/>
        </w:rPr>
        <w:t>Pharmacokinetic properties</w:t>
      </w:r>
      <w:r w:rsidR="00921974" w:rsidRPr="009F38B8">
        <w:t>).</w:t>
      </w:r>
    </w:p>
    <w:p w14:paraId="18E2E4F4" w14:textId="246C6DA9" w:rsidR="00D45F6D" w:rsidRPr="009F38B8" w:rsidRDefault="00D45F6D" w:rsidP="008F39C6">
      <w:pPr>
        <w:pStyle w:val="Heading3"/>
        <w:ind w:left="0"/>
        <w:rPr>
          <w:snapToGrid w:val="0"/>
          <w:lang w:val="en-US"/>
        </w:rPr>
      </w:pPr>
      <w:r w:rsidRPr="009F38B8">
        <w:rPr>
          <w:snapToGrid w:val="0"/>
          <w:lang w:val="en-US"/>
        </w:rPr>
        <w:t>Renal Impairment</w:t>
      </w:r>
      <w:r w:rsidR="00D772AB">
        <w:rPr>
          <w:snapToGrid w:val="0"/>
          <w:lang w:val="en-US"/>
        </w:rPr>
        <w:fldChar w:fldCharType="begin"/>
      </w:r>
      <w:r w:rsidR="00D772AB">
        <w:rPr>
          <w:snapToGrid w:val="0"/>
          <w:lang w:val="en-US"/>
        </w:rPr>
        <w:instrText xml:space="preserve"> DOCVARIABLE vault_nd_e69998da-defd-4ff9-9e95-535614aa2932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53763197" w14:textId="77777777" w:rsidR="00D45F6D" w:rsidRPr="009F38B8" w:rsidRDefault="00D45F6D" w:rsidP="00D45F6D">
      <w:r w:rsidRPr="009F38B8">
        <w:t>Tafenoquine has not been studied in patients with renal impairment. Dose adjustments in patients with renal impairment are unlikely to be required as tafenoquine is administered as a single one-time dose.</w:t>
      </w:r>
    </w:p>
    <w:p w14:paraId="78595C99" w14:textId="643E41E8" w:rsidR="00D45F6D" w:rsidRPr="009F38B8" w:rsidRDefault="00D45F6D" w:rsidP="008F39C6">
      <w:pPr>
        <w:pStyle w:val="Heading3"/>
        <w:ind w:left="0"/>
        <w:rPr>
          <w:snapToGrid w:val="0"/>
          <w:lang w:val="en-US"/>
        </w:rPr>
      </w:pPr>
      <w:r w:rsidRPr="009F38B8">
        <w:rPr>
          <w:snapToGrid w:val="0"/>
          <w:lang w:val="en-US"/>
        </w:rPr>
        <w:t>Hepatic Impairment</w:t>
      </w:r>
      <w:r w:rsidR="00D772AB">
        <w:rPr>
          <w:snapToGrid w:val="0"/>
          <w:lang w:val="en-US"/>
        </w:rPr>
        <w:fldChar w:fldCharType="begin"/>
      </w:r>
      <w:r w:rsidR="00D772AB">
        <w:rPr>
          <w:snapToGrid w:val="0"/>
          <w:lang w:val="en-US"/>
        </w:rPr>
        <w:instrText xml:space="preserve"> DOCVARIABLE vault_nd_1a488528-80af-4e5a-a02c-c9b02ba732ab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17424542" w14:textId="77777777" w:rsidR="007A1C00" w:rsidRPr="00FD6904" w:rsidRDefault="00D45F6D" w:rsidP="00E15C35">
      <w:pPr>
        <w:autoSpaceDE w:val="0"/>
        <w:autoSpaceDN w:val="0"/>
        <w:adjustRightInd w:val="0"/>
        <w:rPr>
          <w:iCs/>
        </w:rPr>
      </w:pPr>
      <w:r w:rsidRPr="009F38B8">
        <w:rPr>
          <w:bCs/>
        </w:rPr>
        <w:t xml:space="preserve">Tafenoquine has not been studied in patients with hepatic impairment. </w:t>
      </w:r>
      <w:r w:rsidRPr="009F38B8">
        <w:t>Dose adjustments in patients with hepatic impairment are unlikely to be required</w:t>
      </w:r>
      <w:r w:rsidRPr="009F38B8">
        <w:rPr>
          <w:iCs/>
        </w:rPr>
        <w:t xml:space="preserve"> </w:t>
      </w:r>
      <w:r w:rsidRPr="009F38B8">
        <w:t>as tafenoquine is administered as a single one-time dose</w:t>
      </w:r>
      <w:r w:rsidRPr="00FD6904">
        <w:rPr>
          <w:iCs/>
        </w:rPr>
        <w:t>.</w:t>
      </w:r>
    </w:p>
    <w:p w14:paraId="6467A933" w14:textId="3AA34AF1" w:rsidR="001A3992" w:rsidRPr="009F38B8" w:rsidRDefault="001A3992" w:rsidP="00881B3E">
      <w:pPr>
        <w:pStyle w:val="Heading2"/>
        <w:pageBreakBefore/>
        <w:spacing w:before="0" w:after="120"/>
      </w:pPr>
      <w:r w:rsidRPr="009F38B8">
        <w:lastRenderedPageBreak/>
        <w:t>Contraindications</w:t>
      </w:r>
      <w:fldSimple w:instr=" DOCVARIABLE vault_nd_ea581085-72f7-4376-a9c6-086625d19624 \* MERGEFORMAT ">
        <w:r w:rsidR="00D772AB">
          <w:t xml:space="preserve"> </w:t>
        </w:r>
      </w:fldSimple>
    </w:p>
    <w:p w14:paraId="77D2FA84" w14:textId="77777777" w:rsidR="00D45F6D" w:rsidRPr="00E90F5C" w:rsidRDefault="00D45F6D" w:rsidP="00FB2B68">
      <w:pPr>
        <w:rPr>
          <w:rFonts w:cstheme="minorHAnsi"/>
        </w:rPr>
      </w:pPr>
      <w:r w:rsidRPr="00E90F5C">
        <w:rPr>
          <w:rFonts w:cstheme="minorHAnsi"/>
        </w:rPr>
        <w:t>Tafenoquine is contraindicated in the following:</w:t>
      </w:r>
    </w:p>
    <w:p w14:paraId="73E196DB" w14:textId="6E166E5B" w:rsidR="00FB2B68"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G6PD deficiency</w:t>
      </w:r>
      <w:r w:rsidR="00FD6904" w:rsidRPr="00E90F5C">
        <w:rPr>
          <w:rFonts w:asciiTheme="minorHAnsi" w:hAnsiTheme="minorHAnsi" w:cstheme="minorHAnsi"/>
        </w:rPr>
        <w:t xml:space="preserve"> </w:t>
      </w:r>
      <w:r w:rsidR="00476DA7" w:rsidRPr="001B1FBE">
        <w:rPr>
          <w:rFonts w:asciiTheme="minorHAnsi" w:hAnsiTheme="minorHAnsi" w:cstheme="minorHAnsi"/>
        </w:rPr>
        <w:t>or unknown G6PD status</w:t>
      </w:r>
      <w:r w:rsidR="00476DA7" w:rsidRPr="00E90F5C">
        <w:rPr>
          <w:rFonts w:asciiTheme="minorHAnsi" w:hAnsiTheme="minorHAnsi" w:cstheme="minorHAnsi"/>
        </w:rPr>
        <w:t xml:space="preserve"> </w:t>
      </w:r>
      <w:r w:rsidR="00DF7B72">
        <w:rPr>
          <w:rFonts w:asciiTheme="minorHAnsi" w:hAnsiTheme="minorHAnsi" w:cstheme="minorHAnsi"/>
        </w:rPr>
        <w:t>due to the risk of haemolytic anaemia</w:t>
      </w:r>
      <w:r w:rsidR="00DF7B72" w:rsidRPr="00E90F5C">
        <w:rPr>
          <w:rFonts w:asciiTheme="minorHAnsi" w:hAnsiTheme="minorHAnsi" w:cstheme="minorHAnsi"/>
        </w:rPr>
        <w:t xml:space="preserve"> </w:t>
      </w:r>
      <w:r w:rsidR="00FD6904" w:rsidRPr="00E90F5C">
        <w:rPr>
          <w:rFonts w:asciiTheme="minorHAnsi" w:hAnsiTheme="minorHAnsi" w:cstheme="minorHAnsi"/>
        </w:rPr>
        <w:t>(see S</w:t>
      </w:r>
      <w:r w:rsidR="00E15C35" w:rsidRPr="00E90F5C">
        <w:rPr>
          <w:rFonts w:asciiTheme="minorHAnsi" w:hAnsiTheme="minorHAnsi" w:cstheme="minorHAnsi"/>
        </w:rPr>
        <w:t xml:space="preserve">ection 4.4 </w:t>
      </w:r>
      <w:r w:rsidR="00E15C35" w:rsidRPr="00E90F5C">
        <w:rPr>
          <w:rFonts w:asciiTheme="minorHAnsi" w:hAnsiTheme="minorHAnsi" w:cstheme="minorHAnsi"/>
          <w:caps/>
        </w:rPr>
        <w:t>Special warnings and precautions for use</w:t>
      </w:r>
      <w:r w:rsidR="00E15C35" w:rsidRPr="00E90F5C">
        <w:rPr>
          <w:rFonts w:asciiTheme="minorHAnsi" w:hAnsiTheme="minorHAnsi" w:cstheme="minorHAnsi"/>
        </w:rPr>
        <w:t>).</w:t>
      </w:r>
    </w:p>
    <w:p w14:paraId="306547F8" w14:textId="77777777" w:rsidR="00FB2B68"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Pregnancy (see</w:t>
      </w:r>
      <w:r w:rsidR="00FD6904" w:rsidRPr="00E90F5C">
        <w:rPr>
          <w:rFonts w:asciiTheme="minorHAnsi" w:hAnsiTheme="minorHAnsi" w:cstheme="minorHAnsi"/>
        </w:rPr>
        <w:t xml:space="preserve"> S</w:t>
      </w:r>
      <w:r w:rsidR="00E15C35" w:rsidRPr="00E90F5C">
        <w:rPr>
          <w:rFonts w:asciiTheme="minorHAnsi" w:hAnsiTheme="minorHAnsi" w:cstheme="minorHAnsi"/>
        </w:rPr>
        <w:t xml:space="preserve">ection 4.6 </w:t>
      </w:r>
      <w:r w:rsidR="00E15C35" w:rsidRPr="00E90F5C">
        <w:rPr>
          <w:rFonts w:asciiTheme="minorHAnsi" w:hAnsiTheme="minorHAnsi" w:cstheme="minorHAnsi"/>
          <w:caps/>
        </w:rPr>
        <w:t>Fertility, p</w:t>
      </w:r>
      <w:r w:rsidRPr="00E90F5C">
        <w:rPr>
          <w:rFonts w:asciiTheme="minorHAnsi" w:hAnsiTheme="minorHAnsi" w:cstheme="minorHAnsi"/>
          <w:caps/>
        </w:rPr>
        <w:t>regnancy</w:t>
      </w:r>
      <w:r w:rsidR="00E15C35" w:rsidRPr="00E90F5C">
        <w:rPr>
          <w:rFonts w:asciiTheme="minorHAnsi" w:hAnsiTheme="minorHAnsi" w:cstheme="minorHAnsi"/>
          <w:caps/>
        </w:rPr>
        <w:t xml:space="preserve"> and lactation</w:t>
      </w:r>
      <w:r w:rsidRPr="00E90F5C">
        <w:rPr>
          <w:rFonts w:asciiTheme="minorHAnsi" w:hAnsiTheme="minorHAnsi" w:cstheme="minorHAnsi"/>
        </w:rPr>
        <w:t>).</w:t>
      </w:r>
    </w:p>
    <w:p w14:paraId="3886CB0A" w14:textId="77777777" w:rsidR="00D45F6D"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Breastfeeding an infant who is G6PD deficient or if the G6PD status of the i</w:t>
      </w:r>
      <w:r w:rsidR="00FD6904" w:rsidRPr="00E90F5C">
        <w:rPr>
          <w:rFonts w:asciiTheme="minorHAnsi" w:hAnsiTheme="minorHAnsi" w:cstheme="minorHAnsi"/>
        </w:rPr>
        <w:t>nfant is unknown (see S</w:t>
      </w:r>
      <w:r w:rsidR="00E15C35" w:rsidRPr="00E90F5C">
        <w:rPr>
          <w:rFonts w:asciiTheme="minorHAnsi" w:hAnsiTheme="minorHAnsi" w:cstheme="minorHAnsi"/>
        </w:rPr>
        <w:t xml:space="preserve">ection 4.6 </w:t>
      </w:r>
      <w:r w:rsidR="00E15C35" w:rsidRPr="00E90F5C">
        <w:rPr>
          <w:rFonts w:asciiTheme="minorHAnsi" w:hAnsiTheme="minorHAnsi" w:cstheme="minorHAnsi"/>
          <w:caps/>
        </w:rPr>
        <w:t>Fertility, pregnancy and lactation</w:t>
      </w:r>
      <w:r w:rsidR="00E15C35" w:rsidRPr="00E90F5C">
        <w:rPr>
          <w:rFonts w:asciiTheme="minorHAnsi" w:hAnsiTheme="minorHAnsi" w:cstheme="minorHAnsi"/>
        </w:rPr>
        <w:t>)</w:t>
      </w:r>
      <w:r w:rsidRPr="00E90F5C">
        <w:rPr>
          <w:rFonts w:asciiTheme="minorHAnsi" w:hAnsiTheme="minorHAnsi" w:cstheme="minorHAnsi"/>
        </w:rPr>
        <w:t>.</w:t>
      </w:r>
    </w:p>
    <w:p w14:paraId="2627FF39" w14:textId="77777777" w:rsidR="00D45F6D"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Patients with known hypersensitivity to tafenoquine, other 8-aminoquinolines, or any component of the formulation.</w:t>
      </w:r>
    </w:p>
    <w:p w14:paraId="6776F736" w14:textId="6080CC7D" w:rsidR="001A3992" w:rsidRPr="009F38B8" w:rsidRDefault="00E74A56" w:rsidP="00E37824">
      <w:pPr>
        <w:pStyle w:val="Heading2"/>
        <w:keepNext/>
        <w:keepLines/>
        <w:spacing w:before="0" w:after="120"/>
      </w:pPr>
      <w:r w:rsidRPr="009F38B8">
        <w:t>Special warnings and p</w:t>
      </w:r>
      <w:r w:rsidR="001A3992" w:rsidRPr="009F38B8">
        <w:t xml:space="preserve">recautions </w:t>
      </w:r>
      <w:r w:rsidRPr="009F38B8">
        <w:t>for use</w:t>
      </w:r>
      <w:fldSimple w:instr=" DOCVARIABLE vault_nd_61b66bd5-5f3b-4c72-93e0-b885af05d4ef \* MERGEFORMAT ">
        <w:r w:rsidR="00D772AB">
          <w:t xml:space="preserve"> </w:t>
        </w:r>
      </w:fldSimple>
    </w:p>
    <w:p w14:paraId="59F6B3B9" w14:textId="551C6C9C" w:rsidR="00013966" w:rsidRPr="009F38B8" w:rsidRDefault="00013966" w:rsidP="00E37824">
      <w:pPr>
        <w:pStyle w:val="Heading3"/>
        <w:ind w:left="0"/>
        <w:rPr>
          <w:rFonts w:eastAsiaTheme="minorHAnsi"/>
        </w:rPr>
      </w:pPr>
      <w:r w:rsidRPr="009F38B8">
        <w:rPr>
          <w:rFonts w:eastAsiaTheme="minorHAnsi"/>
        </w:rPr>
        <w:t>Haemolytic anaemia and G6PD deficiency</w:t>
      </w:r>
      <w:r w:rsidR="00D772AB">
        <w:rPr>
          <w:rFonts w:eastAsiaTheme="minorHAnsi"/>
        </w:rPr>
        <w:fldChar w:fldCharType="begin"/>
      </w:r>
      <w:r w:rsidR="00D772AB">
        <w:rPr>
          <w:rFonts w:eastAsiaTheme="minorHAnsi"/>
        </w:rPr>
        <w:instrText xml:space="preserve"> DOCVARIABLE vault_nd_39851af9-660b-4a2b-b0fa-055a45866d05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6859A9A1" w14:textId="0C96A439" w:rsidR="00013966" w:rsidRPr="009F38B8" w:rsidRDefault="00013966" w:rsidP="00E37824">
      <w:pPr>
        <w:keepNext/>
        <w:keepLines/>
        <w:tabs>
          <w:tab w:val="left" w:pos="274"/>
          <w:tab w:val="left" w:pos="547"/>
          <w:tab w:val="left" w:pos="821"/>
          <w:tab w:val="left" w:pos="1094"/>
        </w:tabs>
        <w:autoSpaceDE w:val="0"/>
        <w:autoSpaceDN w:val="0"/>
        <w:adjustRightInd w:val="0"/>
        <w:spacing w:before="120"/>
      </w:pPr>
      <w:r w:rsidRPr="009F38B8">
        <w:t>Due to the risk of haemolytic anaemia in patients with G6PD deficiency</w:t>
      </w:r>
      <w:r w:rsidR="002879A0">
        <w:t xml:space="preserve"> or unknown G6PD status</w:t>
      </w:r>
      <w:r w:rsidRPr="009F38B8">
        <w:t xml:space="preserve">, </w:t>
      </w:r>
      <w:r w:rsidR="00A05C81">
        <w:t xml:space="preserve">quantitative </w:t>
      </w:r>
      <w:r w:rsidRPr="009F38B8">
        <w:t>G6PD testing must be performed before prescribing tafenoquine (see</w:t>
      </w:r>
      <w:r w:rsidR="00FD6904">
        <w:t xml:space="preserve"> S</w:t>
      </w:r>
      <w:r w:rsidR="00C01697" w:rsidRPr="009F38B8">
        <w:t>ection 4.3</w:t>
      </w:r>
      <w:r w:rsidRPr="00FD6904">
        <w:rPr>
          <w:caps/>
        </w:rPr>
        <w:t xml:space="preserve"> Contraindications</w:t>
      </w:r>
      <w:r w:rsidRPr="009F38B8">
        <w:t>). Withhold tafenoquine from patients with G6PD enzyme levels &lt;70% of normal (</w:t>
      </w:r>
      <w:r w:rsidR="00C01697" w:rsidRPr="009F38B8">
        <w:t>see sectio</w:t>
      </w:r>
      <w:r w:rsidR="00E90F5C">
        <w:t xml:space="preserve">n 5.2 </w:t>
      </w:r>
      <w:r w:rsidR="00E90F5C" w:rsidRPr="00FD6904">
        <w:rPr>
          <w:caps/>
        </w:rPr>
        <w:t>Pharmacokinetic properties</w:t>
      </w:r>
      <w:r w:rsidRPr="009F38B8">
        <w:t>). Monitor patients for clinical signs or symptoms of haemolytic anaemia. Advise patients to seek medical attention if signs of haemolytic anaemia occur.</w:t>
      </w:r>
    </w:p>
    <w:p w14:paraId="52CD7521" w14:textId="61AD32F7" w:rsidR="00013966" w:rsidRPr="009F38B8" w:rsidRDefault="00013966" w:rsidP="008F39C6">
      <w:pPr>
        <w:pStyle w:val="Heading3"/>
        <w:ind w:left="0"/>
        <w:rPr>
          <w:rFonts w:eastAsiaTheme="minorHAnsi"/>
        </w:rPr>
      </w:pPr>
      <w:proofErr w:type="spellStart"/>
      <w:r w:rsidRPr="009F38B8">
        <w:rPr>
          <w:rFonts w:eastAsiaTheme="minorHAnsi"/>
        </w:rPr>
        <w:t>Methaemoglobinaemia</w:t>
      </w:r>
      <w:proofErr w:type="spellEnd"/>
      <w:r w:rsidR="00D772AB">
        <w:rPr>
          <w:rFonts w:eastAsiaTheme="minorHAnsi"/>
        </w:rPr>
        <w:fldChar w:fldCharType="begin"/>
      </w:r>
      <w:r w:rsidR="00D772AB">
        <w:rPr>
          <w:rFonts w:eastAsiaTheme="minorHAnsi"/>
        </w:rPr>
        <w:instrText xml:space="preserve"> DOCVARIABLE vault_nd_c5592876-ae82-42f9-9c12-a54c5c7ca503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2F13658E" w14:textId="77777777" w:rsidR="00013966" w:rsidRPr="009F38B8" w:rsidRDefault="00013966" w:rsidP="00013966">
      <w:pPr>
        <w:autoSpaceDE w:val="0"/>
        <w:autoSpaceDN w:val="0"/>
        <w:adjustRightInd w:val="0"/>
      </w:pPr>
      <w:r w:rsidRPr="009F38B8">
        <w:t xml:space="preserve">Asymptomatic elevations in methaemoglobin were observed in clinical studies (see </w:t>
      </w:r>
      <w:r w:rsidR="00FD6904">
        <w:t>S</w:t>
      </w:r>
      <w:r w:rsidR="00C01697" w:rsidRPr="009F38B8">
        <w:t xml:space="preserve">ection 4.8 </w:t>
      </w:r>
      <w:r w:rsidR="002870D6" w:rsidRPr="00FD6904">
        <w:rPr>
          <w:caps/>
        </w:rPr>
        <w:t>Adverse e</w:t>
      </w:r>
      <w:r w:rsidR="00C01697" w:rsidRPr="00FD6904">
        <w:rPr>
          <w:caps/>
        </w:rPr>
        <w:t>ffect</w:t>
      </w:r>
      <w:r w:rsidRPr="00FD6904">
        <w:rPr>
          <w:caps/>
        </w:rPr>
        <w:t>s</w:t>
      </w:r>
      <w:r w:rsidR="00C14F9A">
        <w:rPr>
          <w:caps/>
        </w:rPr>
        <w:t xml:space="preserve"> (UNDESIRABLE EFFECTS)</w:t>
      </w:r>
      <w:r w:rsidRPr="009F38B8">
        <w:t xml:space="preserve">). If signs or symptoms of </w:t>
      </w:r>
      <w:proofErr w:type="spellStart"/>
      <w:r w:rsidRPr="009F38B8">
        <w:t>methaemoglobinaemia</w:t>
      </w:r>
      <w:proofErr w:type="spellEnd"/>
      <w:r w:rsidRPr="009F38B8">
        <w:t xml:space="preserve"> occur, appropriate therapy should be instituted. Caution is advised in patients with nicotinamide adenine dinucleotide (NADH)-dependent methaemoglobin reductase deficiency.</w:t>
      </w:r>
    </w:p>
    <w:p w14:paraId="162BC803" w14:textId="49D38217" w:rsidR="00013966" w:rsidRPr="009F38B8" w:rsidRDefault="00013966" w:rsidP="008F39C6">
      <w:pPr>
        <w:pStyle w:val="Heading3"/>
        <w:ind w:left="0"/>
        <w:rPr>
          <w:rFonts w:eastAsiaTheme="minorHAnsi"/>
        </w:rPr>
      </w:pPr>
      <w:r w:rsidRPr="009F38B8">
        <w:rPr>
          <w:rFonts w:eastAsiaTheme="minorHAnsi"/>
        </w:rPr>
        <w:t>Psychiatric Effects</w:t>
      </w:r>
      <w:r w:rsidR="00D772AB">
        <w:rPr>
          <w:rFonts w:eastAsiaTheme="minorHAnsi"/>
        </w:rPr>
        <w:fldChar w:fldCharType="begin"/>
      </w:r>
      <w:r w:rsidR="00D772AB">
        <w:rPr>
          <w:rFonts w:eastAsiaTheme="minorHAnsi"/>
        </w:rPr>
        <w:instrText xml:space="preserve"> DOCVARIABLE vault_nd_81803329-3f4c-4481-8685-b6d334fa1952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0253217B" w14:textId="13BE19CC" w:rsidR="00DF7B72" w:rsidRDefault="00013966" w:rsidP="00DE23FC">
      <w:pPr>
        <w:pStyle w:val="Default"/>
        <w:spacing w:line="276" w:lineRule="auto"/>
        <w:rPr>
          <w:rFonts w:asciiTheme="minorHAnsi" w:hAnsiTheme="minorHAnsi" w:cstheme="minorBidi"/>
          <w:color w:val="auto"/>
          <w:sz w:val="22"/>
          <w:szCs w:val="22"/>
        </w:rPr>
      </w:pPr>
      <w:r w:rsidRPr="009F38B8">
        <w:rPr>
          <w:rFonts w:asciiTheme="minorHAnsi" w:hAnsiTheme="minorHAnsi" w:cstheme="minorBidi"/>
          <w:color w:val="auto"/>
          <w:sz w:val="22"/>
          <w:szCs w:val="22"/>
        </w:rPr>
        <w:t>Mild to moderate, psychiatric adverse reactions (</w:t>
      </w:r>
      <w:proofErr w:type="gramStart"/>
      <w:r w:rsidRPr="009F38B8">
        <w:rPr>
          <w:rFonts w:asciiTheme="minorHAnsi" w:hAnsiTheme="minorHAnsi" w:cstheme="minorBidi"/>
          <w:color w:val="auto"/>
          <w:sz w:val="22"/>
          <w:szCs w:val="22"/>
        </w:rPr>
        <w:t>e.g.</w:t>
      </w:r>
      <w:proofErr w:type="gramEnd"/>
      <w:r w:rsidRPr="009F38B8">
        <w:rPr>
          <w:rFonts w:asciiTheme="minorHAnsi" w:hAnsiTheme="minorHAnsi" w:cstheme="minorBidi"/>
          <w:color w:val="auto"/>
          <w:sz w:val="22"/>
          <w:szCs w:val="22"/>
        </w:rPr>
        <w:t xml:space="preserve"> anxiety, abnormal dreams) have been reported in clinical trials of tafenoquine (</w:t>
      </w:r>
      <w:r w:rsidR="00FD6904">
        <w:rPr>
          <w:rFonts w:asciiTheme="minorHAnsi" w:hAnsiTheme="minorHAnsi" w:cstheme="minorBidi"/>
          <w:color w:val="auto"/>
          <w:sz w:val="22"/>
          <w:szCs w:val="22"/>
        </w:rPr>
        <w:t>see S</w:t>
      </w:r>
      <w:r w:rsidR="002870D6" w:rsidRPr="009F38B8">
        <w:rPr>
          <w:rFonts w:asciiTheme="minorHAnsi" w:hAnsiTheme="minorHAnsi" w:cstheme="minorBidi"/>
          <w:color w:val="auto"/>
          <w:sz w:val="22"/>
          <w:szCs w:val="22"/>
        </w:rPr>
        <w:t xml:space="preserve">ection 4.8 </w:t>
      </w:r>
      <w:r w:rsidR="002870D6" w:rsidRPr="00FD6904">
        <w:rPr>
          <w:rFonts w:asciiTheme="minorHAnsi" w:hAnsiTheme="minorHAnsi" w:cstheme="minorBidi"/>
          <w:caps/>
          <w:color w:val="auto"/>
          <w:sz w:val="22"/>
          <w:szCs w:val="22"/>
        </w:rPr>
        <w:t>Adverse effects</w:t>
      </w:r>
      <w:r w:rsidR="00C14F9A">
        <w:rPr>
          <w:rFonts w:asciiTheme="minorHAnsi" w:hAnsiTheme="minorHAnsi" w:cstheme="minorBidi"/>
          <w:caps/>
          <w:color w:val="auto"/>
          <w:sz w:val="22"/>
          <w:szCs w:val="22"/>
        </w:rPr>
        <w:t xml:space="preserve"> </w:t>
      </w:r>
      <w:r w:rsidR="00C14F9A" w:rsidRPr="00396537">
        <w:rPr>
          <w:rFonts w:asciiTheme="minorHAnsi" w:hAnsiTheme="minorHAnsi" w:cstheme="minorBidi"/>
          <w:caps/>
          <w:color w:val="auto"/>
          <w:sz w:val="22"/>
          <w:szCs w:val="22"/>
        </w:rPr>
        <w:t>(UNDESIRABLE EFFECTS)</w:t>
      </w:r>
      <w:r w:rsidRPr="00396537">
        <w:rPr>
          <w:rFonts w:asciiTheme="minorHAnsi" w:hAnsiTheme="minorHAnsi" w:cstheme="minorBidi"/>
          <w:caps/>
          <w:color w:val="auto"/>
          <w:sz w:val="22"/>
          <w:szCs w:val="22"/>
        </w:rPr>
        <w:t>)</w:t>
      </w:r>
      <w:r w:rsidRPr="009F38B8">
        <w:rPr>
          <w:rFonts w:asciiTheme="minorHAnsi" w:hAnsiTheme="minorHAnsi" w:cstheme="minorBidi"/>
          <w:color w:val="auto"/>
          <w:sz w:val="22"/>
          <w:szCs w:val="22"/>
        </w:rPr>
        <w:t>. While there were no reports of serious psychiatric adverse reactions in clinical trials following a single 300 mg dose, cases of depression and psychosis have occurred following higher single doses (350 to 600 mg) of tafenoquine, mostly in subjects with a previous history of psychiatric disorders. Serious psychiatric disorders such as psychosis and depression have been associated with some quinoline anti-</w:t>
      </w:r>
      <w:proofErr w:type="spellStart"/>
      <w:r w:rsidRPr="009F38B8">
        <w:rPr>
          <w:rFonts w:asciiTheme="minorHAnsi" w:hAnsiTheme="minorHAnsi" w:cstheme="minorBidi"/>
          <w:color w:val="auto"/>
          <w:sz w:val="22"/>
          <w:szCs w:val="22"/>
        </w:rPr>
        <w:t>malarials</w:t>
      </w:r>
      <w:proofErr w:type="spellEnd"/>
      <w:r w:rsidRPr="009F38B8">
        <w:rPr>
          <w:rFonts w:asciiTheme="minorHAnsi" w:hAnsiTheme="minorHAnsi" w:cstheme="minorBidi"/>
          <w:color w:val="auto"/>
          <w:sz w:val="22"/>
          <w:szCs w:val="22"/>
        </w:rPr>
        <w:t xml:space="preserve">. Caution is advised when administering tafenoquine to patients with a current or </w:t>
      </w:r>
      <w:proofErr w:type="gramStart"/>
      <w:r w:rsidRPr="009F38B8">
        <w:rPr>
          <w:rFonts w:asciiTheme="minorHAnsi" w:hAnsiTheme="minorHAnsi" w:cstheme="minorBidi"/>
          <w:color w:val="auto"/>
          <w:sz w:val="22"/>
          <w:szCs w:val="22"/>
        </w:rPr>
        <w:t>past history</w:t>
      </w:r>
      <w:proofErr w:type="gramEnd"/>
      <w:r w:rsidRPr="009F38B8">
        <w:rPr>
          <w:rFonts w:asciiTheme="minorHAnsi" w:hAnsiTheme="minorHAnsi" w:cstheme="minorBidi"/>
          <w:color w:val="auto"/>
          <w:sz w:val="22"/>
          <w:szCs w:val="22"/>
        </w:rPr>
        <w:t xml:space="preserve"> of serious psychiatric disorders.</w:t>
      </w:r>
      <w:r w:rsidR="00D27E82" w:rsidRPr="009F38B8">
        <w:rPr>
          <w:rFonts w:asciiTheme="minorHAnsi" w:hAnsiTheme="minorHAnsi" w:cstheme="minorBidi"/>
          <w:color w:val="auto"/>
          <w:sz w:val="22"/>
          <w:szCs w:val="22"/>
        </w:rPr>
        <w:t xml:space="preserve"> Individual patient risk-benefit should be assessed. </w:t>
      </w:r>
      <w:r w:rsidR="002D31B0" w:rsidRPr="00FD6904">
        <w:rPr>
          <w:rFonts w:asciiTheme="minorHAnsi" w:hAnsiTheme="minorHAnsi" w:cstheme="minorBidi"/>
          <w:color w:val="auto"/>
          <w:sz w:val="22"/>
          <w:szCs w:val="22"/>
        </w:rPr>
        <w:t>Due to the long half-life of tafenoquine (15 days), psychiatric effects and hypersensitivity reactions may be delayed in onset and/or duration.</w:t>
      </w:r>
    </w:p>
    <w:p w14:paraId="32AAB1B9" w14:textId="6894CF48" w:rsidR="00DF7B72" w:rsidRPr="009F38B8" w:rsidRDefault="00DF7B72" w:rsidP="00DF7B72">
      <w:pPr>
        <w:pStyle w:val="Heading3"/>
        <w:ind w:left="0"/>
        <w:rPr>
          <w:rFonts w:eastAsiaTheme="minorHAnsi"/>
        </w:rPr>
      </w:pPr>
      <w:r>
        <w:rPr>
          <w:rFonts w:eastAsiaTheme="minorHAnsi"/>
        </w:rPr>
        <w:lastRenderedPageBreak/>
        <w:t>Hypersensitivity Reactions</w:t>
      </w:r>
      <w:r w:rsidR="00D772AB">
        <w:rPr>
          <w:rFonts w:eastAsiaTheme="minorHAnsi"/>
        </w:rPr>
        <w:fldChar w:fldCharType="begin"/>
      </w:r>
      <w:r w:rsidR="00D772AB">
        <w:rPr>
          <w:rFonts w:eastAsiaTheme="minorHAnsi"/>
        </w:rPr>
        <w:instrText xml:space="preserve"> DOCVARIABLE vault_nd_52ded9ad-b426-478a-b8d5-1e367635ce9c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5970C512" w14:textId="77777777" w:rsidR="00DF7B72" w:rsidRDefault="00DF7B72" w:rsidP="00DE23FC">
      <w:pPr>
        <w:pStyle w:val="Default"/>
        <w:spacing w:line="276" w:lineRule="auto"/>
        <w:rPr>
          <w:rFonts w:asciiTheme="minorHAnsi" w:hAnsiTheme="minorHAnsi" w:cstheme="minorBidi"/>
          <w:color w:val="auto"/>
          <w:sz w:val="22"/>
          <w:szCs w:val="22"/>
        </w:rPr>
      </w:pPr>
      <w:r>
        <w:rPr>
          <w:rFonts w:asciiTheme="minorHAnsi" w:hAnsiTheme="minorHAnsi" w:cstheme="minorBidi"/>
          <w:color w:val="auto"/>
          <w:sz w:val="22"/>
          <w:szCs w:val="22"/>
        </w:rPr>
        <w:t>Serious hypersensitivity reactions (</w:t>
      </w:r>
      <w:proofErr w:type="gramStart"/>
      <w:r>
        <w:rPr>
          <w:rFonts w:asciiTheme="minorHAnsi" w:hAnsiTheme="minorHAnsi" w:cstheme="minorBidi"/>
          <w:color w:val="auto"/>
          <w:sz w:val="22"/>
          <w:szCs w:val="22"/>
        </w:rPr>
        <w:t>e.g.</w:t>
      </w:r>
      <w:proofErr w:type="gramEnd"/>
      <w:r>
        <w:rPr>
          <w:rFonts w:asciiTheme="minorHAnsi" w:hAnsiTheme="minorHAnsi" w:cstheme="minorBidi"/>
          <w:color w:val="auto"/>
          <w:sz w:val="22"/>
          <w:szCs w:val="22"/>
        </w:rPr>
        <w:t xml:space="preserve"> angioedema, urticaria) have been observed with administration of KOZENIS (see </w:t>
      </w:r>
      <w:r w:rsidRPr="00C22840">
        <w:rPr>
          <w:rFonts w:asciiTheme="minorHAnsi" w:hAnsiTheme="minorHAnsi" w:cstheme="minorBidi"/>
          <w:color w:val="auto"/>
          <w:sz w:val="22"/>
          <w:szCs w:val="22"/>
        </w:rPr>
        <w:t>Section 4.8 ADVERSE EFFECTS (UNDESIRABLE EFFECTS)</w:t>
      </w:r>
      <w:r>
        <w:rPr>
          <w:rFonts w:asciiTheme="minorHAnsi" w:hAnsiTheme="minorHAnsi" w:cstheme="minorBidi"/>
          <w:color w:val="auto"/>
          <w:sz w:val="22"/>
          <w:szCs w:val="22"/>
        </w:rPr>
        <w:t xml:space="preserve">. Institute appropriate therapy if hypersensitivity reactions occur. Do not re-administer KOZENIS. </w:t>
      </w:r>
    </w:p>
    <w:p w14:paraId="66F07AFA" w14:textId="7EF071CF" w:rsidR="00DF7B72" w:rsidRDefault="00DF7B72" w:rsidP="00DE23FC">
      <w:pPr>
        <w:autoSpaceDE w:val="0"/>
        <w:autoSpaceDN w:val="0"/>
        <w:adjustRightInd w:val="0"/>
      </w:pPr>
      <w:r>
        <w:t>Inform patients that hypersensitivity reactions have occurred with KOZENIS. Advise patients of the symptoms of hypersensitivity reactions and instruct them to seek medical advice promptly if such symptoms occur.</w:t>
      </w:r>
    </w:p>
    <w:p w14:paraId="53A2E0AD" w14:textId="19673E09" w:rsidR="00CA598E" w:rsidRPr="001B1FBE" w:rsidRDefault="00CA598E" w:rsidP="001B1FBE">
      <w:pPr>
        <w:pStyle w:val="Heading3"/>
        <w:ind w:left="0"/>
        <w:rPr>
          <w:rFonts w:eastAsiaTheme="minorHAnsi"/>
          <w:b w:val="0"/>
          <w:bCs w:val="0"/>
        </w:rPr>
      </w:pPr>
      <w:proofErr w:type="gramStart"/>
      <w:r w:rsidRPr="001B1FBE">
        <w:rPr>
          <w:rFonts w:eastAsiaTheme="minorHAnsi"/>
        </w:rPr>
        <w:t>Long Acting</w:t>
      </w:r>
      <w:proofErr w:type="gramEnd"/>
      <w:r w:rsidRPr="001B1FBE">
        <w:rPr>
          <w:rFonts w:eastAsiaTheme="minorHAnsi"/>
        </w:rPr>
        <w:t xml:space="preserve"> Properties of Tafenoquine</w:t>
      </w:r>
      <w:r w:rsidR="00D772AB">
        <w:rPr>
          <w:rFonts w:eastAsiaTheme="minorHAnsi"/>
        </w:rPr>
        <w:fldChar w:fldCharType="begin"/>
      </w:r>
      <w:r w:rsidR="00D772AB">
        <w:rPr>
          <w:rFonts w:eastAsiaTheme="minorHAnsi"/>
        </w:rPr>
        <w:instrText xml:space="preserve"> DOCVARIABLE vault_nd_090c1e12-9f9e-4c54-82ea-bb52ec0933bb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6334A2A4" w14:textId="2CB90B7B" w:rsidR="00E37824" w:rsidRPr="00FD6904" w:rsidRDefault="00CA598E" w:rsidP="001B1FBE">
      <w:pPr>
        <w:pStyle w:val="Default"/>
        <w:spacing w:line="276" w:lineRule="auto"/>
        <w:rPr>
          <w:rFonts w:asciiTheme="minorHAnsi" w:hAnsiTheme="minorHAnsi" w:cstheme="minorBidi"/>
          <w:color w:val="auto"/>
          <w:sz w:val="22"/>
          <w:szCs w:val="22"/>
        </w:rPr>
      </w:pPr>
      <w:r w:rsidRPr="001B1FBE">
        <w:rPr>
          <w:rFonts w:asciiTheme="minorHAnsi" w:hAnsiTheme="minorHAnsi" w:cstheme="minorBidi"/>
          <w:color w:val="auto"/>
          <w:sz w:val="22"/>
          <w:szCs w:val="22"/>
        </w:rPr>
        <w:t>Due to the long half-life of tafenoquine, the onset and/or duration of potential adverse reactions could be delayed up to three months. Advise patients to seek medical attention if delayed reactions occur.</w:t>
      </w:r>
    </w:p>
    <w:p w14:paraId="42D4F38B" w14:textId="7E8C95D2" w:rsidR="004A73AD" w:rsidRPr="00E37824" w:rsidRDefault="00C14F9A" w:rsidP="00E37824">
      <w:pPr>
        <w:pStyle w:val="Heading3"/>
        <w:keepLines w:val="0"/>
        <w:ind w:left="0"/>
        <w:rPr>
          <w:rFonts w:eastAsiaTheme="minorHAnsi"/>
        </w:rPr>
      </w:pPr>
      <w:r w:rsidRPr="00E37824">
        <w:rPr>
          <w:rFonts w:eastAsiaTheme="minorHAnsi"/>
        </w:rPr>
        <w:t>Use in the elderly</w:t>
      </w:r>
      <w:r w:rsidR="00D772AB" w:rsidRPr="00E37824">
        <w:rPr>
          <w:rFonts w:eastAsiaTheme="minorHAnsi"/>
        </w:rPr>
        <w:fldChar w:fldCharType="begin"/>
      </w:r>
      <w:r w:rsidR="00D772AB" w:rsidRPr="00E37824">
        <w:rPr>
          <w:rFonts w:eastAsiaTheme="minorHAnsi"/>
        </w:rPr>
        <w:instrText xml:space="preserve"> DOCVARIABLE vault_nd_4fcace16-48d2-41d2-8254-06f0c9bbdc32 \* MERGEFORMAT </w:instrText>
      </w:r>
      <w:r w:rsidR="00D772AB" w:rsidRPr="00E37824">
        <w:rPr>
          <w:rFonts w:eastAsiaTheme="minorHAnsi"/>
        </w:rPr>
        <w:fldChar w:fldCharType="separate"/>
      </w:r>
      <w:r w:rsidR="00D772AB" w:rsidRPr="00E37824">
        <w:rPr>
          <w:rFonts w:eastAsiaTheme="minorHAnsi"/>
        </w:rPr>
        <w:t xml:space="preserve"> </w:t>
      </w:r>
      <w:r w:rsidR="00D772AB" w:rsidRPr="00E37824">
        <w:rPr>
          <w:rFonts w:eastAsiaTheme="minorHAnsi"/>
        </w:rPr>
        <w:fldChar w:fldCharType="end"/>
      </w:r>
    </w:p>
    <w:p w14:paraId="76057BEB" w14:textId="2171FA2E" w:rsidR="004A73AD" w:rsidRPr="00396537" w:rsidRDefault="006F0435" w:rsidP="00F20CAB">
      <w:r w:rsidRPr="00396537">
        <w:t>Refer to section DOSE AND METHOD OF ADMINISTRATION</w:t>
      </w:r>
      <w:r w:rsidR="004A73AD" w:rsidRPr="00396537">
        <w:t>, Elderly (65 years or older).</w:t>
      </w:r>
      <w:fldSimple w:instr=" DOCVARIABLE vault_nd_2d4b2048-c5fa-4b05-9ca4-843c970136d3 \* MERGEFORMAT ">
        <w:r w:rsidR="00D772AB">
          <w:t xml:space="preserve"> </w:t>
        </w:r>
      </w:fldSimple>
    </w:p>
    <w:p w14:paraId="4B6FCF7F" w14:textId="29F95D39" w:rsidR="00C14F9A" w:rsidRPr="004A73AD" w:rsidRDefault="00C14F9A" w:rsidP="00E37824">
      <w:pPr>
        <w:pStyle w:val="Heading3"/>
        <w:keepNext w:val="0"/>
        <w:keepLines w:val="0"/>
        <w:ind w:left="0"/>
        <w:rPr>
          <w:rFonts w:eastAsiaTheme="minorHAnsi"/>
        </w:rPr>
      </w:pPr>
      <w:r w:rsidRPr="004A73AD">
        <w:rPr>
          <w:rFonts w:eastAsiaTheme="minorHAnsi"/>
        </w:rPr>
        <w:t>Paediatric use</w:t>
      </w:r>
      <w:r w:rsidR="00D772AB">
        <w:rPr>
          <w:rFonts w:eastAsiaTheme="minorHAnsi"/>
        </w:rPr>
        <w:fldChar w:fldCharType="begin"/>
      </w:r>
      <w:r w:rsidR="00D772AB">
        <w:rPr>
          <w:rFonts w:eastAsiaTheme="minorHAnsi"/>
        </w:rPr>
        <w:instrText xml:space="preserve"> DOCVARIABLE vault_nd_50859275-33fd-4a9c-97fd-2c2d402f54c2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67E396D6" w14:textId="67425199" w:rsidR="004A73AD" w:rsidRPr="00396537" w:rsidRDefault="004A73AD" w:rsidP="00F20CAB">
      <w:r w:rsidRPr="00357930">
        <w:t xml:space="preserve">Refer to section DOSE AND METHOD OF ADMINISTRATION, </w:t>
      </w:r>
      <w:r w:rsidRPr="00396537">
        <w:t>Children and Adolescents (up to 16 years of age).</w:t>
      </w:r>
      <w:fldSimple w:instr=" DOCVARIABLE vault_nd_ecad4175-d6a1-4f9f-b640-a3405f36e222 \* MERGEFORMAT ">
        <w:r w:rsidR="00D772AB">
          <w:t xml:space="preserve"> </w:t>
        </w:r>
      </w:fldSimple>
    </w:p>
    <w:p w14:paraId="211E7FE9" w14:textId="77588C27" w:rsidR="00D27E82" w:rsidRDefault="00C14F9A" w:rsidP="001B1FBE">
      <w:pPr>
        <w:pStyle w:val="Heading3"/>
        <w:ind w:left="0"/>
        <w:rPr>
          <w:rFonts w:eastAsiaTheme="minorHAnsi"/>
        </w:rPr>
      </w:pPr>
      <w:r w:rsidRPr="00C14F9A">
        <w:rPr>
          <w:rFonts w:eastAsiaTheme="minorHAnsi"/>
        </w:rPr>
        <w:t>Effects on laboratory tests</w:t>
      </w:r>
      <w:r w:rsidR="00D772AB">
        <w:rPr>
          <w:rFonts w:eastAsiaTheme="minorHAnsi"/>
        </w:rPr>
        <w:fldChar w:fldCharType="begin"/>
      </w:r>
      <w:r w:rsidR="00D772AB">
        <w:rPr>
          <w:rFonts w:eastAsiaTheme="minorHAnsi"/>
        </w:rPr>
        <w:instrText xml:space="preserve"> DOCVARIABLE vault_nd_08409c4f-565a-4f73-9dca-f27025018fbf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57CAB747" w14:textId="4DDA5924" w:rsidR="00C14F9A" w:rsidRPr="00C14F9A" w:rsidRDefault="004A73AD" w:rsidP="00C14F9A">
      <w:r>
        <w:t>No data available.</w:t>
      </w:r>
    </w:p>
    <w:p w14:paraId="16E60FF0" w14:textId="65DDAC14" w:rsidR="001A3992" w:rsidRPr="009F38B8" w:rsidRDefault="001A3992" w:rsidP="001A3992">
      <w:pPr>
        <w:pStyle w:val="Heading2"/>
        <w:keepNext/>
        <w:keepLines/>
        <w:spacing w:before="0" w:after="120"/>
      </w:pPr>
      <w:r w:rsidRPr="009F38B8">
        <w:t>Interactions with other medicines and other forms of interactions</w:t>
      </w:r>
      <w:fldSimple w:instr=" DOCVARIABLE vault_nd_bc311f41-e270-40fd-ad13-58bd25fd443b \* MERGEFORMAT ">
        <w:r w:rsidR="00D772AB">
          <w:t xml:space="preserve"> </w:t>
        </w:r>
      </w:fldSimple>
    </w:p>
    <w:p w14:paraId="12FE284E" w14:textId="77777777" w:rsidR="00992DE3" w:rsidRPr="009F38B8" w:rsidRDefault="00992DE3" w:rsidP="00992DE3">
      <w:r w:rsidRPr="009F38B8">
        <w:t xml:space="preserve">Tafenoquine is an inhibitor of human transporters </w:t>
      </w:r>
      <w:r w:rsidR="00FB2B68" w:rsidRPr="009F38B8">
        <w:t>organic cation transporter 2 (</w:t>
      </w:r>
      <w:r w:rsidRPr="009F38B8">
        <w:t>OCT2</w:t>
      </w:r>
      <w:r w:rsidR="00FB2B68" w:rsidRPr="009F38B8">
        <w:t>)</w:t>
      </w:r>
      <w:r w:rsidRPr="009F38B8">
        <w:t xml:space="preserve"> and </w:t>
      </w:r>
      <w:r w:rsidR="00FB2B68" w:rsidRPr="009F38B8">
        <w:t>multidrug and toxin extrusion transporter (</w:t>
      </w:r>
      <w:r w:rsidRPr="009F38B8">
        <w:t>MATE</w:t>
      </w:r>
      <w:r w:rsidR="00FB2B68" w:rsidRPr="009F38B8">
        <w:t>)</w:t>
      </w:r>
      <w:r w:rsidRPr="009F38B8">
        <w:t xml:space="preserve"> </w:t>
      </w:r>
      <w:r w:rsidRPr="009F38B8">
        <w:rPr>
          <w:i/>
        </w:rPr>
        <w:t>in vitro</w:t>
      </w:r>
      <w:r w:rsidRPr="009F38B8">
        <w:t xml:space="preserve">, potentially resulting in increased exposure to their substrates (e.g., </w:t>
      </w:r>
      <w:proofErr w:type="spellStart"/>
      <w:r w:rsidRPr="009F38B8">
        <w:t>dofetilide</w:t>
      </w:r>
      <w:proofErr w:type="spellEnd"/>
      <w:r w:rsidRPr="009F38B8">
        <w:t>) (see</w:t>
      </w:r>
      <w:r w:rsidR="00FD6904">
        <w:t xml:space="preserve"> S</w:t>
      </w:r>
      <w:r w:rsidR="00FD546A" w:rsidRPr="009F38B8">
        <w:t xml:space="preserve">ection 5.2 </w:t>
      </w:r>
      <w:r w:rsidR="00FD546A" w:rsidRPr="00FD6904">
        <w:rPr>
          <w:caps/>
        </w:rPr>
        <w:t>Pharmacokinetic properties</w:t>
      </w:r>
      <w:r w:rsidRPr="009F38B8">
        <w:t xml:space="preserve">). There is a small risk of lactic acidosis due to increased metformin exposure secondary to blockade of these transporters. Therefore, use with caution with metformin. Drugs with a narrow therapeutic index that are substrates of the renal transporters </w:t>
      </w:r>
      <w:proofErr w:type="gramStart"/>
      <w:r w:rsidRPr="009F38B8">
        <w:t>OCT2</w:t>
      </w:r>
      <w:proofErr w:type="gramEnd"/>
      <w:r w:rsidRPr="009F38B8">
        <w:t xml:space="preserve"> and MATE should not be co-administered (e.g. phenformin, buformin, </w:t>
      </w:r>
      <w:proofErr w:type="spellStart"/>
      <w:r w:rsidRPr="009F38B8">
        <w:t>dofetilide</w:t>
      </w:r>
      <w:proofErr w:type="spellEnd"/>
      <w:r w:rsidRPr="009F38B8">
        <w:t xml:space="preserve">, procainamide, and </w:t>
      </w:r>
      <w:proofErr w:type="spellStart"/>
      <w:r w:rsidRPr="009F38B8">
        <w:t>pilsicainide</w:t>
      </w:r>
      <w:proofErr w:type="spellEnd"/>
      <w:r w:rsidRPr="009F38B8">
        <w:t>).</w:t>
      </w:r>
    </w:p>
    <w:p w14:paraId="3B5D0211" w14:textId="096FA29B" w:rsidR="001A3992" w:rsidRPr="009F38B8" w:rsidRDefault="001A3992" w:rsidP="001A3992">
      <w:pPr>
        <w:pStyle w:val="Heading2"/>
        <w:spacing w:before="0" w:after="120"/>
      </w:pPr>
      <w:r w:rsidRPr="009F38B8">
        <w:t>Fertility, pregnancy and lactation</w:t>
      </w:r>
      <w:fldSimple w:instr=" DOCVARIABLE vault_nd_e9fcbe63-1359-4cc8-bc45-c02d25e604f6 \* MERGEFORMAT ">
        <w:r w:rsidR="00D772AB">
          <w:t xml:space="preserve"> </w:t>
        </w:r>
      </w:fldSimple>
    </w:p>
    <w:p w14:paraId="7A2515D2" w14:textId="230A9925" w:rsidR="001A3992" w:rsidRPr="009F38B8" w:rsidRDefault="001A3992" w:rsidP="00F23DC2">
      <w:pPr>
        <w:pStyle w:val="Heading3"/>
        <w:spacing w:before="0" w:after="120"/>
        <w:ind w:left="0"/>
      </w:pPr>
      <w:r w:rsidRPr="009F38B8">
        <w:t>Effects on fertility</w:t>
      </w:r>
      <w:fldSimple w:instr=" DOCVARIABLE vault_nd_39d3fddf-8347-4b76-8848-02b6323703d7 \* MERGEFORMAT ">
        <w:r w:rsidR="00D772AB">
          <w:t xml:space="preserve"> </w:t>
        </w:r>
      </w:fldSimple>
    </w:p>
    <w:p w14:paraId="7BC31CB6" w14:textId="77777777" w:rsidR="00992DE3" w:rsidRPr="009F38B8" w:rsidRDefault="00142E6D" w:rsidP="00E90F5C">
      <w:r w:rsidRPr="009F38B8">
        <w:t>In a rat fertility study, tafenoquine was given orally at 1.5, 5, and 15 mg/kg/day (up to about 0.5 times the human dose based on body surface area comparisons) to males for at least 67 days, including 29 days prior to mating, and to females from 15 days prior to mating through early pregnancy. Tafenoquine resulted in reduced number of viable foetuses, implantation sites, and corpora lutea at 15 mg/kg in the presence of maternal toxicity (mortality, piloerection, rough coat, and reduced body weight).</w:t>
      </w:r>
    </w:p>
    <w:p w14:paraId="431B2D04" w14:textId="68D77069" w:rsidR="00A53AFC" w:rsidRDefault="001A3992" w:rsidP="00F23DC2">
      <w:pPr>
        <w:pStyle w:val="Heading3"/>
        <w:spacing w:before="0" w:after="120"/>
        <w:ind w:left="0"/>
      </w:pPr>
      <w:r w:rsidRPr="009F38B8">
        <w:lastRenderedPageBreak/>
        <w:t>Use in pregnancy</w:t>
      </w:r>
      <w:fldSimple w:instr=" DOCVARIABLE vault_nd_c1e2ac9f-7c1d-4d49-b963-aa1748bdd167 \* MERGEFORMAT ">
        <w:r w:rsidR="000D4A6F">
          <w:t xml:space="preserve"> </w:t>
        </w:r>
      </w:fldSimple>
    </w:p>
    <w:p w14:paraId="0731630A" w14:textId="049AC4CE" w:rsidR="001A3992" w:rsidRPr="00F20CAB" w:rsidRDefault="00212678" w:rsidP="00F20CAB">
      <w:pPr>
        <w:rPr>
          <w:b/>
          <w:bCs/>
        </w:rPr>
      </w:pPr>
      <w:r w:rsidRPr="00F20CAB">
        <w:rPr>
          <w:b/>
          <w:bCs/>
        </w:rPr>
        <w:t xml:space="preserve">(Category </w:t>
      </w:r>
      <w:r w:rsidR="00F23DC2" w:rsidRPr="00F20CAB">
        <w:rPr>
          <w:b/>
          <w:bCs/>
        </w:rPr>
        <w:t>C</w:t>
      </w:r>
      <w:r w:rsidRPr="00F20CAB">
        <w:rPr>
          <w:b/>
          <w:bCs/>
        </w:rPr>
        <w:t>)</w:t>
      </w:r>
      <w:r w:rsidR="000D4A6F" w:rsidRPr="00F20CAB">
        <w:rPr>
          <w:b/>
          <w:bCs/>
        </w:rPr>
        <w:fldChar w:fldCharType="begin"/>
      </w:r>
      <w:r w:rsidR="000D4A6F" w:rsidRPr="00F20CAB">
        <w:rPr>
          <w:b/>
          <w:bCs/>
        </w:rPr>
        <w:instrText xml:space="preserve"> DOCVARIABLE vault_nd_18f9a482-edca-4932-ad0e-b804fae7c369 \* MERGEFORMAT </w:instrText>
      </w:r>
      <w:r w:rsidR="000D4A6F" w:rsidRPr="00F20CAB">
        <w:rPr>
          <w:b/>
          <w:bCs/>
        </w:rPr>
        <w:fldChar w:fldCharType="separate"/>
      </w:r>
      <w:r w:rsidR="00D772AB" w:rsidRPr="00F20CAB">
        <w:rPr>
          <w:b/>
          <w:bCs/>
        </w:rPr>
        <w:t xml:space="preserve"> </w:t>
      </w:r>
      <w:r w:rsidR="000D4A6F" w:rsidRPr="00F20CAB">
        <w:rPr>
          <w:b/>
          <w:bCs/>
        </w:rPr>
        <w:fldChar w:fldCharType="end"/>
      </w:r>
    </w:p>
    <w:p w14:paraId="0CB11FEC" w14:textId="77777777" w:rsidR="00992DE3" w:rsidRPr="009F38B8" w:rsidRDefault="00992DE3" w:rsidP="00992DE3">
      <w:pPr>
        <w:tabs>
          <w:tab w:val="left" w:pos="274"/>
          <w:tab w:val="left" w:pos="547"/>
          <w:tab w:val="left" w:pos="821"/>
          <w:tab w:val="left" w:pos="1094"/>
        </w:tabs>
        <w:spacing w:before="120"/>
      </w:pPr>
      <w:r w:rsidRPr="009F38B8">
        <w:t>Tafenoquine is contraindicated in pregnancy. There is a risk of haemolysis in patients with G6PD deficiency; and, even if a pregnant woman is not G6PD deficient, the foetus may be</w:t>
      </w:r>
      <w:r w:rsidR="002D31B0" w:rsidRPr="009F38B8">
        <w:t xml:space="preserve"> </w:t>
      </w:r>
      <w:r w:rsidR="002D31B0" w:rsidRPr="00FD6904">
        <w:rPr>
          <w:u w:val="single"/>
        </w:rPr>
        <w:t>deficient in G6PD</w:t>
      </w:r>
      <w:r w:rsidRPr="009F38B8">
        <w:t>.</w:t>
      </w:r>
    </w:p>
    <w:p w14:paraId="02225770" w14:textId="77777777" w:rsidR="0022570B" w:rsidRPr="00FD6904" w:rsidRDefault="00992DE3" w:rsidP="00DE23FC">
      <w:pPr>
        <w:pStyle w:val="PlainText"/>
        <w:spacing w:line="276" w:lineRule="auto"/>
        <w:rPr>
          <w:rFonts w:ascii="Times New Roman" w:hAnsi="Times New Roman" w:cs="Times New Roman"/>
          <w:sz w:val="24"/>
          <w:szCs w:val="24"/>
        </w:rPr>
      </w:pPr>
      <w:r w:rsidRPr="009F38B8">
        <w:t>The effect of tafenoquine on human pregnancy is unknown</w:t>
      </w:r>
      <w:r w:rsidRPr="009F38B8">
        <w:rPr>
          <w:rFonts w:asciiTheme="minorHAnsi" w:eastAsiaTheme="minorHAnsi" w:hAnsiTheme="minorHAnsi" w:cstheme="minorBidi"/>
          <w:lang w:val="en-AU" w:eastAsia="en-US"/>
        </w:rPr>
        <w:t xml:space="preserve">. </w:t>
      </w:r>
      <w:r w:rsidR="00142E6D" w:rsidRPr="009F38B8">
        <w:rPr>
          <w:rFonts w:asciiTheme="minorHAnsi" w:eastAsiaTheme="minorHAnsi" w:hAnsiTheme="minorHAnsi" w:cstheme="minorBidi"/>
          <w:lang w:val="en-AU" w:eastAsia="en-US"/>
        </w:rPr>
        <w:t xml:space="preserve">Tafenoquine resulted in dose related abortions when given orally to pregnant rabbits during organogenesis (GD 6 to 18), at doses of 7 mg/kg (about 0.4 times the clinical exposure based on body surface area comparisons) and above. Doses higher than 7 mg/kg were also associated with maternal toxicity (mortality and reduced body weight gain). In a similar study in rats, doses of 3, 10, or 30 mg/kg/day resulted in maternal toxicity (enlarged spleen, reduced body weight and reduced food intake) but no fetotoxicity, at the </w:t>
      </w:r>
      <w:proofErr w:type="gramStart"/>
      <w:r w:rsidR="00142E6D" w:rsidRPr="009F38B8">
        <w:rPr>
          <w:rFonts w:asciiTheme="minorHAnsi" w:eastAsiaTheme="minorHAnsi" w:hAnsiTheme="minorHAnsi" w:cstheme="minorBidi"/>
          <w:lang w:val="en-AU" w:eastAsia="en-US"/>
        </w:rPr>
        <w:t>high-dose</w:t>
      </w:r>
      <w:proofErr w:type="gramEnd"/>
      <w:r w:rsidR="00142E6D" w:rsidRPr="009F38B8">
        <w:rPr>
          <w:rFonts w:asciiTheme="minorHAnsi" w:eastAsiaTheme="minorHAnsi" w:hAnsiTheme="minorHAnsi" w:cstheme="minorBidi"/>
          <w:lang w:val="en-AU" w:eastAsia="en-US"/>
        </w:rPr>
        <w:t xml:space="preserve"> (equivalent to the clinical exposure based on body surface area comparisons). There was no evidence of malformations in either species. </w:t>
      </w:r>
      <w:r w:rsidR="0022570B" w:rsidRPr="009F38B8">
        <w:t>It is unknown if tafenoquine crosses the placenta.</w:t>
      </w:r>
    </w:p>
    <w:p w14:paraId="7A8107BA" w14:textId="77777777" w:rsidR="00992DE3" w:rsidRPr="009F38B8" w:rsidRDefault="00992DE3" w:rsidP="00DE23FC">
      <w:r w:rsidRPr="009F38B8">
        <w:t>Women of child-bearing potential should have a pregnancy test prior to starting treatment with tafenoquine and avoid becoming pregnant for 3 months after taking tafenoquine.</w:t>
      </w:r>
    </w:p>
    <w:p w14:paraId="43125293" w14:textId="407CB7DA" w:rsidR="001A3992" w:rsidRPr="009F38B8" w:rsidRDefault="001A3992" w:rsidP="00F23DC2">
      <w:pPr>
        <w:pStyle w:val="Heading3"/>
        <w:spacing w:before="0" w:after="120"/>
        <w:ind w:left="0"/>
      </w:pPr>
      <w:r w:rsidRPr="009F38B8">
        <w:t>Use in lactation</w:t>
      </w:r>
      <w:fldSimple w:instr=" DOCVARIABLE vault_nd_2a353252-3f32-444e-b198-8049375cce9f \* MERGEFORMAT ">
        <w:r w:rsidR="00D772AB">
          <w:t xml:space="preserve"> </w:t>
        </w:r>
      </w:fldSimple>
    </w:p>
    <w:p w14:paraId="30F6A074" w14:textId="77777777" w:rsidR="003E2DB7" w:rsidRPr="009F38B8" w:rsidRDefault="00992DE3" w:rsidP="00992DE3">
      <w:pPr>
        <w:tabs>
          <w:tab w:val="left" w:pos="274"/>
          <w:tab w:val="left" w:pos="547"/>
          <w:tab w:val="left" w:pos="821"/>
          <w:tab w:val="left" w:pos="1094"/>
        </w:tabs>
      </w:pPr>
      <w:r w:rsidRPr="009F38B8">
        <w:t xml:space="preserve">It is not known whether tafenoquine is excreted in human milk. </w:t>
      </w:r>
      <w:r w:rsidR="00142E6D" w:rsidRPr="009F38B8">
        <w:t xml:space="preserve"> In a pre- and postnatal development study in rats, tafenoquine administered throughout pregnancy and lactation produced maternal toxicity and a reversible decrease in offspring body weight gain and decrease in motor activity; at 18 mg/kg/day, which is equivalent to about 0.6 times the clinical dose based on body surface area comparisons.  </w:t>
      </w:r>
    </w:p>
    <w:p w14:paraId="00764DD3" w14:textId="77777777" w:rsidR="00992DE3" w:rsidRPr="009F38B8" w:rsidRDefault="00992DE3" w:rsidP="00992DE3">
      <w:pPr>
        <w:tabs>
          <w:tab w:val="left" w:pos="274"/>
          <w:tab w:val="left" w:pos="547"/>
          <w:tab w:val="left" w:pos="821"/>
          <w:tab w:val="left" w:pos="1094"/>
        </w:tabs>
      </w:pPr>
      <w:r w:rsidRPr="009F38B8">
        <w:t xml:space="preserve">Tafenoquine should not be used during breastfeeding when the infant has G6PD </w:t>
      </w:r>
      <w:proofErr w:type="gramStart"/>
      <w:r w:rsidRPr="009F38B8">
        <w:t>deficiency</w:t>
      </w:r>
      <w:proofErr w:type="gramEnd"/>
      <w:r w:rsidRPr="009F38B8">
        <w:t xml:space="preserve"> or the status is unknown as haemolytic anaemia may occur (see </w:t>
      </w:r>
      <w:r w:rsidR="00FD6904">
        <w:t>S</w:t>
      </w:r>
      <w:r w:rsidR="00E15C35" w:rsidRPr="009F38B8">
        <w:t xml:space="preserve">ection 4.3 </w:t>
      </w:r>
      <w:r w:rsidRPr="00FD6904">
        <w:rPr>
          <w:caps/>
        </w:rPr>
        <w:t>Contraindications</w:t>
      </w:r>
      <w:r w:rsidRPr="009F38B8">
        <w:t>).</w:t>
      </w:r>
    </w:p>
    <w:p w14:paraId="5594364C" w14:textId="77777777" w:rsidR="00992DE3" w:rsidRPr="009F38B8" w:rsidRDefault="00992DE3" w:rsidP="00992DE3">
      <w:r w:rsidRPr="009F38B8">
        <w:t xml:space="preserve">Tafenoquine should only be used in a nursing mother if the expected benefit justifies the risk to an infant that is not G6PD deficient. Consideration should be given to the long half-life for tafenoquine as the drug may be present in the systemic circulation for 3 months following treatment with tafenoquine </w:t>
      </w:r>
      <w:r w:rsidR="00FD6904">
        <w:t>(see S</w:t>
      </w:r>
      <w:r w:rsidR="00FD546A" w:rsidRPr="009F38B8">
        <w:t xml:space="preserve">ection 5.2 </w:t>
      </w:r>
      <w:r w:rsidR="00FD546A" w:rsidRPr="00FD6904">
        <w:rPr>
          <w:caps/>
        </w:rPr>
        <w:t>Pharmacokinetic properties</w:t>
      </w:r>
      <w:r w:rsidR="00E15C35" w:rsidRPr="009F38B8">
        <w:t>).</w:t>
      </w:r>
    </w:p>
    <w:p w14:paraId="31F3E69D" w14:textId="528AB15A" w:rsidR="001A3992" w:rsidRPr="009F38B8" w:rsidRDefault="001A3992" w:rsidP="001B1FBE">
      <w:pPr>
        <w:pStyle w:val="Heading2"/>
        <w:keepNext/>
        <w:spacing w:before="0" w:after="120"/>
      </w:pPr>
      <w:r w:rsidRPr="009F38B8">
        <w:t>Effects on ability to drive and use machines</w:t>
      </w:r>
      <w:fldSimple w:instr=" DOCVARIABLE vault_nd_582f4396-1715-4549-b355-fcc18c0335b0 \* MERGEFORMAT ">
        <w:r w:rsidR="00D772AB">
          <w:t xml:space="preserve"> </w:t>
        </w:r>
      </w:fldSimple>
    </w:p>
    <w:p w14:paraId="74E2F4A4" w14:textId="77777777" w:rsidR="007C79DA" w:rsidRPr="009F38B8" w:rsidRDefault="007C79DA" w:rsidP="001B1FBE">
      <w:pPr>
        <w:keepNext/>
        <w:autoSpaceDE w:val="0"/>
        <w:autoSpaceDN w:val="0"/>
        <w:adjustRightInd w:val="0"/>
        <w:rPr>
          <w:szCs w:val="24"/>
          <w:lang w:val="en-US"/>
        </w:rPr>
      </w:pPr>
      <w:r w:rsidRPr="009F38B8">
        <w:t xml:space="preserve">There have been no studies to investigate the effect of tafenoquine on driving performance or the ability to operate machinery. A detrimental effect on such activities would not be anticipated from the pharmacology of tafenoquine. The clinical status of the patient and the adverse event profile of </w:t>
      </w:r>
      <w:r w:rsidRPr="009F38B8">
        <w:lastRenderedPageBreak/>
        <w:t>tafenoquine</w:t>
      </w:r>
      <w:r w:rsidRPr="009F38B8">
        <w:rPr>
          <w:i/>
          <w:iCs/>
        </w:rPr>
        <w:t xml:space="preserve"> </w:t>
      </w:r>
      <w:r w:rsidRPr="009F38B8">
        <w:t xml:space="preserve">should be borne in mind when considering the patient's ability to perform tasks that require judgement, </w:t>
      </w:r>
      <w:proofErr w:type="gramStart"/>
      <w:r w:rsidRPr="009F38B8">
        <w:t>motor</w:t>
      </w:r>
      <w:proofErr w:type="gramEnd"/>
      <w:r w:rsidRPr="009F38B8">
        <w:t xml:space="preserve"> or cognitive skills.</w:t>
      </w:r>
    </w:p>
    <w:p w14:paraId="41D02F17" w14:textId="3244AA48" w:rsidR="001A3992" w:rsidRPr="009F38B8" w:rsidRDefault="001A3992" w:rsidP="001A3992">
      <w:pPr>
        <w:pStyle w:val="Heading2"/>
        <w:keepNext/>
        <w:keepLines/>
        <w:spacing w:before="0" w:after="120"/>
      </w:pPr>
      <w:r w:rsidRPr="009F38B8">
        <w:t>Adverse effects (Undesirable effects)</w:t>
      </w:r>
      <w:fldSimple w:instr=" DOCVARIABLE vault_nd_7c9e95df-d9f7-4f4e-9dc8-b46edc63c9b1 \* MERGEFORMAT ">
        <w:r w:rsidR="00D772AB">
          <w:t xml:space="preserve"> </w:t>
        </w:r>
      </w:fldSimple>
    </w:p>
    <w:p w14:paraId="6AAB5467" w14:textId="7BCE2DBE" w:rsidR="001C33EE" w:rsidRPr="009F38B8" w:rsidRDefault="001C33EE" w:rsidP="003E551B">
      <w:pPr>
        <w:pStyle w:val="Heading3"/>
        <w:ind w:left="0"/>
        <w:rPr>
          <w:snapToGrid w:val="0"/>
          <w:lang w:val="en-US"/>
        </w:rPr>
      </w:pPr>
      <w:r w:rsidRPr="009F38B8">
        <w:rPr>
          <w:snapToGrid w:val="0"/>
          <w:lang w:val="en-US"/>
        </w:rPr>
        <w:t>Clinical trial data</w:t>
      </w:r>
      <w:r w:rsidR="00D772AB">
        <w:rPr>
          <w:snapToGrid w:val="0"/>
          <w:lang w:val="en-US"/>
        </w:rPr>
        <w:fldChar w:fldCharType="begin"/>
      </w:r>
      <w:r w:rsidR="00D772AB">
        <w:rPr>
          <w:snapToGrid w:val="0"/>
          <w:lang w:val="en-US"/>
        </w:rPr>
        <w:instrText xml:space="preserve"> DOCVARIABLE vault_nd_26af3fbe-8181-4296-986f-517858a2f97d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49D1E575" w14:textId="6DE4C689" w:rsidR="001C33EE" w:rsidRPr="009F38B8" w:rsidRDefault="001C33EE" w:rsidP="001C33EE">
      <w:pPr>
        <w:shd w:val="clear" w:color="auto" w:fill="FFFFFF"/>
      </w:pPr>
      <w:bookmarkStart w:id="3" w:name="_Hlk519521533"/>
      <w:r w:rsidRPr="009F38B8">
        <w:t xml:space="preserve">The adverse drug reaction profile </w:t>
      </w:r>
      <w:r w:rsidR="00AC1C7C">
        <w:t xml:space="preserve">in patients aged 16 years and older </w:t>
      </w:r>
      <w:r w:rsidRPr="009F38B8">
        <w:t>was evaluated in 3 randomi</w:t>
      </w:r>
      <w:r w:rsidR="00DC2B7D" w:rsidRPr="009F38B8">
        <w:t>s</w:t>
      </w:r>
      <w:r w:rsidRPr="009F38B8">
        <w:t>ed, double-blind studies including a total 483 patients administered 300 mg tafenoquine in a single oral dose co-administered with chloroquine</w:t>
      </w:r>
      <w:r w:rsidR="005202F7" w:rsidRPr="009F38B8">
        <w:t xml:space="preserve"> phosphate (600</w:t>
      </w:r>
      <w:r w:rsidR="008106C2">
        <w:t xml:space="preserve"> </w:t>
      </w:r>
      <w:r w:rsidR="005202F7" w:rsidRPr="009F38B8">
        <w:t>mg free base on Days 1 and 2 with 300</w:t>
      </w:r>
      <w:r w:rsidR="008106C2">
        <w:t xml:space="preserve"> </w:t>
      </w:r>
      <w:r w:rsidR="005202F7" w:rsidRPr="009F38B8">
        <w:t>mg free base on Day 3</w:t>
      </w:r>
      <w:bookmarkEnd w:id="3"/>
      <w:r w:rsidRPr="009F38B8">
        <w:t>). Two of these studies were placebo-controlled and the third was an active-controlled study. The safety profile was also informed by supportive clinical studies, some of which included healthy volunteers who received the indicated dose. In the clinical development program</w:t>
      </w:r>
      <w:r w:rsidR="00AC1C7C">
        <w:t xml:space="preserve"> supporting the approval of the single 300 mg dose</w:t>
      </w:r>
      <w:r w:rsidRPr="009F38B8">
        <w:t>, a total of 810 subjects received a single dose of tafenoquine 300 mg (&gt;4,000 subjects received tafenoquine including other doses or regimens).</w:t>
      </w:r>
    </w:p>
    <w:p w14:paraId="145CA4E1" w14:textId="77777777" w:rsidR="001C33EE" w:rsidRPr="009F38B8" w:rsidRDefault="001C33EE" w:rsidP="001C33EE">
      <w:pPr>
        <w:shd w:val="clear" w:color="auto" w:fill="FFFFFF"/>
      </w:pPr>
      <w:r w:rsidRPr="009F38B8">
        <w:t>Adverse reactions are listed below by MedDRA body system organ class and by frequency.</w:t>
      </w:r>
    </w:p>
    <w:p w14:paraId="412E0A61" w14:textId="77777777" w:rsidR="001C33EE" w:rsidRPr="009F38B8" w:rsidRDefault="001C33EE" w:rsidP="001C33EE">
      <w:pPr>
        <w:keepNext/>
        <w:shd w:val="clear" w:color="auto" w:fill="FFFFFF"/>
      </w:pPr>
      <w:r w:rsidRPr="009F38B8">
        <w:t>The frequency categories used are:</w:t>
      </w:r>
    </w:p>
    <w:p w14:paraId="1E50FF63" w14:textId="77777777" w:rsidR="001C33EE" w:rsidRPr="009F38B8" w:rsidRDefault="001C33EE" w:rsidP="001C33EE">
      <w:pPr>
        <w:keepNext/>
        <w:shd w:val="clear" w:color="auto" w:fill="FFFFFF"/>
        <w:spacing w:after="0"/>
      </w:pPr>
      <w:r w:rsidRPr="009F38B8">
        <w:t>Very common</w:t>
      </w:r>
      <w:r w:rsidRPr="009F38B8">
        <w:tab/>
      </w:r>
      <w:r w:rsidRPr="009F38B8">
        <w:tab/>
      </w:r>
      <w:r w:rsidRPr="009F38B8">
        <w:sym w:font="Symbol" w:char="F0B3"/>
      </w:r>
      <w:r w:rsidRPr="009F38B8">
        <w:t xml:space="preserve"> 1 in 10</w:t>
      </w:r>
    </w:p>
    <w:p w14:paraId="24622BC5" w14:textId="77777777" w:rsidR="001C33EE" w:rsidRPr="009F38B8" w:rsidRDefault="001C33EE" w:rsidP="001C33EE">
      <w:pPr>
        <w:keepNext/>
        <w:shd w:val="clear" w:color="auto" w:fill="FFFFFF"/>
        <w:spacing w:after="0"/>
      </w:pPr>
      <w:r w:rsidRPr="009F38B8">
        <w:t>Common</w:t>
      </w:r>
      <w:r w:rsidRPr="009F38B8">
        <w:tab/>
      </w:r>
      <w:r w:rsidRPr="009F38B8">
        <w:tab/>
      </w:r>
      <w:r w:rsidRPr="009F38B8">
        <w:sym w:font="Symbol" w:char="F0B3"/>
      </w:r>
      <w:r w:rsidRPr="009F38B8">
        <w:t xml:space="preserve"> 1 in 100 and &lt; 1 in 10</w:t>
      </w:r>
    </w:p>
    <w:p w14:paraId="6535DDE2" w14:textId="77777777" w:rsidR="001C33EE" w:rsidRPr="009F38B8" w:rsidRDefault="001C33EE" w:rsidP="001C33EE">
      <w:pPr>
        <w:keepNext/>
        <w:shd w:val="clear" w:color="auto" w:fill="FFFFFF"/>
        <w:spacing w:after="0"/>
      </w:pPr>
      <w:r w:rsidRPr="009F38B8">
        <w:t>Uncommon</w:t>
      </w:r>
      <w:r w:rsidRPr="009F38B8">
        <w:tab/>
      </w:r>
      <w:r w:rsidRPr="009F38B8">
        <w:tab/>
      </w:r>
      <w:r w:rsidRPr="009F38B8">
        <w:sym w:font="Symbol" w:char="F0B3"/>
      </w:r>
      <w:r w:rsidRPr="009F38B8">
        <w:t xml:space="preserve"> 1 in 1,000 and &lt; 1 in 100</w:t>
      </w:r>
    </w:p>
    <w:p w14:paraId="5E8E2594" w14:textId="77777777" w:rsidR="001C33EE" w:rsidRPr="009F38B8" w:rsidRDefault="001C33EE" w:rsidP="001C33EE">
      <w:pPr>
        <w:keepNext/>
        <w:shd w:val="clear" w:color="auto" w:fill="FFFFFF"/>
        <w:spacing w:after="0"/>
      </w:pPr>
      <w:r w:rsidRPr="009F38B8">
        <w:t>Rare</w:t>
      </w:r>
      <w:r w:rsidRPr="009F38B8">
        <w:tab/>
      </w:r>
      <w:r w:rsidRPr="009F38B8">
        <w:tab/>
      </w:r>
      <w:r w:rsidRPr="009F38B8">
        <w:tab/>
        <w:t>&lt; 1 in 1,000</w:t>
      </w:r>
    </w:p>
    <w:p w14:paraId="0E448FFC" w14:textId="77777777" w:rsidR="001C33EE" w:rsidRPr="009F38B8" w:rsidRDefault="001C33EE" w:rsidP="001C33EE">
      <w:pPr>
        <w:shd w:val="clear" w:color="auto" w:fill="FFFFFF"/>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843"/>
        <w:gridCol w:w="1843"/>
        <w:gridCol w:w="1843"/>
        <w:gridCol w:w="1842"/>
      </w:tblGrid>
      <w:tr w:rsidR="009F38B8" w:rsidRPr="009F38B8" w14:paraId="4C4DCEB3" w14:textId="77777777" w:rsidTr="00AC1C7C">
        <w:trPr>
          <w:trHeight w:val="850"/>
        </w:trPr>
        <w:tc>
          <w:tcPr>
            <w:tcW w:w="885" w:type="pct"/>
          </w:tcPr>
          <w:p w14:paraId="77547BA1" w14:textId="77777777" w:rsidR="001C33EE" w:rsidRPr="009F38B8" w:rsidRDefault="001C33EE" w:rsidP="00B903B7">
            <w:pPr>
              <w:keepNext/>
              <w:keepLines/>
              <w:spacing w:after="120"/>
              <w:rPr>
                <w:b/>
                <w:noProof/>
              </w:rPr>
            </w:pPr>
            <w:r w:rsidRPr="009F38B8">
              <w:rPr>
                <w:b/>
                <w:noProof/>
              </w:rPr>
              <w:lastRenderedPageBreak/>
              <w:t>System organ class</w:t>
            </w:r>
          </w:p>
        </w:tc>
        <w:tc>
          <w:tcPr>
            <w:tcW w:w="1029" w:type="pct"/>
          </w:tcPr>
          <w:p w14:paraId="7F17BB75" w14:textId="77777777" w:rsidR="001C33EE" w:rsidRPr="009F38B8" w:rsidRDefault="001C33EE" w:rsidP="00B903B7">
            <w:pPr>
              <w:keepNext/>
              <w:keepLines/>
              <w:spacing w:after="120"/>
              <w:jc w:val="center"/>
              <w:rPr>
                <w:b/>
              </w:rPr>
            </w:pPr>
            <w:r w:rsidRPr="009F38B8">
              <w:rPr>
                <w:b/>
              </w:rPr>
              <w:t xml:space="preserve">Very </w:t>
            </w:r>
          </w:p>
          <w:p w14:paraId="4C7F6DF7" w14:textId="77777777" w:rsidR="001C33EE" w:rsidRPr="009F38B8" w:rsidRDefault="001C33EE" w:rsidP="00B903B7">
            <w:pPr>
              <w:keepNext/>
              <w:keepLines/>
              <w:spacing w:after="120"/>
              <w:jc w:val="center"/>
              <w:rPr>
                <w:b/>
                <w:noProof/>
              </w:rPr>
            </w:pPr>
            <w:r w:rsidRPr="009F38B8">
              <w:rPr>
                <w:b/>
              </w:rPr>
              <w:t>common</w:t>
            </w:r>
          </w:p>
        </w:tc>
        <w:tc>
          <w:tcPr>
            <w:tcW w:w="1029" w:type="pct"/>
          </w:tcPr>
          <w:p w14:paraId="4FAA7D50" w14:textId="77777777" w:rsidR="001C33EE" w:rsidRPr="009F38B8" w:rsidRDefault="001C33EE" w:rsidP="00B903B7">
            <w:pPr>
              <w:keepNext/>
              <w:keepLines/>
              <w:spacing w:after="120"/>
              <w:jc w:val="center"/>
              <w:rPr>
                <w:b/>
                <w:noProof/>
              </w:rPr>
            </w:pPr>
            <w:r w:rsidRPr="009F38B8">
              <w:rPr>
                <w:b/>
                <w:noProof/>
              </w:rPr>
              <w:t>Common</w:t>
            </w:r>
          </w:p>
        </w:tc>
        <w:tc>
          <w:tcPr>
            <w:tcW w:w="1029" w:type="pct"/>
          </w:tcPr>
          <w:p w14:paraId="5A964512" w14:textId="77777777" w:rsidR="001C33EE" w:rsidRPr="009F38B8" w:rsidRDefault="001C33EE" w:rsidP="00B903B7">
            <w:pPr>
              <w:keepNext/>
              <w:keepLines/>
              <w:spacing w:after="120"/>
              <w:jc w:val="center"/>
              <w:rPr>
                <w:b/>
                <w:noProof/>
              </w:rPr>
            </w:pPr>
            <w:r w:rsidRPr="009F38B8">
              <w:rPr>
                <w:b/>
                <w:noProof/>
              </w:rPr>
              <w:t>Uncommon</w:t>
            </w:r>
          </w:p>
        </w:tc>
        <w:tc>
          <w:tcPr>
            <w:tcW w:w="1029" w:type="pct"/>
          </w:tcPr>
          <w:p w14:paraId="51E4A9AA" w14:textId="77777777" w:rsidR="001C33EE" w:rsidRPr="009F38B8" w:rsidRDefault="001C33EE" w:rsidP="00B903B7">
            <w:pPr>
              <w:keepNext/>
              <w:keepLines/>
              <w:spacing w:after="120"/>
              <w:jc w:val="center"/>
              <w:rPr>
                <w:b/>
                <w:noProof/>
              </w:rPr>
            </w:pPr>
            <w:r w:rsidRPr="009F38B8">
              <w:rPr>
                <w:b/>
                <w:noProof/>
              </w:rPr>
              <w:t>Rare</w:t>
            </w:r>
          </w:p>
        </w:tc>
      </w:tr>
      <w:tr w:rsidR="009F38B8" w:rsidRPr="009F38B8" w14:paraId="64D7CD45" w14:textId="77777777" w:rsidTr="00AC1C7C">
        <w:trPr>
          <w:trHeight w:val="1462"/>
        </w:trPr>
        <w:tc>
          <w:tcPr>
            <w:tcW w:w="885" w:type="pct"/>
          </w:tcPr>
          <w:p w14:paraId="5FFF911A" w14:textId="77777777" w:rsidR="001C33EE" w:rsidRPr="009F38B8" w:rsidRDefault="001C33EE" w:rsidP="00B903B7">
            <w:pPr>
              <w:keepNext/>
              <w:keepLines/>
              <w:spacing w:after="120"/>
              <w:rPr>
                <w:i/>
              </w:rPr>
            </w:pPr>
            <w:r w:rsidRPr="009F38B8">
              <w:rPr>
                <w:i/>
              </w:rPr>
              <w:t>Blood and lymphatic system disorders</w:t>
            </w:r>
          </w:p>
        </w:tc>
        <w:tc>
          <w:tcPr>
            <w:tcW w:w="1029" w:type="pct"/>
          </w:tcPr>
          <w:p w14:paraId="6A6E77BF" w14:textId="77777777" w:rsidR="001C33EE" w:rsidRPr="009F38B8" w:rsidRDefault="001C33EE" w:rsidP="00B903B7">
            <w:pPr>
              <w:keepNext/>
              <w:keepLines/>
              <w:spacing w:after="120"/>
              <w:rPr>
                <w:i/>
                <w:noProof/>
              </w:rPr>
            </w:pPr>
          </w:p>
        </w:tc>
        <w:tc>
          <w:tcPr>
            <w:tcW w:w="1029" w:type="pct"/>
          </w:tcPr>
          <w:p w14:paraId="2AF4CA68" w14:textId="77777777" w:rsidR="001C33EE" w:rsidRPr="009F38B8" w:rsidRDefault="001C33EE" w:rsidP="00B903B7">
            <w:pPr>
              <w:keepNext/>
              <w:keepLines/>
              <w:spacing w:after="120"/>
              <w:jc w:val="center"/>
            </w:pPr>
            <w:r w:rsidRPr="009F38B8">
              <w:t>Haemoglobin decreased</w:t>
            </w:r>
          </w:p>
          <w:p w14:paraId="0C05C077" w14:textId="77777777" w:rsidR="001C33EE" w:rsidRPr="009F38B8" w:rsidRDefault="001C33EE" w:rsidP="00B903B7">
            <w:pPr>
              <w:keepNext/>
              <w:keepLines/>
              <w:spacing w:after="120"/>
              <w:jc w:val="center"/>
            </w:pPr>
            <w:r w:rsidRPr="009F38B8">
              <w:t>Elevated methaemoglobin</w:t>
            </w:r>
          </w:p>
        </w:tc>
        <w:tc>
          <w:tcPr>
            <w:tcW w:w="1029" w:type="pct"/>
          </w:tcPr>
          <w:p w14:paraId="53B5500C" w14:textId="77777777" w:rsidR="001C33EE" w:rsidRPr="009F38B8" w:rsidRDefault="001C33EE" w:rsidP="00B903B7">
            <w:pPr>
              <w:keepNext/>
              <w:keepLines/>
              <w:spacing w:after="120"/>
              <w:jc w:val="center"/>
            </w:pPr>
          </w:p>
        </w:tc>
        <w:tc>
          <w:tcPr>
            <w:tcW w:w="1029" w:type="pct"/>
          </w:tcPr>
          <w:p w14:paraId="6DCCCCC0" w14:textId="77777777" w:rsidR="001C33EE" w:rsidRPr="009F38B8" w:rsidRDefault="001C33EE" w:rsidP="00B903B7">
            <w:pPr>
              <w:keepNext/>
              <w:keepLines/>
              <w:spacing w:after="120"/>
              <w:jc w:val="center"/>
            </w:pPr>
          </w:p>
        </w:tc>
      </w:tr>
      <w:tr w:rsidR="009F38B8" w:rsidRPr="009F38B8" w14:paraId="5649885A" w14:textId="77777777" w:rsidTr="00AC1C7C">
        <w:trPr>
          <w:trHeight w:val="1029"/>
        </w:trPr>
        <w:tc>
          <w:tcPr>
            <w:tcW w:w="885" w:type="pct"/>
          </w:tcPr>
          <w:p w14:paraId="45EAC315" w14:textId="77777777" w:rsidR="001C33EE" w:rsidRPr="009F38B8" w:rsidRDefault="001C33EE" w:rsidP="00B903B7">
            <w:pPr>
              <w:keepNext/>
              <w:keepLines/>
              <w:spacing w:after="120"/>
              <w:rPr>
                <w:i/>
              </w:rPr>
            </w:pPr>
            <w:r w:rsidRPr="009F38B8">
              <w:rPr>
                <w:i/>
              </w:rPr>
              <w:t>Immune system disorders</w:t>
            </w:r>
          </w:p>
        </w:tc>
        <w:tc>
          <w:tcPr>
            <w:tcW w:w="1029" w:type="pct"/>
          </w:tcPr>
          <w:p w14:paraId="5A4ACF80" w14:textId="77777777" w:rsidR="001C33EE" w:rsidRPr="009F38B8" w:rsidRDefault="001C33EE" w:rsidP="00B903B7">
            <w:pPr>
              <w:spacing w:after="120"/>
              <w:jc w:val="center"/>
              <w:rPr>
                <w:rStyle w:val="CSIchar"/>
              </w:rPr>
            </w:pPr>
          </w:p>
        </w:tc>
        <w:tc>
          <w:tcPr>
            <w:tcW w:w="1029" w:type="pct"/>
          </w:tcPr>
          <w:p w14:paraId="0307374C" w14:textId="77777777" w:rsidR="001C33EE" w:rsidRPr="009F38B8" w:rsidRDefault="001C33EE" w:rsidP="00B903B7">
            <w:pPr>
              <w:spacing w:after="120"/>
              <w:jc w:val="center"/>
            </w:pPr>
          </w:p>
        </w:tc>
        <w:tc>
          <w:tcPr>
            <w:tcW w:w="1029" w:type="pct"/>
          </w:tcPr>
          <w:p w14:paraId="46E11143" w14:textId="77777777" w:rsidR="001C33EE" w:rsidRPr="009F38B8" w:rsidRDefault="001C33EE" w:rsidP="00B903B7">
            <w:pPr>
              <w:spacing w:after="120"/>
              <w:jc w:val="center"/>
            </w:pPr>
          </w:p>
        </w:tc>
        <w:tc>
          <w:tcPr>
            <w:tcW w:w="1029" w:type="pct"/>
          </w:tcPr>
          <w:p w14:paraId="1E0999A8" w14:textId="77777777" w:rsidR="00DE23FC" w:rsidRDefault="001C33EE" w:rsidP="00B903B7">
            <w:pPr>
              <w:spacing w:after="120"/>
              <w:jc w:val="center"/>
            </w:pPr>
            <w:r w:rsidRPr="00FD6904">
              <w:t xml:space="preserve">Hypersensitivity reactions </w:t>
            </w:r>
          </w:p>
          <w:p w14:paraId="43600917" w14:textId="7CA1736C" w:rsidR="001C33EE" w:rsidRPr="009F38B8" w:rsidRDefault="001C33EE" w:rsidP="00B903B7">
            <w:pPr>
              <w:spacing w:after="120"/>
              <w:jc w:val="center"/>
            </w:pPr>
            <w:r w:rsidRPr="00FD6904">
              <w:t>(</w:t>
            </w:r>
            <w:proofErr w:type="gramStart"/>
            <w:r w:rsidRPr="009F38B8">
              <w:t>e.g.</w:t>
            </w:r>
            <w:proofErr w:type="gramEnd"/>
            <w:r w:rsidR="00DE23FC">
              <w:t xml:space="preserve"> </w:t>
            </w:r>
            <w:r w:rsidR="00CE1D6E">
              <w:t xml:space="preserve">urticaria, </w:t>
            </w:r>
            <w:r w:rsidRPr="009F38B8">
              <w:t>angioedema)</w:t>
            </w:r>
          </w:p>
        </w:tc>
      </w:tr>
      <w:tr w:rsidR="009F38B8" w:rsidRPr="009F38B8" w14:paraId="6A6723C5" w14:textId="77777777" w:rsidTr="00AC1C7C">
        <w:trPr>
          <w:trHeight w:val="731"/>
        </w:trPr>
        <w:tc>
          <w:tcPr>
            <w:tcW w:w="885" w:type="pct"/>
          </w:tcPr>
          <w:p w14:paraId="5E00CC18" w14:textId="77777777" w:rsidR="001C33EE" w:rsidRPr="009F38B8" w:rsidRDefault="001C33EE" w:rsidP="00B903B7">
            <w:pPr>
              <w:keepNext/>
              <w:keepLines/>
              <w:spacing w:after="120"/>
              <w:rPr>
                <w:i/>
              </w:rPr>
            </w:pPr>
            <w:r w:rsidRPr="009F38B8">
              <w:rPr>
                <w:i/>
              </w:rPr>
              <w:t>Psychiatric disorders</w:t>
            </w:r>
          </w:p>
        </w:tc>
        <w:tc>
          <w:tcPr>
            <w:tcW w:w="1029" w:type="pct"/>
          </w:tcPr>
          <w:p w14:paraId="5FA2A808" w14:textId="77777777" w:rsidR="001C33EE" w:rsidRPr="009F38B8" w:rsidRDefault="001C33EE" w:rsidP="00B903B7">
            <w:pPr>
              <w:spacing w:after="120"/>
              <w:jc w:val="center"/>
              <w:rPr>
                <w:rStyle w:val="CSIchar"/>
              </w:rPr>
            </w:pPr>
          </w:p>
        </w:tc>
        <w:tc>
          <w:tcPr>
            <w:tcW w:w="1029" w:type="pct"/>
          </w:tcPr>
          <w:p w14:paraId="7E1529A6" w14:textId="77777777" w:rsidR="001C33EE" w:rsidRPr="009F38B8" w:rsidRDefault="001C33EE" w:rsidP="00B903B7">
            <w:pPr>
              <w:spacing w:after="120"/>
              <w:jc w:val="center"/>
            </w:pPr>
            <w:r w:rsidRPr="00FD6904">
              <w:t>Insomnia</w:t>
            </w:r>
          </w:p>
        </w:tc>
        <w:tc>
          <w:tcPr>
            <w:tcW w:w="1029" w:type="pct"/>
          </w:tcPr>
          <w:p w14:paraId="0CEBB0FB" w14:textId="77777777" w:rsidR="001C33EE" w:rsidRPr="009F38B8" w:rsidRDefault="001C33EE" w:rsidP="00B903B7">
            <w:pPr>
              <w:spacing w:after="120"/>
              <w:jc w:val="center"/>
            </w:pPr>
            <w:r w:rsidRPr="009F38B8">
              <w:t>Anxiety</w:t>
            </w:r>
          </w:p>
        </w:tc>
        <w:tc>
          <w:tcPr>
            <w:tcW w:w="1029" w:type="pct"/>
          </w:tcPr>
          <w:p w14:paraId="48F14169" w14:textId="77777777" w:rsidR="001C33EE" w:rsidRPr="009F38B8" w:rsidRDefault="001C33EE" w:rsidP="00B903B7">
            <w:pPr>
              <w:spacing w:after="120"/>
              <w:jc w:val="center"/>
            </w:pPr>
            <w:r w:rsidRPr="009F38B8">
              <w:t>Abnormal dreams</w:t>
            </w:r>
          </w:p>
        </w:tc>
      </w:tr>
      <w:tr w:rsidR="009F38B8" w:rsidRPr="009F38B8" w14:paraId="41B500B0" w14:textId="77777777" w:rsidTr="00AC1C7C">
        <w:trPr>
          <w:trHeight w:val="850"/>
        </w:trPr>
        <w:tc>
          <w:tcPr>
            <w:tcW w:w="885" w:type="pct"/>
          </w:tcPr>
          <w:p w14:paraId="11D4397A" w14:textId="77777777" w:rsidR="001C33EE" w:rsidRPr="009F38B8" w:rsidRDefault="001C33EE" w:rsidP="00B903B7">
            <w:pPr>
              <w:keepNext/>
              <w:keepLines/>
              <w:spacing w:after="120"/>
              <w:rPr>
                <w:i/>
              </w:rPr>
            </w:pPr>
            <w:r w:rsidRPr="009F38B8">
              <w:rPr>
                <w:i/>
              </w:rPr>
              <w:t>Nervous system disorders</w:t>
            </w:r>
          </w:p>
        </w:tc>
        <w:tc>
          <w:tcPr>
            <w:tcW w:w="1029" w:type="pct"/>
          </w:tcPr>
          <w:p w14:paraId="15ADA8EE" w14:textId="77777777" w:rsidR="001C33EE" w:rsidRPr="009F38B8" w:rsidRDefault="001C33EE" w:rsidP="00B903B7">
            <w:pPr>
              <w:spacing w:after="120"/>
              <w:jc w:val="center"/>
              <w:rPr>
                <w:rStyle w:val="CSIchar"/>
              </w:rPr>
            </w:pPr>
          </w:p>
        </w:tc>
        <w:tc>
          <w:tcPr>
            <w:tcW w:w="1029" w:type="pct"/>
          </w:tcPr>
          <w:p w14:paraId="4236815C" w14:textId="77777777" w:rsidR="001C33EE" w:rsidRPr="009F38B8" w:rsidRDefault="001C33EE" w:rsidP="00B903B7">
            <w:pPr>
              <w:spacing w:after="120"/>
              <w:jc w:val="center"/>
            </w:pPr>
            <w:r w:rsidRPr="00FD6904">
              <w:t>Headache</w:t>
            </w:r>
          </w:p>
          <w:p w14:paraId="400D8A87" w14:textId="77777777" w:rsidR="001C33EE" w:rsidRPr="009F38B8" w:rsidRDefault="001C33EE" w:rsidP="00B903B7">
            <w:pPr>
              <w:spacing w:after="120"/>
              <w:jc w:val="center"/>
            </w:pPr>
            <w:r w:rsidRPr="009F38B8">
              <w:t>Dizziness</w:t>
            </w:r>
          </w:p>
        </w:tc>
        <w:tc>
          <w:tcPr>
            <w:tcW w:w="1029" w:type="pct"/>
          </w:tcPr>
          <w:p w14:paraId="62882A4B" w14:textId="77777777" w:rsidR="001C33EE" w:rsidRPr="009F38B8" w:rsidRDefault="001C33EE" w:rsidP="00B903B7">
            <w:pPr>
              <w:spacing w:after="120"/>
              <w:jc w:val="center"/>
            </w:pPr>
            <w:r w:rsidRPr="009F38B8">
              <w:t>Somnolence</w:t>
            </w:r>
          </w:p>
        </w:tc>
        <w:tc>
          <w:tcPr>
            <w:tcW w:w="1029" w:type="pct"/>
          </w:tcPr>
          <w:p w14:paraId="1CCB6381" w14:textId="77777777" w:rsidR="001C33EE" w:rsidRPr="009F38B8" w:rsidRDefault="001C33EE" w:rsidP="00B903B7">
            <w:pPr>
              <w:spacing w:after="120"/>
              <w:jc w:val="center"/>
            </w:pPr>
          </w:p>
        </w:tc>
      </w:tr>
      <w:tr w:rsidR="009F38B8" w:rsidRPr="009F38B8" w14:paraId="719C18BF" w14:textId="77777777" w:rsidTr="00AC1C7C">
        <w:trPr>
          <w:trHeight w:val="1268"/>
        </w:trPr>
        <w:tc>
          <w:tcPr>
            <w:tcW w:w="885" w:type="pct"/>
          </w:tcPr>
          <w:p w14:paraId="57E83BF3" w14:textId="77777777" w:rsidR="001C33EE" w:rsidRPr="009F38B8" w:rsidRDefault="001C33EE" w:rsidP="00B903B7">
            <w:pPr>
              <w:keepNext/>
              <w:keepLines/>
              <w:spacing w:after="120"/>
              <w:rPr>
                <w:i/>
              </w:rPr>
            </w:pPr>
            <w:r w:rsidRPr="009F38B8">
              <w:rPr>
                <w:i/>
              </w:rPr>
              <w:t>Eye disorders</w:t>
            </w:r>
          </w:p>
        </w:tc>
        <w:tc>
          <w:tcPr>
            <w:tcW w:w="1029" w:type="pct"/>
          </w:tcPr>
          <w:p w14:paraId="0350B538" w14:textId="77777777" w:rsidR="001C33EE" w:rsidRPr="009F38B8" w:rsidRDefault="001C33EE" w:rsidP="00B903B7">
            <w:pPr>
              <w:spacing w:after="120"/>
              <w:jc w:val="center"/>
              <w:rPr>
                <w:rStyle w:val="CSIchar"/>
              </w:rPr>
            </w:pPr>
          </w:p>
        </w:tc>
        <w:tc>
          <w:tcPr>
            <w:tcW w:w="1029" w:type="pct"/>
          </w:tcPr>
          <w:p w14:paraId="4A44D3F3" w14:textId="77777777" w:rsidR="001C33EE" w:rsidRPr="009F38B8" w:rsidRDefault="001C33EE" w:rsidP="00B903B7">
            <w:pPr>
              <w:spacing w:after="120"/>
              <w:jc w:val="center"/>
            </w:pPr>
          </w:p>
        </w:tc>
        <w:tc>
          <w:tcPr>
            <w:tcW w:w="1029" w:type="pct"/>
          </w:tcPr>
          <w:p w14:paraId="4D83EA5E" w14:textId="77777777" w:rsidR="001C33EE" w:rsidRPr="009F38B8" w:rsidRDefault="001C33EE" w:rsidP="00B903B7">
            <w:pPr>
              <w:spacing w:after="120"/>
              <w:jc w:val="center"/>
            </w:pPr>
            <w:r w:rsidRPr="00FD6904">
              <w:t>Photophobia</w:t>
            </w:r>
          </w:p>
          <w:p w14:paraId="58C307DE" w14:textId="77777777" w:rsidR="001C33EE" w:rsidRPr="009F38B8" w:rsidRDefault="001C33EE" w:rsidP="00B903B7">
            <w:pPr>
              <w:spacing w:after="120"/>
              <w:jc w:val="center"/>
            </w:pPr>
            <w:r w:rsidRPr="009F38B8">
              <w:t>Vortex keratopathy</w:t>
            </w:r>
          </w:p>
          <w:p w14:paraId="4D11A2D2" w14:textId="77777777" w:rsidR="001C33EE" w:rsidRPr="009F38B8" w:rsidRDefault="001C33EE" w:rsidP="00B903B7">
            <w:pPr>
              <w:spacing w:after="120"/>
              <w:jc w:val="center"/>
            </w:pPr>
          </w:p>
        </w:tc>
        <w:tc>
          <w:tcPr>
            <w:tcW w:w="1029" w:type="pct"/>
          </w:tcPr>
          <w:p w14:paraId="38A01D98" w14:textId="77777777" w:rsidR="001C33EE" w:rsidRPr="009F38B8" w:rsidRDefault="001C33EE" w:rsidP="00B903B7">
            <w:pPr>
              <w:spacing w:after="120"/>
              <w:jc w:val="center"/>
            </w:pPr>
          </w:p>
        </w:tc>
      </w:tr>
      <w:tr w:rsidR="009F38B8" w:rsidRPr="009F38B8" w14:paraId="4D5A859A" w14:textId="77777777" w:rsidTr="00AC1C7C">
        <w:trPr>
          <w:trHeight w:val="850"/>
        </w:trPr>
        <w:tc>
          <w:tcPr>
            <w:tcW w:w="885" w:type="pct"/>
          </w:tcPr>
          <w:p w14:paraId="0C6E5100" w14:textId="77777777" w:rsidR="001C33EE" w:rsidRPr="009F38B8" w:rsidRDefault="001C33EE" w:rsidP="00B903B7">
            <w:pPr>
              <w:keepNext/>
              <w:keepLines/>
              <w:spacing w:after="120"/>
              <w:rPr>
                <w:i/>
              </w:rPr>
            </w:pPr>
            <w:r w:rsidRPr="009F38B8">
              <w:rPr>
                <w:i/>
              </w:rPr>
              <w:t>Gastrointestinal disorders</w:t>
            </w:r>
          </w:p>
        </w:tc>
        <w:tc>
          <w:tcPr>
            <w:tcW w:w="1029" w:type="pct"/>
          </w:tcPr>
          <w:p w14:paraId="7F2618FB" w14:textId="77777777" w:rsidR="001C33EE" w:rsidRPr="009F38B8" w:rsidRDefault="001C33EE" w:rsidP="00B903B7">
            <w:pPr>
              <w:spacing w:after="120"/>
              <w:jc w:val="center"/>
              <w:rPr>
                <w:rStyle w:val="CSIchar"/>
              </w:rPr>
            </w:pPr>
          </w:p>
        </w:tc>
        <w:tc>
          <w:tcPr>
            <w:tcW w:w="1029" w:type="pct"/>
          </w:tcPr>
          <w:p w14:paraId="739946EC" w14:textId="77777777" w:rsidR="001C33EE" w:rsidRPr="009F38B8" w:rsidRDefault="001C33EE" w:rsidP="00B903B7">
            <w:pPr>
              <w:spacing w:after="120"/>
              <w:jc w:val="center"/>
            </w:pPr>
            <w:r w:rsidRPr="00FD6904">
              <w:t>Nausea</w:t>
            </w:r>
          </w:p>
          <w:p w14:paraId="5A42C1BF" w14:textId="77777777" w:rsidR="001C33EE" w:rsidRPr="009F38B8" w:rsidRDefault="001C33EE" w:rsidP="00B903B7">
            <w:pPr>
              <w:spacing w:after="120"/>
              <w:jc w:val="center"/>
            </w:pPr>
            <w:r w:rsidRPr="009F38B8">
              <w:t>Vomiting</w:t>
            </w:r>
          </w:p>
        </w:tc>
        <w:tc>
          <w:tcPr>
            <w:tcW w:w="1029" w:type="pct"/>
          </w:tcPr>
          <w:p w14:paraId="4E0F9986" w14:textId="77777777" w:rsidR="001C33EE" w:rsidRPr="009F38B8" w:rsidRDefault="001C33EE" w:rsidP="00B903B7">
            <w:pPr>
              <w:spacing w:after="120"/>
              <w:jc w:val="center"/>
            </w:pPr>
          </w:p>
        </w:tc>
        <w:tc>
          <w:tcPr>
            <w:tcW w:w="1029" w:type="pct"/>
          </w:tcPr>
          <w:p w14:paraId="47817B0D" w14:textId="77777777" w:rsidR="001C33EE" w:rsidRPr="009F38B8" w:rsidRDefault="001C33EE" w:rsidP="00B903B7">
            <w:pPr>
              <w:spacing w:after="120"/>
              <w:jc w:val="center"/>
            </w:pPr>
          </w:p>
        </w:tc>
      </w:tr>
      <w:tr w:rsidR="009F38B8" w:rsidRPr="009F38B8" w14:paraId="1CBAAE02" w14:textId="77777777" w:rsidTr="00AC1C7C">
        <w:trPr>
          <w:trHeight w:val="1044"/>
        </w:trPr>
        <w:tc>
          <w:tcPr>
            <w:tcW w:w="885" w:type="pct"/>
          </w:tcPr>
          <w:p w14:paraId="24C443A8" w14:textId="77777777" w:rsidR="001C33EE" w:rsidRPr="009F38B8" w:rsidRDefault="001C33EE" w:rsidP="00B903B7">
            <w:pPr>
              <w:keepNext/>
              <w:keepLines/>
              <w:spacing w:after="120"/>
              <w:rPr>
                <w:i/>
              </w:rPr>
            </w:pPr>
            <w:r w:rsidRPr="009F38B8">
              <w:rPr>
                <w:i/>
              </w:rPr>
              <w:t>Hepatobiliary disorders</w:t>
            </w:r>
          </w:p>
        </w:tc>
        <w:tc>
          <w:tcPr>
            <w:tcW w:w="1029" w:type="pct"/>
          </w:tcPr>
          <w:p w14:paraId="18644E4A" w14:textId="77777777" w:rsidR="001C33EE" w:rsidRPr="009F38B8" w:rsidRDefault="001C33EE" w:rsidP="00B903B7">
            <w:pPr>
              <w:spacing w:after="120"/>
              <w:jc w:val="center"/>
            </w:pPr>
          </w:p>
        </w:tc>
        <w:tc>
          <w:tcPr>
            <w:tcW w:w="1029" w:type="pct"/>
          </w:tcPr>
          <w:p w14:paraId="5B1C2095" w14:textId="77777777" w:rsidR="001C33EE" w:rsidRPr="009F38B8" w:rsidRDefault="001C33EE" w:rsidP="00B903B7">
            <w:pPr>
              <w:spacing w:after="120"/>
              <w:jc w:val="center"/>
            </w:pPr>
          </w:p>
        </w:tc>
        <w:tc>
          <w:tcPr>
            <w:tcW w:w="1029" w:type="pct"/>
          </w:tcPr>
          <w:p w14:paraId="611ADAB4" w14:textId="77777777" w:rsidR="001C33EE" w:rsidRPr="009F38B8" w:rsidRDefault="001C33EE" w:rsidP="00B903B7">
            <w:pPr>
              <w:spacing w:after="120"/>
              <w:jc w:val="center"/>
            </w:pPr>
            <w:r w:rsidRPr="009F38B8">
              <w:t>Alanine aminotransferase increased</w:t>
            </w:r>
          </w:p>
        </w:tc>
        <w:tc>
          <w:tcPr>
            <w:tcW w:w="1029" w:type="pct"/>
          </w:tcPr>
          <w:p w14:paraId="5E451EC7" w14:textId="77777777" w:rsidR="001C33EE" w:rsidRPr="009F38B8" w:rsidRDefault="001C33EE" w:rsidP="00B903B7">
            <w:pPr>
              <w:spacing w:after="120"/>
              <w:jc w:val="center"/>
            </w:pPr>
          </w:p>
        </w:tc>
      </w:tr>
      <w:tr w:rsidR="009F38B8" w:rsidRPr="009F38B8" w14:paraId="6E9B06E4" w14:textId="77777777" w:rsidTr="00AC1C7C">
        <w:trPr>
          <w:trHeight w:val="716"/>
        </w:trPr>
        <w:tc>
          <w:tcPr>
            <w:tcW w:w="885" w:type="pct"/>
          </w:tcPr>
          <w:p w14:paraId="40B243EA" w14:textId="77777777" w:rsidR="001C33EE" w:rsidRPr="009F38B8" w:rsidRDefault="001C33EE" w:rsidP="00B903B7">
            <w:pPr>
              <w:keepNext/>
              <w:keepLines/>
              <w:spacing w:after="120"/>
              <w:rPr>
                <w:i/>
              </w:rPr>
            </w:pPr>
            <w:r w:rsidRPr="009F38B8">
              <w:rPr>
                <w:i/>
              </w:rPr>
              <w:t>Renal and urinary disorders</w:t>
            </w:r>
          </w:p>
        </w:tc>
        <w:tc>
          <w:tcPr>
            <w:tcW w:w="1029" w:type="pct"/>
          </w:tcPr>
          <w:p w14:paraId="11E442E6" w14:textId="77777777" w:rsidR="001C33EE" w:rsidRPr="009F38B8" w:rsidRDefault="001C33EE" w:rsidP="00B903B7">
            <w:pPr>
              <w:spacing w:after="120"/>
              <w:jc w:val="center"/>
            </w:pPr>
          </w:p>
        </w:tc>
        <w:tc>
          <w:tcPr>
            <w:tcW w:w="1029" w:type="pct"/>
          </w:tcPr>
          <w:p w14:paraId="7CE731B1" w14:textId="77777777" w:rsidR="001C33EE" w:rsidRPr="009F38B8" w:rsidRDefault="001C33EE" w:rsidP="00B903B7">
            <w:pPr>
              <w:spacing w:after="120"/>
              <w:jc w:val="center"/>
            </w:pPr>
            <w:r w:rsidRPr="009F38B8">
              <w:t>Blood creatinine increased</w:t>
            </w:r>
          </w:p>
        </w:tc>
        <w:tc>
          <w:tcPr>
            <w:tcW w:w="1029" w:type="pct"/>
          </w:tcPr>
          <w:p w14:paraId="4C6A3FB9" w14:textId="77777777" w:rsidR="001C33EE" w:rsidRPr="009F38B8" w:rsidRDefault="001C33EE" w:rsidP="00B903B7">
            <w:pPr>
              <w:spacing w:after="120"/>
              <w:jc w:val="center"/>
            </w:pPr>
          </w:p>
        </w:tc>
        <w:tc>
          <w:tcPr>
            <w:tcW w:w="1029" w:type="pct"/>
          </w:tcPr>
          <w:p w14:paraId="231B6FC1" w14:textId="77777777" w:rsidR="001C33EE" w:rsidRPr="009F38B8" w:rsidRDefault="001C33EE" w:rsidP="00B903B7">
            <w:pPr>
              <w:spacing w:after="120"/>
              <w:jc w:val="center"/>
            </w:pPr>
          </w:p>
        </w:tc>
      </w:tr>
    </w:tbl>
    <w:p w14:paraId="6A10D816" w14:textId="1921CF15" w:rsidR="00AC1C7C" w:rsidRDefault="00AC1C7C" w:rsidP="00AC1C7C">
      <w:pPr>
        <w:pStyle w:val="Heading3"/>
        <w:ind w:left="0"/>
        <w:rPr>
          <w:snapToGrid w:val="0"/>
          <w:lang w:val="en-US"/>
        </w:rPr>
      </w:pPr>
      <w:proofErr w:type="spellStart"/>
      <w:r>
        <w:rPr>
          <w:snapToGrid w:val="0"/>
          <w:lang w:val="en-US"/>
        </w:rPr>
        <w:t>Paediatric</w:t>
      </w:r>
      <w:proofErr w:type="spellEnd"/>
      <w:r>
        <w:rPr>
          <w:snapToGrid w:val="0"/>
          <w:lang w:val="en-US"/>
        </w:rPr>
        <w:t xml:space="preserve"> population</w:t>
      </w:r>
      <w:r w:rsidR="00D772AB">
        <w:rPr>
          <w:snapToGrid w:val="0"/>
          <w:lang w:val="en-US"/>
        </w:rPr>
        <w:fldChar w:fldCharType="begin"/>
      </w:r>
      <w:r w:rsidR="00D772AB">
        <w:rPr>
          <w:snapToGrid w:val="0"/>
          <w:lang w:val="en-US"/>
        </w:rPr>
        <w:instrText xml:space="preserve"> DOCVARIABLE vault_nd_0e961bc0-92c4-4421-adc7-50d6a3ed329c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3602D17D" w14:textId="341472BD" w:rsidR="00AC1C7C" w:rsidRDefault="00F927AC" w:rsidP="00AC1C7C">
      <w:pPr>
        <w:rPr>
          <w:lang w:val="en-US"/>
        </w:rPr>
      </w:pPr>
      <w:r w:rsidRPr="00F927AC">
        <w:rPr>
          <w:lang w:val="en-GB"/>
        </w:rPr>
        <w:t xml:space="preserve">The paediatric clinical trial data is limited to 60 patients (2 to 15 years of age) in TAF113577 trial. The adverse effects profile in this trial was </w:t>
      </w:r>
      <w:proofErr w:type="gramStart"/>
      <w:r w:rsidRPr="00F927AC">
        <w:rPr>
          <w:lang w:val="en-GB"/>
        </w:rPr>
        <w:t>similar to</w:t>
      </w:r>
      <w:proofErr w:type="gramEnd"/>
      <w:r w:rsidRPr="00F927AC">
        <w:rPr>
          <w:lang w:val="en-GB"/>
        </w:rPr>
        <w:t xml:space="preserve"> that observed previously in the adult population. </w:t>
      </w:r>
      <w:r w:rsidR="00AC1C7C">
        <w:rPr>
          <w:lang w:val="en-US"/>
        </w:rPr>
        <w:t xml:space="preserve"> However, vomiting was reported in </w:t>
      </w:r>
      <w:r>
        <w:rPr>
          <w:lang w:val="en-US"/>
        </w:rPr>
        <w:t>12/60 (</w:t>
      </w:r>
      <w:r w:rsidR="00AC1C7C">
        <w:rPr>
          <w:lang w:val="en-US"/>
        </w:rPr>
        <w:t>20%</w:t>
      </w:r>
      <w:r>
        <w:rPr>
          <w:lang w:val="en-US"/>
        </w:rPr>
        <w:t>)</w:t>
      </w:r>
      <w:r w:rsidR="00AC1C7C">
        <w:rPr>
          <w:lang w:val="en-US"/>
        </w:rPr>
        <w:t xml:space="preserve"> of patients who received the recommended doses of either 150 mg tablets or 50 mg tablets </w:t>
      </w:r>
      <w:r>
        <w:rPr>
          <w:lang w:val="en-US"/>
        </w:rPr>
        <w:t>as a single dose</w:t>
      </w:r>
      <w:r w:rsidR="00AC1C7C">
        <w:rPr>
          <w:lang w:val="en-US"/>
        </w:rPr>
        <w:t>. Of these patients, 5 patients vomited, and 2 patients spat out the medication within 60 minutes of administration requiring re-dosing.</w:t>
      </w:r>
    </w:p>
    <w:p w14:paraId="0E528C48" w14:textId="33CEB175" w:rsidR="00F927AC" w:rsidRPr="00F927AC" w:rsidRDefault="00F927AC" w:rsidP="00F927AC">
      <w:pPr>
        <w:rPr>
          <w:lang w:val="en-GB"/>
        </w:rPr>
      </w:pPr>
      <w:r w:rsidRPr="00F927AC">
        <w:rPr>
          <w:lang w:val="en-GB"/>
        </w:rPr>
        <w:t>There is no clinical trial experience in children</w:t>
      </w:r>
      <w:r>
        <w:rPr>
          <w:lang w:val="en-GB"/>
        </w:rPr>
        <w:t xml:space="preserve"> </w:t>
      </w:r>
      <w:r w:rsidRPr="00F927AC">
        <w:rPr>
          <w:lang w:val="en-GB"/>
        </w:rPr>
        <w:t>&lt;2 years of age.</w:t>
      </w:r>
    </w:p>
    <w:p w14:paraId="7FC0619A" w14:textId="0EC0828E" w:rsidR="00F927AC" w:rsidRPr="00F927AC" w:rsidRDefault="00F927AC" w:rsidP="00AC1C7C">
      <w:pPr>
        <w:rPr>
          <w:lang w:val="en-GB"/>
        </w:rPr>
      </w:pPr>
      <w:r w:rsidRPr="00F927AC">
        <w:rPr>
          <w:lang w:val="en-GB"/>
        </w:rPr>
        <w:lastRenderedPageBreak/>
        <w:t>No post-market data are currently available.</w:t>
      </w:r>
    </w:p>
    <w:p w14:paraId="40C998E1" w14:textId="5453AD89" w:rsidR="00C14F9A" w:rsidRPr="00AC1C7C" w:rsidRDefault="00C14F9A" w:rsidP="00E37824">
      <w:pPr>
        <w:pStyle w:val="Heading3"/>
        <w:ind w:left="0"/>
        <w:rPr>
          <w:snapToGrid w:val="0"/>
          <w:lang w:val="en-US"/>
        </w:rPr>
      </w:pPr>
      <w:r w:rsidRPr="00396537">
        <w:rPr>
          <w:snapToGrid w:val="0"/>
          <w:lang w:val="en-US"/>
        </w:rPr>
        <w:t>Reporting suspected adverse effects</w:t>
      </w:r>
      <w:r w:rsidR="00D772AB">
        <w:rPr>
          <w:snapToGrid w:val="0"/>
          <w:lang w:val="en-US"/>
        </w:rPr>
        <w:fldChar w:fldCharType="begin"/>
      </w:r>
      <w:r w:rsidR="00D772AB">
        <w:rPr>
          <w:snapToGrid w:val="0"/>
          <w:lang w:val="en-US"/>
        </w:rPr>
        <w:instrText xml:space="preserve"> DOCVARIABLE vault_nd_77349d52-4dce-4f1d-b26d-55f054f23f95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10FAB75F" w14:textId="77777777" w:rsidR="00A21986" w:rsidRPr="009F38B8" w:rsidRDefault="00A21986" w:rsidP="00E37824">
      <w:pPr>
        <w:keepNext/>
        <w:keepLines/>
      </w:pPr>
      <w:r w:rsidRPr="009F38B8">
        <w:t>Reporting suspected adverse reactions after registration of the med</w:t>
      </w:r>
      <w:r w:rsidR="001C33EE" w:rsidRPr="009F38B8">
        <w:t xml:space="preserve">icinal product is important. It </w:t>
      </w:r>
      <w:r w:rsidRPr="009F38B8">
        <w:t>allows continued monitoring of the benefit-risk balance of th</w:t>
      </w:r>
      <w:r w:rsidR="001C33EE" w:rsidRPr="009F38B8">
        <w:t xml:space="preserve">e medicinal product. Healthcare </w:t>
      </w:r>
      <w:r w:rsidRPr="009F38B8">
        <w:t>professionals are asked to report any suspected adverse reactio</w:t>
      </w:r>
      <w:r w:rsidR="00FD6904">
        <w:t xml:space="preserve">ns at </w:t>
      </w:r>
      <w:hyperlink r:id="rId11" w:history="1">
        <w:r w:rsidRPr="009F38B8">
          <w:t>https://www.tga.gov.au/reporting-problems</w:t>
        </w:r>
      </w:hyperlink>
      <w:r w:rsidRPr="009F38B8">
        <w:t>.</w:t>
      </w:r>
    </w:p>
    <w:p w14:paraId="7D5983DC" w14:textId="51AC0322" w:rsidR="001A3992" w:rsidRPr="009F38B8" w:rsidRDefault="001A3992" w:rsidP="001A3992">
      <w:pPr>
        <w:pStyle w:val="Heading2"/>
        <w:keepNext/>
        <w:keepLines/>
        <w:spacing w:before="0" w:after="120"/>
      </w:pPr>
      <w:r w:rsidRPr="009F38B8">
        <w:t>Overdose</w:t>
      </w:r>
      <w:fldSimple w:instr=" DOCVARIABLE vault_nd_d3b45213-79e3-41e0-ae73-fddf6388992d \* MERGEFORMAT ">
        <w:r w:rsidR="00D772AB">
          <w:t xml:space="preserve"> </w:t>
        </w:r>
      </w:fldSimple>
    </w:p>
    <w:p w14:paraId="6E2492A5" w14:textId="76A05E90" w:rsidR="003E551B" w:rsidRPr="009F38B8" w:rsidRDefault="003E551B" w:rsidP="003E551B">
      <w:pPr>
        <w:autoSpaceDE w:val="0"/>
        <w:autoSpaceDN w:val="0"/>
        <w:adjustRightInd w:val="0"/>
      </w:pPr>
      <w:r w:rsidRPr="00C46767">
        <w:t>Haemoly</w:t>
      </w:r>
      <w:r w:rsidR="00A3599C">
        <w:t>sis</w:t>
      </w:r>
      <w:r w:rsidRPr="009F38B8">
        <w:t xml:space="preserve"> and </w:t>
      </w:r>
      <w:proofErr w:type="spellStart"/>
      <w:r w:rsidRPr="009F38B8">
        <w:t>methaemoglobinaemia</w:t>
      </w:r>
      <w:proofErr w:type="spellEnd"/>
      <w:r w:rsidRPr="009F38B8">
        <w:t xml:space="preserve"> may be encountered in an overdose.</w:t>
      </w:r>
    </w:p>
    <w:p w14:paraId="0C1AAA5F" w14:textId="62A93281" w:rsidR="003E551B" w:rsidRPr="009F38B8" w:rsidRDefault="003E551B" w:rsidP="003E551B">
      <w:pPr>
        <w:pStyle w:val="Heading3"/>
        <w:ind w:left="0"/>
        <w:rPr>
          <w:rFonts w:eastAsiaTheme="minorHAnsi"/>
        </w:rPr>
      </w:pPr>
      <w:r w:rsidRPr="009F38B8">
        <w:rPr>
          <w:rFonts w:eastAsiaTheme="minorHAnsi"/>
        </w:rPr>
        <w:t>Treatment</w:t>
      </w:r>
      <w:r w:rsidR="00D772AB">
        <w:rPr>
          <w:rFonts w:eastAsiaTheme="minorHAnsi"/>
        </w:rPr>
        <w:fldChar w:fldCharType="begin"/>
      </w:r>
      <w:r w:rsidR="00D772AB">
        <w:rPr>
          <w:rFonts w:eastAsiaTheme="minorHAnsi"/>
        </w:rPr>
        <w:instrText xml:space="preserve"> DOCVARIABLE vault_nd_139509bf-0ca7-4f1a-86ae-c19de2ac6575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7606BDAC" w14:textId="77777777" w:rsidR="003E551B" w:rsidRPr="009F38B8" w:rsidRDefault="003E551B" w:rsidP="003E551B">
      <w:r w:rsidRPr="009F38B8">
        <w:t>There is no specific treatment for an overdose with tafenoquine. If overdose occurs, the patient should be treated supportively with appropriate monitoring as necessary.</w:t>
      </w:r>
    </w:p>
    <w:p w14:paraId="7BA77467" w14:textId="77777777" w:rsidR="003E551B" w:rsidRPr="009F38B8" w:rsidRDefault="003E551B" w:rsidP="003E551B">
      <w:r w:rsidRPr="009F38B8">
        <w:t>Further management should be as clinically indicated or as recommended by the national poisons centre.</w:t>
      </w:r>
    </w:p>
    <w:p w14:paraId="62299C9C" w14:textId="77777777" w:rsidR="001C33EE" w:rsidRPr="009F38B8" w:rsidRDefault="003E551B" w:rsidP="001C33EE">
      <w:r w:rsidRPr="009F38B8">
        <w:t>For information on the management of overdose, contact the Poisons Information Centre on 13 11 26 (Australia).</w:t>
      </w:r>
    </w:p>
    <w:p w14:paraId="7169FCFD" w14:textId="1694DF02" w:rsidR="001A3992" w:rsidRPr="000B27CD" w:rsidRDefault="001A3992" w:rsidP="001A3992">
      <w:pPr>
        <w:pStyle w:val="Heading1"/>
        <w:spacing w:before="0" w:after="120"/>
        <w:rPr>
          <w:lang w:val="en-US"/>
        </w:rPr>
      </w:pPr>
      <w:r w:rsidRPr="000B27CD">
        <w:rPr>
          <w:lang w:val="en-US"/>
        </w:rPr>
        <w:t>Pharmacological properties</w:t>
      </w:r>
      <w:r w:rsidR="00D772AB" w:rsidRPr="000B27CD">
        <w:rPr>
          <w:lang w:val="en-US"/>
        </w:rPr>
        <w:fldChar w:fldCharType="begin"/>
      </w:r>
      <w:r w:rsidR="00D772AB" w:rsidRPr="000B27CD">
        <w:rPr>
          <w:lang w:val="en-US"/>
        </w:rPr>
        <w:instrText xml:space="preserve"> DOCVARIABLE VAULT_ND_cc9a5443-b430-4760-8fd9-02f3eb97f622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0A1B5A78" w14:textId="4872FC50" w:rsidR="001A3992" w:rsidRDefault="001A3992" w:rsidP="001A3992">
      <w:pPr>
        <w:pStyle w:val="Heading2"/>
        <w:spacing w:before="0" w:after="120"/>
        <w:rPr>
          <w:lang w:val="en-US"/>
        </w:rPr>
      </w:pPr>
      <w:r w:rsidRPr="009F38B8">
        <w:rPr>
          <w:lang w:val="en-US"/>
        </w:rPr>
        <w:t>Pharmacodynamic properties</w:t>
      </w:r>
      <w:r w:rsidR="00D772AB">
        <w:rPr>
          <w:lang w:val="en-US"/>
        </w:rPr>
        <w:fldChar w:fldCharType="begin"/>
      </w:r>
      <w:r w:rsidR="00D772AB">
        <w:rPr>
          <w:lang w:val="en-US"/>
        </w:rPr>
        <w:instrText xml:space="preserve"> DOCVARIABLE vault_nd_b839ccba-584e-4e16-932e-70931186de01 \* MERGEFORMAT </w:instrText>
      </w:r>
      <w:r w:rsidR="00D772AB">
        <w:rPr>
          <w:lang w:val="en-US"/>
        </w:rPr>
        <w:fldChar w:fldCharType="separate"/>
      </w:r>
      <w:r w:rsidR="00D772AB">
        <w:rPr>
          <w:lang w:val="en-US"/>
        </w:rPr>
        <w:t xml:space="preserve"> </w:t>
      </w:r>
      <w:r w:rsidR="00D772AB">
        <w:rPr>
          <w:lang w:val="en-US"/>
        </w:rPr>
        <w:fldChar w:fldCharType="end"/>
      </w:r>
    </w:p>
    <w:p w14:paraId="1AF0474B" w14:textId="026A6EB2" w:rsidR="00254A0B" w:rsidRPr="001B1FBE" w:rsidRDefault="00254A0B" w:rsidP="001B1FBE">
      <w:pPr>
        <w:rPr>
          <w:rFonts w:eastAsia="MS Mincho"/>
          <w:i/>
          <w:lang w:val="fr-CH"/>
        </w:rPr>
      </w:pPr>
      <w:r>
        <w:rPr>
          <w:lang w:val="en-US"/>
        </w:rPr>
        <w:t xml:space="preserve">ATC code: </w:t>
      </w:r>
      <w:r w:rsidRPr="00F53B12">
        <w:rPr>
          <w:rFonts w:eastAsia="MS Mincho"/>
          <w:lang w:val="fr-CH"/>
        </w:rPr>
        <w:t>P01BA07</w:t>
      </w:r>
      <w:r w:rsidRPr="001D5F54">
        <w:rPr>
          <w:rFonts w:eastAsia="MS Mincho"/>
          <w:i/>
          <w:lang w:val="fr-CH"/>
        </w:rPr>
        <w:t> </w:t>
      </w:r>
    </w:p>
    <w:p w14:paraId="566A5814" w14:textId="6D45B2F0" w:rsidR="001A3992" w:rsidRPr="009F38B8" w:rsidRDefault="001A3992" w:rsidP="003E551B">
      <w:pPr>
        <w:pStyle w:val="Heading3"/>
        <w:spacing w:before="0" w:after="120"/>
        <w:ind w:left="0"/>
      </w:pPr>
      <w:r w:rsidRPr="009F38B8">
        <w:t>Mechanism of action</w:t>
      </w:r>
      <w:fldSimple w:instr=" DOCVARIABLE vault_nd_97608308-fee7-4bfc-856a-013b3c1a3e16 \* MERGEFORMAT ">
        <w:r w:rsidR="00D772AB">
          <w:t xml:space="preserve"> </w:t>
        </w:r>
      </w:fldSimple>
    </w:p>
    <w:p w14:paraId="48C1D0BB" w14:textId="77777777" w:rsidR="003E551B" w:rsidRPr="009F38B8" w:rsidRDefault="003E551B" w:rsidP="003E551B">
      <w:r w:rsidRPr="009F38B8">
        <w:t>Tafenoquine</w:t>
      </w:r>
      <w:r w:rsidR="00D05A6E" w:rsidRPr="009F38B8">
        <w:t xml:space="preserve">, an 8-aminoquinoline, </w:t>
      </w:r>
      <w:r w:rsidRPr="009F38B8">
        <w:t xml:space="preserve">eradicates </w:t>
      </w:r>
      <w:r w:rsidRPr="009F38B8">
        <w:rPr>
          <w:i/>
        </w:rPr>
        <w:t>P. vivax</w:t>
      </w:r>
      <w:r w:rsidRPr="009F38B8">
        <w:t xml:space="preserve"> liver hypnozoites, preventing the relapse of malaria. The molecular target of tafenoquine is not known.</w:t>
      </w:r>
    </w:p>
    <w:p w14:paraId="4E716B20" w14:textId="0DFB3A83" w:rsidR="001A3992" w:rsidRPr="009F38B8" w:rsidRDefault="001A3992" w:rsidP="003E551B">
      <w:pPr>
        <w:pStyle w:val="Heading3"/>
        <w:spacing w:before="0" w:after="120"/>
        <w:ind w:left="0"/>
        <w:rPr>
          <w:lang w:val="en-US"/>
        </w:rPr>
      </w:pPr>
      <w:r w:rsidRPr="009F38B8">
        <w:t>Clinical</w:t>
      </w:r>
      <w:r w:rsidRPr="009F38B8">
        <w:rPr>
          <w:lang w:val="en-US"/>
        </w:rPr>
        <w:t xml:space="preserve"> trials</w:t>
      </w:r>
      <w:r w:rsidR="00D772AB">
        <w:rPr>
          <w:lang w:val="en-US"/>
        </w:rPr>
        <w:fldChar w:fldCharType="begin"/>
      </w:r>
      <w:r w:rsidR="00D772AB">
        <w:rPr>
          <w:lang w:val="en-US"/>
        </w:rPr>
        <w:instrText xml:space="preserve"> DOCVARIABLE vault_nd_4d8e89ad-d8aa-4cc9-990b-2c3756f528b3 \* MERGEFORMAT </w:instrText>
      </w:r>
      <w:r w:rsidR="00D772AB">
        <w:rPr>
          <w:lang w:val="en-US"/>
        </w:rPr>
        <w:fldChar w:fldCharType="separate"/>
      </w:r>
      <w:r w:rsidR="00D772AB">
        <w:rPr>
          <w:lang w:val="en-US"/>
        </w:rPr>
        <w:t xml:space="preserve"> </w:t>
      </w:r>
      <w:r w:rsidR="00D772AB">
        <w:rPr>
          <w:lang w:val="en-US"/>
        </w:rPr>
        <w:fldChar w:fldCharType="end"/>
      </w:r>
    </w:p>
    <w:p w14:paraId="78CF7CC9" w14:textId="0288BB92" w:rsidR="00A53AFC" w:rsidRPr="00A53AFC" w:rsidRDefault="00A53AFC" w:rsidP="00A53AFC">
      <w:pPr>
        <w:pStyle w:val="Heading4"/>
        <w:numPr>
          <w:ilvl w:val="0"/>
          <w:numId w:val="0"/>
        </w:numPr>
        <w:spacing w:after="240"/>
        <w:rPr>
          <w:color w:val="auto"/>
        </w:rPr>
      </w:pPr>
      <w:bookmarkStart w:id="4" w:name="_Hlk519520844"/>
      <w:r w:rsidRPr="00A53AFC">
        <w:rPr>
          <w:color w:val="auto"/>
        </w:rPr>
        <w:t>Combination with Chloroquine</w:t>
      </w:r>
      <w:r w:rsidR="000D4A6F">
        <w:rPr>
          <w:color w:val="auto"/>
        </w:rPr>
        <w:fldChar w:fldCharType="begin"/>
      </w:r>
      <w:r w:rsidR="000D4A6F">
        <w:rPr>
          <w:color w:val="auto"/>
        </w:rPr>
        <w:instrText xml:space="preserve"> DOCVARIABLE vault_nd_46870775-9523-465e-bd7e-d80f24cc9548 \* MERGEFORMAT </w:instrText>
      </w:r>
      <w:r w:rsidR="000D4A6F">
        <w:rPr>
          <w:color w:val="auto"/>
        </w:rPr>
        <w:fldChar w:fldCharType="separate"/>
      </w:r>
      <w:r w:rsidR="000D4A6F">
        <w:rPr>
          <w:color w:val="auto"/>
        </w:rPr>
        <w:t xml:space="preserve"> </w:t>
      </w:r>
      <w:r w:rsidR="000D4A6F">
        <w:rPr>
          <w:color w:val="auto"/>
        </w:rPr>
        <w:fldChar w:fldCharType="end"/>
      </w:r>
    </w:p>
    <w:p w14:paraId="6B91E0D9" w14:textId="0BA5F5B3" w:rsidR="00A40D8D" w:rsidRDefault="00A40D8D" w:rsidP="003E551B">
      <w:pPr>
        <w:rPr>
          <w:szCs w:val="24"/>
          <w:u w:val="single"/>
        </w:rPr>
      </w:pPr>
      <w:r>
        <w:rPr>
          <w:szCs w:val="24"/>
          <w:u w:val="single"/>
        </w:rPr>
        <w:t>Adults and adolescents</w:t>
      </w:r>
    </w:p>
    <w:p w14:paraId="7027989E" w14:textId="4B71E603" w:rsidR="003E551B" w:rsidRPr="009F38B8" w:rsidRDefault="003E551B" w:rsidP="003E551B">
      <w:pPr>
        <w:rPr>
          <w:szCs w:val="24"/>
        </w:rPr>
      </w:pPr>
      <w:r w:rsidRPr="009F38B8">
        <w:rPr>
          <w:szCs w:val="24"/>
        </w:rPr>
        <w:t xml:space="preserve">The </w:t>
      </w:r>
      <w:r w:rsidR="00254A0B">
        <w:rPr>
          <w:szCs w:val="24"/>
        </w:rPr>
        <w:t xml:space="preserve">TAF112582 </w:t>
      </w:r>
      <w:r w:rsidRPr="009F38B8">
        <w:rPr>
          <w:szCs w:val="24"/>
        </w:rPr>
        <w:t>trial was a double-blind, randomi</w:t>
      </w:r>
      <w:r w:rsidR="00FD125E" w:rsidRPr="009F38B8">
        <w:rPr>
          <w:szCs w:val="24"/>
        </w:rPr>
        <w:t>s</w:t>
      </w:r>
      <w:r w:rsidRPr="009F38B8">
        <w:rPr>
          <w:szCs w:val="24"/>
        </w:rPr>
        <w:t xml:space="preserve">ed, controlled clinical trial of 522 adults positive for </w:t>
      </w:r>
      <w:r w:rsidRPr="00E90F5C">
        <w:rPr>
          <w:i/>
          <w:szCs w:val="24"/>
        </w:rPr>
        <w:t xml:space="preserve">P. vivax </w:t>
      </w:r>
      <w:r w:rsidRPr="009F38B8">
        <w:rPr>
          <w:szCs w:val="24"/>
        </w:rPr>
        <w:t xml:space="preserve">in 3 regions (Asia, Africa, and Latin America). </w:t>
      </w:r>
      <w:r w:rsidR="0007703B" w:rsidRPr="009F38B8">
        <w:rPr>
          <w:szCs w:val="24"/>
        </w:rPr>
        <w:t>All patients received chloroquine phosphate (600</w:t>
      </w:r>
      <w:r w:rsidR="00254A0B">
        <w:rPr>
          <w:szCs w:val="24"/>
        </w:rPr>
        <w:t xml:space="preserve"> </w:t>
      </w:r>
      <w:r w:rsidR="0007703B" w:rsidRPr="009F38B8">
        <w:rPr>
          <w:szCs w:val="24"/>
        </w:rPr>
        <w:t xml:space="preserve">mg free base on Days 1 and 2 </w:t>
      </w:r>
      <w:r w:rsidR="002D31B0" w:rsidRPr="00FD6904">
        <w:rPr>
          <w:szCs w:val="24"/>
        </w:rPr>
        <w:t>and</w:t>
      </w:r>
      <w:r w:rsidR="002D31B0" w:rsidRPr="009F38B8">
        <w:rPr>
          <w:szCs w:val="24"/>
        </w:rPr>
        <w:t xml:space="preserve"> </w:t>
      </w:r>
      <w:r w:rsidR="0007703B" w:rsidRPr="009F38B8">
        <w:rPr>
          <w:szCs w:val="24"/>
        </w:rPr>
        <w:t>300</w:t>
      </w:r>
      <w:r w:rsidR="00254A0B">
        <w:rPr>
          <w:szCs w:val="24"/>
        </w:rPr>
        <w:t xml:space="preserve"> </w:t>
      </w:r>
      <w:r w:rsidR="0007703B" w:rsidRPr="009F38B8">
        <w:rPr>
          <w:szCs w:val="24"/>
        </w:rPr>
        <w:t>mg free base on Day 3) to treat the acut</w:t>
      </w:r>
      <w:r w:rsidR="0007703B" w:rsidRPr="001B1FBE">
        <w:rPr>
          <w:color w:val="000000" w:themeColor="text1"/>
          <w:szCs w:val="24"/>
        </w:rPr>
        <w:t>e</w:t>
      </w:r>
      <w:r w:rsidR="00945862" w:rsidRPr="001B1FBE">
        <w:rPr>
          <w:color w:val="000000" w:themeColor="text1"/>
          <w:szCs w:val="24"/>
        </w:rPr>
        <w:t xml:space="preserve"> </w:t>
      </w:r>
      <w:proofErr w:type="spellStart"/>
      <w:proofErr w:type="gramStart"/>
      <w:r w:rsidR="002D31B0" w:rsidRPr="001B1FBE">
        <w:rPr>
          <w:i/>
          <w:color w:val="000000" w:themeColor="text1"/>
          <w:szCs w:val="24"/>
        </w:rPr>
        <w:t>P.vivax</w:t>
      </w:r>
      <w:proofErr w:type="spellEnd"/>
      <w:proofErr w:type="gramEnd"/>
      <w:r w:rsidR="002D31B0" w:rsidRPr="001B1FBE">
        <w:rPr>
          <w:color w:val="000000" w:themeColor="text1"/>
          <w:szCs w:val="24"/>
        </w:rPr>
        <w:t xml:space="preserve"> </w:t>
      </w:r>
      <w:r w:rsidR="0007703B" w:rsidRPr="001B1FBE" w:rsidDel="0007703B">
        <w:rPr>
          <w:strike/>
          <w:color w:val="000000" w:themeColor="text1"/>
          <w:szCs w:val="24"/>
        </w:rPr>
        <w:t xml:space="preserve"> </w:t>
      </w:r>
      <w:bookmarkEnd w:id="4"/>
      <w:r w:rsidR="00945862" w:rsidRPr="001B1FBE">
        <w:rPr>
          <w:color w:val="000000" w:themeColor="text1"/>
          <w:szCs w:val="24"/>
        </w:rPr>
        <w:t xml:space="preserve"> </w:t>
      </w:r>
      <w:r w:rsidR="002D31B0" w:rsidRPr="00FD6904">
        <w:rPr>
          <w:szCs w:val="24"/>
        </w:rPr>
        <w:t>malaria</w:t>
      </w:r>
      <w:r w:rsidR="002D31B0" w:rsidRPr="009F38B8">
        <w:rPr>
          <w:szCs w:val="24"/>
        </w:rPr>
        <w:t xml:space="preserve"> </w:t>
      </w:r>
      <w:r w:rsidRPr="009F38B8">
        <w:rPr>
          <w:szCs w:val="24"/>
        </w:rPr>
        <w:t>and were randomi</w:t>
      </w:r>
      <w:r w:rsidR="00FD125E" w:rsidRPr="009F38B8">
        <w:rPr>
          <w:szCs w:val="24"/>
        </w:rPr>
        <w:t>s</w:t>
      </w:r>
      <w:r w:rsidRPr="009F38B8">
        <w:rPr>
          <w:szCs w:val="24"/>
        </w:rPr>
        <w:t xml:space="preserve">ed to one of the following: a one-time dose of tafenoquine (two 150 mg tablets) on Day 1 or Day 2 (N=260), primaquine 15 mg once daily for 14 days starting Day 2 (N=129), or placebo (N=133). Patients included in the study had a mean age of 35 (range 15-79 years), were primarily male (75%), and from the following regions: 70% South America (Brazil and Peru), 20% Southeast Asia (Thailand, </w:t>
      </w:r>
      <w:proofErr w:type="gramStart"/>
      <w:r w:rsidRPr="009F38B8">
        <w:rPr>
          <w:szCs w:val="24"/>
        </w:rPr>
        <w:t>Cambodia</w:t>
      </w:r>
      <w:proofErr w:type="gramEnd"/>
      <w:r w:rsidRPr="009F38B8">
        <w:rPr>
          <w:szCs w:val="24"/>
        </w:rPr>
        <w:t xml:space="preserve"> and the Philippines), and 11% Africa (Ethiopia).</w:t>
      </w:r>
      <w:r w:rsidR="003B1FA3" w:rsidRPr="009F38B8">
        <w:rPr>
          <w:szCs w:val="24"/>
        </w:rPr>
        <w:t xml:space="preserve"> All patients </w:t>
      </w:r>
      <w:r w:rsidR="003B1FA3" w:rsidRPr="009F38B8">
        <w:rPr>
          <w:szCs w:val="24"/>
        </w:rPr>
        <w:lastRenderedPageBreak/>
        <w:t xml:space="preserve">enrolled in the study had a positive blood film for </w:t>
      </w:r>
      <w:r w:rsidR="003B1FA3" w:rsidRPr="00E90F5C">
        <w:rPr>
          <w:i/>
          <w:szCs w:val="24"/>
        </w:rPr>
        <w:t>P. vivax</w:t>
      </w:r>
      <w:r w:rsidR="003B1FA3" w:rsidRPr="009F38B8">
        <w:rPr>
          <w:szCs w:val="24"/>
        </w:rPr>
        <w:t>. Those with mixed malaria infections were excluded.</w:t>
      </w:r>
    </w:p>
    <w:p w14:paraId="3A16D81D" w14:textId="77777777" w:rsidR="003E551B" w:rsidRPr="009F38B8" w:rsidRDefault="003E551B" w:rsidP="003E551B">
      <w:pPr>
        <w:rPr>
          <w:szCs w:val="24"/>
        </w:rPr>
      </w:pPr>
      <w:r w:rsidRPr="009F38B8">
        <w:rPr>
          <w:szCs w:val="24"/>
        </w:rPr>
        <w:t>The primary endpoint was recurrence-free efficacy 6 months post-dosing for tafenoquine added to chloroquine compared to chloroquine alone. Patients were considered recurrence-free if they demonstrated initial parasite clearance, took no anti-malarial medications, and were confirmed parasite-free at the final assessment (i.e., absence of relapse or new infection).</w:t>
      </w:r>
    </w:p>
    <w:p w14:paraId="196DADF9" w14:textId="77777777" w:rsidR="003E551B" w:rsidRPr="009F38B8" w:rsidRDefault="003E551B" w:rsidP="003E551B">
      <w:pPr>
        <w:autoSpaceDE w:val="0"/>
        <w:autoSpaceDN w:val="0"/>
        <w:adjustRightInd w:val="0"/>
        <w:rPr>
          <w:szCs w:val="24"/>
        </w:rPr>
      </w:pPr>
      <w:r w:rsidRPr="009F38B8">
        <w:rPr>
          <w:szCs w:val="24"/>
        </w:rPr>
        <w:t xml:space="preserve">Due to the risk of haemolytic anaemia, patients were excluded from the study if they had a G6PD enzyme level &lt;70% of the site median value for G6PD </w:t>
      </w:r>
      <w:proofErr w:type="spellStart"/>
      <w:r w:rsidRPr="009F38B8">
        <w:rPr>
          <w:szCs w:val="24"/>
        </w:rPr>
        <w:t>normals</w:t>
      </w:r>
      <w:proofErr w:type="spellEnd"/>
      <w:r w:rsidRPr="009F38B8">
        <w:rPr>
          <w:szCs w:val="24"/>
        </w:rPr>
        <w:t>. An assay validation study determined G6PD eligibility requirements for the pivotal trials and found global median G6PD activity was 8.2 IU/</w:t>
      </w:r>
      <w:proofErr w:type="spellStart"/>
      <w:r w:rsidRPr="009F38B8">
        <w:rPr>
          <w:szCs w:val="24"/>
        </w:rPr>
        <w:t>gHb</w:t>
      </w:r>
      <w:proofErr w:type="spellEnd"/>
      <w:r w:rsidRPr="009F38B8">
        <w:rPr>
          <w:szCs w:val="24"/>
        </w:rPr>
        <w:t>, with 70% of median at 5.7 IU/</w:t>
      </w:r>
      <w:proofErr w:type="spellStart"/>
      <w:r w:rsidRPr="009F38B8">
        <w:rPr>
          <w:szCs w:val="24"/>
        </w:rPr>
        <w:t>gHb</w:t>
      </w:r>
      <w:proofErr w:type="spellEnd"/>
      <w:r w:rsidRPr="009F38B8">
        <w:rPr>
          <w:szCs w:val="24"/>
        </w:rPr>
        <w:t xml:space="preserve"> (at 30ºC using Trinity</w:t>
      </w:r>
      <w:r w:rsidRPr="009F38B8">
        <w:rPr>
          <w:szCs w:val="24"/>
          <w:vertAlign w:val="superscript"/>
        </w:rPr>
        <w:t>®</w:t>
      </w:r>
      <w:r w:rsidRPr="009F38B8">
        <w:rPr>
          <w:szCs w:val="24"/>
        </w:rPr>
        <w:t xml:space="preserve"> assay). Regional G6PD values (70% of median) were similar across the studied regions: 5.8 for South America, 5.6 for SE Asia, 5.7 for Africa). In this trial, the minimum G6PD enzyme level of any subject was 5.4</w:t>
      </w:r>
      <w:r w:rsidRPr="009F38B8">
        <w:rPr>
          <w:i/>
          <w:szCs w:val="24"/>
        </w:rPr>
        <w:t xml:space="preserve"> </w:t>
      </w:r>
      <w:r w:rsidRPr="009F38B8">
        <w:rPr>
          <w:szCs w:val="24"/>
        </w:rPr>
        <w:t>IU/</w:t>
      </w:r>
      <w:proofErr w:type="spellStart"/>
      <w:r w:rsidRPr="009F38B8">
        <w:rPr>
          <w:szCs w:val="24"/>
        </w:rPr>
        <w:t>gHb</w:t>
      </w:r>
      <w:proofErr w:type="spellEnd"/>
      <w:r w:rsidRPr="009F38B8">
        <w:rPr>
          <w:szCs w:val="24"/>
        </w:rPr>
        <w:t>.</w:t>
      </w:r>
    </w:p>
    <w:p w14:paraId="1FB7F057" w14:textId="1C293609" w:rsidR="003E551B" w:rsidRPr="009F38B8" w:rsidRDefault="003E551B" w:rsidP="003E551B">
      <w:pPr>
        <w:autoSpaceDE w:val="0"/>
        <w:autoSpaceDN w:val="0"/>
        <w:adjustRightInd w:val="0"/>
        <w:rPr>
          <w:szCs w:val="24"/>
        </w:rPr>
      </w:pPr>
      <w:r w:rsidRPr="009F38B8">
        <w:rPr>
          <w:szCs w:val="24"/>
        </w:rPr>
        <w:t xml:space="preserve">The recurrence-free efficacy rates at 6 months amongst treatment groups are presented for the overall population in Table </w:t>
      </w:r>
      <w:r w:rsidR="00AC1C7C">
        <w:rPr>
          <w:szCs w:val="24"/>
        </w:rPr>
        <w:t>2</w:t>
      </w:r>
      <w:r w:rsidRPr="009F38B8">
        <w:rPr>
          <w:szCs w:val="24"/>
        </w:rPr>
        <w:t xml:space="preserve">. The risk of recurrence for tafenoquine plus chloroquine was reduced by 70% compared to chloroquine alone. </w:t>
      </w:r>
    </w:p>
    <w:p w14:paraId="6E8C0D00" w14:textId="740AC6B1" w:rsidR="003E551B" w:rsidRPr="009F38B8" w:rsidRDefault="003E551B" w:rsidP="003E551B">
      <w:pPr>
        <w:keepNext/>
        <w:keepLines/>
        <w:spacing w:after="0"/>
        <w:rPr>
          <w:b/>
          <w:szCs w:val="24"/>
          <w:vertAlign w:val="superscript"/>
        </w:rPr>
      </w:pPr>
      <w:r w:rsidRPr="009F38B8">
        <w:rPr>
          <w:b/>
          <w:szCs w:val="24"/>
        </w:rPr>
        <w:t xml:space="preserve">Table </w:t>
      </w:r>
      <w:r w:rsidR="00AC1C7C">
        <w:rPr>
          <w:b/>
          <w:szCs w:val="24"/>
        </w:rPr>
        <w:t>2</w:t>
      </w:r>
      <w:r w:rsidRPr="009F38B8">
        <w:rPr>
          <w:b/>
          <w:szCs w:val="24"/>
        </w:rPr>
        <w:t xml:space="preserve">. Recurrence-free efficacy at 6 months – Overall </w:t>
      </w:r>
      <w:proofErr w:type="spellStart"/>
      <w:r w:rsidRPr="009F38B8">
        <w:rPr>
          <w:b/>
          <w:szCs w:val="24"/>
        </w:rPr>
        <w:t>Population</w:t>
      </w:r>
      <w:r w:rsidRPr="009F38B8">
        <w:rPr>
          <w:b/>
          <w:szCs w:val="24"/>
          <w:vertAlign w:val="superscript"/>
        </w:rPr>
        <w:t>a</w:t>
      </w:r>
      <w:proofErr w:type="spellEnd"/>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820"/>
        <w:gridCol w:w="1723"/>
        <w:gridCol w:w="1543"/>
      </w:tblGrid>
      <w:tr w:rsidR="009F38B8" w:rsidRPr="009F38B8" w14:paraId="08FC9412" w14:textId="77777777" w:rsidTr="00172E14">
        <w:trPr>
          <w:trHeight w:val="932"/>
        </w:trPr>
        <w:tc>
          <w:tcPr>
            <w:tcW w:w="2316" w:type="pct"/>
          </w:tcPr>
          <w:p w14:paraId="0DDB9936" w14:textId="77777777" w:rsidR="003E551B" w:rsidRPr="009F38B8" w:rsidRDefault="003E551B" w:rsidP="00B903B7">
            <w:pPr>
              <w:keepNext/>
              <w:keepLines/>
              <w:tabs>
                <w:tab w:val="left" w:pos="274"/>
                <w:tab w:val="left" w:pos="547"/>
                <w:tab w:val="left" w:pos="821"/>
                <w:tab w:val="left" w:pos="1094"/>
              </w:tabs>
              <w:spacing w:after="0"/>
              <w:rPr>
                <w:szCs w:val="24"/>
              </w:rPr>
            </w:pPr>
          </w:p>
        </w:tc>
        <w:tc>
          <w:tcPr>
            <w:tcW w:w="960" w:type="pct"/>
          </w:tcPr>
          <w:p w14:paraId="3C9168C9"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Tafenoquine/</w:t>
            </w:r>
          </w:p>
          <w:p w14:paraId="316DBB64"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Chloroquine</w:t>
            </w:r>
          </w:p>
          <w:p w14:paraId="59BAB309"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260)</w:t>
            </w:r>
          </w:p>
        </w:tc>
        <w:tc>
          <w:tcPr>
            <w:tcW w:w="909" w:type="pct"/>
          </w:tcPr>
          <w:p w14:paraId="6A733396"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Primaquine/</w:t>
            </w:r>
          </w:p>
          <w:p w14:paraId="608F0118" w14:textId="77777777" w:rsidR="003E551B" w:rsidRPr="009F38B8" w:rsidRDefault="003E551B" w:rsidP="00B903B7">
            <w:pPr>
              <w:keepNext/>
              <w:keepLines/>
              <w:tabs>
                <w:tab w:val="left" w:pos="274"/>
                <w:tab w:val="left" w:pos="547"/>
                <w:tab w:val="left" w:pos="821"/>
                <w:tab w:val="left" w:pos="1094"/>
              </w:tabs>
              <w:spacing w:after="0"/>
              <w:jc w:val="center"/>
              <w:rPr>
                <w:b/>
                <w:szCs w:val="24"/>
              </w:rPr>
            </w:pPr>
            <w:proofErr w:type="spellStart"/>
            <w:r w:rsidRPr="009F38B8">
              <w:rPr>
                <w:b/>
                <w:szCs w:val="24"/>
              </w:rPr>
              <w:t>Chloroquine</w:t>
            </w:r>
            <w:r w:rsidRPr="009F38B8">
              <w:rPr>
                <w:b/>
                <w:szCs w:val="24"/>
                <w:vertAlign w:val="superscript"/>
              </w:rPr>
              <w:t>d</w:t>
            </w:r>
            <w:proofErr w:type="spellEnd"/>
          </w:p>
          <w:p w14:paraId="6929DC5E"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129)</w:t>
            </w:r>
          </w:p>
        </w:tc>
        <w:tc>
          <w:tcPr>
            <w:tcW w:w="814" w:type="pct"/>
          </w:tcPr>
          <w:p w14:paraId="05F7FC83"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Chloroquine</w:t>
            </w:r>
          </w:p>
          <w:p w14:paraId="159ED275"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133)</w:t>
            </w:r>
          </w:p>
        </w:tc>
      </w:tr>
      <w:tr w:rsidR="009F38B8" w:rsidRPr="009F38B8" w14:paraId="10645E18" w14:textId="77777777" w:rsidTr="00172E14">
        <w:trPr>
          <w:trHeight w:val="471"/>
        </w:trPr>
        <w:tc>
          <w:tcPr>
            <w:tcW w:w="2316" w:type="pct"/>
          </w:tcPr>
          <w:p w14:paraId="5CC9278A" w14:textId="77777777" w:rsidR="003E551B" w:rsidRPr="009F38B8" w:rsidRDefault="003E551B" w:rsidP="00B903B7">
            <w:pPr>
              <w:keepNext/>
              <w:keepLines/>
              <w:tabs>
                <w:tab w:val="left" w:pos="274"/>
                <w:tab w:val="left" w:pos="547"/>
                <w:tab w:val="left" w:pos="821"/>
                <w:tab w:val="left" w:pos="1094"/>
              </w:tabs>
              <w:spacing w:after="0"/>
              <w:rPr>
                <w:szCs w:val="24"/>
              </w:rPr>
            </w:pPr>
          </w:p>
          <w:p w14:paraId="2BFED165" w14:textId="77777777" w:rsidR="003E551B" w:rsidRPr="009F38B8" w:rsidRDefault="003E551B" w:rsidP="00DF46C9">
            <w:pPr>
              <w:keepNext/>
              <w:keepLines/>
              <w:tabs>
                <w:tab w:val="left" w:pos="547"/>
                <w:tab w:val="left" w:pos="821"/>
                <w:tab w:val="left" w:pos="1094"/>
              </w:tabs>
              <w:spacing w:after="0"/>
              <w:ind w:left="32"/>
              <w:rPr>
                <w:szCs w:val="24"/>
                <w:vertAlign w:val="superscript"/>
              </w:rPr>
            </w:pPr>
            <w:r w:rsidRPr="009F38B8">
              <w:rPr>
                <w:szCs w:val="24"/>
              </w:rPr>
              <w:t xml:space="preserve">Recurrence-free </w:t>
            </w:r>
            <w:proofErr w:type="spellStart"/>
            <w:r w:rsidRPr="009F38B8">
              <w:rPr>
                <w:szCs w:val="24"/>
              </w:rPr>
              <w:t>efficacy</w:t>
            </w:r>
            <w:r w:rsidRPr="009F38B8">
              <w:rPr>
                <w:szCs w:val="24"/>
                <w:vertAlign w:val="superscript"/>
              </w:rPr>
              <w:t>b</w:t>
            </w:r>
            <w:proofErr w:type="spellEnd"/>
          </w:p>
          <w:p w14:paraId="69B3D79F" w14:textId="77777777" w:rsidR="003E551B" w:rsidRPr="009F38B8" w:rsidRDefault="003E551B" w:rsidP="00DF46C9">
            <w:pPr>
              <w:keepNext/>
              <w:keepLines/>
              <w:tabs>
                <w:tab w:val="left" w:pos="547"/>
                <w:tab w:val="left" w:pos="821"/>
                <w:tab w:val="left" w:pos="1094"/>
              </w:tabs>
              <w:spacing w:after="0"/>
              <w:ind w:left="32"/>
              <w:rPr>
                <w:szCs w:val="24"/>
              </w:rPr>
            </w:pPr>
            <w:r w:rsidRPr="009F38B8">
              <w:rPr>
                <w:szCs w:val="24"/>
              </w:rPr>
              <w:t>(95% CI)</w:t>
            </w:r>
          </w:p>
          <w:p w14:paraId="3363D6FD" w14:textId="77777777" w:rsidR="003E551B" w:rsidRPr="009F38B8" w:rsidRDefault="003E551B" w:rsidP="00DF46C9">
            <w:pPr>
              <w:keepNext/>
              <w:keepLines/>
              <w:tabs>
                <w:tab w:val="left" w:pos="547"/>
                <w:tab w:val="left" w:pos="821"/>
                <w:tab w:val="left" w:pos="1094"/>
              </w:tabs>
              <w:spacing w:after="0"/>
              <w:ind w:left="32"/>
              <w:rPr>
                <w:szCs w:val="24"/>
              </w:rPr>
            </w:pPr>
          </w:p>
          <w:p w14:paraId="183B74CA" w14:textId="77777777" w:rsidR="003E551B" w:rsidRPr="009F38B8" w:rsidRDefault="003E551B" w:rsidP="00DF46C9">
            <w:pPr>
              <w:keepNext/>
              <w:keepLines/>
              <w:tabs>
                <w:tab w:val="left" w:pos="547"/>
                <w:tab w:val="left" w:pos="821"/>
                <w:tab w:val="left" w:pos="1094"/>
              </w:tabs>
              <w:spacing w:after="0"/>
              <w:ind w:left="32"/>
              <w:rPr>
                <w:szCs w:val="24"/>
              </w:rPr>
            </w:pPr>
            <w:proofErr w:type="spellStart"/>
            <w:r w:rsidRPr="009F38B8">
              <w:rPr>
                <w:szCs w:val="24"/>
              </w:rPr>
              <w:t>HR</w:t>
            </w:r>
            <w:r w:rsidRPr="009F38B8">
              <w:rPr>
                <w:szCs w:val="24"/>
                <w:vertAlign w:val="superscript"/>
              </w:rPr>
              <w:t>c</w:t>
            </w:r>
            <w:proofErr w:type="spellEnd"/>
            <w:r w:rsidRPr="009F38B8">
              <w:rPr>
                <w:szCs w:val="24"/>
                <w:vertAlign w:val="superscript"/>
              </w:rPr>
              <w:t xml:space="preserve"> - </w:t>
            </w:r>
            <w:r w:rsidRPr="009F38B8">
              <w:rPr>
                <w:szCs w:val="24"/>
              </w:rPr>
              <w:t xml:space="preserve">(95% CI) difference from chloroquine </w:t>
            </w:r>
          </w:p>
          <w:p w14:paraId="3BFC2ACC" w14:textId="77777777" w:rsidR="003E551B" w:rsidRPr="009F38B8" w:rsidRDefault="003E551B" w:rsidP="00DF46C9">
            <w:pPr>
              <w:keepNext/>
              <w:keepLines/>
              <w:tabs>
                <w:tab w:val="left" w:pos="547"/>
                <w:tab w:val="left" w:pos="821"/>
                <w:tab w:val="left" w:pos="1094"/>
              </w:tabs>
              <w:spacing w:after="0"/>
              <w:ind w:left="32"/>
              <w:rPr>
                <w:szCs w:val="24"/>
              </w:rPr>
            </w:pPr>
            <w:r w:rsidRPr="009F38B8">
              <w:rPr>
                <w:szCs w:val="24"/>
              </w:rPr>
              <w:t>p value</w:t>
            </w:r>
          </w:p>
          <w:p w14:paraId="54029D8A" w14:textId="77777777" w:rsidR="003E551B" w:rsidRPr="009F38B8" w:rsidRDefault="003E551B" w:rsidP="00B903B7">
            <w:pPr>
              <w:keepNext/>
              <w:keepLines/>
              <w:tabs>
                <w:tab w:val="left" w:pos="274"/>
                <w:tab w:val="left" w:pos="547"/>
                <w:tab w:val="left" w:pos="821"/>
                <w:tab w:val="left" w:pos="1094"/>
              </w:tabs>
              <w:spacing w:after="0"/>
              <w:ind w:left="274"/>
              <w:rPr>
                <w:szCs w:val="24"/>
              </w:rPr>
            </w:pPr>
          </w:p>
        </w:tc>
        <w:tc>
          <w:tcPr>
            <w:tcW w:w="960" w:type="pct"/>
          </w:tcPr>
          <w:p w14:paraId="03629147"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776BF19C"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62%</w:t>
            </w:r>
          </w:p>
          <w:p w14:paraId="0320DCF2"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(55, 69)</w:t>
            </w:r>
          </w:p>
          <w:p w14:paraId="1EC8D95A"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1A471656" w14:textId="77777777" w:rsidR="003E551B" w:rsidRPr="009F38B8" w:rsidRDefault="003E551B" w:rsidP="00B903B7">
            <w:pPr>
              <w:keepNext/>
              <w:keepLines/>
              <w:tabs>
                <w:tab w:val="left" w:pos="1094"/>
              </w:tabs>
              <w:spacing w:after="0"/>
              <w:jc w:val="center"/>
              <w:rPr>
                <w:szCs w:val="24"/>
              </w:rPr>
            </w:pPr>
            <w:r w:rsidRPr="009F38B8">
              <w:rPr>
                <w:szCs w:val="24"/>
              </w:rPr>
              <w:t>0.30 (0.22, 0.40)</w:t>
            </w:r>
          </w:p>
          <w:p w14:paraId="3430940B" w14:textId="77777777" w:rsidR="003E551B" w:rsidRPr="009F38B8" w:rsidRDefault="003E551B" w:rsidP="00B903B7">
            <w:pPr>
              <w:keepNext/>
              <w:keepLines/>
              <w:tabs>
                <w:tab w:val="left" w:pos="1094"/>
              </w:tabs>
              <w:spacing w:after="0"/>
              <w:jc w:val="center"/>
              <w:rPr>
                <w:szCs w:val="24"/>
              </w:rPr>
            </w:pPr>
            <w:r w:rsidRPr="009F38B8">
              <w:rPr>
                <w:szCs w:val="24"/>
              </w:rPr>
              <w:t>&lt;0.001</w:t>
            </w:r>
          </w:p>
        </w:tc>
        <w:tc>
          <w:tcPr>
            <w:tcW w:w="909" w:type="pct"/>
          </w:tcPr>
          <w:p w14:paraId="46AC49AE"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5A937053"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70%</w:t>
            </w:r>
          </w:p>
          <w:p w14:paraId="6549115E"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(60, 77)</w:t>
            </w:r>
          </w:p>
          <w:p w14:paraId="3F2C2E99"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1D046931"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0.26 (0.18, 0.39)</w:t>
            </w:r>
          </w:p>
          <w:p w14:paraId="4D444CD3"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&lt;0.001</w:t>
            </w:r>
          </w:p>
        </w:tc>
        <w:tc>
          <w:tcPr>
            <w:tcW w:w="814" w:type="pct"/>
          </w:tcPr>
          <w:p w14:paraId="50441431"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5EC777F6"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28%</w:t>
            </w:r>
          </w:p>
          <w:p w14:paraId="2552023E"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(20, 36)</w:t>
            </w:r>
          </w:p>
          <w:p w14:paraId="562CD140" w14:textId="77777777" w:rsidR="003E551B" w:rsidRPr="009F38B8" w:rsidRDefault="003E551B" w:rsidP="00B903B7">
            <w:pPr>
              <w:keepNext/>
              <w:keepLines/>
              <w:tabs>
                <w:tab w:val="left" w:pos="274"/>
                <w:tab w:val="left" w:pos="547"/>
                <w:tab w:val="left" w:pos="821"/>
                <w:tab w:val="left" w:pos="1094"/>
              </w:tabs>
              <w:spacing w:after="0"/>
              <w:jc w:val="center"/>
              <w:rPr>
                <w:szCs w:val="24"/>
              </w:rPr>
            </w:pPr>
          </w:p>
        </w:tc>
      </w:tr>
    </w:tbl>
    <w:p w14:paraId="757A6A06" w14:textId="77777777" w:rsidR="003E551B" w:rsidRPr="009F38B8" w:rsidRDefault="003E551B" w:rsidP="003E551B">
      <w:pPr>
        <w:keepNext/>
        <w:keepLines/>
        <w:numPr>
          <w:ilvl w:val="0"/>
          <w:numId w:val="12"/>
        </w:numPr>
        <w:spacing w:after="0" w:line="240" w:lineRule="auto"/>
        <w:rPr>
          <w:szCs w:val="24"/>
        </w:rPr>
      </w:pPr>
      <w:r w:rsidRPr="009F38B8">
        <w:rPr>
          <w:szCs w:val="24"/>
        </w:rPr>
        <w:t xml:space="preserve">Microbiologic intent to treat </w:t>
      </w:r>
      <w:proofErr w:type="gramStart"/>
      <w:r w:rsidRPr="009F38B8">
        <w:rPr>
          <w:szCs w:val="24"/>
        </w:rPr>
        <w:t>population;</w:t>
      </w:r>
      <w:proofErr w:type="gramEnd"/>
      <w:r w:rsidRPr="009F38B8">
        <w:rPr>
          <w:szCs w:val="24"/>
        </w:rPr>
        <w:t xml:space="preserve"> survival analysis</w:t>
      </w:r>
    </w:p>
    <w:p w14:paraId="744267EE" w14:textId="77777777" w:rsidR="003E551B" w:rsidRPr="009F38B8" w:rsidRDefault="003E551B" w:rsidP="003E551B">
      <w:pPr>
        <w:keepNext/>
        <w:keepLines/>
        <w:numPr>
          <w:ilvl w:val="0"/>
          <w:numId w:val="12"/>
        </w:numPr>
        <w:spacing w:after="0" w:line="240" w:lineRule="auto"/>
        <w:rPr>
          <w:szCs w:val="24"/>
        </w:rPr>
      </w:pPr>
      <w:r w:rsidRPr="009F38B8">
        <w:rPr>
          <w:szCs w:val="24"/>
        </w:rPr>
        <w:t>Kaplan-Meier Estimate</w:t>
      </w:r>
    </w:p>
    <w:p w14:paraId="329A0A20" w14:textId="77777777" w:rsidR="003E551B" w:rsidRPr="009F38B8" w:rsidRDefault="003E551B" w:rsidP="003E551B">
      <w:pPr>
        <w:keepNext/>
        <w:keepLines/>
        <w:numPr>
          <w:ilvl w:val="0"/>
          <w:numId w:val="12"/>
        </w:numPr>
        <w:spacing w:after="0" w:line="240" w:lineRule="auto"/>
        <w:rPr>
          <w:szCs w:val="24"/>
        </w:rPr>
      </w:pPr>
      <w:r w:rsidRPr="009F38B8">
        <w:rPr>
          <w:szCs w:val="24"/>
        </w:rPr>
        <w:t>Hazards ratio of the risk of recurrence versus chloroquine alone obtained from a Cox’s proportional hazards model with treatment and region as covariates.</w:t>
      </w:r>
    </w:p>
    <w:p w14:paraId="5A83406B" w14:textId="77777777" w:rsidR="003E551B" w:rsidRPr="009F38B8" w:rsidRDefault="003E551B" w:rsidP="003E551B">
      <w:pPr>
        <w:keepNext/>
        <w:keepLines/>
        <w:numPr>
          <w:ilvl w:val="0"/>
          <w:numId w:val="12"/>
        </w:numPr>
        <w:spacing w:after="0" w:line="240" w:lineRule="auto"/>
        <w:rPr>
          <w:szCs w:val="24"/>
        </w:rPr>
      </w:pPr>
      <w:r w:rsidRPr="009F38B8">
        <w:rPr>
          <w:szCs w:val="24"/>
        </w:rPr>
        <w:t>Statistical comparisons for efficacy cannot be made between tafenoquine/chloroquine and primaquine/chloroquine as the study was not powered for this comparison.</w:t>
      </w:r>
    </w:p>
    <w:p w14:paraId="784B3E0E" w14:textId="77777777" w:rsidR="003E551B" w:rsidRPr="009F38B8" w:rsidRDefault="003E551B" w:rsidP="003E551B">
      <w:pPr>
        <w:spacing w:after="0" w:line="240" w:lineRule="atLeast"/>
        <w:rPr>
          <w:szCs w:val="24"/>
        </w:rPr>
      </w:pPr>
    </w:p>
    <w:p w14:paraId="27A0E5F2" w14:textId="3DD08206" w:rsidR="00A40D8D" w:rsidRDefault="00A40D8D" w:rsidP="00A40D8D">
      <w:pPr>
        <w:rPr>
          <w:szCs w:val="24"/>
          <w:u w:val="single"/>
        </w:rPr>
      </w:pPr>
      <w:r>
        <w:rPr>
          <w:szCs w:val="24"/>
          <w:u w:val="single"/>
        </w:rPr>
        <w:t>Paediatric patients</w:t>
      </w:r>
    </w:p>
    <w:p w14:paraId="0318FC0C" w14:textId="0028F859" w:rsidR="00A40D8D" w:rsidRDefault="00A40D8D" w:rsidP="00A40D8D">
      <w:pPr>
        <w:rPr>
          <w:szCs w:val="24"/>
        </w:rPr>
      </w:pPr>
      <w:r>
        <w:rPr>
          <w:szCs w:val="24"/>
        </w:rPr>
        <w:t xml:space="preserve">An open-label, single arm, multicentre </w:t>
      </w:r>
      <w:r w:rsidR="00C24B4E">
        <w:rPr>
          <w:szCs w:val="24"/>
        </w:rPr>
        <w:t>trial</w:t>
      </w:r>
      <w:r>
        <w:rPr>
          <w:szCs w:val="24"/>
        </w:rPr>
        <w:t xml:space="preserve"> (TAF113577) evaluated tafenoquine in the treatment of paediatric patients with </w:t>
      </w:r>
      <w:r>
        <w:rPr>
          <w:i/>
          <w:iCs/>
          <w:szCs w:val="24"/>
        </w:rPr>
        <w:t>P. vivax</w:t>
      </w:r>
      <w:r>
        <w:rPr>
          <w:szCs w:val="24"/>
        </w:rPr>
        <w:t xml:space="preserve"> malaria. Sixty patients (aged at least 2 to 15 years) with confirmed </w:t>
      </w:r>
      <w:r>
        <w:rPr>
          <w:i/>
          <w:iCs/>
          <w:szCs w:val="24"/>
        </w:rPr>
        <w:t xml:space="preserve">P. vivax </w:t>
      </w:r>
      <w:r>
        <w:rPr>
          <w:szCs w:val="24"/>
        </w:rPr>
        <w:t xml:space="preserve">infection and greater than or equal to 70% normal G6PD levels were treated with chloroquine phosphate according to local guidelines followed by a weight-based dose of tafenoquine on Day 1 (as a single dose taken with food). Patients included in the study were from South America </w:t>
      </w:r>
      <w:r>
        <w:rPr>
          <w:szCs w:val="24"/>
        </w:rPr>
        <w:lastRenderedPageBreak/>
        <w:t>(Colombia) and Southeast Asia (Vietnam)</w:t>
      </w:r>
      <w:r w:rsidR="0092547B">
        <w:rPr>
          <w:szCs w:val="24"/>
        </w:rPr>
        <w:t xml:space="preserve"> and all </w:t>
      </w:r>
      <w:r w:rsidR="0092547B" w:rsidRPr="0092547B">
        <w:rPr>
          <w:i/>
          <w:iCs/>
          <w:szCs w:val="24"/>
        </w:rPr>
        <w:t>P. falciparum</w:t>
      </w:r>
      <w:r w:rsidR="0092547B">
        <w:rPr>
          <w:szCs w:val="24"/>
        </w:rPr>
        <w:t xml:space="preserve"> negative at baseline</w:t>
      </w:r>
      <w:r>
        <w:rPr>
          <w:szCs w:val="24"/>
        </w:rPr>
        <w:t>. The trial was open for patients aged 6 months to 2 years (weighing at least 5 kg), but no patients in this weight group were enrolled.</w:t>
      </w:r>
    </w:p>
    <w:p w14:paraId="345B75D6" w14:textId="69F8D586" w:rsidR="002639E3" w:rsidRPr="002639E3" w:rsidRDefault="002639E3" w:rsidP="002639E3">
      <w:pPr>
        <w:rPr>
          <w:szCs w:val="24"/>
          <w:lang w:val="en-GB"/>
        </w:rPr>
      </w:pPr>
      <w:r w:rsidRPr="002639E3">
        <w:rPr>
          <w:szCs w:val="24"/>
          <w:lang w:val="en-GB"/>
        </w:rPr>
        <w:t xml:space="preserve">The efficacy data from this trial is limited as the study was uncontrolled and was not intended as an efficacy study. Its objective was to test the dispersible formulation of tafenoquine and </w:t>
      </w:r>
      <w:r>
        <w:rPr>
          <w:szCs w:val="24"/>
          <w:lang w:val="en-GB"/>
        </w:rPr>
        <w:t xml:space="preserve">to </w:t>
      </w:r>
      <w:r w:rsidRPr="002639E3">
        <w:rPr>
          <w:szCs w:val="24"/>
          <w:lang w:val="en-GB"/>
        </w:rPr>
        <w:t xml:space="preserve">develop </w:t>
      </w:r>
      <w:r>
        <w:rPr>
          <w:szCs w:val="24"/>
          <w:lang w:val="en-GB"/>
        </w:rPr>
        <w:t xml:space="preserve">an </w:t>
      </w:r>
      <w:r w:rsidRPr="002639E3">
        <w:rPr>
          <w:szCs w:val="24"/>
          <w:lang w:val="en-GB"/>
        </w:rPr>
        <w:t xml:space="preserve">algorithm for weight-based dosing in young infants through </w:t>
      </w:r>
      <w:r>
        <w:rPr>
          <w:szCs w:val="24"/>
          <w:lang w:val="en-GB"/>
        </w:rPr>
        <w:t xml:space="preserve">a </w:t>
      </w:r>
      <w:r w:rsidRPr="002639E3">
        <w:rPr>
          <w:szCs w:val="24"/>
          <w:lang w:val="en-GB"/>
        </w:rPr>
        <w:t xml:space="preserve">population pharmacokinetic analysis. </w:t>
      </w:r>
    </w:p>
    <w:p w14:paraId="6C0FCEE8" w14:textId="0A246ED8" w:rsidR="002639E3" w:rsidRPr="002639E3" w:rsidRDefault="002639E3" w:rsidP="00A40D8D">
      <w:pPr>
        <w:rPr>
          <w:szCs w:val="24"/>
          <w:lang w:val="en-GB"/>
        </w:rPr>
      </w:pPr>
      <w:r w:rsidRPr="002639E3">
        <w:rPr>
          <w:szCs w:val="24"/>
          <w:lang w:val="en-GB"/>
        </w:rPr>
        <w:t>All enrolled patients (N=60) had microscopically confirmed</w:t>
      </w:r>
      <w:r w:rsidRPr="002639E3">
        <w:rPr>
          <w:i/>
          <w:iCs/>
          <w:szCs w:val="24"/>
          <w:lang w:val="en-GB"/>
        </w:rPr>
        <w:t xml:space="preserve"> P. vivax</w:t>
      </w:r>
      <w:r w:rsidRPr="002639E3">
        <w:rPr>
          <w:szCs w:val="24"/>
          <w:lang w:val="en-GB"/>
        </w:rPr>
        <w:t xml:space="preserve"> parasitaemia at baseline and 58/60 (97%) were successfully dosed</w:t>
      </w:r>
      <w:r>
        <w:rPr>
          <w:szCs w:val="24"/>
          <w:lang w:val="en-GB"/>
        </w:rPr>
        <w:t>.</w:t>
      </w:r>
    </w:p>
    <w:p w14:paraId="5212EBBE" w14:textId="4A8BDAC1" w:rsidR="00A40D8D" w:rsidRDefault="00A40D8D" w:rsidP="00A40D8D">
      <w:pPr>
        <w:rPr>
          <w:szCs w:val="24"/>
        </w:rPr>
      </w:pPr>
      <w:r>
        <w:rPr>
          <w:szCs w:val="24"/>
        </w:rPr>
        <w:t>Results for recurrence-free efficacy at 4 months post-dosing were based on the microbiologic intent to treat population (n=60). The overall Kaplan Meier Estimate of the recurrence-free rate over 4 months was 95% (95% CI: 85%, 98%).</w:t>
      </w:r>
    </w:p>
    <w:p w14:paraId="72540A88" w14:textId="64567FF8" w:rsidR="002639E3" w:rsidRPr="002639E3" w:rsidRDefault="002639E3" w:rsidP="00A40D8D">
      <w:pPr>
        <w:rPr>
          <w:b/>
          <w:bCs/>
          <w:szCs w:val="24"/>
        </w:rPr>
      </w:pPr>
      <w:r w:rsidRPr="002639E3">
        <w:rPr>
          <w:b/>
          <w:bCs/>
          <w:szCs w:val="24"/>
        </w:rPr>
        <w:t>Table 3: Recurrence free survival over 4 months of follow up (</w:t>
      </w:r>
      <w:proofErr w:type="spellStart"/>
      <w:r w:rsidRPr="002639E3">
        <w:rPr>
          <w:b/>
          <w:bCs/>
          <w:szCs w:val="24"/>
        </w:rPr>
        <w:t>mITT</w:t>
      </w:r>
      <w:proofErr w:type="spellEnd"/>
      <w:r w:rsidRPr="002639E3">
        <w:rPr>
          <w:b/>
          <w:bCs/>
          <w:szCs w:val="24"/>
        </w:rPr>
        <w:t xml:space="preserve"> population)</w:t>
      </w:r>
    </w:p>
    <w:tbl>
      <w:tblPr>
        <w:tblStyle w:val="TableGrid"/>
        <w:tblW w:w="0" w:type="auto"/>
        <w:tblLook w:val="04A0" w:firstRow="1" w:lastRow="0" w:firstColumn="1" w:lastColumn="0" w:noHBand="0" w:noVBand="1"/>
      </w:tblPr>
      <w:tblGrid>
        <w:gridCol w:w="1980"/>
        <w:gridCol w:w="1417"/>
        <w:gridCol w:w="1418"/>
        <w:gridCol w:w="1417"/>
        <w:gridCol w:w="1418"/>
        <w:gridCol w:w="1366"/>
      </w:tblGrid>
      <w:tr w:rsidR="002639E3" w:rsidRPr="00C662C8" w14:paraId="32492F67" w14:textId="77777777" w:rsidTr="00C662C8">
        <w:tc>
          <w:tcPr>
            <w:tcW w:w="1980" w:type="dxa"/>
          </w:tcPr>
          <w:p w14:paraId="76B1DA86" w14:textId="77777777" w:rsidR="002639E3" w:rsidRPr="00C662C8" w:rsidRDefault="002639E3" w:rsidP="00A40D8D">
            <w:pPr>
              <w:rPr>
                <w:b/>
                <w:bCs/>
                <w:szCs w:val="24"/>
              </w:rPr>
            </w:pPr>
          </w:p>
        </w:tc>
        <w:tc>
          <w:tcPr>
            <w:tcW w:w="1417" w:type="dxa"/>
          </w:tcPr>
          <w:p w14:paraId="7816654F" w14:textId="77777777" w:rsidR="002639E3" w:rsidRPr="00C662C8" w:rsidRDefault="002639E3" w:rsidP="00C662C8">
            <w:pPr>
              <w:jc w:val="center"/>
              <w:rPr>
                <w:b/>
                <w:bCs/>
                <w:szCs w:val="24"/>
              </w:rPr>
            </w:pPr>
            <w:r w:rsidRPr="00C662C8">
              <w:rPr>
                <w:b/>
                <w:bCs/>
                <w:szCs w:val="24"/>
              </w:rPr>
              <w:t>TQ</w:t>
            </w:r>
          </w:p>
          <w:p w14:paraId="73EE6CBF" w14:textId="77777777" w:rsidR="002639E3" w:rsidRPr="00C662C8" w:rsidRDefault="002639E3" w:rsidP="00C662C8">
            <w:pPr>
              <w:jc w:val="center"/>
              <w:rPr>
                <w:b/>
                <w:bCs/>
                <w:szCs w:val="24"/>
              </w:rPr>
            </w:pPr>
            <w:r w:rsidRPr="00C662C8">
              <w:rPr>
                <w:b/>
                <w:bCs/>
                <w:szCs w:val="24"/>
              </w:rPr>
              <w:t>100 mg</w:t>
            </w:r>
          </w:p>
          <w:p w14:paraId="2019423D" w14:textId="5B952A72" w:rsidR="002639E3" w:rsidRPr="00C662C8" w:rsidRDefault="002639E3" w:rsidP="00C662C8">
            <w:pPr>
              <w:jc w:val="center"/>
              <w:rPr>
                <w:b/>
                <w:bCs/>
                <w:szCs w:val="24"/>
              </w:rPr>
            </w:pPr>
            <w:r w:rsidRPr="00C662C8">
              <w:rPr>
                <w:b/>
                <w:bCs/>
                <w:szCs w:val="24"/>
              </w:rPr>
              <w:t>(n=14)</w:t>
            </w:r>
          </w:p>
        </w:tc>
        <w:tc>
          <w:tcPr>
            <w:tcW w:w="1418" w:type="dxa"/>
          </w:tcPr>
          <w:p w14:paraId="02E369BE" w14:textId="77777777" w:rsidR="002639E3" w:rsidRPr="00C662C8" w:rsidRDefault="002639E3" w:rsidP="00C662C8">
            <w:pPr>
              <w:jc w:val="center"/>
              <w:rPr>
                <w:b/>
                <w:bCs/>
                <w:szCs w:val="24"/>
              </w:rPr>
            </w:pPr>
            <w:r w:rsidRPr="00C662C8">
              <w:rPr>
                <w:b/>
                <w:bCs/>
                <w:szCs w:val="24"/>
              </w:rPr>
              <w:t>TQ</w:t>
            </w:r>
          </w:p>
          <w:p w14:paraId="695C4E80" w14:textId="618F678B" w:rsidR="002639E3" w:rsidRPr="00C662C8" w:rsidRDefault="002639E3" w:rsidP="00C662C8">
            <w:pPr>
              <w:jc w:val="center"/>
              <w:rPr>
                <w:b/>
                <w:bCs/>
                <w:szCs w:val="24"/>
              </w:rPr>
            </w:pPr>
            <w:r w:rsidRPr="00C662C8">
              <w:rPr>
                <w:b/>
                <w:bCs/>
                <w:szCs w:val="24"/>
              </w:rPr>
              <w:t>150 mg</w:t>
            </w:r>
          </w:p>
          <w:p w14:paraId="040EE5DF" w14:textId="08F347E5" w:rsidR="002639E3" w:rsidRPr="00C662C8" w:rsidRDefault="002639E3" w:rsidP="00C662C8">
            <w:pPr>
              <w:jc w:val="center"/>
              <w:rPr>
                <w:b/>
                <w:bCs/>
                <w:szCs w:val="24"/>
              </w:rPr>
            </w:pPr>
            <w:r w:rsidRPr="00C662C8">
              <w:rPr>
                <w:b/>
                <w:bCs/>
                <w:szCs w:val="24"/>
              </w:rPr>
              <w:t>(n=5)</w:t>
            </w:r>
          </w:p>
        </w:tc>
        <w:tc>
          <w:tcPr>
            <w:tcW w:w="1417" w:type="dxa"/>
          </w:tcPr>
          <w:p w14:paraId="4AFB95C0" w14:textId="77777777" w:rsidR="002639E3" w:rsidRPr="00C662C8" w:rsidRDefault="002639E3" w:rsidP="00C662C8">
            <w:pPr>
              <w:jc w:val="center"/>
              <w:rPr>
                <w:b/>
                <w:bCs/>
                <w:szCs w:val="24"/>
              </w:rPr>
            </w:pPr>
            <w:r w:rsidRPr="00C662C8">
              <w:rPr>
                <w:b/>
                <w:bCs/>
                <w:szCs w:val="24"/>
              </w:rPr>
              <w:t>TQ</w:t>
            </w:r>
          </w:p>
          <w:p w14:paraId="30ACC34A" w14:textId="4C841399" w:rsidR="002639E3" w:rsidRPr="00C662C8" w:rsidRDefault="002639E3" w:rsidP="00C662C8">
            <w:pPr>
              <w:jc w:val="center"/>
              <w:rPr>
                <w:b/>
                <w:bCs/>
                <w:szCs w:val="24"/>
              </w:rPr>
            </w:pPr>
            <w:r w:rsidRPr="00C662C8">
              <w:rPr>
                <w:b/>
                <w:bCs/>
                <w:szCs w:val="24"/>
              </w:rPr>
              <w:t>200 mg</w:t>
            </w:r>
          </w:p>
          <w:p w14:paraId="4A9548F8" w14:textId="6E5D47C8" w:rsidR="002639E3" w:rsidRPr="00C662C8" w:rsidRDefault="002639E3" w:rsidP="00C662C8">
            <w:pPr>
              <w:jc w:val="center"/>
              <w:rPr>
                <w:b/>
                <w:bCs/>
                <w:szCs w:val="24"/>
              </w:rPr>
            </w:pPr>
            <w:r w:rsidRPr="00C662C8">
              <w:rPr>
                <w:b/>
                <w:bCs/>
                <w:szCs w:val="24"/>
              </w:rPr>
              <w:t>(n=22)</w:t>
            </w:r>
          </w:p>
        </w:tc>
        <w:tc>
          <w:tcPr>
            <w:tcW w:w="1418" w:type="dxa"/>
          </w:tcPr>
          <w:p w14:paraId="3D37227F" w14:textId="77777777" w:rsidR="002639E3" w:rsidRPr="00C662C8" w:rsidRDefault="002639E3" w:rsidP="00C662C8">
            <w:pPr>
              <w:jc w:val="center"/>
              <w:rPr>
                <w:b/>
                <w:bCs/>
                <w:szCs w:val="24"/>
              </w:rPr>
            </w:pPr>
            <w:r w:rsidRPr="00C662C8">
              <w:rPr>
                <w:b/>
                <w:bCs/>
                <w:szCs w:val="24"/>
              </w:rPr>
              <w:t>TQ</w:t>
            </w:r>
          </w:p>
          <w:p w14:paraId="07333DED" w14:textId="08A27F72" w:rsidR="002639E3" w:rsidRPr="00C662C8" w:rsidRDefault="002639E3" w:rsidP="00C662C8">
            <w:pPr>
              <w:jc w:val="center"/>
              <w:rPr>
                <w:b/>
                <w:bCs/>
                <w:szCs w:val="24"/>
              </w:rPr>
            </w:pPr>
            <w:r w:rsidRPr="00C662C8">
              <w:rPr>
                <w:b/>
                <w:bCs/>
                <w:szCs w:val="24"/>
              </w:rPr>
              <w:t>300 mg</w:t>
            </w:r>
          </w:p>
          <w:p w14:paraId="5C1D2B55" w14:textId="105ECC05" w:rsidR="002639E3" w:rsidRPr="00C662C8" w:rsidRDefault="002639E3" w:rsidP="00C662C8">
            <w:pPr>
              <w:jc w:val="center"/>
              <w:rPr>
                <w:b/>
                <w:bCs/>
                <w:szCs w:val="24"/>
              </w:rPr>
            </w:pPr>
            <w:r w:rsidRPr="00C662C8">
              <w:rPr>
                <w:b/>
                <w:bCs/>
                <w:szCs w:val="24"/>
              </w:rPr>
              <w:t>(n=19)</w:t>
            </w:r>
          </w:p>
        </w:tc>
        <w:tc>
          <w:tcPr>
            <w:tcW w:w="1366" w:type="dxa"/>
          </w:tcPr>
          <w:p w14:paraId="2502F752" w14:textId="578E8330" w:rsidR="002639E3" w:rsidRPr="00C662C8" w:rsidRDefault="002639E3" w:rsidP="00C662C8">
            <w:pPr>
              <w:jc w:val="center"/>
              <w:rPr>
                <w:b/>
                <w:bCs/>
                <w:szCs w:val="24"/>
              </w:rPr>
            </w:pPr>
            <w:r w:rsidRPr="00C662C8">
              <w:rPr>
                <w:b/>
                <w:bCs/>
                <w:szCs w:val="24"/>
              </w:rPr>
              <w:t>Total</w:t>
            </w:r>
          </w:p>
          <w:p w14:paraId="69B1DFD0" w14:textId="77777777" w:rsidR="002639E3" w:rsidRPr="00C662C8" w:rsidRDefault="002639E3" w:rsidP="00C662C8">
            <w:pPr>
              <w:jc w:val="center"/>
              <w:rPr>
                <w:b/>
                <w:bCs/>
                <w:szCs w:val="24"/>
              </w:rPr>
            </w:pPr>
          </w:p>
          <w:p w14:paraId="66144287" w14:textId="3B8CDB1C" w:rsidR="002639E3" w:rsidRPr="00C662C8" w:rsidRDefault="002639E3" w:rsidP="00C662C8">
            <w:pPr>
              <w:jc w:val="center"/>
              <w:rPr>
                <w:b/>
                <w:bCs/>
                <w:szCs w:val="24"/>
              </w:rPr>
            </w:pPr>
            <w:r w:rsidRPr="00C662C8">
              <w:rPr>
                <w:b/>
                <w:bCs/>
                <w:szCs w:val="24"/>
              </w:rPr>
              <w:t>(n=60)</w:t>
            </w:r>
          </w:p>
        </w:tc>
      </w:tr>
      <w:tr w:rsidR="00C662C8" w:rsidRPr="00C662C8" w14:paraId="69194C92" w14:textId="77777777" w:rsidTr="00F96718">
        <w:tc>
          <w:tcPr>
            <w:tcW w:w="9016" w:type="dxa"/>
            <w:gridSpan w:val="6"/>
          </w:tcPr>
          <w:p w14:paraId="6DA4DF59" w14:textId="5B1D6C59" w:rsidR="00C662C8" w:rsidRPr="00C662C8" w:rsidRDefault="00C662C8" w:rsidP="00C662C8">
            <w:pPr>
              <w:rPr>
                <w:b/>
                <w:bCs/>
                <w:szCs w:val="24"/>
              </w:rPr>
            </w:pPr>
            <w:r w:rsidRPr="00C662C8">
              <w:rPr>
                <w:b/>
                <w:bCs/>
                <w:szCs w:val="24"/>
              </w:rPr>
              <w:t>Recurrence-free efficacy at 4 months</w:t>
            </w:r>
          </w:p>
        </w:tc>
      </w:tr>
      <w:tr w:rsidR="002639E3" w14:paraId="3DBA5121" w14:textId="77777777" w:rsidTr="00C662C8">
        <w:tc>
          <w:tcPr>
            <w:tcW w:w="1980" w:type="dxa"/>
          </w:tcPr>
          <w:p w14:paraId="0A9B64F8" w14:textId="48EC25A0" w:rsidR="002639E3" w:rsidRDefault="00C662C8" w:rsidP="00C662C8">
            <w:pPr>
              <w:spacing w:after="60"/>
              <w:rPr>
                <w:szCs w:val="24"/>
              </w:rPr>
            </w:pPr>
            <w:r>
              <w:rPr>
                <w:szCs w:val="24"/>
              </w:rPr>
              <w:t>Subjects, n (%)</w:t>
            </w:r>
          </w:p>
        </w:tc>
        <w:tc>
          <w:tcPr>
            <w:tcW w:w="1417" w:type="dxa"/>
          </w:tcPr>
          <w:p w14:paraId="067D2F1A" w14:textId="03B668C5" w:rsidR="002639E3" w:rsidRDefault="00C662C8" w:rsidP="00C662C8">
            <w:pPr>
              <w:spacing w:after="60"/>
              <w:jc w:val="center"/>
              <w:rPr>
                <w:szCs w:val="24"/>
              </w:rPr>
            </w:pPr>
            <w:r>
              <w:rPr>
                <w:szCs w:val="24"/>
              </w:rPr>
              <w:t>12(86)</w:t>
            </w:r>
          </w:p>
        </w:tc>
        <w:tc>
          <w:tcPr>
            <w:tcW w:w="1418" w:type="dxa"/>
          </w:tcPr>
          <w:p w14:paraId="0B84A3FB" w14:textId="4A55DD50" w:rsidR="002639E3" w:rsidRDefault="00C662C8" w:rsidP="00C662C8">
            <w:pPr>
              <w:spacing w:after="60"/>
              <w:jc w:val="center"/>
              <w:rPr>
                <w:szCs w:val="24"/>
              </w:rPr>
            </w:pPr>
            <w:r>
              <w:rPr>
                <w:szCs w:val="24"/>
              </w:rPr>
              <w:t>4 (80)</w:t>
            </w:r>
          </w:p>
        </w:tc>
        <w:tc>
          <w:tcPr>
            <w:tcW w:w="1417" w:type="dxa"/>
          </w:tcPr>
          <w:p w14:paraId="7A939C1D" w14:textId="476D15EE" w:rsidR="002639E3" w:rsidRDefault="00C662C8" w:rsidP="00C662C8">
            <w:pPr>
              <w:spacing w:after="60"/>
              <w:jc w:val="center"/>
              <w:rPr>
                <w:szCs w:val="24"/>
              </w:rPr>
            </w:pPr>
            <w:r>
              <w:rPr>
                <w:szCs w:val="24"/>
              </w:rPr>
              <w:t>20 (91)</w:t>
            </w:r>
          </w:p>
        </w:tc>
        <w:tc>
          <w:tcPr>
            <w:tcW w:w="1418" w:type="dxa"/>
          </w:tcPr>
          <w:p w14:paraId="0BD8ECC4" w14:textId="1212F354" w:rsidR="002639E3" w:rsidRDefault="00C662C8" w:rsidP="00C662C8">
            <w:pPr>
              <w:spacing w:after="60"/>
              <w:jc w:val="center"/>
              <w:rPr>
                <w:szCs w:val="24"/>
              </w:rPr>
            </w:pPr>
            <w:r>
              <w:rPr>
                <w:szCs w:val="24"/>
              </w:rPr>
              <w:t>17 (89)</w:t>
            </w:r>
          </w:p>
        </w:tc>
        <w:tc>
          <w:tcPr>
            <w:tcW w:w="1366" w:type="dxa"/>
          </w:tcPr>
          <w:p w14:paraId="1BFFC1CB" w14:textId="6CF918EA" w:rsidR="002639E3" w:rsidRDefault="00C662C8" w:rsidP="00C662C8">
            <w:pPr>
              <w:spacing w:after="60"/>
              <w:jc w:val="center"/>
              <w:rPr>
                <w:szCs w:val="24"/>
              </w:rPr>
            </w:pPr>
            <w:r>
              <w:rPr>
                <w:szCs w:val="24"/>
              </w:rPr>
              <w:t>53 (88)</w:t>
            </w:r>
          </w:p>
        </w:tc>
      </w:tr>
      <w:tr w:rsidR="00C662C8" w:rsidRPr="00C662C8" w14:paraId="4AEEFE69" w14:textId="77777777" w:rsidTr="00F96718">
        <w:tc>
          <w:tcPr>
            <w:tcW w:w="9016" w:type="dxa"/>
            <w:gridSpan w:val="6"/>
          </w:tcPr>
          <w:p w14:paraId="5D3164A5" w14:textId="336A250A" w:rsidR="00C662C8" w:rsidRPr="00C662C8" w:rsidRDefault="00C662C8" w:rsidP="00C662C8">
            <w:pPr>
              <w:rPr>
                <w:b/>
                <w:bCs/>
                <w:szCs w:val="24"/>
              </w:rPr>
            </w:pPr>
            <w:r w:rsidRPr="00C662C8">
              <w:rPr>
                <w:b/>
                <w:bCs/>
                <w:szCs w:val="24"/>
              </w:rPr>
              <w:t xml:space="preserve">Recurrence-free efficacy rate at 4 </w:t>
            </w:r>
            <w:proofErr w:type="spellStart"/>
            <w:r w:rsidRPr="00C662C8">
              <w:rPr>
                <w:b/>
                <w:bCs/>
                <w:szCs w:val="24"/>
              </w:rPr>
              <w:t>months</w:t>
            </w:r>
            <w:r w:rsidRPr="00C662C8">
              <w:rPr>
                <w:b/>
                <w:bCs/>
                <w:szCs w:val="24"/>
                <w:vertAlign w:val="superscript"/>
              </w:rPr>
              <w:t>a</w:t>
            </w:r>
            <w:proofErr w:type="spellEnd"/>
          </w:p>
        </w:tc>
      </w:tr>
      <w:tr w:rsidR="002639E3" w14:paraId="382687FF" w14:textId="77777777" w:rsidTr="00C662C8">
        <w:tc>
          <w:tcPr>
            <w:tcW w:w="1980" w:type="dxa"/>
          </w:tcPr>
          <w:p w14:paraId="4DA2CE45" w14:textId="266C444B" w:rsidR="002639E3" w:rsidRDefault="00C662C8" w:rsidP="00C662C8">
            <w:pPr>
              <w:spacing w:after="60"/>
              <w:rPr>
                <w:szCs w:val="24"/>
              </w:rPr>
            </w:pPr>
            <w:r>
              <w:rPr>
                <w:szCs w:val="24"/>
              </w:rPr>
              <w:t>Subjects with confirmed recurrence prior to or at 4 months n (%)</w:t>
            </w:r>
          </w:p>
        </w:tc>
        <w:tc>
          <w:tcPr>
            <w:tcW w:w="1417" w:type="dxa"/>
          </w:tcPr>
          <w:p w14:paraId="79D01BE2" w14:textId="71241C00" w:rsidR="002639E3" w:rsidRDefault="00C662C8" w:rsidP="00C662C8">
            <w:pPr>
              <w:spacing w:after="60"/>
              <w:jc w:val="center"/>
              <w:rPr>
                <w:szCs w:val="24"/>
              </w:rPr>
            </w:pPr>
            <w:r>
              <w:rPr>
                <w:szCs w:val="24"/>
              </w:rPr>
              <w:t>1 (7)</w:t>
            </w:r>
          </w:p>
        </w:tc>
        <w:tc>
          <w:tcPr>
            <w:tcW w:w="1418" w:type="dxa"/>
          </w:tcPr>
          <w:p w14:paraId="3FCA9FBE" w14:textId="115329BC" w:rsidR="002639E3" w:rsidRDefault="00C662C8" w:rsidP="00C662C8">
            <w:pPr>
              <w:spacing w:after="60"/>
              <w:jc w:val="center"/>
              <w:rPr>
                <w:szCs w:val="24"/>
              </w:rPr>
            </w:pPr>
            <w:r>
              <w:rPr>
                <w:szCs w:val="24"/>
              </w:rPr>
              <w:t>0</w:t>
            </w:r>
          </w:p>
        </w:tc>
        <w:tc>
          <w:tcPr>
            <w:tcW w:w="1417" w:type="dxa"/>
          </w:tcPr>
          <w:p w14:paraId="5B5F1290" w14:textId="733D1FF8" w:rsidR="002639E3" w:rsidRDefault="00C662C8" w:rsidP="00C662C8">
            <w:pPr>
              <w:spacing w:after="60"/>
              <w:jc w:val="center"/>
              <w:rPr>
                <w:szCs w:val="24"/>
              </w:rPr>
            </w:pPr>
            <w:r>
              <w:rPr>
                <w:szCs w:val="24"/>
              </w:rPr>
              <w:t>2 (9)</w:t>
            </w:r>
          </w:p>
        </w:tc>
        <w:tc>
          <w:tcPr>
            <w:tcW w:w="1418" w:type="dxa"/>
          </w:tcPr>
          <w:p w14:paraId="695816A5" w14:textId="0B005A0B" w:rsidR="002639E3" w:rsidRDefault="00C662C8" w:rsidP="00C662C8">
            <w:pPr>
              <w:spacing w:after="60"/>
              <w:jc w:val="center"/>
              <w:rPr>
                <w:szCs w:val="24"/>
              </w:rPr>
            </w:pPr>
            <w:r>
              <w:rPr>
                <w:szCs w:val="24"/>
              </w:rPr>
              <w:t>0</w:t>
            </w:r>
          </w:p>
        </w:tc>
        <w:tc>
          <w:tcPr>
            <w:tcW w:w="1366" w:type="dxa"/>
          </w:tcPr>
          <w:p w14:paraId="7369AD34" w14:textId="51457825" w:rsidR="002639E3" w:rsidRDefault="00C662C8" w:rsidP="00C662C8">
            <w:pPr>
              <w:spacing w:after="60"/>
              <w:jc w:val="center"/>
              <w:rPr>
                <w:szCs w:val="24"/>
              </w:rPr>
            </w:pPr>
            <w:r>
              <w:rPr>
                <w:szCs w:val="24"/>
              </w:rPr>
              <w:t>3 (5)</w:t>
            </w:r>
          </w:p>
        </w:tc>
      </w:tr>
      <w:tr w:rsidR="00745D4C" w14:paraId="51C8BD36" w14:textId="77777777" w:rsidTr="00F96718">
        <w:tc>
          <w:tcPr>
            <w:tcW w:w="1980" w:type="dxa"/>
          </w:tcPr>
          <w:p w14:paraId="393C0EE3" w14:textId="017AD03B" w:rsidR="00745D4C" w:rsidRDefault="00745D4C" w:rsidP="00C662C8">
            <w:pPr>
              <w:spacing w:after="60"/>
              <w:rPr>
                <w:szCs w:val="24"/>
              </w:rPr>
            </w:pPr>
            <w:r>
              <w:rPr>
                <w:szCs w:val="24"/>
              </w:rPr>
              <w:t>Estimate</w:t>
            </w:r>
          </w:p>
        </w:tc>
        <w:tc>
          <w:tcPr>
            <w:tcW w:w="5670" w:type="dxa"/>
            <w:gridSpan w:val="4"/>
          </w:tcPr>
          <w:p w14:paraId="4C277D4F" w14:textId="77777777" w:rsidR="00745D4C" w:rsidRDefault="00745D4C" w:rsidP="00C662C8">
            <w:pPr>
              <w:spacing w:after="60"/>
              <w:jc w:val="center"/>
              <w:rPr>
                <w:szCs w:val="24"/>
              </w:rPr>
            </w:pPr>
          </w:p>
        </w:tc>
        <w:tc>
          <w:tcPr>
            <w:tcW w:w="1366" w:type="dxa"/>
          </w:tcPr>
          <w:p w14:paraId="21FF14AC" w14:textId="09D0491B" w:rsidR="00745D4C" w:rsidRDefault="00745D4C" w:rsidP="00C662C8">
            <w:pPr>
              <w:spacing w:after="60"/>
              <w:jc w:val="center"/>
              <w:rPr>
                <w:szCs w:val="24"/>
              </w:rPr>
            </w:pPr>
            <w:r>
              <w:rPr>
                <w:szCs w:val="24"/>
              </w:rPr>
              <w:t>95%</w:t>
            </w:r>
          </w:p>
        </w:tc>
      </w:tr>
      <w:tr w:rsidR="00745D4C" w14:paraId="7B028BC2" w14:textId="77777777" w:rsidTr="00F96718">
        <w:tc>
          <w:tcPr>
            <w:tcW w:w="1980" w:type="dxa"/>
          </w:tcPr>
          <w:p w14:paraId="1D0F9956" w14:textId="44FC91B6" w:rsidR="00745D4C" w:rsidRDefault="00745D4C" w:rsidP="00C662C8">
            <w:pPr>
              <w:spacing w:after="60"/>
              <w:rPr>
                <w:szCs w:val="24"/>
              </w:rPr>
            </w:pPr>
            <w:r>
              <w:rPr>
                <w:szCs w:val="24"/>
              </w:rPr>
              <w:t>95% CI</w:t>
            </w:r>
          </w:p>
        </w:tc>
        <w:tc>
          <w:tcPr>
            <w:tcW w:w="5670" w:type="dxa"/>
            <w:gridSpan w:val="4"/>
          </w:tcPr>
          <w:p w14:paraId="3EEF9C6D" w14:textId="77777777" w:rsidR="00745D4C" w:rsidRDefault="00745D4C" w:rsidP="00C662C8">
            <w:pPr>
              <w:spacing w:after="60"/>
              <w:jc w:val="center"/>
              <w:rPr>
                <w:szCs w:val="24"/>
              </w:rPr>
            </w:pPr>
          </w:p>
        </w:tc>
        <w:tc>
          <w:tcPr>
            <w:tcW w:w="1366" w:type="dxa"/>
          </w:tcPr>
          <w:p w14:paraId="0950C782" w14:textId="3104B31C" w:rsidR="00745D4C" w:rsidRDefault="00745D4C" w:rsidP="00C662C8">
            <w:pPr>
              <w:spacing w:after="60"/>
              <w:jc w:val="center"/>
              <w:rPr>
                <w:szCs w:val="24"/>
              </w:rPr>
            </w:pPr>
            <w:r>
              <w:rPr>
                <w:szCs w:val="24"/>
              </w:rPr>
              <w:t>85%, 98%</w:t>
            </w:r>
          </w:p>
        </w:tc>
      </w:tr>
    </w:tbl>
    <w:p w14:paraId="1740139A" w14:textId="519669FF" w:rsidR="002639E3" w:rsidRDefault="00C662C8" w:rsidP="00745D4C">
      <w:pPr>
        <w:keepNext/>
        <w:keepLines/>
        <w:spacing w:after="0" w:line="240" w:lineRule="auto"/>
        <w:ind w:left="567" w:hanging="567"/>
        <w:rPr>
          <w:rFonts w:ascii="Calibri" w:hAnsi="Calibri" w:cs="Calibri"/>
          <w:szCs w:val="24"/>
        </w:rPr>
      </w:pPr>
      <w:r w:rsidRPr="00745D4C">
        <w:rPr>
          <w:rFonts w:ascii="Calibri" w:hAnsi="Calibri" w:cs="Calibri"/>
          <w:szCs w:val="24"/>
        </w:rPr>
        <w:t>Note: Weight bands were: TQ 100 mg: &gt;10 - ≤20 kg (Cohort 2 and 3); TQ 150 mg: &gt;10 - ≤20 kg (Cohort 1); TQ 200 mg: &gt;20 - ≤35 kg</w:t>
      </w:r>
      <w:r w:rsidR="00745D4C" w:rsidRPr="00745D4C">
        <w:rPr>
          <w:rFonts w:ascii="Calibri" w:hAnsi="Calibri" w:cs="Calibri"/>
          <w:szCs w:val="24"/>
        </w:rPr>
        <w:t>; TQ 300 mg: &gt;35 kg.</w:t>
      </w:r>
    </w:p>
    <w:p w14:paraId="126D3EC5" w14:textId="670CCB1B" w:rsidR="00086116" w:rsidRPr="00745D4C" w:rsidRDefault="00086116" w:rsidP="00745D4C">
      <w:pPr>
        <w:keepNext/>
        <w:keepLines/>
        <w:spacing w:after="0" w:line="240" w:lineRule="auto"/>
        <w:ind w:left="567" w:hanging="567"/>
        <w:rPr>
          <w:rFonts w:ascii="Calibri" w:hAnsi="Calibri" w:cs="Calibri"/>
          <w:szCs w:val="24"/>
        </w:rPr>
      </w:pPr>
      <w:r>
        <w:rPr>
          <w:rFonts w:ascii="Calibri" w:hAnsi="Calibri" w:cs="Calibri"/>
          <w:szCs w:val="24"/>
        </w:rPr>
        <w:tab/>
        <w:t>Tafenoquine was given in combination with chloroquine for all doses.</w:t>
      </w:r>
    </w:p>
    <w:p w14:paraId="7395D30E" w14:textId="70D8B1C2" w:rsidR="00745D4C" w:rsidRPr="00745D4C" w:rsidRDefault="00745D4C" w:rsidP="00745D4C">
      <w:pPr>
        <w:pStyle w:val="ListParagraph"/>
        <w:keepNext/>
        <w:keepLines/>
        <w:numPr>
          <w:ilvl w:val="0"/>
          <w:numId w:val="29"/>
        </w:numPr>
        <w:spacing w:after="0" w:line="240" w:lineRule="auto"/>
        <w:ind w:left="567" w:hanging="501"/>
        <w:rPr>
          <w:rFonts w:ascii="Calibri" w:hAnsi="Calibri" w:cs="Calibri"/>
          <w:szCs w:val="24"/>
        </w:rPr>
      </w:pPr>
      <w:r w:rsidRPr="00745D4C">
        <w:rPr>
          <w:rFonts w:ascii="Calibri" w:hAnsi="Calibri" w:cs="Calibri"/>
          <w:szCs w:val="24"/>
        </w:rPr>
        <w:t>Kaplan-Meier Estimate</w:t>
      </w:r>
      <w:r w:rsidR="00086116">
        <w:rPr>
          <w:rFonts w:ascii="Calibri" w:hAnsi="Calibri" w:cs="Calibri"/>
          <w:szCs w:val="24"/>
        </w:rPr>
        <w:t>.</w:t>
      </w:r>
    </w:p>
    <w:p w14:paraId="59A26DFB" w14:textId="77777777" w:rsidR="00745D4C" w:rsidRDefault="00745D4C" w:rsidP="00A40D8D">
      <w:pPr>
        <w:rPr>
          <w:szCs w:val="24"/>
        </w:rPr>
      </w:pPr>
    </w:p>
    <w:p w14:paraId="0CC2841D" w14:textId="1EBBCD11" w:rsidR="00A53AFC" w:rsidRPr="00172E14" w:rsidRDefault="00A53AFC" w:rsidP="00172E14">
      <w:pPr>
        <w:pStyle w:val="Heading4"/>
        <w:numPr>
          <w:ilvl w:val="0"/>
          <w:numId w:val="0"/>
        </w:numPr>
        <w:spacing w:after="240"/>
        <w:rPr>
          <w:color w:val="auto"/>
        </w:rPr>
      </w:pPr>
      <w:r w:rsidRPr="00172E14">
        <w:rPr>
          <w:color w:val="auto"/>
        </w:rPr>
        <w:t xml:space="preserve">Combination with </w:t>
      </w:r>
      <w:proofErr w:type="spellStart"/>
      <w:r w:rsidRPr="00172E14">
        <w:rPr>
          <w:color w:val="auto"/>
        </w:rPr>
        <w:t>Dihydroartemisinin</w:t>
      </w:r>
      <w:proofErr w:type="spellEnd"/>
      <w:r w:rsidRPr="00172E14">
        <w:rPr>
          <w:color w:val="auto"/>
        </w:rPr>
        <w:t>-Piperaquine</w:t>
      </w:r>
      <w:r w:rsidR="000D4A6F">
        <w:rPr>
          <w:color w:val="auto"/>
        </w:rPr>
        <w:fldChar w:fldCharType="begin"/>
      </w:r>
      <w:r w:rsidR="000D4A6F">
        <w:rPr>
          <w:color w:val="auto"/>
        </w:rPr>
        <w:instrText xml:space="preserve"> DOCVARIABLE vault_nd_0c4527e1-78db-46a0-91d8-5c05ffaa0c67 \* MERGEFORMAT </w:instrText>
      </w:r>
      <w:r w:rsidR="000D4A6F">
        <w:rPr>
          <w:color w:val="auto"/>
        </w:rPr>
        <w:fldChar w:fldCharType="separate"/>
      </w:r>
      <w:r w:rsidR="000D4A6F">
        <w:rPr>
          <w:color w:val="auto"/>
        </w:rPr>
        <w:t xml:space="preserve"> </w:t>
      </w:r>
      <w:r w:rsidR="000D4A6F">
        <w:rPr>
          <w:color w:val="auto"/>
        </w:rPr>
        <w:fldChar w:fldCharType="end"/>
      </w:r>
    </w:p>
    <w:p w14:paraId="1D5309C1" w14:textId="77777777" w:rsidR="00A53AFC" w:rsidRPr="00A53AFC" w:rsidRDefault="00A53AFC" w:rsidP="00A53AFC">
      <w:pPr>
        <w:rPr>
          <w:szCs w:val="24"/>
        </w:rPr>
      </w:pPr>
      <w:r w:rsidRPr="00A53AFC">
        <w:rPr>
          <w:szCs w:val="24"/>
        </w:rPr>
        <w:t xml:space="preserve">A double-blind, randomised, placebo-controlled trial (Study 200894) evaluated the efficacy and safety of tafenoquine co-administered with </w:t>
      </w:r>
      <w:proofErr w:type="spellStart"/>
      <w:r w:rsidRPr="00A53AFC">
        <w:rPr>
          <w:szCs w:val="24"/>
        </w:rPr>
        <w:t>dihydroartemisinin</w:t>
      </w:r>
      <w:proofErr w:type="spellEnd"/>
      <w:r w:rsidRPr="00A53AFC">
        <w:rPr>
          <w:szCs w:val="24"/>
        </w:rPr>
        <w:t xml:space="preserve">-piperaquine (DHA-PQP) for the radical cure of </w:t>
      </w:r>
      <w:proofErr w:type="spellStart"/>
      <w:proofErr w:type="gramStart"/>
      <w:r w:rsidRPr="00A53AFC">
        <w:rPr>
          <w:i/>
          <w:szCs w:val="24"/>
        </w:rPr>
        <w:t>P.vivax</w:t>
      </w:r>
      <w:proofErr w:type="spellEnd"/>
      <w:proofErr w:type="gramEnd"/>
      <w:r w:rsidRPr="00A53AFC">
        <w:rPr>
          <w:szCs w:val="24"/>
        </w:rPr>
        <w:t xml:space="preserve"> malaria. The 150 male patients included in the trial had a mean age of 29 (range 21-49) years and contracted </w:t>
      </w:r>
      <w:proofErr w:type="spellStart"/>
      <w:proofErr w:type="gramStart"/>
      <w:r w:rsidRPr="00A53AFC">
        <w:rPr>
          <w:i/>
          <w:szCs w:val="24"/>
        </w:rPr>
        <w:t>P.vivax</w:t>
      </w:r>
      <w:proofErr w:type="spellEnd"/>
      <w:proofErr w:type="gramEnd"/>
      <w:r w:rsidRPr="00A53AFC">
        <w:rPr>
          <w:szCs w:val="24"/>
        </w:rPr>
        <w:t xml:space="preserve"> in the Papua region of Indonesia. All patients received open-label DHA-PQP (three or four 320/40 mg tablets dosed according to weight) on Days 1 through 3 and were randomised to one of the following: tafenoquine (two 150 mg tablets) on Days 1 or 2 (n </w:t>
      </w:r>
      <w:r w:rsidRPr="00A53AFC">
        <w:rPr>
          <w:szCs w:val="24"/>
        </w:rPr>
        <w:lastRenderedPageBreak/>
        <w:t>= 50) or primaquine (one 15 mg tablet) daily for 14 days starting on Day 1 or 2 (n = 50) or placebo (n = 50).</w:t>
      </w:r>
    </w:p>
    <w:p w14:paraId="15A9FF74" w14:textId="5C7562D2" w:rsidR="00A53AFC" w:rsidRPr="00A53AFC" w:rsidRDefault="00A53AFC" w:rsidP="00A53AFC">
      <w:pPr>
        <w:rPr>
          <w:szCs w:val="24"/>
        </w:rPr>
      </w:pPr>
      <w:r w:rsidRPr="00A53AFC">
        <w:rPr>
          <w:szCs w:val="24"/>
        </w:rPr>
        <w:t xml:space="preserve">The recurrence-free efficacy rates at 6 months among treatment groups are presented in Table </w:t>
      </w:r>
      <w:r w:rsidR="00086116">
        <w:rPr>
          <w:szCs w:val="24"/>
        </w:rPr>
        <w:t>4</w:t>
      </w:r>
      <w:r w:rsidRPr="00A53AFC">
        <w:rPr>
          <w:szCs w:val="24"/>
        </w:rPr>
        <w:t>. Tafenoquine in combination with DHA-PQP was not associated with a clinically relevant reduction in recurrence over 6 months.</w:t>
      </w:r>
    </w:p>
    <w:p w14:paraId="35B9C82A" w14:textId="1E5CE922" w:rsidR="00A53AFC" w:rsidRPr="00A53AFC" w:rsidRDefault="00A53AFC" w:rsidP="004163E8">
      <w:pPr>
        <w:keepNext/>
        <w:rPr>
          <w:b/>
          <w:szCs w:val="24"/>
          <w:vertAlign w:val="superscript"/>
        </w:rPr>
      </w:pPr>
      <w:r w:rsidRPr="00A53AFC">
        <w:rPr>
          <w:b/>
          <w:szCs w:val="24"/>
        </w:rPr>
        <w:t xml:space="preserve">Table </w:t>
      </w:r>
      <w:r w:rsidR="00086116">
        <w:rPr>
          <w:b/>
          <w:szCs w:val="24"/>
        </w:rPr>
        <w:t>4</w:t>
      </w:r>
      <w:r w:rsidRPr="00A53AFC">
        <w:rPr>
          <w:b/>
          <w:szCs w:val="24"/>
        </w:rPr>
        <w:t xml:space="preserve">. Recurrence-free efficacy at 6 months – Overall </w:t>
      </w:r>
      <w:proofErr w:type="spellStart"/>
      <w:r w:rsidRPr="00A53AFC">
        <w:rPr>
          <w:b/>
          <w:szCs w:val="24"/>
        </w:rPr>
        <w:t>Population</w:t>
      </w:r>
      <w:r w:rsidRPr="00A53AFC">
        <w:rPr>
          <w:b/>
          <w:szCs w:val="24"/>
          <w:vertAlign w:val="superscript"/>
        </w:rPr>
        <w:t>a</w:t>
      </w:r>
      <w:proofErr w:type="spellEnd"/>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901"/>
        <w:gridCol w:w="1901"/>
        <w:gridCol w:w="1899"/>
      </w:tblGrid>
      <w:tr w:rsidR="00A53AFC" w:rsidRPr="00A53AFC" w14:paraId="0A9AB555" w14:textId="77777777" w:rsidTr="00072EB9">
        <w:trPr>
          <w:trHeight w:val="932"/>
        </w:trPr>
        <w:tc>
          <w:tcPr>
            <w:tcW w:w="1992" w:type="pct"/>
          </w:tcPr>
          <w:p w14:paraId="3340CC3C" w14:textId="77777777" w:rsidR="00A53AFC" w:rsidRPr="00A53AFC" w:rsidRDefault="00A53AFC" w:rsidP="004163E8">
            <w:pPr>
              <w:keepNext/>
              <w:spacing w:after="0"/>
              <w:rPr>
                <w:szCs w:val="24"/>
              </w:rPr>
            </w:pPr>
          </w:p>
        </w:tc>
        <w:tc>
          <w:tcPr>
            <w:tcW w:w="1003" w:type="pct"/>
          </w:tcPr>
          <w:p w14:paraId="57E7FB34" w14:textId="77777777" w:rsidR="00A53AFC" w:rsidRPr="00A53AFC" w:rsidRDefault="00A53AFC" w:rsidP="004163E8">
            <w:pPr>
              <w:keepNext/>
              <w:spacing w:after="0"/>
              <w:rPr>
                <w:b/>
                <w:szCs w:val="24"/>
              </w:rPr>
            </w:pPr>
            <w:r w:rsidRPr="00A53AFC">
              <w:rPr>
                <w:b/>
                <w:szCs w:val="24"/>
              </w:rPr>
              <w:t>Tafenoquine/</w:t>
            </w:r>
          </w:p>
          <w:p w14:paraId="799CD8D2" w14:textId="77777777" w:rsidR="00A53AFC" w:rsidRPr="00A53AFC" w:rsidRDefault="00A53AFC" w:rsidP="004163E8">
            <w:pPr>
              <w:keepNext/>
              <w:spacing w:after="0"/>
              <w:rPr>
                <w:b/>
                <w:szCs w:val="24"/>
              </w:rPr>
            </w:pPr>
            <w:r w:rsidRPr="00A53AFC">
              <w:rPr>
                <w:b/>
                <w:szCs w:val="24"/>
              </w:rPr>
              <w:t>DHA-PQP</w:t>
            </w:r>
          </w:p>
          <w:p w14:paraId="1136F5D1" w14:textId="77777777" w:rsidR="00A53AFC" w:rsidRPr="00A53AFC" w:rsidRDefault="00A53AFC" w:rsidP="004163E8">
            <w:pPr>
              <w:keepNext/>
              <w:spacing w:after="0"/>
              <w:rPr>
                <w:b/>
                <w:szCs w:val="24"/>
              </w:rPr>
            </w:pPr>
            <w:r w:rsidRPr="00A53AFC">
              <w:rPr>
                <w:b/>
                <w:szCs w:val="24"/>
              </w:rPr>
              <w:t>(n = 50)</w:t>
            </w:r>
          </w:p>
        </w:tc>
        <w:tc>
          <w:tcPr>
            <w:tcW w:w="1003" w:type="pct"/>
          </w:tcPr>
          <w:p w14:paraId="0480FA6B" w14:textId="77777777" w:rsidR="00A53AFC" w:rsidRPr="00A53AFC" w:rsidRDefault="00A53AFC" w:rsidP="004163E8">
            <w:pPr>
              <w:keepNext/>
              <w:spacing w:after="0"/>
              <w:rPr>
                <w:b/>
                <w:szCs w:val="24"/>
              </w:rPr>
            </w:pPr>
            <w:r w:rsidRPr="00A53AFC">
              <w:rPr>
                <w:b/>
                <w:szCs w:val="24"/>
              </w:rPr>
              <w:t>Primaquine/</w:t>
            </w:r>
          </w:p>
          <w:p w14:paraId="631383C8" w14:textId="77777777" w:rsidR="00A53AFC" w:rsidRPr="00A53AFC" w:rsidRDefault="00A53AFC" w:rsidP="004163E8">
            <w:pPr>
              <w:keepNext/>
              <w:spacing w:after="0"/>
              <w:rPr>
                <w:b/>
                <w:szCs w:val="24"/>
              </w:rPr>
            </w:pPr>
            <w:r w:rsidRPr="00A53AFC">
              <w:rPr>
                <w:b/>
                <w:szCs w:val="24"/>
              </w:rPr>
              <w:t>DHA-PQP</w:t>
            </w:r>
          </w:p>
          <w:p w14:paraId="7EB3703C" w14:textId="77777777" w:rsidR="00A53AFC" w:rsidRPr="00A53AFC" w:rsidRDefault="00A53AFC" w:rsidP="004163E8">
            <w:pPr>
              <w:keepNext/>
              <w:spacing w:after="0"/>
              <w:rPr>
                <w:b/>
                <w:szCs w:val="24"/>
              </w:rPr>
            </w:pPr>
            <w:r w:rsidRPr="00A53AFC">
              <w:rPr>
                <w:b/>
                <w:szCs w:val="24"/>
              </w:rPr>
              <w:t>(n = 50)</w:t>
            </w:r>
          </w:p>
        </w:tc>
        <w:tc>
          <w:tcPr>
            <w:tcW w:w="1002" w:type="pct"/>
          </w:tcPr>
          <w:p w14:paraId="44E5B32B" w14:textId="77777777" w:rsidR="00A53AFC" w:rsidRPr="00A53AFC" w:rsidRDefault="00A53AFC" w:rsidP="004163E8">
            <w:pPr>
              <w:keepNext/>
              <w:spacing w:after="0"/>
              <w:rPr>
                <w:b/>
                <w:szCs w:val="24"/>
              </w:rPr>
            </w:pPr>
            <w:r w:rsidRPr="00A53AFC">
              <w:rPr>
                <w:b/>
                <w:szCs w:val="24"/>
              </w:rPr>
              <w:t>DHA/PQP</w:t>
            </w:r>
          </w:p>
          <w:p w14:paraId="3B175EC0" w14:textId="77777777" w:rsidR="00A53AFC" w:rsidRPr="00A53AFC" w:rsidRDefault="00A53AFC" w:rsidP="004163E8">
            <w:pPr>
              <w:keepNext/>
              <w:spacing w:after="0"/>
              <w:rPr>
                <w:b/>
                <w:szCs w:val="24"/>
              </w:rPr>
            </w:pPr>
            <w:r w:rsidRPr="00A53AFC">
              <w:rPr>
                <w:b/>
                <w:szCs w:val="24"/>
              </w:rPr>
              <w:t>(n = 50)</w:t>
            </w:r>
          </w:p>
        </w:tc>
      </w:tr>
      <w:tr w:rsidR="00A53AFC" w:rsidRPr="00A53AFC" w14:paraId="49C5F150" w14:textId="77777777" w:rsidTr="00072EB9">
        <w:trPr>
          <w:trHeight w:val="471"/>
        </w:trPr>
        <w:tc>
          <w:tcPr>
            <w:tcW w:w="1992" w:type="pct"/>
          </w:tcPr>
          <w:p w14:paraId="6C2B3F97" w14:textId="77777777" w:rsidR="00A53AFC" w:rsidRPr="00A53AFC" w:rsidRDefault="00A53AFC" w:rsidP="00A53AFC">
            <w:pPr>
              <w:spacing w:after="0"/>
              <w:rPr>
                <w:szCs w:val="24"/>
              </w:rPr>
            </w:pPr>
          </w:p>
          <w:p w14:paraId="52336928" w14:textId="77777777" w:rsidR="00A53AFC" w:rsidRPr="00A53AFC" w:rsidRDefault="00A53AFC" w:rsidP="00A53AFC">
            <w:pPr>
              <w:spacing w:after="0"/>
              <w:rPr>
                <w:szCs w:val="24"/>
                <w:vertAlign w:val="superscript"/>
              </w:rPr>
            </w:pPr>
            <w:r w:rsidRPr="00A53AFC">
              <w:rPr>
                <w:szCs w:val="24"/>
              </w:rPr>
              <w:t xml:space="preserve">Recurrence-free </w:t>
            </w:r>
            <w:proofErr w:type="spellStart"/>
            <w:r w:rsidRPr="00A53AFC">
              <w:rPr>
                <w:szCs w:val="24"/>
              </w:rPr>
              <w:t>efficacy</w:t>
            </w:r>
            <w:r w:rsidRPr="00A53AFC">
              <w:rPr>
                <w:szCs w:val="24"/>
                <w:vertAlign w:val="superscript"/>
              </w:rPr>
              <w:t>b</w:t>
            </w:r>
            <w:proofErr w:type="spellEnd"/>
          </w:p>
          <w:p w14:paraId="1956138D" w14:textId="77777777" w:rsidR="00A53AFC" w:rsidRPr="00A53AFC" w:rsidRDefault="00A53AFC" w:rsidP="00A53AFC">
            <w:pPr>
              <w:spacing w:after="0"/>
              <w:rPr>
                <w:szCs w:val="24"/>
              </w:rPr>
            </w:pPr>
            <w:r w:rsidRPr="00A53AFC">
              <w:rPr>
                <w:szCs w:val="24"/>
              </w:rPr>
              <w:t>(95% CI)</w:t>
            </w:r>
          </w:p>
          <w:p w14:paraId="1638D0E8" w14:textId="77777777" w:rsidR="00A53AFC" w:rsidRPr="00A53AFC" w:rsidRDefault="00A53AFC" w:rsidP="00A53AFC">
            <w:pPr>
              <w:spacing w:after="0"/>
              <w:rPr>
                <w:szCs w:val="24"/>
              </w:rPr>
            </w:pPr>
          </w:p>
          <w:p w14:paraId="1CB30F1A" w14:textId="77777777" w:rsidR="00A53AFC" w:rsidRPr="00A53AFC" w:rsidRDefault="00A53AFC" w:rsidP="00A53AFC">
            <w:pPr>
              <w:spacing w:after="0"/>
              <w:rPr>
                <w:szCs w:val="24"/>
              </w:rPr>
            </w:pPr>
            <w:proofErr w:type="spellStart"/>
            <w:r w:rsidRPr="00A53AFC">
              <w:rPr>
                <w:szCs w:val="24"/>
              </w:rPr>
              <w:t>HR</w:t>
            </w:r>
            <w:r w:rsidRPr="00A53AFC">
              <w:rPr>
                <w:szCs w:val="24"/>
                <w:vertAlign w:val="superscript"/>
              </w:rPr>
              <w:t>c</w:t>
            </w:r>
            <w:proofErr w:type="spellEnd"/>
            <w:r w:rsidRPr="00A53AFC">
              <w:rPr>
                <w:szCs w:val="24"/>
                <w:vertAlign w:val="superscript"/>
              </w:rPr>
              <w:t xml:space="preserve"> - </w:t>
            </w:r>
            <w:r w:rsidRPr="00A53AFC">
              <w:rPr>
                <w:szCs w:val="24"/>
              </w:rPr>
              <w:t>(95% CI) difference from DHA/PQP</w:t>
            </w:r>
          </w:p>
          <w:p w14:paraId="1C57227A" w14:textId="77777777" w:rsidR="00A53AFC" w:rsidRPr="00A53AFC" w:rsidRDefault="00A53AFC" w:rsidP="00A53AFC">
            <w:pPr>
              <w:spacing w:after="0"/>
              <w:rPr>
                <w:szCs w:val="24"/>
              </w:rPr>
            </w:pPr>
          </w:p>
        </w:tc>
        <w:tc>
          <w:tcPr>
            <w:tcW w:w="1003" w:type="pct"/>
          </w:tcPr>
          <w:p w14:paraId="55D2677A" w14:textId="77777777" w:rsidR="00A53AFC" w:rsidRPr="00A53AFC" w:rsidRDefault="00A53AFC" w:rsidP="00A53AFC">
            <w:pPr>
              <w:spacing w:after="0"/>
              <w:rPr>
                <w:szCs w:val="24"/>
              </w:rPr>
            </w:pPr>
          </w:p>
          <w:p w14:paraId="03D8A644" w14:textId="77777777" w:rsidR="00A53AFC" w:rsidRPr="00A53AFC" w:rsidRDefault="00A53AFC" w:rsidP="00A53AFC">
            <w:pPr>
              <w:spacing w:after="0"/>
              <w:rPr>
                <w:szCs w:val="24"/>
              </w:rPr>
            </w:pPr>
            <w:r w:rsidRPr="00A53AFC">
              <w:rPr>
                <w:szCs w:val="24"/>
              </w:rPr>
              <w:t>21%</w:t>
            </w:r>
          </w:p>
          <w:p w14:paraId="296F243E" w14:textId="77777777" w:rsidR="00A53AFC" w:rsidRPr="00A53AFC" w:rsidRDefault="00A53AFC" w:rsidP="00A53AFC">
            <w:pPr>
              <w:spacing w:after="0"/>
              <w:rPr>
                <w:szCs w:val="24"/>
              </w:rPr>
            </w:pPr>
            <w:r w:rsidRPr="00A53AFC">
              <w:rPr>
                <w:szCs w:val="24"/>
              </w:rPr>
              <w:t>(11, 34)</w:t>
            </w:r>
          </w:p>
          <w:p w14:paraId="27CE3870" w14:textId="77777777" w:rsidR="00A53AFC" w:rsidRPr="00A53AFC" w:rsidRDefault="00A53AFC" w:rsidP="00A53AFC">
            <w:pPr>
              <w:spacing w:after="0"/>
              <w:rPr>
                <w:szCs w:val="24"/>
              </w:rPr>
            </w:pPr>
          </w:p>
          <w:p w14:paraId="2D57F954" w14:textId="77777777" w:rsidR="00A53AFC" w:rsidRPr="00A53AFC" w:rsidRDefault="00A53AFC" w:rsidP="00A53AFC">
            <w:pPr>
              <w:spacing w:after="0"/>
              <w:rPr>
                <w:szCs w:val="24"/>
              </w:rPr>
            </w:pPr>
            <w:r w:rsidRPr="00A53AFC">
              <w:rPr>
                <w:szCs w:val="24"/>
              </w:rPr>
              <w:t>0.44 (0.29, 0.69)</w:t>
            </w:r>
          </w:p>
        </w:tc>
        <w:tc>
          <w:tcPr>
            <w:tcW w:w="1003" w:type="pct"/>
          </w:tcPr>
          <w:p w14:paraId="2304E0C9" w14:textId="77777777" w:rsidR="00A53AFC" w:rsidRPr="00A53AFC" w:rsidRDefault="00A53AFC" w:rsidP="00A53AFC">
            <w:pPr>
              <w:spacing w:after="0"/>
              <w:rPr>
                <w:szCs w:val="24"/>
              </w:rPr>
            </w:pPr>
          </w:p>
          <w:p w14:paraId="0D304D9F" w14:textId="77777777" w:rsidR="00A53AFC" w:rsidRPr="00A53AFC" w:rsidRDefault="00A53AFC" w:rsidP="00A53AFC">
            <w:pPr>
              <w:spacing w:after="0"/>
              <w:rPr>
                <w:szCs w:val="24"/>
              </w:rPr>
            </w:pPr>
            <w:r w:rsidRPr="00A53AFC">
              <w:rPr>
                <w:szCs w:val="24"/>
              </w:rPr>
              <w:t>52%</w:t>
            </w:r>
          </w:p>
          <w:p w14:paraId="111E94FF" w14:textId="77777777" w:rsidR="00A53AFC" w:rsidRPr="00A53AFC" w:rsidRDefault="00A53AFC" w:rsidP="00A53AFC">
            <w:pPr>
              <w:spacing w:after="0"/>
              <w:rPr>
                <w:szCs w:val="24"/>
              </w:rPr>
            </w:pPr>
            <w:r w:rsidRPr="00A53AFC">
              <w:rPr>
                <w:szCs w:val="24"/>
              </w:rPr>
              <w:t>(37, 65)</w:t>
            </w:r>
          </w:p>
          <w:p w14:paraId="5D46B202" w14:textId="77777777" w:rsidR="00A53AFC" w:rsidRPr="00A53AFC" w:rsidRDefault="00A53AFC" w:rsidP="00A53AFC">
            <w:pPr>
              <w:spacing w:after="0"/>
              <w:rPr>
                <w:szCs w:val="24"/>
              </w:rPr>
            </w:pPr>
          </w:p>
          <w:p w14:paraId="7C27D97B" w14:textId="77777777" w:rsidR="00A53AFC" w:rsidRPr="00A53AFC" w:rsidRDefault="00A53AFC" w:rsidP="00A53AFC">
            <w:pPr>
              <w:spacing w:after="0"/>
              <w:rPr>
                <w:szCs w:val="24"/>
              </w:rPr>
            </w:pPr>
            <w:r w:rsidRPr="00A53AFC">
              <w:rPr>
                <w:szCs w:val="24"/>
              </w:rPr>
              <w:t>0.26 (0.16, 0.43)</w:t>
            </w:r>
          </w:p>
        </w:tc>
        <w:tc>
          <w:tcPr>
            <w:tcW w:w="1002" w:type="pct"/>
          </w:tcPr>
          <w:p w14:paraId="1FCF2CF6" w14:textId="77777777" w:rsidR="00A53AFC" w:rsidRPr="00A53AFC" w:rsidRDefault="00A53AFC" w:rsidP="00A53AFC">
            <w:pPr>
              <w:spacing w:after="0"/>
              <w:rPr>
                <w:szCs w:val="24"/>
              </w:rPr>
            </w:pPr>
          </w:p>
          <w:p w14:paraId="69FC94C8" w14:textId="77777777" w:rsidR="00A53AFC" w:rsidRPr="00A53AFC" w:rsidRDefault="00A53AFC" w:rsidP="00A53AFC">
            <w:pPr>
              <w:spacing w:after="0"/>
              <w:rPr>
                <w:szCs w:val="24"/>
              </w:rPr>
            </w:pPr>
            <w:r w:rsidRPr="00A53AFC">
              <w:rPr>
                <w:szCs w:val="24"/>
              </w:rPr>
              <w:t>11%</w:t>
            </w:r>
          </w:p>
          <w:p w14:paraId="19E4BE6F" w14:textId="77777777" w:rsidR="00A53AFC" w:rsidRPr="00A53AFC" w:rsidRDefault="00A53AFC" w:rsidP="00A53AFC">
            <w:pPr>
              <w:spacing w:after="0"/>
              <w:rPr>
                <w:szCs w:val="24"/>
              </w:rPr>
            </w:pPr>
            <w:r w:rsidRPr="00A53AFC">
              <w:rPr>
                <w:szCs w:val="24"/>
              </w:rPr>
              <w:t>(4, 22)</w:t>
            </w:r>
          </w:p>
          <w:p w14:paraId="776A72E0" w14:textId="77777777" w:rsidR="00A53AFC" w:rsidRPr="00A53AFC" w:rsidRDefault="00A53AFC" w:rsidP="00A53AFC">
            <w:pPr>
              <w:spacing w:after="0"/>
              <w:rPr>
                <w:szCs w:val="24"/>
              </w:rPr>
            </w:pPr>
          </w:p>
        </w:tc>
      </w:tr>
    </w:tbl>
    <w:p w14:paraId="49C7604E" w14:textId="77777777" w:rsidR="00A53AFC" w:rsidRPr="00A53AFC" w:rsidRDefault="00A53AFC" w:rsidP="00A53AFC">
      <w:pPr>
        <w:spacing w:after="0"/>
        <w:rPr>
          <w:sz w:val="20"/>
          <w:szCs w:val="20"/>
        </w:rPr>
      </w:pPr>
      <w:r w:rsidRPr="00A53AFC">
        <w:rPr>
          <w:sz w:val="20"/>
          <w:szCs w:val="20"/>
        </w:rPr>
        <w:t xml:space="preserve">DHA-PQP = </w:t>
      </w:r>
      <w:proofErr w:type="spellStart"/>
      <w:r w:rsidRPr="00A53AFC">
        <w:rPr>
          <w:sz w:val="20"/>
          <w:szCs w:val="20"/>
        </w:rPr>
        <w:t>dihydroartemisinin</w:t>
      </w:r>
      <w:proofErr w:type="spellEnd"/>
      <w:r w:rsidRPr="00A53AFC">
        <w:rPr>
          <w:sz w:val="20"/>
          <w:szCs w:val="20"/>
        </w:rPr>
        <w:t>-piperaquine</w:t>
      </w:r>
    </w:p>
    <w:p w14:paraId="00C66CCD" w14:textId="77777777" w:rsidR="00A53AFC" w:rsidRPr="00A53AFC" w:rsidRDefault="00A53AFC" w:rsidP="00A53AFC">
      <w:pPr>
        <w:spacing w:after="0"/>
        <w:rPr>
          <w:sz w:val="20"/>
          <w:szCs w:val="20"/>
        </w:rPr>
      </w:pPr>
      <w:r w:rsidRPr="00A53AFC">
        <w:rPr>
          <w:sz w:val="20"/>
          <w:szCs w:val="20"/>
        </w:rPr>
        <w:t>a. Microbiologic intent to treat population</w:t>
      </w:r>
    </w:p>
    <w:p w14:paraId="5748AD7E" w14:textId="77777777" w:rsidR="00A53AFC" w:rsidRPr="00A53AFC" w:rsidRDefault="00A53AFC" w:rsidP="00A53AFC">
      <w:pPr>
        <w:spacing w:after="0"/>
        <w:rPr>
          <w:sz w:val="20"/>
          <w:szCs w:val="20"/>
        </w:rPr>
      </w:pPr>
      <w:r w:rsidRPr="00A53AFC">
        <w:rPr>
          <w:sz w:val="20"/>
          <w:szCs w:val="20"/>
        </w:rPr>
        <w:t>b. Kaplan-Meier Estimate</w:t>
      </w:r>
    </w:p>
    <w:p w14:paraId="597DAAC9" w14:textId="75093561" w:rsidR="00A53AFC" w:rsidRPr="00C24B4E" w:rsidRDefault="00A53AFC" w:rsidP="00172E14">
      <w:pPr>
        <w:spacing w:after="0"/>
        <w:rPr>
          <w:szCs w:val="24"/>
        </w:rPr>
      </w:pPr>
      <w:r w:rsidRPr="00A53AFC">
        <w:rPr>
          <w:sz w:val="20"/>
          <w:szCs w:val="20"/>
        </w:rPr>
        <w:t>c. Hazard ratio of the risk of recurrence versus DHA-PQP alone obtained from a Cox’s proportional hazards model.</w:t>
      </w:r>
    </w:p>
    <w:p w14:paraId="7998A295" w14:textId="21C7EC6A" w:rsidR="002300AC" w:rsidRPr="009F38B8" w:rsidRDefault="002300AC" w:rsidP="002300AC">
      <w:pPr>
        <w:pStyle w:val="NoNumHead4"/>
        <w:rPr>
          <w:rFonts w:asciiTheme="minorHAnsi" w:eastAsiaTheme="minorHAnsi" w:hAnsiTheme="minorHAnsi" w:cstheme="minorBidi"/>
          <w:b w:val="0"/>
          <w:bCs w:val="0"/>
          <w:u w:val="single"/>
          <w:lang w:val="en-AU" w:eastAsia="en-US"/>
        </w:rPr>
      </w:pPr>
      <w:r w:rsidRPr="009F38B8">
        <w:rPr>
          <w:rFonts w:asciiTheme="minorHAnsi" w:eastAsiaTheme="minorHAnsi" w:hAnsiTheme="minorHAnsi" w:cstheme="minorBidi"/>
          <w:b w:val="0"/>
          <w:bCs w:val="0"/>
          <w:u w:val="single"/>
          <w:lang w:val="en-AU" w:eastAsia="en-US"/>
        </w:rPr>
        <w:t>Cardiac Electrophysiology</w:t>
      </w:r>
      <w:r w:rsidR="00D772AB">
        <w:rPr>
          <w:rFonts w:asciiTheme="minorHAnsi" w:eastAsiaTheme="minorHAnsi" w:hAnsiTheme="minorHAnsi" w:cstheme="minorBidi"/>
          <w:b w:val="0"/>
          <w:bCs w:val="0"/>
          <w:u w:val="single"/>
          <w:lang w:val="en-AU" w:eastAsia="en-US"/>
        </w:rPr>
        <w:fldChar w:fldCharType="begin"/>
      </w:r>
      <w:r w:rsidR="00D772AB">
        <w:rPr>
          <w:rFonts w:asciiTheme="minorHAnsi" w:eastAsiaTheme="minorHAnsi" w:hAnsiTheme="minorHAnsi" w:cstheme="minorBidi"/>
          <w:b w:val="0"/>
          <w:bCs w:val="0"/>
          <w:u w:val="single"/>
          <w:lang w:val="en-AU" w:eastAsia="en-US"/>
        </w:rPr>
        <w:instrText xml:space="preserve"> DOCVARIABLE vault_nd_97b0fb36-0c65-4538-b3ee-5db4ee319028 \* MERGEFORMAT </w:instrText>
      </w:r>
      <w:r w:rsidR="00D772AB">
        <w:rPr>
          <w:rFonts w:asciiTheme="minorHAnsi" w:eastAsiaTheme="minorHAnsi" w:hAnsiTheme="minorHAnsi" w:cstheme="minorBidi"/>
          <w:b w:val="0"/>
          <w:bCs w:val="0"/>
          <w:u w:val="single"/>
          <w:lang w:val="en-AU" w:eastAsia="en-US"/>
        </w:rPr>
        <w:fldChar w:fldCharType="separate"/>
      </w:r>
      <w:r w:rsidR="00D772AB">
        <w:rPr>
          <w:rFonts w:asciiTheme="minorHAnsi" w:eastAsiaTheme="minorHAnsi" w:hAnsiTheme="minorHAnsi" w:cstheme="minorBidi"/>
          <w:b w:val="0"/>
          <w:bCs w:val="0"/>
          <w:u w:val="single"/>
          <w:lang w:val="en-AU" w:eastAsia="en-US"/>
        </w:rPr>
        <w:t xml:space="preserve"> </w:t>
      </w:r>
      <w:r w:rsidR="00D772AB">
        <w:rPr>
          <w:rFonts w:asciiTheme="minorHAnsi" w:eastAsiaTheme="minorHAnsi" w:hAnsiTheme="minorHAnsi" w:cstheme="minorBidi"/>
          <w:b w:val="0"/>
          <w:bCs w:val="0"/>
          <w:u w:val="single"/>
          <w:lang w:val="en-AU" w:eastAsia="en-US"/>
        </w:rPr>
        <w:fldChar w:fldCharType="end"/>
      </w:r>
    </w:p>
    <w:p w14:paraId="6FA225F0" w14:textId="77777777" w:rsidR="002300AC" w:rsidRPr="009F38B8" w:rsidRDefault="002300AC" w:rsidP="002300AC">
      <w:pPr>
        <w:spacing w:line="240" w:lineRule="auto"/>
      </w:pPr>
      <w:r w:rsidRPr="009F38B8">
        <w:t>At a cumulative dose of 1200 mg (400 mg/day for 3 days; 4 times the maximum recommended dose), tafenoquine did not prolong the QT interval to any clinically relevant extent.</w:t>
      </w:r>
    </w:p>
    <w:p w14:paraId="33FF3ACE" w14:textId="3A9AB845" w:rsidR="001A3992" w:rsidRPr="009F38B8" w:rsidRDefault="001A3992" w:rsidP="001A3992">
      <w:pPr>
        <w:pStyle w:val="Heading2"/>
        <w:keepNext/>
        <w:spacing w:before="0" w:after="120"/>
        <w:rPr>
          <w:lang w:val="en-US"/>
        </w:rPr>
      </w:pPr>
      <w:r w:rsidRPr="009F38B8">
        <w:rPr>
          <w:lang w:val="en-US"/>
        </w:rPr>
        <w:t>Pharmacokinetic properties</w:t>
      </w:r>
      <w:r w:rsidR="00D772AB">
        <w:rPr>
          <w:lang w:val="en-US"/>
        </w:rPr>
        <w:fldChar w:fldCharType="begin"/>
      </w:r>
      <w:r w:rsidR="00D772AB">
        <w:rPr>
          <w:lang w:val="en-US"/>
        </w:rPr>
        <w:instrText xml:space="preserve"> DOCVARIABLE vault_nd_69416baa-d5ce-4f73-b093-58ad165a7b1b \* MERGEFORMAT </w:instrText>
      </w:r>
      <w:r w:rsidR="00D772AB">
        <w:rPr>
          <w:lang w:val="en-US"/>
        </w:rPr>
        <w:fldChar w:fldCharType="separate"/>
      </w:r>
      <w:r w:rsidR="00D772AB">
        <w:rPr>
          <w:lang w:val="en-US"/>
        </w:rPr>
        <w:t xml:space="preserve"> </w:t>
      </w:r>
      <w:r w:rsidR="00D772AB">
        <w:rPr>
          <w:lang w:val="en-US"/>
        </w:rPr>
        <w:fldChar w:fldCharType="end"/>
      </w:r>
    </w:p>
    <w:p w14:paraId="617FBE4F" w14:textId="3AB0903C" w:rsidR="001A3992" w:rsidRPr="009F38B8" w:rsidRDefault="001A3992" w:rsidP="00FD1259">
      <w:pPr>
        <w:pStyle w:val="Heading3"/>
        <w:spacing w:before="0" w:after="120"/>
        <w:ind w:left="0"/>
      </w:pPr>
      <w:r w:rsidRPr="009F38B8">
        <w:t>Absorption</w:t>
      </w:r>
      <w:fldSimple w:instr=" DOCVARIABLE vault_nd_e0347c3e-ce86-458e-9558-222ace62d22e \* MERGEFORMAT ">
        <w:r w:rsidR="00D772AB">
          <w:t xml:space="preserve"> </w:t>
        </w:r>
      </w:fldSimple>
    </w:p>
    <w:p w14:paraId="7CB4D5DB" w14:textId="77777777" w:rsidR="00FD1259" w:rsidRPr="009F38B8" w:rsidRDefault="00FD1259" w:rsidP="00FD1259">
      <w:pPr>
        <w:autoSpaceDE w:val="0"/>
        <w:autoSpaceDN w:val="0"/>
        <w:adjustRightInd w:val="0"/>
      </w:pPr>
      <w:r w:rsidRPr="00FD6904">
        <w:t xml:space="preserve">Maximum plasma concentrations were generally observed 12 to 15 hours following oral administration. </w:t>
      </w:r>
      <w:r w:rsidRPr="009F38B8">
        <w:t xml:space="preserve">Plasma AUC increased 41% and </w:t>
      </w:r>
      <w:proofErr w:type="spellStart"/>
      <w:r w:rsidRPr="009F38B8">
        <w:t>C</w:t>
      </w:r>
      <w:r w:rsidRPr="009F38B8">
        <w:rPr>
          <w:vertAlign w:val="subscript"/>
        </w:rPr>
        <w:t>max</w:t>
      </w:r>
      <w:proofErr w:type="spellEnd"/>
      <w:r w:rsidRPr="009F38B8">
        <w:t xml:space="preserve"> increased 31% for tafenoquine administration with a high fat meal compared to the fasted state.</w:t>
      </w:r>
    </w:p>
    <w:p w14:paraId="407D27BF" w14:textId="264C50DC" w:rsidR="001A3992" w:rsidRPr="009F38B8" w:rsidRDefault="001A3992" w:rsidP="00FD1259">
      <w:pPr>
        <w:pStyle w:val="Heading3"/>
        <w:spacing w:before="0" w:after="120"/>
        <w:ind w:left="0"/>
      </w:pPr>
      <w:r w:rsidRPr="009F38B8">
        <w:t>Distribution</w:t>
      </w:r>
      <w:fldSimple w:instr=" DOCVARIABLE vault_nd_7bf17d26-ab17-4fe6-a9ef-492242140b37 \* MERGEFORMAT ">
        <w:r w:rsidR="00D772AB">
          <w:t xml:space="preserve"> </w:t>
        </w:r>
      </w:fldSimple>
    </w:p>
    <w:p w14:paraId="1C6AA786" w14:textId="77777777" w:rsidR="00FD1259" w:rsidRPr="009F38B8" w:rsidRDefault="00FD1259" w:rsidP="00FD1259">
      <w:r w:rsidRPr="009F38B8">
        <w:t>Tafenoquine is highly plasma protein bound (&gt;99.5%) and widely distributed (apparent oral volume of distribution &gt;1,500 L). Following single and multiple oral dose administration, tafenoquine whole blood concentrations were on average 67% higher than corresponding plasma values, reflecting preferential partitioning of drug in the erythrocytes.</w:t>
      </w:r>
    </w:p>
    <w:p w14:paraId="42A9910D" w14:textId="456851D2" w:rsidR="001A3992" w:rsidRPr="009F38B8" w:rsidRDefault="001A3992" w:rsidP="00FD1259">
      <w:pPr>
        <w:pStyle w:val="Heading3"/>
        <w:spacing w:before="0" w:after="120"/>
        <w:ind w:left="0"/>
      </w:pPr>
      <w:r w:rsidRPr="009F38B8">
        <w:lastRenderedPageBreak/>
        <w:t>Metabolism</w:t>
      </w:r>
      <w:fldSimple w:instr=" DOCVARIABLE vault_nd_2dbc8edb-f78e-45bc-8886-9fff215a05fb \* MERGEFORMAT ">
        <w:r w:rsidR="00D772AB">
          <w:t xml:space="preserve"> </w:t>
        </w:r>
      </w:fldSimple>
    </w:p>
    <w:p w14:paraId="7E2E8399" w14:textId="77777777" w:rsidR="00FD1259" w:rsidRPr="009F38B8" w:rsidRDefault="00FD1259" w:rsidP="00FD1259">
      <w:pPr>
        <w:shd w:val="clear" w:color="auto" w:fill="FFFFFF"/>
        <w:rPr>
          <w:lang w:val="en-US"/>
        </w:rPr>
      </w:pPr>
      <w:r w:rsidRPr="009F38B8">
        <w:t>Tafenoquine undergoes very slow metabolism, and drug-related material is excreted slowly, both unchanged and as metabolites. Tafenoquine is the principal circulating drug-related component and there are no major systemic metabolites in humans.</w:t>
      </w:r>
      <w:r w:rsidRPr="009F38B8">
        <w:rPr>
          <w:i/>
          <w:iCs/>
        </w:rPr>
        <w:t xml:space="preserve"> </w:t>
      </w:r>
    </w:p>
    <w:p w14:paraId="597B89A7" w14:textId="6153F514" w:rsidR="001A3992" w:rsidRPr="009F38B8" w:rsidRDefault="001A3992" w:rsidP="00FD1259">
      <w:pPr>
        <w:pStyle w:val="Heading3"/>
        <w:spacing w:before="0" w:after="120"/>
        <w:ind w:left="0"/>
      </w:pPr>
      <w:r w:rsidRPr="009F38B8">
        <w:t>Excretion</w:t>
      </w:r>
      <w:fldSimple w:instr=" DOCVARIABLE vault_nd_ac551170-2840-460c-9e5d-e56cffc781d5 \* MERGEFORMAT ">
        <w:r w:rsidR="00D772AB">
          <w:t xml:space="preserve"> </w:t>
        </w:r>
      </w:fldSimple>
    </w:p>
    <w:p w14:paraId="735CBC48" w14:textId="77777777" w:rsidR="00FD1259" w:rsidRPr="00FD6904" w:rsidRDefault="00FD1259" w:rsidP="00FD1259">
      <w:r w:rsidRPr="00FD6904">
        <w:t xml:space="preserve">The clearance of oral tafenoquine is approximately 3 L/h based on plasma concentrations. The average terminal half-life is approximately 15 days. Definitive elimination data in humans has not been generated, although slow elimination of drug related material in urine is evident.  In nonclinical species drug-related material is eliminated slowly in both urine and faeces (which includes some biliary secretion).  </w:t>
      </w:r>
    </w:p>
    <w:p w14:paraId="47B01695" w14:textId="56BDA82A" w:rsidR="00FD1259" w:rsidRPr="009F38B8" w:rsidRDefault="00FD1259" w:rsidP="005B1588">
      <w:pPr>
        <w:pStyle w:val="Heading3"/>
        <w:ind w:left="0"/>
        <w:rPr>
          <w:snapToGrid w:val="0"/>
          <w:lang w:val="en-US"/>
        </w:rPr>
      </w:pPr>
      <w:r w:rsidRPr="009F38B8">
        <w:rPr>
          <w:snapToGrid w:val="0"/>
          <w:lang w:val="en-US"/>
        </w:rPr>
        <w:t>Special Patient Populations</w:t>
      </w:r>
      <w:r w:rsidR="00D772AB">
        <w:rPr>
          <w:snapToGrid w:val="0"/>
          <w:lang w:val="en-US"/>
        </w:rPr>
        <w:fldChar w:fldCharType="begin"/>
      </w:r>
      <w:r w:rsidR="00D772AB">
        <w:rPr>
          <w:snapToGrid w:val="0"/>
          <w:lang w:val="en-US"/>
        </w:rPr>
        <w:instrText xml:space="preserve"> DOCVARIABLE vault_nd_2a5bcf0f-d68f-4778-8f8f-eb0fae9ce3ad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23F17897" w14:textId="2A4AB58D" w:rsidR="00AC1C7C" w:rsidRDefault="00AC1C7C" w:rsidP="00FD1259">
      <w:pPr>
        <w:pStyle w:val="Heading3"/>
        <w:ind w:left="0"/>
        <w:rPr>
          <w:lang w:val="en-US"/>
        </w:rPr>
      </w:pPr>
      <w:proofErr w:type="spellStart"/>
      <w:r>
        <w:rPr>
          <w:lang w:val="en-US"/>
        </w:rPr>
        <w:t>Paediatric</w:t>
      </w:r>
      <w:proofErr w:type="spellEnd"/>
      <w:r>
        <w:rPr>
          <w:lang w:val="en-US"/>
        </w:rPr>
        <w:t xml:space="preserve"> patients</w:t>
      </w:r>
      <w:r w:rsidR="00D772AB">
        <w:rPr>
          <w:lang w:val="en-US"/>
        </w:rPr>
        <w:fldChar w:fldCharType="begin"/>
      </w:r>
      <w:r w:rsidR="00D772AB">
        <w:rPr>
          <w:lang w:val="en-US"/>
        </w:rPr>
        <w:instrText xml:space="preserve"> DOCVARIABLE vault_nd_292800da-cac1-4894-a871-80ec875e9d3b \* MERGEFORMAT </w:instrText>
      </w:r>
      <w:r w:rsidR="00D772AB">
        <w:rPr>
          <w:lang w:val="en-US"/>
        </w:rPr>
        <w:fldChar w:fldCharType="separate"/>
      </w:r>
      <w:r w:rsidR="00D772AB">
        <w:rPr>
          <w:lang w:val="en-US"/>
        </w:rPr>
        <w:t xml:space="preserve"> </w:t>
      </w:r>
      <w:r w:rsidR="00D772AB">
        <w:rPr>
          <w:lang w:val="en-US"/>
        </w:rPr>
        <w:fldChar w:fldCharType="end"/>
      </w:r>
    </w:p>
    <w:p w14:paraId="26B3F161" w14:textId="70B395BF" w:rsidR="00AC1C7C" w:rsidRDefault="00AC1C7C" w:rsidP="00A40D8D">
      <w:r w:rsidRPr="006B27A6">
        <w:t xml:space="preserve">The pharmacokinetics of tafenoquine following administration of dispersible 50 mg tablets was evaluated in the </w:t>
      </w:r>
      <w:bookmarkStart w:id="5" w:name="_Hlk48215063"/>
      <w:r w:rsidRPr="006B27A6">
        <w:t>TAF113577</w:t>
      </w:r>
      <w:bookmarkEnd w:id="5"/>
      <w:r w:rsidRPr="006B27A6">
        <w:t xml:space="preserve"> trial. The trial included patients aged 2 to 15 years. Pharmacokinetic modelling was performed to predict the dose and exposures for patients by weight. Weight based dosing of paediatric patients provides comparable exposure to that associated with the administration of a single 300 mg dose in adults and adolescents aged 16 years or older. Based on the dose-ranging trial TAF112582 Part 1, the median AUC for the tafenoquine 300 mg dose in an adult weighing 60 kg was predicted to be 96 mcg.hr/mL (95% Prediction Interval (PI) 55-162 mcg.hr/mL).</w:t>
      </w:r>
    </w:p>
    <w:p w14:paraId="0804E2E1" w14:textId="3484C131" w:rsidR="00AC1C7C" w:rsidRDefault="00AC1C7C" w:rsidP="006B27A6">
      <w:pPr>
        <w:keepNext/>
        <w:keepLines/>
        <w:spacing w:after="0"/>
        <w:rPr>
          <w:b/>
          <w:szCs w:val="24"/>
        </w:rPr>
      </w:pPr>
      <w:r w:rsidRPr="006B27A6">
        <w:rPr>
          <w:b/>
          <w:szCs w:val="24"/>
        </w:rPr>
        <w:t>Table</w:t>
      </w:r>
      <w:r>
        <w:rPr>
          <w:b/>
          <w:szCs w:val="24"/>
        </w:rPr>
        <w:t xml:space="preserve"> </w:t>
      </w:r>
      <w:r w:rsidR="00086116">
        <w:rPr>
          <w:b/>
          <w:szCs w:val="24"/>
        </w:rPr>
        <w:t>5</w:t>
      </w:r>
      <w:r>
        <w:rPr>
          <w:b/>
          <w:szCs w:val="24"/>
        </w:rPr>
        <w:t>. Predicted tafenoquine exposures across weight groups</w:t>
      </w:r>
    </w:p>
    <w:tbl>
      <w:tblPr>
        <w:tblW w:w="44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1"/>
        <w:gridCol w:w="2839"/>
        <w:gridCol w:w="3020"/>
      </w:tblGrid>
      <w:tr w:rsidR="00AC1C7C" w:rsidRPr="00B77EB3" w14:paraId="780B086E" w14:textId="77777777" w:rsidTr="003C7D65">
        <w:tc>
          <w:tcPr>
            <w:tcW w:w="1374" w:type="pct"/>
            <w:tcMar>
              <w:top w:w="0" w:type="dxa"/>
              <w:left w:w="108" w:type="dxa"/>
              <w:bottom w:w="0" w:type="dxa"/>
              <w:right w:w="108" w:type="dxa"/>
            </w:tcMar>
            <w:hideMark/>
          </w:tcPr>
          <w:p w14:paraId="3805EEBC" w14:textId="77777777" w:rsidR="00AC1C7C" w:rsidRPr="00B07A9B" w:rsidRDefault="00AC1C7C" w:rsidP="003C7D65">
            <w:pPr>
              <w:spacing w:after="0" w:line="360" w:lineRule="auto"/>
              <w:rPr>
                <w:szCs w:val="24"/>
                <w:lang w:val="en-US"/>
              </w:rPr>
            </w:pPr>
            <w:r w:rsidRPr="00B07A9B">
              <w:rPr>
                <w:b/>
                <w:bCs/>
                <w:szCs w:val="24"/>
                <w:lang w:val="en-US"/>
              </w:rPr>
              <w:t>Weight Group (kg)</w:t>
            </w:r>
          </w:p>
        </w:tc>
        <w:tc>
          <w:tcPr>
            <w:tcW w:w="1756" w:type="pct"/>
            <w:tcMar>
              <w:top w:w="0" w:type="dxa"/>
              <w:left w:w="108" w:type="dxa"/>
              <w:bottom w:w="0" w:type="dxa"/>
              <w:right w:w="108" w:type="dxa"/>
            </w:tcMar>
            <w:hideMark/>
          </w:tcPr>
          <w:p w14:paraId="56A4734B" w14:textId="77777777" w:rsidR="00AC1C7C" w:rsidRPr="00B07A9B" w:rsidRDefault="00AC1C7C" w:rsidP="003C7D65">
            <w:pPr>
              <w:spacing w:after="0" w:line="360" w:lineRule="auto"/>
              <w:jc w:val="center"/>
              <w:rPr>
                <w:szCs w:val="24"/>
                <w:lang w:val="en-US"/>
              </w:rPr>
            </w:pPr>
            <w:r w:rsidRPr="00B07A9B">
              <w:rPr>
                <w:b/>
                <w:bCs/>
                <w:szCs w:val="24"/>
                <w:lang w:val="en-US"/>
              </w:rPr>
              <w:t>T</w:t>
            </w:r>
            <w:r>
              <w:rPr>
                <w:b/>
                <w:bCs/>
                <w:szCs w:val="24"/>
                <w:lang w:val="en-US"/>
              </w:rPr>
              <w:t>afenoquine</w:t>
            </w:r>
            <w:r w:rsidRPr="00B07A9B">
              <w:rPr>
                <w:b/>
                <w:bCs/>
                <w:szCs w:val="24"/>
                <w:lang w:val="en-US"/>
              </w:rPr>
              <w:t xml:space="preserve"> Dose (mg)</w:t>
            </w:r>
          </w:p>
        </w:tc>
        <w:tc>
          <w:tcPr>
            <w:tcW w:w="1869" w:type="pct"/>
            <w:tcMar>
              <w:top w:w="0" w:type="dxa"/>
              <w:left w:w="108" w:type="dxa"/>
              <w:bottom w:w="0" w:type="dxa"/>
              <w:right w:w="108" w:type="dxa"/>
            </w:tcMar>
            <w:hideMark/>
          </w:tcPr>
          <w:p w14:paraId="7DE7EBA5" w14:textId="77777777" w:rsidR="00AC1C7C" w:rsidRPr="00B07A9B" w:rsidRDefault="00AC1C7C" w:rsidP="003C7D65">
            <w:pPr>
              <w:spacing w:after="0"/>
              <w:jc w:val="center"/>
              <w:rPr>
                <w:szCs w:val="24"/>
                <w:lang w:val="en-US"/>
              </w:rPr>
            </w:pPr>
            <w:r w:rsidRPr="00B07A9B">
              <w:rPr>
                <w:b/>
                <w:bCs/>
                <w:szCs w:val="24"/>
                <w:lang w:val="en-US"/>
              </w:rPr>
              <w:t>AUC</w:t>
            </w:r>
            <w:r w:rsidRPr="00B07A9B">
              <w:rPr>
                <w:b/>
                <w:bCs/>
                <w:position w:val="-6"/>
                <w:szCs w:val="24"/>
                <w:lang w:val="en-US"/>
              </w:rPr>
              <w:t>0-∞</w:t>
            </w:r>
            <w:r>
              <w:rPr>
                <w:b/>
                <w:bCs/>
                <w:position w:val="-6"/>
                <w:szCs w:val="24"/>
                <w:lang w:val="en-US"/>
              </w:rPr>
              <w:t xml:space="preserve"> </w:t>
            </w:r>
            <w:r w:rsidRPr="00B07A9B">
              <w:rPr>
                <w:b/>
                <w:bCs/>
                <w:szCs w:val="24"/>
                <w:lang w:val="en-US"/>
              </w:rPr>
              <w:t>(</w:t>
            </w:r>
            <w:r>
              <w:rPr>
                <w:b/>
                <w:bCs/>
                <w:szCs w:val="24"/>
                <w:lang w:val="en-US"/>
              </w:rPr>
              <w:t>mcg</w:t>
            </w:r>
            <w:r w:rsidRPr="00B07A9B">
              <w:rPr>
                <w:b/>
                <w:bCs/>
                <w:szCs w:val="24"/>
                <w:lang w:val="en-US"/>
              </w:rPr>
              <w:t>.hr/mL)</w:t>
            </w:r>
          </w:p>
          <w:p w14:paraId="45480C42" w14:textId="77777777" w:rsidR="00AC1C7C" w:rsidRPr="00B07A9B" w:rsidRDefault="00AC1C7C" w:rsidP="003C7D65">
            <w:pPr>
              <w:spacing w:after="0"/>
              <w:jc w:val="center"/>
              <w:rPr>
                <w:szCs w:val="24"/>
                <w:lang w:val="en-US"/>
              </w:rPr>
            </w:pPr>
            <w:r w:rsidRPr="00B07A9B">
              <w:rPr>
                <w:b/>
                <w:bCs/>
                <w:szCs w:val="24"/>
                <w:lang w:val="en-US"/>
              </w:rPr>
              <w:t>Median (90% PI)</w:t>
            </w:r>
          </w:p>
        </w:tc>
      </w:tr>
      <w:tr w:rsidR="00AC1C7C" w:rsidRPr="00B07A9B" w14:paraId="2E311F81" w14:textId="77777777" w:rsidTr="003C7D65">
        <w:tc>
          <w:tcPr>
            <w:tcW w:w="1374" w:type="pct"/>
            <w:tcMar>
              <w:top w:w="0" w:type="dxa"/>
              <w:left w:w="108" w:type="dxa"/>
              <w:bottom w:w="0" w:type="dxa"/>
              <w:right w:w="108" w:type="dxa"/>
            </w:tcMar>
            <w:hideMark/>
          </w:tcPr>
          <w:p w14:paraId="5A4F569A" w14:textId="4E295BA5" w:rsidR="00AC1C7C" w:rsidRPr="00B07A9B" w:rsidRDefault="00AC1C7C" w:rsidP="003C7D65">
            <w:pPr>
              <w:spacing w:after="0" w:line="360" w:lineRule="auto"/>
              <w:jc w:val="center"/>
              <w:rPr>
                <w:szCs w:val="24"/>
                <w:lang w:val="en-US"/>
              </w:rPr>
            </w:pPr>
            <w:r w:rsidRPr="00B07A9B">
              <w:rPr>
                <w:szCs w:val="24"/>
                <w:lang w:val="en-US"/>
              </w:rPr>
              <w:t>≥</w:t>
            </w:r>
            <w:r>
              <w:rPr>
                <w:szCs w:val="24"/>
                <w:lang w:val="en-US"/>
              </w:rPr>
              <w:t xml:space="preserve"> </w:t>
            </w:r>
            <w:r w:rsidRPr="00B07A9B">
              <w:rPr>
                <w:szCs w:val="24"/>
                <w:lang w:val="en-US"/>
              </w:rPr>
              <w:t xml:space="preserve">5 </w:t>
            </w:r>
            <w:r>
              <w:rPr>
                <w:szCs w:val="24"/>
                <w:lang w:val="en-US"/>
              </w:rPr>
              <w:t>to</w:t>
            </w:r>
            <w:r w:rsidRPr="00B07A9B">
              <w:rPr>
                <w:szCs w:val="24"/>
                <w:lang w:val="en-US"/>
              </w:rPr>
              <w:t xml:space="preserve"> ≤</w:t>
            </w:r>
            <w:r>
              <w:rPr>
                <w:szCs w:val="24"/>
                <w:lang w:val="en-US"/>
              </w:rPr>
              <w:t xml:space="preserve"> </w:t>
            </w:r>
            <w:r w:rsidRPr="00B07A9B">
              <w:rPr>
                <w:szCs w:val="24"/>
                <w:lang w:val="en-US"/>
              </w:rPr>
              <w:t>10</w:t>
            </w:r>
          </w:p>
        </w:tc>
        <w:tc>
          <w:tcPr>
            <w:tcW w:w="1756" w:type="pct"/>
            <w:tcMar>
              <w:top w:w="0" w:type="dxa"/>
              <w:left w:w="108" w:type="dxa"/>
              <w:bottom w:w="0" w:type="dxa"/>
              <w:right w:w="108" w:type="dxa"/>
            </w:tcMar>
            <w:hideMark/>
          </w:tcPr>
          <w:p w14:paraId="30BA287D" w14:textId="77777777" w:rsidR="00AC1C7C" w:rsidRPr="00B07A9B" w:rsidRDefault="00AC1C7C" w:rsidP="003C7D65">
            <w:pPr>
              <w:spacing w:after="0" w:line="360" w:lineRule="auto"/>
              <w:jc w:val="center"/>
              <w:rPr>
                <w:szCs w:val="24"/>
                <w:lang w:val="en-US"/>
              </w:rPr>
            </w:pPr>
            <w:r w:rsidRPr="00B07A9B">
              <w:rPr>
                <w:szCs w:val="24"/>
                <w:lang w:val="en-US"/>
              </w:rPr>
              <w:t>50</w:t>
            </w:r>
          </w:p>
        </w:tc>
        <w:tc>
          <w:tcPr>
            <w:tcW w:w="1869" w:type="pct"/>
            <w:tcMar>
              <w:top w:w="0" w:type="dxa"/>
              <w:left w:w="108" w:type="dxa"/>
              <w:bottom w:w="0" w:type="dxa"/>
              <w:right w:w="108" w:type="dxa"/>
            </w:tcMar>
            <w:vAlign w:val="center"/>
            <w:hideMark/>
          </w:tcPr>
          <w:p w14:paraId="70B01561" w14:textId="77777777" w:rsidR="00AC1C7C" w:rsidRPr="00B07A9B" w:rsidRDefault="00AC1C7C" w:rsidP="003C7D65">
            <w:pPr>
              <w:spacing w:after="0"/>
              <w:jc w:val="center"/>
              <w:rPr>
                <w:szCs w:val="24"/>
                <w:lang w:val="en-US"/>
              </w:rPr>
            </w:pPr>
            <w:r w:rsidRPr="00B07A9B">
              <w:rPr>
                <w:szCs w:val="24"/>
                <w:lang w:val="en-US"/>
              </w:rPr>
              <w:t>73.8 (46.9 – 117)</w:t>
            </w:r>
          </w:p>
        </w:tc>
      </w:tr>
      <w:tr w:rsidR="00AC1C7C" w:rsidRPr="00B07A9B" w14:paraId="78BCE847" w14:textId="77777777" w:rsidTr="003C7D65">
        <w:tc>
          <w:tcPr>
            <w:tcW w:w="1374" w:type="pct"/>
            <w:tcMar>
              <w:top w:w="0" w:type="dxa"/>
              <w:left w:w="108" w:type="dxa"/>
              <w:bottom w:w="0" w:type="dxa"/>
              <w:right w:w="108" w:type="dxa"/>
            </w:tcMar>
            <w:hideMark/>
          </w:tcPr>
          <w:p w14:paraId="2D9255AE" w14:textId="551CA23F" w:rsidR="00AC1C7C" w:rsidRPr="00C24B4E" w:rsidRDefault="00AC1C7C" w:rsidP="000B3544">
            <w:pPr>
              <w:spacing w:after="0" w:line="360" w:lineRule="auto"/>
              <w:jc w:val="center"/>
              <w:rPr>
                <w:szCs w:val="24"/>
                <w:lang w:val="en-US"/>
              </w:rPr>
            </w:pPr>
            <w:r w:rsidRPr="000B3544">
              <w:rPr>
                <w:szCs w:val="24"/>
                <w:lang w:val="en-US"/>
              </w:rPr>
              <w:t>&gt;</w:t>
            </w:r>
            <w:r>
              <w:rPr>
                <w:szCs w:val="24"/>
                <w:lang w:val="en-US"/>
              </w:rPr>
              <w:t xml:space="preserve"> </w:t>
            </w:r>
            <w:r w:rsidRPr="000B3544">
              <w:rPr>
                <w:szCs w:val="24"/>
                <w:lang w:val="en-US"/>
              </w:rPr>
              <w:t>10 to</w:t>
            </w:r>
            <w:r w:rsidRPr="00C24B4E">
              <w:rPr>
                <w:szCs w:val="24"/>
                <w:lang w:val="en-US"/>
              </w:rPr>
              <w:t xml:space="preserve"> ≤</w:t>
            </w:r>
            <w:r>
              <w:rPr>
                <w:szCs w:val="24"/>
                <w:lang w:val="en-US"/>
              </w:rPr>
              <w:t xml:space="preserve"> </w:t>
            </w:r>
            <w:r w:rsidRPr="000B3544">
              <w:rPr>
                <w:szCs w:val="24"/>
                <w:lang w:val="en-US"/>
              </w:rPr>
              <w:t>20</w:t>
            </w:r>
          </w:p>
        </w:tc>
        <w:tc>
          <w:tcPr>
            <w:tcW w:w="1756" w:type="pct"/>
            <w:tcMar>
              <w:top w:w="0" w:type="dxa"/>
              <w:left w:w="108" w:type="dxa"/>
              <w:bottom w:w="0" w:type="dxa"/>
              <w:right w:w="108" w:type="dxa"/>
            </w:tcMar>
            <w:hideMark/>
          </w:tcPr>
          <w:p w14:paraId="61EDC86E" w14:textId="77777777" w:rsidR="00AC1C7C" w:rsidRPr="00B07A9B" w:rsidRDefault="00AC1C7C" w:rsidP="003C7D65">
            <w:pPr>
              <w:spacing w:after="0" w:line="360" w:lineRule="auto"/>
              <w:jc w:val="center"/>
              <w:rPr>
                <w:szCs w:val="24"/>
                <w:lang w:val="en-US"/>
              </w:rPr>
            </w:pPr>
            <w:r w:rsidRPr="00B07A9B">
              <w:rPr>
                <w:szCs w:val="24"/>
                <w:lang w:val="en-US"/>
              </w:rPr>
              <w:t>100</w:t>
            </w:r>
          </w:p>
        </w:tc>
        <w:tc>
          <w:tcPr>
            <w:tcW w:w="1869" w:type="pct"/>
            <w:tcMar>
              <w:top w:w="0" w:type="dxa"/>
              <w:left w:w="108" w:type="dxa"/>
              <w:bottom w:w="0" w:type="dxa"/>
              <w:right w:w="108" w:type="dxa"/>
            </w:tcMar>
            <w:vAlign w:val="center"/>
            <w:hideMark/>
          </w:tcPr>
          <w:p w14:paraId="7A2F0417" w14:textId="77777777" w:rsidR="00AC1C7C" w:rsidRPr="00B07A9B" w:rsidRDefault="00AC1C7C" w:rsidP="003C7D65">
            <w:pPr>
              <w:spacing w:after="0"/>
              <w:jc w:val="center"/>
              <w:rPr>
                <w:szCs w:val="24"/>
                <w:lang w:val="en-US"/>
              </w:rPr>
            </w:pPr>
            <w:r w:rsidRPr="00B07A9B">
              <w:rPr>
                <w:szCs w:val="24"/>
                <w:lang w:val="en-US"/>
              </w:rPr>
              <w:t>87.5 (55.4 – 139)</w:t>
            </w:r>
          </w:p>
        </w:tc>
      </w:tr>
      <w:tr w:rsidR="00AC1C7C" w:rsidRPr="00B07A9B" w14:paraId="42028D3B" w14:textId="77777777" w:rsidTr="003C7D65">
        <w:tc>
          <w:tcPr>
            <w:tcW w:w="1374" w:type="pct"/>
            <w:tcMar>
              <w:top w:w="0" w:type="dxa"/>
              <w:left w:w="108" w:type="dxa"/>
              <w:bottom w:w="0" w:type="dxa"/>
              <w:right w:w="108" w:type="dxa"/>
            </w:tcMar>
            <w:hideMark/>
          </w:tcPr>
          <w:p w14:paraId="0227EACD" w14:textId="015DE020" w:rsidR="00AC1C7C" w:rsidRPr="000B3544" w:rsidRDefault="00AC1C7C" w:rsidP="000B3544">
            <w:pPr>
              <w:spacing w:after="0" w:line="360" w:lineRule="auto"/>
              <w:jc w:val="center"/>
              <w:rPr>
                <w:szCs w:val="24"/>
                <w:lang w:val="en-US"/>
              </w:rPr>
            </w:pPr>
            <w:r w:rsidRPr="000B3544">
              <w:rPr>
                <w:szCs w:val="24"/>
                <w:lang w:val="en-US"/>
              </w:rPr>
              <w:t>&gt;</w:t>
            </w:r>
            <w:r>
              <w:rPr>
                <w:szCs w:val="24"/>
                <w:lang w:val="en-US"/>
              </w:rPr>
              <w:t xml:space="preserve"> </w:t>
            </w:r>
            <w:r w:rsidRPr="000B3544">
              <w:rPr>
                <w:szCs w:val="24"/>
                <w:lang w:val="en-US"/>
              </w:rPr>
              <w:t>20 to</w:t>
            </w:r>
            <w:r w:rsidRPr="00C24B4E">
              <w:rPr>
                <w:szCs w:val="24"/>
                <w:lang w:val="en-US"/>
              </w:rPr>
              <w:t xml:space="preserve"> ≤</w:t>
            </w:r>
            <w:r>
              <w:rPr>
                <w:szCs w:val="24"/>
                <w:lang w:val="en-US"/>
              </w:rPr>
              <w:t xml:space="preserve"> </w:t>
            </w:r>
            <w:r w:rsidRPr="000B3544">
              <w:rPr>
                <w:szCs w:val="24"/>
                <w:lang w:val="en-US"/>
              </w:rPr>
              <w:t>35</w:t>
            </w:r>
          </w:p>
        </w:tc>
        <w:tc>
          <w:tcPr>
            <w:tcW w:w="1756" w:type="pct"/>
            <w:tcMar>
              <w:top w:w="0" w:type="dxa"/>
              <w:left w:w="108" w:type="dxa"/>
              <w:bottom w:w="0" w:type="dxa"/>
              <w:right w:w="108" w:type="dxa"/>
            </w:tcMar>
            <w:hideMark/>
          </w:tcPr>
          <w:p w14:paraId="50676974" w14:textId="77777777" w:rsidR="00AC1C7C" w:rsidRPr="00B07A9B" w:rsidRDefault="00AC1C7C" w:rsidP="003C7D65">
            <w:pPr>
              <w:spacing w:after="0" w:line="360" w:lineRule="auto"/>
              <w:jc w:val="center"/>
              <w:rPr>
                <w:szCs w:val="24"/>
                <w:lang w:val="en-US"/>
              </w:rPr>
            </w:pPr>
            <w:r w:rsidRPr="00B07A9B">
              <w:rPr>
                <w:szCs w:val="24"/>
                <w:lang w:val="en-US"/>
              </w:rPr>
              <w:t>200</w:t>
            </w:r>
          </w:p>
        </w:tc>
        <w:tc>
          <w:tcPr>
            <w:tcW w:w="1869" w:type="pct"/>
            <w:tcMar>
              <w:top w:w="0" w:type="dxa"/>
              <w:left w:w="108" w:type="dxa"/>
              <w:bottom w:w="0" w:type="dxa"/>
              <w:right w:w="108" w:type="dxa"/>
            </w:tcMar>
            <w:vAlign w:val="center"/>
            <w:hideMark/>
          </w:tcPr>
          <w:p w14:paraId="2A455CB6" w14:textId="77777777" w:rsidR="00AC1C7C" w:rsidRPr="00B07A9B" w:rsidRDefault="00AC1C7C" w:rsidP="003C7D65">
            <w:pPr>
              <w:spacing w:after="0"/>
              <w:jc w:val="center"/>
              <w:rPr>
                <w:szCs w:val="24"/>
                <w:lang w:val="en-US"/>
              </w:rPr>
            </w:pPr>
            <w:r w:rsidRPr="00B07A9B">
              <w:rPr>
                <w:szCs w:val="24"/>
                <w:lang w:val="en-US"/>
              </w:rPr>
              <w:t>110.7</w:t>
            </w:r>
            <w:r>
              <w:rPr>
                <w:szCs w:val="24"/>
                <w:lang w:val="en-US"/>
              </w:rPr>
              <w:t xml:space="preserve"> </w:t>
            </w:r>
            <w:r w:rsidRPr="00B07A9B">
              <w:rPr>
                <w:szCs w:val="24"/>
                <w:lang w:val="en-US"/>
              </w:rPr>
              <w:t>(70.9 – 174)</w:t>
            </w:r>
          </w:p>
        </w:tc>
      </w:tr>
      <w:tr w:rsidR="00AC1C7C" w:rsidRPr="00B07A9B" w14:paraId="6C8C31BB" w14:textId="77777777" w:rsidTr="003C7D65">
        <w:tc>
          <w:tcPr>
            <w:tcW w:w="1374" w:type="pct"/>
            <w:tcMar>
              <w:top w:w="0" w:type="dxa"/>
              <w:left w:w="108" w:type="dxa"/>
              <w:bottom w:w="0" w:type="dxa"/>
              <w:right w:w="108" w:type="dxa"/>
            </w:tcMar>
            <w:hideMark/>
          </w:tcPr>
          <w:p w14:paraId="76F0E579" w14:textId="1CADA315" w:rsidR="00AC1C7C" w:rsidRPr="000B3544" w:rsidRDefault="00AC1C7C" w:rsidP="000B3544">
            <w:pPr>
              <w:spacing w:after="0" w:line="360" w:lineRule="auto"/>
              <w:jc w:val="center"/>
              <w:rPr>
                <w:szCs w:val="24"/>
                <w:lang w:val="en-US"/>
              </w:rPr>
            </w:pPr>
            <w:r w:rsidRPr="000B3544">
              <w:rPr>
                <w:szCs w:val="24"/>
                <w:lang w:val="en-US"/>
              </w:rPr>
              <w:t>&gt;</w:t>
            </w:r>
            <w:r>
              <w:rPr>
                <w:szCs w:val="24"/>
                <w:lang w:val="en-US"/>
              </w:rPr>
              <w:t xml:space="preserve"> </w:t>
            </w:r>
            <w:r w:rsidRPr="000B3544">
              <w:rPr>
                <w:szCs w:val="24"/>
                <w:lang w:val="en-US"/>
              </w:rPr>
              <w:t>35</w:t>
            </w:r>
          </w:p>
        </w:tc>
        <w:tc>
          <w:tcPr>
            <w:tcW w:w="1756" w:type="pct"/>
            <w:tcMar>
              <w:top w:w="0" w:type="dxa"/>
              <w:left w:w="108" w:type="dxa"/>
              <w:bottom w:w="0" w:type="dxa"/>
              <w:right w:w="108" w:type="dxa"/>
            </w:tcMar>
            <w:hideMark/>
          </w:tcPr>
          <w:p w14:paraId="12A05962" w14:textId="77777777" w:rsidR="00AC1C7C" w:rsidRPr="00B07A9B" w:rsidRDefault="00AC1C7C" w:rsidP="003C7D65">
            <w:pPr>
              <w:spacing w:after="0" w:line="360" w:lineRule="auto"/>
              <w:jc w:val="center"/>
              <w:rPr>
                <w:szCs w:val="24"/>
                <w:lang w:val="en-US"/>
              </w:rPr>
            </w:pPr>
            <w:r w:rsidRPr="00B07A9B">
              <w:rPr>
                <w:szCs w:val="24"/>
                <w:lang w:val="en-US"/>
              </w:rPr>
              <w:t>300</w:t>
            </w:r>
          </w:p>
        </w:tc>
        <w:tc>
          <w:tcPr>
            <w:tcW w:w="1869" w:type="pct"/>
            <w:tcMar>
              <w:top w:w="0" w:type="dxa"/>
              <w:left w:w="108" w:type="dxa"/>
              <w:bottom w:w="0" w:type="dxa"/>
              <w:right w:w="108" w:type="dxa"/>
            </w:tcMar>
            <w:vAlign w:val="center"/>
            <w:hideMark/>
          </w:tcPr>
          <w:p w14:paraId="2C91B2FC" w14:textId="77777777" w:rsidR="00AC1C7C" w:rsidRPr="00B07A9B" w:rsidRDefault="00AC1C7C" w:rsidP="003C7D65">
            <w:pPr>
              <w:spacing w:after="0"/>
              <w:jc w:val="center"/>
              <w:rPr>
                <w:szCs w:val="24"/>
                <w:lang w:val="en-US"/>
              </w:rPr>
            </w:pPr>
            <w:r w:rsidRPr="00B07A9B">
              <w:rPr>
                <w:szCs w:val="24"/>
                <w:lang w:val="en-US"/>
              </w:rPr>
              <w:t>85.7 (50.6 – 151)</w:t>
            </w:r>
          </w:p>
        </w:tc>
      </w:tr>
    </w:tbl>
    <w:p w14:paraId="6E7303F1" w14:textId="561C6E24" w:rsidR="00AC057A" w:rsidRPr="00AC057A" w:rsidRDefault="00AC057A" w:rsidP="00AC057A">
      <w:pPr>
        <w:spacing w:before="240"/>
      </w:pPr>
      <w:r>
        <w:t xml:space="preserve">However, no children &lt; 2 years of age and weighing </w:t>
      </w:r>
      <w:r w:rsidRPr="00AC057A">
        <w:t xml:space="preserve">≤10 kg could be recruited in the trial; </w:t>
      </w:r>
      <w:proofErr w:type="gramStart"/>
      <w:r w:rsidRPr="00AC057A">
        <w:t>therefore</w:t>
      </w:r>
      <w:proofErr w:type="gramEnd"/>
      <w:r w:rsidRPr="00AC057A">
        <w:t xml:space="preserve"> the use tafenoquine in this age group is not recommended.</w:t>
      </w:r>
    </w:p>
    <w:p w14:paraId="495F38DB" w14:textId="50E0F28B" w:rsidR="00FD1259" w:rsidRPr="009F38B8" w:rsidRDefault="00FD1259" w:rsidP="00FD1259">
      <w:pPr>
        <w:pStyle w:val="Heading3"/>
        <w:ind w:left="0"/>
        <w:rPr>
          <w:lang w:val="en-US"/>
        </w:rPr>
      </w:pPr>
      <w:r w:rsidRPr="009F38B8">
        <w:rPr>
          <w:lang w:val="en-US"/>
        </w:rPr>
        <w:t xml:space="preserve">Elderly patients </w:t>
      </w:r>
      <w:r w:rsidRPr="009F38B8">
        <w:rPr>
          <w:rFonts w:eastAsia="MS Mincho"/>
          <w:lang w:val="en-US"/>
        </w:rPr>
        <w:t>(&gt; 65 years old)</w:t>
      </w:r>
      <w:r w:rsidR="00D772AB">
        <w:rPr>
          <w:rFonts w:eastAsia="MS Mincho"/>
          <w:lang w:val="en-US"/>
        </w:rPr>
        <w:fldChar w:fldCharType="begin"/>
      </w:r>
      <w:r w:rsidR="00D772AB">
        <w:rPr>
          <w:rFonts w:eastAsia="MS Mincho"/>
          <w:lang w:val="en-US"/>
        </w:rPr>
        <w:instrText xml:space="preserve"> DOCVARIABLE vault_nd_a6ea420d-cf50-4f4f-ad43-1fd04d2b3c1b \* MERGEFORMAT </w:instrText>
      </w:r>
      <w:r w:rsidR="00D772AB">
        <w:rPr>
          <w:rFonts w:eastAsia="MS Mincho"/>
          <w:lang w:val="en-US"/>
        </w:rPr>
        <w:fldChar w:fldCharType="separate"/>
      </w:r>
      <w:r w:rsidR="00D772AB">
        <w:rPr>
          <w:rFonts w:eastAsia="MS Mincho"/>
          <w:lang w:val="en-US"/>
        </w:rPr>
        <w:t xml:space="preserve"> </w:t>
      </w:r>
      <w:r w:rsidR="00D772AB">
        <w:rPr>
          <w:rFonts w:eastAsia="MS Mincho"/>
          <w:lang w:val="en-US"/>
        </w:rPr>
        <w:fldChar w:fldCharType="end"/>
      </w:r>
    </w:p>
    <w:p w14:paraId="65150485" w14:textId="77777777" w:rsidR="00FD1259" w:rsidRPr="009F38B8" w:rsidRDefault="00FD1259" w:rsidP="00FD1259">
      <w:pPr>
        <w:rPr>
          <w:szCs w:val="24"/>
        </w:rPr>
      </w:pPr>
      <w:r w:rsidRPr="00FD6904">
        <w:t xml:space="preserve">No formal studies have been conducted in elderly patients. </w:t>
      </w:r>
      <w:r w:rsidRPr="009F38B8">
        <w:rPr>
          <w:szCs w:val="24"/>
        </w:rPr>
        <w:t>In a population pharmacokinetic analysis in 675 subjects aged 15 to 79 years, there was no indication of an effect of age on the pharmacokinetics of tafenoquine.</w:t>
      </w:r>
    </w:p>
    <w:p w14:paraId="725B4FC9" w14:textId="1B872935" w:rsidR="00FD1259" w:rsidRPr="009F38B8" w:rsidRDefault="00FD1259" w:rsidP="005B1588">
      <w:pPr>
        <w:pStyle w:val="Heading3"/>
        <w:ind w:left="0"/>
        <w:rPr>
          <w:lang w:val="en-US"/>
        </w:rPr>
      </w:pPr>
      <w:r w:rsidRPr="009F38B8">
        <w:rPr>
          <w:lang w:val="en-US"/>
        </w:rPr>
        <w:lastRenderedPageBreak/>
        <w:t>Renal impairment</w:t>
      </w:r>
      <w:r w:rsidR="00D772AB">
        <w:rPr>
          <w:lang w:val="en-US"/>
        </w:rPr>
        <w:fldChar w:fldCharType="begin"/>
      </w:r>
      <w:r w:rsidR="00D772AB">
        <w:rPr>
          <w:lang w:val="en-US"/>
        </w:rPr>
        <w:instrText xml:space="preserve"> DOCVARIABLE vault_nd_ddb11b43-01eb-4dad-acdb-0575f6682e31 \* MERGEFORMAT </w:instrText>
      </w:r>
      <w:r w:rsidR="00D772AB">
        <w:rPr>
          <w:lang w:val="en-US"/>
        </w:rPr>
        <w:fldChar w:fldCharType="separate"/>
      </w:r>
      <w:r w:rsidR="00D772AB">
        <w:rPr>
          <w:lang w:val="en-US"/>
        </w:rPr>
        <w:t xml:space="preserve"> </w:t>
      </w:r>
      <w:r w:rsidR="00D772AB">
        <w:rPr>
          <w:lang w:val="en-US"/>
        </w:rPr>
        <w:fldChar w:fldCharType="end"/>
      </w:r>
    </w:p>
    <w:p w14:paraId="3410BA52" w14:textId="77777777" w:rsidR="00FD1259" w:rsidRPr="00FD6904" w:rsidRDefault="00FD1259" w:rsidP="00FD1259">
      <w:pPr>
        <w:autoSpaceDE w:val="0"/>
        <w:autoSpaceDN w:val="0"/>
        <w:adjustRightInd w:val="0"/>
      </w:pPr>
      <w:r w:rsidRPr="00FD6904">
        <w:t>No formal studies have been conducted to investigate the effect of renal impairment on the pharmacokinetics of tafenoquine.</w:t>
      </w:r>
    </w:p>
    <w:p w14:paraId="00C8AFA3" w14:textId="727F0F22" w:rsidR="00FD1259" w:rsidRPr="009F38B8" w:rsidRDefault="00FD1259" w:rsidP="005B1588">
      <w:pPr>
        <w:pStyle w:val="Heading3"/>
        <w:ind w:left="0"/>
        <w:rPr>
          <w:lang w:val="en-US"/>
        </w:rPr>
      </w:pPr>
      <w:r w:rsidRPr="009F38B8">
        <w:rPr>
          <w:lang w:val="en-US"/>
        </w:rPr>
        <w:t>Hepatic impairment</w:t>
      </w:r>
      <w:r w:rsidR="00D772AB">
        <w:rPr>
          <w:lang w:val="en-US"/>
        </w:rPr>
        <w:fldChar w:fldCharType="begin"/>
      </w:r>
      <w:r w:rsidR="00D772AB">
        <w:rPr>
          <w:lang w:val="en-US"/>
        </w:rPr>
        <w:instrText xml:space="preserve"> DOCVARIABLE vault_nd_da181f16-0e1b-4ad6-8bde-f9bc30f31588 \* MERGEFORMAT </w:instrText>
      </w:r>
      <w:r w:rsidR="00D772AB">
        <w:rPr>
          <w:lang w:val="en-US"/>
        </w:rPr>
        <w:fldChar w:fldCharType="separate"/>
      </w:r>
      <w:r w:rsidR="00D772AB">
        <w:rPr>
          <w:lang w:val="en-US"/>
        </w:rPr>
        <w:t xml:space="preserve"> </w:t>
      </w:r>
      <w:r w:rsidR="00D772AB">
        <w:rPr>
          <w:lang w:val="en-US"/>
        </w:rPr>
        <w:fldChar w:fldCharType="end"/>
      </w:r>
    </w:p>
    <w:p w14:paraId="2E06BD82" w14:textId="77777777" w:rsidR="00FD1259" w:rsidRPr="00FD6904" w:rsidRDefault="00FD1259" w:rsidP="004B27BE">
      <w:pPr>
        <w:autoSpaceDE w:val="0"/>
        <w:autoSpaceDN w:val="0"/>
        <w:adjustRightInd w:val="0"/>
      </w:pPr>
      <w:r w:rsidRPr="00FD6904">
        <w:t>No formal studies have been conducted to investigate the effect of hepatic impairment on the pharmacokinetics of tafenoquine.</w:t>
      </w:r>
    </w:p>
    <w:p w14:paraId="53A0EE08" w14:textId="1F92D26B" w:rsidR="00512877" w:rsidRPr="009F38B8" w:rsidRDefault="00512877" w:rsidP="00512877">
      <w:pPr>
        <w:pStyle w:val="Heading3"/>
        <w:ind w:left="0"/>
        <w:rPr>
          <w:lang w:val="en-US"/>
        </w:rPr>
      </w:pPr>
      <w:r w:rsidRPr="009F38B8">
        <w:rPr>
          <w:lang w:val="en-US"/>
        </w:rPr>
        <w:t>Drug Interaction Studies</w:t>
      </w:r>
      <w:r w:rsidR="00D772AB">
        <w:rPr>
          <w:lang w:val="en-US"/>
        </w:rPr>
        <w:fldChar w:fldCharType="begin"/>
      </w:r>
      <w:r w:rsidR="00D772AB">
        <w:rPr>
          <w:lang w:val="en-US"/>
        </w:rPr>
        <w:instrText xml:space="preserve"> DOCVARIABLE vault_nd_8c34ab96-9789-42b4-85fa-a9e56345b344 \* MERGEFORMAT </w:instrText>
      </w:r>
      <w:r w:rsidR="00D772AB">
        <w:rPr>
          <w:lang w:val="en-US"/>
        </w:rPr>
        <w:fldChar w:fldCharType="separate"/>
      </w:r>
      <w:r w:rsidR="00D772AB">
        <w:rPr>
          <w:lang w:val="en-US"/>
        </w:rPr>
        <w:t xml:space="preserve"> </w:t>
      </w:r>
      <w:r w:rsidR="00D772AB">
        <w:rPr>
          <w:lang w:val="en-US"/>
        </w:rPr>
        <w:fldChar w:fldCharType="end"/>
      </w:r>
    </w:p>
    <w:p w14:paraId="5FD88B06" w14:textId="77777777" w:rsidR="00512877" w:rsidRPr="00FD6904" w:rsidRDefault="00512877" w:rsidP="00512877">
      <w:r w:rsidRPr="00FD6904">
        <w:t xml:space="preserve">Tafenoquine demonstrated </w:t>
      </w:r>
      <w:r w:rsidRPr="00FD6904">
        <w:rPr>
          <w:i/>
        </w:rPr>
        <w:t>in vitro</w:t>
      </w:r>
      <w:r w:rsidRPr="00FD6904">
        <w:t xml:space="preserve"> inhibition of several CYPs including 1A2, 2A6, 2C8, 2C9 and 3A4 enzymes. Clinical studies have shown no clinically significant effects on the pharmacokinetics of substrates of CYP1A2 (caffeine), CYP2D6 (desipramine), CYP2C9 (flurbiprofen), or CYP3A4 (midazolam, chloroquine) following oral administration of tafenoquine. </w:t>
      </w:r>
    </w:p>
    <w:p w14:paraId="115A4CBC" w14:textId="77777777" w:rsidR="00512877" w:rsidRPr="00FD6904" w:rsidRDefault="00512877" w:rsidP="00512877">
      <w:r w:rsidRPr="00FD6904">
        <w:t xml:space="preserve">Tafenoquine inhibited </w:t>
      </w:r>
      <w:r w:rsidRPr="00FD6904">
        <w:rPr>
          <w:i/>
        </w:rPr>
        <w:t>in vitro</w:t>
      </w:r>
      <w:r w:rsidRPr="00FD6904">
        <w:t xml:space="preserve"> transport of metformin via human OCT2, MATE1 and MATE2-K transporters. Assessments based on systemic concentrations (unbound </w:t>
      </w:r>
      <w:proofErr w:type="spellStart"/>
      <w:r w:rsidRPr="00FD6904">
        <w:t>Cmax</w:t>
      </w:r>
      <w:proofErr w:type="spellEnd"/>
      <w:r w:rsidRPr="00FD6904">
        <w:t>) of tafenoquine at therapeutic doses, compared with the IC</w:t>
      </w:r>
      <w:r w:rsidRPr="00FD6904">
        <w:rPr>
          <w:vertAlign w:val="subscript"/>
        </w:rPr>
        <w:t>50</w:t>
      </w:r>
      <w:r w:rsidRPr="00FD6904">
        <w:t xml:space="preserve"> values derived from </w:t>
      </w:r>
      <w:r w:rsidRPr="00FD6904">
        <w:rPr>
          <w:i/>
        </w:rPr>
        <w:t>in vitro</w:t>
      </w:r>
      <w:r w:rsidRPr="00FD6904">
        <w:t xml:space="preserve"> transporter inhibition studies, were </w:t>
      </w:r>
      <w:proofErr w:type="gramStart"/>
      <w:r w:rsidRPr="00FD6904">
        <w:t>conducted</w:t>
      </w:r>
      <w:proofErr w:type="gramEnd"/>
      <w:r w:rsidRPr="00FD6904">
        <w:t xml:space="preserve"> and indicated a potential, but small, drug interaction risk with OCT2 and MATE substrates.</w:t>
      </w:r>
    </w:p>
    <w:p w14:paraId="503E7CD2" w14:textId="77777777" w:rsidR="00512877" w:rsidRPr="00FD6904" w:rsidRDefault="00512877" w:rsidP="00512877">
      <w:pPr>
        <w:autoSpaceDE w:val="0"/>
        <w:autoSpaceDN w:val="0"/>
        <w:adjustRightInd w:val="0"/>
      </w:pPr>
      <w:r w:rsidRPr="00FD6904">
        <w:t>Concomitant administration of tafenoquine and chloroquine in man resulted in no clinically significant interaction.</w:t>
      </w:r>
    </w:p>
    <w:p w14:paraId="08476ACB" w14:textId="2A1E6D6E" w:rsidR="00512877" w:rsidRPr="00FD6904" w:rsidRDefault="00512877" w:rsidP="006B27A6">
      <w:pPr>
        <w:autoSpaceDE w:val="0"/>
        <w:autoSpaceDN w:val="0"/>
        <w:adjustRightInd w:val="0"/>
      </w:pPr>
      <w:r w:rsidRPr="00FD6904">
        <w:t xml:space="preserve">Tafenoquine administered concomitantly with </w:t>
      </w:r>
      <w:proofErr w:type="spellStart"/>
      <w:r w:rsidRPr="00FD6904">
        <w:t>dihydroartemisinin</w:t>
      </w:r>
      <w:proofErr w:type="spellEnd"/>
      <w:r w:rsidRPr="00FD6904">
        <w:t xml:space="preserve">-piperaquine (40 mg /320 mg </w:t>
      </w:r>
      <w:r w:rsidR="00A40D8D">
        <w:t>tablets given on Day 1, and then again at 24 hours and 48 hours post first dose</w:t>
      </w:r>
      <w:r w:rsidRPr="00FD6904">
        <w:t>) increased exposure of tafenoquine AUC</w:t>
      </w:r>
      <w:r w:rsidRPr="006B27A6">
        <w:t>0-inf</w:t>
      </w:r>
      <w:r w:rsidRPr="00FD6904">
        <w:t xml:space="preserve"> 12% and </w:t>
      </w:r>
      <w:proofErr w:type="spellStart"/>
      <w:r w:rsidRPr="00FD6904">
        <w:t>C</w:t>
      </w:r>
      <w:r w:rsidRPr="006B27A6">
        <w:t>max</w:t>
      </w:r>
      <w:proofErr w:type="spellEnd"/>
      <w:r w:rsidRPr="00FD6904">
        <w:t xml:space="preserve"> 38%. This change was not considered clinically relevant. There was no significant change in </w:t>
      </w:r>
      <w:proofErr w:type="spellStart"/>
      <w:r w:rsidRPr="00FD6904">
        <w:t>dihydroartemisinin</w:t>
      </w:r>
      <w:proofErr w:type="spellEnd"/>
      <w:r w:rsidRPr="00FD6904">
        <w:t xml:space="preserve"> or piperaquine exposure.</w:t>
      </w:r>
    </w:p>
    <w:p w14:paraId="0FAFCC84" w14:textId="2CC3CB23" w:rsidR="00512877" w:rsidRPr="006B27A6" w:rsidRDefault="00512877" w:rsidP="000B3544">
      <w:pPr>
        <w:autoSpaceDE w:val="0"/>
        <w:autoSpaceDN w:val="0"/>
        <w:adjustRightInd w:val="0"/>
      </w:pPr>
      <w:r w:rsidRPr="00FD6904">
        <w:t xml:space="preserve">Concomitant administration of tafenoquine with artemether-lumefantrine (20 mg/120 mg </w:t>
      </w:r>
      <w:r w:rsidR="00A40D8D">
        <w:t>tablets, on</w:t>
      </w:r>
      <w:r w:rsidRPr="00FD6904">
        <w:t xml:space="preserve"> </w:t>
      </w:r>
      <w:r w:rsidR="00A40D8D">
        <w:t>D</w:t>
      </w:r>
      <w:r w:rsidRPr="00FD6904">
        <w:t>ay 1,</w:t>
      </w:r>
      <w:r w:rsidR="00A40D8D">
        <w:t xml:space="preserve"> and then at 8, 24, 36, 48 and 60 hours post first dose</w:t>
      </w:r>
      <w:r w:rsidRPr="00FD6904">
        <w:t xml:space="preserve">) reduced the exposure of the </w:t>
      </w:r>
      <w:proofErr w:type="spellStart"/>
      <w:r w:rsidRPr="00FD6904">
        <w:t>dihydroartemisinin</w:t>
      </w:r>
      <w:proofErr w:type="spellEnd"/>
      <w:r w:rsidRPr="00FD6904">
        <w:t xml:space="preserve"> metabolite of artemether by 23% and 16% for AUC</w:t>
      </w:r>
      <w:r w:rsidRPr="006B27A6">
        <w:t>(0-tau)</w:t>
      </w:r>
      <w:r w:rsidRPr="00FD6904">
        <w:t xml:space="preserve"> and </w:t>
      </w:r>
      <w:proofErr w:type="spellStart"/>
      <w:r w:rsidRPr="00FD6904">
        <w:t>C</w:t>
      </w:r>
      <w:r w:rsidRPr="006B27A6">
        <w:t>max</w:t>
      </w:r>
      <w:proofErr w:type="spellEnd"/>
      <w:r w:rsidRPr="00FD6904">
        <w:t xml:space="preserve"> respectively. This change was not considered clinically significant. There was no significant change in t</w:t>
      </w:r>
      <w:r w:rsidR="0019154D" w:rsidRPr="00FD6904">
        <w:t>afenoquine, lumefantrine or art</w:t>
      </w:r>
      <w:r w:rsidRPr="00FD6904">
        <w:t>emet</w:t>
      </w:r>
      <w:r w:rsidR="0019154D" w:rsidRPr="00FD6904">
        <w:t>h</w:t>
      </w:r>
      <w:r w:rsidRPr="00FD6904">
        <w:t>er exposure.</w:t>
      </w:r>
    </w:p>
    <w:p w14:paraId="66459BFF" w14:textId="5EC8FE8F" w:rsidR="00D11F27" w:rsidRPr="009F38B8" w:rsidRDefault="001A3992" w:rsidP="001B1FBE">
      <w:pPr>
        <w:pStyle w:val="Heading2"/>
        <w:keepNext/>
        <w:spacing w:before="0" w:after="120"/>
        <w:rPr>
          <w:lang w:val="en-US"/>
        </w:rPr>
      </w:pPr>
      <w:r w:rsidRPr="009F38B8">
        <w:rPr>
          <w:lang w:val="en-US"/>
        </w:rPr>
        <w:t>Preclinical safety data</w:t>
      </w:r>
      <w:r w:rsidR="00D772AB">
        <w:rPr>
          <w:lang w:val="en-US"/>
        </w:rPr>
        <w:fldChar w:fldCharType="begin"/>
      </w:r>
      <w:r w:rsidR="00D772AB">
        <w:rPr>
          <w:lang w:val="en-US"/>
        </w:rPr>
        <w:instrText xml:space="preserve"> DOCVARIABLE vault_nd_c898c466-42f8-4231-a4f9-d3924af643bf \* MERGEFORMAT </w:instrText>
      </w:r>
      <w:r w:rsidR="00D772AB">
        <w:rPr>
          <w:lang w:val="en-US"/>
        </w:rPr>
        <w:fldChar w:fldCharType="separate"/>
      </w:r>
      <w:r w:rsidR="00D772AB">
        <w:rPr>
          <w:lang w:val="en-US"/>
        </w:rPr>
        <w:t xml:space="preserve"> </w:t>
      </w:r>
      <w:r w:rsidR="00D772AB">
        <w:rPr>
          <w:lang w:val="en-US"/>
        </w:rPr>
        <w:fldChar w:fldCharType="end"/>
      </w:r>
    </w:p>
    <w:p w14:paraId="177E80BF" w14:textId="1B02DC8D" w:rsidR="003E2DB7" w:rsidRPr="009F38B8" w:rsidRDefault="003E2DB7">
      <w:pPr>
        <w:pStyle w:val="Heading3"/>
        <w:spacing w:before="0" w:after="120"/>
        <w:ind w:left="0"/>
      </w:pPr>
      <w:r w:rsidRPr="009F38B8">
        <w:t>Genotoxicity</w:t>
      </w:r>
      <w:fldSimple w:instr=" DOCVARIABLE vault_nd_1b1f40e2-37cf-409d-9e68-c9335e130b59 \* MERGEFORMAT ">
        <w:r w:rsidR="00D772AB">
          <w:t xml:space="preserve"> </w:t>
        </w:r>
      </w:fldSimple>
    </w:p>
    <w:p w14:paraId="6B1DE392" w14:textId="77777777" w:rsidR="00142E6D" w:rsidRPr="009F38B8" w:rsidRDefault="00142E6D" w:rsidP="001B1FBE">
      <w:pPr>
        <w:keepNext/>
      </w:pPr>
      <w:r w:rsidRPr="009F38B8">
        <w:t xml:space="preserve">Tafenoquine did not cause gene mutations or chromosomal damage in two definitive </w:t>
      </w:r>
      <w:r w:rsidRPr="009F38B8">
        <w:rPr>
          <w:i/>
        </w:rPr>
        <w:t>in vitro</w:t>
      </w:r>
      <w:r w:rsidRPr="009F38B8">
        <w:t xml:space="preserve"> tests (bacterial mutation assay and mouse lymphoma L5178Y cell assay), or in an </w:t>
      </w:r>
      <w:r w:rsidRPr="009F38B8">
        <w:rPr>
          <w:i/>
        </w:rPr>
        <w:t>in vivo</w:t>
      </w:r>
      <w:r w:rsidRPr="009F38B8">
        <w:t xml:space="preserve"> oral rat micronucleus test</w:t>
      </w:r>
      <w:bookmarkStart w:id="6" w:name="_Hlk518377545"/>
      <w:r w:rsidRPr="009F38B8">
        <w:t>.</w:t>
      </w:r>
      <w:bookmarkEnd w:id="6"/>
    </w:p>
    <w:p w14:paraId="74B03D1D" w14:textId="7BC96BE2" w:rsidR="001A3992" w:rsidRPr="009F38B8" w:rsidRDefault="001A3992" w:rsidP="00D11F27">
      <w:pPr>
        <w:pStyle w:val="Heading3"/>
        <w:spacing w:before="0" w:after="120"/>
        <w:ind w:left="0"/>
        <w:rPr>
          <w:lang w:val="en-US"/>
        </w:rPr>
      </w:pPr>
      <w:proofErr w:type="spellStart"/>
      <w:r w:rsidRPr="009F38B8">
        <w:t>Carcin</w:t>
      </w:r>
      <w:r w:rsidRPr="009F38B8">
        <w:rPr>
          <w:lang w:val="en-US"/>
        </w:rPr>
        <w:t>ogenicity</w:t>
      </w:r>
      <w:proofErr w:type="spellEnd"/>
      <w:r w:rsidR="00D772AB">
        <w:rPr>
          <w:lang w:val="en-US"/>
        </w:rPr>
        <w:fldChar w:fldCharType="begin"/>
      </w:r>
      <w:r w:rsidR="00D772AB">
        <w:rPr>
          <w:lang w:val="en-US"/>
        </w:rPr>
        <w:instrText xml:space="preserve"> DOCVARIABLE vault_nd_b41b2b20-02fc-498c-8f71-3dcc14d06ece \* MERGEFORMAT </w:instrText>
      </w:r>
      <w:r w:rsidR="00D772AB">
        <w:rPr>
          <w:lang w:val="en-US"/>
        </w:rPr>
        <w:fldChar w:fldCharType="separate"/>
      </w:r>
      <w:r w:rsidR="00D772AB">
        <w:rPr>
          <w:lang w:val="en-US"/>
        </w:rPr>
        <w:t xml:space="preserve"> </w:t>
      </w:r>
      <w:r w:rsidR="00D772AB">
        <w:rPr>
          <w:lang w:val="en-US"/>
        </w:rPr>
        <w:fldChar w:fldCharType="end"/>
      </w:r>
    </w:p>
    <w:p w14:paraId="28258317" w14:textId="77777777" w:rsidR="00D11F27" w:rsidRPr="009F38B8" w:rsidRDefault="00D11F27" w:rsidP="00D11F27">
      <w:pPr>
        <w:spacing w:before="120"/>
      </w:pPr>
      <w:r w:rsidRPr="009F38B8">
        <w:t xml:space="preserve">Two-year oral carcinogenicity studies were conducted in rats and mice. Tafenoquine was not carcinogenic in mice but was carcinogenic in rats inducing an increase in the incidence of renal cell </w:t>
      </w:r>
      <w:r w:rsidRPr="009F38B8">
        <w:lastRenderedPageBreak/>
        <w:t>tumours and hyperplasia in high dose (2 mg/kg/day) and mid dose (1 mg/kg/day) males compared with controls (normali</w:t>
      </w:r>
      <w:r w:rsidR="00FD125E" w:rsidRPr="009F38B8">
        <w:t>s</w:t>
      </w:r>
      <w:r w:rsidRPr="009F38B8">
        <w:t>ed AUC</w:t>
      </w:r>
      <w:r w:rsidRPr="009F38B8">
        <w:rPr>
          <w:vertAlign w:val="subscript"/>
        </w:rPr>
        <w:t>0-8</w:t>
      </w:r>
      <w:r w:rsidRPr="009F38B8">
        <w:t xml:space="preserve"> </w:t>
      </w:r>
      <w:r w:rsidRPr="009F38B8">
        <w:rPr>
          <w:vertAlign w:val="subscript"/>
        </w:rPr>
        <w:t>weeks</w:t>
      </w:r>
      <w:r w:rsidRPr="009F38B8">
        <w:t xml:space="preserve"> equivalent to 5.0 and 2.4 times the human dose per AUC</w:t>
      </w:r>
      <w:r w:rsidRPr="009F38B8">
        <w:rPr>
          <w:vertAlign w:val="subscript"/>
        </w:rPr>
        <w:t>0-∞</w:t>
      </w:r>
      <w:r w:rsidRPr="009F38B8">
        <w:t xml:space="preserve"> based on a single 300 mg dose, respectively). Given the single dose administration of tafenoquine, these findings are not considered to represent a carcinogenicity risk to humans.</w:t>
      </w:r>
    </w:p>
    <w:p w14:paraId="4222BF14" w14:textId="3876D125" w:rsidR="00FE290B" w:rsidRPr="009F38B8" w:rsidRDefault="00FE290B" w:rsidP="00FE290B">
      <w:pPr>
        <w:pStyle w:val="Heading3"/>
        <w:ind w:left="0"/>
        <w:rPr>
          <w:rFonts w:eastAsiaTheme="minorHAnsi"/>
        </w:rPr>
      </w:pPr>
      <w:r w:rsidRPr="009F38B8">
        <w:rPr>
          <w:rFonts w:eastAsiaTheme="minorHAnsi"/>
        </w:rPr>
        <w:t>Animal toxicology and/or pharmacology</w:t>
      </w:r>
      <w:r w:rsidR="00D772AB">
        <w:rPr>
          <w:rFonts w:eastAsiaTheme="minorHAnsi"/>
        </w:rPr>
        <w:fldChar w:fldCharType="begin"/>
      </w:r>
      <w:r w:rsidR="00D772AB">
        <w:rPr>
          <w:rFonts w:eastAsiaTheme="minorHAnsi"/>
        </w:rPr>
        <w:instrText xml:space="preserve"> DOCVARIABLE vault_nd_b5eb7b4a-f50d-4cbd-be36-e2c87e32b44f \* MERGEFORMAT </w:instrText>
      </w:r>
      <w:r w:rsidR="00D772AB">
        <w:rPr>
          <w:rFonts w:eastAsiaTheme="minorHAnsi"/>
        </w:rPr>
        <w:fldChar w:fldCharType="separate"/>
      </w:r>
      <w:r w:rsidR="00D772AB">
        <w:rPr>
          <w:rFonts w:eastAsiaTheme="minorHAnsi"/>
        </w:rPr>
        <w:t xml:space="preserve"> </w:t>
      </w:r>
      <w:r w:rsidR="00D772AB">
        <w:rPr>
          <w:rFonts w:eastAsiaTheme="minorHAnsi"/>
        </w:rPr>
        <w:fldChar w:fldCharType="end"/>
      </w:r>
    </w:p>
    <w:p w14:paraId="4A09452C" w14:textId="77777777" w:rsidR="00FE290B" w:rsidRPr="009F38B8" w:rsidRDefault="00FE290B" w:rsidP="00FE290B">
      <w:r w:rsidRPr="009F38B8">
        <w:t xml:space="preserve">Tafenoquine has been evaluated in repeat dose toxicity studies of up to 13 weeks in duration in CD-1 mice, 26 weeks in Sprague Dawley rats, 52 weeks in beagle dogs and in a PK study in rhesus monkeys. Principal findings were haematological (e.g., decreased haemoglobin, increased methaemoglobin), pulmonary (e.g., increased numbers of foamy macrophages and the presence of eosinophilic material in alveoli), hepatic (e.g., increased liver weight, subacute inflammation), and renal toxicity (e.g., renal tubular lesions). </w:t>
      </w:r>
      <w:proofErr w:type="gramStart"/>
      <w:r w:rsidRPr="009F38B8">
        <w:t>The majority of</w:t>
      </w:r>
      <w:proofErr w:type="gramEnd"/>
      <w:r w:rsidRPr="009F38B8">
        <w:t xml:space="preserve"> these effects was both dose- and duration-dependent, and reversible upon cessation of treatment. The risk of clinically relevant toxicity outside of the known risk of haematologic effects associated with 8-aminoquinolines is low considering the single dose administration of tafenoquine.</w:t>
      </w:r>
    </w:p>
    <w:p w14:paraId="60AF79D5" w14:textId="7625CF9C" w:rsidR="00FE290B" w:rsidRPr="009F38B8" w:rsidRDefault="00FE290B" w:rsidP="00FE290B">
      <w:pPr>
        <w:pStyle w:val="Heading3"/>
        <w:ind w:left="0"/>
        <w:rPr>
          <w:snapToGrid w:val="0"/>
          <w:lang w:val="en-US"/>
        </w:rPr>
      </w:pPr>
      <w:r w:rsidRPr="009F38B8">
        <w:rPr>
          <w:snapToGrid w:val="0"/>
          <w:lang w:val="en-US"/>
        </w:rPr>
        <w:t>Microbiology</w:t>
      </w:r>
      <w:r w:rsidR="00D772AB">
        <w:rPr>
          <w:snapToGrid w:val="0"/>
          <w:lang w:val="en-US"/>
        </w:rPr>
        <w:fldChar w:fldCharType="begin"/>
      </w:r>
      <w:r w:rsidR="00D772AB">
        <w:rPr>
          <w:snapToGrid w:val="0"/>
          <w:lang w:val="en-US"/>
        </w:rPr>
        <w:instrText xml:space="preserve"> DOCVARIABLE vault_nd_b6d5f292-f5be-4611-a0fe-dc42e3f3d11b \* MERGEFORMAT </w:instrText>
      </w:r>
      <w:r w:rsidR="00D772AB">
        <w:rPr>
          <w:snapToGrid w:val="0"/>
          <w:lang w:val="en-US"/>
        </w:rPr>
        <w:fldChar w:fldCharType="separate"/>
      </w:r>
      <w:r w:rsidR="00D772AB">
        <w:rPr>
          <w:snapToGrid w:val="0"/>
          <w:lang w:val="en-US"/>
        </w:rPr>
        <w:t xml:space="preserve"> </w:t>
      </w:r>
      <w:r w:rsidR="00D772AB">
        <w:rPr>
          <w:snapToGrid w:val="0"/>
          <w:lang w:val="en-US"/>
        </w:rPr>
        <w:fldChar w:fldCharType="end"/>
      </w:r>
    </w:p>
    <w:p w14:paraId="46E1B9D8" w14:textId="77777777" w:rsidR="00B903B7" w:rsidRPr="00E90F5C" w:rsidRDefault="00FE290B" w:rsidP="00D11F27">
      <w:r w:rsidRPr="009F38B8">
        <w:rPr>
          <w:lang w:val="en-US"/>
        </w:rPr>
        <w:t xml:space="preserve">Tafenoquine has demonstrated </w:t>
      </w:r>
      <w:proofErr w:type="spellStart"/>
      <w:r w:rsidRPr="009F38B8">
        <w:rPr>
          <w:lang w:val="en-US"/>
        </w:rPr>
        <w:t>schizontocidal</w:t>
      </w:r>
      <w:proofErr w:type="spellEnd"/>
      <w:r w:rsidRPr="009F38B8">
        <w:rPr>
          <w:lang w:val="en-US"/>
        </w:rPr>
        <w:t xml:space="preserve"> activity against </w:t>
      </w:r>
      <w:r w:rsidRPr="009F38B8">
        <w:rPr>
          <w:i/>
          <w:lang w:val="en-US"/>
        </w:rPr>
        <w:t>Plasmodium vivax</w:t>
      </w:r>
      <w:r w:rsidRPr="009F38B8">
        <w:rPr>
          <w:lang w:val="en-US"/>
        </w:rPr>
        <w:t xml:space="preserve"> in animal </w:t>
      </w:r>
      <w:r w:rsidRPr="009F38B8">
        <w:t>models.</w:t>
      </w:r>
    </w:p>
    <w:p w14:paraId="5CA368A9" w14:textId="25FE41D2" w:rsidR="001A3992" w:rsidRPr="000B27CD" w:rsidRDefault="001A3992" w:rsidP="001A3992">
      <w:pPr>
        <w:pStyle w:val="Heading1"/>
        <w:spacing w:before="0" w:after="120"/>
        <w:rPr>
          <w:lang w:val="en-US"/>
        </w:rPr>
      </w:pPr>
      <w:r w:rsidRPr="000B27CD">
        <w:rPr>
          <w:lang w:val="en-US"/>
        </w:rPr>
        <w:t>Pharmaceutical particulars</w:t>
      </w:r>
      <w:r w:rsidR="00D772AB" w:rsidRPr="000B27CD">
        <w:rPr>
          <w:lang w:val="en-US"/>
        </w:rPr>
        <w:fldChar w:fldCharType="begin"/>
      </w:r>
      <w:r w:rsidR="00D772AB" w:rsidRPr="000B27CD">
        <w:rPr>
          <w:lang w:val="en-US"/>
        </w:rPr>
        <w:instrText xml:space="preserve"> DOCVARIABLE VAULT_ND_e0e3ca13-6c64-43a4-bdba-d31fbeeeda3e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03F30965" w14:textId="2345FC31" w:rsidR="001A3992" w:rsidRPr="009F38B8" w:rsidRDefault="001A3992" w:rsidP="001A3992">
      <w:pPr>
        <w:pStyle w:val="Heading2"/>
        <w:spacing w:before="0" w:after="120"/>
        <w:rPr>
          <w:lang w:val="en-US"/>
        </w:rPr>
      </w:pPr>
      <w:r w:rsidRPr="009F38B8">
        <w:rPr>
          <w:lang w:val="en-US"/>
        </w:rPr>
        <w:t>List of excipients</w:t>
      </w:r>
      <w:r w:rsidR="00D772AB">
        <w:rPr>
          <w:lang w:val="en-US"/>
        </w:rPr>
        <w:fldChar w:fldCharType="begin"/>
      </w:r>
      <w:r w:rsidR="00D772AB">
        <w:rPr>
          <w:lang w:val="en-US"/>
        </w:rPr>
        <w:instrText xml:space="preserve"> DOCVARIABLE vault_nd_2c22de74-6a10-4102-8d7b-daab4a01b292 \* MERGEFORMAT </w:instrText>
      </w:r>
      <w:r w:rsidR="00D772AB">
        <w:rPr>
          <w:lang w:val="en-US"/>
        </w:rPr>
        <w:fldChar w:fldCharType="separate"/>
      </w:r>
      <w:r w:rsidR="00D772AB">
        <w:rPr>
          <w:lang w:val="en-US"/>
        </w:rPr>
        <w:t xml:space="preserve"> </w:t>
      </w:r>
      <w:r w:rsidR="00D772AB">
        <w:rPr>
          <w:lang w:val="en-US"/>
        </w:rPr>
        <w:fldChar w:fldCharType="end"/>
      </w:r>
    </w:p>
    <w:p w14:paraId="3EFA0701" w14:textId="6E54BA55" w:rsidR="00D25692" w:rsidRPr="006B27A6" w:rsidRDefault="005C7438" w:rsidP="00E15C35">
      <w:pPr>
        <w:spacing w:line="240" w:lineRule="auto"/>
        <w:rPr>
          <w:u w:val="single"/>
          <w:lang w:val="en-US"/>
        </w:rPr>
      </w:pPr>
      <w:r>
        <w:rPr>
          <w:u w:val="single"/>
          <w:lang w:val="en-US"/>
        </w:rPr>
        <w:t>150 mg f</w:t>
      </w:r>
      <w:r w:rsidR="00D25692" w:rsidRPr="006B27A6">
        <w:rPr>
          <w:u w:val="single"/>
          <w:lang w:val="en-US"/>
        </w:rPr>
        <w:t>ilm-coated tablets:</w:t>
      </w:r>
    </w:p>
    <w:p w14:paraId="1DBC0DAF" w14:textId="41CBB560" w:rsidR="00FE290B" w:rsidRPr="009F38B8" w:rsidRDefault="00D108D2" w:rsidP="00E15C35">
      <w:pPr>
        <w:spacing w:line="240" w:lineRule="auto"/>
        <w:rPr>
          <w:lang w:val="en-US"/>
        </w:rPr>
      </w:pPr>
      <w:r w:rsidRPr="009F38B8">
        <w:rPr>
          <w:lang w:val="en-US"/>
        </w:rPr>
        <w:t>Microcrystalline Cellulose</w:t>
      </w:r>
    </w:p>
    <w:p w14:paraId="5265A992" w14:textId="77777777" w:rsidR="00D108D2" w:rsidRPr="009F38B8" w:rsidRDefault="00D108D2" w:rsidP="00E15C35">
      <w:pPr>
        <w:spacing w:line="240" w:lineRule="auto"/>
        <w:rPr>
          <w:lang w:val="en-US"/>
        </w:rPr>
      </w:pPr>
      <w:r w:rsidRPr="009F38B8">
        <w:rPr>
          <w:lang w:val="en-US"/>
        </w:rPr>
        <w:t>Mannitol</w:t>
      </w:r>
    </w:p>
    <w:p w14:paraId="21272C52" w14:textId="77777777" w:rsidR="00D108D2" w:rsidRPr="009F38B8" w:rsidRDefault="00D108D2" w:rsidP="00E15C35">
      <w:pPr>
        <w:spacing w:line="240" w:lineRule="auto"/>
        <w:rPr>
          <w:lang w:val="en-US"/>
        </w:rPr>
      </w:pPr>
      <w:r w:rsidRPr="009F38B8">
        <w:rPr>
          <w:lang w:val="en-US"/>
        </w:rPr>
        <w:t>Magnesium Stearate</w:t>
      </w:r>
    </w:p>
    <w:p w14:paraId="76DBF6F0" w14:textId="77777777" w:rsidR="00190484" w:rsidRPr="00FD6904" w:rsidRDefault="00190484" w:rsidP="00E15C35">
      <w:pPr>
        <w:spacing w:line="240" w:lineRule="auto"/>
      </w:pPr>
      <w:r w:rsidRPr="00FD6904">
        <w:t>Hypromellose</w:t>
      </w:r>
    </w:p>
    <w:p w14:paraId="6F9D5B62" w14:textId="77777777" w:rsidR="00190484" w:rsidRPr="00FD6904" w:rsidRDefault="00190484" w:rsidP="00E15C35">
      <w:pPr>
        <w:spacing w:line="240" w:lineRule="auto"/>
      </w:pPr>
      <w:r w:rsidRPr="00FD6904">
        <w:t>Titanium Dioxide</w:t>
      </w:r>
    </w:p>
    <w:p w14:paraId="02C7A4BC" w14:textId="77777777" w:rsidR="00190484" w:rsidRPr="00FD6904" w:rsidRDefault="00190484" w:rsidP="00E15C35">
      <w:pPr>
        <w:spacing w:line="240" w:lineRule="auto"/>
      </w:pPr>
      <w:r w:rsidRPr="00FD6904">
        <w:t>Iron Oxide Red</w:t>
      </w:r>
    </w:p>
    <w:p w14:paraId="40076397" w14:textId="437D3232" w:rsidR="00190484" w:rsidRDefault="005C7438" w:rsidP="00E15C35">
      <w:pPr>
        <w:spacing w:line="240" w:lineRule="auto"/>
      </w:pPr>
      <w:r>
        <w:t>Macrogol</w:t>
      </w:r>
    </w:p>
    <w:p w14:paraId="21112700" w14:textId="34FB8C32" w:rsidR="00D25692" w:rsidRDefault="005C7438" w:rsidP="005C7438">
      <w:pPr>
        <w:keepNext/>
        <w:spacing w:line="240" w:lineRule="auto"/>
        <w:rPr>
          <w:u w:val="single"/>
        </w:rPr>
      </w:pPr>
      <w:r>
        <w:rPr>
          <w:u w:val="single"/>
        </w:rPr>
        <w:t>50 mg f</w:t>
      </w:r>
      <w:r w:rsidR="00D25692">
        <w:rPr>
          <w:u w:val="single"/>
        </w:rPr>
        <w:t>ilm-coated dispersible tablets:</w:t>
      </w:r>
    </w:p>
    <w:p w14:paraId="73ED3D35" w14:textId="77777777" w:rsidR="00D25692" w:rsidRPr="009F38B8" w:rsidRDefault="00D25692" w:rsidP="005C7438">
      <w:pPr>
        <w:keepNext/>
        <w:spacing w:line="240" w:lineRule="auto"/>
        <w:rPr>
          <w:lang w:val="en-US"/>
        </w:rPr>
      </w:pPr>
      <w:r w:rsidRPr="009F38B8">
        <w:rPr>
          <w:lang w:val="en-US"/>
        </w:rPr>
        <w:t>Microcrystalline Cellulose</w:t>
      </w:r>
    </w:p>
    <w:p w14:paraId="43537F61" w14:textId="5989C3C5" w:rsidR="0056469F" w:rsidRDefault="005C7438" w:rsidP="005C7438">
      <w:pPr>
        <w:spacing w:line="240" w:lineRule="auto"/>
        <w:rPr>
          <w:lang w:val="en-US"/>
        </w:rPr>
      </w:pPr>
      <w:proofErr w:type="spellStart"/>
      <w:r>
        <w:rPr>
          <w:lang w:val="en-US"/>
        </w:rPr>
        <w:t>Hyprolose</w:t>
      </w:r>
      <w:proofErr w:type="spellEnd"/>
    </w:p>
    <w:p w14:paraId="2422061E" w14:textId="6A31D6A6" w:rsidR="00E16D21" w:rsidRDefault="00722697" w:rsidP="005C7438">
      <w:pPr>
        <w:spacing w:line="240" w:lineRule="auto"/>
        <w:rPr>
          <w:lang w:val="en-US"/>
        </w:rPr>
      </w:pPr>
      <w:r>
        <w:rPr>
          <w:lang w:val="en-US"/>
        </w:rPr>
        <w:t>Sucralose</w:t>
      </w:r>
    </w:p>
    <w:p w14:paraId="150493A5" w14:textId="03F79D5F" w:rsidR="00722697" w:rsidRDefault="00722697" w:rsidP="005C7438">
      <w:pPr>
        <w:spacing w:line="240" w:lineRule="auto"/>
        <w:rPr>
          <w:lang w:val="en-US"/>
        </w:rPr>
      </w:pPr>
      <w:r>
        <w:rPr>
          <w:lang w:val="en-US"/>
        </w:rPr>
        <w:t>Magnesium Stearate</w:t>
      </w:r>
    </w:p>
    <w:p w14:paraId="4CE1AC06" w14:textId="6AAE7F38" w:rsidR="005C7438" w:rsidRPr="00F157DA" w:rsidRDefault="005C7438" w:rsidP="005C7438">
      <w:pPr>
        <w:spacing w:line="240" w:lineRule="auto"/>
      </w:pPr>
      <w:r w:rsidRPr="00F157DA">
        <w:t>Iron oxide yellow</w:t>
      </w:r>
    </w:p>
    <w:p w14:paraId="08914025" w14:textId="77777777" w:rsidR="005C7438" w:rsidRPr="00F157DA" w:rsidRDefault="005C7438" w:rsidP="005C7438">
      <w:pPr>
        <w:spacing w:line="240" w:lineRule="auto"/>
      </w:pPr>
      <w:r w:rsidRPr="00F157DA">
        <w:lastRenderedPageBreak/>
        <w:t>Macrogol</w:t>
      </w:r>
    </w:p>
    <w:p w14:paraId="47567660" w14:textId="77777777" w:rsidR="005C7438" w:rsidRPr="00F157DA" w:rsidRDefault="005C7438" w:rsidP="005C7438">
      <w:pPr>
        <w:spacing w:line="240" w:lineRule="auto"/>
      </w:pPr>
      <w:r w:rsidRPr="00F157DA">
        <w:t>Polyvinyl alcohol</w:t>
      </w:r>
    </w:p>
    <w:p w14:paraId="5B081DC9" w14:textId="77777777" w:rsidR="005C7438" w:rsidRPr="00F157DA" w:rsidRDefault="005C7438" w:rsidP="005C7438">
      <w:pPr>
        <w:spacing w:line="240" w:lineRule="auto"/>
      </w:pPr>
      <w:r w:rsidRPr="00F157DA">
        <w:t>Purified talc</w:t>
      </w:r>
    </w:p>
    <w:p w14:paraId="733AC459" w14:textId="1528477E" w:rsidR="00CF1010" w:rsidRPr="000B3544" w:rsidRDefault="005C7438" w:rsidP="00E15C35">
      <w:pPr>
        <w:spacing w:line="240" w:lineRule="auto"/>
        <w:rPr>
          <w:lang w:val="en-US"/>
        </w:rPr>
      </w:pPr>
      <w:r w:rsidRPr="00F157DA">
        <w:t>Titanium dioxide</w:t>
      </w:r>
    </w:p>
    <w:p w14:paraId="76846089" w14:textId="28D22ADF" w:rsidR="001A3992" w:rsidRPr="009F38B8" w:rsidRDefault="001A3992" w:rsidP="001A3992">
      <w:pPr>
        <w:pStyle w:val="Heading2"/>
        <w:keepNext/>
        <w:keepLines/>
        <w:spacing w:before="0" w:after="120"/>
        <w:rPr>
          <w:lang w:val="en-US"/>
        </w:rPr>
      </w:pPr>
      <w:r w:rsidRPr="009F38B8">
        <w:rPr>
          <w:lang w:val="en-US"/>
        </w:rPr>
        <w:t>Incompatibilities</w:t>
      </w:r>
      <w:r w:rsidR="00D772AB">
        <w:rPr>
          <w:lang w:val="en-US"/>
        </w:rPr>
        <w:fldChar w:fldCharType="begin"/>
      </w:r>
      <w:r w:rsidR="00D772AB">
        <w:rPr>
          <w:lang w:val="en-US"/>
        </w:rPr>
        <w:instrText xml:space="preserve"> DOCVARIABLE vault_nd_e4d09ede-d261-48ab-83b5-699f15f6a2ba \* MERGEFORMAT </w:instrText>
      </w:r>
      <w:r w:rsidR="00D772AB">
        <w:rPr>
          <w:lang w:val="en-US"/>
        </w:rPr>
        <w:fldChar w:fldCharType="separate"/>
      </w:r>
      <w:r w:rsidR="00D772AB">
        <w:rPr>
          <w:lang w:val="en-US"/>
        </w:rPr>
        <w:t xml:space="preserve"> </w:t>
      </w:r>
      <w:r w:rsidR="00D772AB">
        <w:rPr>
          <w:lang w:val="en-US"/>
        </w:rPr>
        <w:fldChar w:fldCharType="end"/>
      </w:r>
    </w:p>
    <w:p w14:paraId="4F785FF4" w14:textId="77777777" w:rsidR="00704BB4" w:rsidRPr="009F38B8" w:rsidRDefault="00512877" w:rsidP="00704BB4">
      <w:pPr>
        <w:rPr>
          <w:rFonts w:eastAsia="MS Mincho"/>
          <w:lang w:val="en-US"/>
        </w:rPr>
      </w:pPr>
      <w:r w:rsidRPr="009F38B8">
        <w:rPr>
          <w:rFonts w:eastAsia="MS Mincho"/>
          <w:lang w:val="en-US"/>
        </w:rPr>
        <w:t>No incompatibilities have been identified.</w:t>
      </w:r>
    </w:p>
    <w:p w14:paraId="5805FAF7" w14:textId="4117CF82" w:rsidR="001A3992" w:rsidRPr="009F38B8" w:rsidRDefault="001A3992" w:rsidP="001A3992">
      <w:pPr>
        <w:pStyle w:val="Heading2"/>
        <w:spacing w:before="0" w:after="120"/>
        <w:rPr>
          <w:lang w:val="en-US"/>
        </w:rPr>
      </w:pPr>
      <w:r w:rsidRPr="009F38B8">
        <w:rPr>
          <w:lang w:val="en-US"/>
        </w:rPr>
        <w:t>Shelf life</w:t>
      </w:r>
      <w:r w:rsidR="00D772AB">
        <w:rPr>
          <w:lang w:val="en-US"/>
        </w:rPr>
        <w:fldChar w:fldCharType="begin"/>
      </w:r>
      <w:r w:rsidR="00D772AB">
        <w:rPr>
          <w:lang w:val="en-US"/>
        </w:rPr>
        <w:instrText xml:space="preserve"> DOCVARIABLE vault_nd_dd5446d4-eb7b-4e0a-acb1-2c986100df29 \* MERGEFORMAT </w:instrText>
      </w:r>
      <w:r w:rsidR="00D772AB">
        <w:rPr>
          <w:lang w:val="en-US"/>
        </w:rPr>
        <w:fldChar w:fldCharType="separate"/>
      </w:r>
      <w:r w:rsidR="00D772AB">
        <w:rPr>
          <w:lang w:val="en-US"/>
        </w:rPr>
        <w:t xml:space="preserve"> </w:t>
      </w:r>
      <w:r w:rsidR="00D772AB">
        <w:rPr>
          <w:lang w:val="en-US"/>
        </w:rPr>
        <w:fldChar w:fldCharType="end"/>
      </w:r>
    </w:p>
    <w:p w14:paraId="7879C213" w14:textId="77777777" w:rsidR="004B27BE" w:rsidRPr="009F38B8" w:rsidRDefault="002B7D10" w:rsidP="004B27BE">
      <w:pPr>
        <w:rPr>
          <w:rFonts w:eastAsia="MS Mincho"/>
          <w:lang w:val="en-US"/>
        </w:rPr>
      </w:pPr>
      <w:r w:rsidRPr="009F38B8">
        <w:rPr>
          <w:rFonts w:eastAsia="MS Mincho"/>
          <w:lang w:val="en-US"/>
        </w:rPr>
        <w:t>In Australia, information on the shelf life can be found on the public summary of the Australian Register of Therapeutic Goods (ARTG). The expiry date can be found on the packaging</w:t>
      </w:r>
      <w:r w:rsidR="00B903B7" w:rsidRPr="009F38B8">
        <w:rPr>
          <w:rFonts w:eastAsia="MS Mincho"/>
          <w:lang w:val="en-US"/>
        </w:rPr>
        <w:t>.</w:t>
      </w:r>
    </w:p>
    <w:p w14:paraId="721745C4" w14:textId="22CB8830" w:rsidR="001A3992" w:rsidRPr="009F38B8" w:rsidRDefault="001A3992" w:rsidP="001A3992">
      <w:pPr>
        <w:pStyle w:val="Heading2"/>
        <w:keepNext/>
        <w:keepLines/>
        <w:spacing w:before="0" w:after="120"/>
        <w:rPr>
          <w:lang w:val="en-US"/>
        </w:rPr>
      </w:pPr>
      <w:r w:rsidRPr="009F38B8">
        <w:rPr>
          <w:lang w:val="en-US"/>
        </w:rPr>
        <w:t>Special precautions for storage</w:t>
      </w:r>
      <w:r w:rsidR="00D772AB">
        <w:rPr>
          <w:lang w:val="en-US"/>
        </w:rPr>
        <w:fldChar w:fldCharType="begin"/>
      </w:r>
      <w:r w:rsidR="00D772AB">
        <w:rPr>
          <w:lang w:val="en-US"/>
        </w:rPr>
        <w:instrText xml:space="preserve"> DOCVARIABLE vault_nd_06a67e24-4589-41a1-b502-cc4dec3e87f5 \* MERGEFORMAT </w:instrText>
      </w:r>
      <w:r w:rsidR="00D772AB">
        <w:rPr>
          <w:lang w:val="en-US"/>
        </w:rPr>
        <w:fldChar w:fldCharType="separate"/>
      </w:r>
      <w:r w:rsidR="00D772AB">
        <w:rPr>
          <w:lang w:val="en-US"/>
        </w:rPr>
        <w:t xml:space="preserve"> </w:t>
      </w:r>
      <w:r w:rsidR="00D772AB">
        <w:rPr>
          <w:lang w:val="en-US"/>
        </w:rPr>
        <w:fldChar w:fldCharType="end"/>
      </w:r>
    </w:p>
    <w:p w14:paraId="01DC5B94" w14:textId="77777777" w:rsidR="00512877" w:rsidRPr="009F38B8" w:rsidRDefault="00512877" w:rsidP="00512877">
      <w:pPr>
        <w:spacing w:before="120"/>
        <w:rPr>
          <w:rFonts w:eastAsia="MS Mincho"/>
          <w:lang w:val="en-US"/>
        </w:rPr>
      </w:pPr>
      <w:r w:rsidRPr="009F38B8">
        <w:rPr>
          <w:rFonts w:eastAsia="MS Mincho"/>
          <w:lang w:val="en-US"/>
        </w:rPr>
        <w:t>Store in the original package to protect from moisture.</w:t>
      </w:r>
    </w:p>
    <w:p w14:paraId="7DB1FB7A" w14:textId="44C0D52E" w:rsidR="001A3992" w:rsidRPr="009F38B8" w:rsidRDefault="001A3992" w:rsidP="001A3992">
      <w:pPr>
        <w:pStyle w:val="Heading2"/>
        <w:spacing w:before="0" w:after="120"/>
        <w:rPr>
          <w:lang w:val="en-US"/>
        </w:rPr>
      </w:pPr>
      <w:r w:rsidRPr="009F38B8">
        <w:rPr>
          <w:lang w:val="en-US"/>
        </w:rPr>
        <w:t>Nature and contents of container</w:t>
      </w:r>
      <w:r w:rsidR="00D772AB">
        <w:rPr>
          <w:lang w:val="en-US"/>
        </w:rPr>
        <w:fldChar w:fldCharType="begin"/>
      </w:r>
      <w:r w:rsidR="00D772AB">
        <w:rPr>
          <w:lang w:val="en-US"/>
        </w:rPr>
        <w:instrText xml:space="preserve"> DOCVARIABLE vault_nd_4fc59aad-40f8-4dc8-82ff-6b5866112ad3 \* MERGEFORMAT </w:instrText>
      </w:r>
      <w:r w:rsidR="00D772AB">
        <w:rPr>
          <w:lang w:val="en-US"/>
        </w:rPr>
        <w:fldChar w:fldCharType="separate"/>
      </w:r>
      <w:r w:rsidR="00D772AB">
        <w:rPr>
          <w:lang w:val="en-US"/>
        </w:rPr>
        <w:t xml:space="preserve"> </w:t>
      </w:r>
      <w:r w:rsidR="00D772AB">
        <w:rPr>
          <w:lang w:val="en-US"/>
        </w:rPr>
        <w:fldChar w:fldCharType="end"/>
      </w:r>
    </w:p>
    <w:p w14:paraId="300978CD" w14:textId="77777777" w:rsidR="00512877" w:rsidRPr="009F38B8" w:rsidRDefault="00512877" w:rsidP="00512877">
      <w:pPr>
        <w:rPr>
          <w:rFonts w:eastAsia="MS Mincho"/>
          <w:lang w:val="en-US"/>
        </w:rPr>
      </w:pPr>
      <w:r w:rsidRPr="009F38B8">
        <w:rPr>
          <w:rFonts w:eastAsia="MS Mincho"/>
          <w:lang w:val="en-US"/>
        </w:rPr>
        <w:t>150 mg tablets supplied in:</w:t>
      </w:r>
    </w:p>
    <w:p w14:paraId="766C163A" w14:textId="77777777" w:rsidR="00512877" w:rsidRPr="009F38B8" w:rsidRDefault="00512877" w:rsidP="00512877">
      <w:pPr>
        <w:numPr>
          <w:ilvl w:val="0"/>
          <w:numId w:val="13"/>
        </w:numPr>
        <w:spacing w:after="240" w:line="240" w:lineRule="auto"/>
        <w:rPr>
          <w:rFonts w:eastAsia="MS Mincho"/>
          <w:i/>
          <w:lang w:val="en-US"/>
        </w:rPr>
      </w:pPr>
      <w:r w:rsidRPr="009F38B8">
        <w:t>Child-resistant aluminium foil blister strip.</w:t>
      </w:r>
    </w:p>
    <w:p w14:paraId="2B9DB365" w14:textId="454B67F7" w:rsidR="00512877" w:rsidRDefault="00BB6D3C" w:rsidP="00512877">
      <w:pPr>
        <w:spacing w:after="240" w:line="240" w:lineRule="auto"/>
        <w:rPr>
          <w:rFonts w:eastAsia="MS Mincho"/>
          <w:lang w:val="en-US"/>
        </w:rPr>
      </w:pPr>
      <w:r w:rsidRPr="009F38B8">
        <w:rPr>
          <w:rFonts w:eastAsia="MS Mincho"/>
          <w:lang w:val="en-US"/>
        </w:rPr>
        <w:t>The</w:t>
      </w:r>
      <w:r w:rsidR="00E15C35" w:rsidRPr="009F38B8">
        <w:rPr>
          <w:rFonts w:eastAsia="MS Mincho"/>
          <w:lang w:val="en-US"/>
        </w:rPr>
        <w:t xml:space="preserve"> pack</w:t>
      </w:r>
      <w:r w:rsidR="00512877" w:rsidRPr="009F38B8">
        <w:rPr>
          <w:rFonts w:eastAsia="MS Mincho"/>
          <w:lang w:val="en-US"/>
        </w:rPr>
        <w:t xml:space="preserve"> contain</w:t>
      </w:r>
      <w:r w:rsidR="00E15C35" w:rsidRPr="009F38B8">
        <w:rPr>
          <w:rFonts w:eastAsia="MS Mincho"/>
          <w:lang w:val="en-US"/>
        </w:rPr>
        <w:t>s</w:t>
      </w:r>
      <w:r w:rsidR="00512877" w:rsidRPr="009F38B8">
        <w:rPr>
          <w:rFonts w:eastAsia="MS Mincho"/>
          <w:lang w:val="en-US"/>
        </w:rPr>
        <w:t xml:space="preserve"> </w:t>
      </w:r>
      <w:r w:rsidR="00CF1010">
        <w:rPr>
          <w:rFonts w:eastAsia="MS Mincho"/>
          <w:lang w:val="en-US"/>
        </w:rPr>
        <w:t>2</w:t>
      </w:r>
      <w:r w:rsidR="00CF1010" w:rsidRPr="009F38B8">
        <w:rPr>
          <w:rFonts w:eastAsia="MS Mincho"/>
          <w:lang w:val="en-US"/>
        </w:rPr>
        <w:t xml:space="preserve"> </w:t>
      </w:r>
      <w:r w:rsidR="00512877" w:rsidRPr="009F38B8">
        <w:rPr>
          <w:rFonts w:eastAsia="MS Mincho"/>
          <w:lang w:val="en-US"/>
        </w:rPr>
        <w:t>tablets.</w:t>
      </w:r>
    </w:p>
    <w:p w14:paraId="484B9FF9" w14:textId="54103598" w:rsidR="00CF1010" w:rsidRDefault="00CF1010" w:rsidP="00512877">
      <w:pPr>
        <w:spacing w:after="240" w:line="240" w:lineRule="auto"/>
        <w:rPr>
          <w:rFonts w:eastAsia="MS Mincho"/>
          <w:lang w:val="en-US"/>
        </w:rPr>
      </w:pPr>
      <w:r>
        <w:rPr>
          <w:rFonts w:eastAsia="MS Mincho"/>
          <w:lang w:val="en-US"/>
        </w:rPr>
        <w:t>50 mg dispersible tablets supplied in:</w:t>
      </w:r>
    </w:p>
    <w:p w14:paraId="0CE4E296" w14:textId="16A2F21B" w:rsidR="00CF1010" w:rsidRDefault="00CF1010" w:rsidP="000B3544">
      <w:pPr>
        <w:numPr>
          <w:ilvl w:val="0"/>
          <w:numId w:val="13"/>
        </w:numPr>
        <w:spacing w:after="240" w:line="240" w:lineRule="auto"/>
        <w:rPr>
          <w:rFonts w:eastAsia="MS Mincho"/>
          <w:lang w:val="en-US"/>
        </w:rPr>
      </w:pPr>
      <w:r>
        <w:rPr>
          <w:rFonts w:eastAsia="MS Mincho"/>
          <w:lang w:val="en-US"/>
        </w:rPr>
        <w:t>Child-resistant</w:t>
      </w:r>
      <w:r w:rsidR="005F1357">
        <w:rPr>
          <w:rFonts w:eastAsia="MS Mincho"/>
          <w:lang w:val="en-US"/>
        </w:rPr>
        <w:t>,</w:t>
      </w:r>
      <w:r>
        <w:rPr>
          <w:rFonts w:eastAsia="MS Mincho"/>
          <w:lang w:val="en-US"/>
        </w:rPr>
        <w:t xml:space="preserve"> aluminum foil</w:t>
      </w:r>
      <w:r w:rsidR="005F1357">
        <w:rPr>
          <w:rFonts w:eastAsia="MS Mincho"/>
          <w:lang w:val="en-US"/>
        </w:rPr>
        <w:t>,</w:t>
      </w:r>
      <w:r>
        <w:rPr>
          <w:rFonts w:eastAsia="MS Mincho"/>
          <w:lang w:val="en-US"/>
        </w:rPr>
        <w:t xml:space="preserve"> </w:t>
      </w:r>
      <w:r w:rsidR="005F1357">
        <w:rPr>
          <w:rFonts w:eastAsia="MS Mincho"/>
          <w:lang w:val="en-US"/>
        </w:rPr>
        <w:t xml:space="preserve">perforated </w:t>
      </w:r>
      <w:r>
        <w:rPr>
          <w:rFonts w:eastAsia="MS Mincho"/>
          <w:lang w:val="en-US"/>
        </w:rPr>
        <w:t>blister strip</w:t>
      </w:r>
      <w:r w:rsidR="005F1357">
        <w:rPr>
          <w:rFonts w:eastAsia="MS Mincho"/>
          <w:lang w:val="en-US"/>
        </w:rPr>
        <w:t>, containing 2 tablets on one side and 1 tablet plus a dummy pocket on the other side</w:t>
      </w:r>
      <w:r>
        <w:rPr>
          <w:rFonts w:eastAsia="MS Mincho"/>
          <w:lang w:val="en-US"/>
        </w:rPr>
        <w:t>.</w:t>
      </w:r>
    </w:p>
    <w:p w14:paraId="5D7F7FA4" w14:textId="37805B75" w:rsidR="00CF1010" w:rsidRDefault="00CF1010" w:rsidP="000B3544">
      <w:pPr>
        <w:spacing w:after="240" w:line="240" w:lineRule="auto"/>
        <w:rPr>
          <w:rFonts w:eastAsia="MS Mincho"/>
          <w:lang w:val="en-US"/>
        </w:rPr>
      </w:pPr>
      <w:r>
        <w:rPr>
          <w:rFonts w:eastAsia="MS Mincho"/>
          <w:lang w:val="en-US"/>
        </w:rPr>
        <w:t xml:space="preserve">The pack contains </w:t>
      </w:r>
      <w:r w:rsidR="005F1357">
        <w:rPr>
          <w:rFonts w:eastAsia="MS Mincho"/>
          <w:lang w:val="en-US"/>
        </w:rPr>
        <w:t xml:space="preserve">10 blisters, with a total of </w:t>
      </w:r>
      <w:r>
        <w:rPr>
          <w:rFonts w:eastAsia="MS Mincho"/>
          <w:lang w:val="en-US"/>
        </w:rPr>
        <w:t>30 tablets</w:t>
      </w:r>
      <w:r w:rsidR="005F1357">
        <w:rPr>
          <w:rFonts w:eastAsia="MS Mincho"/>
          <w:lang w:val="en-US"/>
        </w:rPr>
        <w:t xml:space="preserve"> (bulk pack), to support weight-based dosing of multiple patients</w:t>
      </w:r>
      <w:r>
        <w:rPr>
          <w:rFonts w:eastAsia="MS Mincho"/>
          <w:lang w:val="en-US"/>
        </w:rPr>
        <w:t>.</w:t>
      </w:r>
    </w:p>
    <w:p w14:paraId="7D3B0FE3" w14:textId="632EBA57" w:rsidR="000058DD" w:rsidRPr="006B27A6" w:rsidRDefault="000058DD" w:rsidP="000B3544">
      <w:pPr>
        <w:spacing w:after="240" w:line="240" w:lineRule="auto"/>
        <w:rPr>
          <w:rFonts w:eastAsia="MS Mincho"/>
          <w:lang w:val="en-US"/>
        </w:rPr>
      </w:pPr>
      <w:r>
        <w:rPr>
          <w:rFonts w:eastAsia="MS Mincho"/>
          <w:lang w:val="en-US"/>
        </w:rPr>
        <w:t xml:space="preserve">Not all presentations will be distributed in Australia. </w:t>
      </w:r>
    </w:p>
    <w:p w14:paraId="5BF7FB23" w14:textId="57B3339B" w:rsidR="001A3992" w:rsidRPr="009F38B8" w:rsidRDefault="001A3992" w:rsidP="001A3992">
      <w:pPr>
        <w:pStyle w:val="Heading2"/>
        <w:spacing w:before="0" w:after="120"/>
        <w:rPr>
          <w:lang w:val="en-US"/>
        </w:rPr>
      </w:pPr>
      <w:r w:rsidRPr="009F38B8">
        <w:rPr>
          <w:lang w:val="en-US"/>
        </w:rPr>
        <w:t>Special precautions for disposal</w:t>
      </w:r>
      <w:r w:rsidR="00D772AB">
        <w:rPr>
          <w:lang w:val="en-US"/>
        </w:rPr>
        <w:fldChar w:fldCharType="begin"/>
      </w:r>
      <w:r w:rsidR="00D772AB">
        <w:rPr>
          <w:lang w:val="en-US"/>
        </w:rPr>
        <w:instrText xml:space="preserve"> DOCVARIABLE vault_nd_9209ed9a-1a20-43f2-8ecd-22a6a4d2f86f \* MERGEFORMAT </w:instrText>
      </w:r>
      <w:r w:rsidR="00D772AB">
        <w:rPr>
          <w:lang w:val="en-US"/>
        </w:rPr>
        <w:fldChar w:fldCharType="separate"/>
      </w:r>
      <w:r w:rsidR="00D772AB">
        <w:rPr>
          <w:lang w:val="en-US"/>
        </w:rPr>
        <w:t xml:space="preserve"> </w:t>
      </w:r>
      <w:r w:rsidR="00D772AB">
        <w:rPr>
          <w:lang w:val="en-US"/>
        </w:rPr>
        <w:fldChar w:fldCharType="end"/>
      </w:r>
    </w:p>
    <w:p w14:paraId="536A5890" w14:textId="77777777" w:rsidR="00512877" w:rsidRPr="009F38B8" w:rsidRDefault="00512877" w:rsidP="00512877">
      <w:r w:rsidRPr="009F38B8">
        <w:t>In Australia, any unused medicine or waste material should be disposed of by taking to your local pharmacy.</w:t>
      </w:r>
    </w:p>
    <w:p w14:paraId="31D466E7" w14:textId="710A0B5D" w:rsidR="00512877" w:rsidRPr="009F38B8" w:rsidRDefault="001A3992" w:rsidP="00881B3E">
      <w:pPr>
        <w:pStyle w:val="Heading2"/>
        <w:pageBreakBefore/>
        <w:spacing w:before="0" w:after="120"/>
        <w:rPr>
          <w:lang w:val="en-US"/>
        </w:rPr>
      </w:pPr>
      <w:r w:rsidRPr="009F38B8">
        <w:rPr>
          <w:lang w:val="en-US"/>
        </w:rPr>
        <w:lastRenderedPageBreak/>
        <w:t>Physicochemical properties</w:t>
      </w:r>
      <w:r w:rsidR="00D772AB">
        <w:rPr>
          <w:lang w:val="en-US"/>
        </w:rPr>
        <w:fldChar w:fldCharType="begin"/>
      </w:r>
      <w:r w:rsidR="00D772AB">
        <w:rPr>
          <w:lang w:val="en-US"/>
        </w:rPr>
        <w:instrText xml:space="preserve"> DOCVARIABLE vault_nd_bcdeebae-fe6e-47eb-aa4f-7334e640e235 \* MERGEFORMAT </w:instrText>
      </w:r>
      <w:r w:rsidR="00D772AB">
        <w:rPr>
          <w:lang w:val="en-US"/>
        </w:rPr>
        <w:fldChar w:fldCharType="separate"/>
      </w:r>
      <w:r w:rsidR="00D772AB">
        <w:rPr>
          <w:lang w:val="en-US"/>
        </w:rPr>
        <w:t xml:space="preserve"> </w:t>
      </w:r>
      <w:r w:rsidR="00D772AB">
        <w:rPr>
          <w:lang w:val="en-US"/>
        </w:rPr>
        <w:fldChar w:fldCharType="end"/>
      </w:r>
    </w:p>
    <w:p w14:paraId="3C7C768C" w14:textId="04537B1D" w:rsidR="001A3992" w:rsidRPr="009F38B8" w:rsidRDefault="001A3992" w:rsidP="001A3992">
      <w:pPr>
        <w:pStyle w:val="Heading3"/>
        <w:spacing w:before="0" w:after="120"/>
        <w:rPr>
          <w:lang w:val="en-US"/>
        </w:rPr>
      </w:pPr>
      <w:r w:rsidRPr="009F38B8">
        <w:rPr>
          <w:lang w:val="en-US"/>
        </w:rPr>
        <w:t>Chemical structure</w:t>
      </w:r>
      <w:r w:rsidR="00D772AB">
        <w:rPr>
          <w:lang w:val="en-US"/>
        </w:rPr>
        <w:fldChar w:fldCharType="begin"/>
      </w:r>
      <w:r w:rsidR="00D772AB">
        <w:rPr>
          <w:lang w:val="en-US"/>
        </w:rPr>
        <w:instrText xml:space="preserve"> DOCVARIABLE vault_nd_49ee0b16-10d6-4544-9226-73d981f31b8e \* MERGEFORMAT </w:instrText>
      </w:r>
      <w:r w:rsidR="00D772AB">
        <w:rPr>
          <w:lang w:val="en-US"/>
        </w:rPr>
        <w:fldChar w:fldCharType="separate"/>
      </w:r>
      <w:r w:rsidR="00D772AB">
        <w:rPr>
          <w:lang w:val="en-US"/>
        </w:rPr>
        <w:t xml:space="preserve"> </w:t>
      </w:r>
      <w:r w:rsidR="00D772AB">
        <w:rPr>
          <w:lang w:val="en-US"/>
        </w:rPr>
        <w:fldChar w:fldCharType="end"/>
      </w:r>
    </w:p>
    <w:p w14:paraId="0DDCAF68" w14:textId="77777777" w:rsidR="00512877" w:rsidRPr="009F38B8" w:rsidRDefault="00512877" w:rsidP="00512877">
      <w:pPr>
        <w:rPr>
          <w:lang w:val="en-US"/>
        </w:rPr>
      </w:pPr>
      <w:r w:rsidRPr="00DC2EE7">
        <w:rPr>
          <w:noProof/>
          <w:lang w:eastAsia="en-AU"/>
        </w:rPr>
        <w:drawing>
          <wp:inline distT="0" distB="0" distL="0" distR="0" wp14:anchorId="0CCA7D81" wp14:editId="4F3D69EC">
            <wp:extent cx="3648075" cy="2238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2238375"/>
                    </a:xfrm>
                    <a:prstGeom prst="rect">
                      <a:avLst/>
                    </a:prstGeom>
                    <a:noFill/>
                    <a:ln>
                      <a:noFill/>
                    </a:ln>
                  </pic:spPr>
                </pic:pic>
              </a:graphicData>
            </a:graphic>
          </wp:inline>
        </w:drawing>
      </w:r>
    </w:p>
    <w:p w14:paraId="067DCF3B" w14:textId="77777777" w:rsidR="00512877" w:rsidRPr="009F38B8" w:rsidRDefault="00512877" w:rsidP="00512877">
      <w:pPr>
        <w:autoSpaceDE w:val="0"/>
        <w:autoSpaceDN w:val="0"/>
        <w:adjustRightInd w:val="0"/>
        <w:spacing w:after="0" w:line="240" w:lineRule="auto"/>
      </w:pPr>
      <w:r w:rsidRPr="009F38B8">
        <w:t>Molecular Formula:  C</w:t>
      </w:r>
      <w:r w:rsidRPr="009F38B8">
        <w:rPr>
          <w:vertAlign w:val="subscript"/>
        </w:rPr>
        <w:t>24</w:t>
      </w:r>
      <w:r w:rsidRPr="009F38B8">
        <w:t>H</w:t>
      </w:r>
      <w:r w:rsidRPr="009F38B8">
        <w:rPr>
          <w:vertAlign w:val="subscript"/>
        </w:rPr>
        <w:t>28</w:t>
      </w:r>
      <w:r w:rsidRPr="009F38B8">
        <w:t>F</w:t>
      </w:r>
      <w:r w:rsidRPr="009F38B8">
        <w:rPr>
          <w:vertAlign w:val="subscript"/>
        </w:rPr>
        <w:t>3</w:t>
      </w:r>
      <w:r w:rsidRPr="009F38B8">
        <w:t>N</w:t>
      </w:r>
      <w:r w:rsidRPr="009F38B8">
        <w:rPr>
          <w:vertAlign w:val="subscript"/>
        </w:rPr>
        <w:t>3</w:t>
      </w:r>
      <w:r w:rsidRPr="009F38B8">
        <w:t>O</w:t>
      </w:r>
      <w:r w:rsidRPr="009F38B8">
        <w:rPr>
          <w:vertAlign w:val="subscript"/>
        </w:rPr>
        <w:t>3</w:t>
      </w:r>
      <w:r w:rsidRPr="009F38B8">
        <w:t>. C</w:t>
      </w:r>
      <w:r w:rsidRPr="009F38B8">
        <w:rPr>
          <w:vertAlign w:val="subscript"/>
        </w:rPr>
        <w:t>4</w:t>
      </w:r>
      <w:r w:rsidRPr="009F38B8">
        <w:t>H</w:t>
      </w:r>
      <w:r w:rsidRPr="009F38B8">
        <w:rPr>
          <w:vertAlign w:val="subscript"/>
        </w:rPr>
        <w:t>6</w:t>
      </w:r>
      <w:r w:rsidRPr="009F38B8">
        <w:t>O</w:t>
      </w:r>
      <w:r w:rsidRPr="009F38B8">
        <w:rPr>
          <w:vertAlign w:val="subscript"/>
        </w:rPr>
        <w:t>4</w:t>
      </w:r>
    </w:p>
    <w:p w14:paraId="2383C82D" w14:textId="77777777" w:rsidR="00512877" w:rsidRPr="009F38B8" w:rsidRDefault="00512877" w:rsidP="00512877">
      <w:pPr>
        <w:autoSpaceDE w:val="0"/>
        <w:autoSpaceDN w:val="0"/>
        <w:adjustRightInd w:val="0"/>
        <w:spacing w:after="0" w:line="240" w:lineRule="auto"/>
      </w:pPr>
    </w:p>
    <w:p w14:paraId="11A3339A" w14:textId="77777777" w:rsidR="00512877" w:rsidRPr="009F38B8" w:rsidRDefault="00512877" w:rsidP="00512877">
      <w:pPr>
        <w:autoSpaceDE w:val="0"/>
        <w:autoSpaceDN w:val="0"/>
        <w:adjustRightInd w:val="0"/>
        <w:spacing w:after="0" w:line="240" w:lineRule="auto"/>
      </w:pPr>
      <w:r w:rsidRPr="009F38B8">
        <w:t>Molecular Weight:   581.58 as the succinate salt.</w:t>
      </w:r>
    </w:p>
    <w:p w14:paraId="3CFF58D6" w14:textId="77777777" w:rsidR="00512877" w:rsidRPr="009F38B8" w:rsidRDefault="00512877" w:rsidP="00512877">
      <w:r w:rsidRPr="009F38B8">
        <w:t xml:space="preserve">                                    463.49 as free base.</w:t>
      </w:r>
    </w:p>
    <w:p w14:paraId="35FE5A79" w14:textId="77777777" w:rsidR="00BF23C5" w:rsidRPr="006B27A6" w:rsidRDefault="00BF23C5" w:rsidP="006B27A6">
      <w:r w:rsidRPr="006B27A6">
        <w:t xml:space="preserve">Tafenoquine succinate is a pale green or pale orange to orange solid. The </w:t>
      </w:r>
      <w:proofErr w:type="spellStart"/>
      <w:r w:rsidRPr="006B27A6">
        <w:t>pKa</w:t>
      </w:r>
      <w:proofErr w:type="spellEnd"/>
      <w:r w:rsidRPr="006B27A6">
        <w:t xml:space="preserve"> values for tafenoquine succinate are 10.0 and 3.0, and it is sparingly soluble at pH 2 and practically insoluble at and above pH 6 in aqueous buffer. Tafenoquine succinate contains one chiral centre and is produced as a racemate.</w:t>
      </w:r>
    </w:p>
    <w:p w14:paraId="6225B929" w14:textId="39D4FC94" w:rsidR="001A3992" w:rsidRPr="009F38B8" w:rsidRDefault="001A3992" w:rsidP="00C01697">
      <w:pPr>
        <w:pStyle w:val="Heading3"/>
        <w:spacing w:before="0" w:after="120"/>
        <w:ind w:left="0"/>
        <w:rPr>
          <w:lang w:val="en-US"/>
        </w:rPr>
      </w:pPr>
      <w:r w:rsidRPr="009F38B8">
        <w:rPr>
          <w:lang w:val="en-US"/>
        </w:rPr>
        <w:t>CAS number</w:t>
      </w:r>
      <w:r w:rsidR="00D772AB">
        <w:rPr>
          <w:lang w:val="en-US"/>
        </w:rPr>
        <w:fldChar w:fldCharType="begin"/>
      </w:r>
      <w:r w:rsidR="00D772AB">
        <w:rPr>
          <w:lang w:val="en-US"/>
        </w:rPr>
        <w:instrText xml:space="preserve"> DOCVARIABLE vault_nd_b0a27b16-0080-4aaa-bb0b-6621a59c36f1 \* MERGEFORMAT </w:instrText>
      </w:r>
      <w:r w:rsidR="00D772AB">
        <w:rPr>
          <w:lang w:val="en-US"/>
        </w:rPr>
        <w:fldChar w:fldCharType="separate"/>
      </w:r>
      <w:r w:rsidR="00D772AB">
        <w:rPr>
          <w:lang w:val="en-US"/>
        </w:rPr>
        <w:t xml:space="preserve"> </w:t>
      </w:r>
      <w:r w:rsidR="00D772AB">
        <w:rPr>
          <w:lang w:val="en-US"/>
        </w:rPr>
        <w:fldChar w:fldCharType="end"/>
      </w:r>
    </w:p>
    <w:p w14:paraId="5C3D3322" w14:textId="77777777" w:rsidR="00512877" w:rsidRPr="009F38B8" w:rsidRDefault="00512877" w:rsidP="00512877">
      <w:pPr>
        <w:rPr>
          <w:lang w:val="en-US"/>
        </w:rPr>
      </w:pPr>
      <w:r w:rsidRPr="009F38B8">
        <w:rPr>
          <w:lang w:val="en-US"/>
        </w:rPr>
        <w:t xml:space="preserve">CAS Registry Number:  </w:t>
      </w:r>
      <w:r w:rsidR="00C01697" w:rsidRPr="009F38B8">
        <w:rPr>
          <w:lang w:val="en-GB"/>
        </w:rPr>
        <w:t>106635-81-8</w:t>
      </w:r>
    </w:p>
    <w:p w14:paraId="32DF8601" w14:textId="1E36CE91" w:rsidR="001A3992" w:rsidRPr="000B27CD" w:rsidRDefault="001A3992" w:rsidP="001A3992">
      <w:pPr>
        <w:pStyle w:val="Heading1"/>
        <w:spacing w:before="0" w:after="120"/>
        <w:rPr>
          <w:lang w:val="en-US"/>
        </w:rPr>
      </w:pPr>
      <w:r w:rsidRPr="000B27CD">
        <w:rPr>
          <w:lang w:val="en-US"/>
        </w:rPr>
        <w:t>Medicine schedule (Poisons Standard)</w:t>
      </w:r>
      <w:r w:rsidR="00D772AB" w:rsidRPr="000B27CD">
        <w:rPr>
          <w:lang w:val="en-US"/>
        </w:rPr>
        <w:fldChar w:fldCharType="begin"/>
      </w:r>
      <w:r w:rsidR="00D772AB" w:rsidRPr="000B27CD">
        <w:rPr>
          <w:lang w:val="en-US"/>
        </w:rPr>
        <w:instrText xml:space="preserve"> DOCVARIABLE VAULT_ND_28e39d5a-a621-428a-8b9d-a8216bc4c197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4424A85C" w14:textId="77777777" w:rsidR="00921974" w:rsidRPr="009F38B8" w:rsidRDefault="00921974" w:rsidP="00921974">
      <w:pPr>
        <w:rPr>
          <w:lang w:val="en-US"/>
        </w:rPr>
      </w:pPr>
      <w:r w:rsidRPr="009F38B8">
        <w:t>Schedule 4 – Prescription Only Medicine</w:t>
      </w:r>
    </w:p>
    <w:p w14:paraId="4D5B9CA6" w14:textId="04A6D335" w:rsidR="001A3992" w:rsidRPr="000B27CD" w:rsidRDefault="001A3992" w:rsidP="001A3992">
      <w:pPr>
        <w:pStyle w:val="Heading1"/>
        <w:spacing w:before="0" w:after="120"/>
        <w:rPr>
          <w:lang w:val="en-US"/>
        </w:rPr>
      </w:pPr>
      <w:r w:rsidRPr="000B27CD">
        <w:rPr>
          <w:lang w:val="en-US"/>
        </w:rPr>
        <w:t>Sponsor</w:t>
      </w:r>
      <w:r w:rsidR="00D772AB" w:rsidRPr="000B27CD">
        <w:rPr>
          <w:lang w:val="en-US"/>
        </w:rPr>
        <w:fldChar w:fldCharType="begin"/>
      </w:r>
      <w:r w:rsidR="00D772AB" w:rsidRPr="000B27CD">
        <w:rPr>
          <w:lang w:val="en-US"/>
        </w:rPr>
        <w:instrText xml:space="preserve"> DOCVARIABLE VAULT_ND_432c2565-114d-4e5c-a86d-5dac688e3748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4E95743B" w14:textId="77777777" w:rsidR="00921974" w:rsidRPr="009F38B8" w:rsidRDefault="00921974" w:rsidP="00921974">
      <w:pPr>
        <w:spacing w:line="240" w:lineRule="auto"/>
        <w:jc w:val="both"/>
      </w:pPr>
      <w:r w:rsidRPr="009F38B8">
        <w:t>GlaxoSmithKline Australia Pty Ltd,</w:t>
      </w:r>
    </w:p>
    <w:p w14:paraId="3FDBD45F" w14:textId="2DA92B8A" w:rsidR="00921974" w:rsidRPr="009F38B8" w:rsidRDefault="00921974" w:rsidP="00921974">
      <w:pPr>
        <w:spacing w:line="240" w:lineRule="auto"/>
      </w:pPr>
      <w:r w:rsidRPr="009F38B8">
        <w:t xml:space="preserve">Level 4, 436 Johnston Street, </w:t>
      </w:r>
    </w:p>
    <w:p w14:paraId="22A35301" w14:textId="77777777" w:rsidR="000B3544" w:rsidRDefault="00921974" w:rsidP="00921974">
      <w:pPr>
        <w:spacing w:line="240" w:lineRule="auto"/>
        <w:jc w:val="both"/>
      </w:pPr>
      <w:r w:rsidRPr="009F38B8">
        <w:t>Abbotsford, Victoria, 3067</w:t>
      </w:r>
      <w:r w:rsidR="001B71DA">
        <w:t xml:space="preserve"> </w:t>
      </w:r>
    </w:p>
    <w:p w14:paraId="6F6F0871" w14:textId="42A081E0" w:rsidR="00921974" w:rsidRPr="009F38B8" w:rsidRDefault="001B71DA" w:rsidP="00921974">
      <w:pPr>
        <w:spacing w:line="240" w:lineRule="auto"/>
        <w:jc w:val="both"/>
      </w:pPr>
      <w:r>
        <w:t>Australia</w:t>
      </w:r>
    </w:p>
    <w:p w14:paraId="51EDD3BE" w14:textId="4563A29B" w:rsidR="001A3992" w:rsidRPr="000B27CD" w:rsidRDefault="001A3992" w:rsidP="001A3992">
      <w:pPr>
        <w:pStyle w:val="Heading1"/>
        <w:spacing w:before="0" w:after="120"/>
        <w:rPr>
          <w:lang w:val="en-US"/>
        </w:rPr>
      </w:pPr>
      <w:r w:rsidRPr="000B27CD">
        <w:rPr>
          <w:lang w:val="en-US"/>
        </w:rPr>
        <w:t>Date of first approval (ARTG entry)</w:t>
      </w:r>
      <w:r w:rsidR="00D772AB" w:rsidRPr="000B27CD">
        <w:rPr>
          <w:lang w:val="en-US"/>
        </w:rPr>
        <w:fldChar w:fldCharType="begin"/>
      </w:r>
      <w:r w:rsidR="00D772AB" w:rsidRPr="000B27CD">
        <w:rPr>
          <w:lang w:val="en-US"/>
        </w:rPr>
        <w:instrText xml:space="preserve"> DOCVARIABLE VAULT_ND_831078eb-8fdb-4519-8fd8-2009fbe8fc02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2BE10EC5" w14:textId="220DD5D8" w:rsidR="001A3992" w:rsidRPr="002879A0" w:rsidRDefault="00252372" w:rsidP="00DB14F8">
      <w:pPr>
        <w:rPr>
          <w:rFonts w:cstheme="minorHAnsi"/>
          <w:lang w:val="en-US"/>
        </w:rPr>
      </w:pPr>
      <w:r w:rsidRPr="002879A0">
        <w:rPr>
          <w:rFonts w:cstheme="minorHAnsi"/>
          <w:lang w:val="en-US"/>
        </w:rPr>
        <w:t>13 September 2018</w:t>
      </w:r>
    </w:p>
    <w:p w14:paraId="4A66E814" w14:textId="6EC64BDE" w:rsidR="00476DA7" w:rsidRPr="000B27CD" w:rsidRDefault="00476DA7" w:rsidP="002879A0">
      <w:pPr>
        <w:pStyle w:val="Heading1"/>
        <w:spacing w:before="0" w:after="120"/>
        <w:rPr>
          <w:lang w:val="en-US"/>
        </w:rPr>
      </w:pPr>
      <w:r w:rsidRPr="000B27CD">
        <w:rPr>
          <w:lang w:val="en-US"/>
        </w:rPr>
        <w:lastRenderedPageBreak/>
        <w:t>Date of revision</w:t>
      </w:r>
      <w:r w:rsidR="00D772AB" w:rsidRPr="000B27CD">
        <w:rPr>
          <w:lang w:val="en-US"/>
        </w:rPr>
        <w:fldChar w:fldCharType="begin"/>
      </w:r>
      <w:r w:rsidR="00D772AB" w:rsidRPr="000B27CD">
        <w:rPr>
          <w:lang w:val="en-US"/>
        </w:rPr>
        <w:instrText xml:space="preserve"> DOCVARIABLE VAULT_ND_409e07de-111b-447f-8c59-473d00ea26b3 \* MERGEFORMAT </w:instrText>
      </w:r>
      <w:r w:rsidR="00D772AB" w:rsidRPr="000B27CD">
        <w:rPr>
          <w:lang w:val="en-US"/>
        </w:rPr>
        <w:fldChar w:fldCharType="separate"/>
      </w:r>
      <w:r w:rsidR="00D772AB" w:rsidRPr="000B27CD">
        <w:rPr>
          <w:lang w:val="en-US"/>
        </w:rPr>
        <w:t xml:space="preserve"> </w:t>
      </w:r>
      <w:r w:rsidR="00D772AB" w:rsidRPr="000B27CD">
        <w:rPr>
          <w:lang w:val="en-US"/>
        </w:rPr>
        <w:fldChar w:fldCharType="end"/>
      </w:r>
    </w:p>
    <w:p w14:paraId="73F33B0F" w14:textId="78E05B99" w:rsidR="0056469F" w:rsidRDefault="0056469F" w:rsidP="0056469F">
      <w:r>
        <w:rPr>
          <w:rFonts w:cstheme="minorHAnsi"/>
          <w:lang w:val="en-US"/>
        </w:rPr>
        <w:t xml:space="preserve"> </w:t>
      </w:r>
      <w:r w:rsidR="00DF46C9">
        <w:t>9 March 2022</w:t>
      </w:r>
    </w:p>
    <w:p w14:paraId="232AF518" w14:textId="1867434D" w:rsidR="002879A0" w:rsidRDefault="002879A0" w:rsidP="002879A0">
      <w:pPr>
        <w:pStyle w:val="Heading2"/>
        <w:numPr>
          <w:ilvl w:val="0"/>
          <w:numId w:val="0"/>
        </w:numPr>
        <w:spacing w:before="0" w:after="120"/>
        <w:rPr>
          <w:rFonts w:asciiTheme="minorHAnsi" w:hAnsiTheme="minorHAnsi" w:cstheme="minorHAnsi"/>
          <w:sz w:val="22"/>
          <w:lang w:val="en-US"/>
        </w:rPr>
      </w:pPr>
      <w:r w:rsidRPr="001B1FBE">
        <w:rPr>
          <w:rFonts w:asciiTheme="minorHAnsi" w:hAnsiTheme="minorHAnsi" w:cstheme="minorHAnsi"/>
          <w:sz w:val="22"/>
          <w:lang w:val="en-US"/>
        </w:rPr>
        <w:t>SUMMARY TABLE OF CHANGES</w:t>
      </w:r>
      <w:r w:rsidR="00D772AB">
        <w:rPr>
          <w:rFonts w:asciiTheme="minorHAnsi" w:hAnsiTheme="minorHAnsi" w:cstheme="minorHAnsi"/>
          <w:sz w:val="22"/>
          <w:lang w:val="en-US"/>
        </w:rPr>
        <w:fldChar w:fldCharType="begin"/>
      </w:r>
      <w:r w:rsidR="00D772AB">
        <w:rPr>
          <w:rFonts w:asciiTheme="minorHAnsi" w:hAnsiTheme="minorHAnsi" w:cstheme="minorHAnsi"/>
          <w:sz w:val="22"/>
          <w:lang w:val="en-US"/>
        </w:rPr>
        <w:instrText xml:space="preserve"> DOCVARIABLE VAULT_ND_5e5b41e9-6f1a-4cb3-8a4d-7a6ab11bc22d \* MERGEFORMAT </w:instrText>
      </w:r>
      <w:r w:rsidR="00D772AB">
        <w:rPr>
          <w:rFonts w:asciiTheme="minorHAnsi" w:hAnsiTheme="minorHAnsi" w:cstheme="minorHAnsi"/>
          <w:sz w:val="22"/>
          <w:lang w:val="en-US"/>
        </w:rPr>
        <w:fldChar w:fldCharType="separate"/>
      </w:r>
      <w:r w:rsidR="00D772AB">
        <w:rPr>
          <w:rFonts w:asciiTheme="minorHAnsi" w:hAnsiTheme="minorHAnsi" w:cstheme="minorHAnsi"/>
          <w:sz w:val="22"/>
          <w:lang w:val="en-US"/>
        </w:rPr>
        <w:t xml:space="preserve"> </w:t>
      </w:r>
      <w:r w:rsidR="00D772AB">
        <w:rPr>
          <w:rFonts w:asciiTheme="minorHAnsi" w:hAnsiTheme="minorHAnsi" w:cstheme="minorHAnsi"/>
          <w:sz w:val="22"/>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7DC2" w:rsidRPr="002879A0" w14:paraId="2DA4616F" w14:textId="77777777" w:rsidTr="00287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hideMark/>
          </w:tcPr>
          <w:p w14:paraId="5E43B82E" w14:textId="77777777" w:rsidR="00287DC2" w:rsidRPr="001B1FBE" w:rsidRDefault="00287DC2" w:rsidP="00072EB9">
            <w:pPr>
              <w:rPr>
                <w:rFonts w:asciiTheme="minorHAnsi" w:hAnsiTheme="minorHAnsi" w:cstheme="minorHAnsi"/>
                <w:lang w:val="en-US"/>
              </w:rPr>
            </w:pPr>
            <w:r w:rsidRPr="001B1FBE">
              <w:rPr>
                <w:rFonts w:asciiTheme="minorHAnsi" w:hAnsiTheme="minorHAnsi" w:cstheme="minorHAnsi"/>
                <w:lang w:val="en-US"/>
              </w:rPr>
              <w:t>Section Changed</w:t>
            </w:r>
          </w:p>
        </w:tc>
        <w:tc>
          <w:tcPr>
            <w:tcW w:w="7635" w:type="dxa"/>
            <w:shd w:val="clear" w:color="auto" w:fill="F2F2F2" w:themeFill="background1" w:themeFillShade="F2"/>
            <w:vAlign w:val="center"/>
            <w:hideMark/>
          </w:tcPr>
          <w:p w14:paraId="66FDB20C" w14:textId="77777777" w:rsidR="00287DC2" w:rsidRPr="001B1FBE" w:rsidRDefault="00287DC2" w:rsidP="00072E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B1FBE">
              <w:rPr>
                <w:rFonts w:asciiTheme="minorHAnsi" w:hAnsiTheme="minorHAnsi" w:cstheme="minorHAnsi"/>
                <w:lang w:val="en-US"/>
              </w:rPr>
              <w:t>Summary of new information</w:t>
            </w:r>
          </w:p>
        </w:tc>
      </w:tr>
      <w:tr w:rsidR="00287DC2" w:rsidRPr="002879A0" w:rsidDel="00287DC2" w14:paraId="7FEFD904"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16045" w14:textId="537911EE" w:rsidR="00287DC2" w:rsidDel="00287DC2" w:rsidRDefault="00287DC2" w:rsidP="00072EB9">
            <w:pPr>
              <w:rPr>
                <w:rFonts w:cstheme="minorHAnsi"/>
                <w:color w:val="0D0D0D" w:themeColor="text1" w:themeTint="F2"/>
                <w:lang w:val="en-US"/>
              </w:rPr>
            </w:pPr>
            <w:r>
              <w:rPr>
                <w:rFonts w:cstheme="minorHAnsi"/>
                <w:color w:val="0D0D0D" w:themeColor="text1" w:themeTint="F2"/>
                <w:lang w:val="en-US"/>
              </w:rPr>
              <w:t>2</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71865" w14:textId="5E613D49" w:rsidR="00287DC2" w:rsidDel="00287DC2"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Pr>
                <w:rFonts w:cstheme="minorHAnsi"/>
                <w:color w:val="0D0D0D" w:themeColor="text1" w:themeTint="F2"/>
              </w:rPr>
              <w:t>Addition of information for 50 mg dispersible table</w:t>
            </w:r>
          </w:p>
        </w:tc>
      </w:tr>
      <w:tr w:rsidR="00287DC2" w:rsidRPr="002879A0" w:rsidDel="00287DC2" w14:paraId="3C19CB67"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D354F" w14:textId="66B1AD54" w:rsidR="00287DC2" w:rsidDel="00287DC2" w:rsidRDefault="00287DC2" w:rsidP="00072EB9">
            <w:pPr>
              <w:rPr>
                <w:rFonts w:cstheme="minorHAnsi"/>
                <w:color w:val="0D0D0D" w:themeColor="text1" w:themeTint="F2"/>
                <w:lang w:val="en-US"/>
              </w:rPr>
            </w:pPr>
            <w:r>
              <w:rPr>
                <w:rFonts w:cstheme="minorHAnsi"/>
                <w:color w:val="0D0D0D" w:themeColor="text1" w:themeTint="F2"/>
                <w:lang w:val="en-US"/>
              </w:rPr>
              <w:t>3</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2CD47" w14:textId="39D43F5C" w:rsidR="00287DC2" w:rsidDel="00287DC2"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Addition of description for 50 mg dispersible tablet</w:t>
            </w:r>
          </w:p>
        </w:tc>
      </w:tr>
      <w:tr w:rsidR="00287DC2" w:rsidRPr="002879A0" w14:paraId="0DA3B33C" w14:textId="7E18DE9F"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3AA875" w14:textId="29D0249A" w:rsidR="00287DC2" w:rsidRPr="001B1FBE" w:rsidRDefault="00287DC2" w:rsidP="00072EB9">
            <w:pPr>
              <w:rPr>
                <w:rFonts w:asciiTheme="minorHAnsi" w:hAnsiTheme="minorHAnsi" w:cstheme="minorHAnsi"/>
                <w:color w:val="0D0D0D" w:themeColor="text1" w:themeTint="F2"/>
                <w:lang w:val="en-US"/>
              </w:rPr>
            </w:pPr>
            <w:r>
              <w:rPr>
                <w:rFonts w:cstheme="minorHAnsi"/>
                <w:color w:val="0D0D0D" w:themeColor="text1" w:themeTint="F2"/>
                <w:lang w:val="en-US"/>
              </w:rPr>
              <w:t>4.1</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D4EC4" w14:textId="5226F9DD" w:rsidR="00287DC2" w:rsidRPr="001B1FBE"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 xml:space="preserve">Update to indication to include patients aged </w:t>
            </w:r>
            <w:r w:rsidR="00AC057A">
              <w:rPr>
                <w:rFonts w:cstheme="minorHAnsi"/>
                <w:color w:val="0D0D0D" w:themeColor="text1" w:themeTint="F2"/>
              </w:rPr>
              <w:t>2 year</w:t>
            </w:r>
            <w:r w:rsidRPr="00EA02D3">
              <w:rPr>
                <w:rFonts w:cstheme="minorHAnsi"/>
                <w:color w:val="0D0D0D" w:themeColor="text1" w:themeTint="F2"/>
              </w:rPr>
              <w:t xml:space="preserve"> and older</w:t>
            </w:r>
          </w:p>
        </w:tc>
      </w:tr>
      <w:tr w:rsidR="00287DC2" w:rsidRPr="002879A0" w14:paraId="052BF0C1"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1FCC34" w14:textId="77777777" w:rsidR="00287DC2" w:rsidRPr="001B1FBE" w:rsidRDefault="00287DC2" w:rsidP="00072EB9">
            <w:pPr>
              <w:rPr>
                <w:rFonts w:asciiTheme="minorHAnsi" w:hAnsiTheme="minorHAnsi" w:cstheme="minorHAnsi"/>
                <w:color w:val="0D0D0D" w:themeColor="text1" w:themeTint="F2"/>
                <w:lang w:val="en-US"/>
              </w:rPr>
            </w:pPr>
            <w:r>
              <w:rPr>
                <w:rFonts w:cstheme="minorHAnsi"/>
                <w:color w:val="0D0D0D" w:themeColor="text1" w:themeTint="F2"/>
                <w:lang w:val="en-US"/>
              </w:rPr>
              <w:t>4.2</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E9C4B3" w14:textId="594E49F4" w:rsidR="00287DC2" w:rsidRPr="001B1FBE" w:rsidRDefault="00287DC2" w:rsidP="00072EB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EA02D3">
              <w:rPr>
                <w:rFonts w:cstheme="minorHAnsi"/>
                <w:color w:val="0D0D0D" w:themeColor="text1" w:themeTint="F2"/>
              </w:rPr>
              <w:t>Addition of paediatric dosing information</w:t>
            </w:r>
          </w:p>
        </w:tc>
      </w:tr>
      <w:tr w:rsidR="00287DC2" w:rsidRPr="002879A0" w14:paraId="60712506"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D1F2C" w14:textId="4FD1F671" w:rsidR="00287DC2" w:rsidRDefault="00287DC2" w:rsidP="00072EB9">
            <w:pPr>
              <w:rPr>
                <w:rFonts w:cstheme="minorHAnsi"/>
                <w:color w:val="0D0D0D" w:themeColor="text1" w:themeTint="F2"/>
                <w:lang w:val="en-US"/>
              </w:rPr>
            </w:pPr>
            <w:r>
              <w:rPr>
                <w:rFonts w:cstheme="minorHAnsi"/>
                <w:color w:val="0D0D0D" w:themeColor="text1" w:themeTint="F2"/>
                <w:lang w:val="en-US"/>
              </w:rPr>
              <w:t>4.8</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B18612" w14:textId="66237325" w:rsidR="00287DC2"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lang w:val="en-US"/>
              </w:rPr>
            </w:pPr>
            <w:r w:rsidRPr="00EA02D3">
              <w:rPr>
                <w:rFonts w:cstheme="minorHAnsi"/>
                <w:color w:val="0D0D0D" w:themeColor="text1" w:themeTint="F2"/>
              </w:rPr>
              <w:t>Addition of adverse effects information for the paediatric population</w:t>
            </w:r>
          </w:p>
        </w:tc>
      </w:tr>
      <w:tr w:rsidR="00287DC2" w:rsidRPr="002879A0" w14:paraId="31E27AED"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BFDAE8" w14:textId="77777777" w:rsidR="00287DC2" w:rsidRPr="001B1FBE" w:rsidRDefault="00287DC2" w:rsidP="00072EB9">
            <w:pPr>
              <w:rPr>
                <w:rFonts w:asciiTheme="minorHAnsi" w:hAnsiTheme="minorHAnsi" w:cstheme="minorHAnsi"/>
                <w:color w:val="0D0D0D" w:themeColor="text1" w:themeTint="F2"/>
                <w:lang w:val="en-US"/>
              </w:rPr>
            </w:pPr>
            <w:r>
              <w:rPr>
                <w:rFonts w:cstheme="minorHAnsi"/>
                <w:color w:val="0D0D0D" w:themeColor="text1" w:themeTint="F2"/>
                <w:lang w:val="en-US"/>
              </w:rPr>
              <w:t>5.1</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DB200" w14:textId="34FCBE68" w:rsidR="00287DC2" w:rsidRPr="001B1FBE"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lang w:val="en-US"/>
              </w:rPr>
            </w:pPr>
            <w:r w:rsidRPr="00EA02D3">
              <w:rPr>
                <w:rFonts w:cstheme="minorHAnsi"/>
                <w:color w:val="0D0D0D" w:themeColor="text1" w:themeTint="F2"/>
              </w:rPr>
              <w:t>Addition of clinical trial data from TAF113577</w:t>
            </w:r>
          </w:p>
        </w:tc>
      </w:tr>
      <w:tr w:rsidR="00287DC2" w:rsidRPr="002879A0" w14:paraId="0DFC0554"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AA86E" w14:textId="6CEF5561" w:rsidR="00287DC2" w:rsidRDefault="00287DC2" w:rsidP="00287DC2">
            <w:pPr>
              <w:rPr>
                <w:rFonts w:cstheme="minorHAnsi"/>
                <w:color w:val="0D0D0D" w:themeColor="text1" w:themeTint="F2"/>
                <w:lang w:val="en-US"/>
              </w:rPr>
            </w:pPr>
            <w:r w:rsidRPr="00EA02D3">
              <w:rPr>
                <w:rFonts w:asciiTheme="minorHAnsi" w:hAnsiTheme="minorHAnsi" w:cstheme="minorHAnsi"/>
                <w:color w:val="0D0D0D" w:themeColor="text1" w:themeTint="F2"/>
                <w:lang w:val="en-US"/>
              </w:rPr>
              <w:t>5.2</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C40BB" w14:textId="34AB5DC7" w:rsidR="00287DC2" w:rsidRPr="00EA02D3" w:rsidRDefault="00287DC2" w:rsidP="00287DC2">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Addition of paediatric pharmacokinetic data from study TAF113577</w:t>
            </w:r>
          </w:p>
        </w:tc>
      </w:tr>
      <w:tr w:rsidR="00287DC2" w:rsidRPr="002879A0" w14:paraId="75367353"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566B31" w14:textId="2D3978BB" w:rsidR="00287DC2" w:rsidRDefault="00287DC2" w:rsidP="00287DC2">
            <w:pPr>
              <w:rPr>
                <w:rFonts w:cstheme="minorHAnsi"/>
                <w:color w:val="0D0D0D" w:themeColor="text1" w:themeTint="F2"/>
                <w:lang w:val="en-US"/>
              </w:rPr>
            </w:pPr>
            <w:r>
              <w:rPr>
                <w:rFonts w:cstheme="minorHAnsi"/>
                <w:color w:val="0D0D0D" w:themeColor="text1" w:themeTint="F2"/>
                <w:lang w:val="en-US"/>
              </w:rPr>
              <w:t>5.2</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AECAE" w14:textId="10D964D2" w:rsidR="00287DC2" w:rsidRPr="00EA02D3" w:rsidRDefault="00287DC2" w:rsidP="00287DC2">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Pr>
                <w:rFonts w:cstheme="minorHAnsi"/>
                <w:color w:val="0D0D0D" w:themeColor="text1" w:themeTint="F2"/>
              </w:rPr>
              <w:t xml:space="preserve">Clarification of dosing in studies with </w:t>
            </w:r>
            <w:proofErr w:type="spellStart"/>
            <w:r w:rsidRPr="00FD6904">
              <w:t>dihydroartemisinin</w:t>
            </w:r>
            <w:proofErr w:type="spellEnd"/>
            <w:r w:rsidRPr="00FD6904">
              <w:t>-piperaquine</w:t>
            </w:r>
            <w:r>
              <w:t xml:space="preserve"> and </w:t>
            </w:r>
            <w:r w:rsidRPr="00FD6904">
              <w:t>artemether-lumefantrine</w:t>
            </w:r>
          </w:p>
        </w:tc>
      </w:tr>
      <w:tr w:rsidR="00287DC2" w:rsidRPr="002879A0" w14:paraId="670CCC5E" w14:textId="77777777" w:rsidTr="00287DC2">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BD87C5" w14:textId="7EFD7951" w:rsidR="00287DC2" w:rsidRDefault="00287DC2" w:rsidP="00287DC2">
            <w:pPr>
              <w:rPr>
                <w:rFonts w:cstheme="minorHAnsi"/>
                <w:color w:val="0D0D0D" w:themeColor="text1" w:themeTint="F2"/>
                <w:lang w:val="en-US"/>
              </w:rPr>
            </w:pPr>
            <w:r w:rsidRPr="00EA02D3">
              <w:rPr>
                <w:rFonts w:asciiTheme="minorHAnsi" w:hAnsiTheme="minorHAnsi" w:cstheme="minorHAnsi"/>
                <w:color w:val="0D0D0D" w:themeColor="text1" w:themeTint="F2"/>
                <w:lang w:val="en-US"/>
              </w:rPr>
              <w:t>6.1</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E562C" w14:textId="5D241EFF" w:rsidR="00287DC2" w:rsidRPr="00EA02D3" w:rsidRDefault="00287DC2" w:rsidP="00287DC2">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Addition of excipients for dispersible tablets</w:t>
            </w:r>
          </w:p>
        </w:tc>
      </w:tr>
      <w:tr w:rsidR="00287DC2" w:rsidRPr="002879A0" w14:paraId="52B5EAED" w14:textId="77777777" w:rsidTr="00072EB9">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E0536C" w14:textId="77777777" w:rsidR="00287DC2" w:rsidRPr="00EA02D3" w:rsidRDefault="00287DC2" w:rsidP="00072EB9">
            <w:pPr>
              <w:rPr>
                <w:rFonts w:cstheme="minorHAnsi"/>
                <w:color w:val="0D0D0D" w:themeColor="text1" w:themeTint="F2"/>
                <w:lang w:val="en-US"/>
              </w:rPr>
            </w:pPr>
            <w:r w:rsidRPr="00EA02D3">
              <w:rPr>
                <w:rFonts w:asciiTheme="minorHAnsi" w:hAnsiTheme="minorHAnsi" w:cstheme="minorHAnsi"/>
                <w:color w:val="0D0D0D" w:themeColor="text1" w:themeTint="F2"/>
                <w:lang w:val="en-US"/>
              </w:rPr>
              <w:t>6.5</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ED3924" w14:textId="77777777" w:rsidR="00287DC2" w:rsidRPr="00EA02D3"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Addition of pack information for dispersible tablets</w:t>
            </w:r>
          </w:p>
        </w:tc>
      </w:tr>
      <w:tr w:rsidR="00287DC2" w:rsidRPr="002879A0" w14:paraId="1D35FEDC" w14:textId="77777777" w:rsidTr="00072EB9">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25F90" w14:textId="77777777" w:rsidR="00287DC2" w:rsidRPr="00EA02D3" w:rsidRDefault="00287DC2" w:rsidP="00072EB9">
            <w:pPr>
              <w:rPr>
                <w:rFonts w:cstheme="minorHAnsi"/>
                <w:color w:val="0D0D0D" w:themeColor="text1" w:themeTint="F2"/>
                <w:lang w:val="en-US"/>
              </w:rPr>
            </w:pPr>
            <w:r w:rsidRPr="00EA02D3">
              <w:rPr>
                <w:rFonts w:asciiTheme="minorHAnsi" w:hAnsiTheme="minorHAnsi" w:cstheme="minorHAnsi"/>
                <w:color w:val="0D0D0D" w:themeColor="text1" w:themeTint="F2"/>
                <w:lang w:val="en-US"/>
              </w:rPr>
              <w:t>-</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8EC81" w14:textId="77777777" w:rsidR="00287DC2" w:rsidRPr="00EA02D3" w:rsidRDefault="00287DC2" w:rsidP="00072EB9">
            <w:pPr>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EA02D3">
              <w:rPr>
                <w:rFonts w:cstheme="minorHAnsi"/>
                <w:color w:val="0D0D0D" w:themeColor="text1" w:themeTint="F2"/>
              </w:rPr>
              <w:t>Minor editorial updates throughout the document</w:t>
            </w:r>
          </w:p>
        </w:tc>
      </w:tr>
    </w:tbl>
    <w:p w14:paraId="4047DF56" w14:textId="5F2165BC" w:rsidR="002879A0" w:rsidRPr="002879A0" w:rsidRDefault="002879A0" w:rsidP="002879A0">
      <w:pPr>
        <w:rPr>
          <w:rFonts w:cstheme="minorHAnsi"/>
        </w:rPr>
      </w:pPr>
      <w:r w:rsidRPr="002879A0">
        <w:rPr>
          <w:rFonts w:cstheme="minorHAnsi"/>
        </w:rPr>
        <w:t xml:space="preserve">Version </w:t>
      </w:r>
      <w:r w:rsidR="00DE23FC">
        <w:rPr>
          <w:rFonts w:cstheme="minorHAnsi"/>
        </w:rPr>
        <w:t>5</w:t>
      </w:r>
      <w:r w:rsidR="00E37824">
        <w:rPr>
          <w:rFonts w:cstheme="minorHAnsi"/>
        </w:rPr>
        <w:t>.0</w:t>
      </w:r>
    </w:p>
    <w:p w14:paraId="740060DF" w14:textId="5C0D82F6" w:rsidR="00921974" w:rsidRPr="002879A0" w:rsidRDefault="00921974" w:rsidP="00E15C35">
      <w:pPr>
        <w:rPr>
          <w:rFonts w:cstheme="minorHAnsi"/>
        </w:rPr>
      </w:pPr>
      <w:r w:rsidRPr="002879A0">
        <w:rPr>
          <w:rFonts w:cstheme="minorHAnsi"/>
        </w:rPr>
        <w:t xml:space="preserve">Trademarks are owned by or licensed to the GSK group of companies </w:t>
      </w:r>
    </w:p>
    <w:p w14:paraId="4D914BE3" w14:textId="1F48C1DA" w:rsidR="00921974" w:rsidRPr="00CA598E" w:rsidRDefault="00921974" w:rsidP="00E15C35">
      <w:pPr>
        <w:rPr>
          <w:rFonts w:cstheme="minorHAnsi"/>
        </w:rPr>
      </w:pPr>
      <w:r w:rsidRPr="008D26F7">
        <w:rPr>
          <w:rFonts w:cstheme="minorHAnsi"/>
        </w:rPr>
        <w:t>©20</w:t>
      </w:r>
      <w:r w:rsidR="004C4937">
        <w:rPr>
          <w:rFonts w:cstheme="minorHAnsi"/>
        </w:rPr>
        <w:t>2</w:t>
      </w:r>
      <w:r w:rsidR="00AC057A">
        <w:rPr>
          <w:rFonts w:cstheme="minorHAnsi"/>
        </w:rPr>
        <w:t>2</w:t>
      </w:r>
      <w:r w:rsidRPr="00CA598E">
        <w:rPr>
          <w:rFonts w:cstheme="minorHAnsi"/>
        </w:rPr>
        <w:t xml:space="preserve"> GSK group of companies or its licensor </w:t>
      </w:r>
    </w:p>
    <w:p w14:paraId="12F2EF14" w14:textId="7D87DD0D" w:rsidR="00960CD5" w:rsidRPr="00FD6904" w:rsidRDefault="00960CD5" w:rsidP="00DB14F8"/>
    <w:sectPr w:rsidR="00960CD5" w:rsidRPr="00FD6904" w:rsidSect="003C7D6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C43E" w14:textId="77777777" w:rsidR="00F96718" w:rsidRDefault="00F96718" w:rsidP="001A3992">
      <w:pPr>
        <w:spacing w:after="0" w:line="240" w:lineRule="auto"/>
      </w:pPr>
      <w:r>
        <w:separator/>
      </w:r>
    </w:p>
  </w:endnote>
  <w:endnote w:type="continuationSeparator" w:id="0">
    <w:p w14:paraId="585E2319" w14:textId="77777777" w:rsidR="00F96718" w:rsidRDefault="00F96718"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695F40D1" w14:textId="50A6C334" w:rsidR="00F96718" w:rsidRPr="00B8074A" w:rsidRDefault="00F96718" w:rsidP="00B903B7">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Pr>
            <w:noProof/>
            <w:sz w:val="20"/>
          </w:rPr>
          <w:t>12</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89EB" w14:textId="77777777" w:rsidR="00F96718" w:rsidRDefault="00F96718" w:rsidP="001A3992">
      <w:pPr>
        <w:spacing w:after="0" w:line="240" w:lineRule="auto"/>
      </w:pPr>
      <w:r>
        <w:separator/>
      </w:r>
    </w:p>
  </w:footnote>
  <w:footnote w:type="continuationSeparator" w:id="0">
    <w:p w14:paraId="16BB8B4D" w14:textId="77777777" w:rsidR="00F96718" w:rsidRDefault="00F96718"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0" w:type="dxa"/>
      <w:shd w:val="clear" w:color="auto" w:fill="E4F2E0"/>
      <w:tblLook w:val="04A0" w:firstRow="1" w:lastRow="0" w:firstColumn="1" w:lastColumn="0" w:noHBand="0" w:noVBand="1"/>
    </w:tblPr>
    <w:tblGrid>
      <w:gridCol w:w="8720"/>
    </w:tblGrid>
    <w:tr w:rsidR="00CD122C" w:rsidRPr="00CD122C" w14:paraId="2EAE4306" w14:textId="77777777" w:rsidTr="00CD122C">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129D1152" w14:textId="77777777" w:rsidR="00CD122C" w:rsidRPr="00CD122C" w:rsidRDefault="00CD122C" w:rsidP="00CD122C">
          <w:pPr>
            <w:spacing w:before="180" w:after="180" w:line="240" w:lineRule="atLeast"/>
            <w:rPr>
              <w:b/>
              <w:sz w:val="18"/>
              <w:szCs w:val="18"/>
            </w:rPr>
          </w:pPr>
          <w:r w:rsidRPr="00CD122C">
            <w:rPr>
              <w:b/>
              <w:sz w:val="18"/>
              <w:szCs w:val="18"/>
            </w:rPr>
            <w:t xml:space="preserve">Attachment 1: Product information for </w:t>
          </w:r>
          <w:proofErr w:type="spellStart"/>
          <w:r w:rsidRPr="00CD122C">
            <w:rPr>
              <w:b/>
              <w:sz w:val="18"/>
              <w:szCs w:val="18"/>
            </w:rPr>
            <w:t>AusPAR</w:t>
          </w:r>
          <w:proofErr w:type="spellEnd"/>
          <w:r w:rsidRPr="00CD122C">
            <w:rPr>
              <w:b/>
              <w:sz w:val="18"/>
              <w:szCs w:val="18"/>
            </w:rPr>
            <w:t xml:space="preserve"> - </w:t>
          </w:r>
          <w:proofErr w:type="spellStart"/>
          <w:r w:rsidRPr="00CD122C">
            <w:rPr>
              <w:b/>
              <w:sz w:val="18"/>
              <w:szCs w:val="18"/>
            </w:rPr>
            <w:t>Kozenis</w:t>
          </w:r>
          <w:proofErr w:type="spellEnd"/>
          <w:r w:rsidRPr="00CD122C">
            <w:rPr>
              <w:b/>
              <w:sz w:val="18"/>
              <w:szCs w:val="18"/>
            </w:rPr>
            <w:t xml:space="preserve"> – tafenoquine – GlaxoSmithKline Australia Pty Ltd - PM-2020-05985-1-2 FINAL 13 December 2022. This is the Product Information that was approved with the submission described in this </w:t>
          </w:r>
          <w:proofErr w:type="spellStart"/>
          <w:r w:rsidRPr="00CD122C">
            <w:rPr>
              <w:b/>
              <w:sz w:val="18"/>
              <w:szCs w:val="18"/>
            </w:rPr>
            <w:t>AusPAR</w:t>
          </w:r>
          <w:proofErr w:type="spellEnd"/>
          <w:r w:rsidRPr="00CD122C">
            <w:rPr>
              <w:b/>
              <w:sz w:val="18"/>
              <w:szCs w:val="18"/>
            </w:rPr>
            <w:t>. It may have been superseded. For the most recent PI, please refer to the TGA website at &lt;</w:t>
          </w:r>
          <w:hyperlink r:id="rId1" w:history="1">
            <w:r w:rsidRPr="00CD122C">
              <w:rPr>
                <w:b/>
                <w:color w:val="0000FF"/>
                <w:sz w:val="18"/>
                <w:szCs w:val="18"/>
                <w:u w:val="single"/>
              </w:rPr>
              <w:t>https://www.tga.gov.au/products/australian-register-therapeutic-goods-artg/product-information-one</w:t>
            </w:r>
          </w:hyperlink>
          <w:r w:rsidRPr="00CD122C">
            <w:rPr>
              <w:b/>
              <w:color w:val="0000FF"/>
              <w:sz w:val="18"/>
              <w:szCs w:val="18"/>
              <w:u w:val="single"/>
            </w:rPr>
            <w:t>&gt;</w:t>
          </w:r>
        </w:p>
      </w:tc>
    </w:tr>
  </w:tbl>
  <w:p w14:paraId="3C94A5B8" w14:textId="31C27BBB" w:rsidR="00CD122C" w:rsidRPr="00CD122C" w:rsidRDefault="00CD122C" w:rsidP="00CD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341D2"/>
    <w:multiLevelType w:val="hybridMultilevel"/>
    <w:tmpl w:val="8DA43F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47BDF"/>
    <w:multiLevelType w:val="hybridMultilevel"/>
    <w:tmpl w:val="C8B8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C3727"/>
    <w:multiLevelType w:val="hybridMultilevel"/>
    <w:tmpl w:val="FB523C62"/>
    <w:lvl w:ilvl="0" w:tplc="CB94909A">
      <w:start w:val="7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FB0B4B"/>
    <w:multiLevelType w:val="hybridMultilevel"/>
    <w:tmpl w:val="95B8230C"/>
    <w:lvl w:ilvl="0" w:tplc="D4B6D15E">
      <w:start w:val="1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2409E7A1"/>
    <w:multiLevelType w:val="hybridMultilevel"/>
    <w:tmpl w:val="5A11A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1F0B0B"/>
    <w:multiLevelType w:val="hybridMultilevel"/>
    <w:tmpl w:val="39864DA6"/>
    <w:lvl w:ilvl="0" w:tplc="195E893C">
      <w:start w:val="87"/>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4688C"/>
    <w:multiLevelType w:val="hybridMultilevel"/>
    <w:tmpl w:val="09683BD4"/>
    <w:lvl w:ilvl="0" w:tplc="D4B6D15E">
      <w:start w:val="1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4556B0"/>
    <w:multiLevelType w:val="hybridMultilevel"/>
    <w:tmpl w:val="46A472B6"/>
    <w:lvl w:ilvl="0" w:tplc="7D1C1238">
      <w:start w:val="27"/>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2C30A0"/>
    <w:multiLevelType w:val="hybridMultilevel"/>
    <w:tmpl w:val="2A1C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380766"/>
    <w:multiLevelType w:val="hybridMultilevel"/>
    <w:tmpl w:val="F324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BF6827"/>
    <w:multiLevelType w:val="hybridMultilevel"/>
    <w:tmpl w:val="FBF0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E0730"/>
    <w:multiLevelType w:val="hybridMultilevel"/>
    <w:tmpl w:val="AA3096C4"/>
    <w:lvl w:ilvl="0" w:tplc="DE40BC62">
      <w:start w:val="1"/>
      <w:numFmt w:val="bullet"/>
      <w:lvlText w:val=""/>
      <w:lvlJc w:val="left"/>
      <w:pPr>
        <w:ind w:left="720" w:hanging="360"/>
      </w:pPr>
      <w:rPr>
        <w:rFonts w:ascii="Wingdings" w:eastAsiaTheme="minorHAnsi" w:hAnsi="Wingdings"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7952A7"/>
    <w:multiLevelType w:val="hybridMultilevel"/>
    <w:tmpl w:val="9EA4783C"/>
    <w:lvl w:ilvl="0" w:tplc="045210B0">
      <w:start w:val="1"/>
      <w:numFmt w:val="bullet"/>
      <w:lvlText w:val=""/>
      <w:lvlJc w:val="left"/>
      <w:pPr>
        <w:ind w:left="720" w:hanging="360"/>
      </w:pPr>
      <w:rPr>
        <w:rFonts w:ascii="Wingdings" w:eastAsiaTheme="minorHAnsi" w:hAnsi="Wingdings"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32797"/>
    <w:multiLevelType w:val="multilevel"/>
    <w:tmpl w:val="1A241848"/>
    <w:lvl w:ilvl="0">
      <w:start w:val="1"/>
      <w:numFmt w:val="decimal"/>
      <w:pStyle w:val="Heading1"/>
      <w:lvlText w:val="%1"/>
      <w:lvlJc w:val="left"/>
      <w:pPr>
        <w:ind w:left="432" w:hanging="432"/>
      </w:pPr>
    </w:lvl>
    <w:lvl w:ilvl="1">
      <w:start w:val="1"/>
      <w:numFmt w:val="decimal"/>
      <w:pStyle w:val="Heading2"/>
      <w:lvlText w:val="%1.%2"/>
      <w:lvlJc w:val="left"/>
      <w:pPr>
        <w:ind w:left="2845" w:hanging="576"/>
      </w:pPr>
      <w:rPr>
        <w:i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0EF44CE"/>
    <w:multiLevelType w:val="hybridMultilevel"/>
    <w:tmpl w:val="121040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4267BC"/>
    <w:multiLevelType w:val="hybridMultilevel"/>
    <w:tmpl w:val="B560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0"/>
  </w:num>
  <w:num w:numId="4">
    <w:abstractNumId w:val="12"/>
  </w:num>
  <w:num w:numId="5">
    <w:abstractNumId w:val="25"/>
  </w:num>
  <w:num w:numId="6">
    <w:abstractNumId w:val="22"/>
  </w:num>
  <w:num w:numId="7">
    <w:abstractNumId w:val="16"/>
  </w:num>
  <w:num w:numId="8">
    <w:abstractNumId w:val="23"/>
  </w:num>
  <w:num w:numId="9">
    <w:abstractNumId w:val="8"/>
  </w:num>
  <w:num w:numId="10">
    <w:abstractNumId w:val="15"/>
  </w:num>
  <w:num w:numId="11">
    <w:abstractNumId w:val="14"/>
  </w:num>
  <w:num w:numId="12">
    <w:abstractNumId w:val="1"/>
  </w:num>
  <w:num w:numId="13">
    <w:abstractNumId w:val="24"/>
  </w:num>
  <w:num w:numId="14">
    <w:abstractNumId w:val="17"/>
  </w:num>
  <w:num w:numId="15">
    <w:abstractNumId w:val="2"/>
  </w:num>
  <w:num w:numId="16">
    <w:abstractNumId w:val="13"/>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num>
  <w:num w:numId="21">
    <w:abstractNumId w:val="19"/>
  </w:num>
  <w:num w:numId="22">
    <w:abstractNumId w:val="18"/>
  </w:num>
  <w:num w:numId="23">
    <w:abstractNumId w:val="3"/>
  </w:num>
  <w:num w:numId="24">
    <w:abstractNumId w:val="9"/>
  </w:num>
  <w:num w:numId="25">
    <w:abstractNumId w:val="5"/>
  </w:num>
  <w:num w:numId="26">
    <w:abstractNumId w:val="10"/>
  </w:num>
  <w:num w:numId="27">
    <w:abstractNumId w:val="11"/>
  </w:num>
  <w:num w:numId="28">
    <w:abstractNumId w:val="20"/>
  </w:num>
  <w:num w:numId="29">
    <w:abstractNumId w:val="21"/>
  </w:num>
  <w:num w:numId="30">
    <w:abstractNumId w:val="6"/>
  </w:num>
  <w:num w:numId="3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6a67e24-4589-41a1-b502-cc4dec3e87f5" w:val=" "/>
    <w:docVar w:name="vault_nd_08409c4f-565a-4f73-9dca-f27025018fbf" w:val=" "/>
    <w:docVar w:name="vault_nd_090c1e12-9f9e-4c54-82ea-bb52ec0933bb" w:val=" "/>
    <w:docVar w:name="vault_nd_0c4527e1-78db-46a0-91d8-5c05ffaa0c67" w:val=" "/>
    <w:docVar w:name="vault_nd_0e961bc0-92c4-4421-adc7-50d6a3ed329c" w:val=" "/>
    <w:docVar w:name="vault_nd_139509bf-0ca7-4f1a-86ae-c19de2ac6575" w:val=" "/>
    <w:docVar w:name="vault_nd_18f9a482-edca-4932-ad0e-b804fae7c369" w:val=" "/>
    <w:docVar w:name="vault_nd_1a488528-80af-4e5a-a02c-c9b02ba732ab" w:val=" "/>
    <w:docVar w:name="vault_nd_1b1f40e2-37cf-409d-9e68-c9335e130b59" w:val=" "/>
    <w:docVar w:name="vault_nd_26af3fbe-8181-4296-986f-517858a2f97d" w:val=" "/>
    <w:docVar w:name="VAULT_ND_28e39d5a-a621-428a-8b9d-a8216bc4c197" w:val=" "/>
    <w:docVar w:name="vault_nd_292800da-cac1-4894-a871-80ec875e9d3b" w:val=" "/>
    <w:docVar w:name="vault_nd_2a353252-3f32-444e-b198-8049375cce9f" w:val=" "/>
    <w:docVar w:name="vault_nd_2a5bcf0f-d68f-4778-8f8f-eb0fae9ce3ad" w:val=" "/>
    <w:docVar w:name="vault_nd_2c22de74-6a10-4102-8d7b-daab4a01b292" w:val=" "/>
    <w:docVar w:name="vault_nd_2d4b2048-c5fa-4b05-9ca4-843c970136d3" w:val=" "/>
    <w:docVar w:name="vault_nd_2dbc8edb-f78e-45bc-8886-9fff215a05fb" w:val=" "/>
    <w:docVar w:name="vault_nd_39851af9-660b-4a2b-b0fa-055a45866d05" w:val=" "/>
    <w:docVar w:name="vault_nd_39d3fddf-8347-4b76-8848-02b6323703d7" w:val=" "/>
    <w:docVar w:name="VAULT_ND_409e07de-111b-447f-8c59-473d00ea26b3" w:val=" "/>
    <w:docVar w:name="VAULT_ND_432c2565-114d-4e5c-a86d-5dac688e3748" w:val=" "/>
    <w:docVar w:name="vault_nd_46870775-9523-465e-bd7e-d80f24cc9548" w:val=" "/>
    <w:docVar w:name="vault_nd_49ee0b16-10d6-4544-9226-73d981f31b8e" w:val=" "/>
    <w:docVar w:name="vault_nd_4c74b237-6def-4389-9fd9-5bd602949260" w:val=" "/>
    <w:docVar w:name="vault_nd_4d8e89ad-d8aa-4cc9-990b-2c3756f528b3" w:val=" "/>
    <w:docVar w:name="vault_nd_4fc59aad-40f8-4dc8-82ff-6b5866112ad3" w:val=" "/>
    <w:docVar w:name="vault_nd_4fcace16-48d2-41d2-8254-06f0c9bbdc32" w:val=" "/>
    <w:docVar w:name="vault_nd_50859275-33fd-4a9c-97fd-2c2d402f54c2" w:val=" "/>
    <w:docVar w:name="vault_nd_52ded9ad-b426-478a-b8d5-1e367635ce9c" w:val=" "/>
    <w:docVar w:name="vault_nd_582f4396-1715-4549-b355-fcc18c0335b0" w:val=" "/>
    <w:docVar w:name="VAULT_ND_5e5b41e9-6f1a-4cb3-8a4d-7a6ab11bc22d" w:val=" "/>
    <w:docVar w:name="vault_nd_61b66bd5-5f3b-4c72-93e0-b885af05d4ef" w:val=" "/>
    <w:docVar w:name="vault_nd_69416baa-d5ce-4f73-b093-58ad165a7b1b" w:val=" "/>
    <w:docVar w:name="vault_nd_77349d52-4dce-4f1d-b26d-55f054f23f95" w:val=" "/>
    <w:docVar w:name="VAULT_ND_7bd7b206-ff2b-4f65-9cf0-09a21ef57d1f" w:val=" "/>
    <w:docVar w:name="vault_nd_7bf17d26-ab17-4fe6-a9ef-492242140b37" w:val=" "/>
    <w:docVar w:name="vault_nd_7c9e95df-d9f7-4f4e-9dc8-b46edc63c9b1" w:val=" "/>
    <w:docVar w:name="vault_nd_815d9df0-79f3-4b73-96e7-dbda6b472556" w:val=" "/>
    <w:docVar w:name="vault_nd_81803329-3f4c-4481-8685-b6d334fa1952" w:val=" "/>
    <w:docVar w:name="VAULT_ND_831078eb-8fdb-4519-8fd8-2009fbe8fc02" w:val=" "/>
    <w:docVar w:name="vault_nd_8c34ab96-9789-42b4-85fa-a9e56345b344" w:val=" "/>
    <w:docVar w:name="vault_nd_9209ed9a-1a20-43f2-8ecd-22a6a4d2f86f" w:val=" "/>
    <w:docVar w:name="VAULT_ND_92f9d077-9475-4d5f-9d8c-ecb5e04c0e54" w:val=" "/>
    <w:docVar w:name="vault_nd_97608308-fee7-4bfc-856a-013b3c1a3e16" w:val=" "/>
    <w:docVar w:name="vault_nd_97b0fb36-0c65-4538-b3ee-5db4ee319028" w:val=" "/>
    <w:docVar w:name="VAULT_ND_98ad5c3a-3540-40f9-802c-ef09bf054734" w:val=" "/>
    <w:docVar w:name="vault_nd_99c54035-bf37-410b-a391-cd1dc0d14094" w:val=" "/>
    <w:docVar w:name="vault_nd_a6ea420d-cf50-4f4f-ad43-1fd04d2b3c1b" w:val=" "/>
    <w:docVar w:name="vault_nd_ac551170-2840-460c-9e5d-e56cffc781d5" w:val=" "/>
    <w:docVar w:name="vault_nd_ad126125-cfbc-4061-80e7-829389b66d46" w:val=" "/>
    <w:docVar w:name="vault_nd_add96210-93f6-46b0-8db2-45eae0c06aa6" w:val=" "/>
    <w:docVar w:name="vault_nd_b0a27b16-0080-4aaa-bb0b-6621a59c36f1" w:val=" "/>
    <w:docVar w:name="vault_nd_b41b2b20-02fc-498c-8f71-3dcc14d06ece" w:val=" "/>
    <w:docVar w:name="vault_nd_b5eb7b4a-f50d-4cbd-be36-e2c87e32b44f" w:val=" "/>
    <w:docVar w:name="vault_nd_b6d5f292-f5be-4611-a0fe-dc42e3f3d11b" w:val=" "/>
    <w:docVar w:name="vault_nd_b839ccba-584e-4e16-932e-70931186de01" w:val=" "/>
    <w:docVar w:name="vault_nd_bc311f41-e270-40fd-ad13-58bd25fd443b" w:val=" "/>
    <w:docVar w:name="vault_nd_bcdeebae-fe6e-47eb-aa4f-7334e640e235" w:val=" "/>
    <w:docVar w:name="vault_nd_c1e2ac9f-7c1d-4d49-b963-aa1748bdd167" w:val=" "/>
    <w:docVar w:name="vault_nd_c5592876-ae82-42f9-9c12-a54c5c7ca503" w:val=" "/>
    <w:docVar w:name="vault_nd_c898c466-42f8-4231-a4f9-d3924af643bf" w:val=" "/>
    <w:docVar w:name="VAULT_ND_cc9a5443-b430-4760-8fd9-02f3eb97f622" w:val=" "/>
    <w:docVar w:name="vault_nd_d3b45213-79e3-41e0-ae73-fddf6388992d" w:val=" "/>
    <w:docVar w:name="VAULT_ND_d60e4653-a55d-4b2b-8de6-936f1aa4568d" w:val=" "/>
    <w:docVar w:name="vault_nd_d6cbd976-449c-45fe-a807-ab5b7f069b35" w:val=" "/>
    <w:docVar w:name="vault_nd_da181f16-0e1b-4ad6-8bde-f9bc30f31588" w:val=" "/>
    <w:docVar w:name="vault_nd_dd5446d4-eb7b-4e0a-acb1-2c986100df29" w:val=" "/>
    <w:docVar w:name="vault_nd_ddb11b43-01eb-4dad-acdb-0575f6682e31" w:val=" "/>
    <w:docVar w:name="vault_nd_df3e3765-d7c7-46fb-bb3d-7812547eddd7" w:val=" "/>
    <w:docVar w:name="vault_nd_e0347c3e-ce86-458e-9558-222ace62d22e" w:val=" "/>
    <w:docVar w:name="VAULT_ND_e0e3ca13-6c64-43a4-bdba-d31fbeeeda3e" w:val=" "/>
    <w:docVar w:name="VAULT_ND_e2762da1-4388-46b2-878b-cb0823066347" w:val=" "/>
    <w:docVar w:name="vault_nd_e4d09ede-d261-48ab-83b5-699f15f6a2ba" w:val=" "/>
    <w:docVar w:name="vault_nd_e69998da-defd-4ff9-9e95-535614aa2932" w:val=" "/>
    <w:docVar w:name="vault_nd_e9fcbe63-1359-4cc8-bc45-c02d25e604f6" w:val=" "/>
    <w:docVar w:name="vault_nd_ea581085-72f7-4376-a9c6-086625d19624" w:val=" "/>
    <w:docVar w:name="vault_nd_ecad4175-d6a1-4f9f-b640-a3405f36e222" w:val=" "/>
    <w:docVar w:name="VAULT_ND_f405ded0-f715-4c3e-acd6-98b52f658864" w:val=" "/>
  </w:docVars>
  <w:rsids>
    <w:rsidRoot w:val="00D0041E"/>
    <w:rsid w:val="000058DD"/>
    <w:rsid w:val="00013966"/>
    <w:rsid w:val="0004672D"/>
    <w:rsid w:val="00061311"/>
    <w:rsid w:val="00072EB9"/>
    <w:rsid w:val="0007703B"/>
    <w:rsid w:val="00086116"/>
    <w:rsid w:val="000B0E98"/>
    <w:rsid w:val="000B27CD"/>
    <w:rsid w:val="000B3544"/>
    <w:rsid w:val="000C7CA0"/>
    <w:rsid w:val="000D4A6F"/>
    <w:rsid w:val="000D7251"/>
    <w:rsid w:val="00120575"/>
    <w:rsid w:val="001345A4"/>
    <w:rsid w:val="00142E6D"/>
    <w:rsid w:val="00172E14"/>
    <w:rsid w:val="001805C9"/>
    <w:rsid w:val="00190484"/>
    <w:rsid w:val="0019154D"/>
    <w:rsid w:val="001A1435"/>
    <w:rsid w:val="001A3992"/>
    <w:rsid w:val="001B1FBE"/>
    <w:rsid w:val="001B614C"/>
    <w:rsid w:val="001B71DA"/>
    <w:rsid w:val="001C33EE"/>
    <w:rsid w:val="001E43E5"/>
    <w:rsid w:val="001E6CD9"/>
    <w:rsid w:val="001F660A"/>
    <w:rsid w:val="00212678"/>
    <w:rsid w:val="002134AB"/>
    <w:rsid w:val="00223505"/>
    <w:rsid w:val="0022570B"/>
    <w:rsid w:val="002300AC"/>
    <w:rsid w:val="00252372"/>
    <w:rsid w:val="00254A0B"/>
    <w:rsid w:val="00260F56"/>
    <w:rsid w:val="00262D83"/>
    <w:rsid w:val="002639E3"/>
    <w:rsid w:val="002705AF"/>
    <w:rsid w:val="002870D6"/>
    <w:rsid w:val="002879A0"/>
    <w:rsid w:val="00287DC2"/>
    <w:rsid w:val="00293EFC"/>
    <w:rsid w:val="002941A3"/>
    <w:rsid w:val="002A04AA"/>
    <w:rsid w:val="002B164C"/>
    <w:rsid w:val="002B7D10"/>
    <w:rsid w:val="002D31B0"/>
    <w:rsid w:val="002E277D"/>
    <w:rsid w:val="002E7AD0"/>
    <w:rsid w:val="00317C78"/>
    <w:rsid w:val="00322835"/>
    <w:rsid w:val="003526B0"/>
    <w:rsid w:val="00364F22"/>
    <w:rsid w:val="00376B82"/>
    <w:rsid w:val="0038355F"/>
    <w:rsid w:val="003959C2"/>
    <w:rsid w:val="00396537"/>
    <w:rsid w:val="003B1FA3"/>
    <w:rsid w:val="003B7CF0"/>
    <w:rsid w:val="003B7F02"/>
    <w:rsid w:val="003C5E1F"/>
    <w:rsid w:val="003C7D65"/>
    <w:rsid w:val="003E2DB7"/>
    <w:rsid w:val="003E36CD"/>
    <w:rsid w:val="003E551B"/>
    <w:rsid w:val="003E78B5"/>
    <w:rsid w:val="003F4B06"/>
    <w:rsid w:val="003F7946"/>
    <w:rsid w:val="004032BD"/>
    <w:rsid w:val="0040686B"/>
    <w:rsid w:val="00407B36"/>
    <w:rsid w:val="004163E8"/>
    <w:rsid w:val="00431ACD"/>
    <w:rsid w:val="00471655"/>
    <w:rsid w:val="00476DA7"/>
    <w:rsid w:val="004970B3"/>
    <w:rsid w:val="004A73AD"/>
    <w:rsid w:val="004B27BE"/>
    <w:rsid w:val="004C4937"/>
    <w:rsid w:val="00503FE9"/>
    <w:rsid w:val="00512877"/>
    <w:rsid w:val="00512BA0"/>
    <w:rsid w:val="005202F7"/>
    <w:rsid w:val="00525FB5"/>
    <w:rsid w:val="00556659"/>
    <w:rsid w:val="0056469F"/>
    <w:rsid w:val="00564CF2"/>
    <w:rsid w:val="00597668"/>
    <w:rsid w:val="005B1588"/>
    <w:rsid w:val="005C7438"/>
    <w:rsid w:val="005E6E51"/>
    <w:rsid w:val="005F1357"/>
    <w:rsid w:val="00667294"/>
    <w:rsid w:val="006715FC"/>
    <w:rsid w:val="00676D8C"/>
    <w:rsid w:val="0067793A"/>
    <w:rsid w:val="006B27A6"/>
    <w:rsid w:val="006B4EDC"/>
    <w:rsid w:val="006D2831"/>
    <w:rsid w:val="006D51B9"/>
    <w:rsid w:val="006F0435"/>
    <w:rsid w:val="006F1913"/>
    <w:rsid w:val="00704BB4"/>
    <w:rsid w:val="007106C2"/>
    <w:rsid w:val="00722697"/>
    <w:rsid w:val="00745D4C"/>
    <w:rsid w:val="00746676"/>
    <w:rsid w:val="00761CFD"/>
    <w:rsid w:val="00783E8E"/>
    <w:rsid w:val="007A1C00"/>
    <w:rsid w:val="007B72A5"/>
    <w:rsid w:val="007C79DA"/>
    <w:rsid w:val="007F3E10"/>
    <w:rsid w:val="00805D90"/>
    <w:rsid w:val="008106C2"/>
    <w:rsid w:val="008202B9"/>
    <w:rsid w:val="008501E4"/>
    <w:rsid w:val="00881B3E"/>
    <w:rsid w:val="00893388"/>
    <w:rsid w:val="008D26F7"/>
    <w:rsid w:val="008F39C6"/>
    <w:rsid w:val="00910AE9"/>
    <w:rsid w:val="00921974"/>
    <w:rsid w:val="00923875"/>
    <w:rsid w:val="0092547B"/>
    <w:rsid w:val="00945862"/>
    <w:rsid w:val="009514FF"/>
    <w:rsid w:val="00960CD5"/>
    <w:rsid w:val="00963639"/>
    <w:rsid w:val="00984C41"/>
    <w:rsid w:val="00985325"/>
    <w:rsid w:val="00992DE3"/>
    <w:rsid w:val="009E72A3"/>
    <w:rsid w:val="009F38B8"/>
    <w:rsid w:val="00A05C81"/>
    <w:rsid w:val="00A17825"/>
    <w:rsid w:val="00A20C1C"/>
    <w:rsid w:val="00A21986"/>
    <w:rsid w:val="00A3599C"/>
    <w:rsid w:val="00A40D8D"/>
    <w:rsid w:val="00A43876"/>
    <w:rsid w:val="00A44D9B"/>
    <w:rsid w:val="00A5255E"/>
    <w:rsid w:val="00A53AFC"/>
    <w:rsid w:val="00A9085D"/>
    <w:rsid w:val="00A91E38"/>
    <w:rsid w:val="00AB3B14"/>
    <w:rsid w:val="00AC057A"/>
    <w:rsid w:val="00AC1C7C"/>
    <w:rsid w:val="00B1269F"/>
    <w:rsid w:val="00B21BE6"/>
    <w:rsid w:val="00B4024C"/>
    <w:rsid w:val="00B52486"/>
    <w:rsid w:val="00B903B7"/>
    <w:rsid w:val="00B91ED1"/>
    <w:rsid w:val="00B92803"/>
    <w:rsid w:val="00BA048C"/>
    <w:rsid w:val="00BB6D3C"/>
    <w:rsid w:val="00BF23C5"/>
    <w:rsid w:val="00C01697"/>
    <w:rsid w:val="00C14F9A"/>
    <w:rsid w:val="00C24B4E"/>
    <w:rsid w:val="00C34820"/>
    <w:rsid w:val="00C37E2B"/>
    <w:rsid w:val="00C46767"/>
    <w:rsid w:val="00C62D3A"/>
    <w:rsid w:val="00C637AC"/>
    <w:rsid w:val="00C662C8"/>
    <w:rsid w:val="00C96DBB"/>
    <w:rsid w:val="00CA1E2D"/>
    <w:rsid w:val="00CA32AB"/>
    <w:rsid w:val="00CA598E"/>
    <w:rsid w:val="00CA62A8"/>
    <w:rsid w:val="00CA6CCF"/>
    <w:rsid w:val="00CD122C"/>
    <w:rsid w:val="00CD1DD0"/>
    <w:rsid w:val="00CE1D6E"/>
    <w:rsid w:val="00CF1010"/>
    <w:rsid w:val="00D0041E"/>
    <w:rsid w:val="00D05A6E"/>
    <w:rsid w:val="00D108D2"/>
    <w:rsid w:val="00D11F27"/>
    <w:rsid w:val="00D1427B"/>
    <w:rsid w:val="00D2195A"/>
    <w:rsid w:val="00D25692"/>
    <w:rsid w:val="00D27E82"/>
    <w:rsid w:val="00D45F6D"/>
    <w:rsid w:val="00D60B69"/>
    <w:rsid w:val="00D772AB"/>
    <w:rsid w:val="00D9044D"/>
    <w:rsid w:val="00DB14F8"/>
    <w:rsid w:val="00DB2345"/>
    <w:rsid w:val="00DB6B05"/>
    <w:rsid w:val="00DC2B7D"/>
    <w:rsid w:val="00DC2EE7"/>
    <w:rsid w:val="00DD7017"/>
    <w:rsid w:val="00DE23FC"/>
    <w:rsid w:val="00DF2070"/>
    <w:rsid w:val="00DF2FC4"/>
    <w:rsid w:val="00DF46C9"/>
    <w:rsid w:val="00DF7B72"/>
    <w:rsid w:val="00E11234"/>
    <w:rsid w:val="00E15C35"/>
    <w:rsid w:val="00E16D21"/>
    <w:rsid w:val="00E2327E"/>
    <w:rsid w:val="00E25A88"/>
    <w:rsid w:val="00E37824"/>
    <w:rsid w:val="00E44E04"/>
    <w:rsid w:val="00E508D6"/>
    <w:rsid w:val="00E65951"/>
    <w:rsid w:val="00E74A56"/>
    <w:rsid w:val="00E90F5C"/>
    <w:rsid w:val="00EE6A62"/>
    <w:rsid w:val="00EF5A04"/>
    <w:rsid w:val="00F04976"/>
    <w:rsid w:val="00F1254A"/>
    <w:rsid w:val="00F20CAB"/>
    <w:rsid w:val="00F23DC2"/>
    <w:rsid w:val="00F319C7"/>
    <w:rsid w:val="00F37878"/>
    <w:rsid w:val="00F47D7C"/>
    <w:rsid w:val="00F52EE4"/>
    <w:rsid w:val="00F927AC"/>
    <w:rsid w:val="00F96718"/>
    <w:rsid w:val="00FB2B68"/>
    <w:rsid w:val="00FB4B64"/>
    <w:rsid w:val="00FB57E2"/>
    <w:rsid w:val="00FC175A"/>
    <w:rsid w:val="00FC6C74"/>
    <w:rsid w:val="00FD1259"/>
    <w:rsid w:val="00FD125E"/>
    <w:rsid w:val="00FD546A"/>
    <w:rsid w:val="00FD6904"/>
    <w:rsid w:val="00FE290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0776D2C"/>
  <w15:docId w15:val="{115BB7AB-843F-4F1E-AB3D-20BDC796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Table Text,Comment Text Char1 Char,Comment Text Char Char Char,Comment Text Char1,Annotationtext,Char1,Char2, Char1"/>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Table Text Char,Comment Text Char1 Char Char,Comment Text Char Char Char Char,Comment Text Char1 Char1,Annotationtext Char,Char1 Char,Char2 Char, Char1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qFormat/>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customStyle="1" w:styleId="CSIchar">
    <w:name w:val="CSIchar"/>
    <w:rsid w:val="007A1C00"/>
    <w:rPr>
      <w:bdr w:val="none" w:sz="0" w:space="0" w:color="auto"/>
      <w:shd w:val="clear" w:color="auto" w:fill="CCCCCC"/>
    </w:rPr>
  </w:style>
  <w:style w:type="paragraph" w:customStyle="1" w:styleId="NoNumHead2">
    <w:name w:val="NoNum:Head2"/>
    <w:basedOn w:val="Normal"/>
    <w:next w:val="Normal"/>
    <w:link w:val="NoNumHead2Char"/>
    <w:rsid w:val="00D45F6D"/>
    <w:pPr>
      <w:keepNext/>
      <w:spacing w:before="120" w:after="240" w:line="240" w:lineRule="auto"/>
      <w:outlineLvl w:val="0"/>
    </w:pPr>
    <w:rPr>
      <w:rFonts w:ascii="Arial" w:eastAsia="Times New Roman" w:hAnsi="Arial" w:cs="Times New Roman"/>
      <w:b/>
      <w:bCs/>
      <w:sz w:val="26"/>
      <w:szCs w:val="26"/>
      <w:lang w:val="x-none" w:eastAsia="x-none"/>
    </w:rPr>
  </w:style>
  <w:style w:type="paragraph" w:customStyle="1" w:styleId="NoNumHead3">
    <w:name w:val="NoNum:Head3"/>
    <w:basedOn w:val="NoNumHead2"/>
    <w:next w:val="Normal"/>
    <w:rsid w:val="00D45F6D"/>
    <w:rPr>
      <w:sz w:val="24"/>
      <w:szCs w:val="24"/>
    </w:rPr>
  </w:style>
  <w:style w:type="character" w:customStyle="1" w:styleId="NoNumHead2Char">
    <w:name w:val="NoNum:Head2 Char"/>
    <w:link w:val="NoNumHead2"/>
    <w:rsid w:val="00D45F6D"/>
    <w:rPr>
      <w:rFonts w:ascii="Arial" w:eastAsia="Times New Roman" w:hAnsi="Arial" w:cs="Times New Roman"/>
      <w:b/>
      <w:bCs/>
      <w:sz w:val="26"/>
      <w:szCs w:val="26"/>
      <w:lang w:val="x-none" w:eastAsia="x-none"/>
    </w:rPr>
  </w:style>
  <w:style w:type="paragraph" w:customStyle="1" w:styleId="BullHead">
    <w:name w:val="Bull Head"/>
    <w:basedOn w:val="Normal"/>
    <w:autoRedefine/>
    <w:rsid w:val="00D45F6D"/>
    <w:pPr>
      <w:keepNext/>
      <w:shd w:val="clear" w:color="000000" w:fill="FFFFFF"/>
      <w:tabs>
        <w:tab w:val="left" w:pos="562"/>
        <w:tab w:val="center" w:pos="4323"/>
        <w:tab w:val="left" w:pos="6470"/>
      </w:tabs>
      <w:spacing w:after="240" w:line="240" w:lineRule="auto"/>
    </w:pPr>
    <w:rPr>
      <w:rFonts w:ascii="Arial" w:eastAsia="Times New Roman" w:hAnsi="Arial" w:cs="Arial"/>
      <w:b/>
      <w:bCs/>
      <w:sz w:val="24"/>
      <w:szCs w:val="24"/>
      <w:lang w:val="en-GB" w:eastAsia="en-GB"/>
    </w:rPr>
  </w:style>
  <w:style w:type="paragraph" w:customStyle="1" w:styleId="NoNumHead4">
    <w:name w:val="NoNum:Head4"/>
    <w:basedOn w:val="NoNumHead3"/>
    <w:next w:val="Normal"/>
    <w:rsid w:val="00013966"/>
    <w:rPr>
      <w:sz w:val="22"/>
      <w:szCs w:val="22"/>
    </w:rPr>
  </w:style>
  <w:style w:type="paragraph" w:styleId="CommentSubject">
    <w:name w:val="annotation subject"/>
    <w:basedOn w:val="CommentText"/>
    <w:next w:val="CommentText"/>
    <w:link w:val="CommentSubjectChar"/>
    <w:uiPriority w:val="99"/>
    <w:semiHidden/>
    <w:unhideWhenUsed/>
    <w:rsid w:val="00992DE3"/>
    <w:rPr>
      <w:rFonts w:asciiTheme="minorHAnsi" w:hAnsiTheme="minorHAnsi"/>
      <w:b/>
      <w:bCs/>
    </w:rPr>
  </w:style>
  <w:style w:type="character" w:customStyle="1" w:styleId="CommentSubjectChar">
    <w:name w:val="Comment Subject Char"/>
    <w:basedOn w:val="CommentTextChar"/>
    <w:link w:val="CommentSubject"/>
    <w:uiPriority w:val="99"/>
    <w:semiHidden/>
    <w:rsid w:val="00992DE3"/>
    <w:rPr>
      <w:rFonts w:ascii="Cambria" w:hAnsi="Cambria"/>
      <w:b/>
      <w:bCs/>
      <w:sz w:val="20"/>
      <w:szCs w:val="20"/>
    </w:rPr>
  </w:style>
  <w:style w:type="character" w:customStyle="1" w:styleId="LBLTableFootnotesChar">
    <w:name w:val="LBL Table Footnotes Char"/>
    <w:link w:val="LBLTableFootnotes"/>
    <w:rsid w:val="001C33EE"/>
    <w:rPr>
      <w:sz w:val="24"/>
    </w:rPr>
  </w:style>
  <w:style w:type="paragraph" w:customStyle="1" w:styleId="LBLTableFootnotes">
    <w:name w:val="LBL Table Footnotes"/>
    <w:basedOn w:val="Normal"/>
    <w:link w:val="LBLTableFootnotesChar"/>
    <w:rsid w:val="001C33EE"/>
    <w:pPr>
      <w:widowControl w:val="0"/>
      <w:tabs>
        <w:tab w:val="left" w:pos="720"/>
        <w:tab w:val="left" w:pos="994"/>
      </w:tabs>
      <w:spacing w:after="0" w:line="320" w:lineRule="atLeast"/>
      <w:ind w:left="274" w:hanging="274"/>
    </w:pPr>
    <w:rPr>
      <w:sz w:val="24"/>
    </w:rPr>
  </w:style>
  <w:style w:type="character" w:customStyle="1" w:styleId="LBLLevel4">
    <w:name w:val="LBLLevel 4"/>
    <w:rsid w:val="00FD1259"/>
    <w:rPr>
      <w:rFonts w:ascii="Arial" w:hAnsi="Arial" w:cs="Arial"/>
      <w:i/>
    </w:rPr>
  </w:style>
  <w:style w:type="character" w:styleId="HTMLTypewriter">
    <w:name w:val="HTML Typewriter"/>
    <w:basedOn w:val="DefaultParagraphFont"/>
    <w:uiPriority w:val="99"/>
    <w:semiHidden/>
    <w:unhideWhenUsed/>
    <w:rsid w:val="00921974"/>
    <w:rPr>
      <w:rFonts w:ascii="Courier New" w:eastAsia="Calibri" w:hAnsi="Courier New" w:cs="Courier New" w:hint="default"/>
      <w:sz w:val="20"/>
      <w:szCs w:val="20"/>
    </w:rPr>
  </w:style>
  <w:style w:type="paragraph" w:customStyle="1" w:styleId="centheadGDS">
    <w:name w:val="cent head GDS"/>
    <w:basedOn w:val="Normal"/>
    <w:autoRedefine/>
    <w:rsid w:val="00C01697"/>
    <w:pPr>
      <w:spacing w:before="120" w:after="120" w:line="240" w:lineRule="auto"/>
      <w:jc w:val="center"/>
    </w:pPr>
    <w:rPr>
      <w:rFonts w:ascii="Arial Narrow" w:eastAsia="Times New Roman" w:hAnsi="Arial Narrow" w:cs="Times New Roman"/>
      <w:color w:val="FF0000"/>
      <w:sz w:val="24"/>
      <w:szCs w:val="24"/>
      <w:lang w:val="en-GB"/>
    </w:rPr>
  </w:style>
  <w:style w:type="paragraph" w:styleId="Revision">
    <w:name w:val="Revision"/>
    <w:hidden/>
    <w:uiPriority w:val="99"/>
    <w:semiHidden/>
    <w:rsid w:val="00D05A6E"/>
    <w:pPr>
      <w:spacing w:after="0" w:line="240" w:lineRule="auto"/>
    </w:pPr>
  </w:style>
  <w:style w:type="character" w:customStyle="1" w:styleId="UnresolvedMention1">
    <w:name w:val="Unresolved Mention1"/>
    <w:basedOn w:val="DefaultParagraphFont"/>
    <w:uiPriority w:val="99"/>
    <w:semiHidden/>
    <w:unhideWhenUsed/>
    <w:rsid w:val="00CD1DD0"/>
    <w:rPr>
      <w:color w:val="808080"/>
      <w:shd w:val="clear" w:color="auto" w:fill="E6E6E6"/>
    </w:rPr>
  </w:style>
  <w:style w:type="paragraph" w:styleId="PlainText">
    <w:name w:val="Plain Text"/>
    <w:basedOn w:val="Normal"/>
    <w:link w:val="PlainTextChar"/>
    <w:uiPriority w:val="99"/>
    <w:unhideWhenUsed/>
    <w:rsid w:val="00142E6D"/>
    <w:pPr>
      <w:spacing w:after="0" w:line="240" w:lineRule="auto"/>
    </w:pPr>
    <w:rPr>
      <w:rFonts w:ascii="Calibri" w:eastAsia="Calibri" w:hAnsi="Calibri" w:cs="Calibri"/>
      <w:lang w:val="en-GB" w:eastAsia="en-GB"/>
    </w:rPr>
  </w:style>
  <w:style w:type="character" w:customStyle="1" w:styleId="PlainTextChar">
    <w:name w:val="Plain Text Char"/>
    <w:basedOn w:val="DefaultParagraphFont"/>
    <w:link w:val="PlainText"/>
    <w:uiPriority w:val="99"/>
    <w:rsid w:val="00142E6D"/>
    <w:rPr>
      <w:rFonts w:ascii="Calibri" w:eastAsia="Calibri" w:hAnsi="Calibri" w:cs="Calibri"/>
      <w:lang w:val="en-GB" w:eastAsia="en-GB"/>
    </w:rPr>
  </w:style>
  <w:style w:type="paragraph" w:customStyle="1" w:styleId="Default">
    <w:name w:val="Default"/>
    <w:rsid w:val="00D27E82"/>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120575"/>
  </w:style>
  <w:style w:type="paragraph" w:styleId="Title">
    <w:name w:val="Title"/>
    <w:basedOn w:val="Normal"/>
    <w:next w:val="Normal"/>
    <w:link w:val="TitleChar"/>
    <w:uiPriority w:val="10"/>
    <w:qFormat/>
    <w:rsid w:val="00D77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2A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2639E3"/>
    <w:rPr>
      <w:color w:val="605E5C"/>
      <w:shd w:val="clear" w:color="auto" w:fill="E1DFDD"/>
    </w:rPr>
  </w:style>
  <w:style w:type="paragraph" w:customStyle="1" w:styleId="HiddenText">
    <w:name w:val="Hidden Text"/>
    <w:basedOn w:val="Normal"/>
    <w:next w:val="Normal"/>
    <w:rsid w:val="002639E3"/>
    <w:pPr>
      <w:spacing w:after="240" w:line="240" w:lineRule="auto"/>
    </w:pPr>
    <w:rPr>
      <w:rFonts w:ascii="Arial" w:eastAsia="Times New Roman" w:hAnsi="Arial" w:cs="Arial"/>
      <w:vanish/>
      <w:color w:val="FF0000"/>
      <w:sz w:val="20"/>
      <w:szCs w:val="20"/>
      <w:lang w:val="en-GB" w:eastAsia="en-GB"/>
    </w:rPr>
  </w:style>
  <w:style w:type="table" w:styleId="TableGrid">
    <w:name w:val="Table Grid"/>
    <w:basedOn w:val="TableNormal"/>
    <w:uiPriority w:val="59"/>
    <w:rsid w:val="0026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qFormat/>
    <w:rsid w:val="00CD122C"/>
    <w:pPr>
      <w:spacing w:before="120" w:after="180" w:line="240" w:lineRule="atLeast"/>
      <w:ind w:left="720" w:hanging="360"/>
    </w:pPr>
    <w:rPr>
      <w:rFonts w:ascii="Cambria" w:eastAsia="Cambria" w:hAnsi="Cambria" w:cs="Times New Roman"/>
    </w:rPr>
  </w:style>
  <w:style w:type="paragraph" w:styleId="ListBullet3">
    <w:name w:val="List Bullet 3"/>
    <w:basedOn w:val="Normal"/>
    <w:uiPriority w:val="99"/>
    <w:semiHidden/>
    <w:unhideWhenUsed/>
    <w:qFormat/>
    <w:rsid w:val="00CD122C"/>
    <w:pPr>
      <w:spacing w:before="120" w:after="180" w:line="240" w:lineRule="atLeast"/>
      <w:ind w:left="1080" w:hanging="360"/>
    </w:pPr>
    <w:rPr>
      <w:rFonts w:ascii="Cambria" w:eastAsia="Cambria" w:hAnsi="Cambria" w:cs="Times New Roman"/>
    </w:rPr>
  </w:style>
  <w:style w:type="table" w:customStyle="1" w:styleId="TableGrid1">
    <w:name w:val="Table Grid1"/>
    <w:basedOn w:val="TableNormal"/>
    <w:next w:val="TableGrid"/>
    <w:uiPriority w:val="59"/>
    <w:rsid w:val="00CD122C"/>
    <w:pPr>
      <w:spacing w:after="0" w:line="240" w:lineRule="auto"/>
    </w:pPr>
    <w:rPr>
      <w:rFonts w:ascii="Cambria" w:eastAsia="Cambria" w:hAnsi="Cambria" w:cs="Times New Roman"/>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numbering" w:customStyle="1" w:styleId="ListBullets">
    <w:name w:val="ListBullets"/>
    <w:uiPriority w:val="99"/>
    <w:rsid w:val="00CD122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12707">
      <w:bodyDiv w:val="1"/>
      <w:marLeft w:val="0"/>
      <w:marRight w:val="0"/>
      <w:marTop w:val="0"/>
      <w:marBottom w:val="0"/>
      <w:divBdr>
        <w:top w:val="none" w:sz="0" w:space="0" w:color="auto"/>
        <w:left w:val="none" w:sz="0" w:space="0" w:color="auto"/>
        <w:bottom w:val="none" w:sz="0" w:space="0" w:color="auto"/>
        <w:right w:val="none" w:sz="0" w:space="0" w:color="auto"/>
      </w:divBdr>
    </w:div>
    <w:div w:id="426459868">
      <w:bodyDiv w:val="1"/>
      <w:marLeft w:val="0"/>
      <w:marRight w:val="0"/>
      <w:marTop w:val="0"/>
      <w:marBottom w:val="0"/>
      <w:divBdr>
        <w:top w:val="none" w:sz="0" w:space="0" w:color="auto"/>
        <w:left w:val="none" w:sz="0" w:space="0" w:color="auto"/>
        <w:bottom w:val="none" w:sz="0" w:space="0" w:color="auto"/>
        <w:right w:val="none" w:sz="0" w:space="0" w:color="auto"/>
      </w:divBdr>
    </w:div>
    <w:div w:id="629215539">
      <w:bodyDiv w:val="1"/>
      <w:marLeft w:val="0"/>
      <w:marRight w:val="0"/>
      <w:marTop w:val="0"/>
      <w:marBottom w:val="0"/>
      <w:divBdr>
        <w:top w:val="none" w:sz="0" w:space="0" w:color="auto"/>
        <w:left w:val="none" w:sz="0" w:space="0" w:color="auto"/>
        <w:bottom w:val="none" w:sz="0" w:space="0" w:color="auto"/>
        <w:right w:val="none" w:sz="0" w:space="0" w:color="auto"/>
      </w:divBdr>
    </w:div>
    <w:div w:id="782774778">
      <w:bodyDiv w:val="1"/>
      <w:marLeft w:val="0"/>
      <w:marRight w:val="0"/>
      <w:marTop w:val="0"/>
      <w:marBottom w:val="0"/>
      <w:divBdr>
        <w:top w:val="none" w:sz="0" w:space="0" w:color="auto"/>
        <w:left w:val="none" w:sz="0" w:space="0" w:color="auto"/>
        <w:bottom w:val="none" w:sz="0" w:space="0" w:color="auto"/>
        <w:right w:val="none" w:sz="0" w:space="0" w:color="auto"/>
      </w:divBdr>
    </w:div>
    <w:div w:id="1055155873">
      <w:bodyDiv w:val="1"/>
      <w:marLeft w:val="0"/>
      <w:marRight w:val="0"/>
      <w:marTop w:val="0"/>
      <w:marBottom w:val="0"/>
      <w:divBdr>
        <w:top w:val="none" w:sz="0" w:space="0" w:color="auto"/>
        <w:left w:val="none" w:sz="0" w:space="0" w:color="auto"/>
        <w:bottom w:val="none" w:sz="0" w:space="0" w:color="auto"/>
        <w:right w:val="none" w:sz="0" w:space="0" w:color="auto"/>
      </w:divBdr>
    </w:div>
    <w:div w:id="1207763928">
      <w:bodyDiv w:val="1"/>
      <w:marLeft w:val="0"/>
      <w:marRight w:val="0"/>
      <w:marTop w:val="0"/>
      <w:marBottom w:val="0"/>
      <w:divBdr>
        <w:top w:val="none" w:sz="0" w:space="0" w:color="auto"/>
        <w:left w:val="none" w:sz="0" w:space="0" w:color="auto"/>
        <w:bottom w:val="none" w:sz="0" w:space="0" w:color="auto"/>
        <w:right w:val="none" w:sz="0" w:space="0" w:color="auto"/>
      </w:divBdr>
    </w:div>
    <w:div w:id="16264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b13f10-ea91-4ae4-b716-2fc6226f5bb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F9BCA22A44543A836D48EB5D07BAB" ma:contentTypeVersion="6" ma:contentTypeDescription="Create a new document." ma:contentTypeScope="" ma:versionID="56978c654d62564549e0822c8d661991">
  <xsd:schema xmlns:xsd="http://www.w3.org/2001/XMLSchema" xmlns:xs="http://www.w3.org/2001/XMLSchema" xmlns:p="http://schemas.microsoft.com/office/2006/metadata/properties" xmlns:ns2="9ab13f10-ea91-4ae4-b716-2fc6226f5bbf" xmlns:ns3="53bfddcd-ed87-4e2f-848a-2186ccceec32" targetNamespace="http://schemas.microsoft.com/office/2006/metadata/properties" ma:root="true" ma:fieldsID="81795db273f20e320021e9782f386117" ns2:_="" ns3:_="">
    <xsd:import namespace="9ab13f10-ea91-4ae4-b716-2fc6226f5bbf"/>
    <xsd:import namespace="53bfddcd-ed87-4e2f-848a-2186cccee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13f10-ea91-4ae4-b716-2fc6226f5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fddcd-ed87-4e2f-848a-2186cccee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2266-79A2-444A-BB74-78CE29F1D236}">
  <ds:schemaRefs>
    <ds:schemaRef ds:uri="53bfddcd-ed87-4e2f-848a-2186ccceec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b13f10-ea91-4ae4-b716-2fc6226f5bbf"/>
    <ds:schemaRef ds:uri="http://www.w3.org/XML/1998/namespace"/>
    <ds:schemaRef ds:uri="http://purl.org/dc/dcmitype/"/>
  </ds:schemaRefs>
</ds:datastoreItem>
</file>

<file path=customXml/itemProps2.xml><?xml version="1.0" encoding="utf-8"?>
<ds:datastoreItem xmlns:ds="http://schemas.openxmlformats.org/officeDocument/2006/customXml" ds:itemID="{201EDA2F-56CF-4554-9944-6EC2A05F765C}">
  <ds:schemaRefs>
    <ds:schemaRef ds:uri="http://schemas.microsoft.com/sharepoint/v3/contenttype/forms"/>
  </ds:schemaRefs>
</ds:datastoreItem>
</file>

<file path=customXml/itemProps3.xml><?xml version="1.0" encoding="utf-8"?>
<ds:datastoreItem xmlns:ds="http://schemas.openxmlformats.org/officeDocument/2006/customXml" ds:itemID="{15B106DE-A43B-4BD0-8E65-6EF85CB6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13f10-ea91-4ae4-b716-2fc6226f5bbf"/>
    <ds:schemaRef ds:uri="53bfddcd-ed87-4e2f-848a-2186ccce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26645-47E4-4DFE-A535-51BB00AD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4867</Words>
  <Characters>33755</Characters>
  <Application>Microsoft Office Word</Application>
  <DocSecurity>0</DocSecurity>
  <Lines>281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Kozenis</dc:title>
  <dc:subject/>
  <dc:creator>Daphne Davis</dc:creator>
  <cp:keywords/>
  <cp:lastModifiedBy>PITKIN, Brendan</cp:lastModifiedBy>
  <cp:revision>4</cp:revision>
  <dcterms:created xsi:type="dcterms:W3CDTF">2022-11-16T03:52:00Z</dcterms:created>
  <dcterms:modified xsi:type="dcterms:W3CDTF">2022-12-20T00:36:00Z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0x010100A80F9BCA22A44543A836D48EB5D07BAB</vt:lpwstr>
  </property>
</Properties>
</file>