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8063" w14:textId="77777777" w:rsidR="00375DF3" w:rsidRPr="00F83C2C" w:rsidRDefault="00375DF3" w:rsidP="006018AE">
      <w:pPr>
        <w:tabs>
          <w:tab w:val="left" w:pos="284"/>
        </w:tabs>
        <w:spacing w:after="480" w:line="240" w:lineRule="auto"/>
        <w:rPr>
          <w:rFonts w:asciiTheme="majorHAnsi" w:hAnsiTheme="majorHAnsi"/>
        </w:rPr>
      </w:pPr>
      <w:r w:rsidRPr="00F83C2C">
        <w:rPr>
          <w:rFonts w:asciiTheme="majorHAnsi" w:hAnsiTheme="majorHAnsi"/>
          <w:noProof/>
          <w:lang w:eastAsia="en-AU"/>
        </w:rPr>
        <mc:AlternateContent>
          <mc:Choice Requires="wps">
            <w:drawing>
              <wp:inline distT="0" distB="0" distL="0" distR="0" wp14:anchorId="4D038C33" wp14:editId="1C266379">
                <wp:extent cx="252095" cy="25209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88D75" w14:textId="77777777" w:rsidR="001D15E5" w:rsidRPr="00BE2A26" w:rsidRDefault="001D15E5" w:rsidP="00375DF3">
                            <w:pPr>
                              <w:spacing w:after="0"/>
                              <w:rPr>
                                <w:rFonts w:ascii="Wingdings 3" w:hAnsi="Wingdings 3"/>
                                <w:sz w:val="24"/>
                              </w:rPr>
                            </w:pPr>
                            <w:r w:rsidRPr="00BE2A26">
                              <w:rPr>
                                <w:rFonts w:ascii="SimSun" w:eastAsia="SimSun" w:hAnsi="SimSun" w:cs="Arial" w:hint="eastAsia"/>
                                <w:sz w:val="40"/>
                              </w:rPr>
                              <w:t>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038C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9.8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" stroked="f">
                <v:textbox inset="0,0,0,0">
                  <w:txbxContent>
                    <w:p w14:paraId="28988D75" w14:textId="77777777" w:rsidR="001D15E5" w:rsidRPr="00BE2A26" w:rsidRDefault="001D15E5" w:rsidP="00375DF3">
                      <w:pPr>
                        <w:spacing w:after="0"/>
                        <w:rPr>
                          <w:rFonts w:ascii="Wingdings 3" w:hAnsi="Wingdings 3"/>
                          <w:sz w:val="24"/>
                        </w:rPr>
                      </w:pPr>
                      <w:r w:rsidRPr="00BE2A26">
                        <w:rPr>
                          <w:rFonts w:ascii="SimSun" w:eastAsia="SimSun" w:hAnsi="SimSun" w:cs="Arial" w:hint="eastAsia"/>
                          <w:sz w:val="40"/>
                        </w:rPr>
                        <w:t>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A3992" w:rsidRPr="00F83C2C">
        <w:rPr>
          <w:rFonts w:asciiTheme="majorHAnsi" w:hAnsiTheme="majorHAnsi"/>
        </w:rPr>
        <w:t xml:space="preserve">This medicinal product is subject to additional monitoring in Australia. This will allow quick identification of new safety information. Healthcare professionals are asked to report any suspected adverse events at </w:t>
      </w:r>
      <w:hyperlink r:id="rId11" w:history="1">
        <w:r w:rsidRPr="00F83C2C">
          <w:rPr>
            <w:rStyle w:val="Hyperlink"/>
            <w:rFonts w:asciiTheme="majorHAnsi" w:hAnsiTheme="majorHAnsi"/>
          </w:rPr>
          <w:t>www.tga.gov.au/reporting-problems</w:t>
        </w:r>
      </w:hyperlink>
      <w:r w:rsidRPr="00F83C2C">
        <w:rPr>
          <w:rFonts w:asciiTheme="majorHAnsi" w:hAnsiTheme="majorHAnsi"/>
        </w:rPr>
        <w:t>.</w:t>
      </w:r>
    </w:p>
    <w:p w14:paraId="20A4811D" w14:textId="1C421E48" w:rsidR="00EF611D" w:rsidRPr="00F83C2C" w:rsidRDefault="006018AE" w:rsidP="0049238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eastAsia="SimSun"/>
        </w:rPr>
      </w:pPr>
      <w:r w:rsidRPr="00F83C2C">
        <w:rPr>
          <w:rFonts w:eastAsia="SimSun"/>
        </w:rPr>
        <w:t>Australian P</w:t>
      </w:r>
      <w:r w:rsidR="0021200F" w:rsidRPr="00F83C2C">
        <w:rPr>
          <w:rFonts w:eastAsia="SimSun"/>
        </w:rPr>
        <w:t xml:space="preserve">roduct </w:t>
      </w:r>
      <w:r w:rsidRPr="00F83C2C">
        <w:rPr>
          <w:rFonts w:eastAsia="SimSun"/>
        </w:rPr>
        <w:t>I</w:t>
      </w:r>
      <w:r w:rsidR="0021200F" w:rsidRPr="00F83C2C">
        <w:rPr>
          <w:rFonts w:eastAsia="SimSun"/>
        </w:rPr>
        <w:t>nformation</w:t>
      </w:r>
      <w:r w:rsidRPr="00F83C2C">
        <w:rPr>
          <w:rFonts w:eastAsia="SimSun"/>
        </w:rPr>
        <w:t xml:space="preserve"> </w:t>
      </w:r>
    </w:p>
    <w:p w14:paraId="37232802" w14:textId="7DD1CC98" w:rsidR="00EF611D" w:rsidRPr="005A365A" w:rsidRDefault="00731C56" w:rsidP="00EF611D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eastAsia="SimSun"/>
        </w:rPr>
      </w:pPr>
      <w:r w:rsidRPr="00F83C2C">
        <w:rPr>
          <w:rFonts w:eastAsia="SimSun"/>
        </w:rPr>
        <w:t>TRUSELTIQ</w:t>
      </w:r>
      <w:r w:rsidR="00AD1F20" w:rsidRPr="00724621">
        <w:rPr>
          <w:rFonts w:eastAsia="SimSun"/>
          <w:vertAlign w:val="superscript"/>
        </w:rPr>
        <w:t>TM</w:t>
      </w:r>
      <w:r w:rsidR="00AF238D" w:rsidRPr="005A365A">
        <w:rPr>
          <w:rFonts w:eastAsia="SimSun"/>
        </w:rPr>
        <w:t xml:space="preserve"> </w:t>
      </w:r>
      <w:r w:rsidR="00A6138C" w:rsidRPr="005A365A">
        <w:rPr>
          <w:rFonts w:eastAsia="SimSun"/>
        </w:rPr>
        <w:t>(</w:t>
      </w:r>
      <w:proofErr w:type="spellStart"/>
      <w:r w:rsidR="00EF611D" w:rsidRPr="005A365A">
        <w:rPr>
          <w:caps w:val="0"/>
        </w:rPr>
        <w:t>infigratinib</w:t>
      </w:r>
      <w:proofErr w:type="spellEnd"/>
      <w:r w:rsidR="00A6138C" w:rsidRPr="005A365A">
        <w:rPr>
          <w:caps w:val="0"/>
        </w:rPr>
        <w:t>)</w:t>
      </w:r>
      <w:r w:rsidR="00EF611D" w:rsidRPr="005A365A">
        <w:rPr>
          <w:rFonts w:eastAsia="SimSun"/>
          <w:caps w:val="0"/>
        </w:rPr>
        <w:t xml:space="preserve"> hard capsules</w:t>
      </w:r>
    </w:p>
    <w:p w14:paraId="75CBFC62" w14:textId="77777777" w:rsidR="00EF611D" w:rsidRPr="005A365A" w:rsidRDefault="00EF611D" w:rsidP="00492388"/>
    <w:p w14:paraId="0C1B6963" w14:textId="33A0E62F" w:rsidR="001A3992" w:rsidRPr="005A365A" w:rsidRDefault="001A3992" w:rsidP="001A3992">
      <w:pPr>
        <w:pStyle w:val="Heading1"/>
        <w:spacing w:before="0" w:after="120"/>
      </w:pPr>
      <w:r w:rsidRPr="005A365A">
        <w:t>Name of the medicine</w:t>
      </w:r>
    </w:p>
    <w:p w14:paraId="3EAB6953" w14:textId="77984FDE" w:rsidR="000E0380" w:rsidRPr="005A365A" w:rsidRDefault="000E0380" w:rsidP="003A43D4">
      <w:pPr>
        <w:jc w:val="both"/>
        <w:rPr>
          <w:rFonts w:asciiTheme="majorHAnsi" w:hAnsiTheme="majorHAnsi"/>
        </w:rPr>
      </w:pPr>
      <w:proofErr w:type="spellStart"/>
      <w:r w:rsidRPr="005A365A">
        <w:rPr>
          <w:rFonts w:asciiTheme="majorHAnsi" w:hAnsiTheme="majorHAnsi"/>
        </w:rPr>
        <w:t>Infigratinib</w:t>
      </w:r>
      <w:proofErr w:type="spellEnd"/>
    </w:p>
    <w:p w14:paraId="12A6B988" w14:textId="77777777" w:rsidR="001A3992" w:rsidRPr="005A365A" w:rsidRDefault="001A3992" w:rsidP="001A3992">
      <w:pPr>
        <w:pStyle w:val="Heading1"/>
        <w:spacing w:before="0" w:after="120"/>
      </w:pPr>
      <w:r w:rsidRPr="005A365A">
        <w:t>Qualitative and quantitative composition</w:t>
      </w:r>
    </w:p>
    <w:p w14:paraId="7C37368D" w14:textId="37FB5433" w:rsidR="000E0380" w:rsidRPr="005A365A" w:rsidRDefault="000E0380" w:rsidP="003A43D4">
      <w:pPr>
        <w:jc w:val="both"/>
        <w:rPr>
          <w:rFonts w:asciiTheme="majorHAnsi" w:hAnsiTheme="majorHAnsi" w:cstheme="minorHAnsi"/>
          <w:lang w:val="en"/>
        </w:rPr>
      </w:pPr>
      <w:r w:rsidRPr="005A365A">
        <w:rPr>
          <w:rFonts w:asciiTheme="majorHAnsi" w:hAnsiTheme="majorHAnsi" w:cstheme="minorHAnsi"/>
          <w:lang w:val="en"/>
        </w:rPr>
        <w:t xml:space="preserve">Each </w:t>
      </w:r>
      <w:r w:rsidR="00EF611D" w:rsidRPr="005A365A">
        <w:rPr>
          <w:rFonts w:asciiTheme="majorHAnsi" w:hAnsiTheme="majorHAnsi" w:cstheme="minorHAnsi"/>
          <w:lang w:val="en"/>
        </w:rPr>
        <w:t>TRUSELTIQ</w:t>
      </w:r>
      <w:r w:rsidR="005B34DA" w:rsidRPr="008A18BC">
        <w:rPr>
          <w:rFonts w:asciiTheme="majorHAnsi" w:hAnsiTheme="majorHAnsi" w:cstheme="minorHAnsi"/>
          <w:vertAlign w:val="superscript"/>
          <w:lang w:val="en"/>
        </w:rPr>
        <w:t>TM</w:t>
      </w:r>
      <w:r w:rsidRPr="005A365A">
        <w:rPr>
          <w:rFonts w:asciiTheme="majorHAnsi" w:hAnsiTheme="majorHAnsi" w:cstheme="minorHAnsi"/>
          <w:lang w:val="en"/>
        </w:rPr>
        <w:t xml:space="preserve"> </w:t>
      </w:r>
      <w:r w:rsidR="003D0380" w:rsidRPr="005A365A">
        <w:rPr>
          <w:rFonts w:asciiTheme="majorHAnsi" w:hAnsiTheme="majorHAnsi" w:cstheme="minorHAnsi"/>
          <w:lang w:val="en"/>
        </w:rPr>
        <w:t xml:space="preserve">25 mg </w:t>
      </w:r>
      <w:r w:rsidRPr="005A365A">
        <w:rPr>
          <w:rFonts w:asciiTheme="majorHAnsi" w:hAnsiTheme="majorHAnsi" w:cstheme="minorHAnsi"/>
          <w:lang w:val="en"/>
        </w:rPr>
        <w:t xml:space="preserve">hard capsule contains 25 mg of </w:t>
      </w:r>
      <w:proofErr w:type="spellStart"/>
      <w:r w:rsidRPr="005A365A">
        <w:rPr>
          <w:rFonts w:asciiTheme="majorHAnsi" w:hAnsiTheme="majorHAnsi" w:cstheme="minorHAnsi"/>
          <w:lang w:val="en"/>
        </w:rPr>
        <w:t>infigratinib</w:t>
      </w:r>
      <w:proofErr w:type="spellEnd"/>
      <w:r w:rsidR="00EC715D" w:rsidRPr="005A365A">
        <w:rPr>
          <w:rFonts w:asciiTheme="majorHAnsi" w:hAnsiTheme="majorHAnsi" w:cstheme="minorHAnsi"/>
          <w:lang w:val="en"/>
        </w:rPr>
        <w:t xml:space="preserve"> (as phosphate)</w:t>
      </w:r>
      <w:r w:rsidR="00F35996">
        <w:rPr>
          <w:rFonts w:asciiTheme="majorHAnsi" w:hAnsiTheme="majorHAnsi" w:cstheme="minorHAnsi"/>
          <w:lang w:val="en"/>
        </w:rPr>
        <w:t xml:space="preserve"> [see Section 6.5 Nature and Contents of Container]</w:t>
      </w:r>
      <w:r w:rsidRPr="005A365A">
        <w:rPr>
          <w:rFonts w:asciiTheme="majorHAnsi" w:hAnsiTheme="majorHAnsi" w:cstheme="minorHAnsi"/>
          <w:lang w:val="en"/>
        </w:rPr>
        <w:t>.</w:t>
      </w:r>
    </w:p>
    <w:p w14:paraId="72BF3050" w14:textId="2E589E50" w:rsidR="003D0380" w:rsidRPr="005A365A" w:rsidRDefault="003D0380" w:rsidP="003A43D4">
      <w:pPr>
        <w:jc w:val="both"/>
        <w:rPr>
          <w:rFonts w:asciiTheme="majorHAnsi" w:hAnsiTheme="majorHAnsi" w:cstheme="minorHAnsi"/>
          <w:lang w:val="en"/>
        </w:rPr>
      </w:pPr>
      <w:r w:rsidRPr="005A365A">
        <w:rPr>
          <w:rFonts w:asciiTheme="majorHAnsi" w:hAnsiTheme="majorHAnsi" w:cstheme="minorHAnsi"/>
          <w:lang w:val="en"/>
        </w:rPr>
        <w:t xml:space="preserve">Each </w:t>
      </w:r>
      <w:r w:rsidR="00EF611D" w:rsidRPr="005A365A">
        <w:rPr>
          <w:rFonts w:asciiTheme="majorHAnsi" w:hAnsiTheme="majorHAnsi" w:cstheme="minorHAnsi"/>
          <w:lang w:val="en"/>
        </w:rPr>
        <w:t>TRUSELTIQ</w:t>
      </w:r>
      <w:r w:rsidR="005B34DA" w:rsidRPr="005A365A">
        <w:rPr>
          <w:rFonts w:asciiTheme="majorHAnsi" w:hAnsiTheme="majorHAnsi" w:cstheme="minorHAnsi"/>
          <w:vertAlign w:val="superscript"/>
          <w:lang w:val="en"/>
        </w:rPr>
        <w:t>TM</w:t>
      </w:r>
      <w:r w:rsidR="00EF611D" w:rsidRPr="005A365A" w:rsidDel="00EF611D">
        <w:rPr>
          <w:rFonts w:asciiTheme="majorHAnsi" w:hAnsiTheme="majorHAnsi" w:cstheme="minorHAnsi"/>
          <w:lang w:val="en"/>
        </w:rPr>
        <w:t xml:space="preserve"> </w:t>
      </w:r>
      <w:r w:rsidRPr="005A365A">
        <w:rPr>
          <w:rFonts w:asciiTheme="majorHAnsi" w:hAnsiTheme="majorHAnsi" w:cstheme="minorHAnsi"/>
          <w:lang w:val="en"/>
        </w:rPr>
        <w:t xml:space="preserve">100 mg hard capsule contains 100 mg of </w:t>
      </w:r>
      <w:proofErr w:type="spellStart"/>
      <w:r w:rsidRPr="005A365A">
        <w:rPr>
          <w:rFonts w:asciiTheme="majorHAnsi" w:hAnsiTheme="majorHAnsi" w:cstheme="minorHAnsi"/>
          <w:lang w:val="en"/>
        </w:rPr>
        <w:t>infigratinib</w:t>
      </w:r>
      <w:proofErr w:type="spellEnd"/>
      <w:r w:rsidR="00EC715D" w:rsidRPr="005A365A">
        <w:rPr>
          <w:rFonts w:asciiTheme="majorHAnsi" w:hAnsiTheme="majorHAnsi" w:cstheme="minorHAnsi"/>
          <w:lang w:val="en"/>
        </w:rPr>
        <w:t xml:space="preserve"> (as phosphate)</w:t>
      </w:r>
      <w:r w:rsidR="00F35996">
        <w:rPr>
          <w:rFonts w:asciiTheme="majorHAnsi" w:hAnsiTheme="majorHAnsi" w:cstheme="minorHAnsi"/>
          <w:lang w:val="en"/>
        </w:rPr>
        <w:t xml:space="preserve"> [see Section 6.5 Nature and Contents of Container]</w:t>
      </w:r>
      <w:r w:rsidRPr="005A365A">
        <w:rPr>
          <w:rFonts w:asciiTheme="majorHAnsi" w:hAnsiTheme="majorHAnsi" w:cstheme="minorHAnsi"/>
          <w:lang w:val="en"/>
        </w:rPr>
        <w:t>.</w:t>
      </w:r>
    </w:p>
    <w:p w14:paraId="21286396" w14:textId="34E5CB4F" w:rsidR="005B2812" w:rsidRPr="00C83AF9" w:rsidRDefault="00BA234E" w:rsidP="003A43D4">
      <w:pPr>
        <w:jc w:val="both"/>
        <w:rPr>
          <w:rFonts w:asciiTheme="majorHAnsi" w:hAnsiTheme="majorHAnsi"/>
        </w:rPr>
      </w:pPr>
      <w:r w:rsidRPr="005A365A">
        <w:rPr>
          <w:rFonts w:asciiTheme="majorHAnsi" w:hAnsiTheme="majorHAnsi"/>
          <w:lang w:val="en"/>
        </w:rPr>
        <w:t xml:space="preserve">Contains </w:t>
      </w:r>
      <w:r w:rsidR="000E0380" w:rsidRPr="005A365A">
        <w:rPr>
          <w:rFonts w:asciiTheme="majorHAnsi" w:hAnsiTheme="majorHAnsi"/>
          <w:lang w:val="en"/>
        </w:rPr>
        <w:t>lactose</w:t>
      </w:r>
      <w:r w:rsidRPr="005A365A">
        <w:rPr>
          <w:rFonts w:asciiTheme="majorHAnsi" w:hAnsiTheme="majorHAnsi"/>
          <w:lang w:val="en"/>
        </w:rPr>
        <w:t xml:space="preserve"> monohydrate</w:t>
      </w:r>
      <w:r w:rsidRPr="00C83AF9">
        <w:rPr>
          <w:rFonts w:asciiTheme="majorHAnsi" w:hAnsiTheme="majorHAnsi"/>
          <w:lang w:val="en"/>
        </w:rPr>
        <w:t xml:space="preserve">. </w:t>
      </w:r>
      <w:r w:rsidR="005B2812" w:rsidRPr="00C83AF9">
        <w:rPr>
          <w:rFonts w:asciiTheme="majorHAnsi" w:hAnsiTheme="majorHAnsi"/>
          <w:lang w:val="en"/>
        </w:rPr>
        <w:t xml:space="preserve">For the full list of excipients, see Section 6.1 </w:t>
      </w:r>
      <w:r w:rsidRPr="00C83AF9">
        <w:rPr>
          <w:rFonts w:asciiTheme="majorHAnsi" w:hAnsiTheme="majorHAnsi"/>
          <w:lang w:val="en"/>
        </w:rPr>
        <w:t>L</w:t>
      </w:r>
      <w:r w:rsidR="00101532" w:rsidRPr="00C83AF9">
        <w:rPr>
          <w:rFonts w:asciiTheme="majorHAnsi" w:hAnsiTheme="majorHAnsi"/>
          <w:lang w:val="en"/>
        </w:rPr>
        <w:t>ist of excipients</w:t>
      </w:r>
      <w:r w:rsidR="005B2812" w:rsidRPr="00C83AF9">
        <w:rPr>
          <w:rFonts w:asciiTheme="majorHAnsi" w:hAnsiTheme="majorHAnsi"/>
          <w:lang w:val="en"/>
        </w:rPr>
        <w:t xml:space="preserve">. </w:t>
      </w:r>
    </w:p>
    <w:p w14:paraId="2581286B" w14:textId="252EC2F6" w:rsidR="001A3992" w:rsidRPr="00C83AF9" w:rsidRDefault="001A3992" w:rsidP="001A3992">
      <w:pPr>
        <w:pStyle w:val="Heading1"/>
        <w:spacing w:before="0" w:after="120"/>
      </w:pPr>
      <w:r w:rsidRPr="00C83AF9">
        <w:t>Pharmaceutical form</w:t>
      </w:r>
    </w:p>
    <w:p w14:paraId="22FEFFA0" w14:textId="14AD44FA" w:rsidR="001F6CEE" w:rsidRPr="00C83AF9" w:rsidRDefault="00BA234E" w:rsidP="003A43D4">
      <w:pPr>
        <w:jc w:val="both"/>
        <w:rPr>
          <w:rFonts w:asciiTheme="majorHAnsi" w:hAnsiTheme="majorHAnsi"/>
        </w:rPr>
      </w:pPr>
      <w:r w:rsidRPr="00C83AF9">
        <w:rPr>
          <w:rFonts w:asciiTheme="majorHAnsi" w:hAnsiTheme="majorHAnsi" w:cstheme="minorHAnsi"/>
          <w:lang w:val="en"/>
        </w:rPr>
        <w:t>TRUSELTIQ</w:t>
      </w:r>
      <w:r w:rsidR="00566E97" w:rsidRPr="00C83AF9">
        <w:rPr>
          <w:rFonts w:asciiTheme="majorHAnsi" w:hAnsiTheme="majorHAnsi" w:cstheme="minorHAnsi"/>
          <w:vertAlign w:val="superscript"/>
          <w:lang w:val="en"/>
        </w:rPr>
        <w:t>TM</w:t>
      </w:r>
      <w:r w:rsidRPr="00C83AF9" w:rsidDel="00BA234E">
        <w:rPr>
          <w:rFonts w:asciiTheme="majorHAnsi" w:hAnsiTheme="majorHAnsi"/>
        </w:rPr>
        <w:t xml:space="preserve"> </w:t>
      </w:r>
      <w:r w:rsidR="001F6CEE" w:rsidRPr="00C83AF9">
        <w:rPr>
          <w:rFonts w:asciiTheme="majorHAnsi" w:hAnsiTheme="majorHAnsi"/>
        </w:rPr>
        <w:t xml:space="preserve">25 mg </w:t>
      </w:r>
      <w:r w:rsidR="003C5CA5" w:rsidRPr="00C83AF9">
        <w:rPr>
          <w:rFonts w:asciiTheme="majorHAnsi" w:hAnsiTheme="majorHAnsi"/>
        </w:rPr>
        <w:t xml:space="preserve">is a </w:t>
      </w:r>
      <w:r w:rsidR="001F6CEE" w:rsidRPr="00C83AF9">
        <w:rPr>
          <w:rFonts w:asciiTheme="majorHAnsi" w:hAnsiTheme="majorHAnsi"/>
        </w:rPr>
        <w:t xml:space="preserve">hard </w:t>
      </w:r>
      <w:proofErr w:type="spellStart"/>
      <w:r w:rsidR="003C5CA5" w:rsidRPr="00C83AF9">
        <w:rPr>
          <w:rFonts w:asciiTheme="majorHAnsi" w:hAnsiTheme="majorHAnsi"/>
        </w:rPr>
        <w:t>gelatin</w:t>
      </w:r>
      <w:proofErr w:type="spellEnd"/>
      <w:r w:rsidR="003C5CA5" w:rsidRPr="00C83AF9">
        <w:rPr>
          <w:rFonts w:asciiTheme="majorHAnsi" w:hAnsiTheme="majorHAnsi"/>
        </w:rPr>
        <w:t xml:space="preserve"> </w:t>
      </w:r>
      <w:r w:rsidR="001F6CEE" w:rsidRPr="00C83AF9">
        <w:rPr>
          <w:rFonts w:asciiTheme="majorHAnsi" w:hAnsiTheme="majorHAnsi"/>
        </w:rPr>
        <w:t>capsule</w:t>
      </w:r>
      <w:r w:rsidRPr="00C83AF9">
        <w:rPr>
          <w:rFonts w:asciiTheme="majorHAnsi" w:hAnsiTheme="majorHAnsi"/>
        </w:rPr>
        <w:t xml:space="preserve"> hav</w:t>
      </w:r>
      <w:r w:rsidR="00C535DC" w:rsidRPr="00C83AF9">
        <w:rPr>
          <w:rFonts w:asciiTheme="majorHAnsi" w:hAnsiTheme="majorHAnsi"/>
        </w:rPr>
        <w:t>ing</w:t>
      </w:r>
      <w:r w:rsidR="001F6CEE" w:rsidRPr="00C83AF9">
        <w:rPr>
          <w:rFonts w:asciiTheme="majorHAnsi" w:hAnsiTheme="majorHAnsi"/>
        </w:rPr>
        <w:t xml:space="preserve"> </w:t>
      </w:r>
      <w:r w:rsidR="00C535DC" w:rsidRPr="00C83AF9">
        <w:rPr>
          <w:rFonts w:asciiTheme="majorHAnsi" w:hAnsiTheme="majorHAnsi"/>
        </w:rPr>
        <w:t xml:space="preserve">a </w:t>
      </w:r>
      <w:r w:rsidRPr="00C83AF9">
        <w:rPr>
          <w:rFonts w:asciiTheme="majorHAnsi" w:hAnsiTheme="majorHAnsi"/>
        </w:rPr>
        <w:t>w</w:t>
      </w:r>
      <w:r w:rsidR="001F6CEE" w:rsidRPr="00C83AF9">
        <w:rPr>
          <w:rFonts w:asciiTheme="majorHAnsi" w:hAnsiTheme="majorHAnsi"/>
        </w:rPr>
        <w:t xml:space="preserve">hite opaque body </w:t>
      </w:r>
      <w:r w:rsidR="003D0380" w:rsidRPr="00C83AF9">
        <w:rPr>
          <w:rFonts w:asciiTheme="majorHAnsi" w:hAnsiTheme="majorHAnsi"/>
        </w:rPr>
        <w:t>and</w:t>
      </w:r>
      <w:r w:rsidR="001F6CEE" w:rsidRPr="00C83AF9">
        <w:rPr>
          <w:rFonts w:asciiTheme="majorHAnsi" w:hAnsiTheme="majorHAnsi"/>
        </w:rPr>
        <w:t xml:space="preserve"> </w:t>
      </w:r>
      <w:r w:rsidR="000D73F8" w:rsidRPr="00C83AF9">
        <w:rPr>
          <w:rFonts w:asciiTheme="majorHAnsi" w:hAnsiTheme="majorHAnsi"/>
        </w:rPr>
        <w:t>grey</w:t>
      </w:r>
      <w:r w:rsidR="001F6CEE" w:rsidRPr="00C83AF9">
        <w:rPr>
          <w:rFonts w:asciiTheme="majorHAnsi" w:hAnsiTheme="majorHAnsi"/>
        </w:rPr>
        <w:t xml:space="preserve"> opaque cap</w:t>
      </w:r>
      <w:r w:rsidR="003D0380" w:rsidRPr="00C83AF9">
        <w:rPr>
          <w:rFonts w:asciiTheme="majorHAnsi" w:hAnsiTheme="majorHAnsi"/>
        </w:rPr>
        <w:t>,</w:t>
      </w:r>
      <w:r w:rsidR="001F6CEE" w:rsidRPr="00C83AF9">
        <w:rPr>
          <w:rFonts w:asciiTheme="majorHAnsi" w:hAnsiTheme="majorHAnsi"/>
        </w:rPr>
        <w:t xml:space="preserve"> with </w:t>
      </w:r>
      <w:r w:rsidR="003D0380" w:rsidRPr="00C83AF9">
        <w:rPr>
          <w:rFonts w:asciiTheme="majorHAnsi" w:hAnsiTheme="majorHAnsi"/>
        </w:rPr>
        <w:t>‘INFI 25mg</w:t>
      </w:r>
      <w:r w:rsidR="002F38FB" w:rsidRPr="00C83AF9">
        <w:rPr>
          <w:rFonts w:asciiTheme="majorHAnsi" w:hAnsiTheme="majorHAnsi"/>
        </w:rPr>
        <w:t xml:space="preserve">’ printed </w:t>
      </w:r>
      <w:r w:rsidR="003D0380" w:rsidRPr="00C83AF9">
        <w:rPr>
          <w:rFonts w:asciiTheme="majorHAnsi" w:hAnsiTheme="majorHAnsi"/>
        </w:rPr>
        <w:t xml:space="preserve">in </w:t>
      </w:r>
      <w:r w:rsidR="001F6CEE" w:rsidRPr="00C83AF9">
        <w:rPr>
          <w:rFonts w:asciiTheme="majorHAnsi" w:hAnsiTheme="majorHAnsi"/>
        </w:rPr>
        <w:t>black on the body</w:t>
      </w:r>
      <w:r w:rsidR="003D0380" w:rsidRPr="00C83AF9">
        <w:rPr>
          <w:rFonts w:asciiTheme="majorHAnsi" w:hAnsiTheme="majorHAnsi"/>
        </w:rPr>
        <w:t>.</w:t>
      </w:r>
    </w:p>
    <w:p w14:paraId="0DFA1C3B" w14:textId="50E025E3" w:rsidR="001F6CEE" w:rsidRPr="00C83AF9" w:rsidRDefault="00C535DC" w:rsidP="003A43D4">
      <w:pPr>
        <w:jc w:val="both"/>
        <w:rPr>
          <w:rFonts w:asciiTheme="majorHAnsi" w:hAnsiTheme="majorHAnsi"/>
        </w:rPr>
      </w:pPr>
      <w:r w:rsidRPr="00C83AF9">
        <w:rPr>
          <w:rFonts w:asciiTheme="majorHAnsi" w:hAnsiTheme="majorHAnsi" w:cstheme="minorHAnsi"/>
          <w:lang w:val="en"/>
        </w:rPr>
        <w:t>TRUSELTIQ</w:t>
      </w:r>
      <w:r w:rsidR="00566E97" w:rsidRPr="00C83AF9">
        <w:rPr>
          <w:rFonts w:asciiTheme="majorHAnsi" w:hAnsiTheme="majorHAnsi" w:cstheme="minorHAnsi"/>
          <w:vertAlign w:val="superscript"/>
          <w:lang w:val="en"/>
        </w:rPr>
        <w:t>TM</w:t>
      </w:r>
      <w:r w:rsidRPr="00C83AF9" w:rsidDel="00C535DC">
        <w:rPr>
          <w:rFonts w:asciiTheme="majorHAnsi" w:hAnsiTheme="majorHAnsi"/>
        </w:rPr>
        <w:t xml:space="preserve"> </w:t>
      </w:r>
      <w:r w:rsidR="001F6CEE" w:rsidRPr="00C83AF9">
        <w:rPr>
          <w:rFonts w:asciiTheme="majorHAnsi" w:hAnsiTheme="majorHAnsi"/>
        </w:rPr>
        <w:t xml:space="preserve">100 mg </w:t>
      </w:r>
      <w:r w:rsidRPr="00C83AF9">
        <w:rPr>
          <w:rFonts w:asciiTheme="majorHAnsi" w:hAnsiTheme="majorHAnsi"/>
        </w:rPr>
        <w:t xml:space="preserve">is a </w:t>
      </w:r>
      <w:r w:rsidR="001F6CEE" w:rsidRPr="00C83AF9">
        <w:rPr>
          <w:rFonts w:asciiTheme="majorHAnsi" w:hAnsiTheme="majorHAnsi"/>
        </w:rPr>
        <w:t xml:space="preserve">hard </w:t>
      </w:r>
      <w:proofErr w:type="spellStart"/>
      <w:r w:rsidRPr="00C83AF9">
        <w:rPr>
          <w:rFonts w:asciiTheme="majorHAnsi" w:hAnsiTheme="majorHAnsi"/>
        </w:rPr>
        <w:t>gelatin</w:t>
      </w:r>
      <w:proofErr w:type="spellEnd"/>
      <w:r w:rsidRPr="00C83AF9">
        <w:rPr>
          <w:rFonts w:asciiTheme="majorHAnsi" w:hAnsiTheme="majorHAnsi"/>
        </w:rPr>
        <w:t xml:space="preserve"> </w:t>
      </w:r>
      <w:r w:rsidR="001F6CEE" w:rsidRPr="00C83AF9">
        <w:rPr>
          <w:rFonts w:asciiTheme="majorHAnsi" w:hAnsiTheme="majorHAnsi"/>
        </w:rPr>
        <w:t>capsule</w:t>
      </w:r>
      <w:r w:rsidRPr="00C83AF9">
        <w:rPr>
          <w:rFonts w:asciiTheme="majorHAnsi" w:hAnsiTheme="majorHAnsi"/>
        </w:rPr>
        <w:t xml:space="preserve"> having a</w:t>
      </w:r>
      <w:r w:rsidR="000C5CC0" w:rsidRPr="00C83AF9">
        <w:rPr>
          <w:rFonts w:asciiTheme="majorHAnsi" w:hAnsiTheme="majorHAnsi"/>
        </w:rPr>
        <w:t xml:space="preserve"> </w:t>
      </w:r>
      <w:r w:rsidRPr="00C83AF9">
        <w:rPr>
          <w:rFonts w:asciiTheme="majorHAnsi" w:hAnsiTheme="majorHAnsi"/>
        </w:rPr>
        <w:t>w</w:t>
      </w:r>
      <w:r w:rsidR="001F6CEE" w:rsidRPr="00C83AF9">
        <w:rPr>
          <w:rFonts w:asciiTheme="majorHAnsi" w:hAnsiTheme="majorHAnsi"/>
        </w:rPr>
        <w:t xml:space="preserve">hite opaque body </w:t>
      </w:r>
      <w:r w:rsidR="003D0380" w:rsidRPr="00C83AF9">
        <w:rPr>
          <w:rFonts w:asciiTheme="majorHAnsi" w:hAnsiTheme="majorHAnsi"/>
        </w:rPr>
        <w:t>and</w:t>
      </w:r>
      <w:r w:rsidR="001F6CEE" w:rsidRPr="00C83AF9">
        <w:rPr>
          <w:rFonts w:asciiTheme="majorHAnsi" w:hAnsiTheme="majorHAnsi"/>
        </w:rPr>
        <w:t xml:space="preserve"> light</w:t>
      </w:r>
      <w:r w:rsidR="00DE79F5" w:rsidRPr="00C83AF9">
        <w:rPr>
          <w:rFonts w:asciiTheme="majorHAnsi" w:hAnsiTheme="majorHAnsi"/>
        </w:rPr>
        <w:t xml:space="preserve"> </w:t>
      </w:r>
      <w:r w:rsidR="001F6CEE" w:rsidRPr="00C83AF9">
        <w:rPr>
          <w:rFonts w:asciiTheme="majorHAnsi" w:hAnsiTheme="majorHAnsi"/>
        </w:rPr>
        <w:t>orange opaque cap</w:t>
      </w:r>
      <w:r w:rsidR="003D0380" w:rsidRPr="00C83AF9">
        <w:rPr>
          <w:rFonts w:asciiTheme="majorHAnsi" w:hAnsiTheme="majorHAnsi"/>
        </w:rPr>
        <w:t xml:space="preserve">, with ‘INFI 100mg’ </w:t>
      </w:r>
      <w:r w:rsidR="002F38FB" w:rsidRPr="00C83AF9">
        <w:rPr>
          <w:rFonts w:asciiTheme="majorHAnsi" w:hAnsiTheme="majorHAnsi"/>
        </w:rPr>
        <w:t xml:space="preserve">printed </w:t>
      </w:r>
      <w:r w:rsidR="003D0380" w:rsidRPr="00C83AF9">
        <w:rPr>
          <w:rFonts w:asciiTheme="majorHAnsi" w:hAnsiTheme="majorHAnsi"/>
        </w:rPr>
        <w:t xml:space="preserve">in black on the body. </w:t>
      </w:r>
    </w:p>
    <w:p w14:paraId="66F849D1" w14:textId="77777777" w:rsidR="001A3992" w:rsidRPr="00C83AF9" w:rsidRDefault="001A3992" w:rsidP="001A3992">
      <w:pPr>
        <w:pStyle w:val="Heading1"/>
        <w:spacing w:before="0" w:after="120"/>
      </w:pPr>
      <w:r w:rsidRPr="00C83AF9">
        <w:t>Clinical particulars</w:t>
      </w:r>
    </w:p>
    <w:p w14:paraId="5E34B290" w14:textId="1276A2E6" w:rsidR="001A3992" w:rsidRPr="00C83AF9" w:rsidRDefault="001A3992" w:rsidP="00010929">
      <w:pPr>
        <w:pStyle w:val="Heading2"/>
      </w:pPr>
      <w:r w:rsidRPr="00C83AF9">
        <w:t xml:space="preserve">Therapeutic indications </w:t>
      </w:r>
    </w:p>
    <w:p w14:paraId="4B2F713A" w14:textId="03ACB53F" w:rsidR="00C469CB" w:rsidRPr="00C83AF9" w:rsidRDefault="00AC6B89" w:rsidP="003A43D4">
      <w:pPr>
        <w:jc w:val="both"/>
        <w:rPr>
          <w:rFonts w:asciiTheme="majorHAnsi" w:hAnsiTheme="majorHAnsi"/>
        </w:rPr>
      </w:pPr>
      <w:r w:rsidRPr="00C83AF9">
        <w:rPr>
          <w:rFonts w:asciiTheme="majorHAnsi" w:hAnsiTheme="majorHAnsi" w:cstheme="minorHAnsi"/>
          <w:lang w:val="en"/>
        </w:rPr>
        <w:t>TRUSELTIQ</w:t>
      </w:r>
      <w:r w:rsidRPr="00C83AF9">
        <w:rPr>
          <w:rFonts w:asciiTheme="majorHAnsi" w:hAnsiTheme="majorHAnsi" w:cstheme="minorHAnsi"/>
          <w:vertAlign w:val="superscript"/>
          <w:lang w:val="en"/>
        </w:rPr>
        <w:t>TM</w:t>
      </w:r>
      <w:r w:rsidRPr="00C469CB">
        <w:rPr>
          <w:rFonts w:asciiTheme="majorHAnsi" w:hAnsiTheme="majorHAnsi"/>
        </w:rPr>
        <w:t xml:space="preserve"> has </w:t>
      </w:r>
      <w:r w:rsidRPr="005C5193">
        <w:rPr>
          <w:rFonts w:asciiTheme="majorHAnsi" w:hAnsiTheme="majorHAnsi"/>
          <w:b/>
          <w:bCs/>
        </w:rPr>
        <w:t>provisional approval</w:t>
      </w:r>
      <w:r w:rsidRPr="00C469CB">
        <w:rPr>
          <w:rFonts w:asciiTheme="majorHAnsi" w:hAnsiTheme="majorHAnsi"/>
        </w:rPr>
        <w:t xml:space="preserve"> in Australia for the treatment of </w:t>
      </w:r>
      <w:r w:rsidRPr="00C83AF9">
        <w:rPr>
          <w:rFonts w:asciiTheme="majorHAnsi" w:hAnsiTheme="majorHAnsi"/>
        </w:rPr>
        <w:t>adults with previously treated, unresectable locally advanced or metastatic cholangiocarcinoma with a fibroblast growth factor receptor 2 (FGFR2) fusion or other rearrangement</w:t>
      </w:r>
      <w:r>
        <w:rPr>
          <w:rFonts w:asciiTheme="majorHAnsi" w:hAnsiTheme="majorHAnsi"/>
        </w:rPr>
        <w:t xml:space="preserve"> </w:t>
      </w:r>
      <w:r w:rsidRPr="00C83AF9">
        <w:rPr>
          <w:rFonts w:asciiTheme="majorHAnsi" w:hAnsiTheme="majorHAnsi"/>
        </w:rPr>
        <w:t>[see Section 4.2 Dose and Method of Administration]</w:t>
      </w:r>
      <w:r w:rsidRPr="00C469CB">
        <w:rPr>
          <w:rFonts w:asciiTheme="majorHAnsi" w:hAnsiTheme="majorHAnsi"/>
        </w:rPr>
        <w:t xml:space="preserve">. The decision to approve this indication has been made </w:t>
      </w:r>
      <w:proofErr w:type="gramStart"/>
      <w:r w:rsidRPr="00C469CB">
        <w:rPr>
          <w:rFonts w:asciiTheme="majorHAnsi" w:hAnsiTheme="majorHAnsi"/>
        </w:rPr>
        <w:t>on the basis of</w:t>
      </w:r>
      <w:proofErr w:type="gramEnd"/>
      <w:r>
        <w:rPr>
          <w:rFonts w:asciiTheme="majorHAnsi" w:hAnsiTheme="majorHAnsi"/>
        </w:rPr>
        <w:t xml:space="preserve"> overall response rate and duration of response in a single arm trial.</w:t>
      </w:r>
      <w:r w:rsidRPr="00C469CB">
        <w:rPr>
          <w:rFonts w:asciiTheme="majorHAnsi" w:hAnsiTheme="majorHAnsi"/>
        </w:rPr>
        <w:t xml:space="preserve"> Continued approval of this indication depends on verification and description of benefit in confirmatory trials.</w:t>
      </w:r>
    </w:p>
    <w:p w14:paraId="26B31DC6" w14:textId="57E71100" w:rsidR="001A3992" w:rsidRPr="00C83AF9" w:rsidRDefault="001A3992" w:rsidP="00AC6B89">
      <w:pPr>
        <w:pStyle w:val="Heading2"/>
        <w:keepNext/>
        <w:spacing w:before="0" w:after="120"/>
        <w:ind w:left="578" w:hanging="578"/>
      </w:pPr>
      <w:r w:rsidRPr="00C83AF9">
        <w:lastRenderedPageBreak/>
        <w:t xml:space="preserve">Dose and method of administration </w:t>
      </w:r>
    </w:p>
    <w:p w14:paraId="124AC4F9" w14:textId="77777777" w:rsidR="00CD1EB7" w:rsidRPr="00C83AF9" w:rsidRDefault="00CD1EB7" w:rsidP="00047C37">
      <w:pPr>
        <w:pStyle w:val="Heading3"/>
        <w:ind w:left="0"/>
      </w:pPr>
      <w:r w:rsidRPr="00C83AF9">
        <w:t>Patient Selection</w:t>
      </w:r>
    </w:p>
    <w:p w14:paraId="7B1DAE18" w14:textId="1EB22AAD" w:rsidR="00CD1EB7" w:rsidRPr="00C83AF9" w:rsidRDefault="00CD1EB7" w:rsidP="003A43D4">
      <w:pPr>
        <w:jc w:val="both"/>
        <w:rPr>
          <w:rFonts w:asciiTheme="majorHAnsi" w:hAnsiTheme="majorHAnsi"/>
        </w:rPr>
      </w:pPr>
      <w:r w:rsidRPr="00C83AF9">
        <w:rPr>
          <w:rFonts w:asciiTheme="majorHAnsi" w:hAnsiTheme="majorHAnsi"/>
        </w:rPr>
        <w:t xml:space="preserve">Select patients for the treatment of unresectable locally advanced or metastatic cholangiocarcinoma with </w:t>
      </w:r>
      <w:r w:rsidR="0064399B" w:rsidRPr="00C83AF9">
        <w:rPr>
          <w:rFonts w:asciiTheme="majorHAnsi" w:hAnsiTheme="majorHAnsi" w:cstheme="minorHAnsi"/>
          <w:lang w:val="en"/>
        </w:rPr>
        <w:t>TRUSELTIQ</w:t>
      </w:r>
      <w:r w:rsidR="00E906E8" w:rsidRPr="00C83AF9">
        <w:rPr>
          <w:rFonts w:asciiTheme="majorHAnsi" w:hAnsiTheme="majorHAnsi" w:cstheme="minorHAnsi"/>
          <w:vertAlign w:val="superscript"/>
          <w:lang w:val="en"/>
        </w:rPr>
        <w:t>TM</w:t>
      </w:r>
      <w:r w:rsidRPr="00C83AF9">
        <w:rPr>
          <w:rFonts w:asciiTheme="majorHAnsi" w:hAnsiTheme="majorHAnsi"/>
        </w:rPr>
        <w:t xml:space="preserve"> based on the presence of an FGFR2 fusion or rearrangement, as detected by </w:t>
      </w:r>
      <w:r w:rsidR="00DE79F5" w:rsidRPr="00C83AF9">
        <w:rPr>
          <w:rFonts w:asciiTheme="majorHAnsi" w:hAnsiTheme="majorHAnsi"/>
        </w:rPr>
        <w:t>a validated test</w:t>
      </w:r>
      <w:r w:rsidRPr="00C83AF9">
        <w:rPr>
          <w:rFonts w:asciiTheme="majorHAnsi" w:hAnsiTheme="majorHAnsi"/>
        </w:rPr>
        <w:t xml:space="preserve"> [see </w:t>
      </w:r>
      <w:r w:rsidR="00047C37" w:rsidRPr="00C83AF9">
        <w:rPr>
          <w:rFonts w:asciiTheme="majorHAnsi" w:hAnsiTheme="majorHAnsi"/>
        </w:rPr>
        <w:t xml:space="preserve">Section 5.1 </w:t>
      </w:r>
      <w:r w:rsidRPr="00C83AF9">
        <w:rPr>
          <w:rFonts w:asciiTheme="majorHAnsi" w:hAnsiTheme="majorHAnsi"/>
        </w:rPr>
        <w:t>Clinical Trials].</w:t>
      </w:r>
    </w:p>
    <w:p w14:paraId="31A10EEE" w14:textId="16E60A7D" w:rsidR="006076BE" w:rsidRPr="00C83AF9" w:rsidRDefault="006076BE" w:rsidP="00047C37">
      <w:pPr>
        <w:pStyle w:val="Heading3"/>
        <w:ind w:left="0"/>
      </w:pPr>
      <w:r w:rsidRPr="00C83AF9">
        <w:t>Recommended Dosage</w:t>
      </w:r>
    </w:p>
    <w:p w14:paraId="79E2509F" w14:textId="31D5FFF8" w:rsidR="006076BE" w:rsidRDefault="006076BE" w:rsidP="003A43D4">
      <w:pPr>
        <w:jc w:val="both"/>
        <w:rPr>
          <w:rFonts w:asciiTheme="majorHAnsi" w:hAnsiTheme="majorHAnsi"/>
        </w:rPr>
      </w:pPr>
      <w:r w:rsidRPr="00C83AF9">
        <w:rPr>
          <w:rFonts w:asciiTheme="majorHAnsi" w:hAnsiTheme="majorHAnsi"/>
        </w:rPr>
        <w:t xml:space="preserve">The recommended dose of </w:t>
      </w:r>
      <w:r w:rsidR="0064399B" w:rsidRPr="00C83AF9">
        <w:rPr>
          <w:rFonts w:asciiTheme="majorHAnsi" w:hAnsiTheme="majorHAnsi" w:cstheme="minorHAnsi"/>
          <w:lang w:val="en"/>
        </w:rPr>
        <w:t>TRUSELTIQ</w:t>
      </w:r>
      <w:r w:rsidR="00E906E8" w:rsidRPr="00C83AF9">
        <w:rPr>
          <w:rFonts w:asciiTheme="majorHAnsi" w:hAnsiTheme="majorHAnsi" w:cstheme="minorHAnsi"/>
          <w:vertAlign w:val="superscript"/>
          <w:lang w:val="en"/>
        </w:rPr>
        <w:t>TM</w:t>
      </w:r>
      <w:r w:rsidR="0064399B" w:rsidRPr="00C83AF9" w:rsidDel="0064399B">
        <w:rPr>
          <w:rFonts w:asciiTheme="majorHAnsi" w:hAnsiTheme="majorHAnsi"/>
        </w:rPr>
        <w:t xml:space="preserve"> </w:t>
      </w:r>
      <w:r w:rsidRPr="00C83AF9">
        <w:rPr>
          <w:rFonts w:asciiTheme="majorHAnsi" w:hAnsiTheme="majorHAnsi"/>
        </w:rPr>
        <w:t xml:space="preserve">is 125 mg (one 100 mg </w:t>
      </w:r>
      <w:r w:rsidR="0036099B">
        <w:rPr>
          <w:rFonts w:asciiTheme="majorHAnsi" w:hAnsiTheme="majorHAnsi"/>
        </w:rPr>
        <w:t xml:space="preserve">hard </w:t>
      </w:r>
      <w:r w:rsidRPr="00C83AF9">
        <w:rPr>
          <w:rFonts w:asciiTheme="majorHAnsi" w:hAnsiTheme="majorHAnsi"/>
        </w:rPr>
        <w:t xml:space="preserve">capsule and one 25 mg </w:t>
      </w:r>
      <w:r w:rsidR="0036099B">
        <w:rPr>
          <w:rFonts w:asciiTheme="majorHAnsi" w:hAnsiTheme="majorHAnsi"/>
        </w:rPr>
        <w:t xml:space="preserve">hard </w:t>
      </w:r>
      <w:r w:rsidRPr="00C83AF9">
        <w:rPr>
          <w:rFonts w:asciiTheme="majorHAnsi" w:hAnsiTheme="majorHAnsi"/>
        </w:rPr>
        <w:t>capsule) orally once daily for 21 consecutive days followed by 7 days off therapy, in 28-day cycles. Continue treatment until disease progression or unacceptable toxicity.</w:t>
      </w:r>
    </w:p>
    <w:p w14:paraId="2A4CD7BE" w14:textId="77777777" w:rsidR="00CB0AC8" w:rsidRPr="00B859AC" w:rsidRDefault="00CB0AC8" w:rsidP="003A43D4">
      <w:pPr>
        <w:jc w:val="both"/>
        <w:rPr>
          <w:rFonts w:asciiTheme="majorHAnsi" w:hAnsiTheme="majorHAnsi"/>
          <w:b/>
          <w:bCs/>
        </w:rPr>
      </w:pPr>
      <w:r w:rsidRPr="00B859AC">
        <w:rPr>
          <w:rFonts w:asciiTheme="majorHAnsi" w:hAnsiTheme="majorHAnsi"/>
          <w:b/>
          <w:bCs/>
        </w:rPr>
        <w:t>Method of Administration</w:t>
      </w:r>
    </w:p>
    <w:p w14:paraId="7A3BE29D" w14:textId="17D389A9" w:rsidR="006076BE" w:rsidRPr="00C83AF9" w:rsidRDefault="0036099B" w:rsidP="003A43D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Hard c</w:t>
      </w:r>
      <w:r w:rsidR="006076BE" w:rsidRPr="00C83AF9">
        <w:rPr>
          <w:rFonts w:asciiTheme="majorHAnsi" w:hAnsiTheme="majorHAnsi"/>
        </w:rPr>
        <w:t>apsules should be taken on an empty stomach at least 1 hour before or 2 hours after a meal, at approximately the same time each day</w:t>
      </w:r>
      <w:r w:rsidR="00D51141" w:rsidRPr="00C83AF9">
        <w:rPr>
          <w:rFonts w:asciiTheme="majorHAnsi" w:hAnsiTheme="majorHAnsi"/>
        </w:rPr>
        <w:t xml:space="preserve"> (preferably in the morning)</w:t>
      </w:r>
      <w:r w:rsidR="006076BE" w:rsidRPr="00C83AF9">
        <w:rPr>
          <w:rFonts w:asciiTheme="majorHAnsi" w:hAnsiTheme="majorHAnsi"/>
        </w:rPr>
        <w:t xml:space="preserve">. Swallow </w:t>
      </w:r>
      <w:r w:rsidR="003527BE" w:rsidRPr="00C83AF9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hard </w:t>
      </w:r>
      <w:r w:rsidR="006076BE" w:rsidRPr="00C83AF9">
        <w:rPr>
          <w:rFonts w:asciiTheme="majorHAnsi" w:hAnsiTheme="majorHAnsi"/>
        </w:rPr>
        <w:t xml:space="preserve">capsules whole with a large glass of water. Do not open, crush, chew, or dissolve </w:t>
      </w:r>
      <w:r w:rsidR="002F38FB" w:rsidRPr="00C83AF9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hard </w:t>
      </w:r>
      <w:r w:rsidR="006076BE" w:rsidRPr="00C83AF9">
        <w:rPr>
          <w:rFonts w:asciiTheme="majorHAnsi" w:hAnsiTheme="majorHAnsi"/>
        </w:rPr>
        <w:t xml:space="preserve">capsules. </w:t>
      </w:r>
    </w:p>
    <w:p w14:paraId="209561CE" w14:textId="40EE39BB" w:rsidR="006076BE" w:rsidRPr="00C83AF9" w:rsidRDefault="006076BE" w:rsidP="003A43D4">
      <w:pPr>
        <w:jc w:val="both"/>
        <w:rPr>
          <w:rFonts w:asciiTheme="majorHAnsi" w:hAnsiTheme="majorHAnsi"/>
        </w:rPr>
      </w:pPr>
      <w:r w:rsidRPr="00C83AF9">
        <w:rPr>
          <w:rFonts w:asciiTheme="majorHAnsi" w:hAnsiTheme="majorHAnsi"/>
        </w:rPr>
        <w:t xml:space="preserve">If a dose of </w:t>
      </w:r>
      <w:r w:rsidR="00512B98" w:rsidRPr="00C83AF9">
        <w:rPr>
          <w:rFonts w:asciiTheme="majorHAnsi" w:hAnsiTheme="majorHAnsi" w:cstheme="minorHAnsi"/>
          <w:lang w:val="en"/>
        </w:rPr>
        <w:t>TRUSELTIQ</w:t>
      </w:r>
      <w:r w:rsidR="00E906E8" w:rsidRPr="00C83AF9">
        <w:rPr>
          <w:rFonts w:asciiTheme="majorHAnsi" w:hAnsiTheme="majorHAnsi" w:cstheme="minorHAnsi"/>
          <w:vertAlign w:val="superscript"/>
          <w:lang w:val="en"/>
        </w:rPr>
        <w:t>TM</w:t>
      </w:r>
      <w:r w:rsidR="00512B98" w:rsidRPr="00C83AF9" w:rsidDel="00512B98">
        <w:rPr>
          <w:rFonts w:asciiTheme="majorHAnsi" w:hAnsiTheme="majorHAnsi"/>
        </w:rPr>
        <w:t xml:space="preserve"> </w:t>
      </w:r>
      <w:r w:rsidRPr="00C83AF9">
        <w:rPr>
          <w:rFonts w:asciiTheme="majorHAnsi" w:hAnsiTheme="majorHAnsi"/>
        </w:rPr>
        <w:t xml:space="preserve">is missed by ≥4 hours or if vomiting occurs, resume the regular daily dose schedule for </w:t>
      </w:r>
      <w:r w:rsidR="00512B98" w:rsidRPr="00C83AF9">
        <w:rPr>
          <w:rFonts w:asciiTheme="majorHAnsi" w:hAnsiTheme="majorHAnsi" w:cstheme="minorHAnsi"/>
          <w:lang w:val="en"/>
        </w:rPr>
        <w:t>TRUSELTIQ</w:t>
      </w:r>
      <w:r w:rsidR="00E906E8" w:rsidRPr="00C83AF9">
        <w:rPr>
          <w:rFonts w:asciiTheme="majorHAnsi" w:hAnsiTheme="majorHAnsi" w:cstheme="minorHAnsi"/>
          <w:vertAlign w:val="superscript"/>
          <w:lang w:val="en"/>
        </w:rPr>
        <w:t>TM</w:t>
      </w:r>
      <w:r w:rsidR="00512B98" w:rsidRPr="00C83AF9" w:rsidDel="00512B98">
        <w:rPr>
          <w:rFonts w:asciiTheme="majorHAnsi" w:hAnsiTheme="majorHAnsi"/>
        </w:rPr>
        <w:t xml:space="preserve"> </w:t>
      </w:r>
      <w:r w:rsidRPr="00C83AF9">
        <w:rPr>
          <w:rFonts w:asciiTheme="majorHAnsi" w:hAnsiTheme="majorHAnsi"/>
        </w:rPr>
        <w:t xml:space="preserve">the next day. </w:t>
      </w:r>
    </w:p>
    <w:p w14:paraId="70B4FE18" w14:textId="77777777" w:rsidR="006076BE" w:rsidRPr="00C83AF9" w:rsidRDefault="006076BE" w:rsidP="00047C37">
      <w:pPr>
        <w:pStyle w:val="Heading3"/>
        <w:ind w:left="0"/>
      </w:pPr>
      <w:r w:rsidRPr="00C83AF9">
        <w:t>Dose Modification for Adverse Reactions</w:t>
      </w:r>
    </w:p>
    <w:p w14:paraId="122D262B" w14:textId="2C5CD89A" w:rsidR="006076BE" w:rsidRPr="00C83AF9" w:rsidRDefault="006076BE" w:rsidP="003A43D4">
      <w:pPr>
        <w:jc w:val="both"/>
        <w:rPr>
          <w:rFonts w:asciiTheme="majorHAnsi" w:hAnsiTheme="majorHAnsi"/>
        </w:rPr>
      </w:pPr>
      <w:r w:rsidRPr="00C83AF9">
        <w:rPr>
          <w:rFonts w:asciiTheme="majorHAnsi" w:hAnsiTheme="majorHAnsi"/>
          <w:lang w:bidi="en-US"/>
        </w:rPr>
        <w:t>The recommended dose redu</w:t>
      </w:r>
      <w:r w:rsidRPr="00C83AF9" w:rsidDel="00700EA3">
        <w:rPr>
          <w:rFonts w:asciiTheme="majorHAnsi" w:hAnsiTheme="majorHAnsi"/>
          <w:lang w:bidi="en-US"/>
        </w:rPr>
        <w:t>c</w:t>
      </w:r>
      <w:r w:rsidRPr="00C83AF9">
        <w:rPr>
          <w:rFonts w:asciiTheme="majorHAnsi" w:hAnsiTheme="majorHAnsi"/>
          <w:lang w:bidi="en-US"/>
        </w:rPr>
        <w:t>t</w:t>
      </w:r>
      <w:r w:rsidRPr="00C83AF9" w:rsidDel="00700EA3">
        <w:rPr>
          <w:rFonts w:asciiTheme="majorHAnsi" w:hAnsiTheme="majorHAnsi"/>
          <w:lang w:bidi="en-US"/>
        </w:rPr>
        <w:t>ions</w:t>
      </w:r>
      <w:r w:rsidRPr="00C83AF9">
        <w:rPr>
          <w:rFonts w:asciiTheme="majorHAnsi" w:hAnsiTheme="majorHAnsi"/>
          <w:lang w:bidi="en-US"/>
        </w:rPr>
        <w:t xml:space="preserve"> for adverse reactions are listed in Table 1</w:t>
      </w:r>
      <w:r w:rsidR="003B7007" w:rsidRPr="00C83AF9">
        <w:rPr>
          <w:rFonts w:asciiTheme="majorHAnsi" w:hAnsiTheme="majorHAnsi"/>
        </w:rPr>
        <w:t>.</w:t>
      </w:r>
    </w:p>
    <w:p w14:paraId="00EE5F1F" w14:textId="6BE145BD" w:rsidR="003B7007" w:rsidRPr="00C83AF9" w:rsidRDefault="003B7007" w:rsidP="00227223">
      <w:pPr>
        <w:jc w:val="center"/>
        <w:rPr>
          <w:rFonts w:asciiTheme="majorHAnsi" w:hAnsiTheme="majorHAnsi"/>
          <w:b/>
          <w:bCs/>
        </w:rPr>
      </w:pPr>
      <w:r w:rsidRPr="00C83AF9">
        <w:rPr>
          <w:rFonts w:asciiTheme="majorHAnsi" w:hAnsiTheme="majorHAnsi"/>
          <w:b/>
          <w:bCs/>
        </w:rPr>
        <w:t xml:space="preserve">Table 1: Recommended Dose Reductions for </w:t>
      </w:r>
      <w:r w:rsidR="0057180A" w:rsidRPr="00C83AF9">
        <w:rPr>
          <w:rFonts w:asciiTheme="majorHAnsi" w:hAnsiTheme="majorHAnsi" w:cstheme="minorHAnsi"/>
          <w:b/>
          <w:bCs/>
          <w:lang w:val="en"/>
        </w:rPr>
        <w:t>TRUSELTIQ</w:t>
      </w:r>
      <w:r w:rsidR="00E906E8" w:rsidRPr="00C83AF9">
        <w:rPr>
          <w:rFonts w:asciiTheme="majorHAnsi" w:hAnsiTheme="majorHAnsi" w:cstheme="minorHAnsi"/>
          <w:b/>
          <w:bCs/>
          <w:vertAlign w:val="superscript"/>
          <w:lang w:val="en"/>
        </w:rPr>
        <w:t>TM</w:t>
      </w:r>
      <w:r w:rsidR="0057180A" w:rsidRPr="00C83AF9" w:rsidDel="0057180A">
        <w:rPr>
          <w:rFonts w:asciiTheme="majorHAnsi" w:hAnsiTheme="majorHAnsi"/>
          <w:b/>
          <w:bCs/>
        </w:rPr>
        <w:t xml:space="preserve"> </w:t>
      </w:r>
      <w:r w:rsidRPr="00C83AF9">
        <w:rPr>
          <w:rFonts w:asciiTheme="majorHAnsi" w:hAnsiTheme="majorHAnsi"/>
          <w:b/>
          <w:bCs/>
        </w:rPr>
        <w:t>for Adverse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7007" w:rsidRPr="00014AD4" w14:paraId="09F38BF7" w14:textId="77777777" w:rsidTr="00451A85">
        <w:tc>
          <w:tcPr>
            <w:tcW w:w="2254" w:type="dxa"/>
          </w:tcPr>
          <w:p w14:paraId="27F1E59D" w14:textId="77777777" w:rsidR="003B7007" w:rsidRPr="00C83AF9" w:rsidRDefault="003B7007" w:rsidP="00451A8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83AF9">
              <w:rPr>
                <w:rFonts w:asciiTheme="majorHAnsi" w:hAnsiTheme="majorHAnsi"/>
                <w:b/>
                <w:bCs/>
              </w:rPr>
              <w:t>Dose</w:t>
            </w:r>
          </w:p>
        </w:tc>
        <w:tc>
          <w:tcPr>
            <w:tcW w:w="2254" w:type="dxa"/>
          </w:tcPr>
          <w:p w14:paraId="060270FC" w14:textId="77777777" w:rsidR="003B7007" w:rsidRPr="00C83AF9" w:rsidRDefault="003B7007" w:rsidP="00451A8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83AF9">
              <w:rPr>
                <w:rFonts w:asciiTheme="majorHAnsi" w:hAnsiTheme="majorHAnsi"/>
                <w:b/>
                <w:bCs/>
              </w:rPr>
              <w:t>1</w:t>
            </w:r>
            <w:r w:rsidRPr="00C83AF9">
              <w:rPr>
                <w:rFonts w:asciiTheme="majorHAnsi" w:hAnsiTheme="majorHAnsi"/>
                <w:b/>
                <w:bCs/>
                <w:vertAlign w:val="superscript"/>
              </w:rPr>
              <w:t>st</w:t>
            </w:r>
            <w:r w:rsidRPr="00C83AF9">
              <w:rPr>
                <w:rFonts w:asciiTheme="majorHAnsi" w:hAnsiTheme="majorHAnsi"/>
                <w:b/>
                <w:bCs/>
              </w:rPr>
              <w:t xml:space="preserve"> Dose Reduction</w:t>
            </w:r>
          </w:p>
        </w:tc>
        <w:tc>
          <w:tcPr>
            <w:tcW w:w="2254" w:type="dxa"/>
          </w:tcPr>
          <w:p w14:paraId="26B528D3" w14:textId="77777777" w:rsidR="003B7007" w:rsidRPr="00C83AF9" w:rsidRDefault="003B7007" w:rsidP="00451A8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83AF9">
              <w:rPr>
                <w:rFonts w:asciiTheme="majorHAnsi" w:hAnsiTheme="majorHAnsi"/>
                <w:b/>
                <w:bCs/>
              </w:rPr>
              <w:t>2</w:t>
            </w:r>
            <w:r w:rsidRPr="00C83AF9">
              <w:rPr>
                <w:rFonts w:asciiTheme="majorHAnsi" w:hAnsiTheme="majorHAnsi"/>
                <w:b/>
                <w:bCs/>
                <w:vertAlign w:val="superscript"/>
              </w:rPr>
              <w:t>nd</w:t>
            </w:r>
            <w:r w:rsidRPr="00C83AF9">
              <w:rPr>
                <w:rFonts w:asciiTheme="majorHAnsi" w:hAnsiTheme="majorHAnsi"/>
                <w:b/>
                <w:bCs/>
              </w:rPr>
              <w:t xml:space="preserve"> Dose Reduction</w:t>
            </w:r>
          </w:p>
        </w:tc>
        <w:tc>
          <w:tcPr>
            <w:tcW w:w="2254" w:type="dxa"/>
          </w:tcPr>
          <w:p w14:paraId="0EEBDFC0" w14:textId="626F4D79" w:rsidR="003B7007" w:rsidRPr="00C83AF9" w:rsidRDefault="003B7007" w:rsidP="00451A85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83AF9">
              <w:rPr>
                <w:rFonts w:asciiTheme="majorHAnsi" w:hAnsiTheme="majorHAnsi"/>
                <w:b/>
                <w:bCs/>
              </w:rPr>
              <w:t>3</w:t>
            </w:r>
            <w:r w:rsidRPr="00C83AF9">
              <w:rPr>
                <w:rFonts w:asciiTheme="majorHAnsi" w:hAnsiTheme="majorHAnsi"/>
                <w:b/>
                <w:bCs/>
                <w:vertAlign w:val="superscript"/>
              </w:rPr>
              <w:t>rd</w:t>
            </w:r>
            <w:r w:rsidRPr="00C83AF9">
              <w:rPr>
                <w:rFonts w:asciiTheme="majorHAnsi" w:hAnsiTheme="majorHAnsi"/>
                <w:b/>
                <w:bCs/>
              </w:rPr>
              <w:t xml:space="preserve"> Dose </w:t>
            </w:r>
            <w:r w:rsidR="00047C37" w:rsidRPr="00C83AF9">
              <w:rPr>
                <w:rFonts w:asciiTheme="majorHAnsi" w:hAnsiTheme="majorHAnsi"/>
                <w:b/>
                <w:bCs/>
              </w:rPr>
              <w:t>R</w:t>
            </w:r>
            <w:r w:rsidRPr="00C83AF9">
              <w:rPr>
                <w:rFonts w:asciiTheme="majorHAnsi" w:hAnsiTheme="majorHAnsi"/>
                <w:b/>
                <w:bCs/>
              </w:rPr>
              <w:t>eduction</w:t>
            </w:r>
          </w:p>
        </w:tc>
      </w:tr>
      <w:tr w:rsidR="003B7007" w:rsidRPr="00014AD4" w14:paraId="605692B9" w14:textId="77777777" w:rsidTr="00451A85">
        <w:tc>
          <w:tcPr>
            <w:tcW w:w="2254" w:type="dxa"/>
          </w:tcPr>
          <w:p w14:paraId="5F4D3395" w14:textId="77777777" w:rsidR="003B7007" w:rsidRPr="00C83AF9" w:rsidRDefault="003B7007" w:rsidP="00451A85">
            <w:pPr>
              <w:rPr>
                <w:rFonts w:asciiTheme="majorHAnsi" w:hAnsiTheme="majorHAnsi"/>
                <w:lang w:bidi="en-US"/>
              </w:rPr>
            </w:pPr>
            <w:r w:rsidRPr="00C83AF9">
              <w:rPr>
                <w:rFonts w:asciiTheme="majorHAnsi" w:hAnsiTheme="majorHAnsi"/>
                <w:lang w:bidi="en-US"/>
              </w:rPr>
              <w:t xml:space="preserve">125 mg </w:t>
            </w:r>
          </w:p>
          <w:p w14:paraId="2FC0C574" w14:textId="0F236863" w:rsidR="003B7007" w:rsidRPr="00C83AF9" w:rsidRDefault="003B7007" w:rsidP="00451A85">
            <w:pPr>
              <w:rPr>
                <w:rFonts w:asciiTheme="majorHAnsi" w:hAnsiTheme="majorHAnsi"/>
              </w:rPr>
            </w:pPr>
            <w:r w:rsidRPr="00C83AF9">
              <w:rPr>
                <w:rFonts w:asciiTheme="majorHAnsi" w:hAnsiTheme="majorHAnsi"/>
                <w:lang w:bidi="en-US"/>
              </w:rPr>
              <w:t>(</w:t>
            </w:r>
            <w:proofErr w:type="gramStart"/>
            <w:r w:rsidRPr="00C83AF9">
              <w:rPr>
                <w:rFonts w:asciiTheme="majorHAnsi" w:hAnsiTheme="majorHAnsi"/>
                <w:lang w:bidi="en-US"/>
              </w:rPr>
              <w:t>one</w:t>
            </w:r>
            <w:proofErr w:type="gramEnd"/>
            <w:r w:rsidRPr="00C83AF9">
              <w:rPr>
                <w:rFonts w:asciiTheme="majorHAnsi" w:hAnsiTheme="majorHAnsi"/>
                <w:lang w:bidi="en-US"/>
              </w:rPr>
              <w:t xml:space="preserve"> 100 mg and one 25 mg </w:t>
            </w:r>
            <w:r w:rsidR="0036099B">
              <w:rPr>
                <w:rFonts w:asciiTheme="majorHAnsi" w:hAnsiTheme="majorHAnsi"/>
                <w:lang w:bidi="en-US"/>
              </w:rPr>
              <w:t xml:space="preserve">hard </w:t>
            </w:r>
            <w:r w:rsidRPr="00C83AF9">
              <w:rPr>
                <w:rFonts w:asciiTheme="majorHAnsi" w:hAnsiTheme="majorHAnsi"/>
                <w:lang w:bidi="en-US"/>
              </w:rPr>
              <w:t>capsule)</w:t>
            </w:r>
          </w:p>
        </w:tc>
        <w:tc>
          <w:tcPr>
            <w:tcW w:w="2254" w:type="dxa"/>
          </w:tcPr>
          <w:p w14:paraId="1163C351" w14:textId="77777777" w:rsidR="003B7007" w:rsidRPr="00C83AF9" w:rsidRDefault="003B7007" w:rsidP="00451A85">
            <w:pPr>
              <w:rPr>
                <w:rFonts w:asciiTheme="majorHAnsi" w:hAnsiTheme="majorHAnsi"/>
                <w:lang w:bidi="en-US"/>
              </w:rPr>
            </w:pPr>
            <w:r w:rsidRPr="00C83AF9">
              <w:rPr>
                <w:rFonts w:asciiTheme="majorHAnsi" w:hAnsiTheme="majorHAnsi"/>
                <w:lang w:bidi="en-US"/>
              </w:rPr>
              <w:t xml:space="preserve">100 mg </w:t>
            </w:r>
          </w:p>
          <w:p w14:paraId="3B48BB8A" w14:textId="7BA19436" w:rsidR="003B7007" w:rsidRPr="00C83AF9" w:rsidRDefault="003B7007" w:rsidP="00451A85">
            <w:pPr>
              <w:rPr>
                <w:rFonts w:asciiTheme="majorHAnsi" w:hAnsiTheme="majorHAnsi"/>
              </w:rPr>
            </w:pPr>
            <w:r w:rsidRPr="00C83AF9">
              <w:rPr>
                <w:rFonts w:asciiTheme="majorHAnsi" w:hAnsiTheme="majorHAnsi"/>
                <w:lang w:bidi="en-US"/>
              </w:rPr>
              <w:t>(</w:t>
            </w:r>
            <w:proofErr w:type="gramStart"/>
            <w:r w:rsidRPr="00C83AF9">
              <w:rPr>
                <w:rFonts w:asciiTheme="majorHAnsi" w:hAnsiTheme="majorHAnsi"/>
                <w:lang w:bidi="en-US"/>
              </w:rPr>
              <w:t>one</w:t>
            </w:r>
            <w:proofErr w:type="gramEnd"/>
            <w:r w:rsidRPr="00C83AF9">
              <w:rPr>
                <w:rFonts w:asciiTheme="majorHAnsi" w:hAnsiTheme="majorHAnsi"/>
                <w:lang w:bidi="en-US"/>
              </w:rPr>
              <w:t xml:space="preserve"> 100 mg </w:t>
            </w:r>
            <w:r w:rsidR="0036099B">
              <w:rPr>
                <w:rFonts w:asciiTheme="majorHAnsi" w:hAnsiTheme="majorHAnsi"/>
                <w:lang w:bidi="en-US"/>
              </w:rPr>
              <w:t xml:space="preserve">hard </w:t>
            </w:r>
            <w:r w:rsidRPr="00C83AF9">
              <w:rPr>
                <w:rFonts w:asciiTheme="majorHAnsi" w:hAnsiTheme="majorHAnsi"/>
                <w:lang w:bidi="en-US"/>
              </w:rPr>
              <w:t>capsule)</w:t>
            </w:r>
          </w:p>
        </w:tc>
        <w:tc>
          <w:tcPr>
            <w:tcW w:w="2254" w:type="dxa"/>
          </w:tcPr>
          <w:p w14:paraId="704F710D" w14:textId="77777777" w:rsidR="003B7007" w:rsidRPr="00C83AF9" w:rsidRDefault="003B7007" w:rsidP="00451A85">
            <w:pPr>
              <w:rPr>
                <w:rFonts w:asciiTheme="majorHAnsi" w:hAnsiTheme="majorHAnsi"/>
                <w:lang w:bidi="en-US"/>
              </w:rPr>
            </w:pPr>
            <w:r w:rsidRPr="00C83AF9">
              <w:rPr>
                <w:rFonts w:asciiTheme="majorHAnsi" w:hAnsiTheme="majorHAnsi"/>
                <w:lang w:bidi="en-US"/>
              </w:rPr>
              <w:t xml:space="preserve">75 mg </w:t>
            </w:r>
          </w:p>
          <w:p w14:paraId="32B0EA59" w14:textId="3504641D" w:rsidR="003B7007" w:rsidRPr="00C83AF9" w:rsidRDefault="003B7007" w:rsidP="00451A85">
            <w:pPr>
              <w:rPr>
                <w:rFonts w:asciiTheme="majorHAnsi" w:hAnsiTheme="majorHAnsi"/>
              </w:rPr>
            </w:pPr>
            <w:r w:rsidRPr="00C83AF9">
              <w:rPr>
                <w:rFonts w:asciiTheme="majorHAnsi" w:hAnsiTheme="majorHAnsi"/>
                <w:lang w:bidi="en-US"/>
              </w:rPr>
              <w:t>(</w:t>
            </w:r>
            <w:proofErr w:type="gramStart"/>
            <w:r w:rsidRPr="00C83AF9">
              <w:rPr>
                <w:rFonts w:asciiTheme="majorHAnsi" w:hAnsiTheme="majorHAnsi"/>
                <w:lang w:bidi="en-US"/>
              </w:rPr>
              <w:t>three</w:t>
            </w:r>
            <w:proofErr w:type="gramEnd"/>
            <w:r w:rsidRPr="00C83AF9">
              <w:rPr>
                <w:rFonts w:asciiTheme="majorHAnsi" w:hAnsiTheme="majorHAnsi"/>
                <w:lang w:bidi="en-US"/>
              </w:rPr>
              <w:t xml:space="preserve"> 25 mg </w:t>
            </w:r>
            <w:r w:rsidR="0036099B">
              <w:rPr>
                <w:rFonts w:asciiTheme="majorHAnsi" w:hAnsiTheme="majorHAnsi"/>
                <w:lang w:bidi="en-US"/>
              </w:rPr>
              <w:t xml:space="preserve">hard </w:t>
            </w:r>
            <w:r w:rsidRPr="00C83AF9">
              <w:rPr>
                <w:rFonts w:asciiTheme="majorHAnsi" w:hAnsiTheme="majorHAnsi"/>
                <w:lang w:bidi="en-US"/>
              </w:rPr>
              <w:t>capsules)</w:t>
            </w:r>
          </w:p>
        </w:tc>
        <w:tc>
          <w:tcPr>
            <w:tcW w:w="2254" w:type="dxa"/>
          </w:tcPr>
          <w:p w14:paraId="481B1E17" w14:textId="77777777" w:rsidR="003B7007" w:rsidRPr="00C83AF9" w:rsidRDefault="003B7007" w:rsidP="00451A85">
            <w:pPr>
              <w:rPr>
                <w:rFonts w:asciiTheme="majorHAnsi" w:hAnsiTheme="majorHAnsi"/>
                <w:lang w:bidi="en-US"/>
              </w:rPr>
            </w:pPr>
            <w:r w:rsidRPr="00C83AF9">
              <w:rPr>
                <w:rFonts w:asciiTheme="majorHAnsi" w:hAnsiTheme="majorHAnsi"/>
                <w:lang w:bidi="en-US"/>
              </w:rPr>
              <w:t xml:space="preserve">50 mg </w:t>
            </w:r>
          </w:p>
          <w:p w14:paraId="535E3651" w14:textId="000D87B5" w:rsidR="003B7007" w:rsidRPr="00C83AF9" w:rsidRDefault="003B7007" w:rsidP="00451A85">
            <w:pPr>
              <w:rPr>
                <w:rFonts w:asciiTheme="majorHAnsi" w:hAnsiTheme="majorHAnsi"/>
              </w:rPr>
            </w:pPr>
            <w:r w:rsidRPr="00C83AF9">
              <w:rPr>
                <w:rFonts w:asciiTheme="majorHAnsi" w:hAnsiTheme="majorHAnsi"/>
                <w:lang w:bidi="en-US"/>
              </w:rPr>
              <w:t>(</w:t>
            </w:r>
            <w:proofErr w:type="gramStart"/>
            <w:r w:rsidRPr="00C83AF9">
              <w:rPr>
                <w:rFonts w:asciiTheme="majorHAnsi" w:hAnsiTheme="majorHAnsi"/>
                <w:lang w:bidi="en-US"/>
              </w:rPr>
              <w:t>two</w:t>
            </w:r>
            <w:proofErr w:type="gramEnd"/>
            <w:r w:rsidRPr="00C83AF9">
              <w:rPr>
                <w:rFonts w:asciiTheme="majorHAnsi" w:hAnsiTheme="majorHAnsi"/>
                <w:lang w:bidi="en-US"/>
              </w:rPr>
              <w:t xml:space="preserve"> 25 mg </w:t>
            </w:r>
            <w:r w:rsidR="0036099B">
              <w:rPr>
                <w:rFonts w:asciiTheme="majorHAnsi" w:hAnsiTheme="majorHAnsi"/>
                <w:lang w:bidi="en-US"/>
              </w:rPr>
              <w:t xml:space="preserve">hard </w:t>
            </w:r>
            <w:r w:rsidRPr="00C83AF9">
              <w:rPr>
                <w:rFonts w:asciiTheme="majorHAnsi" w:hAnsiTheme="majorHAnsi"/>
                <w:lang w:bidi="en-US"/>
              </w:rPr>
              <w:t>capsules)</w:t>
            </w:r>
          </w:p>
        </w:tc>
      </w:tr>
    </w:tbl>
    <w:p w14:paraId="0E9C227D" w14:textId="4E27BB69" w:rsidR="003B7007" w:rsidRPr="00C83AF9" w:rsidRDefault="003B7007" w:rsidP="006076BE">
      <w:pPr>
        <w:rPr>
          <w:rFonts w:asciiTheme="majorHAnsi" w:hAnsiTheme="majorHAnsi"/>
        </w:rPr>
      </w:pPr>
    </w:p>
    <w:p w14:paraId="654D9085" w14:textId="6EDBCBC8" w:rsidR="002F38FB" w:rsidRPr="00C83AF9" w:rsidRDefault="002F38FB" w:rsidP="003A43D4">
      <w:pPr>
        <w:jc w:val="both"/>
        <w:rPr>
          <w:rFonts w:asciiTheme="majorHAnsi" w:hAnsiTheme="majorHAnsi"/>
          <w:lang w:bidi="en-US"/>
        </w:rPr>
      </w:pPr>
      <w:r w:rsidRPr="00C83AF9">
        <w:rPr>
          <w:rFonts w:asciiTheme="majorHAnsi" w:hAnsiTheme="majorHAnsi"/>
          <w:lang w:bidi="en-US"/>
        </w:rPr>
        <w:t>The recommended dosage modifications for adverse reactions are provided in Table 2.</w:t>
      </w:r>
    </w:p>
    <w:p w14:paraId="0A26E95F" w14:textId="1150EB08" w:rsidR="00227223" w:rsidRPr="00C83AF9" w:rsidRDefault="00227223" w:rsidP="00227223">
      <w:pPr>
        <w:jc w:val="center"/>
        <w:rPr>
          <w:rFonts w:asciiTheme="majorHAnsi" w:hAnsiTheme="majorHAnsi"/>
          <w:b/>
          <w:bCs/>
        </w:rPr>
      </w:pPr>
      <w:r w:rsidRPr="00C83AF9">
        <w:rPr>
          <w:rFonts w:asciiTheme="majorHAnsi" w:hAnsiTheme="majorHAnsi"/>
          <w:b/>
          <w:bCs/>
        </w:rPr>
        <w:t xml:space="preserve">Table 2: Recommended Dose Modifications for </w:t>
      </w:r>
      <w:r w:rsidR="0057180A" w:rsidRPr="00C83AF9">
        <w:rPr>
          <w:rFonts w:asciiTheme="majorHAnsi" w:hAnsiTheme="majorHAnsi" w:cstheme="minorHAnsi"/>
          <w:b/>
          <w:bCs/>
          <w:lang w:val="en"/>
        </w:rPr>
        <w:t>TRUSELTIQ</w:t>
      </w:r>
      <w:r w:rsidR="008D7C50" w:rsidRPr="00C83AF9">
        <w:rPr>
          <w:rFonts w:asciiTheme="majorHAnsi" w:hAnsiTheme="majorHAnsi" w:cstheme="minorHAnsi"/>
          <w:b/>
          <w:bCs/>
          <w:vertAlign w:val="superscript"/>
          <w:lang w:val="en"/>
        </w:rPr>
        <w:t>TM</w:t>
      </w:r>
      <w:r w:rsidR="0057180A" w:rsidRPr="00C83AF9" w:rsidDel="0057180A">
        <w:rPr>
          <w:rFonts w:asciiTheme="majorHAnsi" w:hAnsiTheme="majorHAnsi"/>
          <w:b/>
          <w:bCs/>
        </w:rPr>
        <w:t xml:space="preserve"> </w:t>
      </w:r>
      <w:r w:rsidRPr="00C83AF9">
        <w:rPr>
          <w:rFonts w:asciiTheme="majorHAnsi" w:hAnsiTheme="majorHAnsi"/>
          <w:b/>
          <w:bCs/>
        </w:rPr>
        <w:t>for Adverse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5852"/>
      </w:tblGrid>
      <w:tr w:rsidR="00227223" w:rsidRPr="00014AD4" w14:paraId="6FD6BE4D" w14:textId="77777777" w:rsidTr="00451A85">
        <w:tc>
          <w:tcPr>
            <w:tcW w:w="3164" w:type="dxa"/>
          </w:tcPr>
          <w:p w14:paraId="1A636097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83AF9">
              <w:rPr>
                <w:rFonts w:asciiTheme="majorHAnsi" w:hAnsiTheme="majorHAnsi"/>
                <w:b/>
                <w:bCs/>
                <w:sz w:val="22"/>
                <w:szCs w:val="22"/>
              </w:rPr>
              <w:t>Adverse Reaction</w:t>
            </w:r>
          </w:p>
        </w:tc>
        <w:tc>
          <w:tcPr>
            <w:tcW w:w="5852" w:type="dxa"/>
          </w:tcPr>
          <w:p w14:paraId="717D5299" w14:textId="2AA12EC9" w:rsidR="00227223" w:rsidRPr="00C83AF9" w:rsidRDefault="0057180A" w:rsidP="00451A85">
            <w:pPr>
              <w:pStyle w:val="SageBodyText"/>
              <w:spacing w:before="60" w:after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83AF9">
              <w:rPr>
                <w:rFonts w:asciiTheme="majorHAnsi" w:hAnsiTheme="majorHAnsi" w:cstheme="minorHAnsi"/>
                <w:b/>
                <w:bCs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b/>
                <w:bCs/>
                <w:sz w:val="22"/>
                <w:szCs w:val="22"/>
                <w:vertAlign w:val="superscript"/>
                <w:lang w:val="en"/>
              </w:rPr>
              <w:t>TM</w:t>
            </w:r>
            <w:r w:rsidR="00227223" w:rsidRPr="00C83AF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Dose Modifications </w:t>
            </w:r>
          </w:p>
        </w:tc>
      </w:tr>
      <w:tr w:rsidR="00227223" w:rsidRPr="00014AD4" w14:paraId="3104FAFF" w14:textId="77777777" w:rsidTr="00451A85">
        <w:tc>
          <w:tcPr>
            <w:tcW w:w="9016" w:type="dxa"/>
            <w:gridSpan w:val="2"/>
          </w:tcPr>
          <w:p w14:paraId="1C4F8098" w14:textId="70674A7D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83AF9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Ocular Disorders</w:t>
            </w:r>
            <w:r w:rsidRPr="00C83AF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>[see Section 4.4 Special Warnings and Precaution</w:t>
            </w:r>
            <w:r w:rsidR="0057180A" w:rsidRPr="00C83AF9">
              <w:rPr>
                <w:rFonts w:asciiTheme="majorHAnsi" w:hAnsiTheme="majorHAnsi"/>
                <w:sz w:val="22"/>
                <w:szCs w:val="22"/>
              </w:rPr>
              <w:t>s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for Use]</w:t>
            </w:r>
          </w:p>
        </w:tc>
      </w:tr>
      <w:tr w:rsidR="00227223" w:rsidRPr="00014AD4" w14:paraId="3DBA7432" w14:textId="77777777" w:rsidTr="00451A85">
        <w:tc>
          <w:tcPr>
            <w:tcW w:w="9016" w:type="dxa"/>
            <w:gridSpan w:val="2"/>
          </w:tcPr>
          <w:p w14:paraId="271DCFD2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b/>
                <w:bCs/>
                <w:sz w:val="22"/>
                <w:szCs w:val="22"/>
              </w:rPr>
              <w:t>Central serous retinopathy/retinal pigment epithelial detachment (CSR/RPED)</w:t>
            </w:r>
          </w:p>
        </w:tc>
      </w:tr>
      <w:tr w:rsidR="00227223" w:rsidRPr="00014AD4" w14:paraId="6FF45FB2" w14:textId="77777777" w:rsidTr="00451A85">
        <w:tc>
          <w:tcPr>
            <w:tcW w:w="3164" w:type="dxa"/>
          </w:tcPr>
          <w:p w14:paraId="350871E4" w14:textId="3C7248A9" w:rsidR="00227223" w:rsidRPr="00C83AF9" w:rsidRDefault="00227223" w:rsidP="005E06F9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Grade 2 and 3 CSR/RPED and CSR/RPED-like events </w:t>
            </w:r>
          </w:p>
        </w:tc>
        <w:tc>
          <w:tcPr>
            <w:tcW w:w="5852" w:type="dxa"/>
          </w:tcPr>
          <w:p w14:paraId="2005F57F" w14:textId="075A5FF4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Withhold </w:t>
            </w:r>
            <w:r w:rsidR="00671CF1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/>
                <w:sz w:val="22"/>
                <w:szCs w:val="22"/>
                <w:vertAlign w:val="superscript"/>
              </w:rPr>
              <w:t>TM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until resolved to Grade ≤1 and continue </w:t>
            </w:r>
            <w:r w:rsidR="00D51141" w:rsidRPr="00C83AF9">
              <w:rPr>
                <w:rFonts w:asciiTheme="majorHAnsi" w:hAnsiTheme="majorHAnsi"/>
                <w:sz w:val="22"/>
                <w:szCs w:val="22"/>
              </w:rPr>
              <w:t xml:space="preserve">periodic 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ophthalmic evaluation. </w:t>
            </w:r>
          </w:p>
          <w:p w14:paraId="1FA7CF6C" w14:textId="4C97276F" w:rsidR="00227223" w:rsidRPr="00C83AF9" w:rsidRDefault="00227223" w:rsidP="00227223">
            <w:pPr>
              <w:pStyle w:val="SageBodyText"/>
              <w:numPr>
                <w:ilvl w:val="0"/>
                <w:numId w:val="12"/>
              </w:num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If resolved within ≤14 days, resume </w:t>
            </w:r>
            <w:r w:rsidR="00671CF1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at the next lower dose level. </w:t>
            </w:r>
          </w:p>
          <w:p w14:paraId="03CD2440" w14:textId="2C0E50F3" w:rsidR="00227223" w:rsidRPr="00C83AF9" w:rsidRDefault="00227223" w:rsidP="00227223">
            <w:pPr>
              <w:pStyle w:val="SageBodyText"/>
              <w:numPr>
                <w:ilvl w:val="0"/>
                <w:numId w:val="12"/>
              </w:num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If </w:t>
            </w:r>
            <w:r w:rsidR="00D51141" w:rsidRPr="00C83AF9">
              <w:rPr>
                <w:rFonts w:asciiTheme="majorHAnsi" w:hAnsiTheme="majorHAnsi"/>
                <w:sz w:val="22"/>
                <w:szCs w:val="22"/>
              </w:rPr>
              <w:t xml:space="preserve">not 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resolved after 14 days, permanently discontinue </w:t>
            </w:r>
            <w:r w:rsidR="00671CF1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.  </w:t>
            </w:r>
          </w:p>
        </w:tc>
      </w:tr>
      <w:tr w:rsidR="00227223" w:rsidRPr="00014AD4" w14:paraId="662557BD" w14:textId="77777777" w:rsidTr="00451A85">
        <w:tc>
          <w:tcPr>
            <w:tcW w:w="3164" w:type="dxa"/>
          </w:tcPr>
          <w:p w14:paraId="0D083590" w14:textId="759C92C4" w:rsidR="00227223" w:rsidRPr="00C83AF9" w:rsidRDefault="00227223" w:rsidP="00D44349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lastRenderedPageBreak/>
              <w:t>Grade 4 CSR/RPED and CSR/RPED-like events</w:t>
            </w:r>
          </w:p>
        </w:tc>
        <w:tc>
          <w:tcPr>
            <w:tcW w:w="5852" w:type="dxa"/>
          </w:tcPr>
          <w:p w14:paraId="0EFB9F92" w14:textId="202E85DA" w:rsidR="00227223" w:rsidRPr="00C83AF9" w:rsidRDefault="00227223" w:rsidP="009E3D86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Permanently discontinue </w:t>
            </w:r>
            <w:r w:rsidR="00671CF1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</w:tr>
      <w:tr w:rsidR="00227223" w:rsidRPr="00014AD4" w14:paraId="4511F530" w14:textId="77777777" w:rsidTr="00451A85">
        <w:trPr>
          <w:trHeight w:val="170"/>
        </w:trPr>
        <w:tc>
          <w:tcPr>
            <w:tcW w:w="9016" w:type="dxa"/>
            <w:gridSpan w:val="2"/>
          </w:tcPr>
          <w:p w14:paraId="41A3D43D" w14:textId="5D9A9EAC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C83AF9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Hyperphosphat</w:t>
            </w:r>
            <w:r w:rsidR="00047C37" w:rsidRPr="00C83AF9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a</w:t>
            </w:r>
            <w:r w:rsidRPr="00C83AF9">
              <w:rPr>
                <w:rFonts w:asciiTheme="majorHAnsi" w:hAnsiTheme="majorHAnsi"/>
                <w:b/>
                <w:bCs/>
                <w:sz w:val="22"/>
                <w:szCs w:val="22"/>
                <w:u w:val="single"/>
              </w:rPr>
              <w:t>emia</w:t>
            </w:r>
            <w:proofErr w:type="spellEnd"/>
            <w:r w:rsidRPr="00C83AF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>[see Section 4.4 Special Warnings and Precaution</w:t>
            </w:r>
            <w:r w:rsidR="0092366B" w:rsidRPr="00C83AF9">
              <w:rPr>
                <w:rFonts w:asciiTheme="majorHAnsi" w:hAnsiTheme="majorHAnsi"/>
                <w:sz w:val="22"/>
                <w:szCs w:val="22"/>
              </w:rPr>
              <w:t>s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for Use]</w:t>
            </w:r>
          </w:p>
        </w:tc>
      </w:tr>
      <w:tr w:rsidR="00227223" w:rsidRPr="00014AD4" w14:paraId="1566149A" w14:textId="77777777" w:rsidTr="00451A85">
        <w:trPr>
          <w:trHeight w:val="800"/>
        </w:trPr>
        <w:tc>
          <w:tcPr>
            <w:tcW w:w="3164" w:type="dxa"/>
          </w:tcPr>
          <w:p w14:paraId="5CF801C9" w14:textId="77777777" w:rsidR="00227223" w:rsidRPr="00C83AF9" w:rsidRDefault="00227223" w:rsidP="00451A85">
            <w:pPr>
              <w:pStyle w:val="SageBodyText"/>
              <w:tabs>
                <w:tab w:val="left" w:pos="1530"/>
              </w:tabs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Serum phosphate &gt;5.5 – ≤7.5 mg/dL </w:t>
            </w:r>
          </w:p>
        </w:tc>
        <w:tc>
          <w:tcPr>
            <w:tcW w:w="5852" w:type="dxa"/>
          </w:tcPr>
          <w:p w14:paraId="31696392" w14:textId="29205415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Continue </w:t>
            </w:r>
            <w:r w:rsidR="0092366B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at current dose. Initiate or dose adjust phosphate lowering therapy according to respective product information. </w:t>
            </w:r>
          </w:p>
          <w:p w14:paraId="331DB2EE" w14:textId="61A0F15E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i/>
                <w:sz w:val="22"/>
                <w:szCs w:val="22"/>
              </w:rPr>
            </w:pPr>
            <w:r w:rsidRPr="00C83AF9">
              <w:rPr>
                <w:rFonts w:asciiTheme="majorHAnsi" w:hAnsiTheme="majorHAnsi"/>
                <w:i/>
                <w:sz w:val="22"/>
                <w:szCs w:val="22"/>
              </w:rPr>
              <w:t xml:space="preserve">Phosphate binder dosing should be held during the week off </w:t>
            </w:r>
            <w:r w:rsidR="0092366B" w:rsidRPr="00C83AF9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i/>
                <w:sz w:val="22"/>
                <w:szCs w:val="22"/>
              </w:rPr>
              <w:t xml:space="preserve"> therapy each cycle (Days 22-28) and during </w:t>
            </w:r>
            <w:r w:rsidR="00492388" w:rsidRPr="00C83AF9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"/>
              </w:rPr>
              <w:t>TM</w:t>
            </w:r>
            <w:r w:rsidR="00492388" w:rsidRPr="00C83AF9" w:rsidDel="0092366B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492388" w:rsidRPr="00C83AF9">
              <w:rPr>
                <w:rFonts w:asciiTheme="majorHAnsi" w:hAnsiTheme="majorHAnsi"/>
                <w:i/>
                <w:sz w:val="22"/>
                <w:szCs w:val="22"/>
              </w:rPr>
              <w:t>dose</w:t>
            </w:r>
            <w:r w:rsidRPr="00C83AF9">
              <w:rPr>
                <w:rFonts w:asciiTheme="majorHAnsi" w:hAnsiTheme="majorHAnsi"/>
                <w:i/>
                <w:sz w:val="22"/>
                <w:szCs w:val="22"/>
              </w:rPr>
              <w:t xml:space="preserve"> interruptions for non-</w:t>
            </w:r>
            <w:proofErr w:type="spellStart"/>
            <w:r w:rsidRPr="00C83AF9">
              <w:rPr>
                <w:rFonts w:asciiTheme="majorHAnsi" w:hAnsiTheme="majorHAnsi"/>
                <w:i/>
                <w:sz w:val="22"/>
                <w:szCs w:val="22"/>
              </w:rPr>
              <w:t>hyperphosphat</w:t>
            </w:r>
            <w:r w:rsidR="00047C37" w:rsidRPr="00C83AF9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Pr="00C83AF9">
              <w:rPr>
                <w:rFonts w:asciiTheme="majorHAnsi" w:hAnsiTheme="majorHAnsi"/>
                <w:i/>
                <w:sz w:val="22"/>
                <w:szCs w:val="22"/>
              </w:rPr>
              <w:t>emia</w:t>
            </w:r>
            <w:proofErr w:type="spellEnd"/>
            <w:r w:rsidRPr="00C83AF9">
              <w:rPr>
                <w:rFonts w:asciiTheme="majorHAnsi" w:hAnsiTheme="majorHAnsi"/>
                <w:i/>
                <w:sz w:val="22"/>
                <w:szCs w:val="22"/>
              </w:rPr>
              <w:t xml:space="preserve"> adverse events.</w:t>
            </w:r>
          </w:p>
        </w:tc>
      </w:tr>
      <w:tr w:rsidR="00227223" w:rsidRPr="00014AD4" w14:paraId="04DCFA91" w14:textId="77777777" w:rsidTr="00451A85">
        <w:tc>
          <w:tcPr>
            <w:tcW w:w="3164" w:type="dxa"/>
          </w:tcPr>
          <w:p w14:paraId="08311E02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Serum phosphate &gt;7.5 mg/dL </w:t>
            </w:r>
          </w:p>
          <w:p w14:paraId="5F58DFD5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b/>
                <w:bCs/>
                <w:sz w:val="22"/>
                <w:szCs w:val="22"/>
              </w:rPr>
              <w:t>Or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F8FD58D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Single serum phosphate &gt;9.0 mg/dL regardless of duration or dose of phosphate lowering therapy. </w:t>
            </w:r>
          </w:p>
          <w:p w14:paraId="7C0086FE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52" w:type="dxa"/>
          </w:tcPr>
          <w:p w14:paraId="3B47B962" w14:textId="3C6C3FD3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Withhold </w:t>
            </w:r>
            <w:r w:rsidR="00013C33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until level returns to serum phosphate</w:t>
            </w:r>
            <w:r w:rsidRPr="00C83AF9">
              <w:rPr>
                <w:rFonts w:asciiTheme="majorHAnsi" w:eastAsia="Times New Roman" w:hAnsiTheme="majorHAnsi"/>
                <w:sz w:val="22"/>
                <w:szCs w:val="22"/>
              </w:rPr>
              <w:t xml:space="preserve"> ≤5.5 mg/dL. </w:t>
            </w:r>
          </w:p>
          <w:p w14:paraId="499FA8DC" w14:textId="6DFCE072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Resume </w:t>
            </w:r>
            <w:r w:rsidR="00013C33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as below, with maximal phosphate binder dosing:</w:t>
            </w:r>
          </w:p>
          <w:p w14:paraId="0D1DEBF9" w14:textId="1897C619" w:rsidR="00227223" w:rsidRPr="00C83AF9" w:rsidRDefault="00227223" w:rsidP="00227223">
            <w:pPr>
              <w:pStyle w:val="SageBodyText"/>
              <w:numPr>
                <w:ilvl w:val="0"/>
                <w:numId w:val="11"/>
              </w:num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If the patient did not receive maximal phosphate binder dosing for serum phosphate &gt;7.5 mg/dL or if serum phosphate &gt;7.5 mg/dL occurred for less than 7 days: Restart </w:t>
            </w:r>
            <w:r w:rsidR="00492388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="00492388" w:rsidRPr="00C83AF9" w:rsidDel="00013C3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2388" w:rsidRPr="00C83AF9">
              <w:rPr>
                <w:rFonts w:asciiTheme="majorHAnsi" w:hAnsiTheme="majorHAnsi"/>
                <w:sz w:val="22"/>
                <w:szCs w:val="22"/>
              </w:rPr>
              <w:t>at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the same dose. </w:t>
            </w:r>
          </w:p>
          <w:p w14:paraId="4FF26016" w14:textId="7803F83F" w:rsidR="00227223" w:rsidRPr="00C83AF9" w:rsidRDefault="00227223" w:rsidP="00227223">
            <w:pPr>
              <w:pStyle w:val="SageBodyText"/>
              <w:numPr>
                <w:ilvl w:val="0"/>
                <w:numId w:val="11"/>
              </w:num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If the patient had received maximal phosphate lowering therapy for serum phosphate &gt;7.5 mg/dL for &gt;7 days or if patient had a one-time serum phosphate of &gt;9.0 mg/dL: Resume </w:t>
            </w:r>
            <w:r w:rsidR="00B62A84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at the next lower dose level.   </w:t>
            </w:r>
          </w:p>
          <w:p w14:paraId="205D016A" w14:textId="3CED16FD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It is recommended that phosphate binder dosing continues during </w:t>
            </w:r>
            <w:r w:rsidR="00104A6B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dose interruptions for </w:t>
            </w:r>
            <w:proofErr w:type="spellStart"/>
            <w:r w:rsidRPr="00C83AF9">
              <w:rPr>
                <w:rFonts w:asciiTheme="majorHAnsi" w:hAnsiTheme="majorHAnsi"/>
                <w:sz w:val="22"/>
                <w:szCs w:val="22"/>
              </w:rPr>
              <w:t>hyperphosphat</w:t>
            </w:r>
            <w:r w:rsidR="00C70E16" w:rsidRPr="00C83AF9">
              <w:rPr>
                <w:rFonts w:asciiTheme="majorHAnsi" w:hAnsiTheme="majorHAnsi"/>
                <w:sz w:val="22"/>
                <w:szCs w:val="22"/>
              </w:rPr>
              <w:t>a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>emia</w:t>
            </w:r>
            <w:proofErr w:type="spellEnd"/>
            <w:r w:rsidRPr="00C83AF9">
              <w:rPr>
                <w:rFonts w:asciiTheme="majorHAnsi" w:hAnsiTheme="majorHAnsi"/>
                <w:sz w:val="22"/>
                <w:szCs w:val="22"/>
              </w:rPr>
              <w:t xml:space="preserve"> and that serum phosphate values be monitored frequently, </w:t>
            </w:r>
            <w:proofErr w:type="spellStart"/>
            <w:r w:rsidRPr="00C83AF9">
              <w:rPr>
                <w:rFonts w:asciiTheme="majorHAnsi" w:hAnsiTheme="majorHAnsi"/>
                <w:sz w:val="22"/>
                <w:szCs w:val="22"/>
              </w:rPr>
              <w:t>eg</w:t>
            </w:r>
            <w:proofErr w:type="spellEnd"/>
            <w:r w:rsidRPr="00C83AF9">
              <w:rPr>
                <w:rFonts w:asciiTheme="majorHAnsi" w:hAnsiTheme="majorHAnsi"/>
                <w:sz w:val="22"/>
                <w:szCs w:val="22"/>
              </w:rPr>
              <w:t xml:space="preserve">, every 2-3 days. </w:t>
            </w:r>
          </w:p>
          <w:p w14:paraId="2B0BF5AF" w14:textId="0E20F885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i/>
                <w:sz w:val="22"/>
                <w:szCs w:val="22"/>
              </w:rPr>
            </w:pPr>
            <w:r w:rsidRPr="00C83AF9">
              <w:rPr>
                <w:rFonts w:asciiTheme="majorHAnsi" w:hAnsiTheme="majorHAnsi"/>
                <w:i/>
                <w:sz w:val="22"/>
                <w:szCs w:val="22"/>
              </w:rPr>
              <w:t xml:space="preserve">Phosphate binder dosing should be held during the week off </w:t>
            </w:r>
            <w:r w:rsidR="00104A6B" w:rsidRPr="00C83AF9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"/>
              </w:rPr>
              <w:t>TM</w:t>
            </w:r>
            <w:r w:rsidRPr="00C83AF9">
              <w:rPr>
                <w:rFonts w:asciiTheme="majorHAnsi" w:hAnsiTheme="majorHAnsi"/>
                <w:i/>
                <w:sz w:val="22"/>
                <w:szCs w:val="22"/>
              </w:rPr>
              <w:t xml:space="preserve"> therapy each cycle (Days 22-28) and during </w:t>
            </w:r>
            <w:r w:rsidR="00492388" w:rsidRPr="00C83AF9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i/>
                <w:iCs/>
                <w:sz w:val="22"/>
                <w:szCs w:val="22"/>
                <w:vertAlign w:val="superscript"/>
                <w:lang w:val="en"/>
              </w:rPr>
              <w:t>TM</w:t>
            </w:r>
            <w:r w:rsidR="00492388" w:rsidRPr="00C83AF9" w:rsidDel="00104A6B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 </w:t>
            </w:r>
            <w:r w:rsidR="00492388" w:rsidRPr="00C83AF9">
              <w:rPr>
                <w:rFonts w:asciiTheme="majorHAnsi" w:hAnsiTheme="majorHAnsi"/>
                <w:i/>
                <w:sz w:val="22"/>
                <w:szCs w:val="22"/>
              </w:rPr>
              <w:t>dose</w:t>
            </w:r>
            <w:r w:rsidRPr="00C83AF9">
              <w:rPr>
                <w:rFonts w:asciiTheme="majorHAnsi" w:hAnsiTheme="majorHAnsi"/>
                <w:i/>
                <w:sz w:val="22"/>
                <w:szCs w:val="22"/>
              </w:rPr>
              <w:t xml:space="preserve"> interruptions for non-</w:t>
            </w:r>
            <w:proofErr w:type="spellStart"/>
            <w:r w:rsidRPr="00C83AF9">
              <w:rPr>
                <w:rFonts w:asciiTheme="majorHAnsi" w:hAnsiTheme="majorHAnsi"/>
                <w:i/>
                <w:sz w:val="22"/>
                <w:szCs w:val="22"/>
              </w:rPr>
              <w:t>hyperphosphat</w:t>
            </w:r>
            <w:r w:rsidR="00C70E16" w:rsidRPr="00C83AF9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Pr="00C83AF9">
              <w:rPr>
                <w:rFonts w:asciiTheme="majorHAnsi" w:hAnsiTheme="majorHAnsi"/>
                <w:i/>
                <w:sz w:val="22"/>
                <w:szCs w:val="22"/>
              </w:rPr>
              <w:t>emia</w:t>
            </w:r>
            <w:proofErr w:type="spellEnd"/>
            <w:r w:rsidRPr="00C83AF9">
              <w:rPr>
                <w:rFonts w:asciiTheme="majorHAnsi" w:hAnsiTheme="majorHAnsi"/>
                <w:i/>
                <w:sz w:val="22"/>
                <w:szCs w:val="22"/>
              </w:rPr>
              <w:t xml:space="preserve"> adverse events.</w:t>
            </w:r>
          </w:p>
        </w:tc>
      </w:tr>
      <w:tr w:rsidR="00227223" w:rsidRPr="00014AD4" w14:paraId="7FF75BB6" w14:textId="77777777" w:rsidTr="00451A85">
        <w:trPr>
          <w:cantSplit/>
        </w:trPr>
        <w:tc>
          <w:tcPr>
            <w:tcW w:w="3164" w:type="dxa"/>
          </w:tcPr>
          <w:p w14:paraId="2C8544CC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>Serum phosphate with life-threatening consequences; urgent intervention indicated (</w:t>
            </w:r>
            <w:proofErr w:type="spellStart"/>
            <w:r w:rsidRPr="00C83AF9">
              <w:rPr>
                <w:rFonts w:asciiTheme="majorHAnsi" w:hAnsiTheme="majorHAnsi"/>
                <w:sz w:val="22"/>
                <w:szCs w:val="22"/>
              </w:rPr>
              <w:t>eg</w:t>
            </w:r>
            <w:proofErr w:type="spellEnd"/>
            <w:r w:rsidRPr="00C83AF9">
              <w:rPr>
                <w:rFonts w:asciiTheme="majorHAnsi" w:hAnsiTheme="majorHAnsi"/>
                <w:sz w:val="22"/>
                <w:szCs w:val="22"/>
              </w:rPr>
              <w:t>, dialysis)</w:t>
            </w:r>
          </w:p>
        </w:tc>
        <w:tc>
          <w:tcPr>
            <w:tcW w:w="5852" w:type="dxa"/>
          </w:tcPr>
          <w:p w14:paraId="0FAD21D3" w14:textId="45706C36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Permanently discontinue </w:t>
            </w:r>
            <w:r w:rsidR="00492388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="00492388" w:rsidRPr="00C83AF9" w:rsidDel="00675CED">
              <w:rPr>
                <w:rFonts w:asciiTheme="majorHAnsi" w:hAnsiTheme="majorHAnsi"/>
                <w:sz w:val="22"/>
                <w:szCs w:val="22"/>
              </w:rPr>
              <w:t>.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227223" w:rsidRPr="00014AD4" w14:paraId="71418890" w14:textId="77777777" w:rsidTr="00451A85">
        <w:tc>
          <w:tcPr>
            <w:tcW w:w="9016" w:type="dxa"/>
            <w:gridSpan w:val="2"/>
          </w:tcPr>
          <w:p w14:paraId="4F8660EF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83AF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Other adverse </w:t>
            </w:r>
            <w:proofErr w:type="spellStart"/>
            <w:r w:rsidRPr="00C83AF9">
              <w:rPr>
                <w:rFonts w:asciiTheme="majorHAnsi" w:hAnsiTheme="majorHAnsi"/>
                <w:b/>
                <w:bCs/>
                <w:sz w:val="22"/>
                <w:szCs w:val="22"/>
              </w:rPr>
              <w:t>reactions</w:t>
            </w:r>
            <w:r w:rsidRPr="00C83AF9">
              <w:rPr>
                <w:rFonts w:asciiTheme="majorHAnsi" w:hAnsiTheme="majorHAnsi"/>
                <w:b/>
                <w:bCs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227223" w:rsidRPr="00014AD4" w14:paraId="32D90ECF" w14:textId="77777777" w:rsidTr="00451A85">
        <w:tc>
          <w:tcPr>
            <w:tcW w:w="3164" w:type="dxa"/>
          </w:tcPr>
          <w:p w14:paraId="7A20F10C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>Grade 3</w:t>
            </w:r>
          </w:p>
        </w:tc>
        <w:tc>
          <w:tcPr>
            <w:tcW w:w="5852" w:type="dxa"/>
          </w:tcPr>
          <w:p w14:paraId="5CCC598F" w14:textId="0A419573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Withhold dose of </w:t>
            </w:r>
            <w:r w:rsidR="00492388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="00492388" w:rsidRPr="00C83AF9" w:rsidDel="004163C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92388" w:rsidRPr="00C83AF9">
              <w:rPr>
                <w:rFonts w:asciiTheme="majorHAnsi" w:hAnsiTheme="majorHAnsi"/>
                <w:sz w:val="22"/>
                <w:szCs w:val="22"/>
              </w:rPr>
              <w:t>until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resolved to CTCAE Grade ≤1, then resume at the next lower dose level of </w:t>
            </w:r>
            <w:r w:rsidR="00492388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="00492388" w:rsidRPr="00C83AF9" w:rsidDel="004163CF">
              <w:rPr>
                <w:rFonts w:asciiTheme="majorHAnsi" w:hAnsiTheme="majorHAnsi"/>
                <w:sz w:val="22"/>
                <w:szCs w:val="22"/>
              </w:rPr>
              <w:t>.</w:t>
            </w:r>
            <w:r w:rsidRPr="00C83AF9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14:paraId="2694BB10" w14:textId="0CF77C5F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If not resolved within ≤14 days, permanently discontinue </w:t>
            </w:r>
            <w:r w:rsidR="00492388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="00492388" w:rsidRPr="00C83AF9" w:rsidDel="004163C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227223" w:rsidRPr="00014AD4" w14:paraId="4ED176B0" w14:textId="77777777" w:rsidTr="00451A85">
        <w:tc>
          <w:tcPr>
            <w:tcW w:w="3164" w:type="dxa"/>
          </w:tcPr>
          <w:p w14:paraId="4C19E54E" w14:textId="77777777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>Grade 4</w:t>
            </w:r>
          </w:p>
        </w:tc>
        <w:tc>
          <w:tcPr>
            <w:tcW w:w="5852" w:type="dxa"/>
          </w:tcPr>
          <w:p w14:paraId="187EAD77" w14:textId="5C3AEB9D" w:rsidR="00227223" w:rsidRPr="00C83AF9" w:rsidRDefault="00227223" w:rsidP="00451A85">
            <w:pPr>
              <w:pStyle w:val="SageBodyText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C83AF9">
              <w:rPr>
                <w:rFonts w:asciiTheme="majorHAnsi" w:hAnsiTheme="majorHAnsi"/>
                <w:sz w:val="22"/>
                <w:szCs w:val="22"/>
              </w:rPr>
              <w:t xml:space="preserve">Permanently discontinue </w:t>
            </w:r>
            <w:r w:rsidR="00492388" w:rsidRPr="00C83AF9">
              <w:rPr>
                <w:rFonts w:asciiTheme="majorHAnsi" w:hAnsiTheme="majorHAnsi" w:cstheme="minorHAnsi"/>
                <w:sz w:val="22"/>
                <w:szCs w:val="22"/>
                <w:lang w:val="en"/>
              </w:rPr>
              <w:t>TRUSELTIQ</w:t>
            </w:r>
            <w:r w:rsidR="008D7C50" w:rsidRPr="00C83AF9">
              <w:rPr>
                <w:rFonts w:asciiTheme="majorHAnsi" w:hAnsiTheme="majorHAnsi" w:cstheme="minorHAnsi"/>
                <w:sz w:val="22"/>
                <w:szCs w:val="22"/>
                <w:vertAlign w:val="superscript"/>
                <w:lang w:val="en"/>
              </w:rPr>
              <w:t>TM</w:t>
            </w:r>
            <w:r w:rsidR="00492388" w:rsidRPr="00C83AF9" w:rsidDel="004163C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14:paraId="7B62B9FD" w14:textId="6D6C08AD" w:rsidR="00163856" w:rsidRPr="009E2E9F" w:rsidRDefault="00227223" w:rsidP="00227223">
      <w:pPr>
        <w:pStyle w:val="SageBodyText"/>
        <w:spacing w:before="0"/>
        <w:rPr>
          <w:rFonts w:asciiTheme="majorHAnsi" w:hAnsiTheme="majorHAnsi"/>
          <w:sz w:val="20"/>
          <w:szCs w:val="20"/>
        </w:rPr>
      </w:pPr>
      <w:r w:rsidRPr="009E2E9F">
        <w:rPr>
          <w:rFonts w:asciiTheme="majorHAnsi" w:hAnsiTheme="majorHAnsi"/>
          <w:sz w:val="20"/>
          <w:szCs w:val="20"/>
          <w:vertAlign w:val="superscript"/>
        </w:rPr>
        <w:t>a</w:t>
      </w:r>
      <w:r w:rsidRPr="009E2E9F">
        <w:rPr>
          <w:rFonts w:asciiTheme="majorHAnsi" w:hAnsiTheme="majorHAnsi"/>
          <w:sz w:val="20"/>
          <w:szCs w:val="20"/>
        </w:rPr>
        <w:t xml:space="preserve"> Severity as defined by National Cancer Institute Common Terminology Criteria for Adverse Events (NCI CTCAE version 4.03).</w:t>
      </w:r>
    </w:p>
    <w:p w14:paraId="21B3CF5D" w14:textId="026859FA" w:rsidR="00227223" w:rsidRDefault="00227223" w:rsidP="00492388">
      <w:pPr>
        <w:pStyle w:val="SageBodyText"/>
        <w:spacing w:before="0"/>
      </w:pPr>
    </w:p>
    <w:p w14:paraId="5A1DC53F" w14:textId="7C5B6E3B" w:rsidR="006A38FD" w:rsidRPr="009E2E9F" w:rsidRDefault="006A38FD" w:rsidP="006A38FD">
      <w:pPr>
        <w:pStyle w:val="Heading3"/>
        <w:ind w:left="0"/>
      </w:pPr>
      <w:r w:rsidRPr="009E2E9F">
        <w:t xml:space="preserve">Dose Modifications for </w:t>
      </w:r>
      <w:r w:rsidR="00B021C6">
        <w:t xml:space="preserve">Mild and </w:t>
      </w:r>
      <w:r w:rsidRPr="009E2E9F">
        <w:t xml:space="preserve">Moderate </w:t>
      </w:r>
      <w:r w:rsidR="003579B1">
        <w:t>Renal</w:t>
      </w:r>
      <w:r w:rsidRPr="009E2E9F">
        <w:t xml:space="preserve"> Impairment</w:t>
      </w:r>
    </w:p>
    <w:p w14:paraId="78507D7F" w14:textId="1626E0BC" w:rsidR="006A38FD" w:rsidRPr="006A38FD" w:rsidRDefault="006A38FD" w:rsidP="00492388">
      <w:pPr>
        <w:pStyle w:val="SageBodyText"/>
        <w:spacing w:before="0"/>
        <w:rPr>
          <w:lang w:val="en-AU"/>
        </w:rPr>
      </w:pPr>
      <w:r w:rsidRPr="006A38FD">
        <w:rPr>
          <w:lang w:val="en-AU"/>
        </w:rPr>
        <w:t>The recommended dosage of TRUSELTIQ</w:t>
      </w:r>
      <w:r w:rsidR="00550C6A" w:rsidRPr="00EA5CF6">
        <w:rPr>
          <w:vertAlign w:val="superscript"/>
          <w:lang w:val="en-AU"/>
        </w:rPr>
        <w:t>™</w:t>
      </w:r>
      <w:r w:rsidRPr="006A38FD">
        <w:rPr>
          <w:lang w:val="en-AU"/>
        </w:rPr>
        <w:t xml:space="preserve"> for patients with mild to moderate renal impairment (creatinine clearance 30 to 89 mL/min, estimated by Cockcroft-Gault) is 100 mg once daily for 21 consecutive days followed by 7 days off therapy, in 28-day cycles</w:t>
      </w:r>
      <w:r>
        <w:rPr>
          <w:lang w:val="en-AU"/>
        </w:rPr>
        <w:t xml:space="preserve"> [see Section 4.4 </w:t>
      </w:r>
      <w:r w:rsidRPr="009E2E9F">
        <w:rPr>
          <w:rFonts w:asciiTheme="majorHAnsi" w:hAnsiTheme="majorHAnsi"/>
        </w:rPr>
        <w:t>Special Warnings and Precautions for Use</w:t>
      </w:r>
      <w:r w:rsidR="003579B1">
        <w:rPr>
          <w:rFonts w:asciiTheme="majorHAnsi" w:hAnsiTheme="majorHAnsi"/>
        </w:rPr>
        <w:t xml:space="preserve"> and Section 5.2 Pharmacokinetic Properties</w:t>
      </w:r>
      <w:r w:rsidRPr="009E2E9F">
        <w:rPr>
          <w:rFonts w:asciiTheme="majorHAnsi" w:hAnsiTheme="majorHAnsi"/>
        </w:rPr>
        <w:t>].</w:t>
      </w:r>
    </w:p>
    <w:p w14:paraId="1B63CE2C" w14:textId="185CFA82" w:rsidR="00227223" w:rsidRDefault="00227223" w:rsidP="00451A85">
      <w:pPr>
        <w:pStyle w:val="Heading3"/>
        <w:ind w:left="0"/>
      </w:pPr>
      <w:r w:rsidRPr="009E2E9F">
        <w:t>Dose Modifications for Moderate Hepatic Impairment</w:t>
      </w:r>
    </w:p>
    <w:p w14:paraId="420301FA" w14:textId="5866B78B" w:rsidR="00C84D4C" w:rsidRPr="004F786D" w:rsidRDefault="00C84D4C" w:rsidP="00C84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F786D">
        <w:rPr>
          <w:rFonts w:asciiTheme="majorHAnsi" w:hAnsiTheme="majorHAnsi" w:cs="Times New Roman"/>
          <w:sz w:val="24"/>
          <w:szCs w:val="24"/>
        </w:rPr>
        <w:t>The recommended dosage of TRUSELTIQ™ for patients with mild (total bilirubin &gt; upper limit of normal [ULN] to 1.5 × ULN or AST &gt; ULN) or moderate hepatic</w:t>
      </w:r>
      <w:r w:rsidR="004F786D">
        <w:rPr>
          <w:rFonts w:asciiTheme="majorHAnsi" w:hAnsiTheme="majorHAnsi" w:cs="Times New Roman"/>
          <w:sz w:val="24"/>
          <w:szCs w:val="24"/>
        </w:rPr>
        <w:t xml:space="preserve"> </w:t>
      </w:r>
      <w:r w:rsidRPr="004F786D">
        <w:rPr>
          <w:rFonts w:asciiTheme="majorHAnsi" w:hAnsiTheme="majorHAnsi" w:cs="Times New Roman"/>
          <w:sz w:val="24"/>
          <w:szCs w:val="24"/>
        </w:rPr>
        <w:t xml:space="preserve">impairment (total bilirubin &gt;1.5 to 3 × ULN with any AST) is as follows [see 4.4 Special Warnings and Precautions </w:t>
      </w:r>
      <w:r w:rsidR="004F786D">
        <w:rPr>
          <w:rFonts w:asciiTheme="majorHAnsi" w:hAnsiTheme="majorHAnsi" w:cs="Times New Roman"/>
          <w:sz w:val="24"/>
          <w:szCs w:val="24"/>
        </w:rPr>
        <w:t>f</w:t>
      </w:r>
      <w:r w:rsidRPr="004F786D">
        <w:rPr>
          <w:rFonts w:asciiTheme="majorHAnsi" w:hAnsiTheme="majorHAnsi" w:cs="Times New Roman"/>
          <w:sz w:val="24"/>
          <w:szCs w:val="24"/>
        </w:rPr>
        <w:t xml:space="preserve">or Use]. </w:t>
      </w:r>
    </w:p>
    <w:p w14:paraId="57567446" w14:textId="56DBDD86" w:rsidR="00C84D4C" w:rsidRPr="004F786D" w:rsidRDefault="00C84D4C" w:rsidP="00C84D4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F786D">
        <w:rPr>
          <w:rFonts w:asciiTheme="majorHAnsi" w:hAnsiTheme="majorHAnsi" w:cs="Times New Roman"/>
          <w:sz w:val="24"/>
          <w:szCs w:val="24"/>
        </w:rPr>
        <w:t>Mild Hepatic Impairment: 100 mg once daily for 21 consecutive days followed by 7 days off therapy, in 28-day cycles.</w:t>
      </w:r>
    </w:p>
    <w:p w14:paraId="4D88348E" w14:textId="3E74A771" w:rsidR="00C84D4C" w:rsidRDefault="00C84D4C" w:rsidP="00C84D4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F786D">
        <w:rPr>
          <w:rFonts w:asciiTheme="majorHAnsi" w:hAnsiTheme="majorHAnsi" w:cs="Times New Roman"/>
          <w:sz w:val="24"/>
          <w:szCs w:val="24"/>
        </w:rPr>
        <w:t>Moderate Hepatic Impairment: 75 mg once daily for 21 consecutive days followed by 7 days off therapy, in 28-day cycles.</w:t>
      </w:r>
    </w:p>
    <w:p w14:paraId="1C485E9D" w14:textId="77777777" w:rsidR="001E1356" w:rsidRPr="004F786D" w:rsidRDefault="001E1356" w:rsidP="001E13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 New Roman"/>
          <w:sz w:val="24"/>
          <w:szCs w:val="24"/>
        </w:rPr>
      </w:pPr>
    </w:p>
    <w:p w14:paraId="4089F824" w14:textId="1CBA4760" w:rsidR="001A3992" w:rsidRPr="009E2E9F" w:rsidRDefault="001A3992" w:rsidP="001A3992">
      <w:pPr>
        <w:pStyle w:val="Heading2"/>
        <w:spacing w:before="0" w:after="120"/>
      </w:pPr>
      <w:r w:rsidRPr="009E2E9F">
        <w:t>Contraindications</w:t>
      </w:r>
    </w:p>
    <w:p w14:paraId="52F1E067" w14:textId="2179F322" w:rsidR="00163856" w:rsidRDefault="00492388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Pr="009E2E9F" w:rsidDel="00BD55D4">
        <w:rPr>
          <w:rFonts w:asciiTheme="majorHAnsi" w:hAnsiTheme="majorHAnsi"/>
        </w:rPr>
        <w:t xml:space="preserve"> </w:t>
      </w:r>
      <w:r w:rsidRPr="009E2E9F">
        <w:rPr>
          <w:rFonts w:asciiTheme="majorHAnsi" w:hAnsiTheme="majorHAnsi"/>
        </w:rPr>
        <w:t>is</w:t>
      </w:r>
      <w:r w:rsidR="001112AD" w:rsidRPr="009E2E9F">
        <w:rPr>
          <w:rFonts w:asciiTheme="majorHAnsi" w:hAnsiTheme="majorHAnsi"/>
        </w:rPr>
        <w:t xml:space="preserve"> contraindicated in patients with hypersensitivity to </w:t>
      </w:r>
      <w:proofErr w:type="spellStart"/>
      <w:r w:rsidR="001112AD" w:rsidRPr="009E2E9F">
        <w:rPr>
          <w:rFonts w:asciiTheme="majorHAnsi" w:hAnsiTheme="majorHAnsi"/>
        </w:rPr>
        <w:t>infigratinib</w:t>
      </w:r>
      <w:proofErr w:type="spellEnd"/>
      <w:r w:rsidR="001112AD" w:rsidRPr="009E2E9F">
        <w:rPr>
          <w:rFonts w:asciiTheme="majorHAnsi" w:hAnsiTheme="majorHAnsi"/>
        </w:rPr>
        <w:t xml:space="preserve"> or to any other </w:t>
      </w:r>
      <w:r w:rsidR="00BD55D4" w:rsidRPr="009E2E9F">
        <w:rPr>
          <w:rFonts w:asciiTheme="majorHAnsi" w:hAnsiTheme="majorHAnsi"/>
        </w:rPr>
        <w:t xml:space="preserve">ingredients </w:t>
      </w:r>
      <w:r w:rsidRPr="009E2E9F">
        <w:rPr>
          <w:rFonts w:asciiTheme="majorHAnsi" w:hAnsiTheme="majorHAnsi"/>
        </w:rPr>
        <w:t xml:space="preserve">in </w:t>
      </w:r>
      <w:r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Pr="009E2E9F" w:rsidDel="00BD55D4">
        <w:rPr>
          <w:rFonts w:asciiTheme="majorHAnsi" w:hAnsiTheme="majorHAnsi"/>
        </w:rPr>
        <w:t xml:space="preserve"> </w:t>
      </w:r>
      <w:r w:rsidR="007607B4">
        <w:rPr>
          <w:rFonts w:asciiTheme="majorHAnsi" w:hAnsiTheme="majorHAnsi"/>
        </w:rPr>
        <w:t xml:space="preserve">hard </w:t>
      </w:r>
      <w:r w:rsidRPr="009E2E9F">
        <w:rPr>
          <w:rFonts w:asciiTheme="majorHAnsi" w:hAnsiTheme="majorHAnsi"/>
        </w:rPr>
        <w:t>capsules</w:t>
      </w:r>
      <w:r w:rsidR="001112AD" w:rsidRPr="009E2E9F">
        <w:rPr>
          <w:rFonts w:asciiTheme="majorHAnsi" w:hAnsiTheme="majorHAnsi"/>
        </w:rPr>
        <w:t>.</w:t>
      </w:r>
    </w:p>
    <w:p w14:paraId="7EE2BD0A" w14:textId="36B47E29" w:rsidR="002F38FB" w:rsidRPr="009E2E9F" w:rsidRDefault="00E74A56" w:rsidP="002F38FB">
      <w:pPr>
        <w:pStyle w:val="Heading2"/>
        <w:spacing w:before="0" w:after="120"/>
      </w:pPr>
      <w:r w:rsidRPr="009E2E9F">
        <w:t>Special warnings and p</w:t>
      </w:r>
      <w:r w:rsidR="001A3992" w:rsidRPr="009E2E9F">
        <w:t xml:space="preserve">recautions </w:t>
      </w:r>
      <w:r w:rsidRPr="009E2E9F">
        <w:t>for use</w:t>
      </w:r>
    </w:p>
    <w:p w14:paraId="66FC31F7" w14:textId="77777777" w:rsidR="001112AD" w:rsidRPr="009E2E9F" w:rsidRDefault="001112AD" w:rsidP="009E18ED">
      <w:pPr>
        <w:pStyle w:val="Heading3"/>
        <w:spacing w:before="0" w:after="120"/>
        <w:ind w:left="0"/>
      </w:pPr>
      <w:r w:rsidRPr="009E2E9F">
        <w:t>Ocular Disorder</w:t>
      </w:r>
    </w:p>
    <w:p w14:paraId="7C2CF417" w14:textId="77777777" w:rsidR="001112AD" w:rsidRPr="009E2E9F" w:rsidRDefault="001112AD" w:rsidP="003A43D4">
      <w:pPr>
        <w:pStyle w:val="Heading4"/>
        <w:numPr>
          <w:ilvl w:val="0"/>
          <w:numId w:val="0"/>
        </w:numPr>
        <w:jc w:val="both"/>
        <w:rPr>
          <w:b w:val="0"/>
          <w:bCs w:val="0"/>
          <w:i w:val="0"/>
          <w:iCs w:val="0"/>
          <w:color w:val="000000" w:themeColor="text1"/>
          <w:u w:val="single"/>
        </w:rPr>
      </w:pPr>
      <w:r w:rsidRPr="009E2E9F">
        <w:rPr>
          <w:b w:val="0"/>
          <w:bCs w:val="0"/>
          <w:i w:val="0"/>
          <w:iCs w:val="0"/>
          <w:color w:val="000000" w:themeColor="text1"/>
          <w:u w:val="single"/>
        </w:rPr>
        <w:t>Central Serous Retinopathy/Retinal Pigment Epithelial Detachment (CSR/RPED)</w:t>
      </w:r>
    </w:p>
    <w:p w14:paraId="639D1F53" w14:textId="2ABD09EF" w:rsidR="001112AD" w:rsidRPr="009E2E9F" w:rsidRDefault="00492388" w:rsidP="003A43D4">
      <w:pPr>
        <w:jc w:val="both"/>
        <w:rPr>
          <w:rFonts w:asciiTheme="majorHAnsi" w:hAnsiTheme="majorHAnsi"/>
          <w:b/>
          <w:bCs/>
        </w:rPr>
      </w:pPr>
      <w:r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Pr="009E2E9F" w:rsidDel="00B713BC">
        <w:rPr>
          <w:rFonts w:asciiTheme="majorHAnsi" w:hAnsiTheme="majorHAnsi"/>
        </w:rPr>
        <w:t xml:space="preserve"> </w:t>
      </w:r>
      <w:r w:rsidRPr="009E2E9F">
        <w:rPr>
          <w:rFonts w:asciiTheme="majorHAnsi" w:hAnsiTheme="majorHAnsi"/>
        </w:rPr>
        <w:t>can</w:t>
      </w:r>
      <w:r w:rsidR="001112AD" w:rsidRPr="009E2E9F">
        <w:rPr>
          <w:rFonts w:asciiTheme="majorHAnsi" w:hAnsiTheme="majorHAnsi"/>
        </w:rPr>
        <w:t xml:space="preserve"> cause CSR/RPED, which may cause symptoms such as blurred vision. All clinical trials of</w:t>
      </w:r>
      <w:r w:rsidR="00B713BC" w:rsidRPr="009E2E9F">
        <w:rPr>
          <w:rFonts w:asciiTheme="majorHAnsi" w:hAnsiTheme="majorHAnsi"/>
        </w:rPr>
        <w:t xml:space="preserve"> </w:t>
      </w:r>
      <w:r w:rsidR="00B713BC"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1112AD" w:rsidRPr="009E2E9F">
        <w:rPr>
          <w:rFonts w:asciiTheme="majorHAnsi" w:hAnsiTheme="majorHAnsi"/>
        </w:rPr>
        <w:t xml:space="preserve"> conducted frequent routine ophthalmic monitoring to detect asymptomatic CSR/RPED. </w:t>
      </w:r>
    </w:p>
    <w:p w14:paraId="1DC78E7E" w14:textId="50659A6B" w:rsidR="001112AD" w:rsidRPr="009E2E9F" w:rsidRDefault="001112AD" w:rsidP="003A43D4">
      <w:pPr>
        <w:jc w:val="both"/>
        <w:rPr>
          <w:rFonts w:asciiTheme="majorHAnsi" w:hAnsiTheme="majorHAnsi"/>
          <w:b/>
          <w:bCs/>
        </w:rPr>
      </w:pPr>
      <w:r w:rsidRPr="009E2E9F">
        <w:rPr>
          <w:rFonts w:asciiTheme="majorHAnsi" w:hAnsiTheme="majorHAnsi"/>
        </w:rPr>
        <w:t xml:space="preserve">Among 351 patients who received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B713BC">
        <w:rPr>
          <w:rFonts w:asciiTheme="majorHAnsi" w:hAnsiTheme="majorHAnsi"/>
        </w:rPr>
        <w:t xml:space="preserve"> </w:t>
      </w:r>
      <w:r w:rsidR="00492388" w:rsidRPr="009E2E9F">
        <w:rPr>
          <w:rFonts w:asciiTheme="majorHAnsi" w:hAnsiTheme="majorHAnsi"/>
        </w:rPr>
        <w:t>across</w:t>
      </w:r>
      <w:r w:rsidRPr="009E2E9F">
        <w:rPr>
          <w:rFonts w:asciiTheme="majorHAnsi" w:hAnsiTheme="majorHAnsi"/>
        </w:rPr>
        <w:t xml:space="preserve"> clinical trials, CSR/RPED occurred in 11% of patients. The median time to first onset of CSR/RPED was 26 days. CSR/RPED led to dose interruption/reduction of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B713BC">
        <w:rPr>
          <w:rFonts w:asciiTheme="majorHAnsi" w:hAnsiTheme="majorHAnsi"/>
        </w:rPr>
        <w:t xml:space="preserve"> </w:t>
      </w:r>
      <w:r w:rsidR="00492388" w:rsidRPr="009E2E9F">
        <w:rPr>
          <w:rFonts w:asciiTheme="majorHAnsi" w:hAnsiTheme="majorHAnsi"/>
        </w:rPr>
        <w:t>in</w:t>
      </w:r>
      <w:r w:rsidRPr="009E2E9F">
        <w:rPr>
          <w:rFonts w:asciiTheme="majorHAnsi" w:hAnsiTheme="majorHAnsi"/>
        </w:rPr>
        <w:t xml:space="preserve"> 3.4% of patients, and permanent discontinuation in 0.6% of patients.</w:t>
      </w:r>
    </w:p>
    <w:p w14:paraId="0BB23B5D" w14:textId="2D56CC59" w:rsidR="001112AD" w:rsidRPr="009E2E9F" w:rsidRDefault="001112AD" w:rsidP="003A43D4">
      <w:pPr>
        <w:jc w:val="both"/>
        <w:rPr>
          <w:rFonts w:asciiTheme="majorHAnsi" w:hAnsiTheme="majorHAnsi"/>
          <w:b/>
          <w:bCs/>
        </w:rPr>
      </w:pPr>
      <w:r w:rsidRPr="009E2E9F">
        <w:rPr>
          <w:rFonts w:asciiTheme="majorHAnsi" w:hAnsiTheme="majorHAnsi"/>
        </w:rPr>
        <w:t xml:space="preserve">Perform a comprehensive ophthalmic examination including </w:t>
      </w:r>
      <w:r w:rsidR="002F38FB" w:rsidRPr="009E2E9F">
        <w:rPr>
          <w:rFonts w:asciiTheme="majorHAnsi" w:hAnsiTheme="majorHAnsi"/>
        </w:rPr>
        <w:t>optical coherence tomography (</w:t>
      </w:r>
      <w:r w:rsidRPr="009E2E9F">
        <w:rPr>
          <w:rFonts w:asciiTheme="majorHAnsi" w:hAnsiTheme="majorHAnsi"/>
        </w:rPr>
        <w:t>OCT</w:t>
      </w:r>
      <w:r w:rsidR="002F38FB" w:rsidRPr="009E2E9F">
        <w:rPr>
          <w:rFonts w:asciiTheme="majorHAnsi" w:hAnsiTheme="majorHAnsi"/>
        </w:rPr>
        <w:t>)</w:t>
      </w:r>
      <w:r w:rsidRPr="009E2E9F">
        <w:rPr>
          <w:rFonts w:asciiTheme="majorHAnsi" w:hAnsiTheme="majorHAnsi"/>
        </w:rPr>
        <w:t xml:space="preserve"> prior to initiation of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>
        <w:rPr>
          <w:rFonts w:asciiTheme="majorHAnsi" w:hAnsiTheme="majorHAnsi" w:cstheme="minorHAnsi"/>
          <w:lang w:val="en"/>
        </w:rPr>
        <w:t>,</w:t>
      </w:r>
      <w:r w:rsidR="00492388" w:rsidRPr="009E2E9F" w:rsidDel="00AC5E32">
        <w:rPr>
          <w:rFonts w:asciiTheme="majorHAnsi" w:hAnsiTheme="majorHAnsi"/>
        </w:rPr>
        <w:t xml:space="preserve"> </w:t>
      </w:r>
      <w:r w:rsidR="00492388" w:rsidRPr="009E2E9F">
        <w:rPr>
          <w:rFonts w:asciiTheme="majorHAnsi" w:hAnsiTheme="majorHAnsi"/>
        </w:rPr>
        <w:t>at</w:t>
      </w:r>
      <w:r w:rsidR="009C3668" w:rsidRPr="009E2E9F">
        <w:rPr>
          <w:rFonts w:asciiTheme="majorHAnsi" w:hAnsiTheme="majorHAnsi"/>
        </w:rPr>
        <w:t xml:space="preserve"> 1 month, at 3 months, and</w:t>
      </w:r>
      <w:r w:rsidR="009C3668" w:rsidRPr="009E2E9F">
        <w:rPr>
          <w:sz w:val="23"/>
          <w:szCs w:val="23"/>
        </w:rPr>
        <w:t xml:space="preserve"> then </w:t>
      </w:r>
      <w:r w:rsidRPr="009E2E9F">
        <w:rPr>
          <w:rFonts w:asciiTheme="majorHAnsi" w:hAnsiTheme="majorHAnsi"/>
        </w:rPr>
        <w:t xml:space="preserve">every 3 months thereafter during treatment. Refer patients for ophthalmic evaluation urgently for onset of visual symptoms, and follow-up every 3 weeks until resolution or discontinuation of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2922B1">
        <w:rPr>
          <w:rFonts w:asciiTheme="majorHAnsi" w:hAnsiTheme="majorHAnsi"/>
        </w:rPr>
        <w:t>.</w:t>
      </w:r>
      <w:r w:rsidRPr="009E2E9F">
        <w:rPr>
          <w:rFonts w:asciiTheme="majorHAnsi" w:hAnsiTheme="majorHAnsi"/>
        </w:rPr>
        <w:t xml:space="preserve"> </w:t>
      </w:r>
    </w:p>
    <w:p w14:paraId="16FF311B" w14:textId="40A93B76" w:rsidR="00232BEB" w:rsidRPr="009E2E9F" w:rsidRDefault="00232BEB" w:rsidP="003A43D4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If a patient loses visual acuity with corresponding changes on macular OCT (PED-like or CSR-like </w:t>
      </w:r>
      <w:r w:rsidRPr="00232BEB">
        <w:rPr>
          <w:rFonts w:asciiTheme="majorHAnsi" w:hAnsiTheme="majorHAnsi"/>
        </w:rPr>
        <w:t>chorioretinopathy</w:t>
      </w:r>
      <w:r>
        <w:rPr>
          <w:rFonts w:asciiTheme="majorHAnsi" w:hAnsiTheme="majorHAnsi"/>
        </w:rPr>
        <w:t xml:space="preserve">) continue current dose and review in 14 days. If resolving </w:t>
      </w:r>
      <w:r w:rsidRPr="00232BEB">
        <w:rPr>
          <w:rFonts w:asciiTheme="majorHAnsi" w:hAnsiTheme="majorHAnsi"/>
        </w:rPr>
        <w:t>chorioretinopathy</w:t>
      </w:r>
      <w:r>
        <w:rPr>
          <w:rFonts w:asciiTheme="majorHAnsi" w:hAnsiTheme="majorHAnsi"/>
        </w:rPr>
        <w:t xml:space="preserve"> continue </w:t>
      </w:r>
      <w:proofErr w:type="spellStart"/>
      <w:r w:rsidRPr="00232BEB">
        <w:rPr>
          <w:rFonts w:asciiTheme="majorHAnsi" w:hAnsiTheme="majorHAnsi"/>
        </w:rPr>
        <w:t>infigratinib</w:t>
      </w:r>
      <w:proofErr w:type="spellEnd"/>
      <w:r w:rsidRPr="00232BEB">
        <w:rPr>
          <w:rFonts w:asciiTheme="majorHAnsi" w:hAnsiTheme="majorHAnsi"/>
        </w:rPr>
        <w:t>, if getting worse or not resolving, reduce dose or cease treatment in conjunction with treating physician.</w:t>
      </w:r>
    </w:p>
    <w:p w14:paraId="66490613" w14:textId="77777777" w:rsidR="003106BA" w:rsidRPr="009E2E9F" w:rsidRDefault="003106BA" w:rsidP="003A43D4">
      <w:pPr>
        <w:pStyle w:val="Heading4"/>
        <w:numPr>
          <w:ilvl w:val="0"/>
          <w:numId w:val="0"/>
        </w:numPr>
        <w:jc w:val="both"/>
        <w:rPr>
          <w:b w:val="0"/>
          <w:bCs w:val="0"/>
          <w:i w:val="0"/>
          <w:iCs w:val="0"/>
          <w:color w:val="000000" w:themeColor="text1"/>
          <w:u w:val="single"/>
        </w:rPr>
      </w:pPr>
      <w:r w:rsidRPr="009E2E9F">
        <w:rPr>
          <w:b w:val="0"/>
          <w:bCs w:val="0"/>
          <w:i w:val="0"/>
          <w:iCs w:val="0"/>
          <w:color w:val="000000" w:themeColor="text1"/>
          <w:u w:val="single"/>
        </w:rPr>
        <w:lastRenderedPageBreak/>
        <w:t xml:space="preserve">Dry Eye </w:t>
      </w:r>
    </w:p>
    <w:p w14:paraId="6B665E8D" w14:textId="66406AD8" w:rsidR="003106BA" w:rsidRPr="009E2E9F" w:rsidRDefault="003106BA" w:rsidP="003A43D4">
      <w:pPr>
        <w:jc w:val="both"/>
        <w:rPr>
          <w:rFonts w:asciiTheme="majorHAnsi" w:hAnsiTheme="majorHAnsi"/>
          <w:b/>
          <w:bCs/>
        </w:rPr>
      </w:pPr>
      <w:r w:rsidRPr="009E2E9F">
        <w:rPr>
          <w:rFonts w:asciiTheme="majorHAnsi" w:hAnsiTheme="majorHAnsi"/>
        </w:rPr>
        <w:t xml:space="preserve">Among 351 patients who received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2922B1">
        <w:rPr>
          <w:rFonts w:asciiTheme="majorHAnsi" w:hAnsiTheme="majorHAnsi"/>
        </w:rPr>
        <w:t xml:space="preserve"> </w:t>
      </w:r>
      <w:r w:rsidR="00492388" w:rsidRPr="009E2E9F">
        <w:rPr>
          <w:rFonts w:asciiTheme="majorHAnsi" w:hAnsiTheme="majorHAnsi"/>
        </w:rPr>
        <w:t>across</w:t>
      </w:r>
      <w:r w:rsidRPr="009E2E9F">
        <w:rPr>
          <w:rFonts w:asciiTheme="majorHAnsi" w:hAnsiTheme="majorHAnsi"/>
        </w:rPr>
        <w:t xml:space="preserve"> clinical trials, dry </w:t>
      </w:r>
      <w:r w:rsidR="00492388" w:rsidRPr="009E2E9F">
        <w:rPr>
          <w:rFonts w:asciiTheme="majorHAnsi" w:hAnsiTheme="majorHAnsi"/>
        </w:rPr>
        <w:t>eye occurred</w:t>
      </w:r>
      <w:r w:rsidRPr="009E2E9F">
        <w:rPr>
          <w:rFonts w:asciiTheme="majorHAnsi" w:hAnsiTheme="majorHAnsi"/>
        </w:rPr>
        <w:t xml:space="preserve"> in 24% of patients, including Grade 3 in 0.3% of patients. No Grade 4 dry eye was observed. Treat patients with ocular demulcents as needed.</w:t>
      </w:r>
      <w:r w:rsidR="001112AD" w:rsidRPr="009E2E9F">
        <w:rPr>
          <w:rFonts w:asciiTheme="majorHAnsi" w:hAnsiTheme="majorHAnsi"/>
        </w:rPr>
        <w:t xml:space="preserve"> </w:t>
      </w:r>
    </w:p>
    <w:p w14:paraId="6050DAC5" w14:textId="5ECD1A46" w:rsidR="009E18ED" w:rsidRPr="009E2E9F" w:rsidRDefault="001112AD" w:rsidP="009E18ED">
      <w:pPr>
        <w:pStyle w:val="Heading3"/>
        <w:spacing w:before="0" w:after="120"/>
        <w:ind w:left="0"/>
      </w:pPr>
      <w:proofErr w:type="spellStart"/>
      <w:r w:rsidRPr="009E2E9F">
        <w:t>Hyperphosphataemia</w:t>
      </w:r>
      <w:proofErr w:type="spellEnd"/>
      <w:r w:rsidR="000F516C">
        <w:t xml:space="preserve"> </w:t>
      </w:r>
      <w:r w:rsidR="000F516C" w:rsidRPr="000F516C">
        <w:t>and Soft Tissue Minerali</w:t>
      </w:r>
      <w:r w:rsidR="000F516C">
        <w:t>s</w:t>
      </w:r>
      <w:r w:rsidR="000F516C" w:rsidRPr="000F516C">
        <w:t>ation</w:t>
      </w:r>
    </w:p>
    <w:p w14:paraId="29B0C70A" w14:textId="7FF87D27" w:rsidR="009E18ED" w:rsidRPr="009E2E9F" w:rsidRDefault="003579B1" w:rsidP="003A43D4">
      <w:pPr>
        <w:jc w:val="both"/>
        <w:rPr>
          <w:rFonts w:asciiTheme="majorHAnsi" w:hAnsiTheme="majorHAnsi"/>
        </w:rPr>
      </w:pPr>
      <w:r w:rsidRPr="003579B1">
        <w:rPr>
          <w:rFonts w:asciiTheme="majorHAnsi" w:hAnsiTheme="majorHAnsi"/>
        </w:rPr>
        <w:t>TRUSELTIQ</w:t>
      </w:r>
      <w:r w:rsidR="00C97D50">
        <w:rPr>
          <w:rFonts w:asciiTheme="majorHAnsi" w:hAnsiTheme="majorHAnsi"/>
        </w:rPr>
        <w:t>™</w:t>
      </w:r>
      <w:r w:rsidRPr="003579B1">
        <w:rPr>
          <w:rFonts w:asciiTheme="majorHAnsi" w:hAnsiTheme="majorHAnsi"/>
        </w:rPr>
        <w:t xml:space="preserve"> can cause hyperphosphatemia leading to soft tissue minerali</w:t>
      </w:r>
      <w:r w:rsidR="000A7B68">
        <w:rPr>
          <w:rFonts w:asciiTheme="majorHAnsi" w:hAnsiTheme="majorHAnsi"/>
        </w:rPr>
        <w:t>s</w:t>
      </w:r>
      <w:r w:rsidRPr="003579B1">
        <w:rPr>
          <w:rFonts w:asciiTheme="majorHAnsi" w:hAnsiTheme="majorHAnsi"/>
        </w:rPr>
        <w:t xml:space="preserve">ation, cutaneous calcinosis, non-uremic calciphylaxis, vascular calcification, and myocardial calcification. </w:t>
      </w:r>
      <w:r w:rsidR="009E18ED" w:rsidRPr="009E2E9F">
        <w:rPr>
          <w:rFonts w:asciiTheme="majorHAnsi" w:hAnsiTheme="majorHAnsi"/>
        </w:rPr>
        <w:t xml:space="preserve">Increases in phosphate levels may occur as a pharmacodynamic effect of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896631">
        <w:rPr>
          <w:rFonts w:asciiTheme="majorHAnsi" w:hAnsiTheme="majorHAnsi"/>
        </w:rPr>
        <w:t xml:space="preserve"> </w:t>
      </w:r>
      <w:r w:rsidR="00492388" w:rsidRPr="009E2E9F">
        <w:rPr>
          <w:rFonts w:asciiTheme="majorHAnsi" w:hAnsiTheme="majorHAnsi"/>
        </w:rPr>
        <w:t>[</w:t>
      </w:r>
      <w:r w:rsidR="009E18ED" w:rsidRPr="009E2E9F">
        <w:rPr>
          <w:rFonts w:asciiTheme="majorHAnsi" w:hAnsiTheme="majorHAnsi"/>
        </w:rPr>
        <w:t xml:space="preserve">see Section </w:t>
      </w:r>
      <w:r w:rsidR="00896631" w:rsidRPr="009E2E9F">
        <w:rPr>
          <w:rFonts w:asciiTheme="majorHAnsi" w:hAnsiTheme="majorHAnsi"/>
        </w:rPr>
        <w:t>5.1 Pharmacodynamic properties</w:t>
      </w:r>
      <w:r w:rsidR="009E18ED" w:rsidRPr="009E2E9F">
        <w:rPr>
          <w:rFonts w:asciiTheme="majorHAnsi" w:hAnsiTheme="majorHAnsi"/>
        </w:rPr>
        <w:t xml:space="preserve">]. Among 351 patients who received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525CE7">
        <w:rPr>
          <w:rFonts w:asciiTheme="majorHAnsi" w:hAnsiTheme="majorHAnsi"/>
        </w:rPr>
        <w:t xml:space="preserve"> </w:t>
      </w:r>
      <w:r w:rsidR="00492388" w:rsidRPr="009E2E9F">
        <w:rPr>
          <w:rFonts w:asciiTheme="majorHAnsi" w:hAnsiTheme="majorHAnsi"/>
        </w:rPr>
        <w:t>across</w:t>
      </w:r>
      <w:r w:rsidR="009E18ED" w:rsidRPr="009E2E9F">
        <w:rPr>
          <w:rFonts w:asciiTheme="majorHAnsi" w:hAnsiTheme="majorHAnsi"/>
        </w:rPr>
        <w:t xml:space="preserve"> clinical trials, </w:t>
      </w:r>
      <w:proofErr w:type="spellStart"/>
      <w:r w:rsidR="009E18ED" w:rsidRPr="009E2E9F">
        <w:rPr>
          <w:rFonts w:asciiTheme="majorHAnsi" w:hAnsiTheme="majorHAnsi"/>
        </w:rPr>
        <w:t>hyperphosphat</w:t>
      </w:r>
      <w:r w:rsidR="00C70E16" w:rsidRPr="009E2E9F">
        <w:rPr>
          <w:rFonts w:asciiTheme="majorHAnsi" w:hAnsiTheme="majorHAnsi"/>
        </w:rPr>
        <w:t>a</w:t>
      </w:r>
      <w:r w:rsidR="009E18ED" w:rsidRPr="009E2E9F">
        <w:rPr>
          <w:rFonts w:asciiTheme="majorHAnsi" w:hAnsiTheme="majorHAnsi"/>
        </w:rPr>
        <w:t>emia</w:t>
      </w:r>
      <w:proofErr w:type="spellEnd"/>
      <w:r w:rsidR="009E18ED" w:rsidRPr="009E2E9F">
        <w:rPr>
          <w:rFonts w:asciiTheme="majorHAnsi" w:hAnsiTheme="majorHAnsi"/>
        </w:rPr>
        <w:t xml:space="preserve"> was reported in 82% of patients based on laboratory values above the upper limit of normal. The median time to onset of </w:t>
      </w:r>
      <w:proofErr w:type="spellStart"/>
      <w:r w:rsidR="009E18ED" w:rsidRPr="009E2E9F">
        <w:rPr>
          <w:rFonts w:asciiTheme="majorHAnsi" w:hAnsiTheme="majorHAnsi"/>
        </w:rPr>
        <w:t>hyperphosphat</w:t>
      </w:r>
      <w:r w:rsidR="00C70E16" w:rsidRPr="009E2E9F">
        <w:rPr>
          <w:rFonts w:asciiTheme="majorHAnsi" w:hAnsiTheme="majorHAnsi"/>
        </w:rPr>
        <w:t>a</w:t>
      </w:r>
      <w:r w:rsidR="009E18ED" w:rsidRPr="009E2E9F">
        <w:rPr>
          <w:rFonts w:asciiTheme="majorHAnsi" w:hAnsiTheme="majorHAnsi"/>
        </w:rPr>
        <w:t>emia</w:t>
      </w:r>
      <w:proofErr w:type="spellEnd"/>
      <w:r w:rsidR="009E18ED" w:rsidRPr="009E2E9F">
        <w:rPr>
          <w:rFonts w:asciiTheme="majorHAnsi" w:hAnsiTheme="majorHAnsi"/>
        </w:rPr>
        <w:t xml:space="preserve"> was 8 days (range 1-349). Phosphate-lowering therapy was received by 83% of patients who received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9D2407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525CE7">
        <w:rPr>
          <w:rFonts w:asciiTheme="majorHAnsi" w:hAnsiTheme="majorHAnsi"/>
        </w:rPr>
        <w:t>.</w:t>
      </w:r>
      <w:r w:rsidR="009E18ED" w:rsidRPr="009E2E9F">
        <w:rPr>
          <w:rFonts w:asciiTheme="majorHAnsi" w:hAnsiTheme="majorHAnsi"/>
        </w:rPr>
        <w:t xml:space="preserve"> </w:t>
      </w:r>
    </w:p>
    <w:p w14:paraId="360BAB92" w14:textId="2266469F" w:rsidR="001A3992" w:rsidRPr="009E2E9F" w:rsidRDefault="009E18E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Monitor for </w:t>
      </w:r>
      <w:proofErr w:type="spellStart"/>
      <w:r w:rsidRPr="009E2E9F">
        <w:rPr>
          <w:rFonts w:asciiTheme="majorHAnsi" w:hAnsiTheme="majorHAnsi"/>
        </w:rPr>
        <w:t>hyperphosphat</w:t>
      </w:r>
      <w:r w:rsidR="00C70E16" w:rsidRPr="009E2E9F">
        <w:rPr>
          <w:rFonts w:asciiTheme="majorHAnsi" w:hAnsiTheme="majorHAnsi"/>
        </w:rPr>
        <w:t>a</w:t>
      </w:r>
      <w:r w:rsidRPr="009E2E9F">
        <w:rPr>
          <w:rFonts w:asciiTheme="majorHAnsi" w:hAnsiTheme="majorHAnsi"/>
        </w:rPr>
        <w:t>emia</w:t>
      </w:r>
      <w:proofErr w:type="spellEnd"/>
      <w:r w:rsidRPr="009E2E9F">
        <w:rPr>
          <w:rFonts w:asciiTheme="majorHAnsi" w:hAnsiTheme="majorHAnsi"/>
        </w:rPr>
        <w:t xml:space="preserve"> </w:t>
      </w:r>
      <w:r w:rsidR="0039399F" w:rsidRPr="0018783A">
        <w:rPr>
          <w:rFonts w:asciiTheme="majorHAnsi" w:hAnsiTheme="majorHAnsi"/>
        </w:rPr>
        <w:t>throughout treatment</w:t>
      </w:r>
      <w:r w:rsidR="0039399F">
        <w:rPr>
          <w:rFonts w:asciiTheme="majorHAnsi" w:hAnsiTheme="majorHAnsi"/>
        </w:rPr>
        <w:t>.</w:t>
      </w:r>
      <w:r w:rsidR="0039399F" w:rsidRPr="009E2E9F" w:rsidDel="00550C6A">
        <w:rPr>
          <w:rFonts w:asciiTheme="majorHAnsi" w:hAnsiTheme="majorHAnsi"/>
        </w:rPr>
        <w:t xml:space="preserve"> </w:t>
      </w:r>
      <w:r w:rsidRPr="009E2E9F">
        <w:rPr>
          <w:rFonts w:asciiTheme="majorHAnsi" w:hAnsiTheme="majorHAnsi"/>
        </w:rPr>
        <w:t>Initiate phosphate lowering therapy when serum phosphate is &gt;5.5 mg/dL</w:t>
      </w:r>
      <w:r w:rsidR="0039399F">
        <w:rPr>
          <w:rFonts w:asciiTheme="majorHAnsi" w:hAnsiTheme="majorHAnsi"/>
        </w:rPr>
        <w:t>. F</w:t>
      </w:r>
      <w:r w:rsidRPr="009E2E9F">
        <w:rPr>
          <w:rFonts w:asciiTheme="majorHAnsi" w:hAnsiTheme="majorHAnsi"/>
        </w:rPr>
        <w:t>or serum phosphate &gt;7.5 mg/dL</w:t>
      </w:r>
      <w:r w:rsidR="0039399F">
        <w:rPr>
          <w:rFonts w:asciiTheme="majorHAnsi" w:hAnsiTheme="majorHAnsi"/>
        </w:rPr>
        <w:t>,</w:t>
      </w:r>
      <w:r w:rsidRPr="009E2E9F">
        <w:rPr>
          <w:rFonts w:asciiTheme="majorHAnsi" w:hAnsiTheme="majorHAnsi"/>
        </w:rPr>
        <w:t xml:space="preserve"> withhold </w:t>
      </w:r>
      <w:r w:rsidR="000923C5" w:rsidRPr="009E2E9F">
        <w:rPr>
          <w:rFonts w:asciiTheme="majorHAnsi" w:hAnsiTheme="majorHAnsi"/>
          <w:lang w:val="en"/>
        </w:rPr>
        <w:t>TRUSELTIQ</w:t>
      </w:r>
      <w:r w:rsidR="001912B5" w:rsidRPr="009E2E9F">
        <w:rPr>
          <w:rFonts w:asciiTheme="majorHAnsi" w:hAnsiTheme="majorHAnsi"/>
          <w:vertAlign w:val="superscript"/>
        </w:rPr>
        <w:t>TM</w:t>
      </w:r>
      <w:r w:rsidR="0039399F">
        <w:rPr>
          <w:rFonts w:asciiTheme="majorHAnsi" w:hAnsiTheme="majorHAnsi"/>
          <w:vertAlign w:val="superscript"/>
        </w:rPr>
        <w:t xml:space="preserve"> </w:t>
      </w:r>
      <w:r w:rsidR="0039399F" w:rsidRPr="0018783A">
        <w:rPr>
          <w:rFonts w:asciiTheme="majorHAnsi" w:hAnsiTheme="majorHAnsi"/>
        </w:rPr>
        <w:t xml:space="preserve">and initiate phosphate lowering therapy. </w:t>
      </w:r>
      <w:r w:rsidR="008C16D4" w:rsidRPr="008C16D4">
        <w:rPr>
          <w:rFonts w:asciiTheme="majorHAnsi" w:hAnsiTheme="majorHAnsi"/>
        </w:rPr>
        <w:t>Withhold, dose reduce, or permanently discontinue TRUSELTIQ</w:t>
      </w:r>
      <w:r w:rsidR="00152E1D" w:rsidRPr="00152E1D">
        <w:rPr>
          <w:rFonts w:asciiTheme="majorHAnsi" w:hAnsiTheme="majorHAnsi"/>
          <w:vertAlign w:val="superscript"/>
        </w:rPr>
        <w:t>TM</w:t>
      </w:r>
      <w:r w:rsidR="008C16D4" w:rsidRPr="008C16D4">
        <w:rPr>
          <w:rFonts w:asciiTheme="majorHAnsi" w:hAnsiTheme="majorHAnsi"/>
        </w:rPr>
        <w:t xml:space="preserve"> based on duration and severity of hyperphosphatemia</w:t>
      </w:r>
      <w:r w:rsidRPr="009E2E9F">
        <w:rPr>
          <w:rFonts w:asciiTheme="majorHAnsi" w:hAnsiTheme="majorHAnsi"/>
        </w:rPr>
        <w:t xml:space="preserve"> [see Section 4.2 Dose and Method of Administration]</w:t>
      </w:r>
      <w:r w:rsidR="008C16D4">
        <w:rPr>
          <w:rFonts w:asciiTheme="majorHAnsi" w:hAnsiTheme="majorHAnsi"/>
        </w:rPr>
        <w:t>.</w:t>
      </w:r>
      <w:r w:rsidR="001A3992" w:rsidRPr="009E2E9F">
        <w:rPr>
          <w:rFonts w:asciiTheme="majorHAnsi" w:hAnsiTheme="majorHAnsi"/>
        </w:rPr>
        <w:t xml:space="preserve"> </w:t>
      </w:r>
    </w:p>
    <w:p w14:paraId="0A098D23" w14:textId="7D4FAD7B" w:rsidR="001112AD" w:rsidRPr="009E2E9F" w:rsidRDefault="001112AD" w:rsidP="009E18ED">
      <w:pPr>
        <w:pStyle w:val="Heading3"/>
        <w:spacing w:before="0" w:after="120"/>
        <w:ind w:left="0"/>
      </w:pPr>
      <w:r w:rsidRPr="009E2E9F">
        <w:t xml:space="preserve">Patients of Reproductive Potential </w:t>
      </w:r>
    </w:p>
    <w:p w14:paraId="3F56E3E3" w14:textId="3B3745CC" w:rsidR="00377127" w:rsidRPr="009E2E9F" w:rsidRDefault="009E18ED" w:rsidP="00492388">
      <w:pPr>
        <w:pStyle w:val="Heading4"/>
        <w:numPr>
          <w:ilvl w:val="0"/>
          <w:numId w:val="0"/>
        </w:numPr>
        <w:ind w:left="864" w:hanging="864"/>
        <w:rPr>
          <w:color w:val="000000" w:themeColor="text1"/>
          <w:u w:val="single"/>
        </w:rPr>
      </w:pPr>
      <w:r w:rsidRPr="009E2E9F">
        <w:rPr>
          <w:b w:val="0"/>
          <w:bCs w:val="0"/>
          <w:i w:val="0"/>
          <w:iCs w:val="0"/>
          <w:color w:val="000000" w:themeColor="text1"/>
          <w:u w:val="single"/>
        </w:rPr>
        <w:t xml:space="preserve">Pregnancy Testing </w:t>
      </w:r>
    </w:p>
    <w:p w14:paraId="5603779E" w14:textId="374472EB" w:rsidR="009E18ED" w:rsidRPr="009E2E9F" w:rsidRDefault="002F38FB" w:rsidP="003A43D4">
      <w:pPr>
        <w:jc w:val="both"/>
        <w:rPr>
          <w:rFonts w:asciiTheme="majorHAnsi" w:hAnsiTheme="majorHAnsi"/>
          <w:u w:val="single"/>
        </w:rPr>
      </w:pPr>
      <w:r w:rsidRPr="009E2E9F">
        <w:rPr>
          <w:rFonts w:asciiTheme="majorHAnsi" w:hAnsiTheme="majorHAnsi"/>
        </w:rPr>
        <w:t>I</w:t>
      </w:r>
      <w:r w:rsidR="009E18ED" w:rsidRPr="009E2E9F">
        <w:rPr>
          <w:rFonts w:asciiTheme="majorHAnsi" w:hAnsiTheme="majorHAnsi"/>
        </w:rPr>
        <w:t>n female</w:t>
      </w:r>
      <w:r w:rsidR="001F0B68" w:rsidRPr="009E2E9F">
        <w:rPr>
          <w:rFonts w:asciiTheme="majorHAnsi" w:hAnsiTheme="majorHAnsi"/>
        </w:rPr>
        <w:t>s</w:t>
      </w:r>
      <w:r w:rsidR="009E18ED" w:rsidRPr="009E2E9F">
        <w:rPr>
          <w:rFonts w:asciiTheme="majorHAnsi" w:hAnsiTheme="majorHAnsi"/>
        </w:rPr>
        <w:t xml:space="preserve"> of reproductive potential</w:t>
      </w:r>
      <w:r w:rsidRPr="009E2E9F">
        <w:rPr>
          <w:rFonts w:asciiTheme="majorHAnsi" w:hAnsiTheme="majorHAnsi"/>
        </w:rPr>
        <w:t xml:space="preserve">, pregnancy should be </w:t>
      </w:r>
      <w:r w:rsidR="0025753A" w:rsidRPr="009E2E9F">
        <w:rPr>
          <w:rFonts w:asciiTheme="majorHAnsi" w:hAnsiTheme="majorHAnsi"/>
        </w:rPr>
        <w:t xml:space="preserve">verified and </w:t>
      </w:r>
      <w:r w:rsidRPr="009E2E9F">
        <w:rPr>
          <w:rFonts w:asciiTheme="majorHAnsi" w:hAnsiTheme="majorHAnsi"/>
        </w:rPr>
        <w:t>excluded</w:t>
      </w:r>
      <w:r w:rsidR="000D5345" w:rsidRPr="009E2E9F">
        <w:rPr>
          <w:rFonts w:asciiTheme="majorHAnsi" w:hAnsiTheme="majorHAnsi"/>
        </w:rPr>
        <w:t xml:space="preserve"> </w:t>
      </w:r>
      <w:r w:rsidR="009E18ED" w:rsidRPr="009E2E9F">
        <w:rPr>
          <w:rFonts w:asciiTheme="majorHAnsi" w:hAnsiTheme="majorHAnsi"/>
        </w:rPr>
        <w:t xml:space="preserve">prior to initiating </w:t>
      </w:r>
      <w:r w:rsidR="000D5345" w:rsidRPr="009E2E9F">
        <w:rPr>
          <w:rFonts w:asciiTheme="majorHAnsi" w:hAnsiTheme="majorHAnsi"/>
        </w:rPr>
        <w:t xml:space="preserve">treatment with </w:t>
      </w:r>
      <w:r w:rsidR="000D5345" w:rsidRPr="009E2E9F">
        <w:rPr>
          <w:rFonts w:asciiTheme="majorHAnsi" w:hAnsiTheme="majorHAnsi" w:cstheme="minorHAnsi"/>
          <w:lang w:val="en"/>
        </w:rPr>
        <w:t>TRUSELTIQ</w:t>
      </w:r>
      <w:r w:rsidR="001912B5" w:rsidRPr="009E2E9F">
        <w:rPr>
          <w:rFonts w:asciiTheme="majorHAnsi" w:hAnsiTheme="majorHAnsi"/>
          <w:vertAlign w:val="superscript"/>
        </w:rPr>
        <w:t>TM</w:t>
      </w:r>
      <w:r w:rsidR="009E18ED" w:rsidRPr="009E2E9F">
        <w:rPr>
          <w:rFonts w:asciiTheme="majorHAnsi" w:hAnsiTheme="majorHAnsi"/>
        </w:rPr>
        <w:t xml:space="preserve"> [see Section 4.6 Fertility, Pregnancy and Lactation].</w:t>
      </w:r>
    </w:p>
    <w:p w14:paraId="24A799BC" w14:textId="77777777" w:rsidR="00B6054A" w:rsidRPr="001962A8" w:rsidRDefault="009E18ED" w:rsidP="001962A8">
      <w:pPr>
        <w:pStyle w:val="Heading4"/>
        <w:numPr>
          <w:ilvl w:val="0"/>
          <w:numId w:val="0"/>
        </w:numPr>
        <w:ind w:left="864" w:hanging="864"/>
        <w:rPr>
          <w:b w:val="0"/>
          <w:bCs w:val="0"/>
          <w:i w:val="0"/>
          <w:iCs w:val="0"/>
          <w:color w:val="000000" w:themeColor="text1"/>
          <w:u w:val="single"/>
        </w:rPr>
      </w:pPr>
      <w:r w:rsidRPr="009E2E9F">
        <w:rPr>
          <w:b w:val="0"/>
          <w:bCs w:val="0"/>
          <w:i w:val="0"/>
          <w:iCs w:val="0"/>
          <w:color w:val="000000" w:themeColor="text1"/>
          <w:u w:val="single"/>
        </w:rPr>
        <w:t>Contraception</w:t>
      </w:r>
      <w:r w:rsidRPr="001962A8">
        <w:rPr>
          <w:b w:val="0"/>
          <w:bCs w:val="0"/>
          <w:i w:val="0"/>
          <w:iCs w:val="0"/>
          <w:color w:val="000000" w:themeColor="text1"/>
          <w:u w:val="single"/>
        </w:rPr>
        <w:t xml:space="preserve"> </w:t>
      </w:r>
    </w:p>
    <w:p w14:paraId="448DE91B" w14:textId="1713EEAF" w:rsidR="009E18ED" w:rsidRPr="009E2E9F" w:rsidRDefault="00492388" w:rsidP="003A43D4">
      <w:pPr>
        <w:spacing w:line="240" w:lineRule="auto"/>
        <w:jc w:val="both"/>
        <w:rPr>
          <w:rFonts w:asciiTheme="majorHAnsi" w:hAnsiTheme="majorHAnsi"/>
          <w:u w:val="single"/>
        </w:rPr>
      </w:pPr>
      <w:r w:rsidRPr="009E2E9F">
        <w:rPr>
          <w:rFonts w:asciiTheme="majorHAnsi" w:hAnsiTheme="majorHAnsi" w:cstheme="minorHAnsi"/>
          <w:lang w:val="en"/>
        </w:rPr>
        <w:t>TRUSELTIQ</w:t>
      </w:r>
      <w:r w:rsidR="00D438AF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Pr="009E2E9F" w:rsidDel="000D5345">
        <w:rPr>
          <w:rFonts w:asciiTheme="majorHAnsi" w:hAnsiTheme="majorHAnsi"/>
        </w:rPr>
        <w:t xml:space="preserve"> </w:t>
      </w:r>
      <w:r w:rsidRPr="009E2E9F">
        <w:rPr>
          <w:rFonts w:asciiTheme="majorHAnsi" w:hAnsiTheme="majorHAnsi"/>
        </w:rPr>
        <w:t>may</w:t>
      </w:r>
      <w:r w:rsidR="009E18ED" w:rsidRPr="009E2E9F">
        <w:rPr>
          <w:rFonts w:asciiTheme="majorHAnsi" w:hAnsiTheme="majorHAnsi"/>
        </w:rPr>
        <w:t xml:space="preserve"> cause embryo-</w:t>
      </w:r>
      <w:proofErr w:type="spellStart"/>
      <w:r w:rsidR="009E18ED" w:rsidRPr="009E2E9F">
        <w:rPr>
          <w:rFonts w:asciiTheme="majorHAnsi" w:hAnsiTheme="majorHAnsi"/>
        </w:rPr>
        <w:t>fetal</w:t>
      </w:r>
      <w:proofErr w:type="spellEnd"/>
      <w:r w:rsidR="009E18ED" w:rsidRPr="009E2E9F">
        <w:rPr>
          <w:rFonts w:asciiTheme="majorHAnsi" w:hAnsiTheme="majorHAnsi"/>
        </w:rPr>
        <w:t xml:space="preserve"> harm when administered to a pregnant woman [see Section 4.6 Fertility, Pregnancy and Lactation].</w:t>
      </w:r>
    </w:p>
    <w:p w14:paraId="6407F955" w14:textId="74571294" w:rsidR="009E18ED" w:rsidRPr="009E2E9F" w:rsidRDefault="009E18E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  <w:u w:val="single"/>
        </w:rPr>
        <w:t>Females</w:t>
      </w:r>
      <w:r w:rsidRPr="009E2E9F">
        <w:rPr>
          <w:rFonts w:asciiTheme="majorHAnsi" w:hAnsiTheme="majorHAnsi"/>
        </w:rPr>
        <w:t xml:space="preserve">  </w:t>
      </w:r>
      <w:r w:rsidRPr="009E2E9F">
        <w:rPr>
          <w:rFonts w:asciiTheme="majorHAnsi" w:hAnsiTheme="majorHAnsi"/>
        </w:rPr>
        <w:br/>
      </w:r>
      <w:r w:rsidR="006D0C69" w:rsidRPr="009E2E9F">
        <w:rPr>
          <w:rFonts w:asciiTheme="majorHAnsi" w:hAnsiTheme="majorHAnsi"/>
        </w:rPr>
        <w:t>F</w:t>
      </w:r>
      <w:r w:rsidRPr="009E2E9F">
        <w:rPr>
          <w:rFonts w:asciiTheme="majorHAnsi" w:hAnsiTheme="majorHAnsi"/>
        </w:rPr>
        <w:t xml:space="preserve">emales of reproductive potential </w:t>
      </w:r>
      <w:r w:rsidR="006D0C69" w:rsidRPr="009E2E9F">
        <w:rPr>
          <w:rFonts w:asciiTheme="majorHAnsi" w:hAnsiTheme="majorHAnsi"/>
        </w:rPr>
        <w:t xml:space="preserve">must be advised </w:t>
      </w:r>
      <w:r w:rsidRPr="009E2E9F">
        <w:rPr>
          <w:rFonts w:asciiTheme="majorHAnsi" w:hAnsiTheme="majorHAnsi"/>
        </w:rPr>
        <w:t xml:space="preserve">to use effective contraception during treatment with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D438AF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6D0C69">
        <w:rPr>
          <w:rFonts w:asciiTheme="majorHAnsi" w:hAnsiTheme="majorHAnsi"/>
        </w:rPr>
        <w:t xml:space="preserve"> </w:t>
      </w:r>
      <w:r w:rsidR="00492388" w:rsidRPr="009E2E9F">
        <w:rPr>
          <w:rFonts w:asciiTheme="majorHAnsi" w:hAnsiTheme="majorHAnsi"/>
        </w:rPr>
        <w:t>and</w:t>
      </w:r>
      <w:r w:rsidRPr="009E2E9F">
        <w:rPr>
          <w:rFonts w:asciiTheme="majorHAnsi" w:hAnsiTheme="majorHAnsi"/>
        </w:rPr>
        <w:t xml:space="preserve"> for 1 month after the last dose. </w:t>
      </w:r>
    </w:p>
    <w:p w14:paraId="742D5457" w14:textId="3F3D0C2F" w:rsidR="001112AD" w:rsidRPr="009E2E9F" w:rsidRDefault="009E18E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  <w:u w:val="single"/>
        </w:rPr>
        <w:t xml:space="preserve">Males  </w:t>
      </w:r>
      <w:r w:rsidRPr="009E2E9F">
        <w:rPr>
          <w:rFonts w:asciiTheme="majorHAnsi" w:hAnsiTheme="majorHAnsi"/>
        </w:rPr>
        <w:br/>
      </w:r>
      <w:r w:rsidR="006D0C69" w:rsidRPr="009E2E9F">
        <w:rPr>
          <w:rFonts w:asciiTheme="majorHAnsi" w:hAnsiTheme="majorHAnsi"/>
        </w:rPr>
        <w:t>M</w:t>
      </w:r>
      <w:r w:rsidRPr="009E2E9F">
        <w:rPr>
          <w:rFonts w:asciiTheme="majorHAnsi" w:hAnsiTheme="majorHAnsi"/>
        </w:rPr>
        <w:t xml:space="preserve">ales that are partnered with females of reproductive potential </w:t>
      </w:r>
      <w:r w:rsidR="006D0C69" w:rsidRPr="009E2E9F">
        <w:rPr>
          <w:rFonts w:asciiTheme="majorHAnsi" w:hAnsiTheme="majorHAnsi"/>
        </w:rPr>
        <w:t xml:space="preserve">must be advised </w:t>
      </w:r>
      <w:r w:rsidRPr="009E2E9F">
        <w:rPr>
          <w:rFonts w:asciiTheme="majorHAnsi" w:hAnsiTheme="majorHAnsi"/>
        </w:rPr>
        <w:t>to use effective contraception during treatment with</w:t>
      </w:r>
      <w:r w:rsidR="006D0C69" w:rsidRPr="009E2E9F">
        <w:rPr>
          <w:rFonts w:asciiTheme="majorHAnsi" w:hAnsiTheme="majorHAnsi"/>
        </w:rPr>
        <w:t xml:space="preserve"> </w:t>
      </w:r>
      <w:r w:rsidR="006D0C69" w:rsidRPr="009E2E9F">
        <w:rPr>
          <w:rFonts w:asciiTheme="majorHAnsi" w:hAnsiTheme="majorHAnsi" w:cstheme="minorHAnsi"/>
          <w:lang w:val="en"/>
        </w:rPr>
        <w:t>TRUSELTIQ</w:t>
      </w:r>
      <w:r w:rsidR="00D438AF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Pr="009E2E9F">
        <w:rPr>
          <w:rFonts w:asciiTheme="majorHAnsi" w:hAnsiTheme="majorHAnsi"/>
        </w:rPr>
        <w:t xml:space="preserve"> and for 1 month after the last dose.</w:t>
      </w:r>
    </w:p>
    <w:p w14:paraId="78C1D036" w14:textId="4570C42F" w:rsidR="001A3992" w:rsidRDefault="001A3992" w:rsidP="00F85458">
      <w:pPr>
        <w:pStyle w:val="Heading3"/>
        <w:spacing w:before="0" w:after="120"/>
        <w:ind w:left="0"/>
      </w:pPr>
      <w:r w:rsidRPr="009E2E9F">
        <w:t xml:space="preserve">Use in hepatic impairment </w:t>
      </w:r>
    </w:p>
    <w:p w14:paraId="122307C2" w14:textId="5B90910B" w:rsidR="00C84D4C" w:rsidRPr="00585D2C" w:rsidRDefault="00C84D4C" w:rsidP="00C84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  <w:r w:rsidRPr="00585D2C">
        <w:rPr>
          <w:rFonts w:asciiTheme="majorHAnsi" w:hAnsiTheme="majorHAnsi" w:cs="TimesNewRomanPSMT"/>
        </w:rPr>
        <w:t>Reduce the dosage of TRUSELTIQ</w:t>
      </w:r>
      <w:r w:rsidR="00B02A0B" w:rsidRPr="00B02A0B">
        <w:rPr>
          <w:rFonts w:asciiTheme="majorHAnsi" w:hAnsiTheme="majorHAnsi" w:cs="TimesNewRomanPSMT"/>
          <w:vertAlign w:val="superscript"/>
        </w:rPr>
        <w:t>TM</w:t>
      </w:r>
      <w:r w:rsidRPr="00585D2C">
        <w:rPr>
          <w:rFonts w:asciiTheme="majorHAnsi" w:hAnsiTheme="majorHAnsi" w:cs="TimesNewRomanPSMT"/>
        </w:rPr>
        <w:t xml:space="preserve"> for patients with mild (total bilirubin &gt; upper limit of normal [ULN] to 1.5 </w:t>
      </w:r>
      <w:r w:rsidRPr="00585D2C">
        <w:rPr>
          <w:rFonts w:asciiTheme="majorHAnsi" w:hAnsiTheme="majorHAnsi" w:cs="TimesNewRomanPS-BoldMT"/>
          <w:b/>
          <w:bCs/>
        </w:rPr>
        <w:t xml:space="preserve">× </w:t>
      </w:r>
      <w:r w:rsidRPr="00585D2C">
        <w:rPr>
          <w:rFonts w:asciiTheme="majorHAnsi" w:hAnsiTheme="majorHAnsi" w:cs="TimesNewRomanPSMT"/>
        </w:rPr>
        <w:t xml:space="preserve">ULN or AST </w:t>
      </w:r>
      <w:r w:rsidRPr="00585D2C">
        <w:rPr>
          <w:rFonts w:asciiTheme="majorHAnsi" w:hAnsiTheme="majorHAnsi" w:cs="TimesNewRomanPS-BoldMT"/>
          <w:b/>
          <w:bCs/>
        </w:rPr>
        <w:t xml:space="preserve">&gt; </w:t>
      </w:r>
      <w:r w:rsidRPr="00585D2C">
        <w:rPr>
          <w:rFonts w:asciiTheme="majorHAnsi" w:hAnsiTheme="majorHAnsi" w:cs="TimesNewRomanPSMT"/>
        </w:rPr>
        <w:t xml:space="preserve">ULN) or moderate (total bilirubin &gt;1.5 to 3 </w:t>
      </w:r>
      <w:r w:rsidRPr="00585D2C">
        <w:rPr>
          <w:rFonts w:asciiTheme="majorHAnsi" w:hAnsiTheme="majorHAnsi" w:cs="TimesNewRomanPS-BoldMT"/>
          <w:b/>
          <w:bCs/>
        </w:rPr>
        <w:t xml:space="preserve">× </w:t>
      </w:r>
      <w:r w:rsidRPr="00585D2C">
        <w:rPr>
          <w:rFonts w:asciiTheme="majorHAnsi" w:hAnsiTheme="majorHAnsi" w:cs="TimesNewRomanPSMT"/>
        </w:rPr>
        <w:t>ULN with any AST) hepatic impairment. The recommended dosage of TRUSELTIQ</w:t>
      </w:r>
      <w:r w:rsidR="00F64DA5" w:rsidRPr="00F64DA5">
        <w:rPr>
          <w:rFonts w:asciiTheme="majorHAnsi" w:hAnsiTheme="majorHAnsi" w:cs="TimesNewRomanPSMT"/>
          <w:vertAlign w:val="superscript"/>
        </w:rPr>
        <w:t>TM</w:t>
      </w:r>
      <w:r w:rsidRPr="00585D2C">
        <w:rPr>
          <w:rFonts w:asciiTheme="majorHAnsi" w:hAnsiTheme="majorHAnsi" w:cs="TimesNewRomanPSMT"/>
        </w:rPr>
        <w:t xml:space="preserve"> has not been established in patients with severe (total bilirubin &gt; 3 × ULN with any AST) hepatic impairment [see Section 4.2 Dose and Method of Administration</w:t>
      </w:r>
      <w:r w:rsidR="00FC2B86">
        <w:rPr>
          <w:rFonts w:asciiTheme="majorHAnsi" w:hAnsiTheme="majorHAnsi" w:cs="TimesNewRomanPSMT"/>
        </w:rPr>
        <w:t xml:space="preserve"> and Section 5.2 </w:t>
      </w:r>
      <w:r w:rsidR="00FC2B86" w:rsidRPr="00FC2B86">
        <w:rPr>
          <w:rFonts w:asciiTheme="majorHAnsi" w:hAnsiTheme="majorHAnsi" w:cs="TimesNewRomanPSMT"/>
        </w:rPr>
        <w:t>Pharmacokinetic Properties</w:t>
      </w:r>
      <w:r w:rsidR="00FC2B86">
        <w:rPr>
          <w:rFonts w:asciiTheme="majorHAnsi" w:hAnsiTheme="majorHAnsi" w:cs="TimesNewRomanPSMT"/>
        </w:rPr>
        <w:t xml:space="preserve">]. </w:t>
      </w:r>
    </w:p>
    <w:p w14:paraId="3B6F92C8" w14:textId="77777777" w:rsidR="00C84D4C" w:rsidRPr="00585D2C" w:rsidRDefault="00C84D4C" w:rsidP="00C84D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14:paraId="7E598844" w14:textId="417D3822" w:rsidR="00443C00" w:rsidRPr="009E2E9F" w:rsidRDefault="00443C00" w:rsidP="00443C00">
      <w:pPr>
        <w:pStyle w:val="Heading3"/>
        <w:spacing w:before="0" w:after="120"/>
        <w:ind w:left="0"/>
        <w:rPr>
          <w:b w:val="0"/>
        </w:rPr>
      </w:pPr>
      <w:r w:rsidRPr="009E2E9F">
        <w:lastRenderedPageBreak/>
        <w:t xml:space="preserve">Use in renal impairment </w:t>
      </w:r>
    </w:p>
    <w:p w14:paraId="59D7A7AC" w14:textId="5F2FDDFE" w:rsidR="00443C00" w:rsidRPr="009E2E9F" w:rsidRDefault="003579B1" w:rsidP="003A43D4">
      <w:pPr>
        <w:jc w:val="both"/>
        <w:rPr>
          <w:rFonts w:asciiTheme="majorHAnsi" w:hAnsiTheme="majorHAnsi"/>
        </w:rPr>
      </w:pPr>
      <w:r w:rsidRPr="003579B1">
        <w:rPr>
          <w:rFonts w:asciiTheme="majorHAnsi" w:hAnsiTheme="majorHAnsi"/>
        </w:rPr>
        <w:t>Reduce the dosage of TRUSELTIQ</w:t>
      </w:r>
      <w:r w:rsidR="00C97D50">
        <w:rPr>
          <w:rFonts w:asciiTheme="majorHAnsi" w:hAnsiTheme="majorHAnsi"/>
        </w:rPr>
        <w:t>™</w:t>
      </w:r>
      <w:r w:rsidRPr="003579B1">
        <w:rPr>
          <w:rFonts w:asciiTheme="majorHAnsi" w:hAnsiTheme="majorHAnsi"/>
        </w:rPr>
        <w:t xml:space="preserve"> for patients with mild or moderate renal impairment (creatinine clearance [</w:t>
      </w:r>
      <w:proofErr w:type="spellStart"/>
      <w:r w:rsidRPr="003579B1">
        <w:rPr>
          <w:rFonts w:asciiTheme="majorHAnsi" w:hAnsiTheme="majorHAnsi"/>
        </w:rPr>
        <w:t>CLcr</w:t>
      </w:r>
      <w:proofErr w:type="spellEnd"/>
      <w:r w:rsidRPr="003579B1">
        <w:rPr>
          <w:rFonts w:asciiTheme="majorHAnsi" w:hAnsiTheme="majorHAnsi"/>
        </w:rPr>
        <w:t>] 30 to 89 mL/min estimated by Cockcroft-Gault).</w:t>
      </w:r>
      <w:r>
        <w:rPr>
          <w:rFonts w:asciiTheme="majorHAnsi" w:hAnsiTheme="majorHAnsi"/>
        </w:rPr>
        <w:t xml:space="preserve"> </w:t>
      </w:r>
      <w:r w:rsidR="00443C00" w:rsidRPr="009E2E9F">
        <w:rPr>
          <w:rFonts w:asciiTheme="majorHAnsi" w:hAnsiTheme="majorHAnsi"/>
        </w:rPr>
        <w:t xml:space="preserve">The effect of </w:t>
      </w:r>
      <w:r>
        <w:rPr>
          <w:rFonts w:asciiTheme="majorHAnsi" w:hAnsiTheme="majorHAnsi"/>
        </w:rPr>
        <w:t xml:space="preserve">severe </w:t>
      </w:r>
      <w:r w:rsidR="00443C00" w:rsidRPr="009E2E9F">
        <w:rPr>
          <w:rFonts w:asciiTheme="majorHAnsi" w:hAnsiTheme="majorHAnsi"/>
        </w:rPr>
        <w:t xml:space="preserve">renal impairment </w:t>
      </w:r>
      <w:r w:rsidRPr="003579B1">
        <w:rPr>
          <w:rFonts w:asciiTheme="majorHAnsi" w:hAnsiTheme="majorHAnsi"/>
        </w:rPr>
        <w:t>(</w:t>
      </w:r>
      <w:proofErr w:type="spellStart"/>
      <w:r w:rsidRPr="003579B1">
        <w:rPr>
          <w:rFonts w:asciiTheme="majorHAnsi" w:hAnsiTheme="majorHAnsi"/>
        </w:rPr>
        <w:t>CLcr</w:t>
      </w:r>
      <w:proofErr w:type="spellEnd"/>
      <w:r w:rsidRPr="003579B1">
        <w:rPr>
          <w:rFonts w:asciiTheme="majorHAnsi" w:hAnsiTheme="majorHAnsi"/>
        </w:rPr>
        <w:t xml:space="preserve"> &lt; 30 mL/min) </w:t>
      </w:r>
      <w:r w:rsidR="00443C00" w:rsidRPr="009E2E9F">
        <w:rPr>
          <w:rFonts w:asciiTheme="majorHAnsi" w:hAnsiTheme="majorHAnsi"/>
        </w:rPr>
        <w:t xml:space="preserve">or renal dialysis in end-stage renal disease on </w:t>
      </w:r>
      <w:proofErr w:type="spellStart"/>
      <w:r w:rsidR="00443C00" w:rsidRPr="009E2E9F">
        <w:rPr>
          <w:rFonts w:asciiTheme="majorHAnsi" w:hAnsiTheme="majorHAnsi"/>
        </w:rPr>
        <w:t>infigratinib</w:t>
      </w:r>
      <w:proofErr w:type="spellEnd"/>
      <w:r w:rsidR="00443C00" w:rsidRPr="009E2E9F">
        <w:rPr>
          <w:rFonts w:asciiTheme="majorHAnsi" w:hAnsiTheme="majorHAnsi"/>
        </w:rPr>
        <w:t xml:space="preserve"> exposure is unknown [see Section 5.2 Pharmacokinetic Properties]</w:t>
      </w:r>
      <w:r w:rsidR="003F5EA2" w:rsidRPr="009E2E9F">
        <w:rPr>
          <w:rFonts w:asciiTheme="majorHAnsi" w:hAnsiTheme="majorHAnsi"/>
        </w:rPr>
        <w:t>.</w:t>
      </w:r>
    </w:p>
    <w:p w14:paraId="26475FB7" w14:textId="29F291FF" w:rsidR="001A3992" w:rsidRPr="009E2E9F" w:rsidRDefault="001A3992" w:rsidP="00F85458">
      <w:pPr>
        <w:pStyle w:val="Heading3"/>
        <w:spacing w:before="0" w:after="120"/>
        <w:ind w:left="0"/>
      </w:pPr>
      <w:r w:rsidRPr="009E2E9F">
        <w:t>Use in the elderly</w:t>
      </w:r>
    </w:p>
    <w:p w14:paraId="245C1E37" w14:textId="26006473" w:rsidR="00F85458" w:rsidRPr="009E2E9F" w:rsidRDefault="00F85458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Of the 351 patients treated with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D438AF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181391">
        <w:rPr>
          <w:rFonts w:asciiTheme="majorHAnsi" w:hAnsiTheme="majorHAnsi"/>
        </w:rPr>
        <w:t xml:space="preserve"> </w:t>
      </w:r>
      <w:r w:rsidR="00492388" w:rsidRPr="009E2E9F">
        <w:rPr>
          <w:rFonts w:asciiTheme="majorHAnsi" w:hAnsiTheme="majorHAnsi"/>
        </w:rPr>
        <w:t>in</w:t>
      </w:r>
      <w:r w:rsidRPr="009E2E9F">
        <w:rPr>
          <w:rFonts w:asciiTheme="majorHAnsi" w:hAnsiTheme="majorHAnsi"/>
        </w:rPr>
        <w:t xml:space="preserve"> clinical studies, 33% were 65 years or older, and 10% were 75 years or older. No overall differences in safety or effectiveness were observed between these patients and younger patients.  </w:t>
      </w:r>
    </w:p>
    <w:p w14:paraId="1B2FBAB6" w14:textId="3AA5C52B" w:rsidR="001A3992" w:rsidRPr="009E2E9F" w:rsidRDefault="001A3992" w:rsidP="00F85458">
      <w:pPr>
        <w:pStyle w:val="Heading3"/>
        <w:spacing w:before="0" w:after="120"/>
        <w:ind w:left="0"/>
      </w:pPr>
      <w:r w:rsidRPr="009E2E9F">
        <w:t>Paediatric use</w:t>
      </w:r>
    </w:p>
    <w:p w14:paraId="0489C6E2" w14:textId="24369368" w:rsidR="00F85458" w:rsidRPr="009E2E9F" w:rsidRDefault="00F85458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The safety and effectiveness of </w:t>
      </w:r>
      <w:r w:rsidR="00492388" w:rsidRPr="009E2E9F">
        <w:rPr>
          <w:rFonts w:asciiTheme="majorHAnsi" w:hAnsiTheme="majorHAnsi" w:cstheme="minorHAnsi"/>
          <w:lang w:val="en"/>
        </w:rPr>
        <w:t>TRUSELTIQ</w:t>
      </w:r>
      <w:r w:rsidR="00D438AF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92388" w:rsidRPr="009E2E9F" w:rsidDel="00253490">
        <w:rPr>
          <w:rFonts w:asciiTheme="majorHAnsi" w:hAnsiTheme="majorHAnsi"/>
        </w:rPr>
        <w:t xml:space="preserve"> </w:t>
      </w:r>
      <w:r w:rsidR="00492388" w:rsidRPr="009E2E9F">
        <w:rPr>
          <w:rFonts w:asciiTheme="majorHAnsi" w:hAnsiTheme="majorHAnsi"/>
        </w:rPr>
        <w:t>in</w:t>
      </w:r>
      <w:r w:rsidRPr="009E2E9F">
        <w:rPr>
          <w:rFonts w:asciiTheme="majorHAnsi" w:hAnsiTheme="majorHAnsi"/>
        </w:rPr>
        <w:t xml:space="preserve"> paediatric patients with cancer have not been established.</w:t>
      </w:r>
    </w:p>
    <w:p w14:paraId="111A99AF" w14:textId="36A65955" w:rsidR="001A3992" w:rsidRPr="009E2E9F" w:rsidRDefault="001A3992" w:rsidP="00F85458">
      <w:pPr>
        <w:pStyle w:val="Heading3"/>
        <w:spacing w:before="0" w:after="120"/>
        <w:ind w:left="0"/>
      </w:pPr>
      <w:r w:rsidRPr="009E2E9F">
        <w:t>Effects on laboratory tests</w:t>
      </w:r>
    </w:p>
    <w:p w14:paraId="26BDF490" w14:textId="5D3F3326" w:rsidR="00B002E5" w:rsidRPr="00EA22CC" w:rsidRDefault="00B002E5" w:rsidP="00B002E5">
      <w:pPr>
        <w:rPr>
          <w:rFonts w:asciiTheme="majorHAnsi" w:hAnsiTheme="majorHAnsi"/>
        </w:rPr>
      </w:pPr>
      <w:r w:rsidRPr="00EA22CC">
        <w:rPr>
          <w:rFonts w:asciiTheme="majorHAnsi" w:hAnsiTheme="majorHAnsi"/>
        </w:rPr>
        <w:t>No data available.</w:t>
      </w:r>
    </w:p>
    <w:p w14:paraId="44867F94" w14:textId="42FC1CF8" w:rsidR="001A3992" w:rsidRPr="009E2E9F" w:rsidRDefault="001A3992" w:rsidP="001A3992">
      <w:pPr>
        <w:pStyle w:val="Heading2"/>
        <w:keepNext/>
        <w:keepLines/>
        <w:spacing w:before="0" w:after="120"/>
      </w:pPr>
      <w:r w:rsidRPr="009E2E9F">
        <w:t>Interactions with other medicines and other forms of interactions</w:t>
      </w:r>
    </w:p>
    <w:p w14:paraId="7CEBD51C" w14:textId="1F4430D4" w:rsidR="00405381" w:rsidRPr="00092436" w:rsidRDefault="00405381" w:rsidP="003A43D4">
      <w:pPr>
        <w:pStyle w:val="Heading4"/>
        <w:numPr>
          <w:ilvl w:val="0"/>
          <w:numId w:val="0"/>
        </w:numPr>
        <w:ind w:left="864" w:hanging="864"/>
        <w:jc w:val="both"/>
        <w:rPr>
          <w:b w:val="0"/>
          <w:bCs w:val="0"/>
          <w:i w:val="0"/>
          <w:iCs w:val="0"/>
          <w:color w:val="000000" w:themeColor="text1"/>
          <w:u w:val="single"/>
        </w:rPr>
      </w:pPr>
      <w:r w:rsidRPr="00092436">
        <w:rPr>
          <w:b w:val="0"/>
          <w:bCs w:val="0"/>
          <w:i w:val="0"/>
          <w:iCs w:val="0"/>
          <w:color w:val="000000" w:themeColor="text1"/>
          <w:u w:val="single"/>
        </w:rPr>
        <w:t xml:space="preserve">Strong </w:t>
      </w:r>
      <w:r w:rsidR="00DA1440" w:rsidRPr="00092436">
        <w:rPr>
          <w:b w:val="0"/>
          <w:bCs w:val="0"/>
          <w:i w:val="0"/>
          <w:iCs w:val="0"/>
          <w:color w:val="000000" w:themeColor="text1"/>
          <w:u w:val="single"/>
        </w:rPr>
        <w:t xml:space="preserve">and moderate </w:t>
      </w:r>
      <w:r w:rsidRPr="00092436">
        <w:rPr>
          <w:b w:val="0"/>
          <w:bCs w:val="0"/>
          <w:i w:val="0"/>
          <w:iCs w:val="0"/>
          <w:color w:val="000000" w:themeColor="text1"/>
          <w:u w:val="single"/>
        </w:rPr>
        <w:t xml:space="preserve">CYP3A4 Inhibitors </w:t>
      </w:r>
    </w:p>
    <w:p w14:paraId="7E5B8103" w14:textId="47ED87BB" w:rsidR="00405381" w:rsidRPr="00092436" w:rsidRDefault="00405381" w:rsidP="003A43D4">
      <w:pPr>
        <w:jc w:val="both"/>
        <w:rPr>
          <w:rFonts w:asciiTheme="majorHAnsi" w:hAnsiTheme="majorHAnsi"/>
        </w:rPr>
      </w:pPr>
      <w:r w:rsidRPr="00092436">
        <w:rPr>
          <w:rFonts w:asciiTheme="majorHAnsi" w:hAnsiTheme="majorHAnsi"/>
        </w:rPr>
        <w:t xml:space="preserve">Concomitant use of </w:t>
      </w:r>
      <w:r w:rsidR="00DA1440" w:rsidRPr="00092436">
        <w:rPr>
          <w:rFonts w:asciiTheme="majorHAnsi" w:hAnsiTheme="majorHAnsi" w:cstheme="minorHAnsi"/>
          <w:lang w:val="en"/>
        </w:rPr>
        <w:t>TRUSELTIQ</w:t>
      </w:r>
      <w:r w:rsidR="00DA1440" w:rsidRPr="00092436">
        <w:rPr>
          <w:rFonts w:asciiTheme="majorHAnsi" w:hAnsiTheme="majorHAnsi" w:cstheme="minorHAnsi"/>
          <w:vertAlign w:val="superscript"/>
          <w:lang w:val="en"/>
        </w:rPr>
        <w:t>TM</w:t>
      </w:r>
      <w:r w:rsidR="00DA1440" w:rsidRPr="00092436" w:rsidDel="00253490">
        <w:rPr>
          <w:rFonts w:asciiTheme="majorHAnsi" w:hAnsiTheme="majorHAnsi"/>
        </w:rPr>
        <w:t xml:space="preserve"> </w:t>
      </w:r>
      <w:r w:rsidR="00DA1440" w:rsidRPr="00092436">
        <w:rPr>
          <w:rFonts w:asciiTheme="majorHAnsi" w:hAnsiTheme="majorHAnsi"/>
        </w:rPr>
        <w:t xml:space="preserve">with </w:t>
      </w:r>
      <w:r w:rsidRPr="00092436">
        <w:rPr>
          <w:rFonts w:asciiTheme="majorHAnsi" w:hAnsiTheme="majorHAnsi"/>
        </w:rPr>
        <w:t>a strong</w:t>
      </w:r>
      <w:r w:rsidR="00DA1440" w:rsidRPr="00092436">
        <w:rPr>
          <w:rFonts w:asciiTheme="majorHAnsi" w:hAnsiTheme="majorHAnsi"/>
        </w:rPr>
        <w:t xml:space="preserve"> or moderate</w:t>
      </w:r>
      <w:r w:rsidRPr="00092436">
        <w:rPr>
          <w:rFonts w:asciiTheme="majorHAnsi" w:hAnsiTheme="majorHAnsi"/>
        </w:rPr>
        <w:t xml:space="preserve"> CYP3A4 inhibitor </w:t>
      </w:r>
      <w:r w:rsidR="00DA1440" w:rsidRPr="00092436">
        <w:rPr>
          <w:rFonts w:asciiTheme="majorHAnsi" w:hAnsiTheme="majorHAnsi"/>
        </w:rPr>
        <w:t>may</w:t>
      </w:r>
      <w:r w:rsidR="00282749" w:rsidRPr="00092436" w:rsidDel="0080476B">
        <w:rPr>
          <w:rFonts w:asciiTheme="majorHAnsi" w:hAnsiTheme="majorHAnsi"/>
        </w:rPr>
        <w:t xml:space="preserve"> </w:t>
      </w:r>
      <w:r w:rsidR="00282749" w:rsidRPr="00092436">
        <w:rPr>
          <w:rFonts w:asciiTheme="majorHAnsi" w:hAnsiTheme="majorHAnsi"/>
        </w:rPr>
        <w:t>increase</w:t>
      </w:r>
      <w:r w:rsidRPr="00092436">
        <w:rPr>
          <w:rFonts w:asciiTheme="majorHAnsi" w:hAnsiTheme="majorHAnsi"/>
        </w:rPr>
        <w:t xml:space="preserve"> </w:t>
      </w:r>
      <w:proofErr w:type="spellStart"/>
      <w:r w:rsidRPr="00092436">
        <w:rPr>
          <w:rFonts w:asciiTheme="majorHAnsi" w:hAnsiTheme="majorHAnsi"/>
        </w:rPr>
        <w:t>infigratinib</w:t>
      </w:r>
      <w:proofErr w:type="spellEnd"/>
      <w:r w:rsidRPr="00092436">
        <w:rPr>
          <w:rFonts w:asciiTheme="majorHAnsi" w:hAnsiTheme="majorHAnsi"/>
        </w:rPr>
        <w:t xml:space="preserve"> plasma concentrations</w:t>
      </w:r>
      <w:r w:rsidR="004065C4">
        <w:rPr>
          <w:rFonts w:asciiTheme="majorHAnsi" w:hAnsiTheme="majorHAnsi"/>
        </w:rPr>
        <w:t xml:space="preserve"> [see Section 5.2 </w:t>
      </w:r>
      <w:r w:rsidR="004065C4" w:rsidRPr="004065C4">
        <w:rPr>
          <w:rFonts w:asciiTheme="majorHAnsi" w:hAnsiTheme="majorHAnsi"/>
        </w:rPr>
        <w:t>Pharmacokinetic Properties</w:t>
      </w:r>
      <w:r w:rsidR="004065C4">
        <w:rPr>
          <w:rFonts w:asciiTheme="majorHAnsi" w:hAnsiTheme="majorHAnsi"/>
        </w:rPr>
        <w:t>]</w:t>
      </w:r>
      <w:r w:rsidR="00DA1440" w:rsidRPr="00092436">
        <w:rPr>
          <w:rFonts w:asciiTheme="majorHAnsi" w:hAnsiTheme="majorHAnsi"/>
        </w:rPr>
        <w:t>,</w:t>
      </w:r>
      <w:r w:rsidRPr="00092436">
        <w:rPr>
          <w:rFonts w:asciiTheme="majorHAnsi" w:hAnsiTheme="majorHAnsi"/>
        </w:rPr>
        <w:t xml:space="preserve"> which may increase the </w:t>
      </w:r>
      <w:r w:rsidR="00F64DA5">
        <w:rPr>
          <w:rFonts w:asciiTheme="majorHAnsi" w:hAnsiTheme="majorHAnsi"/>
        </w:rPr>
        <w:t>risk</w:t>
      </w:r>
      <w:r w:rsidRPr="00092436">
        <w:rPr>
          <w:rFonts w:asciiTheme="majorHAnsi" w:hAnsiTheme="majorHAnsi"/>
        </w:rPr>
        <w:t xml:space="preserve"> of adverse reactions. </w:t>
      </w:r>
      <w:r w:rsidR="00B2189C" w:rsidRPr="00092436">
        <w:rPr>
          <w:rFonts w:asciiTheme="majorHAnsi" w:hAnsiTheme="majorHAnsi"/>
        </w:rPr>
        <w:t xml:space="preserve">Avoid concomitant use of </w:t>
      </w:r>
      <w:r w:rsidR="00DA1440" w:rsidRPr="00092436">
        <w:rPr>
          <w:rFonts w:asciiTheme="majorHAnsi" w:hAnsiTheme="majorHAnsi" w:cstheme="minorHAnsi"/>
          <w:lang w:val="en"/>
        </w:rPr>
        <w:t>TRUSELTIQ</w:t>
      </w:r>
      <w:r w:rsidR="00DA1440" w:rsidRPr="00092436">
        <w:rPr>
          <w:rFonts w:asciiTheme="majorHAnsi" w:hAnsiTheme="majorHAnsi" w:cstheme="minorHAnsi"/>
          <w:vertAlign w:val="superscript"/>
          <w:lang w:val="en"/>
        </w:rPr>
        <w:t>TM</w:t>
      </w:r>
      <w:r w:rsidR="00DA1440" w:rsidRPr="00092436">
        <w:rPr>
          <w:rFonts w:asciiTheme="majorHAnsi" w:hAnsiTheme="majorHAnsi"/>
        </w:rPr>
        <w:t xml:space="preserve"> with </w:t>
      </w:r>
      <w:r w:rsidR="00B2189C" w:rsidRPr="00092436">
        <w:rPr>
          <w:rFonts w:asciiTheme="majorHAnsi" w:hAnsiTheme="majorHAnsi"/>
        </w:rPr>
        <w:t xml:space="preserve">strong </w:t>
      </w:r>
      <w:r w:rsidR="004065C4" w:rsidRPr="004065C4">
        <w:rPr>
          <w:rFonts w:asciiTheme="majorHAnsi" w:hAnsiTheme="majorHAnsi"/>
        </w:rPr>
        <w:t>or moderate</w:t>
      </w:r>
      <w:r w:rsidR="004065C4">
        <w:rPr>
          <w:rFonts w:asciiTheme="majorHAnsi" w:hAnsiTheme="majorHAnsi"/>
        </w:rPr>
        <w:t xml:space="preserve"> </w:t>
      </w:r>
      <w:r w:rsidR="00B2189C" w:rsidRPr="00092436">
        <w:rPr>
          <w:rFonts w:asciiTheme="majorHAnsi" w:hAnsiTheme="majorHAnsi"/>
        </w:rPr>
        <w:t>CYP3A4 inhibitors.</w:t>
      </w:r>
    </w:p>
    <w:p w14:paraId="17715B62" w14:textId="3C39AFFC" w:rsidR="00405381" w:rsidRPr="00092436" w:rsidRDefault="00405381" w:rsidP="003A43D4">
      <w:pPr>
        <w:jc w:val="both"/>
        <w:rPr>
          <w:rFonts w:asciiTheme="majorHAnsi" w:hAnsiTheme="majorHAnsi"/>
        </w:rPr>
      </w:pPr>
      <w:r w:rsidRPr="00092436">
        <w:rPr>
          <w:rFonts w:asciiTheme="majorHAnsi" w:hAnsiTheme="majorHAnsi"/>
        </w:rPr>
        <w:t xml:space="preserve">Coadministration of </w:t>
      </w:r>
      <w:r w:rsidR="00643494" w:rsidRPr="00643494">
        <w:rPr>
          <w:rFonts w:asciiTheme="majorHAnsi" w:hAnsiTheme="majorHAnsi"/>
        </w:rPr>
        <w:t xml:space="preserve">multiple doses of </w:t>
      </w:r>
      <w:r w:rsidRPr="00092436">
        <w:rPr>
          <w:rFonts w:asciiTheme="majorHAnsi" w:hAnsiTheme="majorHAnsi"/>
        </w:rPr>
        <w:t xml:space="preserve">itraconazole </w:t>
      </w:r>
      <w:r w:rsidR="00643494">
        <w:rPr>
          <w:rFonts w:asciiTheme="majorHAnsi" w:hAnsiTheme="majorHAnsi"/>
        </w:rPr>
        <w:t>(</w:t>
      </w:r>
      <w:r w:rsidRPr="00092436">
        <w:rPr>
          <w:rFonts w:asciiTheme="majorHAnsi" w:hAnsiTheme="majorHAnsi"/>
        </w:rPr>
        <w:t>strong CYP3A4 inhibitor</w:t>
      </w:r>
      <w:r w:rsidR="00643494">
        <w:rPr>
          <w:rFonts w:asciiTheme="majorHAnsi" w:hAnsiTheme="majorHAnsi"/>
        </w:rPr>
        <w:t>)</w:t>
      </w:r>
      <w:r w:rsidRPr="00092436">
        <w:rPr>
          <w:rFonts w:asciiTheme="majorHAnsi" w:hAnsiTheme="majorHAnsi"/>
        </w:rPr>
        <w:t xml:space="preserve"> increased </w:t>
      </w:r>
      <w:proofErr w:type="spellStart"/>
      <w:r w:rsidRPr="00092436">
        <w:rPr>
          <w:rFonts w:asciiTheme="majorHAnsi" w:hAnsiTheme="majorHAnsi"/>
        </w:rPr>
        <w:t>infigratinib</w:t>
      </w:r>
      <w:proofErr w:type="spellEnd"/>
      <w:r w:rsidRPr="00092436">
        <w:rPr>
          <w:rFonts w:asciiTheme="majorHAnsi" w:hAnsiTheme="majorHAnsi"/>
        </w:rPr>
        <w:t xml:space="preserve"> </w:t>
      </w:r>
      <w:r w:rsidR="00643494">
        <w:rPr>
          <w:rFonts w:asciiTheme="majorHAnsi" w:hAnsiTheme="majorHAnsi"/>
        </w:rPr>
        <w:t>AUC</w:t>
      </w:r>
      <w:r w:rsidR="00643494" w:rsidRPr="00643494">
        <w:rPr>
          <w:rFonts w:asciiTheme="majorHAnsi" w:hAnsiTheme="majorHAnsi"/>
          <w:vertAlign w:val="subscript"/>
        </w:rPr>
        <w:t>0-inf</w:t>
      </w:r>
      <w:r w:rsidR="00643494">
        <w:rPr>
          <w:rFonts w:asciiTheme="majorHAnsi" w:hAnsiTheme="majorHAnsi"/>
        </w:rPr>
        <w:t xml:space="preserve"> by 622% and </w:t>
      </w:r>
      <w:proofErr w:type="spellStart"/>
      <w:r w:rsidRPr="00092436">
        <w:rPr>
          <w:rFonts w:asciiTheme="majorHAnsi" w:hAnsiTheme="majorHAnsi"/>
        </w:rPr>
        <w:t>C</w:t>
      </w:r>
      <w:r w:rsidRPr="00092436">
        <w:rPr>
          <w:rFonts w:asciiTheme="majorHAnsi" w:hAnsiTheme="majorHAnsi"/>
          <w:vertAlign w:val="subscript"/>
        </w:rPr>
        <w:t>max</w:t>
      </w:r>
      <w:proofErr w:type="spellEnd"/>
      <w:r w:rsidRPr="00092436">
        <w:rPr>
          <w:rFonts w:asciiTheme="majorHAnsi" w:hAnsiTheme="majorHAnsi"/>
        </w:rPr>
        <w:t xml:space="preserve"> </w:t>
      </w:r>
      <w:r w:rsidR="00643494">
        <w:rPr>
          <w:rFonts w:asciiTheme="majorHAnsi" w:hAnsiTheme="majorHAnsi"/>
        </w:rPr>
        <w:t xml:space="preserve">by 164%, increased </w:t>
      </w:r>
      <w:r w:rsidRPr="00092436">
        <w:rPr>
          <w:rFonts w:asciiTheme="majorHAnsi" w:hAnsiTheme="majorHAnsi"/>
        </w:rPr>
        <w:t xml:space="preserve">BHS697 </w:t>
      </w:r>
      <w:r w:rsidR="00643494">
        <w:rPr>
          <w:rFonts w:asciiTheme="majorHAnsi" w:hAnsiTheme="majorHAnsi"/>
        </w:rPr>
        <w:t>AUC</w:t>
      </w:r>
      <w:r w:rsidR="00643494" w:rsidRPr="001C6C4C">
        <w:rPr>
          <w:rFonts w:asciiTheme="majorHAnsi" w:hAnsiTheme="majorHAnsi"/>
          <w:vertAlign w:val="subscript"/>
        </w:rPr>
        <w:t>0-inf</w:t>
      </w:r>
      <w:r w:rsidR="00643494">
        <w:rPr>
          <w:rFonts w:asciiTheme="majorHAnsi" w:hAnsiTheme="majorHAnsi"/>
        </w:rPr>
        <w:t xml:space="preserve"> by 174%, </w:t>
      </w:r>
      <w:r w:rsidRPr="00092436">
        <w:rPr>
          <w:rFonts w:asciiTheme="majorHAnsi" w:hAnsiTheme="majorHAnsi"/>
        </w:rPr>
        <w:t xml:space="preserve">and </w:t>
      </w:r>
      <w:r w:rsidR="00643494">
        <w:rPr>
          <w:rFonts w:asciiTheme="majorHAnsi" w:hAnsiTheme="majorHAnsi"/>
        </w:rPr>
        <w:t xml:space="preserve">decreased </w:t>
      </w:r>
      <w:r w:rsidRPr="00092436">
        <w:rPr>
          <w:rFonts w:asciiTheme="majorHAnsi" w:hAnsiTheme="majorHAnsi"/>
        </w:rPr>
        <w:t>CQM157</w:t>
      </w:r>
      <w:r w:rsidR="00643494">
        <w:rPr>
          <w:rFonts w:asciiTheme="majorHAnsi" w:hAnsiTheme="majorHAnsi"/>
        </w:rPr>
        <w:t xml:space="preserve"> </w:t>
      </w:r>
      <w:proofErr w:type="spellStart"/>
      <w:r w:rsidR="00643494" w:rsidRPr="00092436">
        <w:rPr>
          <w:rFonts w:asciiTheme="majorHAnsi" w:hAnsiTheme="majorHAnsi"/>
        </w:rPr>
        <w:t>C</w:t>
      </w:r>
      <w:r w:rsidR="00643494" w:rsidRPr="00092436">
        <w:rPr>
          <w:rFonts w:asciiTheme="majorHAnsi" w:hAnsiTheme="majorHAnsi"/>
          <w:vertAlign w:val="subscript"/>
        </w:rPr>
        <w:t>max</w:t>
      </w:r>
      <w:proofErr w:type="spellEnd"/>
      <w:r w:rsidR="00643494" w:rsidRPr="00092436">
        <w:rPr>
          <w:rFonts w:asciiTheme="majorHAnsi" w:hAnsiTheme="majorHAnsi"/>
        </w:rPr>
        <w:t xml:space="preserve"> </w:t>
      </w:r>
      <w:r w:rsidR="00643494">
        <w:rPr>
          <w:rFonts w:asciiTheme="majorHAnsi" w:hAnsiTheme="majorHAnsi"/>
        </w:rPr>
        <w:t>by 69% respectively</w:t>
      </w:r>
      <w:r w:rsidRPr="00092436">
        <w:rPr>
          <w:rFonts w:asciiTheme="majorHAnsi" w:hAnsiTheme="majorHAnsi"/>
        </w:rPr>
        <w:t>.</w:t>
      </w:r>
    </w:p>
    <w:p w14:paraId="01DEA0CC" w14:textId="0842FE4A" w:rsidR="001452C1" w:rsidRPr="00092436" w:rsidRDefault="001452C1" w:rsidP="003A43D4">
      <w:pPr>
        <w:pStyle w:val="Heading4"/>
        <w:numPr>
          <w:ilvl w:val="0"/>
          <w:numId w:val="0"/>
        </w:numPr>
        <w:ind w:left="864" w:hanging="864"/>
        <w:jc w:val="both"/>
        <w:rPr>
          <w:b w:val="0"/>
          <w:bCs w:val="0"/>
          <w:i w:val="0"/>
          <w:iCs w:val="0"/>
          <w:color w:val="000000" w:themeColor="text1"/>
          <w:u w:val="single"/>
        </w:rPr>
      </w:pPr>
      <w:r w:rsidRPr="00092436">
        <w:rPr>
          <w:b w:val="0"/>
          <w:bCs w:val="0"/>
          <w:i w:val="0"/>
          <w:iCs w:val="0"/>
          <w:color w:val="000000" w:themeColor="text1"/>
          <w:u w:val="single"/>
        </w:rPr>
        <w:t>Strong</w:t>
      </w:r>
      <w:r w:rsidR="00B36431" w:rsidRPr="00092436">
        <w:rPr>
          <w:b w:val="0"/>
          <w:bCs w:val="0"/>
          <w:i w:val="0"/>
          <w:iCs w:val="0"/>
          <w:color w:val="000000" w:themeColor="text1"/>
          <w:u w:val="single"/>
        </w:rPr>
        <w:t xml:space="preserve"> and moderate</w:t>
      </w:r>
      <w:r w:rsidRPr="00092436">
        <w:rPr>
          <w:b w:val="0"/>
          <w:bCs w:val="0"/>
          <w:i w:val="0"/>
          <w:iCs w:val="0"/>
          <w:color w:val="000000" w:themeColor="text1"/>
          <w:u w:val="single"/>
        </w:rPr>
        <w:t xml:space="preserve"> CYP3A4 Inducers </w:t>
      </w:r>
    </w:p>
    <w:p w14:paraId="54CB72FF" w14:textId="3C273FDD" w:rsidR="001452C1" w:rsidRPr="00092436" w:rsidRDefault="001452C1" w:rsidP="003A43D4">
      <w:pPr>
        <w:jc w:val="both"/>
        <w:rPr>
          <w:rFonts w:asciiTheme="majorHAnsi" w:hAnsiTheme="majorHAnsi"/>
        </w:rPr>
      </w:pPr>
      <w:r w:rsidRPr="00092436">
        <w:rPr>
          <w:rFonts w:asciiTheme="majorHAnsi" w:hAnsiTheme="majorHAnsi"/>
        </w:rPr>
        <w:t xml:space="preserve">Concomitant use of </w:t>
      </w:r>
      <w:r w:rsidR="00282749" w:rsidRPr="00092436">
        <w:rPr>
          <w:rFonts w:asciiTheme="majorHAnsi" w:hAnsiTheme="majorHAnsi" w:cstheme="minorHAnsi"/>
          <w:lang w:val="en"/>
        </w:rPr>
        <w:t>TRUSELTIQ</w:t>
      </w:r>
      <w:r w:rsidR="00DE19F1" w:rsidRPr="00092436">
        <w:rPr>
          <w:rFonts w:asciiTheme="majorHAnsi" w:hAnsiTheme="majorHAnsi" w:cstheme="minorHAnsi"/>
          <w:vertAlign w:val="superscript"/>
          <w:lang w:val="en"/>
        </w:rPr>
        <w:t>TM</w:t>
      </w:r>
      <w:r w:rsidR="00282749" w:rsidRPr="00092436" w:rsidDel="00B2189C">
        <w:rPr>
          <w:rFonts w:asciiTheme="majorHAnsi" w:hAnsiTheme="majorHAnsi"/>
        </w:rPr>
        <w:t xml:space="preserve"> </w:t>
      </w:r>
      <w:r w:rsidR="00282749" w:rsidRPr="00092436">
        <w:rPr>
          <w:rFonts w:asciiTheme="majorHAnsi" w:hAnsiTheme="majorHAnsi"/>
        </w:rPr>
        <w:t>with</w:t>
      </w:r>
      <w:r w:rsidRPr="00092436">
        <w:rPr>
          <w:rFonts w:asciiTheme="majorHAnsi" w:hAnsiTheme="majorHAnsi"/>
        </w:rPr>
        <w:t xml:space="preserve"> a strong</w:t>
      </w:r>
      <w:r w:rsidR="00B36431" w:rsidRPr="00092436">
        <w:rPr>
          <w:rFonts w:asciiTheme="majorHAnsi" w:hAnsiTheme="majorHAnsi"/>
        </w:rPr>
        <w:t xml:space="preserve"> or moderate</w:t>
      </w:r>
      <w:r w:rsidRPr="00092436">
        <w:rPr>
          <w:rFonts w:asciiTheme="majorHAnsi" w:hAnsiTheme="majorHAnsi"/>
        </w:rPr>
        <w:t xml:space="preserve"> CYP3A4 inducer</w:t>
      </w:r>
      <w:r w:rsidR="00B36431" w:rsidRPr="00092436">
        <w:rPr>
          <w:rFonts w:asciiTheme="majorHAnsi" w:hAnsiTheme="majorHAnsi"/>
        </w:rPr>
        <w:t xml:space="preserve"> may</w:t>
      </w:r>
      <w:r w:rsidRPr="00092436">
        <w:rPr>
          <w:rFonts w:asciiTheme="majorHAnsi" w:hAnsiTheme="majorHAnsi"/>
        </w:rPr>
        <w:t xml:space="preserve"> decrease </w:t>
      </w:r>
      <w:proofErr w:type="spellStart"/>
      <w:r w:rsidRPr="00092436">
        <w:rPr>
          <w:rFonts w:asciiTheme="majorHAnsi" w:hAnsiTheme="majorHAnsi"/>
        </w:rPr>
        <w:t>infigratinib</w:t>
      </w:r>
      <w:proofErr w:type="spellEnd"/>
      <w:r w:rsidRPr="00092436">
        <w:rPr>
          <w:rFonts w:asciiTheme="majorHAnsi" w:hAnsiTheme="majorHAnsi"/>
        </w:rPr>
        <w:t xml:space="preserve"> plasma concentrations</w:t>
      </w:r>
      <w:r w:rsidR="00133100">
        <w:rPr>
          <w:rFonts w:asciiTheme="majorHAnsi" w:hAnsiTheme="majorHAnsi"/>
        </w:rPr>
        <w:t xml:space="preserve"> [see Section 5.2 </w:t>
      </w:r>
      <w:r w:rsidR="00133100" w:rsidRPr="004065C4">
        <w:rPr>
          <w:rFonts w:asciiTheme="majorHAnsi" w:hAnsiTheme="majorHAnsi"/>
        </w:rPr>
        <w:t>Pharmacokinetic Properties</w:t>
      </w:r>
      <w:r w:rsidR="00133100">
        <w:rPr>
          <w:rFonts w:asciiTheme="majorHAnsi" w:hAnsiTheme="majorHAnsi"/>
        </w:rPr>
        <w:t>]</w:t>
      </w:r>
      <w:r w:rsidR="00133100" w:rsidRPr="00092436">
        <w:rPr>
          <w:rFonts w:asciiTheme="majorHAnsi" w:hAnsiTheme="majorHAnsi"/>
        </w:rPr>
        <w:t>,</w:t>
      </w:r>
      <w:r w:rsidRPr="00092436">
        <w:rPr>
          <w:rFonts w:asciiTheme="majorHAnsi" w:hAnsiTheme="majorHAnsi"/>
        </w:rPr>
        <w:t xml:space="preserve"> which may reduce </w:t>
      </w:r>
      <w:r w:rsidR="00B36431" w:rsidRPr="00092436">
        <w:rPr>
          <w:rFonts w:asciiTheme="majorHAnsi" w:hAnsiTheme="majorHAnsi" w:cstheme="minorHAnsi"/>
          <w:lang w:val="en"/>
        </w:rPr>
        <w:t>TRUSELTIQ</w:t>
      </w:r>
      <w:r w:rsidR="00B36431" w:rsidRPr="00092436">
        <w:rPr>
          <w:rFonts w:asciiTheme="majorHAnsi" w:hAnsiTheme="majorHAnsi" w:cstheme="minorHAnsi"/>
          <w:vertAlign w:val="superscript"/>
          <w:lang w:val="en"/>
        </w:rPr>
        <w:t>TM</w:t>
      </w:r>
      <w:r w:rsidR="00B36431" w:rsidRPr="00092436">
        <w:rPr>
          <w:rFonts w:asciiTheme="majorHAnsi" w:hAnsiTheme="majorHAnsi"/>
        </w:rPr>
        <w:t xml:space="preserve"> anti-tumour activity</w:t>
      </w:r>
      <w:r w:rsidRPr="00092436">
        <w:rPr>
          <w:rFonts w:asciiTheme="majorHAnsi" w:hAnsiTheme="majorHAnsi"/>
        </w:rPr>
        <w:t xml:space="preserve">. </w:t>
      </w:r>
      <w:r w:rsidR="00B2189C" w:rsidRPr="00092436">
        <w:rPr>
          <w:rFonts w:asciiTheme="majorHAnsi" w:hAnsiTheme="majorHAnsi"/>
        </w:rPr>
        <w:t xml:space="preserve">Avoid concomitant use of </w:t>
      </w:r>
      <w:r w:rsidR="00B36431" w:rsidRPr="00092436">
        <w:rPr>
          <w:rFonts w:asciiTheme="majorHAnsi" w:hAnsiTheme="majorHAnsi" w:cstheme="minorHAnsi"/>
          <w:lang w:val="en"/>
        </w:rPr>
        <w:t>TRUSELTIQ</w:t>
      </w:r>
      <w:r w:rsidR="00B36431" w:rsidRPr="00092436">
        <w:rPr>
          <w:rFonts w:asciiTheme="majorHAnsi" w:hAnsiTheme="majorHAnsi" w:cstheme="minorHAnsi"/>
          <w:vertAlign w:val="superscript"/>
          <w:lang w:val="en"/>
        </w:rPr>
        <w:t>TM</w:t>
      </w:r>
      <w:r w:rsidR="00B36431" w:rsidRPr="00092436">
        <w:rPr>
          <w:rFonts w:asciiTheme="majorHAnsi" w:hAnsiTheme="majorHAnsi"/>
        </w:rPr>
        <w:t xml:space="preserve"> with </w:t>
      </w:r>
      <w:r w:rsidR="00B2189C" w:rsidRPr="00092436">
        <w:rPr>
          <w:rFonts w:asciiTheme="majorHAnsi" w:hAnsiTheme="majorHAnsi"/>
        </w:rPr>
        <w:t>strong</w:t>
      </w:r>
      <w:r w:rsidR="00B36431" w:rsidRPr="00092436">
        <w:rPr>
          <w:rFonts w:asciiTheme="majorHAnsi" w:hAnsiTheme="majorHAnsi"/>
        </w:rPr>
        <w:t xml:space="preserve"> or moderate</w:t>
      </w:r>
      <w:r w:rsidR="00B2189C" w:rsidRPr="00092436">
        <w:rPr>
          <w:rFonts w:asciiTheme="majorHAnsi" w:hAnsiTheme="majorHAnsi"/>
        </w:rPr>
        <w:t xml:space="preserve"> CYP3A4 inducers.</w:t>
      </w:r>
    </w:p>
    <w:p w14:paraId="1C078605" w14:textId="572D8999" w:rsidR="001452C1" w:rsidRPr="00092436" w:rsidRDefault="001452C1" w:rsidP="003A43D4">
      <w:pPr>
        <w:jc w:val="both"/>
        <w:rPr>
          <w:rFonts w:asciiTheme="majorHAnsi" w:hAnsiTheme="majorHAnsi"/>
        </w:rPr>
      </w:pPr>
      <w:r w:rsidRPr="00092436">
        <w:rPr>
          <w:rFonts w:asciiTheme="majorHAnsi" w:hAnsiTheme="majorHAnsi"/>
        </w:rPr>
        <w:t xml:space="preserve">Coadministration </w:t>
      </w:r>
      <w:r w:rsidR="00643494" w:rsidRPr="00643494">
        <w:rPr>
          <w:rFonts w:asciiTheme="majorHAnsi" w:hAnsiTheme="majorHAnsi"/>
        </w:rPr>
        <w:t xml:space="preserve">of multiple doses </w:t>
      </w:r>
      <w:r w:rsidRPr="00092436">
        <w:rPr>
          <w:rFonts w:asciiTheme="majorHAnsi" w:hAnsiTheme="majorHAnsi"/>
        </w:rPr>
        <w:t xml:space="preserve">of </w:t>
      </w:r>
      <w:proofErr w:type="spellStart"/>
      <w:r w:rsidRPr="00092436">
        <w:rPr>
          <w:rFonts w:asciiTheme="majorHAnsi" w:hAnsiTheme="majorHAnsi"/>
        </w:rPr>
        <w:t>rifampin</w:t>
      </w:r>
      <w:proofErr w:type="spellEnd"/>
      <w:r w:rsidRPr="00092436">
        <w:rPr>
          <w:rFonts w:asciiTheme="majorHAnsi" w:hAnsiTheme="majorHAnsi"/>
        </w:rPr>
        <w:t xml:space="preserve"> </w:t>
      </w:r>
      <w:r w:rsidR="00643494">
        <w:rPr>
          <w:rFonts w:asciiTheme="majorHAnsi" w:hAnsiTheme="majorHAnsi"/>
        </w:rPr>
        <w:t>(</w:t>
      </w:r>
      <w:r w:rsidRPr="00092436">
        <w:rPr>
          <w:rFonts w:asciiTheme="majorHAnsi" w:hAnsiTheme="majorHAnsi"/>
        </w:rPr>
        <w:t>strong CYP3A4 inducer</w:t>
      </w:r>
      <w:r w:rsidR="00643494">
        <w:rPr>
          <w:rFonts w:asciiTheme="majorHAnsi" w:hAnsiTheme="majorHAnsi"/>
        </w:rPr>
        <w:t>)</w:t>
      </w:r>
      <w:r w:rsidRPr="00092436">
        <w:rPr>
          <w:rFonts w:asciiTheme="majorHAnsi" w:hAnsiTheme="majorHAnsi"/>
        </w:rPr>
        <w:t xml:space="preserve"> decreased </w:t>
      </w:r>
      <w:proofErr w:type="spellStart"/>
      <w:r w:rsidRPr="00092436">
        <w:rPr>
          <w:rFonts w:asciiTheme="majorHAnsi" w:hAnsiTheme="majorHAnsi"/>
        </w:rPr>
        <w:t>infigratinib</w:t>
      </w:r>
      <w:proofErr w:type="spellEnd"/>
      <w:r w:rsidRPr="00092436">
        <w:rPr>
          <w:rFonts w:asciiTheme="majorHAnsi" w:hAnsiTheme="majorHAnsi"/>
        </w:rPr>
        <w:t xml:space="preserve"> </w:t>
      </w:r>
      <w:r w:rsidR="00643494" w:rsidRPr="00092436">
        <w:rPr>
          <w:rFonts w:asciiTheme="majorHAnsi" w:hAnsiTheme="majorHAnsi"/>
        </w:rPr>
        <w:t>AUC</w:t>
      </w:r>
      <w:r w:rsidR="00643494" w:rsidRPr="00643494">
        <w:rPr>
          <w:rFonts w:asciiTheme="majorHAnsi" w:hAnsiTheme="majorHAnsi"/>
          <w:vertAlign w:val="subscript"/>
        </w:rPr>
        <w:t>0-</w:t>
      </w:r>
      <w:r w:rsidR="00643494" w:rsidRPr="00092436">
        <w:rPr>
          <w:rFonts w:asciiTheme="majorHAnsi" w:hAnsiTheme="majorHAnsi"/>
          <w:vertAlign w:val="subscript"/>
        </w:rPr>
        <w:t>inf</w:t>
      </w:r>
      <w:r w:rsidR="00643494" w:rsidRPr="00092436">
        <w:rPr>
          <w:rFonts w:asciiTheme="majorHAnsi" w:hAnsiTheme="majorHAnsi"/>
        </w:rPr>
        <w:t xml:space="preserve"> </w:t>
      </w:r>
      <w:r w:rsidR="00643494">
        <w:rPr>
          <w:rFonts w:asciiTheme="majorHAnsi" w:hAnsiTheme="majorHAnsi"/>
        </w:rPr>
        <w:t>by 56% and</w:t>
      </w:r>
      <w:r w:rsidR="00643494" w:rsidRPr="00092436">
        <w:rPr>
          <w:rFonts w:asciiTheme="majorHAnsi" w:hAnsiTheme="majorHAnsi"/>
        </w:rPr>
        <w:t xml:space="preserve"> </w:t>
      </w:r>
      <w:proofErr w:type="spellStart"/>
      <w:r w:rsidR="00643494" w:rsidRPr="00092436">
        <w:rPr>
          <w:rFonts w:asciiTheme="majorHAnsi" w:hAnsiTheme="majorHAnsi"/>
        </w:rPr>
        <w:t>C</w:t>
      </w:r>
      <w:r w:rsidR="00643494" w:rsidRPr="00092436">
        <w:rPr>
          <w:rFonts w:asciiTheme="majorHAnsi" w:hAnsiTheme="majorHAnsi"/>
          <w:vertAlign w:val="subscript"/>
        </w:rPr>
        <w:t>max</w:t>
      </w:r>
      <w:proofErr w:type="spellEnd"/>
      <w:r w:rsidR="00643494" w:rsidRPr="00092436">
        <w:rPr>
          <w:rFonts w:asciiTheme="majorHAnsi" w:hAnsiTheme="majorHAnsi"/>
        </w:rPr>
        <w:t xml:space="preserve"> </w:t>
      </w:r>
      <w:r w:rsidR="00643494">
        <w:rPr>
          <w:rFonts w:asciiTheme="majorHAnsi" w:hAnsiTheme="majorHAnsi"/>
        </w:rPr>
        <w:t>by 44%,</w:t>
      </w:r>
      <w:r w:rsidRPr="00092436">
        <w:rPr>
          <w:rFonts w:asciiTheme="majorHAnsi" w:hAnsiTheme="majorHAnsi"/>
        </w:rPr>
        <w:t xml:space="preserve"> </w:t>
      </w:r>
      <w:r w:rsidR="00643494">
        <w:rPr>
          <w:rFonts w:asciiTheme="majorHAnsi" w:hAnsiTheme="majorHAnsi"/>
        </w:rPr>
        <w:t xml:space="preserve">decreased </w:t>
      </w:r>
      <w:r w:rsidRPr="00092436">
        <w:rPr>
          <w:rFonts w:asciiTheme="majorHAnsi" w:hAnsiTheme="majorHAnsi"/>
        </w:rPr>
        <w:t>BHS697</w:t>
      </w:r>
      <w:r w:rsidR="00643494">
        <w:rPr>
          <w:rFonts w:asciiTheme="majorHAnsi" w:hAnsiTheme="majorHAnsi"/>
        </w:rPr>
        <w:t xml:space="preserve"> AUC</w:t>
      </w:r>
      <w:r w:rsidR="00643494" w:rsidRPr="001C6C4C">
        <w:rPr>
          <w:rFonts w:asciiTheme="majorHAnsi" w:hAnsiTheme="majorHAnsi"/>
          <w:vertAlign w:val="subscript"/>
        </w:rPr>
        <w:t>0-inf</w:t>
      </w:r>
      <w:r w:rsidR="00643494">
        <w:rPr>
          <w:rFonts w:asciiTheme="majorHAnsi" w:hAnsiTheme="majorHAnsi"/>
        </w:rPr>
        <w:t xml:space="preserve"> by </w:t>
      </w:r>
      <w:r w:rsidR="00AD43F2">
        <w:rPr>
          <w:rFonts w:asciiTheme="majorHAnsi" w:hAnsiTheme="majorHAnsi"/>
        </w:rPr>
        <w:t>65</w:t>
      </w:r>
      <w:r w:rsidR="00643494">
        <w:rPr>
          <w:rFonts w:asciiTheme="majorHAnsi" w:hAnsiTheme="majorHAnsi"/>
        </w:rPr>
        <w:t>% and</w:t>
      </w:r>
      <w:r w:rsidR="00643494" w:rsidRPr="00092436">
        <w:rPr>
          <w:rFonts w:asciiTheme="majorHAnsi" w:hAnsiTheme="majorHAnsi"/>
        </w:rPr>
        <w:t xml:space="preserve"> </w:t>
      </w:r>
      <w:proofErr w:type="spellStart"/>
      <w:r w:rsidR="00643494" w:rsidRPr="00092436">
        <w:rPr>
          <w:rFonts w:asciiTheme="majorHAnsi" w:hAnsiTheme="majorHAnsi"/>
        </w:rPr>
        <w:t>C</w:t>
      </w:r>
      <w:r w:rsidR="00643494" w:rsidRPr="00092436">
        <w:rPr>
          <w:rFonts w:asciiTheme="majorHAnsi" w:hAnsiTheme="majorHAnsi"/>
          <w:vertAlign w:val="subscript"/>
        </w:rPr>
        <w:t>max</w:t>
      </w:r>
      <w:proofErr w:type="spellEnd"/>
      <w:r w:rsidR="00643494" w:rsidRPr="00092436">
        <w:rPr>
          <w:rFonts w:asciiTheme="majorHAnsi" w:hAnsiTheme="majorHAnsi"/>
        </w:rPr>
        <w:t xml:space="preserve"> </w:t>
      </w:r>
      <w:r w:rsidR="00643494">
        <w:rPr>
          <w:rFonts w:asciiTheme="majorHAnsi" w:hAnsiTheme="majorHAnsi"/>
        </w:rPr>
        <w:t xml:space="preserve">by </w:t>
      </w:r>
      <w:r w:rsidR="00AD43F2">
        <w:rPr>
          <w:rFonts w:asciiTheme="majorHAnsi" w:hAnsiTheme="majorHAnsi"/>
        </w:rPr>
        <w:t>27</w:t>
      </w:r>
      <w:r w:rsidR="00643494">
        <w:rPr>
          <w:rFonts w:asciiTheme="majorHAnsi" w:hAnsiTheme="majorHAnsi"/>
        </w:rPr>
        <w:t>%,</w:t>
      </w:r>
      <w:r w:rsidRPr="00092436">
        <w:rPr>
          <w:rFonts w:asciiTheme="majorHAnsi" w:hAnsiTheme="majorHAnsi"/>
        </w:rPr>
        <w:t xml:space="preserve"> and</w:t>
      </w:r>
      <w:r w:rsidR="00AD43F2">
        <w:rPr>
          <w:rFonts w:asciiTheme="majorHAnsi" w:hAnsiTheme="majorHAnsi"/>
        </w:rPr>
        <w:t xml:space="preserve"> decreased</w:t>
      </w:r>
      <w:r w:rsidRPr="00092436">
        <w:rPr>
          <w:rFonts w:asciiTheme="majorHAnsi" w:hAnsiTheme="majorHAnsi"/>
        </w:rPr>
        <w:t xml:space="preserve"> CQM157</w:t>
      </w:r>
      <w:r w:rsidR="00AD43F2">
        <w:rPr>
          <w:rFonts w:asciiTheme="majorHAnsi" w:hAnsiTheme="majorHAnsi"/>
        </w:rPr>
        <w:t xml:space="preserve"> AUC</w:t>
      </w:r>
      <w:r w:rsidR="00AD43F2" w:rsidRPr="001C6C4C">
        <w:rPr>
          <w:rFonts w:asciiTheme="majorHAnsi" w:hAnsiTheme="majorHAnsi"/>
          <w:vertAlign w:val="subscript"/>
        </w:rPr>
        <w:t>0-inf</w:t>
      </w:r>
      <w:r w:rsidR="00AD43F2">
        <w:rPr>
          <w:rFonts w:asciiTheme="majorHAnsi" w:hAnsiTheme="majorHAnsi"/>
        </w:rPr>
        <w:t xml:space="preserve"> by 76% and</w:t>
      </w:r>
      <w:r w:rsidR="00AD43F2" w:rsidRPr="00092436">
        <w:rPr>
          <w:rFonts w:asciiTheme="majorHAnsi" w:hAnsiTheme="majorHAnsi"/>
        </w:rPr>
        <w:t xml:space="preserve"> </w:t>
      </w:r>
      <w:proofErr w:type="spellStart"/>
      <w:r w:rsidR="00AD43F2" w:rsidRPr="00092436">
        <w:rPr>
          <w:rFonts w:asciiTheme="majorHAnsi" w:hAnsiTheme="majorHAnsi"/>
        </w:rPr>
        <w:t>C</w:t>
      </w:r>
      <w:r w:rsidR="00AD43F2" w:rsidRPr="00092436">
        <w:rPr>
          <w:rFonts w:asciiTheme="majorHAnsi" w:hAnsiTheme="majorHAnsi"/>
          <w:vertAlign w:val="subscript"/>
        </w:rPr>
        <w:t>max</w:t>
      </w:r>
      <w:proofErr w:type="spellEnd"/>
      <w:r w:rsidR="00AD43F2" w:rsidRPr="00092436">
        <w:rPr>
          <w:rFonts w:asciiTheme="majorHAnsi" w:hAnsiTheme="majorHAnsi"/>
        </w:rPr>
        <w:t xml:space="preserve"> </w:t>
      </w:r>
      <w:r w:rsidR="00AD43F2">
        <w:rPr>
          <w:rFonts w:asciiTheme="majorHAnsi" w:hAnsiTheme="majorHAnsi"/>
        </w:rPr>
        <w:t>by 50% respectively</w:t>
      </w:r>
      <w:r w:rsidRPr="00092436">
        <w:rPr>
          <w:rFonts w:asciiTheme="majorHAnsi" w:hAnsiTheme="majorHAnsi"/>
        </w:rPr>
        <w:t>.</w:t>
      </w:r>
    </w:p>
    <w:p w14:paraId="33169C43" w14:textId="090484C8" w:rsidR="00B25E7A" w:rsidRPr="00F857E6" w:rsidRDefault="00B25E7A" w:rsidP="003A43D4">
      <w:pPr>
        <w:pStyle w:val="Heading4"/>
        <w:numPr>
          <w:ilvl w:val="0"/>
          <w:numId w:val="0"/>
        </w:numPr>
        <w:ind w:left="864" w:hanging="864"/>
        <w:jc w:val="both"/>
        <w:rPr>
          <w:b w:val="0"/>
          <w:bCs w:val="0"/>
          <w:i w:val="0"/>
          <w:iCs w:val="0"/>
          <w:color w:val="000000" w:themeColor="text1"/>
          <w:u w:val="single"/>
        </w:rPr>
      </w:pPr>
      <w:r w:rsidRPr="00F857E6">
        <w:rPr>
          <w:b w:val="0"/>
          <w:bCs w:val="0"/>
          <w:i w:val="0"/>
          <w:iCs w:val="0"/>
          <w:color w:val="000000" w:themeColor="text1"/>
          <w:u w:val="single"/>
        </w:rPr>
        <w:t xml:space="preserve">Gastric Acid Reducing </w:t>
      </w:r>
      <w:r w:rsidR="00F7607A" w:rsidRPr="00F857E6">
        <w:rPr>
          <w:b w:val="0"/>
          <w:bCs w:val="0"/>
          <w:i w:val="0"/>
          <w:iCs w:val="0"/>
          <w:color w:val="000000" w:themeColor="text1"/>
          <w:u w:val="single"/>
        </w:rPr>
        <w:t>Agents</w:t>
      </w:r>
    </w:p>
    <w:p w14:paraId="0227C98E" w14:textId="369858D3" w:rsidR="00F7607A" w:rsidRPr="00F857E6" w:rsidRDefault="00B25E7A" w:rsidP="003A43D4">
      <w:pPr>
        <w:jc w:val="both"/>
        <w:rPr>
          <w:rFonts w:asciiTheme="majorHAnsi" w:hAnsiTheme="majorHAnsi"/>
        </w:rPr>
      </w:pPr>
      <w:r w:rsidRPr="00F857E6">
        <w:rPr>
          <w:rFonts w:asciiTheme="majorHAnsi" w:hAnsiTheme="majorHAnsi"/>
        </w:rPr>
        <w:t xml:space="preserve">The coadministration of </w:t>
      </w:r>
      <w:r w:rsidR="00282749" w:rsidRPr="00F857E6">
        <w:rPr>
          <w:rFonts w:asciiTheme="majorHAnsi" w:hAnsiTheme="majorHAnsi"/>
          <w:lang w:val="en"/>
        </w:rPr>
        <w:t>TRUSELTIQ</w:t>
      </w:r>
      <w:r w:rsidR="00DE19F1" w:rsidRPr="00F857E6">
        <w:rPr>
          <w:rFonts w:asciiTheme="majorHAnsi" w:hAnsiTheme="majorHAnsi"/>
          <w:vertAlign w:val="superscript"/>
          <w:lang w:val="en"/>
        </w:rPr>
        <w:t>TM</w:t>
      </w:r>
      <w:r w:rsidR="00282749" w:rsidRPr="00F857E6">
        <w:rPr>
          <w:rFonts w:asciiTheme="majorHAnsi" w:hAnsiTheme="majorHAnsi"/>
        </w:rPr>
        <w:t xml:space="preserve"> with</w:t>
      </w:r>
      <w:r w:rsidRPr="00F857E6">
        <w:rPr>
          <w:rFonts w:asciiTheme="majorHAnsi" w:hAnsiTheme="majorHAnsi"/>
        </w:rPr>
        <w:t xml:space="preserve"> a gastric</w:t>
      </w:r>
      <w:r w:rsidR="00C70E16" w:rsidRPr="00F857E6">
        <w:rPr>
          <w:rFonts w:asciiTheme="majorHAnsi" w:hAnsiTheme="majorHAnsi"/>
        </w:rPr>
        <w:t xml:space="preserve"> </w:t>
      </w:r>
      <w:r w:rsidR="000E6D8C" w:rsidRPr="00F857E6">
        <w:rPr>
          <w:rFonts w:asciiTheme="majorHAnsi" w:hAnsiTheme="majorHAnsi"/>
        </w:rPr>
        <w:t xml:space="preserve">acid </w:t>
      </w:r>
      <w:r w:rsidRPr="00F857E6">
        <w:rPr>
          <w:rFonts w:asciiTheme="majorHAnsi" w:hAnsiTheme="majorHAnsi"/>
        </w:rPr>
        <w:t xml:space="preserve">reducing </w:t>
      </w:r>
      <w:r w:rsidR="00F7607A" w:rsidRPr="00F857E6">
        <w:rPr>
          <w:rFonts w:asciiTheme="majorHAnsi" w:hAnsiTheme="majorHAnsi"/>
        </w:rPr>
        <w:t xml:space="preserve">agent </w:t>
      </w:r>
      <w:r w:rsidRPr="00F857E6">
        <w:rPr>
          <w:rFonts w:asciiTheme="majorHAnsi" w:hAnsiTheme="majorHAnsi"/>
        </w:rPr>
        <w:t xml:space="preserve">may decrease the concentration of </w:t>
      </w:r>
      <w:proofErr w:type="spellStart"/>
      <w:r w:rsidRPr="00F857E6">
        <w:rPr>
          <w:rFonts w:asciiTheme="majorHAnsi" w:hAnsiTheme="majorHAnsi"/>
        </w:rPr>
        <w:t>infigratinib</w:t>
      </w:r>
      <w:proofErr w:type="spellEnd"/>
      <w:r w:rsidR="003C04A2" w:rsidRPr="00F857E6">
        <w:rPr>
          <w:rFonts w:asciiTheme="majorHAnsi" w:hAnsiTheme="majorHAnsi"/>
        </w:rPr>
        <w:t xml:space="preserve">, </w:t>
      </w:r>
      <w:r w:rsidRPr="00F857E6">
        <w:rPr>
          <w:rFonts w:asciiTheme="majorHAnsi" w:hAnsiTheme="majorHAnsi"/>
        </w:rPr>
        <w:t xml:space="preserve">which may reduce </w:t>
      </w:r>
      <w:r w:rsidR="00F7607A" w:rsidRPr="00F857E6">
        <w:rPr>
          <w:rFonts w:asciiTheme="majorHAnsi" w:hAnsiTheme="majorHAnsi"/>
          <w:lang w:val="en"/>
        </w:rPr>
        <w:t>TRUSELTIQ</w:t>
      </w:r>
      <w:r w:rsidR="00F7607A" w:rsidRPr="00F857E6">
        <w:rPr>
          <w:rFonts w:asciiTheme="majorHAnsi" w:hAnsiTheme="majorHAnsi"/>
          <w:vertAlign w:val="superscript"/>
          <w:lang w:val="en"/>
        </w:rPr>
        <w:t xml:space="preserve">TM </w:t>
      </w:r>
      <w:r w:rsidR="00F7607A" w:rsidRPr="00F857E6">
        <w:rPr>
          <w:rFonts w:asciiTheme="majorHAnsi" w:hAnsiTheme="majorHAnsi"/>
          <w:lang w:val="en"/>
        </w:rPr>
        <w:t>anti-</w:t>
      </w:r>
      <w:proofErr w:type="spellStart"/>
      <w:r w:rsidR="00F7607A" w:rsidRPr="00F857E6">
        <w:rPr>
          <w:rFonts w:asciiTheme="majorHAnsi" w:hAnsiTheme="majorHAnsi"/>
          <w:lang w:val="en"/>
        </w:rPr>
        <w:t>tumour</w:t>
      </w:r>
      <w:proofErr w:type="spellEnd"/>
      <w:r w:rsidR="00F7607A" w:rsidRPr="00F857E6">
        <w:rPr>
          <w:rFonts w:asciiTheme="majorHAnsi" w:hAnsiTheme="majorHAnsi"/>
          <w:lang w:val="en"/>
        </w:rPr>
        <w:t xml:space="preserve"> activity </w:t>
      </w:r>
    </w:p>
    <w:p w14:paraId="7FDA512D" w14:textId="05987C9A" w:rsidR="00F7607A" w:rsidRPr="00F857E6" w:rsidRDefault="00F7607A" w:rsidP="00F857E6">
      <w:pPr>
        <w:jc w:val="both"/>
        <w:rPr>
          <w:rFonts w:asciiTheme="majorHAnsi" w:hAnsiTheme="majorHAnsi"/>
        </w:rPr>
      </w:pPr>
      <w:r w:rsidRPr="00F857E6">
        <w:rPr>
          <w:rFonts w:asciiTheme="majorHAnsi" w:hAnsiTheme="majorHAnsi"/>
        </w:rPr>
        <w:lastRenderedPageBreak/>
        <w:t xml:space="preserve">Avoid concomitant use of </w:t>
      </w:r>
      <w:r w:rsidRPr="00F857E6">
        <w:rPr>
          <w:rFonts w:asciiTheme="majorHAnsi" w:hAnsiTheme="majorHAnsi"/>
          <w:lang w:val="en"/>
        </w:rPr>
        <w:t>TRUSELTIQ</w:t>
      </w:r>
      <w:r w:rsidRPr="00F857E6">
        <w:rPr>
          <w:rFonts w:asciiTheme="majorHAnsi" w:hAnsiTheme="majorHAnsi"/>
          <w:vertAlign w:val="superscript"/>
          <w:lang w:val="en"/>
        </w:rPr>
        <w:t>TM</w:t>
      </w:r>
      <w:r w:rsidRPr="00F857E6">
        <w:rPr>
          <w:rFonts w:asciiTheme="majorHAnsi" w:hAnsiTheme="majorHAnsi"/>
        </w:rPr>
        <w:t xml:space="preserve"> with p</w:t>
      </w:r>
      <w:r w:rsidR="00B25E7A" w:rsidRPr="00F857E6">
        <w:rPr>
          <w:rFonts w:asciiTheme="majorHAnsi" w:hAnsiTheme="majorHAnsi"/>
        </w:rPr>
        <w:t>roton pump inhibitors</w:t>
      </w:r>
      <w:r w:rsidRPr="00F857E6">
        <w:rPr>
          <w:rFonts w:asciiTheme="majorHAnsi" w:hAnsiTheme="majorHAnsi"/>
        </w:rPr>
        <w:t xml:space="preserve"> (PPIs), H2-antagonists, and locally acting antiacids. </w:t>
      </w:r>
      <w:r w:rsidRPr="00F857E6">
        <w:rPr>
          <w:rFonts w:asciiTheme="majorHAnsi" w:hAnsiTheme="majorHAnsi" w:cs="TimesNewRomanPSMT"/>
        </w:rPr>
        <w:t xml:space="preserve">If coadministration of H2-antagonists or locally acting antacids cannot be avoided, stagger administration of </w:t>
      </w:r>
      <w:r w:rsidRPr="00F857E6">
        <w:rPr>
          <w:rFonts w:asciiTheme="majorHAnsi" w:hAnsiTheme="majorHAnsi"/>
          <w:lang w:val="en"/>
        </w:rPr>
        <w:t>TRUSELTIQ</w:t>
      </w:r>
      <w:r w:rsidRPr="00F857E6">
        <w:rPr>
          <w:rFonts w:asciiTheme="majorHAnsi" w:hAnsiTheme="majorHAnsi"/>
          <w:vertAlign w:val="superscript"/>
          <w:lang w:val="en"/>
        </w:rPr>
        <w:t>TM</w:t>
      </w:r>
      <w:r w:rsidRPr="00F857E6">
        <w:rPr>
          <w:rFonts w:asciiTheme="majorHAnsi" w:hAnsiTheme="majorHAnsi"/>
          <w:lang w:val="en"/>
        </w:rPr>
        <w:t xml:space="preserve">. </w:t>
      </w:r>
    </w:p>
    <w:p w14:paraId="71A247CA" w14:textId="48C9D2CF" w:rsidR="00F7607A" w:rsidRPr="00F857E6" w:rsidRDefault="00B25E7A" w:rsidP="00F857E6">
      <w:pPr>
        <w:jc w:val="both"/>
        <w:rPr>
          <w:rFonts w:asciiTheme="majorHAnsi" w:hAnsiTheme="majorHAnsi"/>
          <w:lang w:val="en"/>
        </w:rPr>
      </w:pPr>
      <w:r w:rsidRPr="00F857E6">
        <w:rPr>
          <w:rFonts w:asciiTheme="majorHAnsi" w:hAnsiTheme="majorHAnsi"/>
        </w:rPr>
        <w:t xml:space="preserve">Coadministration of </w:t>
      </w:r>
      <w:r w:rsidR="00AD43F2">
        <w:rPr>
          <w:rFonts w:asciiTheme="majorHAnsi" w:hAnsiTheme="majorHAnsi"/>
        </w:rPr>
        <w:t xml:space="preserve">multiple doses of </w:t>
      </w:r>
      <w:r w:rsidRPr="00F857E6">
        <w:rPr>
          <w:rFonts w:asciiTheme="majorHAnsi" w:hAnsiTheme="majorHAnsi"/>
        </w:rPr>
        <w:t xml:space="preserve">lansoprazole </w:t>
      </w:r>
      <w:r w:rsidR="00AD43F2">
        <w:rPr>
          <w:rFonts w:asciiTheme="majorHAnsi" w:hAnsiTheme="majorHAnsi"/>
        </w:rPr>
        <w:t>(</w:t>
      </w:r>
      <w:r w:rsidRPr="00F857E6">
        <w:rPr>
          <w:rFonts w:asciiTheme="majorHAnsi" w:hAnsiTheme="majorHAnsi"/>
        </w:rPr>
        <w:t>proton pump inhibitor</w:t>
      </w:r>
      <w:r w:rsidR="00AD43F2">
        <w:rPr>
          <w:rFonts w:asciiTheme="majorHAnsi" w:hAnsiTheme="majorHAnsi"/>
        </w:rPr>
        <w:t>)</w:t>
      </w:r>
      <w:r w:rsidRPr="00F857E6">
        <w:rPr>
          <w:rFonts w:asciiTheme="majorHAnsi" w:hAnsiTheme="majorHAnsi"/>
        </w:rPr>
        <w:t xml:space="preserve"> decreased </w:t>
      </w:r>
      <w:proofErr w:type="spellStart"/>
      <w:r w:rsidRPr="00F857E6">
        <w:rPr>
          <w:rFonts w:asciiTheme="majorHAnsi" w:hAnsiTheme="majorHAnsi"/>
        </w:rPr>
        <w:t>infigratinib</w:t>
      </w:r>
      <w:proofErr w:type="spellEnd"/>
      <w:r w:rsidRPr="00F857E6">
        <w:rPr>
          <w:rFonts w:asciiTheme="majorHAnsi" w:hAnsiTheme="majorHAnsi"/>
        </w:rPr>
        <w:t xml:space="preserve"> </w:t>
      </w:r>
      <w:r w:rsidR="00AD43F2" w:rsidRPr="00092436">
        <w:rPr>
          <w:rFonts w:asciiTheme="majorHAnsi" w:hAnsiTheme="majorHAnsi"/>
        </w:rPr>
        <w:t>AUC</w:t>
      </w:r>
      <w:r w:rsidR="00AD43F2" w:rsidRPr="00643494">
        <w:rPr>
          <w:rFonts w:asciiTheme="majorHAnsi" w:hAnsiTheme="majorHAnsi"/>
          <w:vertAlign w:val="subscript"/>
        </w:rPr>
        <w:t>0-</w:t>
      </w:r>
      <w:r w:rsidR="00AD43F2" w:rsidRPr="00092436">
        <w:rPr>
          <w:rFonts w:asciiTheme="majorHAnsi" w:hAnsiTheme="majorHAnsi"/>
          <w:vertAlign w:val="subscript"/>
        </w:rPr>
        <w:t>inf</w:t>
      </w:r>
      <w:r w:rsidR="00AD43F2" w:rsidRPr="00092436">
        <w:rPr>
          <w:rFonts w:asciiTheme="majorHAnsi" w:hAnsiTheme="majorHAnsi"/>
        </w:rPr>
        <w:t xml:space="preserve"> </w:t>
      </w:r>
      <w:r w:rsidR="00AD43F2">
        <w:rPr>
          <w:rFonts w:asciiTheme="majorHAnsi" w:hAnsiTheme="majorHAnsi"/>
        </w:rPr>
        <w:t>by 45% and</w:t>
      </w:r>
      <w:r w:rsidR="00AD43F2" w:rsidRPr="00092436">
        <w:rPr>
          <w:rFonts w:asciiTheme="majorHAnsi" w:hAnsiTheme="majorHAnsi"/>
        </w:rPr>
        <w:t xml:space="preserve"> </w:t>
      </w:r>
      <w:proofErr w:type="spellStart"/>
      <w:r w:rsidR="00AD43F2" w:rsidRPr="00092436">
        <w:rPr>
          <w:rFonts w:asciiTheme="majorHAnsi" w:hAnsiTheme="majorHAnsi"/>
        </w:rPr>
        <w:t>C</w:t>
      </w:r>
      <w:r w:rsidR="00AD43F2" w:rsidRPr="00092436">
        <w:rPr>
          <w:rFonts w:asciiTheme="majorHAnsi" w:hAnsiTheme="majorHAnsi"/>
          <w:vertAlign w:val="subscript"/>
        </w:rPr>
        <w:t>max</w:t>
      </w:r>
      <w:proofErr w:type="spellEnd"/>
      <w:r w:rsidR="00AD43F2" w:rsidRPr="00092436">
        <w:rPr>
          <w:rFonts w:asciiTheme="majorHAnsi" w:hAnsiTheme="majorHAnsi"/>
        </w:rPr>
        <w:t xml:space="preserve"> </w:t>
      </w:r>
      <w:r w:rsidR="00AD43F2">
        <w:rPr>
          <w:rFonts w:asciiTheme="majorHAnsi" w:hAnsiTheme="majorHAnsi"/>
        </w:rPr>
        <w:t xml:space="preserve">by 49%, decreased </w:t>
      </w:r>
      <w:r w:rsidRPr="00F857E6">
        <w:rPr>
          <w:rFonts w:asciiTheme="majorHAnsi" w:hAnsiTheme="majorHAnsi"/>
        </w:rPr>
        <w:t xml:space="preserve">BHS697 </w:t>
      </w:r>
      <w:r w:rsidR="00AD43F2" w:rsidRPr="00092436">
        <w:rPr>
          <w:rFonts w:asciiTheme="majorHAnsi" w:hAnsiTheme="majorHAnsi"/>
        </w:rPr>
        <w:t>AUC</w:t>
      </w:r>
      <w:r w:rsidR="00AD43F2" w:rsidRPr="00643494">
        <w:rPr>
          <w:rFonts w:asciiTheme="majorHAnsi" w:hAnsiTheme="majorHAnsi"/>
          <w:vertAlign w:val="subscript"/>
        </w:rPr>
        <w:t>0-</w:t>
      </w:r>
      <w:r w:rsidR="00AD43F2" w:rsidRPr="00092436">
        <w:rPr>
          <w:rFonts w:asciiTheme="majorHAnsi" w:hAnsiTheme="majorHAnsi"/>
          <w:vertAlign w:val="subscript"/>
        </w:rPr>
        <w:t>inf</w:t>
      </w:r>
      <w:r w:rsidR="00AD43F2" w:rsidRPr="00092436">
        <w:rPr>
          <w:rFonts w:asciiTheme="majorHAnsi" w:hAnsiTheme="majorHAnsi"/>
        </w:rPr>
        <w:t xml:space="preserve"> </w:t>
      </w:r>
      <w:r w:rsidR="00AD43F2">
        <w:rPr>
          <w:rFonts w:asciiTheme="majorHAnsi" w:hAnsiTheme="majorHAnsi"/>
        </w:rPr>
        <w:t>by 32% and</w:t>
      </w:r>
      <w:r w:rsidR="00AD43F2" w:rsidRPr="00092436">
        <w:rPr>
          <w:rFonts w:asciiTheme="majorHAnsi" w:hAnsiTheme="majorHAnsi"/>
        </w:rPr>
        <w:t xml:space="preserve"> </w:t>
      </w:r>
      <w:proofErr w:type="spellStart"/>
      <w:r w:rsidR="00AD43F2" w:rsidRPr="00092436">
        <w:rPr>
          <w:rFonts w:asciiTheme="majorHAnsi" w:hAnsiTheme="majorHAnsi"/>
        </w:rPr>
        <w:t>C</w:t>
      </w:r>
      <w:r w:rsidR="00AD43F2" w:rsidRPr="00092436">
        <w:rPr>
          <w:rFonts w:asciiTheme="majorHAnsi" w:hAnsiTheme="majorHAnsi"/>
          <w:vertAlign w:val="subscript"/>
        </w:rPr>
        <w:t>max</w:t>
      </w:r>
      <w:proofErr w:type="spellEnd"/>
      <w:r w:rsidR="00AD43F2" w:rsidRPr="00092436">
        <w:rPr>
          <w:rFonts w:asciiTheme="majorHAnsi" w:hAnsiTheme="majorHAnsi"/>
        </w:rPr>
        <w:t xml:space="preserve"> </w:t>
      </w:r>
      <w:r w:rsidR="00AD43F2">
        <w:rPr>
          <w:rFonts w:asciiTheme="majorHAnsi" w:hAnsiTheme="majorHAnsi"/>
        </w:rPr>
        <w:t xml:space="preserve">by 44%, </w:t>
      </w:r>
      <w:r w:rsidRPr="00F857E6">
        <w:rPr>
          <w:rFonts w:asciiTheme="majorHAnsi" w:hAnsiTheme="majorHAnsi"/>
        </w:rPr>
        <w:t xml:space="preserve">and </w:t>
      </w:r>
      <w:r w:rsidR="00AD43F2">
        <w:rPr>
          <w:rFonts w:asciiTheme="majorHAnsi" w:hAnsiTheme="majorHAnsi"/>
        </w:rPr>
        <w:t>decreased</w:t>
      </w:r>
      <w:r w:rsidRPr="00F857E6">
        <w:rPr>
          <w:rFonts w:asciiTheme="majorHAnsi" w:hAnsiTheme="majorHAnsi"/>
        </w:rPr>
        <w:t xml:space="preserve"> CQM157</w:t>
      </w:r>
      <w:r w:rsidR="00AD43F2">
        <w:rPr>
          <w:rFonts w:asciiTheme="majorHAnsi" w:hAnsiTheme="majorHAnsi"/>
        </w:rPr>
        <w:t xml:space="preserve"> </w:t>
      </w:r>
      <w:r w:rsidR="00AD43F2" w:rsidRPr="00092436">
        <w:rPr>
          <w:rFonts w:asciiTheme="majorHAnsi" w:hAnsiTheme="majorHAnsi"/>
        </w:rPr>
        <w:t>AUC</w:t>
      </w:r>
      <w:r w:rsidR="00AD43F2" w:rsidRPr="00643494">
        <w:rPr>
          <w:rFonts w:asciiTheme="majorHAnsi" w:hAnsiTheme="majorHAnsi"/>
          <w:vertAlign w:val="subscript"/>
        </w:rPr>
        <w:t>0-</w:t>
      </w:r>
      <w:r w:rsidR="00AD43F2" w:rsidRPr="00092436">
        <w:rPr>
          <w:rFonts w:asciiTheme="majorHAnsi" w:hAnsiTheme="majorHAnsi"/>
          <w:vertAlign w:val="subscript"/>
        </w:rPr>
        <w:t>inf</w:t>
      </w:r>
      <w:r w:rsidR="00AD43F2" w:rsidRPr="00092436">
        <w:rPr>
          <w:rFonts w:asciiTheme="majorHAnsi" w:hAnsiTheme="majorHAnsi"/>
        </w:rPr>
        <w:t xml:space="preserve"> </w:t>
      </w:r>
      <w:r w:rsidR="00AD43F2">
        <w:rPr>
          <w:rFonts w:asciiTheme="majorHAnsi" w:hAnsiTheme="majorHAnsi"/>
        </w:rPr>
        <w:t>by 72% and</w:t>
      </w:r>
      <w:r w:rsidR="00AD43F2" w:rsidRPr="00092436">
        <w:rPr>
          <w:rFonts w:asciiTheme="majorHAnsi" w:hAnsiTheme="majorHAnsi"/>
        </w:rPr>
        <w:t xml:space="preserve"> </w:t>
      </w:r>
      <w:proofErr w:type="spellStart"/>
      <w:r w:rsidR="00AD43F2" w:rsidRPr="00092436">
        <w:rPr>
          <w:rFonts w:asciiTheme="majorHAnsi" w:hAnsiTheme="majorHAnsi"/>
        </w:rPr>
        <w:t>C</w:t>
      </w:r>
      <w:r w:rsidR="00AD43F2" w:rsidRPr="00092436">
        <w:rPr>
          <w:rFonts w:asciiTheme="majorHAnsi" w:hAnsiTheme="majorHAnsi"/>
          <w:vertAlign w:val="subscript"/>
        </w:rPr>
        <w:t>max</w:t>
      </w:r>
      <w:proofErr w:type="spellEnd"/>
      <w:r w:rsidR="00AD43F2" w:rsidRPr="00092436">
        <w:rPr>
          <w:rFonts w:asciiTheme="majorHAnsi" w:hAnsiTheme="majorHAnsi"/>
        </w:rPr>
        <w:t xml:space="preserve"> </w:t>
      </w:r>
      <w:r w:rsidR="00AD43F2">
        <w:rPr>
          <w:rFonts w:asciiTheme="majorHAnsi" w:hAnsiTheme="majorHAnsi"/>
        </w:rPr>
        <w:t>by 55% respectively</w:t>
      </w:r>
      <w:r w:rsidRPr="00F857E6">
        <w:rPr>
          <w:rFonts w:asciiTheme="majorHAnsi" w:hAnsiTheme="majorHAnsi"/>
        </w:rPr>
        <w:t>.</w:t>
      </w:r>
    </w:p>
    <w:p w14:paraId="49A873EC" w14:textId="6F84F3CC" w:rsidR="00B25E7A" w:rsidRPr="009E2E9F" w:rsidRDefault="00282749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 w:cstheme="minorHAnsi"/>
          <w:lang w:val="en"/>
        </w:rPr>
        <w:t>TRUSELTIQ</w:t>
      </w:r>
      <w:r w:rsidR="00F72271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Pr="009E2E9F" w:rsidDel="005F53D2">
        <w:rPr>
          <w:rFonts w:asciiTheme="majorHAnsi" w:hAnsiTheme="majorHAnsi"/>
        </w:rPr>
        <w:t xml:space="preserve"> </w:t>
      </w:r>
      <w:r w:rsidRPr="009E2E9F">
        <w:rPr>
          <w:rFonts w:asciiTheme="majorHAnsi" w:hAnsiTheme="majorHAnsi"/>
        </w:rPr>
        <w:t>should</w:t>
      </w:r>
      <w:r w:rsidR="00B25E7A" w:rsidRPr="009E2E9F">
        <w:rPr>
          <w:rFonts w:asciiTheme="majorHAnsi" w:hAnsiTheme="majorHAnsi"/>
        </w:rPr>
        <w:t xml:space="preserve"> be taken ≥2 hours before or 10 hours after dosing with H</w:t>
      </w:r>
      <w:r w:rsidR="00B25E7A" w:rsidRPr="009E2E9F">
        <w:rPr>
          <w:rFonts w:asciiTheme="majorHAnsi" w:hAnsiTheme="majorHAnsi"/>
          <w:vertAlign w:val="subscript"/>
        </w:rPr>
        <w:t>2</w:t>
      </w:r>
      <w:r w:rsidR="00B25E7A" w:rsidRPr="009E2E9F">
        <w:rPr>
          <w:rFonts w:asciiTheme="majorHAnsi" w:hAnsiTheme="majorHAnsi"/>
        </w:rPr>
        <w:t xml:space="preserve">-antagonists. Antacids should be taken at least 2 hours before or after </w:t>
      </w:r>
      <w:r w:rsidR="00C61EB8" w:rsidRPr="009E2E9F">
        <w:rPr>
          <w:rFonts w:asciiTheme="majorHAnsi" w:hAnsiTheme="majorHAnsi" w:cstheme="minorHAnsi"/>
          <w:lang w:val="en"/>
        </w:rPr>
        <w:t>TRUSELTIQ</w:t>
      </w:r>
      <w:r w:rsidR="00F72271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C61EB8" w:rsidRPr="009E2E9F" w:rsidDel="00C61EB8">
        <w:rPr>
          <w:rFonts w:asciiTheme="majorHAnsi" w:hAnsiTheme="majorHAnsi"/>
        </w:rPr>
        <w:t xml:space="preserve"> </w:t>
      </w:r>
      <w:r w:rsidR="00B25E7A" w:rsidRPr="009E2E9F">
        <w:rPr>
          <w:rFonts w:asciiTheme="majorHAnsi" w:hAnsiTheme="majorHAnsi"/>
        </w:rPr>
        <w:t>dosing.</w:t>
      </w:r>
    </w:p>
    <w:p w14:paraId="0A6BA2FD" w14:textId="77777777" w:rsidR="00B25E7A" w:rsidRPr="009E2E9F" w:rsidRDefault="00B25E7A" w:rsidP="003A43D4">
      <w:pPr>
        <w:pStyle w:val="Heading4"/>
        <w:numPr>
          <w:ilvl w:val="0"/>
          <w:numId w:val="0"/>
        </w:numPr>
        <w:ind w:left="864" w:hanging="864"/>
        <w:jc w:val="both"/>
        <w:rPr>
          <w:b w:val="0"/>
          <w:bCs w:val="0"/>
          <w:i w:val="0"/>
          <w:iCs w:val="0"/>
          <w:color w:val="000000" w:themeColor="text1"/>
          <w:u w:val="single"/>
        </w:rPr>
      </w:pPr>
      <w:r w:rsidRPr="009E2E9F">
        <w:rPr>
          <w:b w:val="0"/>
          <w:bCs w:val="0"/>
          <w:i w:val="0"/>
          <w:iCs w:val="0"/>
          <w:color w:val="000000" w:themeColor="text1"/>
          <w:u w:val="single"/>
        </w:rPr>
        <w:t>Sensitive CYP3A4 Substrate</w:t>
      </w:r>
    </w:p>
    <w:p w14:paraId="7FB8F928" w14:textId="1A09AC01" w:rsidR="00B25E7A" w:rsidRPr="009E2E9F" w:rsidRDefault="00B25E7A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No clinically significant differences in pharmacokinetics of midazolam (a sensitive CYP3A4 substrate) were observed when </w:t>
      </w:r>
      <w:proofErr w:type="spellStart"/>
      <w:r w:rsidRPr="009E2E9F">
        <w:rPr>
          <w:rFonts w:asciiTheme="majorHAnsi" w:hAnsiTheme="majorHAnsi"/>
        </w:rPr>
        <w:t>coadministered</w:t>
      </w:r>
      <w:proofErr w:type="spellEnd"/>
      <w:r w:rsidRPr="009E2E9F">
        <w:rPr>
          <w:rFonts w:asciiTheme="majorHAnsi" w:hAnsiTheme="majorHAnsi"/>
        </w:rPr>
        <w:t xml:space="preserve"> after multiple doses of </w:t>
      </w:r>
      <w:r w:rsidR="00C031ED" w:rsidRPr="009E2E9F">
        <w:rPr>
          <w:rFonts w:asciiTheme="majorHAnsi" w:hAnsiTheme="majorHAnsi"/>
        </w:rPr>
        <w:t xml:space="preserve">125 mg </w:t>
      </w:r>
      <w:r w:rsidR="00282749" w:rsidRPr="009E2E9F">
        <w:rPr>
          <w:rFonts w:asciiTheme="majorHAnsi" w:hAnsiTheme="majorHAnsi" w:cstheme="minorHAnsi"/>
          <w:lang w:val="en"/>
        </w:rPr>
        <w:t>TRUSELTIQ</w:t>
      </w:r>
      <w:r w:rsidR="00F72271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282749" w:rsidRPr="009E2E9F" w:rsidDel="005F53D2">
        <w:rPr>
          <w:rFonts w:asciiTheme="majorHAnsi" w:hAnsiTheme="majorHAnsi"/>
        </w:rPr>
        <w:t>.</w:t>
      </w:r>
    </w:p>
    <w:p w14:paraId="780FD1DC" w14:textId="77777777" w:rsidR="00B25E7A" w:rsidRPr="009E2E9F" w:rsidRDefault="00B25E7A" w:rsidP="003A43D4">
      <w:pPr>
        <w:pStyle w:val="Heading4"/>
        <w:numPr>
          <w:ilvl w:val="0"/>
          <w:numId w:val="0"/>
        </w:numPr>
        <w:ind w:left="864" w:hanging="864"/>
        <w:jc w:val="both"/>
        <w:rPr>
          <w:b w:val="0"/>
          <w:bCs w:val="0"/>
          <w:i w:val="0"/>
          <w:iCs w:val="0"/>
          <w:color w:val="000000" w:themeColor="text1"/>
          <w:u w:val="single"/>
        </w:rPr>
      </w:pPr>
      <w:r w:rsidRPr="009E2E9F">
        <w:rPr>
          <w:b w:val="0"/>
          <w:bCs w:val="0"/>
          <w:color w:val="000000" w:themeColor="text1"/>
          <w:u w:val="single"/>
        </w:rPr>
        <w:t>In Vitro</w:t>
      </w:r>
      <w:r w:rsidRPr="009E2E9F">
        <w:rPr>
          <w:b w:val="0"/>
          <w:bCs w:val="0"/>
          <w:i w:val="0"/>
          <w:iCs w:val="0"/>
          <w:color w:val="000000" w:themeColor="text1"/>
          <w:u w:val="single"/>
        </w:rPr>
        <w:t xml:space="preserve"> Studies</w:t>
      </w:r>
    </w:p>
    <w:p w14:paraId="11F2D072" w14:textId="77777777" w:rsidR="00B25E7A" w:rsidRPr="009E2E9F" w:rsidRDefault="00B25E7A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  <w:i/>
          <w:iCs/>
        </w:rPr>
        <w:t xml:space="preserve">Effects of </w:t>
      </w:r>
      <w:proofErr w:type="spellStart"/>
      <w:r w:rsidRPr="009E2E9F">
        <w:rPr>
          <w:rFonts w:asciiTheme="majorHAnsi" w:hAnsiTheme="majorHAnsi"/>
          <w:i/>
          <w:iCs/>
        </w:rPr>
        <w:t>infigratinib</w:t>
      </w:r>
      <w:proofErr w:type="spellEnd"/>
      <w:r w:rsidRPr="009E2E9F">
        <w:rPr>
          <w:rFonts w:asciiTheme="majorHAnsi" w:hAnsiTheme="majorHAnsi"/>
          <w:i/>
          <w:iCs/>
        </w:rPr>
        <w:t xml:space="preserve"> on CYP substrates</w:t>
      </w:r>
      <w:r w:rsidRPr="009E2E9F">
        <w:rPr>
          <w:rFonts w:asciiTheme="majorHAnsi" w:hAnsiTheme="majorHAnsi"/>
        </w:rPr>
        <w:t xml:space="preserve">: </w:t>
      </w:r>
      <w:proofErr w:type="spellStart"/>
      <w:r w:rsidRPr="009E2E9F">
        <w:rPr>
          <w:rFonts w:asciiTheme="majorHAnsi" w:hAnsiTheme="majorHAnsi"/>
        </w:rPr>
        <w:t>Infigratinib</w:t>
      </w:r>
      <w:proofErr w:type="spellEnd"/>
      <w:r w:rsidRPr="009E2E9F">
        <w:rPr>
          <w:rFonts w:asciiTheme="majorHAnsi" w:hAnsiTheme="majorHAnsi"/>
        </w:rPr>
        <w:t xml:space="preserve"> does not induce CYP1A2, CYP2B6, CYP2C9 or CYP3A4. </w:t>
      </w:r>
      <w:proofErr w:type="spellStart"/>
      <w:r w:rsidRPr="009E2E9F">
        <w:rPr>
          <w:rFonts w:asciiTheme="majorHAnsi" w:hAnsiTheme="majorHAnsi"/>
        </w:rPr>
        <w:t>Infigratinib</w:t>
      </w:r>
      <w:proofErr w:type="spellEnd"/>
      <w:r w:rsidRPr="009E2E9F">
        <w:rPr>
          <w:rFonts w:asciiTheme="majorHAnsi" w:hAnsiTheme="majorHAnsi"/>
        </w:rPr>
        <w:t xml:space="preserve">, BHS697, or CQM157 do not inhibit major CYP isozymes at clinically relevant concentrations. </w:t>
      </w:r>
    </w:p>
    <w:p w14:paraId="2B337211" w14:textId="77777777" w:rsidR="00B25E7A" w:rsidRPr="009E2E9F" w:rsidRDefault="00B25E7A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  <w:i/>
          <w:iCs/>
        </w:rPr>
        <w:t xml:space="preserve">Effects of transporters on </w:t>
      </w:r>
      <w:proofErr w:type="spellStart"/>
      <w:r w:rsidRPr="009E2E9F">
        <w:rPr>
          <w:rFonts w:asciiTheme="majorHAnsi" w:hAnsiTheme="majorHAnsi"/>
          <w:i/>
          <w:iCs/>
        </w:rPr>
        <w:t>infigratinib</w:t>
      </w:r>
      <w:proofErr w:type="spellEnd"/>
      <w:r w:rsidRPr="009E2E9F">
        <w:rPr>
          <w:rFonts w:asciiTheme="majorHAnsi" w:hAnsiTheme="majorHAnsi"/>
        </w:rPr>
        <w:t xml:space="preserve">: </w:t>
      </w:r>
      <w:proofErr w:type="spellStart"/>
      <w:r w:rsidRPr="009E2E9F">
        <w:rPr>
          <w:rFonts w:asciiTheme="majorHAnsi" w:hAnsiTheme="majorHAnsi"/>
        </w:rPr>
        <w:t>Infigratinib</w:t>
      </w:r>
      <w:proofErr w:type="spellEnd"/>
      <w:r w:rsidRPr="009E2E9F">
        <w:rPr>
          <w:rFonts w:asciiTheme="majorHAnsi" w:hAnsiTheme="majorHAnsi"/>
        </w:rPr>
        <w:t xml:space="preserve"> is a substrate for P-</w:t>
      </w:r>
      <w:proofErr w:type="spellStart"/>
      <w:r w:rsidRPr="009E2E9F">
        <w:rPr>
          <w:rFonts w:asciiTheme="majorHAnsi" w:hAnsiTheme="majorHAnsi"/>
        </w:rPr>
        <w:t>gp</w:t>
      </w:r>
      <w:proofErr w:type="spellEnd"/>
      <w:r w:rsidRPr="009E2E9F">
        <w:rPr>
          <w:rFonts w:asciiTheme="majorHAnsi" w:hAnsiTheme="majorHAnsi"/>
        </w:rPr>
        <w:t>/BCRP.</w:t>
      </w:r>
    </w:p>
    <w:p w14:paraId="19730034" w14:textId="48B013CF" w:rsidR="003C04A2" w:rsidRDefault="00B25E7A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  <w:i/>
          <w:iCs/>
        </w:rPr>
        <w:t xml:space="preserve">Effects of </w:t>
      </w:r>
      <w:proofErr w:type="spellStart"/>
      <w:r w:rsidRPr="009E2E9F">
        <w:rPr>
          <w:rFonts w:asciiTheme="majorHAnsi" w:hAnsiTheme="majorHAnsi"/>
          <w:i/>
          <w:iCs/>
        </w:rPr>
        <w:t>infigratinib</w:t>
      </w:r>
      <w:proofErr w:type="spellEnd"/>
      <w:r w:rsidRPr="009E2E9F">
        <w:rPr>
          <w:rFonts w:asciiTheme="majorHAnsi" w:hAnsiTheme="majorHAnsi"/>
          <w:i/>
          <w:iCs/>
        </w:rPr>
        <w:t xml:space="preserve"> on transporters</w:t>
      </w:r>
      <w:r w:rsidRPr="009E2E9F">
        <w:rPr>
          <w:rFonts w:asciiTheme="majorHAnsi" w:hAnsiTheme="majorHAnsi"/>
        </w:rPr>
        <w:t xml:space="preserve">: </w:t>
      </w:r>
      <w:proofErr w:type="spellStart"/>
      <w:r w:rsidRPr="009E2E9F">
        <w:rPr>
          <w:rFonts w:asciiTheme="majorHAnsi" w:hAnsiTheme="majorHAnsi"/>
        </w:rPr>
        <w:t>Infigratinib</w:t>
      </w:r>
      <w:proofErr w:type="spellEnd"/>
      <w:r w:rsidRPr="009E2E9F">
        <w:rPr>
          <w:rFonts w:asciiTheme="majorHAnsi" w:hAnsiTheme="majorHAnsi"/>
        </w:rPr>
        <w:t xml:space="preserve"> has a low potential to inhibit P-</w:t>
      </w:r>
      <w:proofErr w:type="spellStart"/>
      <w:r w:rsidRPr="009E2E9F">
        <w:rPr>
          <w:rFonts w:asciiTheme="majorHAnsi" w:hAnsiTheme="majorHAnsi"/>
        </w:rPr>
        <w:t>gp</w:t>
      </w:r>
      <w:proofErr w:type="spellEnd"/>
      <w:r w:rsidRPr="009E2E9F">
        <w:rPr>
          <w:rFonts w:asciiTheme="majorHAnsi" w:hAnsiTheme="majorHAnsi"/>
        </w:rPr>
        <w:t xml:space="preserve">, BSEP, OCT1, OCT2, and MATE-2K at clinically relevant concentrations. </w:t>
      </w:r>
      <w:proofErr w:type="spellStart"/>
      <w:r w:rsidRPr="009E2E9F">
        <w:rPr>
          <w:rFonts w:asciiTheme="majorHAnsi" w:hAnsiTheme="majorHAnsi"/>
        </w:rPr>
        <w:t>Infigratinib</w:t>
      </w:r>
      <w:proofErr w:type="spellEnd"/>
      <w:r w:rsidRPr="009E2E9F">
        <w:rPr>
          <w:rFonts w:asciiTheme="majorHAnsi" w:hAnsiTheme="majorHAnsi"/>
        </w:rPr>
        <w:t xml:space="preserve"> inhibited BCRP</w:t>
      </w:r>
      <w:r w:rsidR="00B9468A">
        <w:rPr>
          <w:rFonts w:asciiTheme="majorHAnsi" w:hAnsiTheme="majorHAnsi"/>
        </w:rPr>
        <w:t xml:space="preserve"> and MATE1</w:t>
      </w:r>
      <w:r w:rsidRPr="009E2E9F">
        <w:rPr>
          <w:rFonts w:asciiTheme="majorHAnsi" w:hAnsiTheme="majorHAnsi"/>
        </w:rPr>
        <w:t xml:space="preserve">; clinical interactions with sensitive BCRP </w:t>
      </w:r>
      <w:r w:rsidR="00B9468A">
        <w:rPr>
          <w:rFonts w:asciiTheme="majorHAnsi" w:hAnsiTheme="majorHAnsi"/>
        </w:rPr>
        <w:t xml:space="preserve">and MATE1 </w:t>
      </w:r>
      <w:r w:rsidRPr="009E2E9F">
        <w:rPr>
          <w:rFonts w:asciiTheme="majorHAnsi" w:hAnsiTheme="majorHAnsi"/>
        </w:rPr>
        <w:t>probes cannot be excluded. The metabolites BHS697 and CQM157 have a low potential to inhibit OATP1B1, OATP1B3, P-</w:t>
      </w:r>
      <w:proofErr w:type="spellStart"/>
      <w:r w:rsidRPr="009E2E9F">
        <w:rPr>
          <w:rFonts w:asciiTheme="majorHAnsi" w:hAnsiTheme="majorHAnsi"/>
        </w:rPr>
        <w:t>gp</w:t>
      </w:r>
      <w:proofErr w:type="spellEnd"/>
      <w:r w:rsidRPr="009E2E9F">
        <w:rPr>
          <w:rFonts w:asciiTheme="majorHAnsi" w:hAnsiTheme="majorHAnsi"/>
        </w:rPr>
        <w:t>, or BCRP at clinically relevant concentrations.</w:t>
      </w:r>
    </w:p>
    <w:p w14:paraId="68C12E44" w14:textId="63AD524D" w:rsidR="00DE3A71" w:rsidRPr="00AC6B89" w:rsidRDefault="00DE3A71" w:rsidP="00AC6B89">
      <w:pPr>
        <w:pStyle w:val="Heading4"/>
        <w:numPr>
          <w:ilvl w:val="0"/>
          <w:numId w:val="0"/>
        </w:numPr>
        <w:ind w:left="864" w:hanging="864"/>
        <w:jc w:val="both"/>
        <w:rPr>
          <w:color w:val="000000" w:themeColor="text1"/>
          <w:u w:val="single"/>
        </w:rPr>
      </w:pPr>
      <w:r w:rsidRPr="00AC6B89">
        <w:rPr>
          <w:b w:val="0"/>
          <w:bCs w:val="0"/>
          <w:i w:val="0"/>
          <w:iCs w:val="0"/>
          <w:color w:val="000000" w:themeColor="text1"/>
          <w:u w:val="single"/>
        </w:rPr>
        <w:t>F</w:t>
      </w:r>
      <w:r w:rsidR="00CE6246" w:rsidRPr="00AC6B89">
        <w:rPr>
          <w:b w:val="0"/>
          <w:bCs w:val="0"/>
          <w:i w:val="0"/>
          <w:iCs w:val="0"/>
          <w:color w:val="000000" w:themeColor="text1"/>
          <w:u w:val="single"/>
        </w:rPr>
        <w:t>ood-drug interactions</w:t>
      </w:r>
    </w:p>
    <w:p w14:paraId="05E18455" w14:textId="5479854A" w:rsidR="00C86B0E" w:rsidRPr="009E2E9F" w:rsidRDefault="00B54F74" w:rsidP="003A43D4">
      <w:pPr>
        <w:jc w:val="both"/>
        <w:rPr>
          <w:rFonts w:asciiTheme="majorHAnsi" w:hAnsiTheme="majorHAnsi"/>
        </w:rPr>
      </w:pPr>
      <w:r w:rsidRPr="00B54F74">
        <w:rPr>
          <w:rFonts w:asciiTheme="majorHAnsi" w:hAnsiTheme="majorHAnsi"/>
        </w:rPr>
        <w:t>Grapefruit products should be avoided during treatment with TRUSELTIQ</w:t>
      </w:r>
      <w:r w:rsidR="00BE0670" w:rsidRPr="00AC6B89">
        <w:rPr>
          <w:rFonts w:asciiTheme="majorHAnsi" w:hAnsiTheme="majorHAnsi"/>
          <w:vertAlign w:val="superscript"/>
        </w:rPr>
        <w:t>TM</w:t>
      </w:r>
      <w:r w:rsidRPr="00B54F74">
        <w:rPr>
          <w:rFonts w:asciiTheme="majorHAnsi" w:hAnsiTheme="majorHAnsi"/>
        </w:rPr>
        <w:t>.</w:t>
      </w:r>
    </w:p>
    <w:p w14:paraId="76D922A9" w14:textId="77777777" w:rsidR="001A3992" w:rsidRPr="009E2E9F" w:rsidRDefault="001A3992" w:rsidP="001A3992">
      <w:pPr>
        <w:pStyle w:val="Heading2"/>
        <w:spacing w:before="0" w:after="120"/>
      </w:pPr>
      <w:r w:rsidRPr="009E2E9F">
        <w:t xml:space="preserve">Fertility, pregnancy and lactation </w:t>
      </w:r>
    </w:p>
    <w:p w14:paraId="338070E7" w14:textId="12A56A62" w:rsidR="00282749" w:rsidRPr="009E2E9F" w:rsidRDefault="001A3992" w:rsidP="003A43D4">
      <w:pPr>
        <w:pStyle w:val="Heading4"/>
        <w:numPr>
          <w:ilvl w:val="0"/>
          <w:numId w:val="0"/>
        </w:numPr>
        <w:ind w:left="864" w:hanging="864"/>
        <w:jc w:val="both"/>
        <w:rPr>
          <w:b w:val="0"/>
          <w:bCs w:val="0"/>
          <w:i w:val="0"/>
          <w:iCs w:val="0"/>
          <w:color w:val="000000" w:themeColor="text1"/>
          <w:u w:val="single"/>
        </w:rPr>
      </w:pPr>
      <w:r w:rsidRPr="009E2E9F">
        <w:rPr>
          <w:b w:val="0"/>
          <w:bCs w:val="0"/>
          <w:i w:val="0"/>
          <w:iCs w:val="0"/>
          <w:color w:val="000000" w:themeColor="text1"/>
          <w:u w:val="single"/>
        </w:rPr>
        <w:t>Effects on fertility</w:t>
      </w:r>
    </w:p>
    <w:p w14:paraId="09F6359D" w14:textId="7397583E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In a rat fertility study, there were no effects on mating or fertility, reproductive organ weights, or sperm motility, density, or morphology in males, and no effect on </w:t>
      </w:r>
      <w:proofErr w:type="spellStart"/>
      <w:r w:rsidRPr="009E2E9F">
        <w:rPr>
          <w:rFonts w:asciiTheme="majorHAnsi" w:hAnsiTheme="majorHAnsi"/>
        </w:rPr>
        <w:t>estrous</w:t>
      </w:r>
      <w:proofErr w:type="spellEnd"/>
      <w:r w:rsidRPr="009E2E9F">
        <w:rPr>
          <w:rFonts w:asciiTheme="majorHAnsi" w:hAnsiTheme="majorHAnsi"/>
        </w:rPr>
        <w:t xml:space="preserve"> cycling, mating, or fertility in females administered ≤3 mg/kg/day </w:t>
      </w:r>
      <w:proofErr w:type="spellStart"/>
      <w:r w:rsidRPr="009E2E9F">
        <w:rPr>
          <w:rFonts w:asciiTheme="majorHAnsi" w:hAnsiTheme="majorHAnsi"/>
        </w:rPr>
        <w:t>infigratinib</w:t>
      </w:r>
      <w:proofErr w:type="spellEnd"/>
      <w:r w:rsidRPr="009E2E9F">
        <w:rPr>
          <w:rFonts w:asciiTheme="majorHAnsi" w:hAnsiTheme="majorHAnsi"/>
        </w:rPr>
        <w:t>. In the embryo-</w:t>
      </w:r>
      <w:proofErr w:type="spellStart"/>
      <w:r w:rsidRPr="009E2E9F">
        <w:rPr>
          <w:rFonts w:asciiTheme="majorHAnsi" w:hAnsiTheme="majorHAnsi"/>
        </w:rPr>
        <w:t>fetal</w:t>
      </w:r>
      <w:proofErr w:type="spellEnd"/>
      <w:r w:rsidRPr="009E2E9F">
        <w:rPr>
          <w:rFonts w:asciiTheme="majorHAnsi" w:hAnsiTheme="majorHAnsi"/>
        </w:rPr>
        <w:t xml:space="preserve"> portion of the study, a decrease in the mean number of </w:t>
      </w:r>
      <w:r w:rsidR="00B9468A">
        <w:rPr>
          <w:rFonts w:asciiTheme="majorHAnsi" w:hAnsiTheme="majorHAnsi"/>
        </w:rPr>
        <w:t xml:space="preserve">viable </w:t>
      </w:r>
      <w:r w:rsidRPr="009E2E9F">
        <w:rPr>
          <w:rFonts w:asciiTheme="majorHAnsi" w:hAnsiTheme="majorHAnsi"/>
        </w:rPr>
        <w:t>embryos in females at 3 mg/kg/day was observed and associated with an increase in the number of nonviable embryos and in the percentage of post implantation loss</w:t>
      </w:r>
      <w:r w:rsidR="00B9468A">
        <w:rPr>
          <w:rFonts w:asciiTheme="majorHAnsi" w:hAnsiTheme="majorHAnsi"/>
        </w:rPr>
        <w:t xml:space="preserve"> at 1 and 3 mg/kg/day (exposures &lt;0.1 times the human exposure at the clinical dose of 125 mg, based on AUC)</w:t>
      </w:r>
      <w:r w:rsidRPr="009E2E9F">
        <w:rPr>
          <w:rFonts w:asciiTheme="majorHAnsi" w:hAnsiTheme="majorHAnsi"/>
        </w:rPr>
        <w:t>.</w:t>
      </w:r>
    </w:p>
    <w:p w14:paraId="2248972A" w14:textId="6CA90481" w:rsidR="001A3992" w:rsidRPr="009E2E9F" w:rsidRDefault="001A3992" w:rsidP="000B162D">
      <w:pPr>
        <w:pStyle w:val="Heading3"/>
        <w:spacing w:before="0" w:after="120"/>
        <w:ind w:left="0"/>
        <w:rPr>
          <w:rFonts w:cstheme="minorHAnsi"/>
        </w:rPr>
      </w:pPr>
      <w:r w:rsidRPr="009E2E9F">
        <w:t xml:space="preserve">Use in pregnancy </w:t>
      </w:r>
      <w:r w:rsidR="005B2812" w:rsidRPr="009E2E9F">
        <w:rPr>
          <w:rFonts w:cstheme="minorHAnsi"/>
        </w:rPr>
        <w:t>– Pregnancy Category D</w:t>
      </w:r>
    </w:p>
    <w:p w14:paraId="338C232B" w14:textId="508CEF8F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There are no available data on </w:t>
      </w:r>
      <w:r w:rsidR="00282749" w:rsidRPr="009E2E9F">
        <w:rPr>
          <w:rFonts w:asciiTheme="majorHAnsi" w:hAnsiTheme="majorHAnsi" w:cstheme="minorHAnsi"/>
          <w:lang w:val="en"/>
        </w:rPr>
        <w:t>TRUSELTIQ</w:t>
      </w:r>
      <w:bookmarkStart w:id="0" w:name="_Hlk75244591"/>
      <w:r w:rsidR="00F72271" w:rsidRPr="009E2E9F">
        <w:rPr>
          <w:rFonts w:asciiTheme="majorHAnsi" w:hAnsiTheme="majorHAnsi" w:cstheme="minorHAnsi"/>
          <w:vertAlign w:val="superscript"/>
          <w:lang w:val="en"/>
        </w:rPr>
        <w:t>TM</w:t>
      </w:r>
      <w:bookmarkEnd w:id="0"/>
      <w:r w:rsidR="00282749" w:rsidRPr="009E2E9F" w:rsidDel="0042327D">
        <w:rPr>
          <w:rFonts w:asciiTheme="majorHAnsi" w:hAnsiTheme="majorHAnsi"/>
        </w:rPr>
        <w:t xml:space="preserve"> </w:t>
      </w:r>
      <w:r w:rsidR="00282749" w:rsidRPr="009E2E9F">
        <w:rPr>
          <w:rFonts w:asciiTheme="majorHAnsi" w:hAnsiTheme="majorHAnsi"/>
        </w:rPr>
        <w:t>use</w:t>
      </w:r>
      <w:r w:rsidRPr="009E2E9F">
        <w:rPr>
          <w:rFonts w:asciiTheme="majorHAnsi" w:hAnsiTheme="majorHAnsi"/>
        </w:rPr>
        <w:t xml:space="preserve"> in pregnant women to inform a drug-associated risk. </w:t>
      </w:r>
    </w:p>
    <w:p w14:paraId="222DE7DD" w14:textId="287D31FB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lastRenderedPageBreak/>
        <w:t xml:space="preserve">Based on the mechanism of action and findings in animal reproduction studies, </w:t>
      </w:r>
      <w:r w:rsidR="0042327D" w:rsidRPr="009E2E9F">
        <w:rPr>
          <w:rFonts w:asciiTheme="majorHAnsi" w:hAnsiTheme="majorHAnsi" w:cstheme="minorHAnsi"/>
          <w:lang w:val="en"/>
        </w:rPr>
        <w:t>TRUSELTIQ</w:t>
      </w:r>
      <w:r w:rsidR="00F72271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2327D" w:rsidRPr="009E2E9F" w:rsidDel="0042327D">
        <w:rPr>
          <w:rFonts w:asciiTheme="majorHAnsi" w:hAnsiTheme="majorHAnsi"/>
        </w:rPr>
        <w:t xml:space="preserve"> </w:t>
      </w:r>
      <w:r w:rsidR="003051A3" w:rsidRPr="009E2E9F">
        <w:rPr>
          <w:rFonts w:asciiTheme="majorHAnsi" w:hAnsiTheme="majorHAnsi"/>
        </w:rPr>
        <w:t>may</w:t>
      </w:r>
      <w:r w:rsidRPr="009E2E9F">
        <w:rPr>
          <w:rFonts w:asciiTheme="majorHAnsi" w:hAnsiTheme="majorHAnsi"/>
        </w:rPr>
        <w:t xml:space="preserve"> cause embryo-</w:t>
      </w:r>
      <w:proofErr w:type="spellStart"/>
      <w:r w:rsidRPr="009E2E9F">
        <w:rPr>
          <w:rFonts w:asciiTheme="majorHAnsi" w:hAnsiTheme="majorHAnsi"/>
        </w:rPr>
        <w:t>fetal</w:t>
      </w:r>
      <w:proofErr w:type="spellEnd"/>
      <w:r w:rsidRPr="009E2E9F">
        <w:rPr>
          <w:rFonts w:asciiTheme="majorHAnsi" w:hAnsiTheme="majorHAnsi"/>
        </w:rPr>
        <w:t xml:space="preserve"> harm or loss of pregnancy when administered to a pregnant woman</w:t>
      </w:r>
      <w:r w:rsidR="003051A3" w:rsidRPr="009E2E9F">
        <w:rPr>
          <w:rFonts w:asciiTheme="majorHAnsi" w:hAnsiTheme="majorHAnsi"/>
        </w:rPr>
        <w:t xml:space="preserve"> [see Effects on fertility]</w:t>
      </w:r>
      <w:r w:rsidRPr="009E2E9F">
        <w:rPr>
          <w:rFonts w:asciiTheme="majorHAnsi" w:hAnsiTheme="majorHAnsi"/>
        </w:rPr>
        <w:t xml:space="preserve">. Advise pregnant women and women of reproductive potential of the potential risk to </w:t>
      </w:r>
      <w:r w:rsidR="00F42148" w:rsidRPr="009E2E9F">
        <w:rPr>
          <w:rFonts w:asciiTheme="majorHAnsi" w:hAnsiTheme="majorHAnsi"/>
        </w:rPr>
        <w:t>the</w:t>
      </w:r>
      <w:r w:rsidRPr="009E2E9F">
        <w:rPr>
          <w:rFonts w:asciiTheme="majorHAnsi" w:hAnsiTheme="majorHAnsi"/>
        </w:rPr>
        <w:t xml:space="preserve"> fetus.</w:t>
      </w:r>
    </w:p>
    <w:p w14:paraId="5C2AC256" w14:textId="2B1EADB8" w:rsidR="000B162D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Oral administration of </w:t>
      </w:r>
      <w:proofErr w:type="spellStart"/>
      <w:r w:rsidRPr="009E2E9F">
        <w:rPr>
          <w:rFonts w:asciiTheme="majorHAnsi" w:hAnsiTheme="majorHAnsi"/>
        </w:rPr>
        <w:t>infigratinib</w:t>
      </w:r>
      <w:proofErr w:type="spellEnd"/>
      <w:r w:rsidRPr="009E2E9F">
        <w:rPr>
          <w:rFonts w:asciiTheme="majorHAnsi" w:hAnsiTheme="majorHAnsi"/>
        </w:rPr>
        <w:t xml:space="preserve"> to pregnant rats and rabbits during the period of organogenesis at maternal exposures that were less than the human exposures at the </w:t>
      </w:r>
      <w:r w:rsidR="0093021D">
        <w:rPr>
          <w:rFonts w:asciiTheme="majorHAnsi" w:hAnsiTheme="majorHAnsi"/>
        </w:rPr>
        <w:t xml:space="preserve">clinical </w:t>
      </w:r>
      <w:r w:rsidRPr="009E2E9F">
        <w:rPr>
          <w:rFonts w:asciiTheme="majorHAnsi" w:hAnsiTheme="majorHAnsi"/>
        </w:rPr>
        <w:t xml:space="preserve">dose </w:t>
      </w:r>
      <w:r w:rsidR="0093021D">
        <w:rPr>
          <w:rFonts w:asciiTheme="majorHAnsi" w:hAnsiTheme="majorHAnsi"/>
        </w:rPr>
        <w:t xml:space="preserve">of 125 mg </w:t>
      </w:r>
      <w:r w:rsidRPr="009E2E9F">
        <w:rPr>
          <w:rFonts w:asciiTheme="majorHAnsi" w:hAnsiTheme="majorHAnsi"/>
        </w:rPr>
        <w:t xml:space="preserve">based on AUC resulted in malformations, </w:t>
      </w:r>
      <w:proofErr w:type="spellStart"/>
      <w:r w:rsidRPr="009E2E9F">
        <w:rPr>
          <w:rFonts w:asciiTheme="majorHAnsi" w:hAnsiTheme="majorHAnsi"/>
        </w:rPr>
        <w:t>fetal</w:t>
      </w:r>
      <w:proofErr w:type="spellEnd"/>
      <w:r w:rsidRPr="009E2E9F">
        <w:rPr>
          <w:rFonts w:asciiTheme="majorHAnsi" w:hAnsiTheme="majorHAnsi"/>
        </w:rPr>
        <w:t xml:space="preserve"> growth retardation, and embryo-</w:t>
      </w:r>
      <w:proofErr w:type="spellStart"/>
      <w:r w:rsidRPr="009E2E9F">
        <w:rPr>
          <w:rFonts w:asciiTheme="majorHAnsi" w:hAnsiTheme="majorHAnsi"/>
        </w:rPr>
        <w:t>fetal</w:t>
      </w:r>
      <w:proofErr w:type="spellEnd"/>
      <w:r w:rsidRPr="009E2E9F">
        <w:rPr>
          <w:rFonts w:asciiTheme="majorHAnsi" w:hAnsiTheme="majorHAnsi"/>
        </w:rPr>
        <w:t xml:space="preserve"> death. </w:t>
      </w:r>
    </w:p>
    <w:p w14:paraId="2D26D8AA" w14:textId="77777777" w:rsidR="0093021D" w:rsidRDefault="0093021D" w:rsidP="0093021D">
      <w:pPr>
        <w:jc w:val="both"/>
        <w:rPr>
          <w:rFonts w:asciiTheme="majorHAnsi" w:hAnsiTheme="majorHAnsi"/>
        </w:rPr>
      </w:pPr>
      <w:r w:rsidRPr="009E2E9F" w:rsidDel="003F3F0A">
        <w:rPr>
          <w:rFonts w:asciiTheme="majorHAnsi" w:hAnsiTheme="majorHAnsi"/>
        </w:rPr>
        <w:t xml:space="preserve">In rats, </w:t>
      </w:r>
      <w:proofErr w:type="spellStart"/>
      <w:r w:rsidRPr="009E2E9F" w:rsidDel="003F3F0A">
        <w:rPr>
          <w:rFonts w:asciiTheme="majorHAnsi" w:hAnsiTheme="majorHAnsi"/>
        </w:rPr>
        <w:t>infigratinib</w:t>
      </w:r>
      <w:proofErr w:type="spellEnd"/>
      <w:r w:rsidRPr="009E2E9F" w:rsidDel="003F3F0A">
        <w:rPr>
          <w:rFonts w:asciiTheme="majorHAnsi" w:hAnsiTheme="majorHAnsi"/>
        </w:rPr>
        <w:t xml:space="preserve"> administration resulted in an increase in embryo-</w:t>
      </w:r>
      <w:proofErr w:type="spellStart"/>
      <w:r w:rsidRPr="009E2E9F" w:rsidDel="003F3F0A">
        <w:rPr>
          <w:rFonts w:asciiTheme="majorHAnsi" w:hAnsiTheme="majorHAnsi"/>
        </w:rPr>
        <w:t>fetal</w:t>
      </w:r>
      <w:proofErr w:type="spellEnd"/>
      <w:r w:rsidRPr="009E2E9F" w:rsidDel="003F3F0A">
        <w:rPr>
          <w:rFonts w:asciiTheme="majorHAnsi" w:hAnsiTheme="majorHAnsi"/>
        </w:rPr>
        <w:t xml:space="preserve"> lethality at 10 mg/kg/day, and reductions in </w:t>
      </w:r>
      <w:proofErr w:type="spellStart"/>
      <w:r w:rsidRPr="009E2E9F" w:rsidDel="003F3F0A">
        <w:rPr>
          <w:rFonts w:asciiTheme="majorHAnsi" w:hAnsiTheme="majorHAnsi"/>
        </w:rPr>
        <w:t>fetal</w:t>
      </w:r>
      <w:proofErr w:type="spellEnd"/>
      <w:r w:rsidRPr="009E2E9F" w:rsidDel="003F3F0A">
        <w:rPr>
          <w:rFonts w:asciiTheme="majorHAnsi" w:hAnsiTheme="majorHAnsi"/>
        </w:rPr>
        <w:t xml:space="preserve"> body weights at 3 and 10 mg/kg/day. </w:t>
      </w:r>
      <w:proofErr w:type="spellStart"/>
      <w:r w:rsidRPr="009E2E9F" w:rsidDel="003F3F0A">
        <w:rPr>
          <w:rFonts w:asciiTheme="majorHAnsi" w:hAnsiTheme="majorHAnsi"/>
        </w:rPr>
        <w:t>Fetal</w:t>
      </w:r>
      <w:proofErr w:type="spellEnd"/>
      <w:r w:rsidRPr="009E2E9F" w:rsidDel="003F3F0A">
        <w:rPr>
          <w:rFonts w:asciiTheme="majorHAnsi" w:hAnsiTheme="majorHAnsi"/>
        </w:rPr>
        <w:t xml:space="preserve"> abnormalities (external, soft tissue, and skeletal) were increased at ≥1 mg/kg/day</w:t>
      </w:r>
      <w:r>
        <w:rPr>
          <w:rFonts w:asciiTheme="majorHAnsi" w:hAnsiTheme="majorHAnsi"/>
        </w:rPr>
        <w:t xml:space="preserve"> </w:t>
      </w:r>
      <w:r w:rsidRPr="003F3F0A">
        <w:rPr>
          <w:rFonts w:asciiTheme="majorHAnsi" w:hAnsiTheme="majorHAnsi"/>
        </w:rPr>
        <w:t>(exposures &lt; 0.1 times the human exposure at the clinical dose of 125 mg, based on AUC).</w:t>
      </w:r>
    </w:p>
    <w:p w14:paraId="472C7EFB" w14:textId="5EE08682" w:rsidR="0093021D" w:rsidRPr="009E2E9F" w:rsidRDefault="0093021D" w:rsidP="003A43D4">
      <w:pPr>
        <w:jc w:val="both"/>
        <w:rPr>
          <w:rFonts w:asciiTheme="majorHAnsi" w:hAnsiTheme="majorHAnsi"/>
        </w:rPr>
      </w:pPr>
      <w:r w:rsidRPr="003F3F0A">
        <w:rPr>
          <w:rFonts w:asciiTheme="majorHAnsi" w:hAnsiTheme="majorHAnsi"/>
        </w:rPr>
        <w:t xml:space="preserve">In rabbits, </w:t>
      </w:r>
      <w:proofErr w:type="spellStart"/>
      <w:r w:rsidRPr="003F3F0A">
        <w:rPr>
          <w:rFonts w:asciiTheme="majorHAnsi" w:hAnsiTheme="majorHAnsi"/>
        </w:rPr>
        <w:t>infigratinib</w:t>
      </w:r>
      <w:proofErr w:type="spellEnd"/>
      <w:r w:rsidRPr="003F3F0A">
        <w:rPr>
          <w:rFonts w:asciiTheme="majorHAnsi" w:hAnsiTheme="majorHAnsi"/>
        </w:rPr>
        <w:t xml:space="preserve"> administration resulted in reductions in maternal body weight gain at all doses (0.3 3 mg/kg/day) and reductions in </w:t>
      </w:r>
      <w:proofErr w:type="spellStart"/>
      <w:r w:rsidRPr="003F3F0A">
        <w:rPr>
          <w:rFonts w:asciiTheme="majorHAnsi" w:hAnsiTheme="majorHAnsi"/>
        </w:rPr>
        <w:t>fetal</w:t>
      </w:r>
      <w:proofErr w:type="spellEnd"/>
      <w:r w:rsidRPr="003F3F0A">
        <w:rPr>
          <w:rFonts w:asciiTheme="majorHAnsi" w:hAnsiTheme="majorHAnsi"/>
        </w:rPr>
        <w:t xml:space="preserve"> body weights at 3 mg/kg/day (exposures at 0.3 and 3 mg/kg/day, respectively, &lt;0.1 and 2 times the human exposure at the clinical dose of 125 mg, based on AUC). Correlated with the reduction in </w:t>
      </w:r>
      <w:proofErr w:type="spellStart"/>
      <w:r w:rsidRPr="003F3F0A">
        <w:rPr>
          <w:rFonts w:asciiTheme="majorHAnsi" w:hAnsiTheme="majorHAnsi"/>
        </w:rPr>
        <w:t>fetal</w:t>
      </w:r>
      <w:proofErr w:type="spellEnd"/>
      <w:r w:rsidRPr="003F3F0A">
        <w:rPr>
          <w:rFonts w:asciiTheme="majorHAnsi" w:hAnsiTheme="majorHAnsi"/>
        </w:rPr>
        <w:t xml:space="preserve"> weights was a decrease in the numbers of ossification sites in some bones.</w:t>
      </w:r>
    </w:p>
    <w:p w14:paraId="6F6E3FEC" w14:textId="3D12F38E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Advise </w:t>
      </w:r>
      <w:r w:rsidR="0042327D" w:rsidRPr="009E2E9F">
        <w:rPr>
          <w:rFonts w:asciiTheme="majorHAnsi" w:hAnsiTheme="majorHAnsi"/>
        </w:rPr>
        <w:t xml:space="preserve">pregnant women and </w:t>
      </w:r>
      <w:r w:rsidRPr="009E2E9F">
        <w:rPr>
          <w:rFonts w:asciiTheme="majorHAnsi" w:hAnsiTheme="majorHAnsi"/>
        </w:rPr>
        <w:t xml:space="preserve">women of reproductive potential </w:t>
      </w:r>
      <w:r w:rsidR="0042327D" w:rsidRPr="009E2E9F">
        <w:rPr>
          <w:rFonts w:asciiTheme="majorHAnsi" w:hAnsiTheme="majorHAnsi"/>
        </w:rPr>
        <w:t xml:space="preserve">of the potential risk to a fetus and </w:t>
      </w:r>
      <w:r w:rsidRPr="009E2E9F">
        <w:rPr>
          <w:rFonts w:asciiTheme="majorHAnsi" w:hAnsiTheme="majorHAnsi"/>
        </w:rPr>
        <w:t xml:space="preserve">to use effective contraception during treatment with </w:t>
      </w:r>
      <w:r w:rsidR="00282749" w:rsidRPr="009E2E9F">
        <w:rPr>
          <w:rFonts w:asciiTheme="majorHAnsi" w:hAnsiTheme="majorHAnsi" w:cstheme="minorHAnsi"/>
          <w:lang w:val="en"/>
        </w:rPr>
        <w:t>TRUSELTIQ</w:t>
      </w:r>
      <w:r w:rsidR="00F72271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282749" w:rsidRPr="009E2E9F" w:rsidDel="0042327D">
        <w:rPr>
          <w:rFonts w:asciiTheme="majorHAnsi" w:hAnsiTheme="majorHAnsi"/>
        </w:rPr>
        <w:t xml:space="preserve"> </w:t>
      </w:r>
      <w:r w:rsidR="00282749" w:rsidRPr="009E2E9F">
        <w:rPr>
          <w:rFonts w:asciiTheme="majorHAnsi" w:hAnsiTheme="majorHAnsi"/>
        </w:rPr>
        <w:t>and</w:t>
      </w:r>
      <w:r w:rsidRPr="009E2E9F">
        <w:rPr>
          <w:rFonts w:asciiTheme="majorHAnsi" w:hAnsiTheme="majorHAnsi"/>
        </w:rPr>
        <w:t xml:space="preserve"> for 1 month after the last dose</w:t>
      </w:r>
      <w:r w:rsidR="0042327D" w:rsidRPr="009E2E9F">
        <w:rPr>
          <w:rFonts w:asciiTheme="majorHAnsi" w:hAnsiTheme="majorHAnsi"/>
        </w:rPr>
        <w:t xml:space="preserve"> [see Section 4.4 Special Warnings and Precautions for Use]</w:t>
      </w:r>
      <w:r w:rsidRPr="009E2E9F">
        <w:rPr>
          <w:rFonts w:asciiTheme="majorHAnsi" w:hAnsiTheme="majorHAnsi"/>
        </w:rPr>
        <w:t>.</w:t>
      </w:r>
    </w:p>
    <w:p w14:paraId="5A8C041D" w14:textId="2D3D4B99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Advise men who are partnered with women of reproductive potential to use effective contraception during treatment with </w:t>
      </w:r>
      <w:r w:rsidR="00705542" w:rsidRPr="009E2E9F">
        <w:rPr>
          <w:rFonts w:asciiTheme="majorHAnsi" w:hAnsiTheme="majorHAnsi" w:cstheme="minorHAnsi"/>
          <w:lang w:val="en"/>
        </w:rPr>
        <w:t>TRUSELTIQ</w:t>
      </w:r>
      <w:r w:rsidR="00847EC9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705542" w:rsidRPr="009E2E9F" w:rsidDel="0042327D">
        <w:rPr>
          <w:rFonts w:asciiTheme="majorHAnsi" w:hAnsiTheme="majorHAnsi"/>
        </w:rPr>
        <w:t xml:space="preserve"> </w:t>
      </w:r>
      <w:r w:rsidR="00705542" w:rsidRPr="009E2E9F">
        <w:rPr>
          <w:rFonts w:asciiTheme="majorHAnsi" w:hAnsiTheme="majorHAnsi"/>
        </w:rPr>
        <w:t>and</w:t>
      </w:r>
      <w:r w:rsidRPr="009E2E9F">
        <w:rPr>
          <w:rFonts w:asciiTheme="majorHAnsi" w:hAnsiTheme="majorHAnsi"/>
        </w:rPr>
        <w:t xml:space="preserve"> for 1 month after the last dose [see </w:t>
      </w:r>
      <w:r w:rsidR="00F42148" w:rsidRPr="009E2E9F">
        <w:rPr>
          <w:rFonts w:asciiTheme="majorHAnsi" w:hAnsiTheme="majorHAnsi"/>
        </w:rPr>
        <w:t xml:space="preserve">Section 4.4 Special Warnings and Precautions for </w:t>
      </w:r>
      <w:r w:rsidRPr="009E2E9F">
        <w:rPr>
          <w:rFonts w:asciiTheme="majorHAnsi" w:hAnsiTheme="majorHAnsi"/>
        </w:rPr>
        <w:t xml:space="preserve">Use].  </w:t>
      </w:r>
    </w:p>
    <w:p w14:paraId="55DBF323" w14:textId="148BC4E5" w:rsidR="001A3992" w:rsidRPr="009E2E9F" w:rsidRDefault="001A3992" w:rsidP="000B162D">
      <w:pPr>
        <w:pStyle w:val="Heading3"/>
        <w:spacing w:before="0" w:after="120"/>
        <w:ind w:left="0"/>
      </w:pPr>
      <w:r w:rsidRPr="009E2E9F">
        <w:t xml:space="preserve">Use in lactation </w:t>
      </w:r>
    </w:p>
    <w:p w14:paraId="64BEDF41" w14:textId="7F9B609F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There are no data on the presence of </w:t>
      </w:r>
      <w:proofErr w:type="spellStart"/>
      <w:r w:rsidRPr="009E2E9F">
        <w:rPr>
          <w:rFonts w:asciiTheme="majorHAnsi" w:hAnsiTheme="majorHAnsi"/>
        </w:rPr>
        <w:t>infigratinib</w:t>
      </w:r>
      <w:proofErr w:type="spellEnd"/>
      <w:r w:rsidRPr="009E2E9F">
        <w:rPr>
          <w:rFonts w:asciiTheme="majorHAnsi" w:hAnsiTheme="majorHAnsi"/>
        </w:rPr>
        <w:t xml:space="preserve"> or its metabolites in human milk, or their effects on either the breastfed child or on milk production. Because of the potential for serious adverse reactions in breastfed children from</w:t>
      </w:r>
      <w:r w:rsidR="00EA33B4" w:rsidRPr="009E2E9F">
        <w:rPr>
          <w:rFonts w:asciiTheme="majorHAnsi" w:hAnsiTheme="majorHAnsi"/>
        </w:rPr>
        <w:t xml:space="preserve"> </w:t>
      </w:r>
      <w:r w:rsidR="00705542" w:rsidRPr="009E2E9F">
        <w:rPr>
          <w:rFonts w:asciiTheme="majorHAnsi" w:hAnsiTheme="majorHAnsi" w:cstheme="minorHAnsi"/>
          <w:lang w:val="en"/>
        </w:rPr>
        <w:t>TRUSELTIQ</w:t>
      </w:r>
      <w:r w:rsidR="00847EC9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705542" w:rsidRPr="009E2E9F">
        <w:rPr>
          <w:rFonts w:asciiTheme="majorHAnsi" w:hAnsiTheme="majorHAnsi"/>
        </w:rPr>
        <w:t>,</w:t>
      </w:r>
      <w:r w:rsidRPr="009E2E9F">
        <w:rPr>
          <w:rFonts w:asciiTheme="majorHAnsi" w:hAnsiTheme="majorHAnsi"/>
        </w:rPr>
        <w:t xml:space="preserve"> advise women not to breastfeed during treatment and for 1 month after the last dose.</w:t>
      </w:r>
    </w:p>
    <w:p w14:paraId="720B5E21" w14:textId="77777777" w:rsidR="001A3992" w:rsidRPr="009E2E9F" w:rsidRDefault="001A3992" w:rsidP="001A3992">
      <w:pPr>
        <w:pStyle w:val="Heading2"/>
        <w:spacing w:before="0" w:after="120"/>
      </w:pPr>
      <w:r w:rsidRPr="009E2E9F">
        <w:t xml:space="preserve">Effects on ability to drive and use machines </w:t>
      </w:r>
    </w:p>
    <w:p w14:paraId="571B5EFF" w14:textId="77777777" w:rsidR="00CA0E28" w:rsidRPr="009E2E9F" w:rsidRDefault="005B2812" w:rsidP="003A43D4">
      <w:pPr>
        <w:jc w:val="both"/>
        <w:rPr>
          <w:rFonts w:asciiTheme="majorHAnsi" w:hAnsiTheme="majorHAnsi" w:cstheme="minorHAnsi"/>
          <w:lang w:val="en"/>
        </w:rPr>
      </w:pPr>
      <w:r w:rsidRPr="009E2E9F">
        <w:rPr>
          <w:rFonts w:asciiTheme="majorHAnsi" w:hAnsiTheme="majorHAnsi" w:cstheme="minorHAnsi"/>
          <w:lang w:val="en"/>
        </w:rPr>
        <w:t xml:space="preserve">The effects of this medicine on a person's ability to drive and use machines were not assessed as part of its registration. </w:t>
      </w:r>
    </w:p>
    <w:p w14:paraId="055D8463" w14:textId="7410CFED" w:rsidR="00750779" w:rsidRPr="009E2E9F" w:rsidRDefault="00114CE0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Patients should be advised not to drive or operate machinery if they experience any adverse effects that cause visual disturbance </w:t>
      </w:r>
      <w:r w:rsidR="00C13DE8" w:rsidRPr="009E2E9F">
        <w:rPr>
          <w:rFonts w:asciiTheme="majorHAnsi" w:hAnsiTheme="majorHAnsi"/>
        </w:rPr>
        <w:t xml:space="preserve">while undergoing treatment with </w:t>
      </w:r>
      <w:r w:rsidR="00C13DE8" w:rsidRPr="009E2E9F">
        <w:rPr>
          <w:rFonts w:asciiTheme="majorHAnsi" w:hAnsiTheme="majorHAnsi" w:cstheme="minorHAnsi"/>
          <w:lang w:val="en"/>
        </w:rPr>
        <w:t>TRUSELTIQ</w:t>
      </w:r>
      <w:r w:rsidR="00847EC9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C13DE8" w:rsidRPr="009E2E9F">
        <w:rPr>
          <w:rFonts w:asciiTheme="majorHAnsi" w:hAnsiTheme="majorHAnsi"/>
        </w:rPr>
        <w:t xml:space="preserve"> </w:t>
      </w:r>
      <w:r w:rsidR="00F71F4D" w:rsidRPr="009E2E9F">
        <w:rPr>
          <w:rFonts w:asciiTheme="majorHAnsi" w:hAnsiTheme="majorHAnsi"/>
        </w:rPr>
        <w:t>[</w:t>
      </w:r>
      <w:r w:rsidRPr="009E2E9F">
        <w:rPr>
          <w:rFonts w:asciiTheme="majorHAnsi" w:hAnsiTheme="majorHAnsi"/>
        </w:rPr>
        <w:t>see Section 4.8 Adverse Effects (Undesirable Effects)</w:t>
      </w:r>
      <w:r w:rsidR="00F71F4D" w:rsidRPr="009E2E9F">
        <w:rPr>
          <w:rFonts w:asciiTheme="majorHAnsi" w:hAnsiTheme="majorHAnsi"/>
        </w:rPr>
        <w:t>].</w:t>
      </w:r>
    </w:p>
    <w:p w14:paraId="28068D85" w14:textId="65A674C5" w:rsidR="001A3992" w:rsidRPr="002E7F61" w:rsidRDefault="001A3992" w:rsidP="001A3992">
      <w:pPr>
        <w:pStyle w:val="Heading2"/>
        <w:keepNext/>
        <w:keepLines/>
        <w:spacing w:before="0" w:after="120"/>
      </w:pPr>
      <w:r w:rsidRPr="002E7F61">
        <w:lastRenderedPageBreak/>
        <w:t>Adverse effects (Undesirable effects)</w:t>
      </w:r>
    </w:p>
    <w:p w14:paraId="6CDB53D8" w14:textId="77777777" w:rsidR="000B162D" w:rsidRPr="009E2E9F" w:rsidRDefault="000B162D" w:rsidP="00010929">
      <w:pPr>
        <w:rPr>
          <w:rFonts w:asciiTheme="majorHAnsi" w:hAnsiTheme="majorHAnsi"/>
          <w:b/>
          <w:bCs/>
        </w:rPr>
      </w:pPr>
      <w:r w:rsidRPr="009E2E9F">
        <w:rPr>
          <w:rFonts w:asciiTheme="majorHAnsi" w:hAnsiTheme="majorHAnsi"/>
          <w:b/>
          <w:bCs/>
        </w:rPr>
        <w:t>Clinical Trials Experience</w:t>
      </w:r>
    </w:p>
    <w:p w14:paraId="352C7D6E" w14:textId="77777777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>Because clinical trials are conducted under widely varying conditions, adverse reaction rates observed in the clinical trials of a drug cannot be directly compared to rates in the clinical trials of another drug and may not reflect the rates observed in practice.</w:t>
      </w:r>
    </w:p>
    <w:p w14:paraId="06D4B776" w14:textId="0143D5D8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The safety of </w:t>
      </w:r>
      <w:r w:rsidR="00454F4E" w:rsidRPr="009E2E9F">
        <w:rPr>
          <w:rFonts w:asciiTheme="majorHAnsi" w:hAnsiTheme="majorHAnsi"/>
          <w:lang w:val="en"/>
        </w:rPr>
        <w:t>TRUSELTIQ</w:t>
      </w:r>
      <w:r w:rsidR="00847EC9" w:rsidRPr="009E2E9F">
        <w:rPr>
          <w:rFonts w:asciiTheme="majorHAnsi" w:hAnsiTheme="majorHAnsi"/>
          <w:vertAlign w:val="superscript"/>
          <w:lang w:val="en"/>
        </w:rPr>
        <w:t>TM</w:t>
      </w:r>
      <w:r w:rsidR="00454F4E" w:rsidRPr="009E2E9F">
        <w:rPr>
          <w:rFonts w:asciiTheme="majorHAnsi" w:hAnsiTheme="majorHAnsi"/>
        </w:rPr>
        <w:t xml:space="preserve"> </w:t>
      </w:r>
      <w:r w:rsidRPr="009E2E9F">
        <w:rPr>
          <w:rFonts w:asciiTheme="majorHAnsi" w:hAnsiTheme="majorHAnsi"/>
        </w:rPr>
        <w:t>was evaluated in</w:t>
      </w:r>
      <w:r w:rsidR="704B0F26" w:rsidRPr="009E2E9F">
        <w:rPr>
          <w:rFonts w:asciiTheme="majorHAnsi" w:hAnsiTheme="majorHAnsi"/>
        </w:rPr>
        <w:t xml:space="preserve"> </w:t>
      </w:r>
      <w:r w:rsidRPr="009E2E9F">
        <w:rPr>
          <w:rFonts w:asciiTheme="majorHAnsi" w:hAnsiTheme="majorHAnsi"/>
        </w:rPr>
        <w:t xml:space="preserve">study CBGJ398X2204, which included 108 patients with previously treated, unresectable locally advanced or metastatic cholangiocarcinoma with an FGFR2 fusion or other rearrangement [see Section 5.1 Clinical Studies]. Patients were treated orally with </w:t>
      </w:r>
      <w:r w:rsidR="00454F4E" w:rsidRPr="009E2E9F">
        <w:rPr>
          <w:rFonts w:asciiTheme="majorHAnsi" w:hAnsiTheme="majorHAnsi"/>
          <w:lang w:val="en"/>
        </w:rPr>
        <w:t>TRUSELTIQ</w:t>
      </w:r>
      <w:r w:rsidR="00847EC9" w:rsidRPr="009E2E9F">
        <w:rPr>
          <w:rFonts w:asciiTheme="majorHAnsi" w:hAnsiTheme="majorHAnsi"/>
          <w:vertAlign w:val="superscript"/>
          <w:lang w:val="en"/>
        </w:rPr>
        <w:t>TM</w:t>
      </w:r>
      <w:r w:rsidR="00454F4E" w:rsidRPr="009E2E9F">
        <w:rPr>
          <w:rFonts w:asciiTheme="majorHAnsi" w:hAnsiTheme="majorHAnsi"/>
        </w:rPr>
        <w:t xml:space="preserve"> </w:t>
      </w:r>
      <w:r w:rsidRPr="009E2E9F">
        <w:rPr>
          <w:rFonts w:asciiTheme="majorHAnsi" w:hAnsiTheme="majorHAnsi"/>
        </w:rPr>
        <w:t xml:space="preserve">125 mg once daily for 21 </w:t>
      </w:r>
      <w:r w:rsidR="0045756C" w:rsidRPr="009E2E9F">
        <w:rPr>
          <w:rFonts w:asciiTheme="majorHAnsi" w:hAnsiTheme="majorHAnsi"/>
        </w:rPr>
        <w:t xml:space="preserve">consecutive </w:t>
      </w:r>
      <w:r w:rsidRPr="009E2E9F">
        <w:rPr>
          <w:rFonts w:asciiTheme="majorHAnsi" w:hAnsiTheme="majorHAnsi"/>
        </w:rPr>
        <w:t>days followed by 7 days off therapy</w:t>
      </w:r>
      <w:r w:rsidR="0045756C" w:rsidRPr="009E2E9F">
        <w:rPr>
          <w:rFonts w:asciiTheme="majorHAnsi" w:hAnsiTheme="majorHAnsi"/>
        </w:rPr>
        <w:t>, in 28-day cycles,</w:t>
      </w:r>
      <w:r w:rsidRPr="009E2E9F">
        <w:rPr>
          <w:rFonts w:asciiTheme="majorHAnsi" w:hAnsiTheme="majorHAnsi"/>
        </w:rPr>
        <w:t xml:space="preserve"> until disease progression or unacceptable toxicity. The median duration of treatment was 5.52 months (range: 0.03 to 28.29 months).</w:t>
      </w:r>
    </w:p>
    <w:p w14:paraId="298EDCD2" w14:textId="226F745F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The median age of </w:t>
      </w:r>
      <w:r w:rsidR="00454F4E" w:rsidRPr="009E2E9F">
        <w:rPr>
          <w:rFonts w:asciiTheme="majorHAnsi" w:hAnsiTheme="majorHAnsi" w:cstheme="minorHAnsi"/>
          <w:lang w:val="en"/>
        </w:rPr>
        <w:t>TRUSELTIQ</w:t>
      </w:r>
      <w:r w:rsidR="00847EC9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454F4E" w:rsidRPr="009E2E9F" w:rsidDel="00454F4E">
        <w:rPr>
          <w:rFonts w:asciiTheme="majorHAnsi" w:hAnsiTheme="majorHAnsi"/>
        </w:rPr>
        <w:t xml:space="preserve"> </w:t>
      </w:r>
      <w:r w:rsidRPr="009E2E9F">
        <w:rPr>
          <w:rFonts w:asciiTheme="majorHAnsi" w:hAnsiTheme="majorHAnsi"/>
        </w:rPr>
        <w:t xml:space="preserve">treated patients was 53 years (range 23-81), 62% were females, and 72% were white. </w:t>
      </w:r>
    </w:p>
    <w:p w14:paraId="3DDA8A99" w14:textId="47037B07" w:rsidR="000B162D" w:rsidRPr="009E2E9F" w:rsidRDefault="000B162D" w:rsidP="56D6CCA5">
      <w:pPr>
        <w:jc w:val="both"/>
        <w:rPr>
          <w:rFonts w:asciiTheme="majorHAnsi" w:hAnsiTheme="majorHAnsi"/>
        </w:rPr>
      </w:pPr>
      <w:r w:rsidRPr="56D6CCA5">
        <w:rPr>
          <w:rFonts w:asciiTheme="majorHAnsi" w:hAnsiTheme="majorHAnsi"/>
        </w:rPr>
        <w:t xml:space="preserve">Serious adverse reactions occurred in 32% of patients receiving </w:t>
      </w:r>
      <w:r w:rsidR="00705542" w:rsidRPr="56D6CCA5">
        <w:rPr>
          <w:rFonts w:asciiTheme="majorHAnsi" w:hAnsiTheme="majorHAnsi"/>
          <w:lang w:val="en"/>
        </w:rPr>
        <w:t>TRUSELTIQ</w:t>
      </w:r>
      <w:r w:rsidR="00847EC9" w:rsidRPr="56D6CCA5">
        <w:rPr>
          <w:rFonts w:asciiTheme="majorHAnsi" w:hAnsiTheme="majorHAnsi"/>
          <w:vertAlign w:val="superscript"/>
          <w:lang w:val="en"/>
        </w:rPr>
        <w:t>TM</w:t>
      </w:r>
      <w:r w:rsidR="00705542" w:rsidRPr="56D6CCA5">
        <w:rPr>
          <w:rFonts w:asciiTheme="majorHAnsi" w:hAnsiTheme="majorHAnsi"/>
        </w:rPr>
        <w:t>.</w:t>
      </w:r>
      <w:r w:rsidRPr="56D6CCA5">
        <w:rPr>
          <w:rFonts w:asciiTheme="majorHAnsi" w:hAnsiTheme="majorHAnsi"/>
        </w:rPr>
        <w:t xml:space="preserve"> Serious adverse reactions in ≥2% of patients who received </w:t>
      </w:r>
      <w:r w:rsidR="00705542" w:rsidRPr="56D6CCA5">
        <w:rPr>
          <w:rFonts w:asciiTheme="majorHAnsi" w:hAnsiTheme="majorHAnsi"/>
          <w:lang w:val="en"/>
        </w:rPr>
        <w:t>TRUSELTIQ</w:t>
      </w:r>
      <w:r w:rsidR="00847EC9" w:rsidRPr="56D6CCA5">
        <w:rPr>
          <w:rFonts w:asciiTheme="majorHAnsi" w:hAnsiTheme="majorHAnsi"/>
          <w:vertAlign w:val="superscript"/>
          <w:lang w:val="en"/>
        </w:rPr>
        <w:t>TM</w:t>
      </w:r>
      <w:r w:rsidR="00705542" w:rsidRPr="56D6CCA5">
        <w:rPr>
          <w:rFonts w:asciiTheme="majorHAnsi" w:hAnsiTheme="majorHAnsi"/>
        </w:rPr>
        <w:t xml:space="preserve"> included</w:t>
      </w:r>
      <w:r w:rsidRPr="56D6CCA5">
        <w:rPr>
          <w:rFonts w:asciiTheme="majorHAnsi" w:hAnsiTheme="majorHAnsi"/>
        </w:rPr>
        <w:t xml:space="preserve"> </w:t>
      </w:r>
      <w:r w:rsidR="00145E76">
        <w:rPr>
          <w:rFonts w:asciiTheme="majorHAnsi" w:hAnsiTheme="majorHAnsi"/>
        </w:rPr>
        <w:t xml:space="preserve">infections, </w:t>
      </w:r>
      <w:r w:rsidRPr="56D6CCA5">
        <w:rPr>
          <w:rFonts w:asciiTheme="majorHAnsi" w:hAnsiTheme="majorHAnsi"/>
        </w:rPr>
        <w:t>an</w:t>
      </w:r>
      <w:r w:rsidR="00750779" w:rsidRPr="56D6CCA5">
        <w:rPr>
          <w:rFonts w:asciiTheme="majorHAnsi" w:hAnsiTheme="majorHAnsi"/>
        </w:rPr>
        <w:t>a</w:t>
      </w:r>
      <w:r w:rsidRPr="56D6CCA5">
        <w:rPr>
          <w:rFonts w:asciiTheme="majorHAnsi" w:hAnsiTheme="majorHAnsi"/>
        </w:rPr>
        <w:t xml:space="preserve">emia, pyrexia, </w:t>
      </w:r>
      <w:r w:rsidR="0063733C">
        <w:rPr>
          <w:rFonts w:asciiTheme="majorHAnsi" w:hAnsiTheme="majorHAnsi"/>
        </w:rPr>
        <w:t xml:space="preserve">abdominal pain, </w:t>
      </w:r>
      <w:r w:rsidRPr="56D6CCA5">
        <w:rPr>
          <w:rFonts w:asciiTheme="majorHAnsi" w:hAnsiTheme="majorHAnsi"/>
        </w:rPr>
        <w:t>hypercalc</w:t>
      </w:r>
      <w:r w:rsidR="00750779" w:rsidRPr="56D6CCA5">
        <w:rPr>
          <w:rFonts w:asciiTheme="majorHAnsi" w:hAnsiTheme="majorHAnsi"/>
        </w:rPr>
        <w:t>a</w:t>
      </w:r>
      <w:r w:rsidRPr="56D6CCA5">
        <w:rPr>
          <w:rFonts w:asciiTheme="majorHAnsi" w:hAnsiTheme="majorHAnsi"/>
        </w:rPr>
        <w:t>emia, and sepsis. Fatal adverse reactions occurred in 0.9% of patients and included sepsis.</w:t>
      </w:r>
    </w:p>
    <w:p w14:paraId="5C3B9354" w14:textId="7969AD80" w:rsidR="000B162D" w:rsidRPr="009E2E9F" w:rsidRDefault="000B162D" w:rsidP="56D6CCA5">
      <w:pPr>
        <w:jc w:val="both"/>
        <w:rPr>
          <w:rFonts w:asciiTheme="majorHAnsi" w:hAnsiTheme="majorHAnsi"/>
        </w:rPr>
      </w:pPr>
      <w:r w:rsidRPr="56D6CCA5">
        <w:rPr>
          <w:rFonts w:asciiTheme="majorHAnsi" w:hAnsiTheme="majorHAnsi"/>
        </w:rPr>
        <w:t xml:space="preserve">Permanent discontinuation due to an adverse reaction occurred in 15% of patients who received </w:t>
      </w:r>
      <w:r w:rsidR="00705542" w:rsidRPr="56D6CCA5">
        <w:rPr>
          <w:rFonts w:asciiTheme="majorHAnsi" w:hAnsiTheme="majorHAnsi"/>
          <w:lang w:val="en"/>
        </w:rPr>
        <w:t>TRUSELTIQ</w:t>
      </w:r>
      <w:r w:rsidR="00847EC9" w:rsidRPr="56D6CCA5">
        <w:rPr>
          <w:rFonts w:asciiTheme="majorHAnsi" w:hAnsiTheme="majorHAnsi"/>
          <w:vertAlign w:val="superscript"/>
          <w:lang w:val="en"/>
        </w:rPr>
        <w:t>TM</w:t>
      </w:r>
      <w:r w:rsidR="00705542" w:rsidRPr="56D6CCA5">
        <w:rPr>
          <w:rFonts w:asciiTheme="majorHAnsi" w:hAnsiTheme="majorHAnsi"/>
        </w:rPr>
        <w:t>.</w:t>
      </w:r>
      <w:r w:rsidRPr="56D6CCA5">
        <w:rPr>
          <w:rFonts w:asciiTheme="majorHAnsi" w:hAnsiTheme="majorHAnsi"/>
        </w:rPr>
        <w:t xml:space="preserve"> Adverse reactions requiring permanent discontinuation in ≥1% of patients were blood creatinine increased, fatigue, subretinal fluid</w:t>
      </w:r>
      <w:r w:rsidR="0036099D">
        <w:rPr>
          <w:rFonts w:asciiTheme="majorHAnsi" w:hAnsiTheme="majorHAnsi"/>
        </w:rPr>
        <w:t xml:space="preserve"> and calcinosis</w:t>
      </w:r>
      <w:r w:rsidRPr="56D6CCA5">
        <w:rPr>
          <w:rFonts w:asciiTheme="majorHAnsi" w:hAnsiTheme="majorHAnsi"/>
        </w:rPr>
        <w:t xml:space="preserve">. </w:t>
      </w:r>
    </w:p>
    <w:p w14:paraId="748FF21A" w14:textId="0AA89F2C" w:rsidR="000B162D" w:rsidRPr="009E2E9F" w:rsidRDefault="000B162D" w:rsidP="003A43D4">
      <w:pPr>
        <w:jc w:val="both"/>
        <w:rPr>
          <w:rFonts w:asciiTheme="majorHAnsi" w:hAnsiTheme="majorHAnsi"/>
        </w:rPr>
      </w:pPr>
      <w:r w:rsidRPr="009E2E9F">
        <w:rPr>
          <w:rFonts w:asciiTheme="majorHAnsi" w:hAnsiTheme="majorHAnsi"/>
        </w:rPr>
        <w:t xml:space="preserve">Dosage reductions due to an adverse reaction occurred in 60% of patients who received </w:t>
      </w:r>
      <w:r w:rsidR="00705542" w:rsidRPr="009E2E9F">
        <w:rPr>
          <w:rFonts w:asciiTheme="majorHAnsi" w:hAnsiTheme="majorHAnsi" w:cstheme="minorHAnsi"/>
          <w:lang w:val="en"/>
        </w:rPr>
        <w:t>TRUSELTIQ</w:t>
      </w:r>
      <w:r w:rsidR="00847EC9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705542" w:rsidRPr="009E2E9F" w:rsidDel="00454F4E">
        <w:rPr>
          <w:rFonts w:asciiTheme="majorHAnsi" w:hAnsiTheme="majorHAnsi"/>
        </w:rPr>
        <w:t>.</w:t>
      </w:r>
      <w:r w:rsidRPr="009E2E9F">
        <w:rPr>
          <w:rFonts w:asciiTheme="majorHAnsi" w:hAnsiTheme="majorHAnsi"/>
        </w:rPr>
        <w:t xml:space="preserve"> Adverse reactions requiring dosage reductions in ≥2% of patients who received </w:t>
      </w:r>
      <w:r w:rsidR="00705542" w:rsidRPr="009E2E9F">
        <w:rPr>
          <w:rFonts w:asciiTheme="majorHAnsi" w:hAnsiTheme="majorHAnsi" w:cstheme="minorHAnsi"/>
          <w:lang w:val="en"/>
        </w:rPr>
        <w:t>TRUSELTIQ</w:t>
      </w:r>
      <w:r w:rsidR="00847EC9" w:rsidRPr="009E2E9F">
        <w:rPr>
          <w:rFonts w:asciiTheme="majorHAnsi" w:hAnsiTheme="majorHAnsi" w:cstheme="minorHAnsi"/>
          <w:vertAlign w:val="superscript"/>
          <w:lang w:val="en"/>
        </w:rPr>
        <w:t>TM</w:t>
      </w:r>
      <w:r w:rsidR="00705542" w:rsidRPr="009E2E9F" w:rsidDel="00454F4E">
        <w:rPr>
          <w:rFonts w:asciiTheme="majorHAnsi" w:hAnsiTheme="majorHAnsi"/>
        </w:rPr>
        <w:t xml:space="preserve"> </w:t>
      </w:r>
      <w:r w:rsidR="00705542" w:rsidRPr="009E2E9F">
        <w:rPr>
          <w:rFonts w:asciiTheme="majorHAnsi" w:hAnsiTheme="majorHAnsi"/>
        </w:rPr>
        <w:t>included</w:t>
      </w:r>
      <w:r w:rsidRPr="009E2E9F">
        <w:rPr>
          <w:rFonts w:asciiTheme="majorHAnsi" w:hAnsiTheme="majorHAnsi"/>
        </w:rPr>
        <w:t xml:space="preserve"> </w:t>
      </w:r>
      <w:proofErr w:type="spellStart"/>
      <w:r w:rsidRPr="009E2E9F">
        <w:rPr>
          <w:rFonts w:asciiTheme="majorHAnsi" w:hAnsiTheme="majorHAnsi"/>
        </w:rPr>
        <w:t>hyperphosphat</w:t>
      </w:r>
      <w:r w:rsidR="00750779" w:rsidRPr="009E2E9F">
        <w:rPr>
          <w:rFonts w:asciiTheme="majorHAnsi" w:hAnsiTheme="majorHAnsi"/>
        </w:rPr>
        <w:t>a</w:t>
      </w:r>
      <w:r w:rsidRPr="009E2E9F">
        <w:rPr>
          <w:rFonts w:asciiTheme="majorHAnsi" w:hAnsiTheme="majorHAnsi"/>
        </w:rPr>
        <w:t>emia</w:t>
      </w:r>
      <w:proofErr w:type="spellEnd"/>
      <w:r w:rsidRPr="009E2E9F">
        <w:rPr>
          <w:rFonts w:asciiTheme="majorHAnsi" w:hAnsiTheme="majorHAnsi"/>
        </w:rPr>
        <w:t xml:space="preserve">, stomatitis, palmar-plantar </w:t>
      </w:r>
      <w:proofErr w:type="spellStart"/>
      <w:r w:rsidRPr="009E2E9F">
        <w:rPr>
          <w:rFonts w:asciiTheme="majorHAnsi" w:hAnsiTheme="majorHAnsi"/>
        </w:rPr>
        <w:t>erythrodysesthesia</w:t>
      </w:r>
      <w:proofErr w:type="spellEnd"/>
      <w:r w:rsidRPr="009E2E9F">
        <w:rPr>
          <w:rFonts w:asciiTheme="majorHAnsi" w:hAnsiTheme="majorHAnsi"/>
        </w:rPr>
        <w:t xml:space="preserve"> syndrome, increased blood creatinine, increased lipase, hypercalc</w:t>
      </w:r>
      <w:r w:rsidR="00750779" w:rsidRPr="009E2E9F">
        <w:rPr>
          <w:rFonts w:asciiTheme="majorHAnsi" w:hAnsiTheme="majorHAnsi"/>
        </w:rPr>
        <w:t>a</w:t>
      </w:r>
      <w:r w:rsidRPr="009E2E9F">
        <w:rPr>
          <w:rFonts w:asciiTheme="majorHAnsi" w:hAnsiTheme="majorHAnsi"/>
        </w:rPr>
        <w:t xml:space="preserve">emia, and onycholysis. </w:t>
      </w:r>
    </w:p>
    <w:p w14:paraId="5147C18F" w14:textId="6631EE86" w:rsidR="000B162D" w:rsidRPr="009E2E9F" w:rsidRDefault="000B162D" w:rsidP="56D6CCA5">
      <w:pPr>
        <w:jc w:val="both"/>
        <w:rPr>
          <w:rFonts w:asciiTheme="majorHAnsi" w:hAnsiTheme="majorHAnsi"/>
        </w:rPr>
      </w:pPr>
      <w:r w:rsidRPr="56D6CCA5">
        <w:rPr>
          <w:rFonts w:asciiTheme="majorHAnsi" w:hAnsiTheme="majorHAnsi"/>
        </w:rPr>
        <w:t xml:space="preserve">Dosage interruptions due to an adverse reaction occurred in 64% of patients who received </w:t>
      </w:r>
      <w:r w:rsidR="00705542" w:rsidRPr="56D6CCA5">
        <w:rPr>
          <w:rFonts w:asciiTheme="majorHAnsi" w:hAnsiTheme="majorHAnsi"/>
          <w:lang w:val="en"/>
        </w:rPr>
        <w:t>TRUSELTIQ</w:t>
      </w:r>
      <w:r w:rsidR="00847EC9" w:rsidRPr="56D6CCA5">
        <w:rPr>
          <w:rFonts w:asciiTheme="majorHAnsi" w:hAnsiTheme="majorHAnsi"/>
          <w:vertAlign w:val="superscript"/>
          <w:lang w:val="en"/>
        </w:rPr>
        <w:t>TM</w:t>
      </w:r>
      <w:r w:rsidR="00705542" w:rsidRPr="56D6CCA5">
        <w:rPr>
          <w:rFonts w:asciiTheme="majorHAnsi" w:hAnsiTheme="majorHAnsi"/>
        </w:rPr>
        <w:t>.</w:t>
      </w:r>
      <w:r w:rsidRPr="56D6CCA5">
        <w:rPr>
          <w:rFonts w:asciiTheme="majorHAnsi" w:hAnsiTheme="majorHAnsi"/>
        </w:rPr>
        <w:t xml:space="preserve"> Adverse reactions requiring dosage interruption in ≥5% of patients included </w:t>
      </w:r>
      <w:proofErr w:type="spellStart"/>
      <w:r w:rsidRPr="56D6CCA5">
        <w:rPr>
          <w:rFonts w:asciiTheme="majorHAnsi" w:hAnsiTheme="majorHAnsi"/>
        </w:rPr>
        <w:t>hyperphosphat</w:t>
      </w:r>
      <w:r w:rsidR="00750779" w:rsidRPr="56D6CCA5">
        <w:rPr>
          <w:rFonts w:asciiTheme="majorHAnsi" w:hAnsiTheme="majorHAnsi"/>
        </w:rPr>
        <w:t>a</w:t>
      </w:r>
      <w:r w:rsidRPr="56D6CCA5">
        <w:rPr>
          <w:rFonts w:asciiTheme="majorHAnsi" w:hAnsiTheme="majorHAnsi"/>
        </w:rPr>
        <w:t>emia</w:t>
      </w:r>
      <w:proofErr w:type="spellEnd"/>
      <w:r w:rsidRPr="56D6CCA5">
        <w:rPr>
          <w:rFonts w:asciiTheme="majorHAnsi" w:hAnsiTheme="majorHAnsi"/>
        </w:rPr>
        <w:t>, hypercalc</w:t>
      </w:r>
      <w:r w:rsidR="00750779" w:rsidRPr="56D6CCA5">
        <w:rPr>
          <w:rFonts w:asciiTheme="majorHAnsi" w:hAnsiTheme="majorHAnsi"/>
        </w:rPr>
        <w:t>a</w:t>
      </w:r>
      <w:r w:rsidRPr="56D6CCA5">
        <w:rPr>
          <w:rFonts w:asciiTheme="majorHAnsi" w:hAnsiTheme="majorHAnsi"/>
        </w:rPr>
        <w:t xml:space="preserve">emia, palmar-plantar </w:t>
      </w:r>
      <w:proofErr w:type="spellStart"/>
      <w:r w:rsidRPr="56D6CCA5">
        <w:rPr>
          <w:rFonts w:asciiTheme="majorHAnsi" w:hAnsiTheme="majorHAnsi"/>
        </w:rPr>
        <w:t>erythrodysesthesia</w:t>
      </w:r>
      <w:proofErr w:type="spellEnd"/>
      <w:r w:rsidRPr="56D6CCA5">
        <w:rPr>
          <w:rFonts w:asciiTheme="majorHAnsi" w:hAnsiTheme="majorHAnsi"/>
        </w:rPr>
        <w:t xml:space="preserve"> syndrome, stomatitis, </w:t>
      </w:r>
      <w:proofErr w:type="gramStart"/>
      <w:r w:rsidRPr="56D6CCA5">
        <w:rPr>
          <w:rFonts w:asciiTheme="majorHAnsi" w:hAnsiTheme="majorHAnsi"/>
        </w:rPr>
        <w:t>diarrhoea</w:t>
      </w:r>
      <w:proofErr w:type="gramEnd"/>
      <w:r w:rsidR="008D4287">
        <w:rPr>
          <w:rFonts w:asciiTheme="majorHAnsi" w:hAnsiTheme="majorHAnsi"/>
        </w:rPr>
        <w:t xml:space="preserve"> </w:t>
      </w:r>
      <w:r w:rsidR="004565FF">
        <w:rPr>
          <w:rFonts w:asciiTheme="majorHAnsi" w:hAnsiTheme="majorHAnsi"/>
        </w:rPr>
        <w:t xml:space="preserve">and </w:t>
      </w:r>
      <w:r w:rsidR="004565FF" w:rsidRPr="004565FF">
        <w:rPr>
          <w:rFonts w:asciiTheme="majorHAnsi" w:hAnsiTheme="majorHAnsi"/>
        </w:rPr>
        <w:t>blood creatinine</w:t>
      </w:r>
      <w:r w:rsidR="004565FF">
        <w:rPr>
          <w:rFonts w:asciiTheme="majorHAnsi" w:hAnsiTheme="majorHAnsi"/>
        </w:rPr>
        <w:t xml:space="preserve"> </w:t>
      </w:r>
      <w:r w:rsidR="004565FF" w:rsidRPr="004565FF">
        <w:rPr>
          <w:rFonts w:asciiTheme="majorHAnsi" w:hAnsiTheme="majorHAnsi"/>
        </w:rPr>
        <w:t>increased</w:t>
      </w:r>
      <w:r w:rsidRPr="56D6CCA5">
        <w:rPr>
          <w:rFonts w:asciiTheme="majorHAnsi" w:hAnsiTheme="majorHAnsi"/>
        </w:rPr>
        <w:t xml:space="preserve">. </w:t>
      </w:r>
    </w:p>
    <w:p w14:paraId="726498F2" w14:textId="242F68B1" w:rsidR="00A07775" w:rsidRPr="009E2E9F" w:rsidRDefault="00A07775" w:rsidP="003A43D4">
      <w:pPr>
        <w:jc w:val="both"/>
        <w:rPr>
          <w:rFonts w:asciiTheme="majorHAnsi" w:hAnsiTheme="majorHAnsi"/>
        </w:rPr>
      </w:pPr>
      <w:r w:rsidRPr="00C86B0E">
        <w:rPr>
          <w:rFonts w:asciiTheme="majorHAnsi" w:hAnsiTheme="majorHAnsi"/>
        </w:rPr>
        <w:t xml:space="preserve">Table 3 </w:t>
      </w:r>
      <w:r w:rsidRPr="009E2E9F">
        <w:rPr>
          <w:rFonts w:asciiTheme="majorHAnsi" w:hAnsiTheme="majorHAnsi"/>
        </w:rPr>
        <w:t>summarizes the adverse reactions in study</w:t>
      </w:r>
      <w:r w:rsidRPr="009E2E9F">
        <w:rPr>
          <w:rFonts w:asciiTheme="majorHAnsi" w:hAnsiTheme="majorHAnsi"/>
          <w:color w:val="B5072D"/>
        </w:rPr>
        <w:t xml:space="preserve"> </w:t>
      </w:r>
      <w:r w:rsidRPr="009E2E9F">
        <w:rPr>
          <w:rFonts w:asciiTheme="majorHAnsi" w:hAnsiTheme="majorHAnsi"/>
        </w:rPr>
        <w:t>CBGJ398X2204.</w:t>
      </w:r>
    </w:p>
    <w:p w14:paraId="32961CAA" w14:textId="4352BDEE" w:rsidR="009237F1" w:rsidRPr="009E2E9F" w:rsidRDefault="000B162D" w:rsidP="00FF7921">
      <w:pPr>
        <w:pageBreakBefore/>
        <w:jc w:val="center"/>
        <w:rPr>
          <w:rFonts w:asciiTheme="majorHAnsi" w:hAnsiTheme="majorHAnsi"/>
          <w:b/>
          <w:bCs/>
        </w:rPr>
      </w:pPr>
      <w:r w:rsidRPr="009E2E9F">
        <w:rPr>
          <w:rFonts w:asciiTheme="majorHAnsi" w:hAnsiTheme="majorHAnsi"/>
          <w:b/>
          <w:bCs/>
        </w:rPr>
        <w:lastRenderedPageBreak/>
        <w:t xml:space="preserve">Table 3: Adverse Reactions (≥15%) in Patients Receiving </w:t>
      </w:r>
      <w:r w:rsidR="00705542" w:rsidRPr="009E2E9F">
        <w:rPr>
          <w:rFonts w:asciiTheme="majorHAnsi" w:hAnsiTheme="majorHAnsi" w:cstheme="minorHAnsi"/>
          <w:b/>
          <w:bCs/>
          <w:lang w:val="en"/>
        </w:rPr>
        <w:t>TRUSELTIQ</w:t>
      </w:r>
      <w:r w:rsidR="00847EC9" w:rsidRPr="009E2E9F">
        <w:rPr>
          <w:rFonts w:asciiTheme="majorHAnsi" w:hAnsiTheme="majorHAnsi" w:cstheme="minorHAnsi"/>
          <w:b/>
          <w:bCs/>
          <w:vertAlign w:val="superscript"/>
          <w:lang w:val="en"/>
        </w:rPr>
        <w:t>TM</w:t>
      </w:r>
      <w:r w:rsidR="00705542" w:rsidRPr="009E2E9F" w:rsidDel="00454F4E">
        <w:rPr>
          <w:rFonts w:asciiTheme="majorHAnsi" w:hAnsiTheme="majorHAnsi"/>
          <w:b/>
          <w:bCs/>
        </w:rPr>
        <w:t xml:space="preserve"> </w:t>
      </w:r>
      <w:r w:rsidR="00705542" w:rsidRPr="009E2E9F">
        <w:rPr>
          <w:rFonts w:asciiTheme="majorHAnsi" w:hAnsiTheme="majorHAnsi"/>
          <w:b/>
          <w:bCs/>
        </w:rPr>
        <w:t>in</w:t>
      </w:r>
      <w:r w:rsidRPr="009E2E9F">
        <w:rPr>
          <w:rFonts w:asciiTheme="majorHAnsi" w:hAnsiTheme="majorHAnsi"/>
          <w:b/>
          <w:bCs/>
        </w:rPr>
        <w:t xml:space="preserve"> </w:t>
      </w:r>
      <w:r w:rsidRPr="009E2E9F">
        <w:rPr>
          <w:rFonts w:asciiTheme="majorHAnsi" w:hAnsiTheme="majorHAnsi"/>
          <w:b/>
          <w:bCs/>
        </w:rPr>
        <w:br/>
        <w:t>Study CBGJ398X2204</w:t>
      </w:r>
    </w:p>
    <w:tbl>
      <w:tblPr>
        <w:tblStyle w:val="TableGrid"/>
        <w:tblW w:w="920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71"/>
        <w:gridCol w:w="2269"/>
        <w:gridCol w:w="2269"/>
      </w:tblGrid>
      <w:tr w:rsidR="009237F1" w:rsidRPr="00014AD4" w14:paraId="4EC5165E" w14:textId="77777777" w:rsidTr="56D6CCA5">
        <w:trPr>
          <w:tblHeader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8AFC2" w14:textId="77777777" w:rsidR="000B162D" w:rsidRPr="009E2E9F" w:rsidRDefault="000B162D" w:rsidP="00451A85">
            <w:pPr>
              <w:spacing w:before="40" w:after="40"/>
              <w:rPr>
                <w:rFonts w:asciiTheme="majorHAnsi" w:eastAsia="Arial" w:hAnsiTheme="majorHAnsi"/>
              </w:rPr>
            </w:pP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B6816" w14:textId="255F42AC" w:rsidR="000B162D" w:rsidRPr="009E2E9F" w:rsidRDefault="00454F4E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hAnsiTheme="majorHAnsi" w:cstheme="minorHAnsi"/>
                <w:lang w:val="en"/>
              </w:rPr>
              <w:t>TRUSELTIQ</w:t>
            </w:r>
            <w:r w:rsidR="00847EC9" w:rsidRPr="009E2E9F">
              <w:rPr>
                <w:rFonts w:asciiTheme="majorHAnsi" w:hAnsiTheme="majorHAnsi" w:cstheme="minorHAnsi"/>
                <w:vertAlign w:val="superscript"/>
                <w:lang w:val="en"/>
              </w:rPr>
              <w:t>TM</w:t>
            </w:r>
            <w:r w:rsidRPr="009E2E9F" w:rsidDel="00454F4E">
              <w:rPr>
                <w:rFonts w:asciiTheme="majorHAnsi" w:eastAsia="Arial" w:hAnsiTheme="majorHAnsi"/>
              </w:rPr>
              <w:t xml:space="preserve"> </w:t>
            </w:r>
          </w:p>
          <w:p w14:paraId="45650030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N=108</w:t>
            </w:r>
          </w:p>
        </w:tc>
      </w:tr>
      <w:tr w:rsidR="009237F1" w:rsidRPr="00014AD4" w14:paraId="401B7725" w14:textId="77777777" w:rsidTr="56D6CCA5">
        <w:trPr>
          <w:tblHeader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7E152" w14:textId="77777777" w:rsidR="000B162D" w:rsidRPr="009E2E9F" w:rsidRDefault="000B162D" w:rsidP="00451A85">
            <w:pPr>
              <w:spacing w:before="40" w:after="40"/>
              <w:rPr>
                <w:rFonts w:asciiTheme="majorHAnsi" w:eastAsia="Arial" w:hAnsiTheme="majorHAnsi"/>
                <w:b/>
                <w:bCs/>
              </w:rPr>
            </w:pPr>
            <w:r w:rsidRPr="009E2E9F">
              <w:rPr>
                <w:rFonts w:asciiTheme="majorHAnsi" w:eastAsia="Arial" w:hAnsiTheme="majorHAnsi"/>
                <w:b/>
                <w:bCs/>
              </w:rPr>
              <w:t>Adverse Reaction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C0A70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  <w:b/>
                <w:bCs/>
              </w:rPr>
            </w:pPr>
            <w:r w:rsidRPr="009E2E9F">
              <w:rPr>
                <w:rFonts w:asciiTheme="majorHAnsi" w:eastAsia="Arial" w:hAnsiTheme="majorHAnsi"/>
                <w:b/>
                <w:bCs/>
              </w:rPr>
              <w:t>All Grades</w:t>
            </w:r>
            <w:r w:rsidRPr="009E2E9F">
              <w:rPr>
                <w:rFonts w:asciiTheme="majorHAnsi" w:eastAsia="Arial" w:hAnsiTheme="majorHAnsi"/>
                <w:b/>
                <w:bCs/>
              </w:rPr>
              <w:br/>
              <w:t>(%)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4A12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  <w:b/>
                <w:bCs/>
              </w:rPr>
            </w:pPr>
            <w:r w:rsidRPr="009E2E9F">
              <w:rPr>
                <w:rFonts w:asciiTheme="majorHAnsi" w:eastAsia="Arial" w:hAnsiTheme="majorHAnsi"/>
                <w:b/>
                <w:bCs/>
              </w:rPr>
              <w:t xml:space="preserve">Grades ≥3 </w:t>
            </w:r>
            <w:r w:rsidRPr="009E2E9F">
              <w:rPr>
                <w:rFonts w:asciiTheme="majorHAnsi" w:eastAsia="Arial" w:hAnsiTheme="majorHAnsi"/>
                <w:b/>
                <w:bCs/>
                <w:vertAlign w:val="superscript"/>
              </w:rPr>
              <w:t>a</w:t>
            </w:r>
            <w:r w:rsidRPr="009E2E9F">
              <w:rPr>
                <w:rFonts w:asciiTheme="majorHAnsi" w:eastAsia="Arial" w:hAnsiTheme="majorHAnsi"/>
                <w:b/>
                <w:bCs/>
              </w:rPr>
              <w:br/>
              <w:t>(%)</w:t>
            </w:r>
          </w:p>
        </w:tc>
      </w:tr>
      <w:tr w:rsidR="009237F1" w:rsidRPr="00014AD4" w14:paraId="1169393F" w14:textId="77777777" w:rsidTr="56D6CCA5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A1C7" w14:textId="77777777" w:rsidR="000B162D" w:rsidRPr="009E2E9F" w:rsidRDefault="000B162D" w:rsidP="00451A85">
            <w:pPr>
              <w:spacing w:before="40" w:after="40"/>
              <w:rPr>
                <w:rFonts w:asciiTheme="majorHAnsi" w:eastAsia="Arial" w:hAnsiTheme="majorHAnsi"/>
              </w:rPr>
            </w:pPr>
            <w:bookmarkStart w:id="1" w:name="_Hlk48060345"/>
            <w:r w:rsidRPr="009E2E9F">
              <w:rPr>
                <w:rFonts w:asciiTheme="majorHAnsi" w:eastAsia="Arial" w:hAnsiTheme="majorHAnsi"/>
              </w:rPr>
              <w:t>Metabolism and nutrition disorders</w:t>
            </w:r>
          </w:p>
        </w:tc>
      </w:tr>
      <w:tr w:rsidR="009237F1" w:rsidRPr="00014AD4" w14:paraId="23A91233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35F" w14:textId="46265CC9" w:rsidR="000B162D" w:rsidRPr="009E2E9F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proofErr w:type="spellStart"/>
            <w:r w:rsidRPr="009E2E9F">
              <w:rPr>
                <w:rFonts w:asciiTheme="majorHAnsi" w:eastAsia="Arial" w:hAnsiTheme="majorHAnsi"/>
              </w:rPr>
              <w:t>Hyperphosphat</w:t>
            </w:r>
            <w:r w:rsidR="00750779" w:rsidRPr="009E2E9F">
              <w:rPr>
                <w:rFonts w:asciiTheme="majorHAnsi" w:eastAsia="Arial" w:hAnsiTheme="majorHAnsi"/>
              </w:rPr>
              <w:t>a</w:t>
            </w:r>
            <w:r w:rsidRPr="009E2E9F">
              <w:rPr>
                <w:rFonts w:asciiTheme="majorHAnsi" w:eastAsia="Arial" w:hAnsiTheme="majorHAnsi"/>
              </w:rPr>
              <w:t>emia</w:t>
            </w:r>
            <w:proofErr w:type="spellEnd"/>
            <w:r w:rsidRPr="009E2E9F">
              <w:rPr>
                <w:rFonts w:asciiTheme="majorHAnsi" w:eastAsia="Arial" w:hAnsiTheme="majorHAnsi"/>
              </w:rPr>
              <w:t xml:space="preserve"> </w:t>
            </w:r>
            <w:r w:rsidRPr="009E2E9F">
              <w:rPr>
                <w:rFonts w:asciiTheme="majorHAnsi" w:eastAsia="Arial" w:hAnsiTheme="majorHAnsi"/>
                <w:vertAlign w:val="superscript"/>
              </w:rPr>
              <w:t>b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0CE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78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8A3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11</w:t>
            </w:r>
          </w:p>
        </w:tc>
      </w:tr>
      <w:tr w:rsidR="009237F1" w:rsidRPr="00014AD4" w14:paraId="12D8AB31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11B" w14:textId="48C2695B" w:rsidR="000B162D" w:rsidRPr="009E2E9F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Hypercalc</w:t>
            </w:r>
            <w:r w:rsidR="00750779" w:rsidRPr="009E2E9F">
              <w:rPr>
                <w:rFonts w:asciiTheme="majorHAnsi" w:eastAsia="Arial" w:hAnsiTheme="majorHAnsi"/>
              </w:rPr>
              <w:t>a</w:t>
            </w:r>
            <w:r w:rsidRPr="009E2E9F">
              <w:rPr>
                <w:rFonts w:asciiTheme="majorHAnsi" w:eastAsia="Arial" w:hAnsiTheme="majorHAnsi"/>
              </w:rPr>
              <w:t>emia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397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5F9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6</w:t>
            </w:r>
          </w:p>
        </w:tc>
      </w:tr>
      <w:tr w:rsidR="009237F1" w:rsidRPr="00014AD4" w14:paraId="550BEB69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017" w14:textId="655095D5" w:rsidR="000B162D" w:rsidRPr="009E2E9F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proofErr w:type="spellStart"/>
            <w:r w:rsidRPr="009E2E9F">
              <w:rPr>
                <w:rFonts w:asciiTheme="majorHAnsi" w:eastAsia="Arial" w:hAnsiTheme="majorHAnsi"/>
              </w:rPr>
              <w:t>Hypophosphat</w:t>
            </w:r>
            <w:r w:rsidR="00750779" w:rsidRPr="009E2E9F">
              <w:rPr>
                <w:rFonts w:asciiTheme="majorHAnsi" w:eastAsia="Arial" w:hAnsiTheme="majorHAnsi"/>
              </w:rPr>
              <w:t>a</w:t>
            </w:r>
            <w:r w:rsidRPr="009E2E9F">
              <w:rPr>
                <w:rFonts w:asciiTheme="majorHAnsi" w:eastAsia="Arial" w:hAnsiTheme="majorHAnsi"/>
              </w:rPr>
              <w:t>emia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90E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22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87E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13</w:t>
            </w:r>
          </w:p>
        </w:tc>
      </w:tr>
      <w:tr w:rsidR="009237F1" w:rsidRPr="00014AD4" w14:paraId="01C7B0B1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97B" w14:textId="77777777" w:rsidR="000B162D" w:rsidRPr="009E2E9F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Decreased appetite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176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22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42D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1</w:t>
            </w:r>
          </w:p>
        </w:tc>
      </w:tr>
      <w:tr w:rsidR="009237F1" w:rsidRPr="00014AD4" w14:paraId="6E5180B0" w14:textId="77777777" w:rsidTr="56D6CC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E92" w14:textId="77777777" w:rsidR="000B162D" w:rsidRPr="009E2E9F" w:rsidRDefault="000B162D" w:rsidP="00451A85">
            <w:pPr>
              <w:keepNext/>
              <w:spacing w:before="40" w:after="40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Skin and subcutaneous tissue disorders</w:t>
            </w:r>
          </w:p>
        </w:tc>
      </w:tr>
      <w:tr w:rsidR="009237F1" w:rsidRPr="00014AD4" w14:paraId="04F1AE80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520" w14:textId="77777777" w:rsidR="000B162D" w:rsidRPr="009E2E9F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 xml:space="preserve">Nail toxicity </w:t>
            </w:r>
            <w:r w:rsidRPr="009E2E9F">
              <w:rPr>
                <w:rFonts w:asciiTheme="majorHAnsi" w:eastAsia="Arial" w:hAnsiTheme="majorHAnsi"/>
                <w:vertAlign w:val="superscript"/>
              </w:rPr>
              <w:t>c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9C3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57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F37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2</w:t>
            </w:r>
          </w:p>
        </w:tc>
      </w:tr>
      <w:tr w:rsidR="009237F1" w:rsidRPr="00014AD4" w14:paraId="1C1760AA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CD9" w14:textId="77777777" w:rsidR="000B162D" w:rsidRPr="009E2E9F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Alopecia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7B16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38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50E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0</w:t>
            </w:r>
          </w:p>
        </w:tc>
      </w:tr>
      <w:tr w:rsidR="009237F1" w:rsidRPr="00014AD4" w14:paraId="085F831F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DC" w14:textId="77777777" w:rsidR="000B162D" w:rsidRPr="009E2E9F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 xml:space="preserve">Palmar-plantar </w:t>
            </w:r>
            <w:proofErr w:type="spellStart"/>
            <w:r w:rsidRPr="009E2E9F">
              <w:rPr>
                <w:rFonts w:asciiTheme="majorHAnsi" w:eastAsia="Arial" w:hAnsiTheme="majorHAnsi"/>
              </w:rPr>
              <w:t>erythrodysesthesia</w:t>
            </w:r>
            <w:proofErr w:type="spellEnd"/>
            <w:r w:rsidRPr="009E2E9F">
              <w:rPr>
                <w:rFonts w:asciiTheme="majorHAnsi" w:eastAsia="Arial" w:hAnsiTheme="majorHAnsi"/>
              </w:rPr>
              <w:t xml:space="preserve"> syndrome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C3E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33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398" w14:textId="77777777" w:rsidR="000B162D" w:rsidRPr="009E2E9F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2E9F">
              <w:rPr>
                <w:rFonts w:asciiTheme="majorHAnsi" w:eastAsia="Arial" w:hAnsiTheme="majorHAnsi"/>
              </w:rPr>
              <w:t>7</w:t>
            </w:r>
          </w:p>
        </w:tc>
      </w:tr>
      <w:tr w:rsidR="009237F1" w:rsidRPr="00014AD4" w14:paraId="20ABCB08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8E1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Dry skin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A78E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7EF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0</w:t>
            </w:r>
          </w:p>
        </w:tc>
      </w:tr>
      <w:tr w:rsidR="009237F1" w:rsidRPr="00014AD4" w14:paraId="728B958F" w14:textId="77777777" w:rsidTr="56D6CC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B603" w14:textId="77777777" w:rsidR="000B162D" w:rsidRPr="009E1BC3" w:rsidRDefault="000B162D" w:rsidP="00451A85">
            <w:pPr>
              <w:spacing w:before="40" w:after="4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Gastrointestinal disorders</w:t>
            </w:r>
          </w:p>
        </w:tc>
      </w:tr>
      <w:tr w:rsidR="009237F1" w:rsidRPr="00014AD4" w14:paraId="0AB457BA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48B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 xml:space="preserve">Stomatitis </w:t>
            </w:r>
            <w:r w:rsidRPr="009E1BC3">
              <w:rPr>
                <w:rFonts w:asciiTheme="majorHAnsi" w:eastAsia="Arial" w:hAnsiTheme="majorHAnsi"/>
                <w:vertAlign w:val="superscript"/>
              </w:rPr>
              <w:t>d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939B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56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592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15</w:t>
            </w:r>
          </w:p>
        </w:tc>
      </w:tr>
      <w:tr w:rsidR="009237F1" w:rsidRPr="00014AD4" w14:paraId="02A59A35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B33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Constipation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8F1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30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872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</w:t>
            </w:r>
          </w:p>
        </w:tc>
      </w:tr>
      <w:tr w:rsidR="009237F1" w:rsidRPr="00014AD4" w14:paraId="18839D2F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26C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Dry mouth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16F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2A4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0</w:t>
            </w:r>
          </w:p>
        </w:tc>
      </w:tr>
      <w:tr w:rsidR="009237F1" w:rsidRPr="00014AD4" w14:paraId="43892C4E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471" w14:textId="57FBE010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Diarrh</w:t>
            </w:r>
            <w:r w:rsidR="00750779" w:rsidRPr="009E1BC3">
              <w:rPr>
                <w:rFonts w:asciiTheme="majorHAnsi" w:eastAsia="Arial" w:hAnsiTheme="majorHAnsi"/>
              </w:rPr>
              <w:t>o</w:t>
            </w:r>
            <w:r w:rsidRPr="009E1BC3">
              <w:rPr>
                <w:rFonts w:asciiTheme="majorHAnsi" w:eastAsia="Arial" w:hAnsiTheme="majorHAnsi"/>
              </w:rPr>
              <w:t>ea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7A6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8C6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3</w:t>
            </w:r>
          </w:p>
        </w:tc>
      </w:tr>
      <w:tr w:rsidR="009237F1" w:rsidRPr="00014AD4" w14:paraId="07432095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727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Vomiting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C57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FCA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</w:t>
            </w:r>
          </w:p>
        </w:tc>
      </w:tr>
      <w:tr w:rsidR="009237F1" w:rsidRPr="00014AD4" w14:paraId="3968918E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072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Nausea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7B8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3AB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</w:t>
            </w:r>
          </w:p>
        </w:tc>
      </w:tr>
      <w:tr w:rsidR="009237F1" w:rsidRPr="00014AD4" w14:paraId="77B7D744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6EE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Abdominal pain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A33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C8B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4</w:t>
            </w:r>
          </w:p>
        </w:tc>
      </w:tr>
      <w:tr w:rsidR="009237F1" w:rsidRPr="00014AD4" w14:paraId="27836400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4370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Dyspepsia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03B9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021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0</w:t>
            </w:r>
          </w:p>
        </w:tc>
      </w:tr>
      <w:tr w:rsidR="009237F1" w:rsidRPr="00014AD4" w14:paraId="7A30C118" w14:textId="77777777" w:rsidTr="56D6CC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ECF" w14:textId="77777777" w:rsidR="000B162D" w:rsidRPr="009E1BC3" w:rsidRDefault="000B162D" w:rsidP="00451A85">
            <w:pPr>
              <w:spacing w:before="40" w:after="4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Eye disorders</w:t>
            </w:r>
          </w:p>
        </w:tc>
      </w:tr>
      <w:tr w:rsidR="009237F1" w:rsidRPr="00014AD4" w14:paraId="2F3668ED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A656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 xml:space="preserve">Dry eye </w:t>
            </w:r>
            <w:r w:rsidRPr="009E1BC3">
              <w:rPr>
                <w:rFonts w:asciiTheme="majorHAnsi" w:eastAsia="Arial" w:hAnsiTheme="majorHAnsi"/>
                <w:vertAlign w:val="superscript"/>
              </w:rPr>
              <w:t>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B61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44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5C8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</w:t>
            </w:r>
          </w:p>
        </w:tc>
      </w:tr>
      <w:tr w:rsidR="009237F1" w:rsidRPr="00014AD4" w14:paraId="09A37E32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1BE5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 xml:space="preserve">Eyelash changes </w:t>
            </w:r>
            <w:r w:rsidRPr="009E1BC3">
              <w:rPr>
                <w:rFonts w:asciiTheme="majorHAnsi" w:eastAsia="Arial" w:hAnsiTheme="majorHAnsi"/>
                <w:vertAlign w:val="superscript"/>
              </w:rPr>
              <w:t>f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B30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18F7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0</w:t>
            </w:r>
          </w:p>
        </w:tc>
      </w:tr>
      <w:tr w:rsidR="009237F1" w:rsidRPr="00014AD4" w14:paraId="6748ADC4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C0F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Vision blurred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89F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830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0</w:t>
            </w:r>
          </w:p>
        </w:tc>
      </w:tr>
      <w:tr w:rsidR="009237F1" w:rsidRPr="00014AD4" w14:paraId="11E5F330" w14:textId="77777777" w:rsidTr="56D6CC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A6F" w14:textId="77777777" w:rsidR="000B162D" w:rsidRPr="009E1BC3" w:rsidRDefault="000B162D" w:rsidP="00451A85">
            <w:pPr>
              <w:spacing w:before="40" w:after="4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General disorders and administrative site conditions</w:t>
            </w:r>
          </w:p>
        </w:tc>
      </w:tr>
      <w:tr w:rsidR="009237F1" w:rsidRPr="00014AD4" w14:paraId="463702B6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A44" w14:textId="77777777" w:rsidR="000B162D" w:rsidRPr="009E1BC3" w:rsidRDefault="000B162D" w:rsidP="56D6CCA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56D6CCA5">
              <w:rPr>
                <w:rFonts w:asciiTheme="majorHAnsi" w:eastAsia="Arial" w:hAnsiTheme="majorHAnsi"/>
              </w:rPr>
              <w:t xml:space="preserve">Fatigue </w:t>
            </w:r>
            <w:r w:rsidRPr="56D6CCA5">
              <w:rPr>
                <w:rFonts w:asciiTheme="majorHAnsi" w:eastAsia="Arial" w:hAnsiTheme="majorHAnsi"/>
                <w:vertAlign w:val="superscript"/>
              </w:rPr>
              <w:t>g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487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44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B001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4</w:t>
            </w:r>
          </w:p>
        </w:tc>
      </w:tr>
      <w:tr w:rsidR="00251DB9" w:rsidRPr="00014AD4" w14:paraId="4427FB4A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40BB" w14:textId="721B2611" w:rsidR="00251DB9" w:rsidRPr="00BC7309" w:rsidRDefault="00AD43F2" w:rsidP="56D6CCA5">
            <w:pPr>
              <w:spacing w:before="40" w:after="40"/>
              <w:ind w:left="180"/>
              <w:rPr>
                <w:rFonts w:asciiTheme="majorHAnsi" w:eastAsia="Arial" w:hAnsiTheme="majorHAnsi"/>
                <w:vertAlign w:val="superscript"/>
              </w:rPr>
            </w:pPr>
            <w:r>
              <w:rPr>
                <w:rFonts w:asciiTheme="majorHAnsi" w:eastAsia="Arial" w:hAnsiTheme="majorHAnsi"/>
              </w:rPr>
              <w:t>Oedema</w:t>
            </w:r>
            <w:r w:rsidR="000144DC">
              <w:rPr>
                <w:rFonts w:asciiTheme="majorHAnsi" w:eastAsia="Arial" w:hAnsiTheme="majorHAnsi"/>
              </w:rPr>
              <w:t xml:space="preserve"> </w:t>
            </w:r>
            <w:r w:rsidR="000144DC">
              <w:rPr>
                <w:rFonts w:asciiTheme="majorHAnsi" w:eastAsia="Arial" w:hAnsiTheme="majorHAnsi"/>
                <w:vertAlign w:val="superscript"/>
              </w:rPr>
              <w:t>h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228B" w14:textId="3FCBD344" w:rsidR="00251DB9" w:rsidRPr="009E1BC3" w:rsidRDefault="000144DC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>
              <w:rPr>
                <w:rFonts w:asciiTheme="majorHAnsi" w:eastAsia="Arial" w:hAnsiTheme="majorHAnsi"/>
              </w:rPr>
              <w:t>17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BD2" w14:textId="0974BEBC" w:rsidR="00251DB9" w:rsidRPr="009E1BC3" w:rsidRDefault="000144DC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>
              <w:rPr>
                <w:rFonts w:asciiTheme="majorHAnsi" w:eastAsia="Arial" w:hAnsiTheme="majorHAnsi"/>
              </w:rPr>
              <w:t>1</w:t>
            </w:r>
          </w:p>
        </w:tc>
      </w:tr>
      <w:tr w:rsidR="00251DB9" w:rsidRPr="00014AD4" w14:paraId="3B3E2ADA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5E4" w14:textId="2F3C624C" w:rsidR="00251DB9" w:rsidRPr="56D6CCA5" w:rsidRDefault="00195717" w:rsidP="56D6CCA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>
              <w:rPr>
                <w:rFonts w:asciiTheme="majorHAnsi" w:eastAsia="Arial" w:hAnsiTheme="majorHAnsi"/>
              </w:rPr>
              <w:t>Pyrexia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BFF" w14:textId="67A55EC4" w:rsidR="00251DB9" w:rsidRPr="009E1BC3" w:rsidRDefault="000144DC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>
              <w:rPr>
                <w:rFonts w:asciiTheme="majorHAnsi" w:eastAsia="Arial" w:hAnsiTheme="majorHAnsi"/>
              </w:rPr>
              <w:t>15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E341" w14:textId="4E316F00" w:rsidR="00251DB9" w:rsidRPr="009E1BC3" w:rsidRDefault="000144DC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>
              <w:rPr>
                <w:rFonts w:asciiTheme="majorHAnsi" w:eastAsia="Arial" w:hAnsiTheme="majorHAnsi"/>
              </w:rPr>
              <w:t>1</w:t>
            </w:r>
          </w:p>
        </w:tc>
      </w:tr>
      <w:tr w:rsidR="009237F1" w:rsidRPr="00014AD4" w14:paraId="3730A95D" w14:textId="77777777" w:rsidTr="56D6CC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1C7" w14:textId="77777777" w:rsidR="000B162D" w:rsidRPr="009E1BC3" w:rsidRDefault="000B162D" w:rsidP="00451A85">
            <w:pPr>
              <w:spacing w:before="40" w:after="4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Musculoskeletal and connective tissue disorders</w:t>
            </w:r>
          </w:p>
        </w:tc>
      </w:tr>
      <w:tr w:rsidR="009237F1" w:rsidRPr="00014AD4" w14:paraId="3AF07D01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5DB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Arthralgia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0EE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32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34A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0</w:t>
            </w:r>
          </w:p>
        </w:tc>
      </w:tr>
      <w:tr w:rsidR="009237F1" w:rsidRPr="00014AD4" w14:paraId="01AFA8CF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13A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Pain in extremity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AF2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DB1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</w:t>
            </w:r>
          </w:p>
        </w:tc>
      </w:tr>
      <w:tr w:rsidR="009237F1" w:rsidRPr="00014AD4" w14:paraId="526251FA" w14:textId="77777777" w:rsidTr="56D6CC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7F1" w14:textId="77777777" w:rsidR="000B162D" w:rsidRPr="009E1BC3" w:rsidRDefault="000B162D" w:rsidP="00451A85">
            <w:pPr>
              <w:spacing w:before="40" w:after="4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Nervous system disorders</w:t>
            </w:r>
          </w:p>
        </w:tc>
      </w:tr>
      <w:tr w:rsidR="009237F1" w:rsidRPr="00014AD4" w14:paraId="20F5E957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41B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lastRenderedPageBreak/>
              <w:t>Dysgeusia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2F2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32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CE2A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0</w:t>
            </w:r>
          </w:p>
        </w:tc>
      </w:tr>
      <w:tr w:rsidR="009237F1" w:rsidRPr="00014AD4" w14:paraId="25E5FAA8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E68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Headache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06B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17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B09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</w:t>
            </w:r>
          </w:p>
        </w:tc>
      </w:tr>
      <w:tr w:rsidR="009237F1" w:rsidRPr="00014AD4" w14:paraId="2DA3F915" w14:textId="77777777" w:rsidTr="56D6CC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654" w14:textId="77777777" w:rsidR="000B162D" w:rsidRPr="009E1BC3" w:rsidRDefault="000B162D" w:rsidP="56D6CCA5">
            <w:pPr>
              <w:spacing w:before="40" w:after="40"/>
              <w:rPr>
                <w:rFonts w:asciiTheme="majorHAnsi" w:eastAsia="Arial" w:hAnsiTheme="majorHAnsi"/>
              </w:rPr>
            </w:pPr>
            <w:r w:rsidRPr="56D6CCA5">
              <w:rPr>
                <w:rFonts w:asciiTheme="majorHAnsi" w:eastAsia="Arial" w:hAnsiTheme="majorHAnsi"/>
              </w:rPr>
              <w:t>Investigations</w:t>
            </w:r>
          </w:p>
        </w:tc>
      </w:tr>
      <w:tr w:rsidR="009237F1" w:rsidRPr="00014AD4" w14:paraId="489F9911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6B0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Blood creatinine increased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010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382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0</w:t>
            </w:r>
          </w:p>
        </w:tc>
      </w:tr>
      <w:tr w:rsidR="009237F1" w:rsidRPr="00014AD4" w14:paraId="3BEBE8D1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F06" w14:textId="5BF5E3F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Aspartate aminotransferase increased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798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7D2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2</w:t>
            </w:r>
          </w:p>
        </w:tc>
      </w:tr>
      <w:tr w:rsidR="006B1547" w:rsidRPr="00014AD4" w14:paraId="779CF662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BB5" w14:textId="2EB22716" w:rsidR="006B1547" w:rsidRPr="009E1BC3" w:rsidRDefault="006B1547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>
              <w:rPr>
                <w:rFonts w:asciiTheme="majorHAnsi" w:eastAsia="Arial" w:hAnsiTheme="majorHAnsi"/>
              </w:rPr>
              <w:t>Weight decreased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0BB" w14:textId="1FFFE3DF" w:rsidR="006B1547" w:rsidRPr="009E1BC3" w:rsidRDefault="006B1547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>
              <w:rPr>
                <w:rFonts w:asciiTheme="majorHAnsi" w:eastAsia="Arial" w:hAnsiTheme="majorHAnsi"/>
              </w:rPr>
              <w:t>15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5B1" w14:textId="36D5A35A" w:rsidR="006B1547" w:rsidRPr="009E1BC3" w:rsidRDefault="006B1547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>
              <w:rPr>
                <w:rFonts w:asciiTheme="majorHAnsi" w:eastAsia="Arial" w:hAnsiTheme="majorHAnsi"/>
              </w:rPr>
              <w:t>2</w:t>
            </w:r>
          </w:p>
        </w:tc>
      </w:tr>
      <w:tr w:rsidR="009237F1" w:rsidRPr="00014AD4" w14:paraId="4ACB9E61" w14:textId="77777777" w:rsidTr="56D6CC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699" w14:textId="77777777" w:rsidR="000B162D" w:rsidRPr="009E1BC3" w:rsidRDefault="000B162D" w:rsidP="00451A85">
            <w:pPr>
              <w:spacing w:before="40" w:after="4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Blood and lymphatic system disorders</w:t>
            </w:r>
          </w:p>
        </w:tc>
      </w:tr>
      <w:tr w:rsidR="009237F1" w:rsidRPr="00014AD4" w14:paraId="3495C6B9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E11" w14:textId="032BCDC5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An</w:t>
            </w:r>
            <w:r w:rsidR="00C70E16" w:rsidRPr="009E1BC3">
              <w:rPr>
                <w:rFonts w:asciiTheme="majorHAnsi" w:eastAsia="Arial" w:hAnsiTheme="majorHAnsi"/>
              </w:rPr>
              <w:t>a</w:t>
            </w:r>
            <w:r w:rsidRPr="009E1BC3">
              <w:rPr>
                <w:rFonts w:asciiTheme="majorHAnsi" w:eastAsia="Arial" w:hAnsiTheme="majorHAnsi"/>
              </w:rPr>
              <w:t>emia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8F2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19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63A7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4</w:t>
            </w:r>
          </w:p>
        </w:tc>
      </w:tr>
      <w:tr w:rsidR="009237F1" w:rsidRPr="00014AD4" w14:paraId="15F71470" w14:textId="77777777" w:rsidTr="56D6CC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4DD" w14:textId="77777777" w:rsidR="000B162D" w:rsidRPr="009E1BC3" w:rsidRDefault="000B162D" w:rsidP="00451A85">
            <w:pPr>
              <w:spacing w:before="40" w:after="4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 xml:space="preserve">Respiratory, </w:t>
            </w:r>
            <w:proofErr w:type="gramStart"/>
            <w:r w:rsidRPr="009E1BC3">
              <w:rPr>
                <w:rFonts w:asciiTheme="majorHAnsi" w:eastAsia="Arial" w:hAnsiTheme="majorHAnsi"/>
              </w:rPr>
              <w:t>thoracic</w:t>
            </w:r>
            <w:proofErr w:type="gramEnd"/>
            <w:r w:rsidRPr="009E1BC3">
              <w:rPr>
                <w:rFonts w:asciiTheme="majorHAnsi" w:eastAsia="Arial" w:hAnsiTheme="majorHAnsi"/>
              </w:rPr>
              <w:t xml:space="preserve"> and mediastinal disorders</w:t>
            </w:r>
          </w:p>
        </w:tc>
      </w:tr>
      <w:tr w:rsidR="009237F1" w:rsidRPr="00014AD4" w14:paraId="6D3CE19E" w14:textId="77777777" w:rsidTr="56D6CCA5"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3CB" w14:textId="77777777" w:rsidR="000B162D" w:rsidRPr="009E1BC3" w:rsidRDefault="000B162D" w:rsidP="00451A85">
            <w:pPr>
              <w:spacing w:before="40" w:after="40"/>
              <w:ind w:left="180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Epistaxis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B0B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18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F35" w14:textId="77777777" w:rsidR="000B162D" w:rsidRPr="009E1BC3" w:rsidRDefault="000B162D" w:rsidP="00451A85">
            <w:pPr>
              <w:spacing w:before="40" w:after="40"/>
              <w:jc w:val="center"/>
              <w:rPr>
                <w:rFonts w:asciiTheme="majorHAnsi" w:eastAsia="Arial" w:hAnsiTheme="majorHAnsi"/>
              </w:rPr>
            </w:pPr>
            <w:r w:rsidRPr="009E1BC3">
              <w:rPr>
                <w:rFonts w:asciiTheme="majorHAnsi" w:eastAsia="Arial" w:hAnsiTheme="majorHAnsi"/>
              </w:rPr>
              <w:t>0</w:t>
            </w:r>
          </w:p>
        </w:tc>
      </w:tr>
      <w:bookmarkEnd w:id="1"/>
      <w:tr w:rsidR="009237F1" w:rsidRPr="00014AD4" w14:paraId="040DA1CF" w14:textId="77777777" w:rsidTr="56D6CCA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86189" w14:textId="769B520B" w:rsidR="000B162D" w:rsidRPr="009E1BC3" w:rsidRDefault="000B162D" w:rsidP="000A377E">
            <w:pPr>
              <w:spacing w:after="40"/>
              <w:ind w:left="245" w:hanging="245"/>
              <w:rPr>
                <w:rFonts w:asciiTheme="majorHAnsi" w:eastAsia="Arial" w:hAnsiTheme="majorHAnsi"/>
                <w:sz w:val="18"/>
                <w:szCs w:val="18"/>
              </w:rPr>
            </w:pPr>
            <w:r w:rsidRPr="009E1BC3">
              <w:rPr>
                <w:rFonts w:asciiTheme="majorHAnsi" w:eastAsia="Arial" w:hAnsiTheme="majorHAnsi"/>
                <w:sz w:val="18"/>
                <w:szCs w:val="18"/>
              </w:rPr>
              <w:t xml:space="preserve">Graded according to </w:t>
            </w:r>
            <w:r w:rsidR="00D938C0" w:rsidRPr="009E1BC3">
              <w:rPr>
                <w:sz w:val="18"/>
                <w:szCs w:val="18"/>
              </w:rPr>
              <w:t xml:space="preserve">National Cancer Institute Common Terminology Criteria for Adverse Events </w:t>
            </w:r>
            <w:r w:rsidR="000A377E" w:rsidRPr="009E1BC3">
              <w:rPr>
                <w:sz w:val="18"/>
                <w:szCs w:val="18"/>
              </w:rPr>
              <w:t>(</w:t>
            </w:r>
            <w:r w:rsidRPr="009E1BC3">
              <w:rPr>
                <w:rFonts w:asciiTheme="majorHAnsi" w:eastAsia="Arial" w:hAnsiTheme="majorHAnsi"/>
                <w:sz w:val="18"/>
                <w:szCs w:val="18"/>
              </w:rPr>
              <w:t>NCI CTCAE 4.03</w:t>
            </w:r>
            <w:r w:rsidR="000A377E" w:rsidRPr="009E1BC3">
              <w:rPr>
                <w:rFonts w:asciiTheme="majorHAnsi" w:eastAsia="Arial" w:hAnsiTheme="majorHAnsi"/>
                <w:sz w:val="18"/>
                <w:szCs w:val="18"/>
              </w:rPr>
              <w:t>)</w:t>
            </w:r>
            <w:r w:rsidRPr="009E1BC3">
              <w:rPr>
                <w:rFonts w:asciiTheme="majorHAnsi" w:eastAsia="Arial" w:hAnsiTheme="majorHAnsi"/>
                <w:sz w:val="18"/>
                <w:szCs w:val="18"/>
              </w:rPr>
              <w:t>.</w:t>
            </w:r>
          </w:p>
          <w:p w14:paraId="7DB29769" w14:textId="77777777" w:rsidR="000B162D" w:rsidRPr="009E1BC3" w:rsidRDefault="000B162D" w:rsidP="00451A85">
            <w:pPr>
              <w:spacing w:after="40"/>
              <w:ind w:left="245" w:hanging="245"/>
              <w:rPr>
                <w:rFonts w:asciiTheme="majorHAnsi" w:eastAsia="Arial" w:hAnsiTheme="majorHAnsi"/>
                <w:sz w:val="18"/>
                <w:szCs w:val="18"/>
              </w:rPr>
            </w:pPr>
            <w:proofErr w:type="spellStart"/>
            <w:proofErr w:type="gramStart"/>
            <w:r w:rsidRPr="009E1BC3">
              <w:rPr>
                <w:rFonts w:asciiTheme="majorHAnsi" w:eastAsia="Arial" w:hAnsiTheme="majorHAnsi"/>
                <w:sz w:val="18"/>
                <w:szCs w:val="18"/>
                <w:vertAlign w:val="superscript"/>
              </w:rPr>
              <w:t>a</w:t>
            </w:r>
            <w:proofErr w:type="spellEnd"/>
            <w:proofErr w:type="gramEnd"/>
            <w:r w:rsidRPr="009E1BC3">
              <w:rPr>
                <w:rFonts w:asciiTheme="majorHAnsi" w:eastAsia="Arial" w:hAnsiTheme="majorHAnsi"/>
                <w:sz w:val="18"/>
                <w:szCs w:val="18"/>
              </w:rPr>
              <w:tab/>
              <w:t>Only Grades 3 and 4.</w:t>
            </w:r>
          </w:p>
          <w:p w14:paraId="4767A4C2" w14:textId="74CFA472" w:rsidR="000B162D" w:rsidRPr="009E1BC3" w:rsidRDefault="000B162D" w:rsidP="00451A85">
            <w:pPr>
              <w:spacing w:after="40"/>
              <w:ind w:left="245" w:hanging="245"/>
              <w:rPr>
                <w:rFonts w:asciiTheme="majorHAnsi" w:eastAsia="Arial" w:hAnsiTheme="majorHAnsi"/>
                <w:sz w:val="18"/>
                <w:szCs w:val="18"/>
              </w:rPr>
            </w:pPr>
            <w:r w:rsidRPr="009E1BC3">
              <w:rPr>
                <w:rFonts w:asciiTheme="majorHAnsi" w:eastAsia="Arial" w:hAnsiTheme="majorHAnsi"/>
                <w:sz w:val="18"/>
                <w:szCs w:val="18"/>
                <w:vertAlign w:val="superscript"/>
              </w:rPr>
              <w:t>b</w:t>
            </w:r>
            <w:r w:rsidRPr="009E1BC3">
              <w:rPr>
                <w:rFonts w:asciiTheme="majorHAnsi" w:eastAsia="Arial" w:hAnsiTheme="majorHAnsi"/>
                <w:sz w:val="18"/>
                <w:szCs w:val="18"/>
              </w:rPr>
              <w:tab/>
              <w:t xml:space="preserve">Includes </w:t>
            </w:r>
            <w:proofErr w:type="spellStart"/>
            <w:r w:rsidRPr="009E1BC3">
              <w:rPr>
                <w:rFonts w:asciiTheme="majorHAnsi" w:eastAsia="Arial" w:hAnsiTheme="majorHAnsi"/>
                <w:sz w:val="18"/>
                <w:szCs w:val="18"/>
              </w:rPr>
              <w:t>hyperphosphat</w:t>
            </w:r>
            <w:r w:rsidR="00750779" w:rsidRPr="009E1BC3">
              <w:rPr>
                <w:rFonts w:asciiTheme="majorHAnsi" w:eastAsia="Arial" w:hAnsiTheme="majorHAnsi"/>
                <w:sz w:val="18"/>
                <w:szCs w:val="18"/>
              </w:rPr>
              <w:t>a</w:t>
            </w:r>
            <w:r w:rsidRPr="009E1BC3">
              <w:rPr>
                <w:rFonts w:asciiTheme="majorHAnsi" w:eastAsia="Arial" w:hAnsiTheme="majorHAnsi"/>
                <w:sz w:val="18"/>
                <w:szCs w:val="18"/>
              </w:rPr>
              <w:t>emia</w:t>
            </w:r>
            <w:proofErr w:type="spellEnd"/>
            <w:r w:rsidRPr="009E1BC3">
              <w:rPr>
                <w:rFonts w:asciiTheme="majorHAnsi" w:eastAsia="Arial" w:hAnsiTheme="majorHAnsi"/>
                <w:sz w:val="18"/>
                <w:szCs w:val="18"/>
              </w:rPr>
              <w:t xml:space="preserve"> and blood phosphorous increased.</w:t>
            </w:r>
          </w:p>
          <w:p w14:paraId="6E288C00" w14:textId="77777777" w:rsidR="000B162D" w:rsidRPr="009E1BC3" w:rsidRDefault="000B162D" w:rsidP="00451A85">
            <w:pPr>
              <w:spacing w:after="40"/>
              <w:ind w:left="245" w:hanging="245"/>
              <w:rPr>
                <w:rFonts w:asciiTheme="majorHAnsi" w:eastAsia="Arial" w:hAnsiTheme="majorHAnsi"/>
                <w:sz w:val="18"/>
                <w:szCs w:val="18"/>
              </w:rPr>
            </w:pPr>
            <w:r w:rsidRPr="009E1BC3">
              <w:rPr>
                <w:rFonts w:asciiTheme="majorHAnsi" w:eastAsia="Arial" w:hAnsiTheme="majorHAnsi"/>
                <w:sz w:val="18"/>
                <w:szCs w:val="18"/>
                <w:vertAlign w:val="superscript"/>
              </w:rPr>
              <w:t>c</w:t>
            </w:r>
            <w:r w:rsidRPr="009E1BC3">
              <w:rPr>
                <w:rFonts w:asciiTheme="majorHAnsi" w:eastAsia="Arial" w:hAnsiTheme="majorHAnsi"/>
                <w:sz w:val="18"/>
                <w:szCs w:val="18"/>
              </w:rPr>
              <w:tab/>
              <w:t xml:space="preserve">Includes ingrown nail, nail bed bleeding, nail bed disorder, nail bed inflammation, nail bed tenderness, nail discoloration, nail disorder, nail dystrophy, nail hypertrophy, nail infection, nail ridging, onychalgia, </w:t>
            </w:r>
            <w:proofErr w:type="spellStart"/>
            <w:r w:rsidRPr="009E1BC3">
              <w:rPr>
                <w:rFonts w:asciiTheme="majorHAnsi" w:eastAsia="Arial" w:hAnsiTheme="majorHAnsi"/>
                <w:sz w:val="18"/>
                <w:szCs w:val="18"/>
              </w:rPr>
              <w:t>onychoclasis</w:t>
            </w:r>
            <w:proofErr w:type="spellEnd"/>
            <w:r w:rsidRPr="009E1BC3">
              <w:rPr>
                <w:rFonts w:asciiTheme="majorHAnsi" w:eastAsia="Arial" w:hAnsiTheme="majorHAnsi"/>
                <w:sz w:val="18"/>
                <w:szCs w:val="18"/>
              </w:rPr>
              <w:t>, onycholysis, onychomadesis, onychomycosis, and paronychia.</w:t>
            </w:r>
          </w:p>
          <w:p w14:paraId="248FE0ED" w14:textId="77777777" w:rsidR="000B162D" w:rsidRPr="009E1BC3" w:rsidRDefault="000B162D" w:rsidP="00451A85">
            <w:pPr>
              <w:spacing w:after="40"/>
              <w:ind w:left="270" w:hanging="270"/>
              <w:rPr>
                <w:rFonts w:asciiTheme="majorHAnsi" w:eastAsia="Arial" w:hAnsiTheme="majorHAnsi"/>
                <w:sz w:val="18"/>
                <w:szCs w:val="18"/>
              </w:rPr>
            </w:pPr>
            <w:r w:rsidRPr="009E1BC3">
              <w:rPr>
                <w:rFonts w:asciiTheme="majorHAnsi" w:eastAsia="Arial" w:hAnsiTheme="majorHAnsi"/>
                <w:sz w:val="18"/>
                <w:szCs w:val="18"/>
                <w:vertAlign w:val="superscript"/>
              </w:rPr>
              <w:t>d</w:t>
            </w:r>
            <w:r w:rsidRPr="009E1BC3">
              <w:rPr>
                <w:rFonts w:asciiTheme="majorHAnsi" w:eastAsia="Arial" w:hAnsiTheme="majorHAnsi"/>
                <w:sz w:val="18"/>
                <w:szCs w:val="18"/>
              </w:rPr>
              <w:tab/>
              <w:t>Includes mouth ulceration and stomatitis.</w:t>
            </w:r>
          </w:p>
          <w:p w14:paraId="3EB4A091" w14:textId="77777777" w:rsidR="000B162D" w:rsidRPr="009E1BC3" w:rsidRDefault="000B162D" w:rsidP="00451A85">
            <w:pPr>
              <w:spacing w:after="40"/>
              <w:ind w:left="245" w:hanging="245"/>
              <w:rPr>
                <w:rFonts w:asciiTheme="majorHAnsi" w:eastAsia="Arial" w:hAnsiTheme="majorHAnsi"/>
                <w:sz w:val="18"/>
                <w:szCs w:val="18"/>
              </w:rPr>
            </w:pPr>
            <w:r w:rsidRPr="009E1BC3">
              <w:rPr>
                <w:rFonts w:asciiTheme="majorHAnsi" w:eastAsia="Arial" w:hAnsiTheme="majorHAnsi"/>
                <w:sz w:val="18"/>
                <w:szCs w:val="18"/>
                <w:vertAlign w:val="superscript"/>
              </w:rPr>
              <w:t>e</w:t>
            </w:r>
            <w:r w:rsidRPr="009E1BC3">
              <w:rPr>
                <w:rFonts w:asciiTheme="majorHAnsi" w:eastAsia="Arial" w:hAnsiTheme="majorHAnsi"/>
                <w:sz w:val="18"/>
                <w:szCs w:val="18"/>
              </w:rPr>
              <w:tab/>
              <w:t>Includes dry eye, keratitis, lacrimation increased, pinguecula, and punctate keratitis.</w:t>
            </w:r>
          </w:p>
          <w:p w14:paraId="3280A48E" w14:textId="77777777" w:rsidR="000B162D" w:rsidRPr="009E1BC3" w:rsidRDefault="000B162D" w:rsidP="00451A85">
            <w:pPr>
              <w:spacing w:after="40"/>
              <w:ind w:left="245" w:hanging="245"/>
              <w:rPr>
                <w:rFonts w:asciiTheme="majorHAnsi" w:eastAsia="Arial" w:hAnsiTheme="majorHAnsi"/>
                <w:sz w:val="18"/>
                <w:szCs w:val="18"/>
              </w:rPr>
            </w:pPr>
            <w:r w:rsidRPr="009E1BC3">
              <w:rPr>
                <w:rFonts w:asciiTheme="majorHAnsi" w:eastAsia="Arial" w:hAnsiTheme="majorHAnsi"/>
                <w:sz w:val="18"/>
                <w:szCs w:val="18"/>
                <w:vertAlign w:val="superscript"/>
              </w:rPr>
              <w:t>f</w:t>
            </w:r>
            <w:r w:rsidRPr="009E1BC3">
              <w:rPr>
                <w:rFonts w:asciiTheme="majorHAnsi" w:eastAsia="Arial" w:hAnsiTheme="majorHAnsi"/>
                <w:sz w:val="18"/>
                <w:szCs w:val="18"/>
              </w:rPr>
              <w:tab/>
              <w:t>Includes blepharitis, eyelash changes, eyelash discoloration, growth of eyelashes, trichiasis, and trichomegaly.</w:t>
            </w:r>
          </w:p>
          <w:p w14:paraId="065AA8FC" w14:textId="77777777" w:rsidR="000B162D" w:rsidRDefault="000B162D" w:rsidP="00451A85">
            <w:pPr>
              <w:spacing w:after="40"/>
              <w:ind w:left="245" w:hanging="245"/>
              <w:rPr>
                <w:rFonts w:asciiTheme="majorHAnsi" w:eastAsia="Arial" w:hAnsiTheme="majorHAnsi"/>
                <w:sz w:val="18"/>
                <w:szCs w:val="18"/>
              </w:rPr>
            </w:pPr>
            <w:r w:rsidRPr="009E1BC3">
              <w:rPr>
                <w:rFonts w:asciiTheme="majorHAnsi" w:eastAsia="Arial" w:hAnsiTheme="majorHAnsi"/>
                <w:sz w:val="18"/>
                <w:szCs w:val="18"/>
                <w:vertAlign w:val="superscript"/>
              </w:rPr>
              <w:t>g</w:t>
            </w:r>
            <w:r w:rsidRPr="009E1BC3">
              <w:rPr>
                <w:rFonts w:asciiTheme="majorHAnsi" w:eastAsia="Arial" w:hAnsiTheme="majorHAnsi"/>
                <w:sz w:val="18"/>
                <w:szCs w:val="18"/>
              </w:rPr>
              <w:tab/>
              <w:t>Includes asthenia and fatigue</w:t>
            </w:r>
            <w:r w:rsidRPr="004226C5">
              <w:rPr>
                <w:rFonts w:asciiTheme="majorHAnsi" w:eastAsia="Arial" w:hAnsiTheme="majorHAnsi"/>
                <w:sz w:val="18"/>
                <w:szCs w:val="18"/>
              </w:rPr>
              <w:t>.</w:t>
            </w:r>
          </w:p>
          <w:p w14:paraId="0C35B92D" w14:textId="38CE8518" w:rsidR="000B162D" w:rsidRPr="004226C5" w:rsidRDefault="00965F6C" w:rsidP="00451A85">
            <w:pPr>
              <w:spacing w:after="40"/>
              <w:ind w:left="245" w:hanging="245"/>
              <w:rPr>
                <w:rFonts w:asciiTheme="majorHAnsi" w:eastAsia="Arial" w:hAnsiTheme="majorHAnsi"/>
                <w:sz w:val="18"/>
                <w:szCs w:val="18"/>
              </w:rPr>
            </w:pPr>
            <w:r w:rsidRPr="00BC7309">
              <w:rPr>
                <w:rFonts w:asciiTheme="majorHAnsi" w:eastAsia="Arial" w:hAnsiTheme="majorHAnsi"/>
                <w:sz w:val="18"/>
                <w:szCs w:val="18"/>
                <w:vertAlign w:val="superscript"/>
              </w:rPr>
              <w:t xml:space="preserve">h </w:t>
            </w:r>
            <w:r w:rsidR="00774254">
              <w:rPr>
                <w:rFonts w:asciiTheme="majorHAnsi" w:eastAsia="Arial" w:hAnsiTheme="majorHAnsi"/>
                <w:sz w:val="18"/>
                <w:szCs w:val="18"/>
                <w:vertAlign w:val="superscript"/>
              </w:rPr>
              <w:t xml:space="preserve">     </w:t>
            </w:r>
            <w:r w:rsidRPr="00BC7309">
              <w:rPr>
                <w:rFonts w:asciiTheme="majorHAnsi" w:eastAsia="Arial" w:hAnsiTheme="majorHAnsi"/>
                <w:sz w:val="18"/>
                <w:szCs w:val="18"/>
              </w:rPr>
              <w:t xml:space="preserve">Includes </w:t>
            </w:r>
            <w:r w:rsidR="00AD43F2">
              <w:rPr>
                <w:rFonts w:asciiTheme="majorHAnsi" w:eastAsia="Arial" w:hAnsiTheme="majorHAnsi"/>
                <w:sz w:val="18"/>
                <w:szCs w:val="18"/>
              </w:rPr>
              <w:t>o</w:t>
            </w:r>
            <w:r w:rsidRPr="00BC7309">
              <w:rPr>
                <w:rFonts w:asciiTheme="majorHAnsi" w:eastAsia="Arial" w:hAnsiTheme="majorHAnsi"/>
                <w:sz w:val="18"/>
                <w:szCs w:val="18"/>
              </w:rPr>
              <w:t xml:space="preserve">edema peripheral and </w:t>
            </w:r>
            <w:r w:rsidR="00AD43F2">
              <w:rPr>
                <w:rFonts w:asciiTheme="majorHAnsi" w:eastAsia="Arial" w:hAnsiTheme="majorHAnsi"/>
                <w:sz w:val="18"/>
                <w:szCs w:val="18"/>
              </w:rPr>
              <w:t>o</w:t>
            </w:r>
            <w:r w:rsidRPr="00BC7309">
              <w:rPr>
                <w:rFonts w:asciiTheme="majorHAnsi" w:eastAsia="Arial" w:hAnsiTheme="majorHAnsi"/>
                <w:sz w:val="18"/>
                <w:szCs w:val="18"/>
              </w:rPr>
              <w:t>edema.</w:t>
            </w:r>
          </w:p>
        </w:tc>
      </w:tr>
    </w:tbl>
    <w:p w14:paraId="068B3A9E" w14:textId="77777777" w:rsidR="000B162D" w:rsidRPr="009E1BC3" w:rsidRDefault="000B162D" w:rsidP="000B162D">
      <w:pPr>
        <w:rPr>
          <w:rFonts w:asciiTheme="majorHAnsi" w:hAnsiTheme="majorHAnsi"/>
          <w:b/>
          <w:bCs/>
        </w:rPr>
      </w:pPr>
    </w:p>
    <w:p w14:paraId="1E6FF565" w14:textId="77777777" w:rsidR="0021200F" w:rsidRPr="009E1BC3" w:rsidRDefault="0021200F" w:rsidP="0019587F">
      <w:pPr>
        <w:pStyle w:val="Heading3"/>
        <w:spacing w:before="0" w:after="120"/>
        <w:ind w:left="0"/>
      </w:pPr>
      <w:r w:rsidRPr="009E1BC3">
        <w:t>Reporting suspected adverse effects</w:t>
      </w:r>
    </w:p>
    <w:p w14:paraId="4825E182" w14:textId="03376C40" w:rsidR="005B2812" w:rsidRPr="009E1BC3" w:rsidRDefault="005B2812" w:rsidP="003A43D4">
      <w:pPr>
        <w:jc w:val="both"/>
        <w:rPr>
          <w:rFonts w:asciiTheme="majorHAnsi" w:hAnsiTheme="majorHAnsi"/>
        </w:rPr>
      </w:pPr>
      <w:r w:rsidRPr="009E1BC3">
        <w:rPr>
          <w:rFonts w:asciiTheme="majorHAnsi" w:hAnsiTheme="majorHAnsi" w:cstheme="minorHAnsi"/>
          <w:lang w:val="en"/>
        </w:rPr>
        <w:t>Reporting suspected adverse reactions after registration of the medicinal product is important. It allows continued monitoring of the benefit-risk balance of the medicinal product. Healthcare professionals are asked to report any suspected adverse reactions at</w:t>
      </w:r>
      <w:r w:rsidR="00411379" w:rsidRPr="009E1BC3">
        <w:rPr>
          <w:rFonts w:asciiTheme="majorHAnsi" w:hAnsiTheme="majorHAnsi" w:cstheme="minorHAnsi"/>
          <w:lang w:val="en"/>
        </w:rPr>
        <w:t xml:space="preserve"> </w:t>
      </w:r>
      <w:hyperlink r:id="rId12" w:history="1">
        <w:r w:rsidR="00411379" w:rsidRPr="009E1BC3">
          <w:rPr>
            <w:rStyle w:val="Hyperlink"/>
            <w:rFonts w:asciiTheme="majorHAnsi" w:hAnsiTheme="majorHAnsi" w:cstheme="minorHAnsi"/>
            <w:lang w:val="en"/>
          </w:rPr>
          <w:t>www.tga.gov.au/reporting-problems</w:t>
        </w:r>
      </w:hyperlink>
      <w:r w:rsidRPr="009E1BC3">
        <w:rPr>
          <w:rFonts w:asciiTheme="majorHAnsi" w:hAnsiTheme="majorHAnsi" w:cstheme="minorHAnsi"/>
          <w:lang w:val="en"/>
        </w:rPr>
        <w:t>.</w:t>
      </w:r>
    </w:p>
    <w:p w14:paraId="70490C71" w14:textId="77777777" w:rsidR="001A3992" w:rsidRPr="009E1BC3" w:rsidRDefault="001A3992" w:rsidP="001A3992">
      <w:pPr>
        <w:pStyle w:val="Heading2"/>
        <w:keepNext/>
        <w:keepLines/>
        <w:spacing w:before="0" w:after="120"/>
      </w:pPr>
      <w:r w:rsidRPr="009E1BC3">
        <w:t>Overdose</w:t>
      </w:r>
    </w:p>
    <w:p w14:paraId="6C989B51" w14:textId="1DB57AAD" w:rsidR="003F5EA2" w:rsidRPr="009E1BC3" w:rsidRDefault="005B2812" w:rsidP="003A43D4">
      <w:pPr>
        <w:jc w:val="both"/>
        <w:rPr>
          <w:rFonts w:asciiTheme="majorHAnsi" w:hAnsiTheme="majorHAnsi" w:cstheme="minorHAnsi"/>
          <w:lang w:val="en"/>
        </w:rPr>
      </w:pPr>
      <w:r w:rsidRPr="009E1BC3">
        <w:rPr>
          <w:rFonts w:asciiTheme="majorHAnsi" w:hAnsiTheme="majorHAnsi" w:cstheme="minorHAnsi"/>
          <w:lang w:val="en"/>
        </w:rPr>
        <w:t>For information on the management of overdose, contact the Poisons Information Centre on 13 11 26 (Australia).</w:t>
      </w:r>
    </w:p>
    <w:p w14:paraId="7298437E" w14:textId="77777777" w:rsidR="001A3992" w:rsidRPr="009E1BC3" w:rsidRDefault="001A3992" w:rsidP="00FF7921">
      <w:pPr>
        <w:pStyle w:val="Heading1"/>
        <w:pageBreakBefore/>
        <w:spacing w:before="0" w:after="120"/>
        <w:ind w:left="431" w:hanging="431"/>
        <w:rPr>
          <w:lang w:val="en-US"/>
        </w:rPr>
      </w:pPr>
      <w:r w:rsidRPr="009E1BC3">
        <w:rPr>
          <w:lang w:val="en-US"/>
        </w:rPr>
        <w:lastRenderedPageBreak/>
        <w:t>Pharmacological properties</w:t>
      </w:r>
    </w:p>
    <w:p w14:paraId="56623E98" w14:textId="77777777" w:rsidR="001A3992" w:rsidRPr="009E1BC3" w:rsidRDefault="001A3992" w:rsidP="001A3992">
      <w:pPr>
        <w:pStyle w:val="Heading2"/>
        <w:spacing w:before="0" w:after="120"/>
        <w:rPr>
          <w:lang w:val="en-US"/>
        </w:rPr>
      </w:pPr>
      <w:r w:rsidRPr="009E1BC3">
        <w:rPr>
          <w:lang w:val="en-US"/>
        </w:rPr>
        <w:t xml:space="preserve">Pharmacodynamic properties </w:t>
      </w:r>
    </w:p>
    <w:p w14:paraId="120836F2" w14:textId="6954626C" w:rsidR="001A3992" w:rsidRPr="009E1BC3" w:rsidRDefault="001A3992" w:rsidP="009237F1">
      <w:pPr>
        <w:pStyle w:val="Heading3"/>
        <w:spacing w:before="0" w:after="120"/>
        <w:ind w:left="0"/>
      </w:pPr>
      <w:r w:rsidRPr="009E1BC3">
        <w:t>Mechanism of action</w:t>
      </w:r>
    </w:p>
    <w:p w14:paraId="6550CB62" w14:textId="54FB453E" w:rsidR="009237F1" w:rsidRPr="00646301" w:rsidRDefault="009237F1" w:rsidP="2EBB4438">
      <w:pPr>
        <w:jc w:val="both"/>
        <w:rPr>
          <w:rFonts w:asciiTheme="majorHAnsi" w:hAnsiTheme="majorHAnsi"/>
        </w:rPr>
      </w:pPr>
      <w:proofErr w:type="spellStart"/>
      <w:r w:rsidRPr="2EBB4438">
        <w:rPr>
          <w:rFonts w:asciiTheme="majorHAnsi" w:hAnsiTheme="majorHAnsi"/>
        </w:rPr>
        <w:t>Infigratinib</w:t>
      </w:r>
      <w:proofErr w:type="spellEnd"/>
      <w:r w:rsidRPr="2EBB4438">
        <w:rPr>
          <w:rFonts w:asciiTheme="majorHAnsi" w:hAnsiTheme="majorHAnsi"/>
        </w:rPr>
        <w:t xml:space="preserve"> is a small molecule kinase inhibitor that targets FGFR1, FGFR2 and FGFR3 with </w:t>
      </w:r>
      <w:r w:rsidRPr="2EBB4438">
        <w:rPr>
          <w:rFonts w:asciiTheme="majorHAnsi" w:hAnsiTheme="majorHAnsi"/>
          <w:i/>
          <w:iCs/>
        </w:rPr>
        <w:t>in vitro</w:t>
      </w:r>
      <w:r w:rsidRPr="2EBB4438">
        <w:rPr>
          <w:rFonts w:asciiTheme="majorHAnsi" w:hAnsiTheme="majorHAnsi"/>
        </w:rPr>
        <w:t xml:space="preserve"> IC</w:t>
      </w:r>
      <w:r w:rsidRPr="2EBB4438">
        <w:rPr>
          <w:rFonts w:asciiTheme="majorHAnsi" w:hAnsiTheme="majorHAnsi"/>
          <w:vertAlign w:val="subscript"/>
        </w:rPr>
        <w:t>50</w:t>
      </w:r>
      <w:r w:rsidRPr="2EBB4438">
        <w:rPr>
          <w:rFonts w:asciiTheme="majorHAnsi" w:hAnsiTheme="majorHAnsi"/>
        </w:rPr>
        <w:t xml:space="preserve"> values of 1.1, 1.0, and 2.0 </w:t>
      </w:r>
      <w:proofErr w:type="spellStart"/>
      <w:r w:rsidRPr="2EBB4438">
        <w:rPr>
          <w:rFonts w:asciiTheme="majorHAnsi" w:hAnsiTheme="majorHAnsi"/>
        </w:rPr>
        <w:t>nM</w:t>
      </w:r>
      <w:proofErr w:type="spellEnd"/>
      <w:r w:rsidRPr="2EBB4438">
        <w:rPr>
          <w:rFonts w:asciiTheme="majorHAnsi" w:hAnsiTheme="majorHAnsi"/>
        </w:rPr>
        <w:t xml:space="preserve">, respectively. </w:t>
      </w:r>
      <w:r w:rsidRPr="2EBB4438">
        <w:rPr>
          <w:rFonts w:asciiTheme="majorHAnsi" w:hAnsiTheme="majorHAnsi"/>
          <w:i/>
          <w:iCs/>
        </w:rPr>
        <w:t>In vitro</w:t>
      </w:r>
      <w:r w:rsidRPr="2EBB4438">
        <w:rPr>
          <w:rFonts w:asciiTheme="majorHAnsi" w:hAnsiTheme="majorHAnsi"/>
        </w:rPr>
        <w:t xml:space="preserve">, </w:t>
      </w:r>
      <w:proofErr w:type="spellStart"/>
      <w:r w:rsidRPr="2EBB4438">
        <w:rPr>
          <w:rFonts w:asciiTheme="majorHAnsi" w:hAnsiTheme="majorHAnsi"/>
        </w:rPr>
        <w:t>infigratinib</w:t>
      </w:r>
      <w:proofErr w:type="spellEnd"/>
      <w:r w:rsidRPr="2EBB4438">
        <w:rPr>
          <w:rFonts w:asciiTheme="majorHAnsi" w:hAnsiTheme="majorHAnsi"/>
        </w:rPr>
        <w:t xml:space="preserve"> inhibited the activity of FGFR1-3, but not FGFR4, KDR and other kinases, at clinically relevant concentrations. The major active metabolites of </w:t>
      </w:r>
      <w:proofErr w:type="spellStart"/>
      <w:r w:rsidR="00891E71" w:rsidRPr="2EBB4438">
        <w:rPr>
          <w:rFonts w:asciiTheme="majorHAnsi" w:hAnsiTheme="majorHAnsi"/>
          <w:lang w:val="en"/>
        </w:rPr>
        <w:t>infigratinib</w:t>
      </w:r>
      <w:proofErr w:type="spellEnd"/>
      <w:r w:rsidR="00B129B1" w:rsidRPr="2EBB4438">
        <w:rPr>
          <w:rFonts w:asciiTheme="majorHAnsi" w:hAnsiTheme="majorHAnsi"/>
        </w:rPr>
        <w:t>,</w:t>
      </w:r>
      <w:r w:rsidRPr="2EBB4438">
        <w:rPr>
          <w:rFonts w:asciiTheme="majorHAnsi" w:hAnsiTheme="majorHAnsi"/>
        </w:rPr>
        <w:t xml:space="preserve"> BHS697 and CQM157, showed similar </w:t>
      </w:r>
      <w:r w:rsidRPr="2EBB4438">
        <w:rPr>
          <w:rFonts w:asciiTheme="majorHAnsi" w:hAnsiTheme="majorHAnsi"/>
          <w:i/>
          <w:iCs/>
        </w:rPr>
        <w:t>in vitro</w:t>
      </w:r>
      <w:r w:rsidRPr="2EBB4438">
        <w:rPr>
          <w:rFonts w:asciiTheme="majorHAnsi" w:hAnsiTheme="majorHAnsi"/>
        </w:rPr>
        <w:t xml:space="preserve"> binding activity as </w:t>
      </w:r>
      <w:proofErr w:type="spellStart"/>
      <w:r w:rsidRPr="2EBB4438">
        <w:rPr>
          <w:rFonts w:asciiTheme="majorHAnsi" w:hAnsiTheme="majorHAnsi"/>
        </w:rPr>
        <w:t>infigratinib</w:t>
      </w:r>
      <w:proofErr w:type="spellEnd"/>
      <w:r w:rsidRPr="2EBB4438">
        <w:rPr>
          <w:rFonts w:asciiTheme="majorHAnsi" w:hAnsiTheme="majorHAnsi"/>
        </w:rPr>
        <w:t xml:space="preserve"> towards FGFR1-3, with similar less potent activity toward FGFR4, in binding affinity studies</w:t>
      </w:r>
      <w:bookmarkStart w:id="2" w:name="_Hlk74214818"/>
      <w:r w:rsidRPr="2EBB4438">
        <w:rPr>
          <w:rFonts w:asciiTheme="majorHAnsi" w:hAnsiTheme="majorHAnsi"/>
        </w:rPr>
        <w:t xml:space="preserve">. </w:t>
      </w:r>
      <w:proofErr w:type="spellStart"/>
      <w:r w:rsidRPr="2EBB4438">
        <w:rPr>
          <w:rFonts w:asciiTheme="majorHAnsi" w:hAnsiTheme="majorHAnsi"/>
        </w:rPr>
        <w:t>Infigratinib</w:t>
      </w:r>
      <w:proofErr w:type="spellEnd"/>
      <w:r w:rsidRPr="2EBB4438">
        <w:rPr>
          <w:rFonts w:asciiTheme="majorHAnsi" w:hAnsiTheme="majorHAnsi"/>
        </w:rPr>
        <w:t xml:space="preserve"> inhibited FGFR1-3 phosphorylation and signalling and decreased cell viability</w:t>
      </w:r>
      <w:bookmarkEnd w:id="2"/>
      <w:r w:rsidRPr="2EBB4438">
        <w:rPr>
          <w:rFonts w:asciiTheme="majorHAnsi" w:hAnsiTheme="majorHAnsi"/>
        </w:rPr>
        <w:t xml:space="preserve"> in cancer cell lines with activating FGFR amplifications, mutations and fusions that resulted in constitutive activation of FGFR signalling. Constitutive FGFR </w:t>
      </w:r>
      <w:r w:rsidR="000D73F8" w:rsidRPr="2EBB4438">
        <w:rPr>
          <w:rFonts w:asciiTheme="majorHAnsi" w:hAnsiTheme="majorHAnsi"/>
        </w:rPr>
        <w:t>signalling</w:t>
      </w:r>
      <w:r w:rsidRPr="2EBB4438">
        <w:rPr>
          <w:rFonts w:asciiTheme="majorHAnsi" w:hAnsiTheme="majorHAnsi"/>
        </w:rPr>
        <w:t xml:space="preserve"> can support the proliferation and survival of malignant cells. </w:t>
      </w:r>
      <w:proofErr w:type="spellStart"/>
      <w:r w:rsidRPr="2EBB4438">
        <w:rPr>
          <w:rFonts w:asciiTheme="majorHAnsi" w:hAnsiTheme="majorHAnsi"/>
        </w:rPr>
        <w:t>Infigratinib</w:t>
      </w:r>
      <w:proofErr w:type="spellEnd"/>
      <w:r w:rsidRPr="2EBB4438">
        <w:rPr>
          <w:rFonts w:asciiTheme="majorHAnsi" w:hAnsiTheme="majorHAnsi"/>
        </w:rPr>
        <w:t xml:space="preserve"> exhibited anti-</w:t>
      </w:r>
      <w:r w:rsidR="000D73F8" w:rsidRPr="2EBB4438">
        <w:rPr>
          <w:rFonts w:asciiTheme="majorHAnsi" w:hAnsiTheme="majorHAnsi"/>
        </w:rPr>
        <w:t>tumour</w:t>
      </w:r>
      <w:r w:rsidRPr="2EBB4438">
        <w:rPr>
          <w:rFonts w:asciiTheme="majorHAnsi" w:hAnsiTheme="majorHAnsi"/>
        </w:rPr>
        <w:t xml:space="preserve"> activity in mouse and rat xenograft models of human </w:t>
      </w:r>
      <w:r w:rsidR="000D73F8" w:rsidRPr="2EBB4438">
        <w:rPr>
          <w:rFonts w:asciiTheme="majorHAnsi" w:hAnsiTheme="majorHAnsi"/>
        </w:rPr>
        <w:t>tumours</w:t>
      </w:r>
      <w:r w:rsidRPr="2EBB4438">
        <w:rPr>
          <w:rFonts w:asciiTheme="majorHAnsi" w:hAnsiTheme="majorHAnsi"/>
        </w:rPr>
        <w:t xml:space="preserve"> with activating FGFR1, FGFR2, or FGFR3 alterations, including two patient-derived xenograft models of cholangiocarcinoma that expressed distinct FGFR2</w:t>
      </w:r>
      <w:r w:rsidR="001E7E41" w:rsidRPr="2EBB4438">
        <w:rPr>
          <w:rFonts w:asciiTheme="majorHAnsi" w:hAnsiTheme="majorHAnsi"/>
        </w:rPr>
        <w:t xml:space="preserve"> </w:t>
      </w:r>
      <w:r w:rsidRPr="2EBB4438">
        <w:rPr>
          <w:rFonts w:asciiTheme="majorHAnsi" w:hAnsiTheme="majorHAnsi"/>
        </w:rPr>
        <w:t xml:space="preserve">fusion proteins. </w:t>
      </w:r>
      <w:proofErr w:type="spellStart"/>
      <w:r w:rsidRPr="2EBB4438">
        <w:rPr>
          <w:rFonts w:asciiTheme="majorHAnsi" w:hAnsiTheme="majorHAnsi"/>
        </w:rPr>
        <w:t>Infigratinib</w:t>
      </w:r>
      <w:proofErr w:type="spellEnd"/>
      <w:r w:rsidRPr="2EBB4438">
        <w:rPr>
          <w:rFonts w:asciiTheme="majorHAnsi" w:hAnsiTheme="majorHAnsi"/>
        </w:rPr>
        <w:t xml:space="preserve"> demonstrated brain-to-plasma concentration ratios (based on AUC</w:t>
      </w:r>
      <w:r w:rsidRPr="2EBB4438">
        <w:rPr>
          <w:rFonts w:asciiTheme="majorHAnsi" w:hAnsiTheme="majorHAnsi"/>
          <w:vertAlign w:val="subscript"/>
        </w:rPr>
        <w:t>0-inf</w:t>
      </w:r>
      <w:r w:rsidRPr="2EBB4438">
        <w:rPr>
          <w:rFonts w:asciiTheme="majorHAnsi" w:hAnsiTheme="majorHAnsi"/>
        </w:rPr>
        <w:t>) of 0.682 in rats after a single oral dose.</w:t>
      </w:r>
    </w:p>
    <w:p w14:paraId="7002247B" w14:textId="3C5F4C9C" w:rsidR="00010929" w:rsidRPr="00AC6B89" w:rsidRDefault="005E7560" w:rsidP="001E1F37">
      <w:pPr>
        <w:pStyle w:val="Heading4"/>
        <w:numPr>
          <w:ilvl w:val="0"/>
          <w:numId w:val="0"/>
        </w:numPr>
        <w:rPr>
          <w:rFonts w:cstheme="minorHAnsi"/>
          <w:b w:val="0"/>
          <w:bCs w:val="0"/>
          <w:i w:val="0"/>
          <w:iCs w:val="0"/>
          <w:color w:val="auto"/>
          <w:lang w:val="en"/>
        </w:rPr>
      </w:pPr>
      <w:r w:rsidRPr="00646301">
        <w:rPr>
          <w:b w:val="0"/>
          <w:bCs w:val="0"/>
          <w:i w:val="0"/>
          <w:iCs w:val="0"/>
          <w:color w:val="auto"/>
          <w:u w:val="single"/>
        </w:rPr>
        <w:t>Cardiac Electrophysiology</w:t>
      </w:r>
      <w:r w:rsidRPr="00646301">
        <w:rPr>
          <w:b w:val="0"/>
          <w:bCs w:val="0"/>
          <w:i w:val="0"/>
          <w:iCs w:val="0"/>
          <w:color w:val="auto"/>
          <w:u w:val="single"/>
        </w:rPr>
        <w:br/>
      </w:r>
      <w:r w:rsidRPr="00646301">
        <w:rPr>
          <w:b w:val="0"/>
          <w:bCs w:val="0"/>
          <w:i w:val="0"/>
          <w:iCs w:val="0"/>
          <w:color w:val="auto"/>
        </w:rPr>
        <w:t xml:space="preserve">Based on evaluation of QTc interval in two studies with 261 patients with cancer, at a dose up to 1.2 times the recommended dose, </w:t>
      </w:r>
      <w:r w:rsidR="00130F71" w:rsidRPr="00646301">
        <w:rPr>
          <w:rFonts w:cstheme="minorHAnsi"/>
          <w:b w:val="0"/>
          <w:bCs w:val="0"/>
          <w:i w:val="0"/>
          <w:iCs w:val="0"/>
          <w:color w:val="auto"/>
          <w:lang w:val="en"/>
        </w:rPr>
        <w:t>TRUSELTIQ</w:t>
      </w:r>
      <w:r w:rsidR="000C3C14" w:rsidRPr="00646301">
        <w:rPr>
          <w:rFonts w:cstheme="minorHAnsi"/>
          <w:b w:val="0"/>
          <w:bCs w:val="0"/>
          <w:i w:val="0"/>
          <w:iCs w:val="0"/>
          <w:color w:val="auto"/>
          <w:vertAlign w:val="superscript"/>
          <w:lang w:val="en"/>
        </w:rPr>
        <w:t>TM</w:t>
      </w:r>
      <w:r w:rsidRPr="00646301">
        <w:rPr>
          <w:b w:val="0"/>
          <w:bCs w:val="0"/>
          <w:i w:val="0"/>
          <w:iCs w:val="0"/>
          <w:color w:val="auto"/>
        </w:rPr>
        <w:t xml:space="preserve"> does not result in a clinically relevant (i.e., &gt;10 msec) mean increase on the QTc </w:t>
      </w:r>
      <w:proofErr w:type="spellStart"/>
      <w:r w:rsidRPr="00646301">
        <w:rPr>
          <w:b w:val="0"/>
          <w:bCs w:val="0"/>
          <w:i w:val="0"/>
          <w:iCs w:val="0"/>
          <w:color w:val="auto"/>
        </w:rPr>
        <w:t>interva</w:t>
      </w:r>
      <w:proofErr w:type="spellEnd"/>
      <w:r w:rsidRPr="00AC6B89">
        <w:rPr>
          <w:rFonts w:cstheme="minorHAnsi"/>
          <w:b w:val="0"/>
          <w:bCs w:val="0"/>
          <w:i w:val="0"/>
          <w:iCs w:val="0"/>
          <w:color w:val="auto"/>
          <w:lang w:val="en"/>
        </w:rPr>
        <w:t>l.</w:t>
      </w:r>
    </w:p>
    <w:p w14:paraId="727A51C2" w14:textId="77777777" w:rsidR="00896631" w:rsidRPr="00646301" w:rsidRDefault="00896631" w:rsidP="00896631">
      <w:pPr>
        <w:pStyle w:val="Heading4"/>
        <w:numPr>
          <w:ilvl w:val="0"/>
          <w:numId w:val="0"/>
        </w:numPr>
        <w:ind w:left="864" w:hanging="864"/>
        <w:rPr>
          <w:b w:val="0"/>
          <w:bCs w:val="0"/>
          <w:i w:val="0"/>
          <w:iCs w:val="0"/>
          <w:color w:val="000000" w:themeColor="text1"/>
          <w:u w:val="single"/>
        </w:rPr>
      </w:pPr>
      <w:r w:rsidRPr="00646301">
        <w:rPr>
          <w:b w:val="0"/>
          <w:bCs w:val="0"/>
          <w:i w:val="0"/>
          <w:iCs w:val="0"/>
          <w:color w:val="000000" w:themeColor="text1"/>
          <w:u w:val="single"/>
        </w:rPr>
        <w:t>Serum Phosphate</w:t>
      </w:r>
    </w:p>
    <w:p w14:paraId="19552508" w14:textId="46DA7129" w:rsidR="00896631" w:rsidRPr="00646301" w:rsidRDefault="00B129B1" w:rsidP="001E1F37">
      <w:pPr>
        <w:jc w:val="both"/>
        <w:rPr>
          <w:rFonts w:asciiTheme="majorHAnsi" w:hAnsiTheme="majorHAnsi"/>
        </w:rPr>
      </w:pPr>
      <w:r w:rsidRPr="00646301">
        <w:rPr>
          <w:rFonts w:asciiTheme="majorHAnsi" w:hAnsiTheme="majorHAnsi" w:cstheme="minorHAnsi"/>
          <w:lang w:val="en"/>
        </w:rPr>
        <w:t>TRUSELTIQ</w:t>
      </w:r>
      <w:r w:rsidR="000C3C14" w:rsidRPr="00646301">
        <w:rPr>
          <w:rFonts w:asciiTheme="majorHAnsi" w:hAnsiTheme="majorHAnsi" w:cstheme="minorHAnsi"/>
          <w:vertAlign w:val="superscript"/>
          <w:lang w:val="en"/>
        </w:rPr>
        <w:t>TM</w:t>
      </w:r>
      <w:r w:rsidRPr="00646301" w:rsidDel="00130F71">
        <w:rPr>
          <w:rFonts w:asciiTheme="majorHAnsi" w:hAnsiTheme="majorHAnsi"/>
        </w:rPr>
        <w:t xml:space="preserve"> </w:t>
      </w:r>
      <w:r w:rsidRPr="00646301">
        <w:rPr>
          <w:rFonts w:asciiTheme="majorHAnsi" w:hAnsiTheme="majorHAnsi"/>
        </w:rPr>
        <w:t>increased</w:t>
      </w:r>
      <w:r w:rsidR="00896631" w:rsidRPr="00646301">
        <w:rPr>
          <w:rFonts w:asciiTheme="majorHAnsi" w:hAnsiTheme="majorHAnsi"/>
        </w:rPr>
        <w:t xml:space="preserve"> serum phosphate levels </w:t>
      </w:r>
      <w:proofErr w:type="gramStart"/>
      <w:r w:rsidR="00896631" w:rsidRPr="00646301">
        <w:rPr>
          <w:rFonts w:asciiTheme="majorHAnsi" w:hAnsiTheme="majorHAnsi"/>
        </w:rPr>
        <w:t>as a consequence of</w:t>
      </w:r>
      <w:proofErr w:type="gramEnd"/>
      <w:r w:rsidR="00896631" w:rsidRPr="00646301">
        <w:rPr>
          <w:rFonts w:asciiTheme="majorHAnsi" w:hAnsiTheme="majorHAnsi"/>
        </w:rPr>
        <w:t xml:space="preserve"> FGFR inhibition. In patients, the increase in serum phosphate observed after treatment with </w:t>
      </w:r>
      <w:r w:rsidR="00DD2105" w:rsidRPr="00646301">
        <w:rPr>
          <w:rFonts w:asciiTheme="majorHAnsi" w:hAnsiTheme="majorHAnsi" w:cstheme="minorHAnsi"/>
          <w:lang w:val="en"/>
        </w:rPr>
        <w:t>TRUSELTIQ</w:t>
      </w:r>
      <w:r w:rsidR="000C3C14" w:rsidRPr="00646301">
        <w:rPr>
          <w:rFonts w:asciiTheme="majorHAnsi" w:hAnsiTheme="majorHAnsi" w:cstheme="minorHAnsi"/>
          <w:vertAlign w:val="superscript"/>
          <w:lang w:val="en"/>
        </w:rPr>
        <w:t>TM</w:t>
      </w:r>
      <w:r w:rsidR="00DD2105" w:rsidRPr="00646301" w:rsidDel="00DD2105">
        <w:rPr>
          <w:rFonts w:asciiTheme="majorHAnsi" w:hAnsiTheme="majorHAnsi"/>
        </w:rPr>
        <w:t xml:space="preserve"> </w:t>
      </w:r>
      <w:r w:rsidR="00896631" w:rsidRPr="00646301">
        <w:rPr>
          <w:rFonts w:asciiTheme="majorHAnsi" w:hAnsiTheme="majorHAnsi"/>
        </w:rPr>
        <w:t xml:space="preserve">was exposure-dependent across the dose range of 20 to 150 mg once daily (0.16 to 1.2 times the recommended dose), with increased risk of hyperphosphatemia with higher exposure to </w:t>
      </w:r>
      <w:r w:rsidR="00DD2105" w:rsidRPr="00646301">
        <w:rPr>
          <w:rFonts w:asciiTheme="majorHAnsi" w:hAnsiTheme="majorHAnsi" w:cstheme="minorHAnsi"/>
          <w:lang w:val="en"/>
        </w:rPr>
        <w:t>TRUSELTIQ</w:t>
      </w:r>
      <w:r w:rsidR="000C3C14" w:rsidRPr="00646301">
        <w:rPr>
          <w:rFonts w:asciiTheme="majorHAnsi" w:hAnsiTheme="majorHAnsi" w:cstheme="minorHAnsi"/>
          <w:vertAlign w:val="superscript"/>
          <w:lang w:val="en"/>
        </w:rPr>
        <w:t>TM</w:t>
      </w:r>
      <w:r w:rsidR="00DD2105" w:rsidRPr="00646301">
        <w:rPr>
          <w:rFonts w:asciiTheme="majorHAnsi" w:hAnsiTheme="majorHAnsi" w:cstheme="minorHAnsi"/>
          <w:lang w:val="en"/>
        </w:rPr>
        <w:t>.</w:t>
      </w:r>
      <w:r w:rsidR="00DD2105" w:rsidRPr="00646301" w:rsidDel="00DD2105">
        <w:rPr>
          <w:rFonts w:asciiTheme="majorHAnsi" w:hAnsiTheme="majorHAnsi"/>
        </w:rPr>
        <w:t xml:space="preserve"> </w:t>
      </w:r>
    </w:p>
    <w:p w14:paraId="6030A0B4" w14:textId="15144C20" w:rsidR="001A3992" w:rsidRPr="00646301" w:rsidRDefault="001A3992" w:rsidP="009237F1">
      <w:pPr>
        <w:pStyle w:val="Heading3"/>
        <w:spacing w:before="0" w:after="120"/>
        <w:ind w:left="0"/>
        <w:rPr>
          <w:lang w:val="en-US"/>
        </w:rPr>
      </w:pPr>
      <w:r w:rsidRPr="00646301">
        <w:t>Clinical</w:t>
      </w:r>
      <w:r w:rsidRPr="00646301">
        <w:rPr>
          <w:lang w:val="en-US"/>
        </w:rPr>
        <w:t xml:space="preserve"> trials</w:t>
      </w:r>
    </w:p>
    <w:p w14:paraId="6E5CE031" w14:textId="3286DFA2" w:rsidR="0084476B" w:rsidRPr="00646301" w:rsidRDefault="0084476B" w:rsidP="001E1F37">
      <w:pPr>
        <w:jc w:val="both"/>
        <w:rPr>
          <w:rFonts w:asciiTheme="majorHAnsi" w:hAnsiTheme="majorHAnsi"/>
          <w:lang w:val="en-US"/>
        </w:rPr>
      </w:pPr>
      <w:r w:rsidRPr="00646301">
        <w:rPr>
          <w:rFonts w:asciiTheme="majorHAnsi" w:hAnsiTheme="majorHAnsi"/>
          <w:lang w:val="en-US"/>
        </w:rPr>
        <w:t xml:space="preserve">Study CBGJ398X2204 (NCT02150967), a </w:t>
      </w:r>
      <w:r w:rsidR="004C3C53" w:rsidRPr="00646301">
        <w:rPr>
          <w:rFonts w:asciiTheme="majorHAnsi" w:hAnsiTheme="majorHAnsi"/>
          <w:lang w:val="en-US"/>
        </w:rPr>
        <w:t>multicenter,</w:t>
      </w:r>
      <w:r w:rsidRPr="00646301">
        <w:rPr>
          <w:rFonts w:asciiTheme="majorHAnsi" w:hAnsiTheme="majorHAnsi"/>
          <w:lang w:val="en-US"/>
        </w:rPr>
        <w:t xml:space="preserve"> open-label single-arm </w:t>
      </w:r>
      <w:r w:rsidR="5C21BE89" w:rsidRPr="00646301">
        <w:rPr>
          <w:rFonts w:asciiTheme="majorHAnsi" w:hAnsiTheme="majorHAnsi"/>
          <w:lang w:val="en-US"/>
        </w:rPr>
        <w:t xml:space="preserve">Phase 2 </w:t>
      </w:r>
      <w:r w:rsidRPr="00646301">
        <w:rPr>
          <w:rFonts w:asciiTheme="majorHAnsi" w:hAnsiTheme="majorHAnsi"/>
          <w:lang w:val="en-US"/>
        </w:rPr>
        <w:t xml:space="preserve">trial, evaluated the efficacy of </w:t>
      </w:r>
      <w:r w:rsidR="00624A09" w:rsidRPr="00646301">
        <w:rPr>
          <w:rFonts w:asciiTheme="majorHAnsi" w:hAnsiTheme="majorHAnsi"/>
          <w:lang w:val="en"/>
        </w:rPr>
        <w:t>TRUSELTIQ</w:t>
      </w:r>
      <w:r w:rsidR="000C3C14" w:rsidRPr="00646301">
        <w:rPr>
          <w:rFonts w:asciiTheme="majorHAnsi" w:hAnsiTheme="majorHAnsi"/>
          <w:vertAlign w:val="superscript"/>
          <w:lang w:val="en"/>
        </w:rPr>
        <w:t>TM</w:t>
      </w:r>
      <w:r w:rsidRPr="00646301">
        <w:rPr>
          <w:rFonts w:asciiTheme="majorHAnsi" w:hAnsiTheme="majorHAnsi"/>
          <w:lang w:val="en-US"/>
        </w:rPr>
        <w:t xml:space="preserve"> in 108 patients with previously treated, unresectable locally advanced or metastatic cholangiocarcinoma with an FGFR2 fusion or other rearrangement, as determined in a local or central laboratory using next generation sequencing (89%) or other nucleic-acid based tests (11%). </w:t>
      </w:r>
    </w:p>
    <w:p w14:paraId="7C11B4B4" w14:textId="79B73D24" w:rsidR="0084476B" w:rsidRPr="00646301" w:rsidRDefault="0084476B" w:rsidP="001E1F37">
      <w:pPr>
        <w:jc w:val="both"/>
        <w:rPr>
          <w:rFonts w:asciiTheme="majorHAnsi" w:hAnsiTheme="majorHAnsi"/>
          <w:lang w:val="en-US"/>
        </w:rPr>
      </w:pPr>
      <w:r w:rsidRPr="00646301">
        <w:rPr>
          <w:rFonts w:asciiTheme="majorHAnsi" w:hAnsiTheme="majorHAnsi"/>
          <w:lang w:val="en-US"/>
        </w:rPr>
        <w:t xml:space="preserve">Patients received </w:t>
      </w:r>
      <w:r w:rsidR="00B129B1" w:rsidRPr="00646301">
        <w:rPr>
          <w:rFonts w:asciiTheme="majorHAnsi" w:hAnsiTheme="majorHAnsi" w:cstheme="minorHAnsi"/>
          <w:lang w:val="en"/>
        </w:rPr>
        <w:t>TRUSELTIQ</w:t>
      </w:r>
      <w:r w:rsidR="000C3C14" w:rsidRPr="00646301">
        <w:rPr>
          <w:rFonts w:asciiTheme="majorHAnsi" w:hAnsiTheme="majorHAnsi" w:cstheme="minorHAnsi"/>
          <w:vertAlign w:val="superscript"/>
          <w:lang w:val="en"/>
        </w:rPr>
        <w:t>TM</w:t>
      </w:r>
      <w:r w:rsidR="00B129B1" w:rsidRPr="00646301" w:rsidDel="00624A09">
        <w:rPr>
          <w:rFonts w:asciiTheme="majorHAnsi" w:hAnsiTheme="majorHAnsi"/>
          <w:lang w:val="en-US"/>
        </w:rPr>
        <w:t xml:space="preserve"> </w:t>
      </w:r>
      <w:r w:rsidR="00B129B1" w:rsidRPr="00646301">
        <w:rPr>
          <w:rFonts w:asciiTheme="majorHAnsi" w:hAnsiTheme="majorHAnsi"/>
          <w:lang w:val="en-US"/>
        </w:rPr>
        <w:t>as</w:t>
      </w:r>
      <w:r w:rsidRPr="00646301">
        <w:rPr>
          <w:rFonts w:asciiTheme="majorHAnsi" w:hAnsiTheme="majorHAnsi"/>
          <w:lang w:val="en-US"/>
        </w:rPr>
        <w:t xml:space="preserve"> an oral monotherapy </w:t>
      </w:r>
      <w:r w:rsidR="00624A09" w:rsidRPr="00646301">
        <w:rPr>
          <w:rFonts w:asciiTheme="majorHAnsi" w:hAnsiTheme="majorHAnsi"/>
          <w:lang w:val="en-US"/>
        </w:rPr>
        <w:t xml:space="preserve">at 125 mg </w:t>
      </w:r>
      <w:r w:rsidRPr="00646301">
        <w:rPr>
          <w:rFonts w:asciiTheme="majorHAnsi" w:hAnsiTheme="majorHAnsi"/>
          <w:lang w:val="en-US"/>
        </w:rPr>
        <w:t>once daily for 21 consecutive days followed by 7 days off therapy</w:t>
      </w:r>
      <w:r w:rsidR="00624A09" w:rsidRPr="00646301">
        <w:rPr>
          <w:rFonts w:asciiTheme="majorHAnsi" w:hAnsiTheme="majorHAnsi"/>
          <w:lang w:val="en-US"/>
        </w:rPr>
        <w:t>, in 28-day cycles</w:t>
      </w:r>
      <w:r w:rsidRPr="00646301">
        <w:rPr>
          <w:rFonts w:asciiTheme="majorHAnsi" w:hAnsiTheme="majorHAnsi"/>
          <w:lang w:val="en-US"/>
        </w:rPr>
        <w:t xml:space="preserve">. </w:t>
      </w:r>
      <w:r w:rsidR="00B129B1" w:rsidRPr="00646301">
        <w:rPr>
          <w:rFonts w:asciiTheme="majorHAnsi" w:hAnsiTheme="majorHAnsi" w:cstheme="minorHAnsi"/>
          <w:lang w:val="en"/>
        </w:rPr>
        <w:t>TRUSELTIQ</w:t>
      </w:r>
      <w:r w:rsidR="000C3C14" w:rsidRPr="00646301">
        <w:rPr>
          <w:rFonts w:asciiTheme="majorHAnsi" w:hAnsiTheme="majorHAnsi" w:cstheme="minorHAnsi"/>
          <w:vertAlign w:val="superscript"/>
          <w:lang w:val="en"/>
        </w:rPr>
        <w:t>TM</w:t>
      </w:r>
      <w:r w:rsidR="00B129B1" w:rsidRPr="00646301" w:rsidDel="00624A09">
        <w:rPr>
          <w:rFonts w:asciiTheme="majorHAnsi" w:hAnsiTheme="majorHAnsi"/>
          <w:lang w:val="en-US"/>
        </w:rPr>
        <w:t xml:space="preserve"> </w:t>
      </w:r>
      <w:r w:rsidR="00B129B1" w:rsidRPr="00646301">
        <w:rPr>
          <w:rFonts w:asciiTheme="majorHAnsi" w:hAnsiTheme="majorHAnsi"/>
          <w:lang w:val="en-US"/>
        </w:rPr>
        <w:t>was</w:t>
      </w:r>
      <w:r w:rsidRPr="00646301">
        <w:rPr>
          <w:rFonts w:asciiTheme="majorHAnsi" w:hAnsiTheme="majorHAnsi"/>
          <w:lang w:val="en-US"/>
        </w:rPr>
        <w:t xml:space="preserve"> administered in 28-day cycles until disease progression or unacceptable toxicity. The major efficacy outcome measures were overall response rate (ORR) and duration of response (</w:t>
      </w:r>
      <w:proofErr w:type="spellStart"/>
      <w:r w:rsidRPr="00646301">
        <w:rPr>
          <w:rFonts w:asciiTheme="majorHAnsi" w:hAnsiTheme="majorHAnsi"/>
          <w:lang w:val="en-US"/>
        </w:rPr>
        <w:t>DoR</w:t>
      </w:r>
      <w:proofErr w:type="spellEnd"/>
      <w:r w:rsidRPr="00646301">
        <w:rPr>
          <w:rFonts w:asciiTheme="majorHAnsi" w:hAnsiTheme="majorHAnsi"/>
          <w:lang w:val="en-US"/>
        </w:rPr>
        <w:t>), as determined by blinded independent central review (BICR) according to Response Evaluation Criteria in Solid Tumors (RECIST) v1.1.</w:t>
      </w:r>
    </w:p>
    <w:p w14:paraId="3A75013E" w14:textId="73952CFC" w:rsidR="00D239AA" w:rsidRPr="00646301" w:rsidRDefault="0084476B" w:rsidP="2EBB4438">
      <w:pPr>
        <w:jc w:val="both"/>
        <w:rPr>
          <w:rFonts w:asciiTheme="majorHAnsi" w:hAnsiTheme="majorHAnsi"/>
          <w:lang w:val="en-US"/>
        </w:rPr>
      </w:pPr>
      <w:r w:rsidRPr="2EBB4438">
        <w:rPr>
          <w:rFonts w:asciiTheme="majorHAnsi" w:hAnsiTheme="majorHAnsi"/>
          <w:lang w:val="en-US"/>
        </w:rPr>
        <w:lastRenderedPageBreak/>
        <w:t xml:space="preserve">The median age was 53 years (range: 23 to 81 years), 62% were female, 72% were </w:t>
      </w:r>
      <w:r w:rsidR="00FF03AD" w:rsidRPr="2EBB4438">
        <w:rPr>
          <w:rFonts w:asciiTheme="majorHAnsi" w:hAnsiTheme="majorHAnsi"/>
          <w:lang w:val="en-US"/>
        </w:rPr>
        <w:t>w</w:t>
      </w:r>
      <w:r w:rsidRPr="2EBB4438">
        <w:rPr>
          <w:rFonts w:asciiTheme="majorHAnsi" w:hAnsiTheme="majorHAnsi"/>
          <w:lang w:val="en-US"/>
        </w:rPr>
        <w:t xml:space="preserve">hite, and 99% had a baseline Eastern Cooperative Oncology Group (ECOG) performance status of 0 (42%) or 1 (57%). In-frame fusions and other rearrangements predicted to have breakpoint within intron 17/exon 18 of the FGFR2 gene that leaves the FGFR2 kinase domain intact was confirmed in </w:t>
      </w:r>
      <w:r w:rsidR="001D3EA7" w:rsidRPr="2EBB4438">
        <w:rPr>
          <w:rFonts w:asciiTheme="majorHAnsi" w:hAnsiTheme="majorHAnsi"/>
          <w:lang w:val="en-US"/>
        </w:rPr>
        <w:t xml:space="preserve">104 </w:t>
      </w:r>
      <w:r w:rsidRPr="2EBB4438">
        <w:rPr>
          <w:rFonts w:asciiTheme="majorHAnsi" w:hAnsiTheme="majorHAnsi"/>
          <w:lang w:val="en-US"/>
        </w:rPr>
        <w:t>enrolled subjects (</w:t>
      </w:r>
      <w:r w:rsidR="001D3EA7" w:rsidRPr="2EBB4438">
        <w:rPr>
          <w:rFonts w:asciiTheme="majorHAnsi" w:hAnsiTheme="majorHAnsi"/>
          <w:lang w:val="en-US"/>
        </w:rPr>
        <w:t>96</w:t>
      </w:r>
      <w:r w:rsidRPr="2EBB4438">
        <w:rPr>
          <w:rFonts w:asciiTheme="majorHAnsi" w:hAnsiTheme="majorHAnsi"/>
          <w:lang w:val="en-US"/>
        </w:rPr>
        <w:t>%) with local or central laboratory Next Generation Sequencing (NGS) testing.</w:t>
      </w:r>
      <w:r w:rsidR="000D3101" w:rsidRPr="2EBB4438">
        <w:rPr>
          <w:rFonts w:asciiTheme="majorHAnsi" w:hAnsiTheme="majorHAnsi"/>
          <w:lang w:val="en-US"/>
        </w:rPr>
        <w:t xml:space="preserve"> </w:t>
      </w:r>
      <w:r w:rsidR="00D239AA" w:rsidRPr="2EBB4438">
        <w:rPr>
          <w:rFonts w:asciiTheme="majorHAnsi" w:hAnsiTheme="majorHAnsi"/>
          <w:lang w:val="en-US"/>
        </w:rPr>
        <w:t xml:space="preserve">Eighty-eight (n=88) patients had in-frame FGFR2 fusions, with BICC1 the </w:t>
      </w:r>
      <w:proofErr w:type="gramStart"/>
      <w:r w:rsidR="00D239AA" w:rsidRPr="2EBB4438">
        <w:rPr>
          <w:rFonts w:asciiTheme="majorHAnsi" w:hAnsiTheme="majorHAnsi"/>
          <w:lang w:val="en-US"/>
        </w:rPr>
        <w:t>most commonly reported</w:t>
      </w:r>
      <w:proofErr w:type="gramEnd"/>
      <w:r w:rsidR="00D239AA" w:rsidRPr="2EBB4438">
        <w:rPr>
          <w:rFonts w:asciiTheme="majorHAnsi" w:hAnsiTheme="majorHAnsi"/>
          <w:lang w:val="en-US"/>
        </w:rPr>
        <w:t xml:space="preserve"> partner gene for FGFR2 fusions (n=27). Twenty (n=20) patients had other FGFR2 rearrangements that may not be in-frame with the partner </w:t>
      </w:r>
      <w:proofErr w:type="gramStart"/>
      <w:r w:rsidR="00D239AA" w:rsidRPr="2EBB4438">
        <w:rPr>
          <w:rFonts w:asciiTheme="majorHAnsi" w:hAnsiTheme="majorHAnsi"/>
          <w:lang w:val="en-US"/>
        </w:rPr>
        <w:t>gene</w:t>
      </w:r>
      <w:proofErr w:type="gramEnd"/>
      <w:r w:rsidR="00D239AA" w:rsidRPr="2EBB4438">
        <w:rPr>
          <w:rFonts w:asciiTheme="majorHAnsi" w:hAnsiTheme="majorHAnsi"/>
          <w:lang w:val="en-US"/>
        </w:rPr>
        <w:t xml:space="preserve"> or the partner gene was not identifiable. </w:t>
      </w:r>
    </w:p>
    <w:p w14:paraId="35BD7B38" w14:textId="77777777" w:rsidR="00D239AA" w:rsidRPr="00646301" w:rsidRDefault="00D239AA" w:rsidP="001E1F37">
      <w:pPr>
        <w:jc w:val="both"/>
        <w:rPr>
          <w:rFonts w:asciiTheme="majorHAnsi" w:hAnsiTheme="majorHAnsi"/>
          <w:lang w:val="en-US"/>
        </w:rPr>
      </w:pPr>
      <w:r w:rsidRPr="00646301">
        <w:rPr>
          <w:rFonts w:asciiTheme="majorHAnsi" w:hAnsiTheme="majorHAnsi"/>
          <w:lang w:val="en-US"/>
        </w:rPr>
        <w:t>Ninety-nine percent of patients had metastatic (Stage IV) disease at the time of study entry. All patients had received at least 1 prior line of systemic therapy, 32% had 2 prior lines of therapy, and 29% had 3 or more prior lines of therapy. Ninety-nine percent of patients received prior gemcitabine-based therapy and most (88%) had progressed on their prior gemcitabine-based therapy. In the 46% of patients with disease progression following one line of prior therapy, the ORR was 34% (95% CI: 21.2, 48.8) and median duration of response was 5.5 months (95% CI: 3.7, 9.5), per BICR. In 108 patients the disease control rate (complete response, partial response, and stable disease) was 84% (95% CI: 76.0, 90.6).</w:t>
      </w:r>
    </w:p>
    <w:p w14:paraId="31B25A84" w14:textId="266872B3" w:rsidR="00D239AA" w:rsidRDefault="00D239AA" w:rsidP="001E1F37">
      <w:pPr>
        <w:jc w:val="both"/>
        <w:rPr>
          <w:rFonts w:asciiTheme="majorHAnsi" w:hAnsiTheme="majorHAnsi"/>
        </w:rPr>
      </w:pPr>
      <w:r w:rsidRPr="00646301">
        <w:rPr>
          <w:rFonts w:asciiTheme="majorHAnsi" w:hAnsiTheme="majorHAnsi"/>
          <w:lang w:val="en-US"/>
        </w:rPr>
        <w:t xml:space="preserve">Efficacy results are </w:t>
      </w:r>
      <w:proofErr w:type="spellStart"/>
      <w:r w:rsidRPr="00646301">
        <w:rPr>
          <w:rFonts w:asciiTheme="majorHAnsi" w:hAnsiTheme="majorHAnsi"/>
          <w:lang w:val="en-US"/>
        </w:rPr>
        <w:t>summarised</w:t>
      </w:r>
      <w:proofErr w:type="spellEnd"/>
      <w:r w:rsidRPr="00646301">
        <w:rPr>
          <w:rFonts w:asciiTheme="majorHAnsi" w:hAnsiTheme="majorHAnsi"/>
          <w:lang w:val="en-US"/>
        </w:rPr>
        <w:t xml:space="preserve"> in Table </w:t>
      </w:r>
      <w:r w:rsidR="0000448D" w:rsidRPr="00646301">
        <w:rPr>
          <w:rFonts w:asciiTheme="majorHAnsi" w:hAnsiTheme="majorHAnsi"/>
          <w:lang w:val="en-US"/>
        </w:rPr>
        <w:t>4</w:t>
      </w:r>
      <w:r w:rsidRPr="00646301">
        <w:rPr>
          <w:rFonts w:asciiTheme="majorHAnsi" w:hAnsiTheme="majorHAnsi"/>
          <w:lang w:val="en-US"/>
        </w:rPr>
        <w:t>. The median time to response was 3.6 months (range 1.4 – 7.4 months).</w:t>
      </w:r>
      <w:r w:rsidR="00E158B6">
        <w:rPr>
          <w:rFonts w:asciiTheme="majorHAnsi" w:hAnsiTheme="majorHAnsi"/>
          <w:lang w:val="en-US"/>
        </w:rPr>
        <w:t xml:space="preserve"> </w:t>
      </w:r>
      <w:r w:rsidRPr="00646301">
        <w:rPr>
          <w:rFonts w:asciiTheme="majorHAnsi" w:hAnsiTheme="majorHAnsi"/>
        </w:rPr>
        <w:t xml:space="preserve">Subgroup analyses are summarised in Table </w:t>
      </w:r>
      <w:r w:rsidR="00E158B6">
        <w:rPr>
          <w:rFonts w:asciiTheme="majorHAnsi" w:hAnsiTheme="majorHAnsi"/>
        </w:rPr>
        <w:t>5</w:t>
      </w:r>
      <w:r w:rsidRPr="00646301">
        <w:rPr>
          <w:rFonts w:asciiTheme="majorHAnsi" w:hAnsiTheme="majorHAnsi"/>
        </w:rPr>
        <w:t>.</w:t>
      </w:r>
    </w:p>
    <w:p w14:paraId="54336A9F" w14:textId="3CEBC5BE" w:rsidR="00D239AA" w:rsidRPr="00646301" w:rsidRDefault="00FD3E8E" w:rsidP="00FD3E8E">
      <w:pPr>
        <w:jc w:val="center"/>
        <w:rPr>
          <w:rFonts w:asciiTheme="majorHAnsi" w:hAnsiTheme="majorHAnsi"/>
          <w:b/>
          <w:bCs/>
          <w:lang w:val="en-US"/>
        </w:rPr>
      </w:pPr>
      <w:r w:rsidRPr="00646301">
        <w:rPr>
          <w:rFonts w:asciiTheme="majorHAnsi" w:hAnsiTheme="majorHAnsi"/>
          <w:b/>
          <w:bCs/>
          <w:lang w:val="en-US"/>
        </w:rPr>
        <w:t xml:space="preserve">Table </w:t>
      </w:r>
      <w:r w:rsidR="0000448D" w:rsidRPr="00646301">
        <w:rPr>
          <w:rFonts w:asciiTheme="majorHAnsi" w:hAnsiTheme="majorHAnsi"/>
          <w:b/>
          <w:bCs/>
          <w:lang w:val="en-US"/>
        </w:rPr>
        <w:t>4</w:t>
      </w:r>
      <w:r w:rsidRPr="00646301">
        <w:rPr>
          <w:rFonts w:asciiTheme="majorHAnsi" w:hAnsiTheme="majorHAnsi"/>
          <w:b/>
          <w:bCs/>
          <w:lang w:val="en-US"/>
        </w:rPr>
        <w:t xml:space="preserve">: Efficacy Results in </w:t>
      </w:r>
      <w:r w:rsidR="00FC22D1" w:rsidRPr="00646301">
        <w:rPr>
          <w:rFonts w:asciiTheme="majorHAnsi" w:hAnsiTheme="majorHAnsi"/>
          <w:b/>
          <w:bCs/>
          <w:lang w:val="en-US"/>
        </w:rPr>
        <w:t xml:space="preserve">Study </w:t>
      </w:r>
      <w:r w:rsidRPr="00646301">
        <w:rPr>
          <w:rFonts w:asciiTheme="majorHAnsi" w:hAnsiTheme="majorHAnsi"/>
          <w:b/>
          <w:bCs/>
          <w:lang w:val="en-US"/>
        </w:rPr>
        <w:t>CBGJ398X2204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2376"/>
        <w:gridCol w:w="2332"/>
      </w:tblGrid>
      <w:tr w:rsidR="00FD3E8E" w:rsidRPr="00014AD4" w14:paraId="77B64C3F" w14:textId="77777777" w:rsidTr="5934B359">
        <w:tc>
          <w:tcPr>
            <w:tcW w:w="4308" w:type="dxa"/>
            <w:vMerge w:val="restart"/>
            <w:vAlign w:val="bottom"/>
          </w:tcPr>
          <w:p w14:paraId="0B1FAE4E" w14:textId="77777777" w:rsidR="00FD3E8E" w:rsidRPr="00646301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Efficacy Parameter </w:t>
            </w:r>
          </w:p>
        </w:tc>
        <w:tc>
          <w:tcPr>
            <w:tcW w:w="4708" w:type="dxa"/>
            <w:gridSpan w:val="2"/>
          </w:tcPr>
          <w:p w14:paraId="596E97B6" w14:textId="088F47C4" w:rsidR="00FD3E8E" w:rsidRPr="00646301" w:rsidRDefault="007D0300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 w:cstheme="minorHAnsi"/>
                <w:lang w:val="en"/>
              </w:rPr>
              <w:t>TRUSELTIQ</w:t>
            </w:r>
            <w:r w:rsidR="000C3C14" w:rsidRPr="00646301">
              <w:rPr>
                <w:rFonts w:asciiTheme="majorHAnsi" w:hAnsiTheme="majorHAnsi" w:cstheme="minorHAnsi"/>
                <w:vertAlign w:val="superscript"/>
                <w:lang w:val="en"/>
              </w:rPr>
              <w:t>TM</w:t>
            </w:r>
            <w:r w:rsidRPr="00646301" w:rsidDel="007D030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02BF15DC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N=108</w:t>
            </w:r>
          </w:p>
        </w:tc>
      </w:tr>
      <w:tr w:rsidR="00FD3E8E" w:rsidRPr="00014AD4" w14:paraId="241B6F8F" w14:textId="77777777" w:rsidTr="5934B359">
        <w:tc>
          <w:tcPr>
            <w:tcW w:w="4308" w:type="dxa"/>
            <w:vMerge/>
          </w:tcPr>
          <w:p w14:paraId="2797F6FD" w14:textId="77777777" w:rsidR="00FD3E8E" w:rsidRPr="00646301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0BEB1A43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BICR Assessment</w:t>
            </w:r>
          </w:p>
        </w:tc>
        <w:tc>
          <w:tcPr>
            <w:tcW w:w="2332" w:type="dxa"/>
          </w:tcPr>
          <w:p w14:paraId="555B215A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Investigator Assessment</w:t>
            </w:r>
          </w:p>
        </w:tc>
      </w:tr>
      <w:tr w:rsidR="00FD3E8E" w:rsidRPr="00014AD4" w14:paraId="55DA44B3" w14:textId="77777777" w:rsidTr="5934B359">
        <w:tc>
          <w:tcPr>
            <w:tcW w:w="4308" w:type="dxa"/>
          </w:tcPr>
          <w:p w14:paraId="4B939013" w14:textId="77777777" w:rsidR="00FD3E8E" w:rsidRPr="00646301" w:rsidRDefault="00FD3E8E" w:rsidP="00451A85">
            <w:pPr>
              <w:pStyle w:val="SageBodyText"/>
              <w:spacing w:before="0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ORR</w:t>
            </w:r>
            <w:r w:rsidRPr="00646301">
              <w:rPr>
                <w:rFonts w:asciiTheme="majorHAnsi" w:hAnsiTheme="majorHAnsi"/>
                <w:sz w:val="22"/>
                <w:szCs w:val="22"/>
              </w:rPr>
              <w:t xml:space="preserve"> (95% CI)</w:t>
            </w:r>
          </w:p>
        </w:tc>
        <w:tc>
          <w:tcPr>
            <w:tcW w:w="2376" w:type="dxa"/>
          </w:tcPr>
          <w:p w14:paraId="770AFB8C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23.1% </w:t>
            </w:r>
            <w:r w:rsidRPr="00646301">
              <w:rPr>
                <w:rFonts w:asciiTheme="majorHAnsi" w:hAnsiTheme="majorHAnsi"/>
                <w:sz w:val="22"/>
                <w:szCs w:val="22"/>
              </w:rPr>
              <w:t>(15.6, 32.2)</w:t>
            </w:r>
          </w:p>
        </w:tc>
        <w:tc>
          <w:tcPr>
            <w:tcW w:w="2332" w:type="dxa"/>
          </w:tcPr>
          <w:p w14:paraId="7B61111B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30.6% </w:t>
            </w:r>
            <w:r w:rsidRPr="00646301">
              <w:rPr>
                <w:rFonts w:asciiTheme="majorHAnsi" w:hAnsiTheme="majorHAnsi"/>
                <w:sz w:val="22"/>
                <w:szCs w:val="22"/>
              </w:rPr>
              <w:t>(22.1, 40.2)</w:t>
            </w:r>
          </w:p>
        </w:tc>
      </w:tr>
      <w:tr w:rsidR="00FD3E8E" w:rsidRPr="00014AD4" w14:paraId="7B9C9CE9" w14:textId="77777777" w:rsidTr="5934B359">
        <w:tc>
          <w:tcPr>
            <w:tcW w:w="4308" w:type="dxa"/>
          </w:tcPr>
          <w:p w14:paraId="318A65AA" w14:textId="77777777" w:rsidR="00FD3E8E" w:rsidRPr="00646301" w:rsidRDefault="00FD3E8E" w:rsidP="00451A85">
            <w:pPr>
              <w:pStyle w:val="SageBodyText"/>
              <w:spacing w:before="0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Complete Response, n (%)</w:t>
            </w:r>
          </w:p>
        </w:tc>
        <w:tc>
          <w:tcPr>
            <w:tcW w:w="2376" w:type="dxa"/>
          </w:tcPr>
          <w:p w14:paraId="256AEE0C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1 (1%)</w:t>
            </w:r>
          </w:p>
        </w:tc>
        <w:tc>
          <w:tcPr>
            <w:tcW w:w="2332" w:type="dxa"/>
          </w:tcPr>
          <w:p w14:paraId="123AFA2F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FD3E8E" w:rsidRPr="00014AD4" w14:paraId="4D604696" w14:textId="77777777" w:rsidTr="5934B359">
        <w:tc>
          <w:tcPr>
            <w:tcW w:w="4308" w:type="dxa"/>
          </w:tcPr>
          <w:p w14:paraId="423C8D8E" w14:textId="77777777" w:rsidR="00FD3E8E" w:rsidRPr="00646301" w:rsidRDefault="00FD3E8E" w:rsidP="00451A85">
            <w:pPr>
              <w:pStyle w:val="SageBodyText"/>
              <w:spacing w:before="0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Partial Response, n (%)</w:t>
            </w:r>
          </w:p>
        </w:tc>
        <w:tc>
          <w:tcPr>
            <w:tcW w:w="2376" w:type="dxa"/>
          </w:tcPr>
          <w:p w14:paraId="280F649E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24 (22.2%)</w:t>
            </w:r>
          </w:p>
        </w:tc>
        <w:tc>
          <w:tcPr>
            <w:tcW w:w="2332" w:type="dxa"/>
          </w:tcPr>
          <w:p w14:paraId="7193C7AE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33 (30.6%)</w:t>
            </w:r>
          </w:p>
        </w:tc>
      </w:tr>
      <w:tr w:rsidR="00FD3E8E" w:rsidRPr="00014AD4" w14:paraId="4BBEDD90" w14:textId="77777777" w:rsidTr="5934B359">
        <w:tc>
          <w:tcPr>
            <w:tcW w:w="4308" w:type="dxa"/>
          </w:tcPr>
          <w:p w14:paraId="0180C362" w14:textId="77777777" w:rsidR="00FD3E8E" w:rsidRPr="00646301" w:rsidRDefault="00FD3E8E" w:rsidP="00451A85">
            <w:pPr>
              <w:pStyle w:val="SageBodyText"/>
              <w:spacing w:before="0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Median </w:t>
            </w:r>
            <w:proofErr w:type="spellStart"/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DoR</w:t>
            </w:r>
            <w:proofErr w:type="spellEnd"/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</w:t>
            </w:r>
            <w:r w:rsidRPr="00646301">
              <w:rPr>
                <w:rFonts w:asciiTheme="majorHAnsi" w:hAnsiTheme="majorHAnsi"/>
                <w:sz w:val="22"/>
                <w:szCs w:val="22"/>
              </w:rPr>
              <w:t>months) (range)</w:t>
            </w:r>
          </w:p>
        </w:tc>
        <w:tc>
          <w:tcPr>
            <w:tcW w:w="2376" w:type="dxa"/>
          </w:tcPr>
          <w:p w14:paraId="43D446BE" w14:textId="28164D74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sz w:val="22"/>
                <w:szCs w:val="22"/>
              </w:rPr>
              <w:t xml:space="preserve">5 </w:t>
            </w:r>
            <w:r w:rsidRPr="00646301">
              <w:rPr>
                <w:rFonts w:asciiTheme="majorHAnsi" w:hAnsiTheme="majorHAnsi"/>
                <w:bCs/>
                <w:sz w:val="22"/>
                <w:szCs w:val="22"/>
              </w:rPr>
              <w:t>(0.92+, 19.12)</w:t>
            </w:r>
          </w:p>
        </w:tc>
        <w:tc>
          <w:tcPr>
            <w:tcW w:w="2332" w:type="dxa"/>
          </w:tcPr>
          <w:p w14:paraId="41AAAD15" w14:textId="7FB75455" w:rsidR="00FD3E8E" w:rsidRPr="00646301" w:rsidRDefault="00FD3E8E" w:rsidP="5934B359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5934B35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6 </w:t>
            </w:r>
            <w:r w:rsidRPr="5934B359">
              <w:rPr>
                <w:rFonts w:asciiTheme="majorHAnsi" w:hAnsiTheme="majorHAnsi"/>
                <w:sz w:val="22"/>
                <w:szCs w:val="22"/>
              </w:rPr>
              <w:t>(0.95+, 19.12)</w:t>
            </w:r>
          </w:p>
        </w:tc>
      </w:tr>
      <w:tr w:rsidR="00FD3E8E" w:rsidRPr="00014AD4" w14:paraId="0DF765A2" w14:textId="77777777" w:rsidTr="5934B359">
        <w:tc>
          <w:tcPr>
            <w:tcW w:w="4308" w:type="dxa"/>
          </w:tcPr>
          <w:p w14:paraId="7446BC78" w14:textId="77777777" w:rsidR="00FD3E8E" w:rsidRPr="00646301" w:rsidRDefault="00FD3E8E" w:rsidP="00451A85">
            <w:pPr>
              <w:pStyle w:val="SageBodyText"/>
              <w:spacing w:before="0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 xml:space="preserve">Patients with </w:t>
            </w:r>
            <w:proofErr w:type="spellStart"/>
            <w:r w:rsidRPr="00646301">
              <w:rPr>
                <w:rFonts w:asciiTheme="majorHAnsi" w:hAnsiTheme="majorHAnsi"/>
                <w:sz w:val="22"/>
                <w:szCs w:val="22"/>
              </w:rPr>
              <w:t>DoR</w:t>
            </w:r>
            <w:proofErr w:type="spellEnd"/>
            <w:r w:rsidRPr="00646301">
              <w:rPr>
                <w:rFonts w:asciiTheme="majorHAnsi" w:hAnsiTheme="majorHAnsi"/>
                <w:sz w:val="22"/>
                <w:szCs w:val="22"/>
              </w:rPr>
              <w:t xml:space="preserve"> ≥6 months, n (%)</w:t>
            </w:r>
          </w:p>
        </w:tc>
        <w:tc>
          <w:tcPr>
            <w:tcW w:w="2376" w:type="dxa"/>
          </w:tcPr>
          <w:p w14:paraId="58B93BA8" w14:textId="77777777" w:rsidR="00FD3E8E" w:rsidRPr="00646301" w:rsidRDefault="00FD3E8E" w:rsidP="00451A85">
            <w:pPr>
              <w:pStyle w:val="SageBodyText"/>
              <w:tabs>
                <w:tab w:val="left" w:pos="1770"/>
              </w:tabs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8 (32%)</w:t>
            </w:r>
          </w:p>
        </w:tc>
        <w:tc>
          <w:tcPr>
            <w:tcW w:w="2332" w:type="dxa"/>
          </w:tcPr>
          <w:p w14:paraId="553283CE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12 (36%)</w:t>
            </w:r>
          </w:p>
        </w:tc>
      </w:tr>
    </w:tbl>
    <w:p w14:paraId="0CC2B5AA" w14:textId="77777777" w:rsidR="002E6627" w:rsidRPr="00646301" w:rsidRDefault="002E6627" w:rsidP="008C09A2">
      <w:pPr>
        <w:pStyle w:val="SageBodyText"/>
        <w:spacing w:before="0"/>
        <w:rPr>
          <w:rFonts w:asciiTheme="majorHAnsi" w:hAnsiTheme="majorHAnsi"/>
          <w:sz w:val="18"/>
          <w:szCs w:val="18"/>
        </w:rPr>
      </w:pPr>
      <w:r w:rsidRPr="00646301">
        <w:rPr>
          <w:rFonts w:asciiTheme="majorHAnsi" w:hAnsiTheme="majorHAnsi"/>
          <w:sz w:val="18"/>
          <w:szCs w:val="18"/>
        </w:rPr>
        <w:t xml:space="preserve">Abbreviations: BICR= blinded independent central review; CI=confidence interval; </w:t>
      </w:r>
      <w:proofErr w:type="spellStart"/>
      <w:r w:rsidRPr="00646301">
        <w:rPr>
          <w:rFonts w:asciiTheme="majorHAnsi" w:hAnsiTheme="majorHAnsi"/>
          <w:sz w:val="18"/>
          <w:szCs w:val="18"/>
        </w:rPr>
        <w:t>DoR</w:t>
      </w:r>
      <w:proofErr w:type="spellEnd"/>
      <w:r w:rsidRPr="00646301">
        <w:rPr>
          <w:rFonts w:asciiTheme="majorHAnsi" w:hAnsiTheme="majorHAnsi"/>
          <w:sz w:val="18"/>
          <w:szCs w:val="18"/>
        </w:rPr>
        <w:t xml:space="preserve">=duration of response; ORR=overall response rate. </w:t>
      </w:r>
    </w:p>
    <w:p w14:paraId="32DD4678" w14:textId="5A79C68B" w:rsidR="008C09A2" w:rsidRPr="00646301" w:rsidRDefault="008C09A2" w:rsidP="008C09A2">
      <w:pPr>
        <w:pStyle w:val="SageBodyText"/>
        <w:spacing w:before="0"/>
        <w:rPr>
          <w:rFonts w:asciiTheme="majorHAnsi" w:hAnsiTheme="majorHAnsi"/>
          <w:sz w:val="16"/>
          <w:szCs w:val="16"/>
        </w:rPr>
      </w:pPr>
      <w:r w:rsidRPr="00646301">
        <w:rPr>
          <w:rFonts w:asciiTheme="majorHAnsi" w:eastAsiaTheme="minorHAnsi" w:hAnsiTheme="majorHAnsi"/>
          <w:sz w:val="18"/>
          <w:szCs w:val="18"/>
        </w:rPr>
        <w:t>Note: Data are according to RECIST v1.1, and complete and partial responses are confirmed.</w:t>
      </w:r>
    </w:p>
    <w:p w14:paraId="31765CCF" w14:textId="24D35083" w:rsidR="00FD3E8E" w:rsidRPr="00646301" w:rsidRDefault="00FD3E8E" w:rsidP="00D239AA">
      <w:pPr>
        <w:rPr>
          <w:rFonts w:asciiTheme="majorHAnsi" w:hAnsiTheme="majorHAnsi"/>
          <w:lang w:val="en-US"/>
        </w:rPr>
      </w:pPr>
    </w:p>
    <w:p w14:paraId="22817521" w14:textId="46D02E2E" w:rsidR="00FD3E8E" w:rsidRPr="00646301" w:rsidRDefault="00FD3E8E" w:rsidP="00FD3E8E">
      <w:pPr>
        <w:pStyle w:val="SageBodyText"/>
        <w:keepNext/>
        <w:spacing w:before="120" w:after="120"/>
        <w:jc w:val="center"/>
        <w:rPr>
          <w:rFonts w:asciiTheme="majorHAnsi" w:hAnsiTheme="majorHAnsi"/>
          <w:b/>
          <w:bCs/>
          <w:sz w:val="22"/>
          <w:szCs w:val="22"/>
          <w:lang w:bidi="en-US"/>
        </w:rPr>
      </w:pPr>
      <w:r w:rsidRPr="00646301">
        <w:rPr>
          <w:rFonts w:asciiTheme="majorHAnsi" w:hAnsiTheme="majorHAnsi"/>
          <w:b/>
          <w:bCs/>
          <w:sz w:val="22"/>
          <w:szCs w:val="22"/>
          <w:lang w:bidi="en-US"/>
        </w:rPr>
        <w:t xml:space="preserve">Table </w:t>
      </w:r>
      <w:r w:rsidR="0000448D" w:rsidRPr="00646301">
        <w:rPr>
          <w:rFonts w:asciiTheme="majorHAnsi" w:hAnsiTheme="majorHAnsi"/>
          <w:b/>
          <w:bCs/>
          <w:sz w:val="22"/>
          <w:szCs w:val="22"/>
          <w:lang w:bidi="en-US"/>
        </w:rPr>
        <w:t>5</w:t>
      </w:r>
      <w:r w:rsidRPr="00646301">
        <w:rPr>
          <w:rFonts w:asciiTheme="majorHAnsi" w:hAnsiTheme="majorHAnsi"/>
          <w:b/>
          <w:bCs/>
          <w:sz w:val="22"/>
          <w:szCs w:val="22"/>
          <w:lang w:bidi="en-US"/>
        </w:rPr>
        <w:t xml:space="preserve">: Subgroup Analyses in </w:t>
      </w:r>
      <w:r w:rsidR="007D0300" w:rsidRPr="00646301">
        <w:rPr>
          <w:rFonts w:asciiTheme="majorHAnsi" w:hAnsiTheme="majorHAnsi"/>
          <w:b/>
          <w:bCs/>
          <w:sz w:val="22"/>
          <w:szCs w:val="22"/>
          <w:lang w:bidi="en-US"/>
        </w:rPr>
        <w:t xml:space="preserve">Study </w:t>
      </w:r>
      <w:r w:rsidRPr="00646301">
        <w:rPr>
          <w:rFonts w:asciiTheme="majorHAnsi" w:hAnsiTheme="majorHAnsi"/>
          <w:b/>
          <w:bCs/>
          <w:sz w:val="22"/>
          <w:szCs w:val="22"/>
          <w:lang w:bidi="en-US"/>
        </w:rPr>
        <w:t>CBGJ398X2204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2211"/>
        <w:gridCol w:w="2146"/>
        <w:gridCol w:w="1918"/>
      </w:tblGrid>
      <w:tr w:rsidR="00FD3E8E" w:rsidRPr="00014AD4" w14:paraId="22F7260B" w14:textId="77777777" w:rsidTr="00E44707">
        <w:tc>
          <w:tcPr>
            <w:tcW w:w="2741" w:type="dxa"/>
            <w:vMerge w:val="restart"/>
            <w:vAlign w:val="bottom"/>
          </w:tcPr>
          <w:p w14:paraId="487ABA59" w14:textId="77777777" w:rsidR="00FD3E8E" w:rsidRPr="00646301" w:rsidRDefault="00FD3E8E" w:rsidP="00451A85">
            <w:pPr>
              <w:pStyle w:val="SageBodyText"/>
              <w:keepNext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POPULATION  </w:t>
            </w:r>
          </w:p>
        </w:tc>
        <w:tc>
          <w:tcPr>
            <w:tcW w:w="6275" w:type="dxa"/>
            <w:gridSpan w:val="3"/>
          </w:tcPr>
          <w:p w14:paraId="274BD355" w14:textId="303ED6CF" w:rsidR="00FD3E8E" w:rsidRPr="00646301" w:rsidRDefault="007D0300" w:rsidP="00451A85">
            <w:pPr>
              <w:pStyle w:val="SageBodyText"/>
              <w:keepNext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 w:cstheme="minorHAnsi"/>
                <w:lang w:val="en"/>
              </w:rPr>
              <w:t>TRUSELTIQ</w:t>
            </w:r>
            <w:r w:rsidR="000C3C14" w:rsidRPr="00646301">
              <w:rPr>
                <w:rFonts w:asciiTheme="majorHAnsi" w:hAnsiTheme="majorHAnsi" w:cstheme="minorHAnsi"/>
                <w:vertAlign w:val="superscript"/>
                <w:lang w:val="en"/>
              </w:rPr>
              <w:t>TM</w:t>
            </w:r>
            <w:r w:rsidRPr="00646301" w:rsidDel="007D0300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D3E8E" w:rsidRPr="00014AD4" w14:paraId="08AF0BCF" w14:textId="77777777" w:rsidTr="00E44707">
        <w:tc>
          <w:tcPr>
            <w:tcW w:w="2741" w:type="dxa"/>
            <w:vMerge/>
          </w:tcPr>
          <w:p w14:paraId="7E7B3661" w14:textId="77777777" w:rsidR="00FD3E8E" w:rsidRPr="00646301" w:rsidRDefault="00FD3E8E" w:rsidP="00451A85">
            <w:pPr>
              <w:pStyle w:val="SageBodyText"/>
              <w:keepNext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</w:tcPr>
          <w:p w14:paraId="57E224E4" w14:textId="77777777" w:rsidR="00FD3E8E" w:rsidRPr="00646301" w:rsidRDefault="00FD3E8E" w:rsidP="00451A85">
            <w:pPr>
              <w:pStyle w:val="SageBodyText"/>
              <w:keepNext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N (%)</w:t>
            </w:r>
          </w:p>
        </w:tc>
        <w:tc>
          <w:tcPr>
            <w:tcW w:w="2146" w:type="dxa"/>
          </w:tcPr>
          <w:p w14:paraId="19AE3033" w14:textId="77777777" w:rsidR="00FD3E8E" w:rsidRPr="00646301" w:rsidRDefault="00FD3E8E" w:rsidP="00451A85">
            <w:pPr>
              <w:pStyle w:val="SageBodyText"/>
              <w:keepNext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ORR</w:t>
            </w:r>
          </w:p>
        </w:tc>
        <w:tc>
          <w:tcPr>
            <w:tcW w:w="1918" w:type="dxa"/>
          </w:tcPr>
          <w:p w14:paraId="4A7BC12F" w14:textId="77777777" w:rsidR="00FD3E8E" w:rsidRPr="00646301" w:rsidRDefault="00FD3E8E" w:rsidP="00451A85">
            <w:pPr>
              <w:pStyle w:val="SageBodyText"/>
              <w:keepNext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95% CI</w:t>
            </w:r>
          </w:p>
        </w:tc>
      </w:tr>
      <w:tr w:rsidR="00FD3E8E" w:rsidRPr="00014AD4" w14:paraId="378B692B" w14:textId="77777777" w:rsidTr="00E44707">
        <w:tc>
          <w:tcPr>
            <w:tcW w:w="9016" w:type="dxa"/>
            <w:gridSpan w:val="4"/>
          </w:tcPr>
          <w:p w14:paraId="3E64AE9C" w14:textId="77777777" w:rsidR="00FD3E8E" w:rsidRPr="00646301" w:rsidRDefault="00FD3E8E" w:rsidP="00451A85">
            <w:pPr>
              <w:pStyle w:val="SageBodyText"/>
              <w:keepNext/>
              <w:spacing w:before="0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LINES OF PRIOR THERAPY</w:t>
            </w:r>
          </w:p>
        </w:tc>
      </w:tr>
      <w:tr w:rsidR="00FD3E8E" w:rsidRPr="00014AD4" w14:paraId="233E1F7E" w14:textId="77777777" w:rsidTr="00E44707">
        <w:tc>
          <w:tcPr>
            <w:tcW w:w="2741" w:type="dxa"/>
          </w:tcPr>
          <w:p w14:paraId="7A4E6FEF" w14:textId="77777777" w:rsidR="00FD3E8E" w:rsidRPr="00646301" w:rsidRDefault="00FD3E8E" w:rsidP="00451A85">
            <w:pPr>
              <w:pStyle w:val="SageBodyText"/>
              <w:keepNext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≤1</w:t>
            </w:r>
          </w:p>
        </w:tc>
        <w:tc>
          <w:tcPr>
            <w:tcW w:w="2211" w:type="dxa"/>
          </w:tcPr>
          <w:p w14:paraId="2E291172" w14:textId="77777777" w:rsidR="00FD3E8E" w:rsidRPr="00646301" w:rsidRDefault="00FD3E8E" w:rsidP="00451A85">
            <w:pPr>
              <w:pStyle w:val="SageBodyText"/>
              <w:keepNext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50 (46.3)</w:t>
            </w:r>
          </w:p>
        </w:tc>
        <w:tc>
          <w:tcPr>
            <w:tcW w:w="2146" w:type="dxa"/>
          </w:tcPr>
          <w:p w14:paraId="788F125C" w14:textId="77777777" w:rsidR="00FD3E8E" w:rsidRPr="00646301" w:rsidRDefault="00FD3E8E" w:rsidP="00451A85">
            <w:pPr>
              <w:pStyle w:val="SageBodyText"/>
              <w:keepNext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34%</w:t>
            </w:r>
          </w:p>
        </w:tc>
        <w:tc>
          <w:tcPr>
            <w:tcW w:w="1918" w:type="dxa"/>
          </w:tcPr>
          <w:p w14:paraId="23C04C5C" w14:textId="77777777" w:rsidR="00FD3E8E" w:rsidRPr="00646301" w:rsidRDefault="00FD3E8E" w:rsidP="00451A85">
            <w:pPr>
              <w:pStyle w:val="SageBodyText"/>
              <w:keepNext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21.2, 48.8</w:t>
            </w:r>
          </w:p>
        </w:tc>
      </w:tr>
      <w:tr w:rsidR="00FD3E8E" w:rsidRPr="00014AD4" w14:paraId="4D9CE9C7" w14:textId="77777777" w:rsidTr="00E44707">
        <w:tc>
          <w:tcPr>
            <w:tcW w:w="2741" w:type="dxa"/>
          </w:tcPr>
          <w:p w14:paraId="214AF5D9" w14:textId="77777777" w:rsidR="00FD3E8E" w:rsidRPr="00646301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&gt;1</w:t>
            </w:r>
          </w:p>
        </w:tc>
        <w:tc>
          <w:tcPr>
            <w:tcW w:w="2211" w:type="dxa"/>
          </w:tcPr>
          <w:p w14:paraId="53C64DD6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58 (53.7)</w:t>
            </w:r>
          </w:p>
        </w:tc>
        <w:tc>
          <w:tcPr>
            <w:tcW w:w="2146" w:type="dxa"/>
          </w:tcPr>
          <w:p w14:paraId="79A4F9EF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13.8%</w:t>
            </w:r>
          </w:p>
        </w:tc>
        <w:tc>
          <w:tcPr>
            <w:tcW w:w="1918" w:type="dxa"/>
          </w:tcPr>
          <w:p w14:paraId="491534F1" w14:textId="77777777" w:rsidR="00FD3E8E" w:rsidRPr="00646301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46301">
              <w:rPr>
                <w:rFonts w:asciiTheme="majorHAnsi" w:hAnsiTheme="majorHAnsi"/>
                <w:sz w:val="22"/>
                <w:szCs w:val="22"/>
              </w:rPr>
              <w:t>6.1, 25.4</w:t>
            </w:r>
          </w:p>
        </w:tc>
      </w:tr>
      <w:tr w:rsidR="00FD3E8E" w:rsidRPr="00014AD4" w14:paraId="6C610D65" w14:textId="77777777" w:rsidTr="00E44707">
        <w:tc>
          <w:tcPr>
            <w:tcW w:w="9016" w:type="dxa"/>
            <w:gridSpan w:val="4"/>
          </w:tcPr>
          <w:p w14:paraId="17C1442C" w14:textId="77777777" w:rsidR="00FD3E8E" w:rsidRPr="00646301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46301">
              <w:rPr>
                <w:rFonts w:asciiTheme="majorHAnsi" w:hAnsiTheme="majorHAnsi"/>
                <w:b/>
                <w:bCs/>
                <w:sz w:val="22"/>
                <w:szCs w:val="22"/>
              </w:rPr>
              <w:t>GENDER</w:t>
            </w:r>
          </w:p>
        </w:tc>
      </w:tr>
      <w:tr w:rsidR="00FD3E8E" w:rsidRPr="00014AD4" w14:paraId="2143B9D9" w14:textId="77777777" w:rsidTr="00E44707">
        <w:tc>
          <w:tcPr>
            <w:tcW w:w="2741" w:type="dxa"/>
          </w:tcPr>
          <w:p w14:paraId="624BCB7C" w14:textId="77777777" w:rsidR="00FD3E8E" w:rsidRPr="009E1BC3" w:rsidRDefault="00FD3E8E" w:rsidP="00451A85">
            <w:pPr>
              <w:pStyle w:val="SageBodyText"/>
              <w:spacing w:before="0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211" w:type="dxa"/>
          </w:tcPr>
          <w:p w14:paraId="10CA2E30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67 (62)</w:t>
            </w:r>
          </w:p>
        </w:tc>
        <w:tc>
          <w:tcPr>
            <w:tcW w:w="2146" w:type="dxa"/>
          </w:tcPr>
          <w:p w14:paraId="375AAE9F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20.9%</w:t>
            </w:r>
          </w:p>
        </w:tc>
        <w:tc>
          <w:tcPr>
            <w:tcW w:w="1918" w:type="dxa"/>
          </w:tcPr>
          <w:p w14:paraId="2CE9D2AB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11.9, 32.6</w:t>
            </w:r>
          </w:p>
        </w:tc>
      </w:tr>
      <w:tr w:rsidR="00FD3E8E" w:rsidRPr="00014AD4" w14:paraId="6647BF60" w14:textId="77777777" w:rsidTr="00E44707">
        <w:tc>
          <w:tcPr>
            <w:tcW w:w="2741" w:type="dxa"/>
          </w:tcPr>
          <w:p w14:paraId="3E3D7780" w14:textId="77777777" w:rsidR="00FD3E8E" w:rsidRPr="009E1BC3" w:rsidRDefault="00FD3E8E" w:rsidP="00451A85">
            <w:pPr>
              <w:pStyle w:val="SageBodyText"/>
              <w:spacing w:before="0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lastRenderedPageBreak/>
              <w:t>MALE</w:t>
            </w:r>
          </w:p>
        </w:tc>
        <w:tc>
          <w:tcPr>
            <w:tcW w:w="2211" w:type="dxa"/>
          </w:tcPr>
          <w:p w14:paraId="571E2FC8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41 (38)</w:t>
            </w:r>
          </w:p>
        </w:tc>
        <w:tc>
          <w:tcPr>
            <w:tcW w:w="2146" w:type="dxa"/>
          </w:tcPr>
          <w:p w14:paraId="3C1BF408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26.8%</w:t>
            </w:r>
          </w:p>
        </w:tc>
        <w:tc>
          <w:tcPr>
            <w:tcW w:w="1918" w:type="dxa"/>
          </w:tcPr>
          <w:p w14:paraId="176DB1B9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14.2, 42.9</w:t>
            </w:r>
          </w:p>
        </w:tc>
      </w:tr>
      <w:tr w:rsidR="00FD3E8E" w:rsidRPr="00014AD4" w14:paraId="49B3F9F7" w14:textId="77777777" w:rsidTr="00E44707">
        <w:tc>
          <w:tcPr>
            <w:tcW w:w="9016" w:type="dxa"/>
            <w:gridSpan w:val="4"/>
          </w:tcPr>
          <w:p w14:paraId="6985B66A" w14:textId="77777777" w:rsidR="00FD3E8E" w:rsidRPr="009E1BC3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b/>
                <w:bCs/>
                <w:sz w:val="22"/>
                <w:szCs w:val="22"/>
              </w:rPr>
              <w:t>AGE</w:t>
            </w:r>
          </w:p>
        </w:tc>
      </w:tr>
      <w:tr w:rsidR="00FD3E8E" w:rsidRPr="00014AD4" w14:paraId="0746BFEC" w14:textId="77777777" w:rsidTr="00E44707">
        <w:tc>
          <w:tcPr>
            <w:tcW w:w="2741" w:type="dxa"/>
          </w:tcPr>
          <w:p w14:paraId="1889636E" w14:textId="77777777" w:rsidR="00FD3E8E" w:rsidRPr="009E1BC3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&lt;65 YEARS</w:t>
            </w:r>
          </w:p>
        </w:tc>
        <w:tc>
          <w:tcPr>
            <w:tcW w:w="2211" w:type="dxa"/>
          </w:tcPr>
          <w:p w14:paraId="69B83F9C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82 (75.9)</w:t>
            </w:r>
          </w:p>
        </w:tc>
        <w:tc>
          <w:tcPr>
            <w:tcW w:w="2146" w:type="dxa"/>
          </w:tcPr>
          <w:p w14:paraId="5C6D3CE8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22%</w:t>
            </w:r>
          </w:p>
        </w:tc>
        <w:tc>
          <w:tcPr>
            <w:tcW w:w="1918" w:type="dxa"/>
          </w:tcPr>
          <w:p w14:paraId="65C66612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13.6, 32.5</w:t>
            </w:r>
          </w:p>
        </w:tc>
      </w:tr>
      <w:tr w:rsidR="00FD3E8E" w:rsidRPr="00014AD4" w14:paraId="32270CEF" w14:textId="77777777" w:rsidTr="00E44707">
        <w:tc>
          <w:tcPr>
            <w:tcW w:w="2741" w:type="dxa"/>
          </w:tcPr>
          <w:p w14:paraId="403D6C1E" w14:textId="77777777" w:rsidR="00FD3E8E" w:rsidRPr="009E1BC3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≥65 YEARS</w:t>
            </w:r>
          </w:p>
        </w:tc>
        <w:tc>
          <w:tcPr>
            <w:tcW w:w="2211" w:type="dxa"/>
          </w:tcPr>
          <w:p w14:paraId="0F699B42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26 (24.1)</w:t>
            </w:r>
          </w:p>
        </w:tc>
        <w:tc>
          <w:tcPr>
            <w:tcW w:w="2146" w:type="dxa"/>
          </w:tcPr>
          <w:p w14:paraId="6175FD14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26.9%</w:t>
            </w:r>
          </w:p>
        </w:tc>
        <w:tc>
          <w:tcPr>
            <w:tcW w:w="1918" w:type="dxa"/>
          </w:tcPr>
          <w:p w14:paraId="067ADAC3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11.6, 47.8</w:t>
            </w:r>
          </w:p>
        </w:tc>
      </w:tr>
      <w:tr w:rsidR="00FD3E8E" w:rsidRPr="00014AD4" w14:paraId="5B8C30D6" w14:textId="77777777" w:rsidTr="00E44707">
        <w:tc>
          <w:tcPr>
            <w:tcW w:w="9016" w:type="dxa"/>
            <w:gridSpan w:val="4"/>
          </w:tcPr>
          <w:p w14:paraId="1F27F91B" w14:textId="614AEA2B" w:rsidR="00FD3E8E" w:rsidRPr="009E1BC3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b/>
                <w:bCs/>
                <w:sz w:val="22"/>
                <w:szCs w:val="22"/>
              </w:rPr>
              <w:t>REGION</w:t>
            </w:r>
          </w:p>
        </w:tc>
      </w:tr>
      <w:tr w:rsidR="00FD3E8E" w:rsidRPr="00014AD4" w14:paraId="24CBF2E4" w14:textId="77777777" w:rsidTr="00E44707">
        <w:tc>
          <w:tcPr>
            <w:tcW w:w="2741" w:type="dxa"/>
          </w:tcPr>
          <w:p w14:paraId="2C3A6C24" w14:textId="77777777" w:rsidR="00FD3E8E" w:rsidRPr="009E1BC3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NORTH AMERICA</w:t>
            </w:r>
          </w:p>
        </w:tc>
        <w:tc>
          <w:tcPr>
            <w:tcW w:w="2211" w:type="dxa"/>
          </w:tcPr>
          <w:p w14:paraId="58537838" w14:textId="77777777" w:rsidR="00FD3E8E" w:rsidRPr="009E1BC3" w:rsidRDefault="00FD3E8E" w:rsidP="00451A85">
            <w:pPr>
              <w:pStyle w:val="SageBodyText"/>
              <w:tabs>
                <w:tab w:val="left" w:pos="1725"/>
              </w:tabs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77 (71.3)</w:t>
            </w:r>
          </w:p>
        </w:tc>
        <w:tc>
          <w:tcPr>
            <w:tcW w:w="2146" w:type="dxa"/>
          </w:tcPr>
          <w:p w14:paraId="1537DFB4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28.6%</w:t>
            </w:r>
          </w:p>
        </w:tc>
        <w:tc>
          <w:tcPr>
            <w:tcW w:w="1918" w:type="dxa"/>
          </w:tcPr>
          <w:p w14:paraId="1B8DAA53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18.8, 40</w:t>
            </w:r>
          </w:p>
        </w:tc>
      </w:tr>
      <w:tr w:rsidR="00FD3E8E" w:rsidRPr="00014AD4" w14:paraId="2DE6E971" w14:textId="77777777" w:rsidTr="00E44707">
        <w:tc>
          <w:tcPr>
            <w:tcW w:w="2741" w:type="dxa"/>
          </w:tcPr>
          <w:p w14:paraId="3F31EC45" w14:textId="77777777" w:rsidR="00FD3E8E" w:rsidRPr="009E1BC3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WESTERN EUROPE</w:t>
            </w:r>
          </w:p>
        </w:tc>
        <w:tc>
          <w:tcPr>
            <w:tcW w:w="2211" w:type="dxa"/>
          </w:tcPr>
          <w:p w14:paraId="7941EBEE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24 (22.2)</w:t>
            </w:r>
          </w:p>
        </w:tc>
        <w:tc>
          <w:tcPr>
            <w:tcW w:w="2146" w:type="dxa"/>
          </w:tcPr>
          <w:p w14:paraId="7104F3A2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8.3%</w:t>
            </w:r>
          </w:p>
        </w:tc>
        <w:tc>
          <w:tcPr>
            <w:tcW w:w="1918" w:type="dxa"/>
          </w:tcPr>
          <w:p w14:paraId="66037686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1, 27</w:t>
            </w:r>
          </w:p>
        </w:tc>
      </w:tr>
      <w:tr w:rsidR="00FD3E8E" w:rsidRPr="00014AD4" w14:paraId="4BCFDA05" w14:textId="77777777" w:rsidTr="00E44707">
        <w:trPr>
          <w:trHeight w:val="287"/>
        </w:trPr>
        <w:tc>
          <w:tcPr>
            <w:tcW w:w="2741" w:type="dxa"/>
          </w:tcPr>
          <w:p w14:paraId="0E966A12" w14:textId="77777777" w:rsidR="00FD3E8E" w:rsidRPr="009E1BC3" w:rsidRDefault="00FD3E8E" w:rsidP="00451A85">
            <w:pPr>
              <w:pStyle w:val="SageBodyText"/>
              <w:spacing w:before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ASIA</w:t>
            </w:r>
          </w:p>
        </w:tc>
        <w:tc>
          <w:tcPr>
            <w:tcW w:w="2211" w:type="dxa"/>
          </w:tcPr>
          <w:p w14:paraId="3B6FFC19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7 (6.5)</w:t>
            </w:r>
          </w:p>
        </w:tc>
        <w:tc>
          <w:tcPr>
            <w:tcW w:w="2146" w:type="dxa"/>
          </w:tcPr>
          <w:p w14:paraId="52271077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14.3%</w:t>
            </w:r>
          </w:p>
        </w:tc>
        <w:tc>
          <w:tcPr>
            <w:tcW w:w="1918" w:type="dxa"/>
          </w:tcPr>
          <w:p w14:paraId="3FAF86B6" w14:textId="77777777" w:rsidR="00FD3E8E" w:rsidRPr="009E1BC3" w:rsidRDefault="00FD3E8E" w:rsidP="00451A85">
            <w:pPr>
              <w:pStyle w:val="SageBodyText"/>
              <w:spacing w:befor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1BC3">
              <w:rPr>
                <w:rFonts w:asciiTheme="majorHAnsi" w:hAnsiTheme="majorHAnsi"/>
                <w:sz w:val="22"/>
                <w:szCs w:val="22"/>
              </w:rPr>
              <w:t>0.4, 57.9</w:t>
            </w:r>
          </w:p>
        </w:tc>
      </w:tr>
    </w:tbl>
    <w:p w14:paraId="227F2580" w14:textId="77777777" w:rsidR="00E44707" w:rsidRPr="009E1BC3" w:rsidRDefault="00E44707" w:rsidP="00E4470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9E1BC3">
        <w:rPr>
          <w:rFonts w:asciiTheme="majorHAnsi" w:hAnsiTheme="majorHAnsi" w:cs="Times New Roman"/>
          <w:sz w:val="18"/>
          <w:szCs w:val="18"/>
        </w:rPr>
        <w:t xml:space="preserve">Abbreviations: CI=confidence interval; ORR=overall response rate. </w:t>
      </w:r>
    </w:p>
    <w:p w14:paraId="59C466DD" w14:textId="02CE5933" w:rsidR="00FD3E8E" w:rsidRPr="009E1BC3" w:rsidRDefault="00E44707" w:rsidP="00E44707">
      <w:pPr>
        <w:rPr>
          <w:rFonts w:asciiTheme="majorHAnsi" w:hAnsiTheme="majorHAnsi"/>
          <w:sz w:val="18"/>
          <w:szCs w:val="18"/>
          <w:lang w:val="en-US"/>
        </w:rPr>
      </w:pPr>
      <w:r w:rsidRPr="009E1BC3">
        <w:rPr>
          <w:rFonts w:asciiTheme="majorHAnsi" w:hAnsiTheme="majorHAnsi" w:cs="Times New Roman"/>
          <w:sz w:val="18"/>
          <w:szCs w:val="18"/>
        </w:rPr>
        <w:t>Note: Data are according to RECIST v1.1. ORR is based upon confirmed complete and partial responses per BICR assessment.</w:t>
      </w:r>
    </w:p>
    <w:p w14:paraId="3E6074B1" w14:textId="77777777" w:rsidR="00FD3E8E" w:rsidRPr="009E1BC3" w:rsidRDefault="001A3992" w:rsidP="001A3992">
      <w:pPr>
        <w:pStyle w:val="Heading2"/>
        <w:keepNext/>
        <w:spacing w:before="0" w:after="120"/>
        <w:rPr>
          <w:lang w:val="en-US"/>
        </w:rPr>
      </w:pPr>
      <w:r w:rsidRPr="009E1BC3">
        <w:rPr>
          <w:lang w:val="en-US"/>
        </w:rPr>
        <w:t>Pharmacokinetic properties</w:t>
      </w:r>
    </w:p>
    <w:p w14:paraId="09043BE6" w14:textId="44F586B9" w:rsidR="004E483B" w:rsidRDefault="00FD3E8E" w:rsidP="001E1F37">
      <w:pPr>
        <w:jc w:val="both"/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 xml:space="preserve">The pharmacokinetics of </w:t>
      </w:r>
      <w:proofErr w:type="spellStart"/>
      <w:r w:rsidR="00BA20F4" w:rsidRPr="009E1BC3">
        <w:rPr>
          <w:rFonts w:asciiTheme="majorHAnsi" w:hAnsiTheme="majorHAnsi"/>
        </w:rPr>
        <w:t>infigratinib</w:t>
      </w:r>
      <w:proofErr w:type="spellEnd"/>
      <w:r w:rsidR="00B129B1" w:rsidRPr="009E1BC3">
        <w:rPr>
          <w:rFonts w:asciiTheme="majorHAnsi" w:hAnsiTheme="majorHAnsi"/>
          <w:lang w:val="en-US"/>
        </w:rPr>
        <w:t xml:space="preserve"> and</w:t>
      </w:r>
      <w:r w:rsidRPr="009E1BC3">
        <w:rPr>
          <w:rFonts w:asciiTheme="majorHAnsi" w:hAnsiTheme="majorHAnsi"/>
          <w:lang w:val="en-US"/>
        </w:rPr>
        <w:t xml:space="preserve"> its active metabolites BHS697 and CQM157 have been studied in healthy subjects and oncology patients</w:t>
      </w:r>
      <w:r w:rsidR="004E483B" w:rsidRPr="009E1BC3">
        <w:rPr>
          <w:rFonts w:asciiTheme="majorHAnsi" w:hAnsiTheme="majorHAnsi"/>
          <w:lang w:val="en-US"/>
        </w:rPr>
        <w:t>.</w:t>
      </w:r>
    </w:p>
    <w:p w14:paraId="1A3E4219" w14:textId="72252661" w:rsidR="00AC16B5" w:rsidRDefault="00413EEE" w:rsidP="00413EEE">
      <w:pPr>
        <w:jc w:val="both"/>
        <w:rPr>
          <w:rFonts w:asciiTheme="majorHAnsi" w:hAnsiTheme="majorHAnsi"/>
          <w:lang w:val="en-US"/>
        </w:rPr>
      </w:pPr>
      <w:r w:rsidRPr="00413EEE">
        <w:rPr>
          <w:rFonts w:asciiTheme="majorHAnsi" w:hAnsiTheme="majorHAnsi"/>
          <w:lang w:val="en-US"/>
        </w:rPr>
        <w:t>The mean (coefficient of variation [%CV]) steady-state maximum plasma concentration (</w:t>
      </w:r>
      <w:proofErr w:type="spellStart"/>
      <w:r w:rsidRPr="00413EEE">
        <w:rPr>
          <w:rFonts w:asciiTheme="majorHAnsi" w:hAnsiTheme="majorHAnsi"/>
          <w:lang w:val="en-US"/>
        </w:rPr>
        <w:t>C</w:t>
      </w:r>
      <w:r w:rsidRPr="00413EEE">
        <w:rPr>
          <w:rFonts w:asciiTheme="majorHAnsi" w:hAnsiTheme="majorHAnsi"/>
          <w:vertAlign w:val="subscript"/>
          <w:lang w:val="en-US"/>
        </w:rPr>
        <w:t>max</w:t>
      </w:r>
      <w:proofErr w:type="spellEnd"/>
      <w:r w:rsidRPr="00413EEE">
        <w:rPr>
          <w:rFonts w:asciiTheme="majorHAnsi" w:hAnsiTheme="majorHAnsi"/>
          <w:lang w:val="en-US"/>
        </w:rPr>
        <w:t>) and area under</w:t>
      </w:r>
      <w:r>
        <w:rPr>
          <w:rFonts w:asciiTheme="majorHAnsi" w:hAnsiTheme="majorHAnsi"/>
          <w:lang w:val="en-US"/>
        </w:rPr>
        <w:t xml:space="preserve"> </w:t>
      </w:r>
      <w:r w:rsidRPr="00413EEE">
        <w:rPr>
          <w:rFonts w:asciiTheme="majorHAnsi" w:hAnsiTheme="majorHAnsi"/>
          <w:lang w:val="en-US"/>
        </w:rPr>
        <w:t>the curve over a dosing interval (AUC</w:t>
      </w:r>
      <w:r w:rsidRPr="00413EEE">
        <w:rPr>
          <w:rFonts w:asciiTheme="majorHAnsi" w:hAnsiTheme="majorHAnsi"/>
          <w:vertAlign w:val="subscript"/>
          <w:lang w:val="en-US"/>
        </w:rPr>
        <w:t>0-24h</w:t>
      </w:r>
      <w:r w:rsidRPr="00413EEE">
        <w:rPr>
          <w:rFonts w:asciiTheme="majorHAnsi" w:hAnsiTheme="majorHAnsi"/>
          <w:lang w:val="en-US"/>
        </w:rPr>
        <w:t xml:space="preserve">) of </w:t>
      </w:r>
      <w:proofErr w:type="spellStart"/>
      <w:r w:rsidRPr="00413EEE">
        <w:rPr>
          <w:rFonts w:asciiTheme="majorHAnsi" w:hAnsiTheme="majorHAnsi"/>
          <w:lang w:val="en-US"/>
        </w:rPr>
        <w:t>infigratinib</w:t>
      </w:r>
      <w:proofErr w:type="spellEnd"/>
      <w:r w:rsidRPr="00413EEE">
        <w:rPr>
          <w:rFonts w:asciiTheme="majorHAnsi" w:hAnsiTheme="majorHAnsi"/>
          <w:lang w:val="en-US"/>
        </w:rPr>
        <w:t xml:space="preserve"> and active metabolites, BHS697 and CQM157, are</w:t>
      </w:r>
      <w:r>
        <w:rPr>
          <w:rFonts w:asciiTheme="majorHAnsi" w:hAnsiTheme="majorHAnsi"/>
          <w:lang w:val="en-US"/>
        </w:rPr>
        <w:t xml:space="preserve"> </w:t>
      </w:r>
      <w:r w:rsidRPr="00413EEE">
        <w:rPr>
          <w:rFonts w:asciiTheme="majorHAnsi" w:hAnsiTheme="majorHAnsi"/>
          <w:lang w:val="en-US"/>
        </w:rPr>
        <w:t xml:space="preserve">presented in Table </w:t>
      </w:r>
      <w:r>
        <w:rPr>
          <w:rFonts w:asciiTheme="majorHAnsi" w:hAnsiTheme="majorHAnsi"/>
          <w:lang w:val="en-US"/>
        </w:rPr>
        <w:t>6</w:t>
      </w:r>
      <w:r w:rsidRPr="00413EEE">
        <w:rPr>
          <w:rFonts w:asciiTheme="majorHAnsi" w:hAnsiTheme="majorHAnsi"/>
          <w:lang w:val="en-US"/>
        </w:rPr>
        <w:t>.</w:t>
      </w:r>
    </w:p>
    <w:p w14:paraId="163E3ABF" w14:textId="544070F3" w:rsidR="00031B55" w:rsidRDefault="00031B55" w:rsidP="00413EEE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Table 6: </w:t>
      </w:r>
      <w:r w:rsidR="00392802" w:rsidRPr="00392802">
        <w:rPr>
          <w:rFonts w:asciiTheme="majorHAnsi" w:hAnsiTheme="majorHAnsi"/>
          <w:lang w:val="en-US"/>
        </w:rPr>
        <w:t xml:space="preserve">Mean (%CV) Exposure of </w:t>
      </w:r>
      <w:proofErr w:type="spellStart"/>
      <w:r w:rsidR="00392802" w:rsidRPr="00392802">
        <w:rPr>
          <w:rFonts w:asciiTheme="majorHAnsi" w:hAnsiTheme="majorHAnsi"/>
          <w:lang w:val="en-US"/>
        </w:rPr>
        <w:t>Infigratinib</w:t>
      </w:r>
      <w:proofErr w:type="spellEnd"/>
      <w:r w:rsidR="00392802" w:rsidRPr="00392802">
        <w:rPr>
          <w:rFonts w:asciiTheme="majorHAnsi" w:hAnsiTheme="majorHAnsi"/>
          <w:lang w:val="en-US"/>
        </w:rPr>
        <w:t xml:space="preserve"> and Active Metabolites</w:t>
      </w:r>
      <w:r w:rsidR="00392802">
        <w:rPr>
          <w:rFonts w:asciiTheme="majorHAnsi" w:hAnsiTheme="majorHAnsi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31B55" w14:paraId="1CD99B29" w14:textId="77777777" w:rsidTr="00031B55">
        <w:tc>
          <w:tcPr>
            <w:tcW w:w="2254" w:type="dxa"/>
          </w:tcPr>
          <w:p w14:paraId="788B6046" w14:textId="77777777" w:rsidR="00031B55" w:rsidRDefault="00031B55" w:rsidP="00413EEE">
            <w:pPr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254" w:type="dxa"/>
          </w:tcPr>
          <w:p w14:paraId="15F942E3" w14:textId="78EC09AD" w:rsidR="00031B55" w:rsidRPr="00D54F00" w:rsidRDefault="00CB3E37" w:rsidP="00413EEE">
            <w:pPr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  <w:proofErr w:type="spellStart"/>
            <w:r w:rsidRPr="00D54F00">
              <w:rPr>
                <w:rFonts w:asciiTheme="majorHAnsi" w:hAnsiTheme="majorHAnsi"/>
                <w:b/>
                <w:bCs/>
                <w:lang w:val="en-US"/>
              </w:rPr>
              <w:t>Infigratinib</w:t>
            </w:r>
            <w:proofErr w:type="spellEnd"/>
            <w:r w:rsidRPr="00D54F00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2254" w:type="dxa"/>
          </w:tcPr>
          <w:p w14:paraId="1687AFD8" w14:textId="13F2DC47" w:rsidR="00031B55" w:rsidRPr="00D54F00" w:rsidRDefault="00CB3E37" w:rsidP="00413EEE">
            <w:pPr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  <w:r w:rsidRPr="00D54F00">
              <w:rPr>
                <w:rFonts w:asciiTheme="majorHAnsi" w:hAnsiTheme="majorHAnsi"/>
                <w:b/>
                <w:bCs/>
                <w:lang w:val="en-US"/>
              </w:rPr>
              <w:t>BHS697</w:t>
            </w:r>
          </w:p>
        </w:tc>
        <w:tc>
          <w:tcPr>
            <w:tcW w:w="2254" w:type="dxa"/>
          </w:tcPr>
          <w:p w14:paraId="6E71BFD7" w14:textId="1C875D91" w:rsidR="00031B55" w:rsidRPr="00D54F00" w:rsidRDefault="00CB3E37" w:rsidP="00413EEE">
            <w:pPr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  <w:r w:rsidRPr="00D54F00">
              <w:rPr>
                <w:rFonts w:asciiTheme="majorHAnsi" w:hAnsiTheme="majorHAnsi"/>
                <w:b/>
                <w:bCs/>
                <w:lang w:val="en-US"/>
              </w:rPr>
              <w:t>CQM157</w:t>
            </w:r>
          </w:p>
        </w:tc>
      </w:tr>
      <w:tr w:rsidR="00031B55" w14:paraId="756512B2" w14:textId="77777777" w:rsidTr="00031B55">
        <w:tc>
          <w:tcPr>
            <w:tcW w:w="2254" w:type="dxa"/>
          </w:tcPr>
          <w:p w14:paraId="632237B4" w14:textId="3FB9E64A" w:rsidR="00031B55" w:rsidRDefault="00CB3E37" w:rsidP="00413EEE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C</w:t>
            </w:r>
            <w:r w:rsidRPr="00D54F00">
              <w:rPr>
                <w:rFonts w:asciiTheme="majorHAnsi" w:hAnsiTheme="majorHAnsi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2254" w:type="dxa"/>
          </w:tcPr>
          <w:p w14:paraId="32BFDCFE" w14:textId="113548CB" w:rsidR="00031B55" w:rsidRDefault="00D54F00" w:rsidP="00D54F00">
            <w:pPr>
              <w:jc w:val="both"/>
              <w:rPr>
                <w:rFonts w:asciiTheme="majorHAnsi" w:hAnsiTheme="majorHAnsi"/>
                <w:lang w:val="en-US"/>
              </w:rPr>
            </w:pPr>
            <w:r w:rsidRPr="00D54F00">
              <w:rPr>
                <w:rFonts w:asciiTheme="majorHAnsi" w:hAnsiTheme="majorHAnsi"/>
                <w:lang w:val="en-US"/>
              </w:rPr>
              <w:t>282.5 ng/mL (54%)</w:t>
            </w:r>
          </w:p>
        </w:tc>
        <w:tc>
          <w:tcPr>
            <w:tcW w:w="2254" w:type="dxa"/>
          </w:tcPr>
          <w:p w14:paraId="058DC5A2" w14:textId="10861EC7" w:rsidR="00031B55" w:rsidRDefault="00D54F00" w:rsidP="00413EEE">
            <w:pPr>
              <w:jc w:val="both"/>
              <w:rPr>
                <w:rFonts w:asciiTheme="majorHAnsi" w:hAnsiTheme="majorHAnsi"/>
                <w:lang w:val="en-US"/>
              </w:rPr>
            </w:pPr>
            <w:r w:rsidRPr="00D54F00">
              <w:rPr>
                <w:rFonts w:asciiTheme="majorHAnsi" w:hAnsiTheme="majorHAnsi"/>
                <w:lang w:val="en-US"/>
              </w:rPr>
              <w:t>42.1 ng/mL (65%)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2254" w:type="dxa"/>
          </w:tcPr>
          <w:p w14:paraId="2AE384A9" w14:textId="55861687" w:rsidR="00031B55" w:rsidRDefault="00625C3A" w:rsidP="00413EEE">
            <w:pPr>
              <w:jc w:val="both"/>
              <w:rPr>
                <w:rFonts w:asciiTheme="majorHAnsi" w:hAnsiTheme="majorHAnsi"/>
                <w:lang w:val="en-US"/>
              </w:rPr>
            </w:pPr>
            <w:r w:rsidRPr="00625C3A">
              <w:rPr>
                <w:rFonts w:asciiTheme="majorHAnsi" w:hAnsiTheme="majorHAnsi"/>
                <w:lang w:val="en-US"/>
              </w:rPr>
              <w:t>15.7 ng/mL (92%)</w:t>
            </w:r>
          </w:p>
        </w:tc>
      </w:tr>
      <w:tr w:rsidR="00031B55" w14:paraId="45AD15B4" w14:textId="77777777" w:rsidTr="00031B55">
        <w:tc>
          <w:tcPr>
            <w:tcW w:w="2254" w:type="dxa"/>
          </w:tcPr>
          <w:p w14:paraId="418B258F" w14:textId="4011B4A7" w:rsidR="00031B55" w:rsidRDefault="00CB3E37" w:rsidP="00413EEE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AUC</w:t>
            </w:r>
            <w:r w:rsidRPr="00D54F00">
              <w:rPr>
                <w:rFonts w:asciiTheme="majorHAnsi" w:hAnsiTheme="majorHAnsi"/>
                <w:vertAlign w:val="subscript"/>
                <w:lang w:val="en-US"/>
              </w:rPr>
              <w:t>0-24h</w:t>
            </w:r>
          </w:p>
        </w:tc>
        <w:tc>
          <w:tcPr>
            <w:tcW w:w="2254" w:type="dxa"/>
          </w:tcPr>
          <w:p w14:paraId="122CB233" w14:textId="3E1D368B" w:rsidR="00031B55" w:rsidRDefault="00D54F00" w:rsidP="00413EEE">
            <w:pPr>
              <w:jc w:val="both"/>
              <w:rPr>
                <w:rFonts w:asciiTheme="majorHAnsi" w:hAnsiTheme="majorHAnsi"/>
                <w:lang w:val="en-US"/>
              </w:rPr>
            </w:pPr>
            <w:r w:rsidRPr="00D54F00">
              <w:rPr>
                <w:rFonts w:asciiTheme="majorHAnsi" w:hAnsiTheme="majorHAnsi"/>
                <w:lang w:val="en-US"/>
              </w:rPr>
              <w:t xml:space="preserve">3780 </w:t>
            </w:r>
            <w:proofErr w:type="spellStart"/>
            <w:r w:rsidRPr="00D54F00">
              <w:rPr>
                <w:rFonts w:asciiTheme="majorHAnsi" w:hAnsiTheme="majorHAnsi"/>
                <w:lang w:val="en-US"/>
              </w:rPr>
              <w:t>ng•h</w:t>
            </w:r>
            <w:proofErr w:type="spellEnd"/>
            <w:r w:rsidRPr="00D54F00">
              <w:rPr>
                <w:rFonts w:asciiTheme="majorHAnsi" w:hAnsiTheme="majorHAnsi"/>
                <w:lang w:val="en-US"/>
              </w:rPr>
              <w:t>/mL (59%)</w:t>
            </w:r>
          </w:p>
        </w:tc>
        <w:tc>
          <w:tcPr>
            <w:tcW w:w="2254" w:type="dxa"/>
          </w:tcPr>
          <w:p w14:paraId="57BCFA6F" w14:textId="0138021C" w:rsidR="00031B55" w:rsidRDefault="00625C3A" w:rsidP="00413EEE">
            <w:pPr>
              <w:jc w:val="both"/>
              <w:rPr>
                <w:rFonts w:asciiTheme="majorHAnsi" w:hAnsiTheme="majorHAnsi"/>
                <w:lang w:val="en-US"/>
              </w:rPr>
            </w:pPr>
            <w:r w:rsidRPr="00625C3A">
              <w:rPr>
                <w:rFonts w:asciiTheme="majorHAnsi" w:hAnsiTheme="majorHAnsi"/>
                <w:lang w:val="en-US"/>
              </w:rPr>
              <w:t xml:space="preserve">717 </w:t>
            </w:r>
            <w:proofErr w:type="spellStart"/>
            <w:r w:rsidRPr="00625C3A">
              <w:rPr>
                <w:rFonts w:asciiTheme="majorHAnsi" w:hAnsiTheme="majorHAnsi"/>
                <w:lang w:val="en-US"/>
              </w:rPr>
              <w:t>ng•h</w:t>
            </w:r>
            <w:proofErr w:type="spellEnd"/>
            <w:r w:rsidRPr="00625C3A">
              <w:rPr>
                <w:rFonts w:asciiTheme="majorHAnsi" w:hAnsiTheme="majorHAnsi"/>
                <w:lang w:val="en-US"/>
              </w:rPr>
              <w:t>/mL (55%)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</w:p>
        </w:tc>
        <w:tc>
          <w:tcPr>
            <w:tcW w:w="2254" w:type="dxa"/>
          </w:tcPr>
          <w:p w14:paraId="07E05F1A" w14:textId="0E169F1E" w:rsidR="00031B55" w:rsidRDefault="00625C3A" w:rsidP="00413EEE">
            <w:pPr>
              <w:jc w:val="both"/>
              <w:rPr>
                <w:rFonts w:asciiTheme="majorHAnsi" w:hAnsiTheme="majorHAnsi"/>
                <w:lang w:val="en-US"/>
              </w:rPr>
            </w:pPr>
            <w:r w:rsidRPr="00625C3A">
              <w:rPr>
                <w:rFonts w:asciiTheme="majorHAnsi" w:hAnsiTheme="majorHAnsi"/>
                <w:lang w:val="en-US"/>
              </w:rPr>
              <w:t xml:space="preserve">428 </w:t>
            </w:r>
            <w:proofErr w:type="spellStart"/>
            <w:r w:rsidRPr="00625C3A">
              <w:rPr>
                <w:rFonts w:asciiTheme="majorHAnsi" w:hAnsiTheme="majorHAnsi"/>
                <w:lang w:val="en-US"/>
              </w:rPr>
              <w:t>ng•h</w:t>
            </w:r>
            <w:proofErr w:type="spellEnd"/>
            <w:r w:rsidRPr="00625C3A">
              <w:rPr>
                <w:rFonts w:asciiTheme="majorHAnsi" w:hAnsiTheme="majorHAnsi"/>
                <w:lang w:val="en-US"/>
              </w:rPr>
              <w:t>/mL (72%)</w:t>
            </w:r>
          </w:p>
        </w:tc>
      </w:tr>
    </w:tbl>
    <w:p w14:paraId="13665F53" w14:textId="5963A7C0" w:rsidR="00413EEE" w:rsidRDefault="00413EEE" w:rsidP="00413EEE">
      <w:pPr>
        <w:jc w:val="both"/>
        <w:rPr>
          <w:rFonts w:asciiTheme="majorHAnsi" w:hAnsiTheme="majorHAnsi"/>
          <w:lang w:val="en-US"/>
        </w:rPr>
      </w:pPr>
    </w:p>
    <w:p w14:paraId="3FA0B0BF" w14:textId="523844F9" w:rsidR="00413EEE" w:rsidRPr="009E1BC3" w:rsidRDefault="00413EEE" w:rsidP="00413EEE">
      <w:pPr>
        <w:jc w:val="both"/>
        <w:rPr>
          <w:rFonts w:asciiTheme="majorHAnsi" w:hAnsiTheme="majorHAnsi"/>
          <w:lang w:val="en-US"/>
        </w:rPr>
      </w:pPr>
      <w:proofErr w:type="spellStart"/>
      <w:r w:rsidRPr="00413EEE">
        <w:rPr>
          <w:rFonts w:asciiTheme="majorHAnsi" w:hAnsiTheme="majorHAnsi"/>
          <w:lang w:val="en-US"/>
        </w:rPr>
        <w:t>Infigratinib</w:t>
      </w:r>
      <w:proofErr w:type="spellEnd"/>
      <w:r w:rsidRPr="00413EEE">
        <w:rPr>
          <w:rFonts w:asciiTheme="majorHAnsi" w:hAnsiTheme="majorHAnsi"/>
          <w:lang w:val="en-US"/>
        </w:rPr>
        <w:t xml:space="preserve"> </w:t>
      </w:r>
      <w:proofErr w:type="spellStart"/>
      <w:r w:rsidRPr="00413EEE">
        <w:rPr>
          <w:rFonts w:asciiTheme="majorHAnsi" w:hAnsiTheme="majorHAnsi"/>
          <w:lang w:val="en-US"/>
        </w:rPr>
        <w:t>C</w:t>
      </w:r>
      <w:r w:rsidRPr="00413EEE">
        <w:rPr>
          <w:rFonts w:asciiTheme="majorHAnsi" w:hAnsiTheme="majorHAnsi"/>
          <w:vertAlign w:val="subscript"/>
          <w:lang w:val="en-US"/>
        </w:rPr>
        <w:t>max</w:t>
      </w:r>
      <w:proofErr w:type="spellEnd"/>
      <w:r w:rsidRPr="00413EEE">
        <w:rPr>
          <w:rFonts w:asciiTheme="majorHAnsi" w:hAnsiTheme="majorHAnsi"/>
          <w:lang w:val="en-US"/>
        </w:rPr>
        <w:t xml:space="preserve"> and AUC increased more than proportionally across the dose range of 5 to 150 mg (0.04 to 1.2</w:t>
      </w:r>
      <w:r>
        <w:rPr>
          <w:rFonts w:asciiTheme="majorHAnsi" w:hAnsiTheme="majorHAnsi"/>
          <w:lang w:val="en-US"/>
        </w:rPr>
        <w:t xml:space="preserve"> </w:t>
      </w:r>
      <w:r w:rsidRPr="00413EEE">
        <w:rPr>
          <w:rFonts w:asciiTheme="majorHAnsi" w:hAnsiTheme="majorHAnsi"/>
          <w:lang w:val="en-US"/>
        </w:rPr>
        <w:t>times the approved recommended dose). Steady state was achieved within 15 days and the mean accumulation</w:t>
      </w:r>
      <w:r>
        <w:rPr>
          <w:rFonts w:asciiTheme="majorHAnsi" w:hAnsiTheme="majorHAnsi"/>
          <w:lang w:val="en-US"/>
        </w:rPr>
        <w:t xml:space="preserve"> </w:t>
      </w:r>
      <w:r w:rsidRPr="00413EEE">
        <w:rPr>
          <w:rFonts w:asciiTheme="majorHAnsi" w:hAnsiTheme="majorHAnsi"/>
          <w:lang w:val="en-US"/>
        </w:rPr>
        <w:t xml:space="preserve">ratio was 8- and 5-fold for </w:t>
      </w:r>
      <w:proofErr w:type="spellStart"/>
      <w:r w:rsidRPr="00413EEE">
        <w:rPr>
          <w:rFonts w:asciiTheme="majorHAnsi" w:hAnsiTheme="majorHAnsi"/>
          <w:lang w:val="en-US"/>
        </w:rPr>
        <w:t>C</w:t>
      </w:r>
      <w:r w:rsidRPr="00413EEE">
        <w:rPr>
          <w:rFonts w:asciiTheme="majorHAnsi" w:hAnsiTheme="majorHAnsi"/>
          <w:vertAlign w:val="subscript"/>
          <w:lang w:val="en-US"/>
        </w:rPr>
        <w:t>max</w:t>
      </w:r>
      <w:proofErr w:type="spellEnd"/>
      <w:r w:rsidRPr="00413EEE">
        <w:rPr>
          <w:rFonts w:asciiTheme="majorHAnsi" w:hAnsiTheme="majorHAnsi"/>
          <w:lang w:val="en-US"/>
        </w:rPr>
        <w:t xml:space="preserve"> and AUC, respectively</w:t>
      </w:r>
      <w:r>
        <w:rPr>
          <w:rFonts w:asciiTheme="majorHAnsi" w:hAnsiTheme="majorHAnsi"/>
          <w:lang w:val="en-US"/>
        </w:rPr>
        <w:t>.</w:t>
      </w:r>
    </w:p>
    <w:p w14:paraId="2F6921E2" w14:textId="358E5F95" w:rsidR="0021200F" w:rsidRPr="009E1BC3" w:rsidRDefault="0021200F" w:rsidP="00FD3E8E">
      <w:pPr>
        <w:pStyle w:val="Heading3"/>
        <w:spacing w:before="0" w:after="120"/>
        <w:ind w:left="0"/>
        <w:rPr>
          <w:rFonts w:cstheme="minorHAnsi"/>
          <w:b w:val="0"/>
        </w:rPr>
      </w:pPr>
      <w:r w:rsidRPr="009E1BC3">
        <w:rPr>
          <w:rFonts w:cstheme="minorHAnsi"/>
        </w:rPr>
        <w:t xml:space="preserve">Absorption </w:t>
      </w:r>
    </w:p>
    <w:p w14:paraId="57DB2526" w14:textId="77777777" w:rsidR="00FD3E8E" w:rsidRPr="009E1BC3" w:rsidRDefault="00FD3E8E" w:rsidP="001E1F37">
      <w:pPr>
        <w:jc w:val="both"/>
        <w:rPr>
          <w:rFonts w:asciiTheme="majorHAnsi" w:hAnsiTheme="majorHAnsi"/>
        </w:rPr>
      </w:pPr>
      <w:r w:rsidRPr="009E1BC3">
        <w:rPr>
          <w:rFonts w:asciiTheme="majorHAnsi" w:hAnsiTheme="majorHAnsi"/>
        </w:rPr>
        <w:t>Median time to achieve peak plasma concentration (</w:t>
      </w:r>
      <w:proofErr w:type="spellStart"/>
      <w:r w:rsidRPr="009E1BC3">
        <w:rPr>
          <w:rFonts w:asciiTheme="majorHAnsi" w:hAnsiTheme="majorHAnsi"/>
        </w:rPr>
        <w:t>t</w:t>
      </w:r>
      <w:r w:rsidRPr="009E1BC3">
        <w:rPr>
          <w:rFonts w:asciiTheme="majorHAnsi" w:hAnsiTheme="majorHAnsi"/>
          <w:vertAlign w:val="subscript"/>
        </w:rPr>
        <w:t>max</w:t>
      </w:r>
      <w:proofErr w:type="spellEnd"/>
      <w:r w:rsidRPr="009E1BC3">
        <w:rPr>
          <w:rFonts w:asciiTheme="majorHAnsi" w:hAnsiTheme="majorHAnsi"/>
        </w:rPr>
        <w:t>) was 6.0 hours (range: 2 to 7 hours).</w:t>
      </w:r>
    </w:p>
    <w:p w14:paraId="2B8CCBDD" w14:textId="77777777" w:rsidR="00FD3E8E" w:rsidRPr="00585D2C" w:rsidRDefault="00FD3E8E" w:rsidP="00FD3E8E">
      <w:pPr>
        <w:rPr>
          <w:rFonts w:asciiTheme="majorHAnsi" w:hAnsiTheme="majorHAnsi"/>
          <w:u w:val="single"/>
        </w:rPr>
      </w:pPr>
      <w:r w:rsidRPr="00585D2C">
        <w:rPr>
          <w:rFonts w:asciiTheme="majorHAnsi" w:hAnsiTheme="majorHAnsi"/>
          <w:u w:val="single"/>
        </w:rPr>
        <w:t>Effect of Food</w:t>
      </w:r>
    </w:p>
    <w:p w14:paraId="275CD83E" w14:textId="6ECC214B" w:rsidR="00092436" w:rsidRDefault="00092436" w:rsidP="005901B3">
      <w:pPr>
        <w:jc w:val="both"/>
        <w:rPr>
          <w:rFonts w:asciiTheme="majorHAnsi" w:hAnsiTheme="majorHAnsi" w:cs="TimesNewRomanPSMT"/>
        </w:rPr>
      </w:pPr>
      <w:r w:rsidRPr="00585D2C">
        <w:rPr>
          <w:rFonts w:asciiTheme="majorHAnsi" w:hAnsiTheme="majorHAnsi"/>
        </w:rPr>
        <w:t>Following a</w:t>
      </w:r>
      <w:r w:rsidR="00FD3E8E" w:rsidRPr="00585D2C">
        <w:rPr>
          <w:rFonts w:asciiTheme="majorHAnsi" w:hAnsiTheme="majorHAnsi"/>
        </w:rPr>
        <w:t xml:space="preserve">dministration of </w:t>
      </w:r>
      <w:r w:rsidRPr="00585D2C">
        <w:rPr>
          <w:rFonts w:asciiTheme="majorHAnsi" w:hAnsiTheme="majorHAnsi" w:cstheme="minorHAnsi"/>
          <w:lang w:val="en"/>
        </w:rPr>
        <w:t>TRUSELTIQ</w:t>
      </w:r>
      <w:r w:rsidRPr="00585D2C">
        <w:rPr>
          <w:rFonts w:asciiTheme="majorHAnsi" w:hAnsiTheme="majorHAnsi" w:cstheme="minorHAnsi"/>
          <w:vertAlign w:val="superscript"/>
          <w:lang w:val="en"/>
        </w:rPr>
        <w:t>TM</w:t>
      </w:r>
      <w:r w:rsidRPr="00585D2C" w:rsidDel="00092436">
        <w:rPr>
          <w:rFonts w:asciiTheme="majorHAnsi" w:hAnsiTheme="majorHAnsi"/>
        </w:rPr>
        <w:t xml:space="preserve"> </w:t>
      </w:r>
      <w:r w:rsidR="00FD3E8E" w:rsidRPr="00585D2C">
        <w:rPr>
          <w:rFonts w:asciiTheme="majorHAnsi" w:hAnsiTheme="majorHAnsi"/>
        </w:rPr>
        <w:t xml:space="preserve">with a high-fat and high-calorie meal (800 to 1,000 calories with approximately 50% of total caloric content of the meal from fat) </w:t>
      </w:r>
      <w:r w:rsidRPr="00585D2C">
        <w:rPr>
          <w:rFonts w:asciiTheme="majorHAnsi" w:hAnsiTheme="majorHAnsi"/>
        </w:rPr>
        <w:t xml:space="preserve">in healthy subjects, the mean </w:t>
      </w:r>
      <w:r w:rsidRPr="00585D2C">
        <w:rPr>
          <w:rFonts w:asciiTheme="majorHAnsi" w:hAnsiTheme="majorHAnsi" w:cs="TimesNewRomanPSMT"/>
        </w:rPr>
        <w:t>AUC</w:t>
      </w:r>
      <w:r w:rsidRPr="00585D2C">
        <w:rPr>
          <w:rFonts w:asciiTheme="majorHAnsi" w:hAnsiTheme="majorHAnsi" w:cs="TimesNewRomanPSMT"/>
          <w:vertAlign w:val="subscript"/>
        </w:rPr>
        <w:t xml:space="preserve">inf </w:t>
      </w:r>
      <w:r w:rsidRPr="00585D2C">
        <w:rPr>
          <w:rFonts w:asciiTheme="majorHAnsi" w:hAnsiTheme="majorHAnsi" w:cs="TimesNewRomanPSMT"/>
        </w:rPr>
        <w:t xml:space="preserve">of </w:t>
      </w:r>
      <w:proofErr w:type="spellStart"/>
      <w:r w:rsidRPr="00585D2C">
        <w:rPr>
          <w:rFonts w:asciiTheme="majorHAnsi" w:hAnsiTheme="majorHAnsi" w:cs="TimesNewRomanPSMT"/>
        </w:rPr>
        <w:t>infigratinib</w:t>
      </w:r>
      <w:proofErr w:type="spellEnd"/>
      <w:r w:rsidRPr="00585D2C">
        <w:rPr>
          <w:rFonts w:asciiTheme="majorHAnsi" w:hAnsiTheme="majorHAnsi" w:cs="TimesNewRomanPSMT"/>
        </w:rPr>
        <w:t xml:space="preserve"> increased by 80%-120% and </w:t>
      </w:r>
      <w:proofErr w:type="spellStart"/>
      <w:r w:rsidRPr="00585D2C">
        <w:rPr>
          <w:rFonts w:asciiTheme="majorHAnsi" w:hAnsiTheme="majorHAnsi" w:cs="TimesNewRomanPSMT"/>
        </w:rPr>
        <w:t>C</w:t>
      </w:r>
      <w:r w:rsidRPr="00585D2C">
        <w:rPr>
          <w:rFonts w:asciiTheme="majorHAnsi" w:hAnsiTheme="majorHAnsi" w:cs="TimesNewRomanPSMT"/>
          <w:vertAlign w:val="subscript"/>
        </w:rPr>
        <w:t>max</w:t>
      </w:r>
      <w:proofErr w:type="spellEnd"/>
      <w:r w:rsidRPr="00585D2C">
        <w:rPr>
          <w:rFonts w:asciiTheme="majorHAnsi" w:hAnsiTheme="majorHAnsi" w:cs="TimesNewRomanPSMT"/>
          <w:vertAlign w:val="subscript"/>
        </w:rPr>
        <w:t xml:space="preserve"> </w:t>
      </w:r>
      <w:r w:rsidRPr="00585D2C">
        <w:rPr>
          <w:rFonts w:asciiTheme="majorHAnsi" w:hAnsiTheme="majorHAnsi" w:cs="TimesNewRomanPSMT"/>
        </w:rPr>
        <w:t xml:space="preserve">increased by 60%-80%, the median </w:t>
      </w:r>
      <w:proofErr w:type="spellStart"/>
      <w:r w:rsidRPr="00585D2C">
        <w:rPr>
          <w:rFonts w:asciiTheme="majorHAnsi" w:hAnsiTheme="majorHAnsi" w:cs="TimesNewRomanPSMT"/>
        </w:rPr>
        <w:t>T</w:t>
      </w:r>
      <w:r w:rsidRPr="00585D2C">
        <w:rPr>
          <w:rFonts w:asciiTheme="majorHAnsi" w:hAnsiTheme="majorHAnsi" w:cs="TimesNewRomanPSMT"/>
          <w:vertAlign w:val="subscript"/>
        </w:rPr>
        <w:t>max</w:t>
      </w:r>
      <w:proofErr w:type="spellEnd"/>
      <w:r w:rsidRPr="00585D2C">
        <w:rPr>
          <w:rFonts w:asciiTheme="majorHAnsi" w:hAnsiTheme="majorHAnsi" w:cs="TimesNewRomanPSMT"/>
        </w:rPr>
        <w:t xml:space="preserve"> shifted from 4 hours to 6 hours. Following administration of TRUSELTIQ with a low-fat low-calorie meal (approximately 330 calories with 20% of total caloric content of the meal from fat), the mean AUC</w:t>
      </w:r>
      <w:r w:rsidRPr="005901B3">
        <w:rPr>
          <w:rFonts w:asciiTheme="majorHAnsi" w:hAnsiTheme="majorHAnsi" w:cs="TimesNewRomanPSMT"/>
          <w:vertAlign w:val="subscript"/>
        </w:rPr>
        <w:t>inf</w:t>
      </w:r>
      <w:r w:rsidRPr="00585D2C">
        <w:rPr>
          <w:rFonts w:asciiTheme="majorHAnsi" w:hAnsiTheme="majorHAnsi" w:cs="TimesNewRomanPSMT"/>
        </w:rPr>
        <w:t xml:space="preserve"> of </w:t>
      </w:r>
      <w:proofErr w:type="spellStart"/>
      <w:r w:rsidRPr="00585D2C">
        <w:rPr>
          <w:rFonts w:asciiTheme="majorHAnsi" w:hAnsiTheme="majorHAnsi" w:cs="TimesNewRomanPSMT"/>
        </w:rPr>
        <w:t>infigratinib</w:t>
      </w:r>
      <w:proofErr w:type="spellEnd"/>
      <w:r w:rsidRPr="00585D2C">
        <w:rPr>
          <w:rFonts w:asciiTheme="majorHAnsi" w:hAnsiTheme="majorHAnsi" w:cs="TimesNewRomanPSMT"/>
        </w:rPr>
        <w:t xml:space="preserve"> increased by 70%, </w:t>
      </w:r>
      <w:proofErr w:type="spellStart"/>
      <w:r w:rsidRPr="00585D2C">
        <w:rPr>
          <w:rFonts w:asciiTheme="majorHAnsi" w:hAnsiTheme="majorHAnsi" w:cs="TimesNewRomanPSMT"/>
        </w:rPr>
        <w:t>C</w:t>
      </w:r>
      <w:r w:rsidRPr="00585D2C">
        <w:rPr>
          <w:rFonts w:asciiTheme="majorHAnsi" w:hAnsiTheme="majorHAnsi" w:cs="TimesNewRomanPSMT"/>
          <w:vertAlign w:val="subscript"/>
        </w:rPr>
        <w:t>max</w:t>
      </w:r>
      <w:proofErr w:type="spellEnd"/>
      <w:r w:rsidRPr="00585D2C">
        <w:rPr>
          <w:rFonts w:asciiTheme="majorHAnsi" w:hAnsiTheme="majorHAnsi" w:cs="TimesNewRomanPSMT"/>
        </w:rPr>
        <w:t xml:space="preserve"> increased by 90%, and the median </w:t>
      </w:r>
      <w:proofErr w:type="spellStart"/>
      <w:r w:rsidRPr="00585D2C">
        <w:rPr>
          <w:rFonts w:asciiTheme="majorHAnsi" w:hAnsiTheme="majorHAnsi" w:cs="TimesNewRomanPSMT"/>
        </w:rPr>
        <w:t>T</w:t>
      </w:r>
      <w:r w:rsidRPr="00585D2C">
        <w:rPr>
          <w:rFonts w:asciiTheme="majorHAnsi" w:hAnsiTheme="majorHAnsi" w:cs="TimesNewRomanPSMT"/>
          <w:vertAlign w:val="subscript"/>
        </w:rPr>
        <w:t>max</w:t>
      </w:r>
      <w:proofErr w:type="spellEnd"/>
      <w:r w:rsidRPr="00585D2C">
        <w:rPr>
          <w:rFonts w:asciiTheme="majorHAnsi" w:hAnsiTheme="majorHAnsi" w:cs="TimesNewRomanPSMT"/>
        </w:rPr>
        <w:t xml:space="preserve"> did not change.</w:t>
      </w:r>
    </w:p>
    <w:p w14:paraId="10D04314" w14:textId="77777777" w:rsidR="00585D2C" w:rsidRPr="00585D2C" w:rsidRDefault="00585D2C" w:rsidP="000924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</w:rPr>
      </w:pPr>
    </w:p>
    <w:p w14:paraId="6F45952B" w14:textId="0505EC98" w:rsidR="0021200F" w:rsidRPr="009E1BC3" w:rsidRDefault="0021200F" w:rsidP="00FD3E8E">
      <w:pPr>
        <w:pStyle w:val="Heading3"/>
        <w:spacing w:before="0" w:after="120"/>
        <w:ind w:left="0"/>
        <w:rPr>
          <w:rFonts w:cstheme="minorHAnsi"/>
          <w:b w:val="0"/>
        </w:rPr>
      </w:pPr>
      <w:r w:rsidRPr="009E1BC3">
        <w:rPr>
          <w:rFonts w:cstheme="minorHAnsi"/>
        </w:rPr>
        <w:lastRenderedPageBreak/>
        <w:t xml:space="preserve">Distribution </w:t>
      </w:r>
    </w:p>
    <w:p w14:paraId="56BFF485" w14:textId="5E6195C6" w:rsidR="00585D2C" w:rsidRPr="005901B3" w:rsidRDefault="00585D2C" w:rsidP="005901B3">
      <w:pPr>
        <w:jc w:val="both"/>
        <w:rPr>
          <w:rFonts w:asciiTheme="majorHAnsi" w:hAnsiTheme="majorHAnsi" w:cs="TimesNewRomanPSMT"/>
        </w:rPr>
      </w:pPr>
      <w:r w:rsidRPr="005901B3">
        <w:rPr>
          <w:rFonts w:asciiTheme="majorHAnsi" w:hAnsiTheme="majorHAnsi" w:cs="TimesNewRomanPSMT"/>
        </w:rPr>
        <w:t xml:space="preserve">The geometric mean (CV%) apparent volume of distribution of </w:t>
      </w:r>
      <w:proofErr w:type="spellStart"/>
      <w:r w:rsidRPr="005901B3">
        <w:rPr>
          <w:rFonts w:asciiTheme="majorHAnsi" w:hAnsiTheme="majorHAnsi" w:cs="TimesNewRomanPSMT"/>
        </w:rPr>
        <w:t>infigratinib</w:t>
      </w:r>
      <w:proofErr w:type="spellEnd"/>
      <w:r w:rsidRPr="005901B3">
        <w:rPr>
          <w:rFonts w:asciiTheme="majorHAnsi" w:hAnsiTheme="majorHAnsi" w:cs="TimesNewRomanPSMT"/>
        </w:rPr>
        <w:t xml:space="preserve"> was 1600 L (33%) at steady state. The mean </w:t>
      </w:r>
      <w:proofErr w:type="spellStart"/>
      <w:r w:rsidRPr="005901B3">
        <w:rPr>
          <w:rFonts w:asciiTheme="majorHAnsi" w:hAnsiTheme="majorHAnsi"/>
        </w:rPr>
        <w:t>infigratinib</w:t>
      </w:r>
      <w:proofErr w:type="spellEnd"/>
      <w:r w:rsidRPr="005901B3">
        <w:rPr>
          <w:rFonts w:asciiTheme="majorHAnsi" w:hAnsiTheme="majorHAnsi" w:cs="TimesNewRomanPSMT"/>
        </w:rPr>
        <w:t xml:space="preserve"> protein binding was 96.8%, primarily to lipoprotein, and was dependent of drug concentration.</w:t>
      </w:r>
    </w:p>
    <w:p w14:paraId="5B788A0E" w14:textId="1CBD52A1" w:rsidR="0021200F" w:rsidRPr="009E1BC3" w:rsidRDefault="0021200F" w:rsidP="00FD3E8E">
      <w:pPr>
        <w:pStyle w:val="Heading3"/>
        <w:spacing w:before="0" w:after="120"/>
        <w:ind w:left="0"/>
        <w:rPr>
          <w:rFonts w:cstheme="minorHAnsi"/>
        </w:rPr>
      </w:pPr>
      <w:r w:rsidRPr="009E1BC3">
        <w:rPr>
          <w:rFonts w:cstheme="minorHAnsi"/>
        </w:rPr>
        <w:t xml:space="preserve">Metabolism </w:t>
      </w:r>
    </w:p>
    <w:p w14:paraId="5DB9DD49" w14:textId="2960225B" w:rsidR="00A40C49" w:rsidRDefault="00A40C49" w:rsidP="005F2D71">
      <w:pPr>
        <w:jc w:val="both"/>
        <w:rPr>
          <w:rFonts w:asciiTheme="majorHAnsi" w:hAnsiTheme="majorHAnsi"/>
        </w:rPr>
      </w:pP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Pr="009E1BC3">
        <w:rPr>
          <w:rFonts w:asciiTheme="majorHAnsi" w:hAnsiTheme="majorHAnsi"/>
        </w:rPr>
        <w:t xml:space="preserve"> is predominantly metaboli</w:t>
      </w:r>
      <w:r w:rsidR="000D73F8" w:rsidRPr="009E1BC3">
        <w:rPr>
          <w:rFonts w:asciiTheme="majorHAnsi" w:hAnsiTheme="majorHAnsi"/>
        </w:rPr>
        <w:t>s</w:t>
      </w:r>
      <w:r w:rsidRPr="009E1BC3">
        <w:rPr>
          <w:rFonts w:asciiTheme="majorHAnsi" w:hAnsiTheme="majorHAnsi"/>
        </w:rPr>
        <w:t xml:space="preserve">ed by CYP3A4. The contribution of CYP3A4 in the total clearance of </w:t>
      </w: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Pr="009E1BC3">
        <w:rPr>
          <w:rFonts w:asciiTheme="majorHAnsi" w:hAnsiTheme="majorHAnsi"/>
        </w:rPr>
        <w:t xml:space="preserve"> is estimated to be 94%. The major drug-related moiety in plasma was unchanged </w:t>
      </w: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Pr="009E1BC3">
        <w:rPr>
          <w:rFonts w:asciiTheme="majorHAnsi" w:hAnsiTheme="majorHAnsi"/>
        </w:rPr>
        <w:t xml:space="preserve"> (38% of dose) in a human [</w:t>
      </w:r>
      <w:r w:rsidRPr="009E1BC3">
        <w:rPr>
          <w:rFonts w:asciiTheme="majorHAnsi" w:hAnsiTheme="majorHAnsi"/>
          <w:vertAlign w:val="superscript"/>
        </w:rPr>
        <w:t>14</w:t>
      </w:r>
      <w:r w:rsidRPr="009E1BC3">
        <w:rPr>
          <w:rFonts w:asciiTheme="majorHAnsi" w:hAnsiTheme="majorHAnsi"/>
        </w:rPr>
        <w:t>C] mass balance study, followed by a BHS697 and CQM157 (each at &gt;10% of dose).</w:t>
      </w:r>
      <w:r w:rsidR="005F2D71">
        <w:rPr>
          <w:rFonts w:asciiTheme="majorHAnsi" w:hAnsiTheme="majorHAnsi"/>
        </w:rPr>
        <w:t xml:space="preserve"> </w:t>
      </w:r>
      <w:r w:rsidR="005F2D71" w:rsidRPr="005F2D71">
        <w:rPr>
          <w:rFonts w:asciiTheme="majorHAnsi" w:hAnsiTheme="majorHAnsi"/>
        </w:rPr>
        <w:t>BHS697 is</w:t>
      </w:r>
      <w:r w:rsidR="005F2D71">
        <w:rPr>
          <w:rFonts w:asciiTheme="majorHAnsi" w:hAnsiTheme="majorHAnsi"/>
        </w:rPr>
        <w:t xml:space="preserve"> </w:t>
      </w:r>
      <w:r w:rsidR="005F2D71" w:rsidRPr="005F2D71">
        <w:rPr>
          <w:rFonts w:asciiTheme="majorHAnsi" w:hAnsiTheme="majorHAnsi"/>
        </w:rPr>
        <w:t>mainly metabolized by CYP3A4 and CQM157 is metabolized through both Phase I and Phase II</w:t>
      </w:r>
      <w:r w:rsidR="005F2D71">
        <w:rPr>
          <w:rFonts w:asciiTheme="majorHAnsi" w:hAnsiTheme="majorHAnsi"/>
        </w:rPr>
        <w:t xml:space="preserve"> </w:t>
      </w:r>
      <w:r w:rsidR="005F2D71" w:rsidRPr="005F2D71">
        <w:rPr>
          <w:rFonts w:asciiTheme="majorHAnsi" w:hAnsiTheme="majorHAnsi"/>
        </w:rPr>
        <w:t>biotransformation pathways.</w:t>
      </w:r>
    </w:p>
    <w:p w14:paraId="6812CE81" w14:textId="663FB880" w:rsidR="005F2D71" w:rsidRPr="009E1BC3" w:rsidRDefault="005F2D71" w:rsidP="005F2D71">
      <w:pPr>
        <w:jc w:val="both"/>
        <w:rPr>
          <w:rFonts w:asciiTheme="majorHAnsi" w:hAnsiTheme="majorHAnsi"/>
        </w:rPr>
      </w:pPr>
      <w:r w:rsidRPr="005F2D71">
        <w:rPr>
          <w:rFonts w:asciiTheme="majorHAnsi" w:hAnsiTheme="majorHAnsi"/>
        </w:rPr>
        <w:t>BHS697 and CQM157 contribute about 16% to 33% and 9% to 12% of overall pharmacologic activity,</w:t>
      </w:r>
      <w:r>
        <w:rPr>
          <w:rFonts w:asciiTheme="majorHAnsi" w:hAnsiTheme="majorHAnsi"/>
        </w:rPr>
        <w:t xml:space="preserve"> </w:t>
      </w:r>
      <w:r w:rsidRPr="005F2D71">
        <w:rPr>
          <w:rFonts w:asciiTheme="majorHAnsi" w:hAnsiTheme="majorHAnsi"/>
        </w:rPr>
        <w:t>respectively.</w:t>
      </w:r>
    </w:p>
    <w:p w14:paraId="3A55299B" w14:textId="64B89812" w:rsidR="0021200F" w:rsidRPr="009E1BC3" w:rsidRDefault="0021200F" w:rsidP="00FD3E8E">
      <w:pPr>
        <w:pStyle w:val="Heading3"/>
        <w:spacing w:before="0" w:after="120"/>
        <w:ind w:left="0"/>
        <w:rPr>
          <w:rFonts w:cstheme="minorHAnsi"/>
          <w:b w:val="0"/>
        </w:rPr>
      </w:pPr>
      <w:r w:rsidRPr="009E1BC3">
        <w:rPr>
          <w:rFonts w:cstheme="minorHAnsi"/>
        </w:rPr>
        <w:t>Excretion</w:t>
      </w:r>
    </w:p>
    <w:p w14:paraId="4BE1232D" w14:textId="1560E8C9" w:rsidR="00A40C49" w:rsidRPr="009E1BC3" w:rsidRDefault="00A40C49" w:rsidP="001E1F37">
      <w:pPr>
        <w:jc w:val="both"/>
        <w:rPr>
          <w:rFonts w:asciiTheme="majorHAnsi" w:hAnsiTheme="majorHAnsi"/>
        </w:rPr>
      </w:pPr>
      <w:r w:rsidRPr="009E1BC3">
        <w:rPr>
          <w:rFonts w:asciiTheme="majorHAnsi" w:hAnsiTheme="majorHAnsi"/>
        </w:rPr>
        <w:t xml:space="preserve">After a single oral </w:t>
      </w:r>
      <w:r w:rsidR="00585D2C">
        <w:rPr>
          <w:rFonts w:asciiTheme="majorHAnsi" w:hAnsiTheme="majorHAnsi"/>
        </w:rPr>
        <w:t xml:space="preserve">125 mg </w:t>
      </w:r>
      <w:r w:rsidRPr="009E1BC3">
        <w:rPr>
          <w:rFonts w:asciiTheme="majorHAnsi" w:hAnsiTheme="majorHAnsi"/>
        </w:rPr>
        <w:t>dose of radiolabe</w:t>
      </w:r>
      <w:r w:rsidR="008362B0" w:rsidRPr="009E1BC3">
        <w:rPr>
          <w:rFonts w:asciiTheme="majorHAnsi" w:hAnsiTheme="majorHAnsi"/>
        </w:rPr>
        <w:t>l</w:t>
      </w:r>
      <w:r w:rsidRPr="009E1BC3">
        <w:rPr>
          <w:rFonts w:asciiTheme="majorHAnsi" w:hAnsiTheme="majorHAnsi"/>
        </w:rPr>
        <w:t xml:space="preserve">led </w:t>
      </w: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="00585D2C">
        <w:rPr>
          <w:rFonts w:asciiTheme="majorHAnsi" w:hAnsiTheme="majorHAnsi"/>
        </w:rPr>
        <w:t xml:space="preserve"> in healthy subjects</w:t>
      </w:r>
      <w:r w:rsidRPr="009E1BC3">
        <w:rPr>
          <w:rFonts w:asciiTheme="majorHAnsi" w:hAnsiTheme="majorHAnsi"/>
        </w:rPr>
        <w:t>, approximately 77% of the dose was recovered in faeces (3.4% as unchanged) and 7.2% in urine (1.9% as unchanged).</w:t>
      </w:r>
    </w:p>
    <w:p w14:paraId="5B0B4B4B" w14:textId="43124D02" w:rsidR="00A40C49" w:rsidRPr="009E1BC3" w:rsidRDefault="00A40C49" w:rsidP="001E1F37">
      <w:pPr>
        <w:jc w:val="both"/>
        <w:rPr>
          <w:rFonts w:asciiTheme="majorHAnsi" w:hAnsiTheme="majorHAnsi"/>
        </w:rPr>
      </w:pPr>
      <w:r w:rsidRPr="009E1BC3">
        <w:rPr>
          <w:rFonts w:asciiTheme="majorHAnsi" w:hAnsiTheme="majorHAnsi"/>
        </w:rPr>
        <w:t xml:space="preserve">The </w:t>
      </w:r>
      <w:r w:rsidR="005901B3">
        <w:rPr>
          <w:rFonts w:asciiTheme="majorHAnsi" w:hAnsiTheme="majorHAnsi"/>
        </w:rPr>
        <w:t xml:space="preserve">geometric </w:t>
      </w:r>
      <w:r w:rsidRPr="009E1BC3">
        <w:rPr>
          <w:rFonts w:asciiTheme="majorHAnsi" w:hAnsiTheme="majorHAnsi"/>
        </w:rPr>
        <w:t>mean</w:t>
      </w:r>
      <w:r w:rsidR="005901B3">
        <w:rPr>
          <w:rFonts w:asciiTheme="majorHAnsi" w:hAnsiTheme="majorHAnsi"/>
        </w:rPr>
        <w:t xml:space="preserve"> (CV%)</w:t>
      </w:r>
      <w:r w:rsidRPr="009E1BC3">
        <w:rPr>
          <w:rFonts w:asciiTheme="majorHAnsi" w:hAnsiTheme="majorHAnsi"/>
        </w:rPr>
        <w:t xml:space="preserve"> total apparent clearance (CL/F) of </w:t>
      </w: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Pr="009E1BC3">
        <w:rPr>
          <w:rFonts w:asciiTheme="majorHAnsi" w:hAnsiTheme="majorHAnsi"/>
        </w:rPr>
        <w:t xml:space="preserve"> was </w:t>
      </w:r>
      <w:r w:rsidR="005901B3">
        <w:rPr>
          <w:rFonts w:asciiTheme="majorHAnsi" w:hAnsiTheme="majorHAnsi"/>
        </w:rPr>
        <w:t>33.1</w:t>
      </w:r>
      <w:r w:rsidRPr="009E1BC3">
        <w:rPr>
          <w:rFonts w:asciiTheme="majorHAnsi" w:hAnsiTheme="majorHAnsi"/>
        </w:rPr>
        <w:t xml:space="preserve"> L/h (5</w:t>
      </w:r>
      <w:r w:rsidR="005901B3">
        <w:rPr>
          <w:rFonts w:asciiTheme="majorHAnsi" w:hAnsiTheme="majorHAnsi"/>
        </w:rPr>
        <w:t>9</w:t>
      </w:r>
      <w:r w:rsidRPr="009E1BC3">
        <w:rPr>
          <w:rFonts w:asciiTheme="majorHAnsi" w:hAnsiTheme="majorHAnsi"/>
        </w:rPr>
        <w:t xml:space="preserve">%CV) </w:t>
      </w:r>
      <w:r w:rsidR="005901B3" w:rsidRPr="009E1BC3">
        <w:rPr>
          <w:rFonts w:asciiTheme="majorHAnsi" w:hAnsiTheme="majorHAnsi"/>
        </w:rPr>
        <w:t>at steady state</w:t>
      </w:r>
      <w:r w:rsidRPr="009E1BC3">
        <w:rPr>
          <w:rFonts w:asciiTheme="majorHAnsi" w:hAnsiTheme="majorHAnsi"/>
        </w:rPr>
        <w:t xml:space="preserve">. The </w:t>
      </w:r>
      <w:r w:rsidR="005901B3" w:rsidRPr="005901B3">
        <w:rPr>
          <w:rFonts w:asciiTheme="majorHAnsi" w:hAnsiTheme="majorHAnsi"/>
        </w:rPr>
        <w:t xml:space="preserve">geometric </w:t>
      </w:r>
      <w:r w:rsidRPr="009E1BC3">
        <w:rPr>
          <w:rFonts w:asciiTheme="majorHAnsi" w:hAnsiTheme="majorHAnsi"/>
        </w:rPr>
        <w:t xml:space="preserve">mean </w:t>
      </w:r>
      <w:r w:rsidR="005901B3" w:rsidRPr="005901B3">
        <w:rPr>
          <w:rFonts w:asciiTheme="majorHAnsi" w:hAnsiTheme="majorHAnsi"/>
        </w:rPr>
        <w:t xml:space="preserve">(CV%) terminal </w:t>
      </w:r>
      <w:r w:rsidRPr="009E1BC3">
        <w:rPr>
          <w:rFonts w:asciiTheme="majorHAnsi" w:hAnsiTheme="majorHAnsi"/>
        </w:rPr>
        <w:t xml:space="preserve">half-life of </w:t>
      </w: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Pr="009E1BC3">
        <w:rPr>
          <w:rFonts w:asciiTheme="majorHAnsi" w:hAnsiTheme="majorHAnsi"/>
        </w:rPr>
        <w:t xml:space="preserve"> was </w:t>
      </w:r>
      <w:r w:rsidR="005901B3" w:rsidRPr="005901B3">
        <w:rPr>
          <w:rFonts w:asciiTheme="majorHAnsi" w:hAnsiTheme="majorHAnsi"/>
        </w:rPr>
        <w:t>33.5 h (39%) at steady state</w:t>
      </w:r>
      <w:r w:rsidRPr="009E1BC3">
        <w:rPr>
          <w:rFonts w:asciiTheme="majorHAnsi" w:hAnsiTheme="majorHAnsi"/>
        </w:rPr>
        <w:t>.</w:t>
      </w:r>
    </w:p>
    <w:p w14:paraId="7E294C71" w14:textId="77777777" w:rsidR="00AC6E18" w:rsidRPr="009E1BC3" w:rsidRDefault="00AC6E18" w:rsidP="00010929">
      <w:pPr>
        <w:pStyle w:val="Heading3"/>
        <w:ind w:left="0"/>
      </w:pPr>
      <w:r w:rsidRPr="009E1BC3">
        <w:t xml:space="preserve">Pharmacokinetics in special patient populations </w:t>
      </w:r>
    </w:p>
    <w:p w14:paraId="2A778C7B" w14:textId="038EA26D" w:rsidR="00AC6E18" w:rsidRDefault="00AC6E18" w:rsidP="001E1F37">
      <w:pPr>
        <w:jc w:val="both"/>
        <w:rPr>
          <w:rFonts w:asciiTheme="majorHAnsi" w:hAnsiTheme="majorHAnsi"/>
        </w:rPr>
      </w:pPr>
      <w:r w:rsidRPr="009E1BC3">
        <w:rPr>
          <w:rFonts w:asciiTheme="majorHAnsi" w:hAnsiTheme="majorHAnsi"/>
        </w:rPr>
        <w:t xml:space="preserve">No clinically meaningful differences in the systemic exposure of </w:t>
      </w: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Pr="009E1BC3">
        <w:rPr>
          <w:rFonts w:asciiTheme="majorHAnsi" w:hAnsiTheme="majorHAnsi"/>
        </w:rPr>
        <w:t xml:space="preserve"> were observed based on age (19-86 years), sex, race/ethnicity, or body weight (36.4-169.0 kg). The effect of renal impairment or renal dialysis in end-stage renal disease on </w:t>
      </w: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Pr="009E1BC3">
        <w:rPr>
          <w:rFonts w:asciiTheme="majorHAnsi" w:hAnsiTheme="majorHAnsi"/>
        </w:rPr>
        <w:t xml:space="preserve"> exposure is unknown.</w:t>
      </w:r>
    </w:p>
    <w:p w14:paraId="13BA274B" w14:textId="51C97FB2" w:rsidR="006A38FD" w:rsidRPr="006A38FD" w:rsidRDefault="006A38FD" w:rsidP="006A38FD">
      <w:pPr>
        <w:jc w:val="both"/>
        <w:rPr>
          <w:rFonts w:asciiTheme="majorHAnsi" w:hAnsiTheme="majorHAnsi"/>
          <w:u w:val="single"/>
        </w:rPr>
      </w:pPr>
      <w:r w:rsidRPr="006A38FD">
        <w:rPr>
          <w:rFonts w:asciiTheme="majorHAnsi" w:hAnsiTheme="majorHAnsi"/>
          <w:u w:val="single"/>
        </w:rPr>
        <w:t xml:space="preserve">Renal Impairment </w:t>
      </w:r>
    </w:p>
    <w:p w14:paraId="11F9F07D" w14:textId="4A3F474E" w:rsidR="006A38FD" w:rsidRDefault="006A38FD" w:rsidP="006A38FD">
      <w:pPr>
        <w:jc w:val="both"/>
        <w:rPr>
          <w:rFonts w:asciiTheme="majorHAnsi" w:hAnsiTheme="majorHAnsi"/>
        </w:rPr>
      </w:pPr>
      <w:r w:rsidRPr="006A38FD">
        <w:rPr>
          <w:rFonts w:asciiTheme="majorHAnsi" w:hAnsiTheme="majorHAnsi"/>
        </w:rPr>
        <w:t xml:space="preserve">The relative potency adjusted steady state AUC of </w:t>
      </w:r>
      <w:proofErr w:type="spellStart"/>
      <w:r w:rsidRPr="006A38FD">
        <w:rPr>
          <w:rFonts w:asciiTheme="majorHAnsi" w:hAnsiTheme="majorHAnsi"/>
        </w:rPr>
        <w:t>infigratinib</w:t>
      </w:r>
      <w:proofErr w:type="spellEnd"/>
      <w:r w:rsidRPr="006A38FD">
        <w:rPr>
          <w:rFonts w:asciiTheme="majorHAnsi" w:hAnsiTheme="majorHAnsi"/>
        </w:rPr>
        <w:t xml:space="preserve"> plus its active metabolites (BHS697, CQM157) in plasma increased by 32% and 37% in patients with mild (creatinine clearance [</w:t>
      </w:r>
      <w:proofErr w:type="spellStart"/>
      <w:r w:rsidRPr="006A38FD">
        <w:rPr>
          <w:rFonts w:asciiTheme="majorHAnsi" w:hAnsiTheme="majorHAnsi"/>
        </w:rPr>
        <w:t>CLcr</w:t>
      </w:r>
      <w:proofErr w:type="spellEnd"/>
      <w:r w:rsidRPr="006A38FD">
        <w:rPr>
          <w:rFonts w:asciiTheme="majorHAnsi" w:hAnsiTheme="majorHAnsi"/>
        </w:rPr>
        <w:t>] 60 to 89 mL/min estimated by Cockcroft-Gault) and moderate renal impairment (</w:t>
      </w:r>
      <w:proofErr w:type="spellStart"/>
      <w:r w:rsidRPr="006A38FD">
        <w:rPr>
          <w:rFonts w:asciiTheme="majorHAnsi" w:hAnsiTheme="majorHAnsi"/>
        </w:rPr>
        <w:t>CLcr</w:t>
      </w:r>
      <w:proofErr w:type="spellEnd"/>
      <w:r w:rsidRPr="006A38FD">
        <w:rPr>
          <w:rFonts w:asciiTheme="majorHAnsi" w:hAnsiTheme="majorHAnsi"/>
        </w:rPr>
        <w:t xml:space="preserve"> 30 to 59 mL/min), respectively, relative to patients with normal renal function (</w:t>
      </w:r>
      <w:proofErr w:type="spellStart"/>
      <w:r w:rsidRPr="006A38FD">
        <w:rPr>
          <w:rFonts w:asciiTheme="majorHAnsi" w:hAnsiTheme="majorHAnsi"/>
        </w:rPr>
        <w:t>CLcr</w:t>
      </w:r>
      <w:proofErr w:type="spellEnd"/>
      <w:r w:rsidRPr="006A38FD">
        <w:rPr>
          <w:rFonts w:asciiTheme="majorHAnsi" w:hAnsiTheme="majorHAnsi"/>
        </w:rPr>
        <w:t xml:space="preserve"> ≥ 90 mL/min).</w:t>
      </w:r>
    </w:p>
    <w:p w14:paraId="789F6954" w14:textId="6F08442D" w:rsidR="003579B1" w:rsidRPr="009E1BC3" w:rsidRDefault="003579B1" w:rsidP="006A38FD">
      <w:pPr>
        <w:jc w:val="both"/>
        <w:rPr>
          <w:rFonts w:asciiTheme="majorHAnsi" w:hAnsiTheme="majorHAnsi"/>
        </w:rPr>
      </w:pPr>
      <w:r w:rsidRPr="003579B1">
        <w:rPr>
          <w:rFonts w:asciiTheme="majorHAnsi" w:hAnsiTheme="majorHAnsi"/>
        </w:rPr>
        <w:t>The effect of severe renal impairment (</w:t>
      </w:r>
      <w:proofErr w:type="spellStart"/>
      <w:r w:rsidRPr="003579B1">
        <w:rPr>
          <w:rFonts w:asciiTheme="majorHAnsi" w:hAnsiTheme="majorHAnsi"/>
        </w:rPr>
        <w:t>CLcr</w:t>
      </w:r>
      <w:proofErr w:type="spellEnd"/>
      <w:r w:rsidRPr="003579B1">
        <w:rPr>
          <w:rFonts w:asciiTheme="majorHAnsi" w:hAnsiTheme="majorHAnsi"/>
        </w:rPr>
        <w:t xml:space="preserve"> &lt; 30 mL/min) or renal dialysis in end-stage renal disease on </w:t>
      </w:r>
      <w:proofErr w:type="spellStart"/>
      <w:r w:rsidRPr="003579B1">
        <w:rPr>
          <w:rFonts w:asciiTheme="majorHAnsi" w:hAnsiTheme="majorHAnsi"/>
        </w:rPr>
        <w:t>infigratinib</w:t>
      </w:r>
      <w:proofErr w:type="spellEnd"/>
      <w:r w:rsidRPr="003579B1">
        <w:rPr>
          <w:rFonts w:asciiTheme="majorHAnsi" w:hAnsiTheme="majorHAnsi"/>
        </w:rPr>
        <w:t xml:space="preserve"> exposure is unknown.</w:t>
      </w:r>
    </w:p>
    <w:p w14:paraId="33F0D1DB" w14:textId="1CF24380" w:rsidR="00AC6E18" w:rsidRDefault="00AC6E18" w:rsidP="00AC6E18">
      <w:pPr>
        <w:rPr>
          <w:rFonts w:asciiTheme="majorHAnsi" w:hAnsiTheme="majorHAnsi"/>
          <w:u w:val="single"/>
        </w:rPr>
      </w:pPr>
      <w:r w:rsidRPr="009E1BC3">
        <w:rPr>
          <w:rFonts w:asciiTheme="majorHAnsi" w:hAnsiTheme="majorHAnsi"/>
          <w:u w:val="single"/>
        </w:rPr>
        <w:t xml:space="preserve">Hepatic Impairment </w:t>
      </w:r>
    </w:p>
    <w:p w14:paraId="007F2590" w14:textId="77777777" w:rsidR="005901B3" w:rsidRDefault="00A01693" w:rsidP="000953B4">
      <w:pPr>
        <w:jc w:val="both"/>
        <w:rPr>
          <w:rFonts w:asciiTheme="majorHAnsi" w:hAnsiTheme="majorHAnsi" w:cs="TimesNewRomanPSMT"/>
        </w:rPr>
      </w:pPr>
      <w:r w:rsidRPr="00A01693">
        <w:rPr>
          <w:rFonts w:asciiTheme="majorHAnsi" w:hAnsiTheme="majorHAnsi" w:cs="TimesNewRomanPSMT"/>
        </w:rPr>
        <w:t xml:space="preserve">The relative potency adjusted steady state AUC of </w:t>
      </w:r>
      <w:proofErr w:type="spellStart"/>
      <w:r w:rsidRPr="00A01693">
        <w:rPr>
          <w:rFonts w:asciiTheme="majorHAnsi" w:hAnsiTheme="majorHAnsi" w:cs="TimesNewRomanPSMT"/>
        </w:rPr>
        <w:t>infigratinib</w:t>
      </w:r>
      <w:proofErr w:type="spellEnd"/>
      <w:r w:rsidRPr="00A01693">
        <w:rPr>
          <w:rFonts w:asciiTheme="majorHAnsi" w:hAnsiTheme="majorHAnsi" w:cs="TimesNewRomanPSMT"/>
        </w:rPr>
        <w:t xml:space="preserve"> plus its active metabolites (BHS697, CQM157) in plasma increased by 47%-62% and 99% in patients with mild (total bilirubin &gt; upper limit of normal [ULN] to 1.5 × ULN or AST &gt; ULN) and moderate hepatic impairment (total </w:t>
      </w:r>
      <w:r w:rsidRPr="005901B3">
        <w:rPr>
          <w:rFonts w:asciiTheme="majorHAnsi" w:hAnsiTheme="majorHAnsi"/>
        </w:rPr>
        <w:lastRenderedPageBreak/>
        <w:t>bilirubin</w:t>
      </w:r>
      <w:r w:rsidRPr="00A01693">
        <w:rPr>
          <w:rFonts w:asciiTheme="majorHAnsi" w:hAnsiTheme="majorHAnsi" w:cs="TimesNewRomanPSMT"/>
        </w:rPr>
        <w:t xml:space="preserve"> &gt; 1.5 to 3 × ULN with any AST), respectively, relative to patients with normal hepatic function (total bilirubin ≤ ULN and AST ≤ ULN). </w:t>
      </w:r>
    </w:p>
    <w:p w14:paraId="15145407" w14:textId="66EBD60A" w:rsidR="00A01693" w:rsidRDefault="00A01693" w:rsidP="000953B4">
      <w:pPr>
        <w:jc w:val="both"/>
        <w:rPr>
          <w:rFonts w:asciiTheme="majorHAnsi" w:hAnsiTheme="majorHAnsi" w:cs="TimesNewRomanPSMT"/>
        </w:rPr>
      </w:pPr>
      <w:r w:rsidRPr="00A01693">
        <w:rPr>
          <w:rFonts w:asciiTheme="majorHAnsi" w:hAnsiTheme="majorHAnsi" w:cs="TimesNewRomanPSMT"/>
        </w:rPr>
        <w:t xml:space="preserve">The effect of severe hepatic impairment (total bilirubin &gt; 3 × ULN with any AST) on </w:t>
      </w:r>
      <w:proofErr w:type="spellStart"/>
      <w:r w:rsidRPr="00A01693">
        <w:rPr>
          <w:rFonts w:asciiTheme="majorHAnsi" w:hAnsiTheme="majorHAnsi" w:cs="TimesNewRomanPSMT"/>
        </w:rPr>
        <w:t>infigratinib</w:t>
      </w:r>
      <w:proofErr w:type="spellEnd"/>
      <w:r w:rsidRPr="00A01693">
        <w:rPr>
          <w:rFonts w:asciiTheme="majorHAnsi" w:hAnsiTheme="majorHAnsi" w:cs="TimesNewRomanPSMT"/>
        </w:rPr>
        <w:t xml:space="preserve"> </w:t>
      </w:r>
      <w:r w:rsidRPr="005901B3">
        <w:rPr>
          <w:rFonts w:asciiTheme="majorHAnsi" w:hAnsiTheme="majorHAnsi"/>
        </w:rPr>
        <w:t>exposure</w:t>
      </w:r>
      <w:r w:rsidRPr="00A01693">
        <w:rPr>
          <w:rFonts w:asciiTheme="majorHAnsi" w:hAnsiTheme="majorHAnsi" w:cs="TimesNewRomanPSMT"/>
        </w:rPr>
        <w:t xml:space="preserve"> is unknown.</w:t>
      </w:r>
    </w:p>
    <w:p w14:paraId="7029F613" w14:textId="24C307E5" w:rsidR="001A3992" w:rsidRPr="009E1BC3" w:rsidRDefault="001A3992" w:rsidP="001A3992">
      <w:pPr>
        <w:pStyle w:val="Heading2"/>
        <w:spacing w:before="0" w:after="120"/>
        <w:rPr>
          <w:lang w:val="en-US"/>
        </w:rPr>
      </w:pPr>
      <w:r w:rsidRPr="009E1BC3">
        <w:rPr>
          <w:lang w:val="en-US"/>
        </w:rPr>
        <w:t>Preclinical safety data</w:t>
      </w:r>
    </w:p>
    <w:p w14:paraId="14D21DC8" w14:textId="530C1E09" w:rsidR="001A3992" w:rsidRPr="009E1BC3" w:rsidRDefault="001A3992" w:rsidP="00451A85">
      <w:pPr>
        <w:pStyle w:val="Heading3"/>
        <w:spacing w:before="0" w:after="120"/>
        <w:ind w:left="0"/>
      </w:pPr>
      <w:r w:rsidRPr="009E1BC3">
        <w:t>Genotoxicity</w:t>
      </w:r>
    </w:p>
    <w:p w14:paraId="12E926D3" w14:textId="14E5E739" w:rsidR="00451A85" w:rsidRPr="009E1BC3" w:rsidRDefault="00451A85" w:rsidP="001E1F37">
      <w:pPr>
        <w:jc w:val="both"/>
        <w:rPr>
          <w:rFonts w:asciiTheme="majorHAnsi" w:hAnsiTheme="majorHAnsi"/>
        </w:rPr>
      </w:pP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Pr="009E1BC3">
        <w:rPr>
          <w:rFonts w:asciiTheme="majorHAnsi" w:hAnsiTheme="majorHAnsi"/>
        </w:rPr>
        <w:t xml:space="preserve"> was not mutagenic in a bacterial reverse mutation (Ames) assay and was not clastogenic in an </w:t>
      </w:r>
      <w:r w:rsidRPr="009E1BC3">
        <w:rPr>
          <w:rFonts w:asciiTheme="majorHAnsi" w:hAnsiTheme="majorHAnsi"/>
          <w:i/>
          <w:iCs/>
        </w:rPr>
        <w:t>in vitro</w:t>
      </w:r>
      <w:r w:rsidRPr="009E1BC3">
        <w:rPr>
          <w:rFonts w:asciiTheme="majorHAnsi" w:hAnsiTheme="majorHAnsi"/>
        </w:rPr>
        <w:t xml:space="preserve"> human peripheral blood lymphocyte chromosome aberration assay. </w:t>
      </w:r>
      <w:proofErr w:type="spellStart"/>
      <w:r w:rsidRPr="009E1BC3">
        <w:rPr>
          <w:rFonts w:asciiTheme="majorHAnsi" w:hAnsiTheme="majorHAnsi"/>
        </w:rPr>
        <w:t>Infigratinib</w:t>
      </w:r>
      <w:proofErr w:type="spellEnd"/>
      <w:r w:rsidRPr="009E1BC3">
        <w:rPr>
          <w:rFonts w:asciiTheme="majorHAnsi" w:hAnsiTheme="majorHAnsi"/>
        </w:rPr>
        <w:t xml:space="preserve"> did not induce micronuclei in an </w:t>
      </w:r>
      <w:r w:rsidRPr="009E1BC3">
        <w:rPr>
          <w:rFonts w:asciiTheme="majorHAnsi" w:hAnsiTheme="majorHAnsi"/>
          <w:i/>
          <w:iCs/>
        </w:rPr>
        <w:t>in vivo</w:t>
      </w:r>
      <w:r w:rsidRPr="009E1BC3">
        <w:rPr>
          <w:rFonts w:asciiTheme="majorHAnsi" w:hAnsiTheme="majorHAnsi"/>
        </w:rPr>
        <w:t xml:space="preserve"> rat bone marrow micronucleus assay.</w:t>
      </w:r>
      <w:r w:rsidR="002A3400" w:rsidRPr="009E1BC3">
        <w:t xml:space="preserve"> </w:t>
      </w:r>
    </w:p>
    <w:p w14:paraId="5BCD4444" w14:textId="4B16B4EE" w:rsidR="001A3992" w:rsidRPr="009E1BC3" w:rsidRDefault="001A3992" w:rsidP="00451A85">
      <w:pPr>
        <w:pStyle w:val="Heading3"/>
        <w:spacing w:before="0" w:after="120"/>
        <w:ind w:left="0"/>
        <w:rPr>
          <w:lang w:val="en-US"/>
        </w:rPr>
      </w:pPr>
      <w:proofErr w:type="spellStart"/>
      <w:r w:rsidRPr="009E1BC3">
        <w:t>Carcin</w:t>
      </w:r>
      <w:r w:rsidRPr="009E1BC3">
        <w:rPr>
          <w:lang w:val="en-US"/>
        </w:rPr>
        <w:t>ogenicity</w:t>
      </w:r>
      <w:proofErr w:type="spellEnd"/>
    </w:p>
    <w:p w14:paraId="4127E993" w14:textId="027AAC9E" w:rsidR="00451A85" w:rsidRPr="009E1BC3" w:rsidRDefault="00451A85" w:rsidP="001E1F37">
      <w:pPr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 xml:space="preserve">Carcinogenicity studies have not been conducted with </w:t>
      </w:r>
      <w:proofErr w:type="spellStart"/>
      <w:r w:rsidRPr="009E1BC3">
        <w:rPr>
          <w:rFonts w:asciiTheme="majorHAnsi" w:hAnsiTheme="majorHAnsi"/>
          <w:lang w:val="en-US"/>
        </w:rPr>
        <w:t>infigratinib</w:t>
      </w:r>
      <w:proofErr w:type="spellEnd"/>
      <w:r w:rsidRPr="009E1BC3">
        <w:rPr>
          <w:rFonts w:asciiTheme="majorHAnsi" w:hAnsiTheme="majorHAnsi"/>
          <w:lang w:val="en-US"/>
        </w:rPr>
        <w:t>.</w:t>
      </w:r>
    </w:p>
    <w:p w14:paraId="373CD682" w14:textId="5F33A692" w:rsidR="004E483B" w:rsidRPr="009E1BC3" w:rsidRDefault="004E483B" w:rsidP="003F5EA2">
      <w:pPr>
        <w:pStyle w:val="Heading3"/>
        <w:ind w:left="0"/>
        <w:rPr>
          <w:lang w:val="en-US"/>
        </w:rPr>
      </w:pPr>
      <w:r w:rsidRPr="009E1BC3">
        <w:rPr>
          <w:lang w:val="en-US"/>
        </w:rPr>
        <w:t>Repeat-Dose Toxicity</w:t>
      </w:r>
    </w:p>
    <w:p w14:paraId="48811118" w14:textId="52E43386" w:rsidR="009B42F1" w:rsidRDefault="004E483B" w:rsidP="000953B4">
      <w:pPr>
        <w:jc w:val="both"/>
        <w:rPr>
          <w:rFonts w:asciiTheme="majorHAnsi" w:hAnsiTheme="majorHAnsi"/>
          <w:lang w:bidi="en-US"/>
        </w:rPr>
      </w:pPr>
      <w:r w:rsidRPr="009E1BC3">
        <w:rPr>
          <w:rFonts w:asciiTheme="majorHAnsi" w:hAnsiTheme="majorHAnsi"/>
          <w:lang w:bidi="en-US"/>
        </w:rPr>
        <w:t xml:space="preserve">In rat and dog repeat-dose toxicity studies ≥13 weeks in duration, toxicities in bones (rats and dogs) and teeth (rats) were observed at exposures less than the human exposure (AUC) at the </w:t>
      </w:r>
      <w:r w:rsidR="002D656D">
        <w:rPr>
          <w:rFonts w:asciiTheme="majorHAnsi" w:hAnsiTheme="majorHAnsi"/>
          <w:lang w:bidi="en-US"/>
        </w:rPr>
        <w:t>clinical dose of 125 mg</w:t>
      </w:r>
      <w:r w:rsidRPr="009E1BC3">
        <w:rPr>
          <w:rFonts w:asciiTheme="majorHAnsi" w:hAnsiTheme="majorHAnsi"/>
          <w:lang w:bidi="en-US"/>
        </w:rPr>
        <w:t xml:space="preserve">. Effects on the teeth, including incisor degeneration with degeneration of enamel and loss of ameloblast layer were observed in a 13-week rat study. Bone effects in lumbar vertebral bodies included decreased bone strength consistent with decreases in total bone mineral density in a 26-week rat study and increased growth plate thickness and fractures </w:t>
      </w:r>
      <w:r w:rsidRPr="000953B4">
        <w:rPr>
          <w:rFonts w:asciiTheme="majorHAnsi" w:hAnsiTheme="majorHAnsi" w:cs="TimesNewRomanPSMT"/>
        </w:rPr>
        <w:t>associated</w:t>
      </w:r>
      <w:r w:rsidRPr="009E1BC3">
        <w:rPr>
          <w:rFonts w:asciiTheme="majorHAnsi" w:hAnsiTheme="majorHAnsi"/>
          <w:lang w:bidi="en-US"/>
        </w:rPr>
        <w:t xml:space="preserve"> with increased </w:t>
      </w:r>
      <w:proofErr w:type="spellStart"/>
      <w:r w:rsidRPr="009E1BC3">
        <w:rPr>
          <w:rFonts w:asciiTheme="majorHAnsi" w:hAnsiTheme="majorHAnsi"/>
          <w:lang w:bidi="en-US"/>
        </w:rPr>
        <w:t>physeal</w:t>
      </w:r>
      <w:proofErr w:type="spellEnd"/>
      <w:r w:rsidRPr="009E1BC3">
        <w:rPr>
          <w:rFonts w:asciiTheme="majorHAnsi" w:hAnsiTheme="majorHAnsi"/>
          <w:lang w:bidi="en-US"/>
        </w:rPr>
        <w:t xml:space="preserve"> thickness, focal mixed reaction, and bone loss in a 39-week dog study.</w:t>
      </w:r>
    </w:p>
    <w:p w14:paraId="6CC0D0E6" w14:textId="77777777" w:rsidR="001A3992" w:rsidRPr="009E1BC3" w:rsidRDefault="001A3992" w:rsidP="001A3992">
      <w:pPr>
        <w:pStyle w:val="Heading1"/>
        <w:spacing w:before="0" w:after="120"/>
        <w:rPr>
          <w:lang w:val="en-US"/>
        </w:rPr>
      </w:pPr>
      <w:r w:rsidRPr="009E1BC3">
        <w:rPr>
          <w:lang w:val="en-US"/>
        </w:rPr>
        <w:t>Pharmaceutical particulars</w:t>
      </w:r>
    </w:p>
    <w:p w14:paraId="3C1AEC7C" w14:textId="77777777" w:rsidR="005B2812" w:rsidRPr="009E1BC3" w:rsidRDefault="005B2812" w:rsidP="005B2812">
      <w:pPr>
        <w:pStyle w:val="Heading2"/>
        <w:spacing w:before="0" w:after="120"/>
        <w:rPr>
          <w:rFonts w:cstheme="minorHAnsi"/>
          <w:lang w:val="en-US"/>
        </w:rPr>
      </w:pPr>
      <w:r w:rsidRPr="009E1BC3">
        <w:rPr>
          <w:rFonts w:cstheme="minorHAnsi"/>
          <w:lang w:val="en-US"/>
        </w:rPr>
        <w:t xml:space="preserve">List of excipients </w:t>
      </w:r>
    </w:p>
    <w:p w14:paraId="23F5CE4D" w14:textId="77A408E8" w:rsidR="0090188B" w:rsidRDefault="0090188B" w:rsidP="001E1F37">
      <w:pPr>
        <w:pStyle w:val="SageBodyTex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25 mg hard capsules: </w:t>
      </w:r>
      <w:r w:rsidRPr="00102F25">
        <w:rPr>
          <w:rFonts w:asciiTheme="majorHAnsi" w:hAnsiTheme="majorHAnsi"/>
          <w:sz w:val="22"/>
          <w:szCs w:val="22"/>
        </w:rPr>
        <w:t xml:space="preserve">Contains sugars as lactose monohydrate </w:t>
      </w:r>
      <w:r>
        <w:rPr>
          <w:rFonts w:asciiTheme="majorHAnsi" w:hAnsiTheme="majorHAnsi"/>
          <w:sz w:val="22"/>
          <w:szCs w:val="22"/>
        </w:rPr>
        <w:t>23.25</w:t>
      </w:r>
      <w:r w:rsidRPr="00102F25">
        <w:rPr>
          <w:rFonts w:asciiTheme="majorHAnsi" w:hAnsiTheme="majorHAnsi"/>
          <w:sz w:val="22"/>
          <w:szCs w:val="22"/>
        </w:rPr>
        <w:t xml:space="preserve"> mg</w:t>
      </w:r>
    </w:p>
    <w:p w14:paraId="786FD680" w14:textId="2D63B054" w:rsidR="0090188B" w:rsidRDefault="0090188B" w:rsidP="001E1F37">
      <w:pPr>
        <w:pStyle w:val="SageBodyTex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100 mg hard capsules: </w:t>
      </w:r>
      <w:r w:rsidRPr="00102F25">
        <w:rPr>
          <w:rFonts w:asciiTheme="majorHAnsi" w:hAnsiTheme="majorHAnsi"/>
          <w:sz w:val="22"/>
          <w:szCs w:val="22"/>
        </w:rPr>
        <w:t xml:space="preserve">Contains sugars as lactose monohydrate </w:t>
      </w:r>
      <w:r>
        <w:rPr>
          <w:rFonts w:asciiTheme="majorHAnsi" w:hAnsiTheme="majorHAnsi"/>
          <w:sz w:val="22"/>
          <w:szCs w:val="22"/>
        </w:rPr>
        <w:t>93.00 mg</w:t>
      </w:r>
    </w:p>
    <w:p w14:paraId="63094394" w14:textId="27F83757" w:rsidR="00451A85" w:rsidRPr="009E1BC3" w:rsidRDefault="00451A85" w:rsidP="001E1F37">
      <w:pPr>
        <w:pStyle w:val="SageBodyText"/>
        <w:jc w:val="both"/>
        <w:rPr>
          <w:rFonts w:asciiTheme="majorHAnsi" w:hAnsiTheme="majorHAnsi"/>
          <w:sz w:val="22"/>
          <w:szCs w:val="22"/>
        </w:rPr>
      </w:pPr>
      <w:r w:rsidRPr="009E1BC3">
        <w:rPr>
          <w:rFonts w:asciiTheme="majorHAnsi" w:hAnsiTheme="majorHAnsi"/>
          <w:sz w:val="22"/>
          <w:szCs w:val="22"/>
        </w:rPr>
        <w:t>Each</w:t>
      </w:r>
      <w:r w:rsidR="00FF5303" w:rsidRPr="009E1BC3">
        <w:rPr>
          <w:rFonts w:asciiTheme="majorHAnsi" w:hAnsiTheme="majorHAnsi"/>
        </w:rPr>
        <w:t xml:space="preserve"> </w:t>
      </w:r>
      <w:r w:rsidR="00FF5303" w:rsidRPr="009E1BC3">
        <w:rPr>
          <w:rFonts w:asciiTheme="majorHAnsi" w:hAnsiTheme="majorHAnsi" w:cstheme="minorHAnsi"/>
          <w:lang w:val="en"/>
        </w:rPr>
        <w:t>TRUSELTIQ</w:t>
      </w:r>
      <w:r w:rsidR="00BA0A41" w:rsidRPr="009E1BC3">
        <w:rPr>
          <w:rFonts w:asciiTheme="majorHAnsi" w:hAnsiTheme="majorHAnsi" w:cstheme="minorHAnsi"/>
          <w:vertAlign w:val="superscript"/>
          <w:lang w:val="en"/>
        </w:rPr>
        <w:t>TM</w:t>
      </w:r>
      <w:r w:rsidRPr="009E1BC3">
        <w:rPr>
          <w:rFonts w:asciiTheme="majorHAnsi" w:hAnsiTheme="majorHAnsi"/>
          <w:sz w:val="22"/>
          <w:szCs w:val="22"/>
        </w:rPr>
        <w:t xml:space="preserve"> </w:t>
      </w:r>
      <w:r w:rsidR="004917D9">
        <w:rPr>
          <w:rFonts w:asciiTheme="majorHAnsi" w:hAnsiTheme="majorHAnsi"/>
          <w:sz w:val="22"/>
          <w:szCs w:val="22"/>
        </w:rPr>
        <w:t xml:space="preserve">hard </w:t>
      </w:r>
      <w:r w:rsidRPr="009E1BC3">
        <w:rPr>
          <w:rFonts w:asciiTheme="majorHAnsi" w:hAnsiTheme="majorHAnsi"/>
          <w:sz w:val="22"/>
          <w:szCs w:val="22"/>
        </w:rPr>
        <w:t>capsule contains the following inactive ingredients:</w:t>
      </w:r>
    </w:p>
    <w:p w14:paraId="395D9495" w14:textId="3BBE7A41" w:rsidR="003D0380" w:rsidRPr="009E1BC3" w:rsidRDefault="00030614" w:rsidP="001E1F37">
      <w:pPr>
        <w:pStyle w:val="SageBodyTex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Hard c</w:t>
      </w:r>
      <w:r w:rsidR="003D0380" w:rsidRPr="009E1BC3">
        <w:rPr>
          <w:rFonts w:asciiTheme="majorHAnsi" w:hAnsiTheme="majorHAnsi"/>
          <w:sz w:val="22"/>
          <w:szCs w:val="22"/>
        </w:rPr>
        <w:t>apsule content:</w:t>
      </w:r>
    </w:p>
    <w:p w14:paraId="7572602D" w14:textId="17B32C4B" w:rsidR="00451A85" w:rsidRPr="009E1BC3" w:rsidRDefault="00451A85" w:rsidP="001E1F37">
      <w:pPr>
        <w:pStyle w:val="SageBodyText"/>
        <w:numPr>
          <w:ilvl w:val="0"/>
          <w:numId w:val="13"/>
        </w:numPr>
        <w:spacing w:before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9E1BC3">
        <w:rPr>
          <w:rFonts w:asciiTheme="majorHAnsi" w:hAnsiTheme="majorHAnsi"/>
          <w:sz w:val="22"/>
          <w:szCs w:val="22"/>
        </w:rPr>
        <w:t xml:space="preserve">lactose monohydrate, </w:t>
      </w:r>
    </w:p>
    <w:p w14:paraId="3FE08F44" w14:textId="77777777" w:rsidR="00451A85" w:rsidRPr="009E1BC3" w:rsidRDefault="00451A85" w:rsidP="001E1F37">
      <w:pPr>
        <w:pStyle w:val="SageBodyText"/>
        <w:numPr>
          <w:ilvl w:val="0"/>
          <w:numId w:val="13"/>
        </w:numPr>
        <w:spacing w:before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9E1BC3">
        <w:rPr>
          <w:rFonts w:asciiTheme="majorHAnsi" w:hAnsiTheme="majorHAnsi"/>
          <w:sz w:val="22"/>
          <w:szCs w:val="22"/>
        </w:rPr>
        <w:t xml:space="preserve">microcrystalline cellulose, </w:t>
      </w:r>
    </w:p>
    <w:p w14:paraId="24E4F35B" w14:textId="77777777" w:rsidR="00451A85" w:rsidRPr="009E1BC3" w:rsidRDefault="00451A85" w:rsidP="001E1F37">
      <w:pPr>
        <w:pStyle w:val="SageBodyText"/>
        <w:numPr>
          <w:ilvl w:val="0"/>
          <w:numId w:val="13"/>
        </w:numPr>
        <w:spacing w:before="0"/>
        <w:ind w:left="714" w:hanging="357"/>
        <w:jc w:val="both"/>
        <w:rPr>
          <w:rFonts w:asciiTheme="majorHAnsi" w:hAnsiTheme="majorHAnsi"/>
          <w:sz w:val="22"/>
          <w:szCs w:val="22"/>
        </w:rPr>
      </w:pPr>
      <w:proofErr w:type="spellStart"/>
      <w:r w:rsidRPr="009E1BC3">
        <w:rPr>
          <w:rFonts w:asciiTheme="majorHAnsi" w:hAnsiTheme="majorHAnsi"/>
          <w:sz w:val="22"/>
          <w:szCs w:val="22"/>
        </w:rPr>
        <w:t>crospovidone</w:t>
      </w:r>
      <w:proofErr w:type="spellEnd"/>
      <w:r w:rsidRPr="009E1BC3">
        <w:rPr>
          <w:rFonts w:asciiTheme="majorHAnsi" w:hAnsiTheme="majorHAnsi"/>
          <w:sz w:val="22"/>
          <w:szCs w:val="22"/>
        </w:rPr>
        <w:t xml:space="preserve">, </w:t>
      </w:r>
    </w:p>
    <w:p w14:paraId="7E58A0C1" w14:textId="77777777" w:rsidR="00451A85" w:rsidRPr="009E1BC3" w:rsidRDefault="00451A85" w:rsidP="001E1F37">
      <w:pPr>
        <w:pStyle w:val="SageBodyText"/>
        <w:numPr>
          <w:ilvl w:val="0"/>
          <w:numId w:val="13"/>
        </w:numPr>
        <w:spacing w:before="0"/>
        <w:ind w:left="714" w:hanging="357"/>
        <w:jc w:val="both"/>
        <w:rPr>
          <w:rFonts w:asciiTheme="majorHAnsi" w:hAnsiTheme="majorHAnsi"/>
          <w:sz w:val="22"/>
          <w:szCs w:val="22"/>
        </w:rPr>
      </w:pPr>
      <w:proofErr w:type="spellStart"/>
      <w:r w:rsidRPr="009E1BC3">
        <w:rPr>
          <w:rFonts w:asciiTheme="majorHAnsi" w:hAnsiTheme="majorHAnsi"/>
          <w:sz w:val="22"/>
          <w:szCs w:val="22"/>
        </w:rPr>
        <w:t>hypromellose</w:t>
      </w:r>
      <w:proofErr w:type="spellEnd"/>
      <w:r w:rsidRPr="009E1BC3">
        <w:rPr>
          <w:rFonts w:asciiTheme="majorHAnsi" w:hAnsiTheme="majorHAnsi"/>
          <w:sz w:val="22"/>
          <w:szCs w:val="22"/>
        </w:rPr>
        <w:t xml:space="preserve">, </w:t>
      </w:r>
    </w:p>
    <w:p w14:paraId="291BFCE2" w14:textId="77777777" w:rsidR="00451A85" w:rsidRPr="009E1BC3" w:rsidRDefault="00451A85" w:rsidP="001E1F37">
      <w:pPr>
        <w:pStyle w:val="SageBodyText"/>
        <w:numPr>
          <w:ilvl w:val="0"/>
          <w:numId w:val="13"/>
        </w:numPr>
        <w:spacing w:before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9E1BC3">
        <w:rPr>
          <w:rFonts w:asciiTheme="majorHAnsi" w:hAnsiTheme="majorHAnsi"/>
          <w:sz w:val="22"/>
          <w:szCs w:val="22"/>
        </w:rPr>
        <w:t xml:space="preserve">magnesium stearate (from vegetable source), </w:t>
      </w:r>
    </w:p>
    <w:p w14:paraId="31C12BD1" w14:textId="2481B83F" w:rsidR="00451A85" w:rsidRPr="009E1BC3" w:rsidRDefault="00146532" w:rsidP="001E1F37">
      <w:pPr>
        <w:pStyle w:val="SageBodyText"/>
        <w:numPr>
          <w:ilvl w:val="0"/>
          <w:numId w:val="13"/>
        </w:numPr>
        <w:spacing w:before="0"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146532">
        <w:rPr>
          <w:rFonts w:asciiTheme="majorHAnsi" w:hAnsiTheme="majorHAnsi"/>
          <w:sz w:val="22"/>
          <w:szCs w:val="22"/>
        </w:rPr>
        <w:t>colloidal anhydrous silica</w:t>
      </w:r>
      <w:r w:rsidR="00451A85" w:rsidRPr="009E1BC3">
        <w:rPr>
          <w:rFonts w:asciiTheme="majorHAnsi" w:hAnsiTheme="majorHAnsi"/>
          <w:sz w:val="22"/>
          <w:szCs w:val="22"/>
        </w:rPr>
        <w:t xml:space="preserve">. </w:t>
      </w:r>
    </w:p>
    <w:p w14:paraId="11640500" w14:textId="79F58090" w:rsidR="003D0380" w:rsidRPr="009E1BC3" w:rsidRDefault="00030614" w:rsidP="00AC6B89">
      <w:pPr>
        <w:pStyle w:val="SageBodyTex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Hard c</w:t>
      </w:r>
      <w:r w:rsidR="00451A85" w:rsidRPr="009E1BC3">
        <w:rPr>
          <w:rFonts w:asciiTheme="majorHAnsi" w:hAnsiTheme="majorHAnsi"/>
          <w:sz w:val="22"/>
          <w:szCs w:val="22"/>
        </w:rPr>
        <w:t>apsule shell</w:t>
      </w:r>
      <w:r w:rsidR="003D0380" w:rsidRPr="009E1BC3">
        <w:rPr>
          <w:rFonts w:asciiTheme="majorHAnsi" w:hAnsiTheme="majorHAnsi"/>
          <w:sz w:val="22"/>
          <w:szCs w:val="22"/>
        </w:rPr>
        <w:t>:</w:t>
      </w:r>
      <w:r w:rsidR="00451A85" w:rsidRPr="009E1BC3">
        <w:rPr>
          <w:rFonts w:asciiTheme="majorHAnsi" w:hAnsiTheme="majorHAnsi"/>
          <w:sz w:val="22"/>
          <w:szCs w:val="22"/>
        </w:rPr>
        <w:t xml:space="preserve"> </w:t>
      </w:r>
    </w:p>
    <w:p w14:paraId="504E3AB0" w14:textId="26A2ED0E" w:rsidR="00451A85" w:rsidRPr="009E1BC3" w:rsidRDefault="003D0380" w:rsidP="001E1F37">
      <w:pPr>
        <w:pStyle w:val="SageBodyText"/>
        <w:numPr>
          <w:ilvl w:val="0"/>
          <w:numId w:val="17"/>
        </w:numPr>
        <w:spacing w:before="0"/>
        <w:jc w:val="both"/>
        <w:rPr>
          <w:rFonts w:asciiTheme="majorHAnsi" w:hAnsiTheme="majorHAnsi"/>
          <w:sz w:val="22"/>
          <w:szCs w:val="22"/>
        </w:rPr>
      </w:pPr>
      <w:r w:rsidRPr="009E1BC3">
        <w:rPr>
          <w:rFonts w:asciiTheme="majorHAnsi" w:hAnsiTheme="majorHAnsi"/>
          <w:sz w:val="22"/>
          <w:szCs w:val="22"/>
        </w:rPr>
        <w:t>gelatin</w:t>
      </w:r>
      <w:r w:rsidR="00B958A6" w:rsidRPr="009E1BC3">
        <w:rPr>
          <w:rFonts w:asciiTheme="majorHAnsi" w:hAnsiTheme="majorHAnsi"/>
          <w:sz w:val="22"/>
          <w:szCs w:val="22"/>
        </w:rPr>
        <w:t xml:space="preserve"> (bovine)</w:t>
      </w:r>
      <w:r w:rsidR="00C90572" w:rsidRPr="009E1BC3">
        <w:rPr>
          <w:rFonts w:asciiTheme="majorHAnsi" w:hAnsiTheme="majorHAnsi"/>
          <w:sz w:val="22"/>
          <w:szCs w:val="22"/>
        </w:rPr>
        <w:t>,</w:t>
      </w:r>
    </w:p>
    <w:p w14:paraId="664167BD" w14:textId="536CE689" w:rsidR="00B958A6" w:rsidRPr="009E1BC3" w:rsidRDefault="00B958A6" w:rsidP="001E1F37">
      <w:pPr>
        <w:pStyle w:val="SageBodyText"/>
        <w:numPr>
          <w:ilvl w:val="0"/>
          <w:numId w:val="17"/>
        </w:numPr>
        <w:spacing w:before="0"/>
        <w:jc w:val="both"/>
        <w:rPr>
          <w:rFonts w:asciiTheme="majorHAnsi" w:hAnsiTheme="majorHAnsi"/>
          <w:sz w:val="22"/>
          <w:szCs w:val="22"/>
        </w:rPr>
      </w:pPr>
      <w:r w:rsidRPr="009E1BC3">
        <w:rPr>
          <w:rFonts w:asciiTheme="majorHAnsi" w:hAnsiTheme="majorHAnsi"/>
          <w:sz w:val="22"/>
          <w:szCs w:val="22"/>
        </w:rPr>
        <w:t>titanium dioxide</w:t>
      </w:r>
      <w:r w:rsidR="00C90572" w:rsidRPr="009E1BC3">
        <w:rPr>
          <w:rFonts w:asciiTheme="majorHAnsi" w:hAnsiTheme="majorHAnsi"/>
          <w:sz w:val="22"/>
          <w:szCs w:val="22"/>
        </w:rPr>
        <w:t>,</w:t>
      </w:r>
    </w:p>
    <w:p w14:paraId="1D94C719" w14:textId="1B7BC523" w:rsidR="00B958A6" w:rsidRPr="009E1BC3" w:rsidRDefault="00B958A6" w:rsidP="001E1F37">
      <w:pPr>
        <w:pStyle w:val="SageBodyText"/>
        <w:numPr>
          <w:ilvl w:val="0"/>
          <w:numId w:val="17"/>
        </w:numPr>
        <w:spacing w:before="0"/>
        <w:jc w:val="both"/>
        <w:rPr>
          <w:rFonts w:asciiTheme="majorHAnsi" w:hAnsiTheme="majorHAnsi"/>
          <w:sz w:val="22"/>
          <w:szCs w:val="22"/>
        </w:rPr>
      </w:pPr>
      <w:r w:rsidRPr="009E1BC3">
        <w:rPr>
          <w:rFonts w:asciiTheme="majorHAnsi" w:hAnsiTheme="majorHAnsi"/>
          <w:sz w:val="22"/>
          <w:szCs w:val="22"/>
        </w:rPr>
        <w:lastRenderedPageBreak/>
        <w:t>iron oxide red</w:t>
      </w:r>
      <w:r w:rsidR="00365FE5">
        <w:rPr>
          <w:rFonts w:asciiTheme="majorHAnsi" w:hAnsiTheme="majorHAnsi"/>
          <w:sz w:val="22"/>
          <w:szCs w:val="22"/>
        </w:rPr>
        <w:t xml:space="preserve"> (</w:t>
      </w:r>
      <w:r w:rsidR="00365FE5" w:rsidRPr="00365FE5">
        <w:rPr>
          <w:rFonts w:asciiTheme="majorHAnsi" w:hAnsiTheme="majorHAnsi"/>
          <w:sz w:val="22"/>
          <w:szCs w:val="22"/>
        </w:rPr>
        <w:t xml:space="preserve">100 mg </w:t>
      </w:r>
      <w:r w:rsidR="00E66C9E">
        <w:rPr>
          <w:rFonts w:asciiTheme="majorHAnsi" w:hAnsiTheme="majorHAnsi"/>
          <w:sz w:val="22"/>
          <w:szCs w:val="22"/>
        </w:rPr>
        <w:t>hard capsules</w:t>
      </w:r>
      <w:r w:rsidR="00365FE5" w:rsidRPr="00365FE5">
        <w:rPr>
          <w:rFonts w:asciiTheme="majorHAnsi" w:hAnsiTheme="majorHAnsi"/>
          <w:sz w:val="22"/>
          <w:szCs w:val="22"/>
        </w:rPr>
        <w:t xml:space="preserve"> only</w:t>
      </w:r>
      <w:r w:rsidR="00365FE5">
        <w:rPr>
          <w:rFonts w:asciiTheme="majorHAnsi" w:hAnsiTheme="majorHAnsi"/>
          <w:sz w:val="22"/>
          <w:szCs w:val="22"/>
        </w:rPr>
        <w:t>),</w:t>
      </w:r>
    </w:p>
    <w:p w14:paraId="3858632A" w14:textId="57782416" w:rsidR="00B958A6" w:rsidRPr="00102F25" w:rsidRDefault="00B958A6" w:rsidP="00365FE5">
      <w:pPr>
        <w:pStyle w:val="SageBodyText"/>
        <w:numPr>
          <w:ilvl w:val="0"/>
          <w:numId w:val="17"/>
        </w:numPr>
        <w:spacing w:before="0"/>
        <w:jc w:val="both"/>
        <w:rPr>
          <w:rFonts w:asciiTheme="majorHAnsi" w:hAnsiTheme="majorHAnsi"/>
          <w:sz w:val="22"/>
          <w:szCs w:val="22"/>
        </w:rPr>
      </w:pPr>
      <w:r w:rsidRPr="00365FE5">
        <w:rPr>
          <w:rFonts w:asciiTheme="majorHAnsi" w:hAnsiTheme="majorHAnsi"/>
          <w:sz w:val="22"/>
          <w:szCs w:val="22"/>
        </w:rPr>
        <w:t>iron oxide yellow</w:t>
      </w:r>
      <w:r w:rsidR="00365FE5" w:rsidRPr="000B0767">
        <w:rPr>
          <w:rFonts w:asciiTheme="majorHAnsi" w:hAnsiTheme="majorHAnsi"/>
          <w:sz w:val="22"/>
          <w:szCs w:val="22"/>
        </w:rPr>
        <w:t xml:space="preserve"> (</w:t>
      </w:r>
      <w:r w:rsidR="00365FE5" w:rsidRPr="004A01DB">
        <w:rPr>
          <w:rFonts w:asciiTheme="majorHAnsi" w:hAnsiTheme="majorHAnsi"/>
          <w:sz w:val="22"/>
          <w:szCs w:val="22"/>
        </w:rPr>
        <w:t xml:space="preserve">100 mg </w:t>
      </w:r>
      <w:r w:rsidR="00E66C9E">
        <w:rPr>
          <w:rFonts w:asciiTheme="majorHAnsi" w:hAnsiTheme="majorHAnsi"/>
          <w:sz w:val="22"/>
          <w:szCs w:val="22"/>
        </w:rPr>
        <w:t>hard capsules</w:t>
      </w:r>
      <w:r w:rsidR="00365FE5" w:rsidRPr="004A01DB">
        <w:rPr>
          <w:rFonts w:asciiTheme="majorHAnsi" w:hAnsiTheme="majorHAnsi"/>
          <w:sz w:val="22"/>
          <w:szCs w:val="22"/>
        </w:rPr>
        <w:t xml:space="preserve"> only)</w:t>
      </w:r>
      <w:r w:rsidR="00C90572" w:rsidRPr="00102F25">
        <w:rPr>
          <w:rFonts w:asciiTheme="majorHAnsi" w:hAnsiTheme="majorHAnsi"/>
          <w:sz w:val="22"/>
          <w:szCs w:val="22"/>
        </w:rPr>
        <w:t>,</w:t>
      </w:r>
    </w:p>
    <w:p w14:paraId="4EA5FCEE" w14:textId="17218A8A" w:rsidR="00D53866" w:rsidRPr="004A01DB" w:rsidRDefault="00B958A6" w:rsidP="000B0767">
      <w:pPr>
        <w:pStyle w:val="SageBodyText"/>
        <w:numPr>
          <w:ilvl w:val="0"/>
          <w:numId w:val="17"/>
        </w:numPr>
        <w:spacing w:before="0"/>
        <w:jc w:val="both"/>
        <w:rPr>
          <w:rFonts w:asciiTheme="majorHAnsi" w:hAnsiTheme="majorHAnsi"/>
          <w:sz w:val="22"/>
          <w:szCs w:val="22"/>
        </w:rPr>
      </w:pPr>
      <w:r w:rsidRPr="00F346E0">
        <w:rPr>
          <w:rFonts w:asciiTheme="majorHAnsi" w:hAnsiTheme="majorHAnsi"/>
          <w:sz w:val="22"/>
          <w:szCs w:val="22"/>
        </w:rPr>
        <w:t>iron oxide black</w:t>
      </w:r>
      <w:r w:rsidR="000B0767">
        <w:rPr>
          <w:rFonts w:asciiTheme="majorHAnsi" w:hAnsiTheme="majorHAnsi"/>
          <w:sz w:val="22"/>
          <w:szCs w:val="22"/>
        </w:rPr>
        <w:t xml:space="preserve"> </w:t>
      </w:r>
      <w:r w:rsidR="000B0767" w:rsidRPr="000B0767">
        <w:rPr>
          <w:rFonts w:asciiTheme="majorHAnsi" w:hAnsiTheme="majorHAnsi"/>
          <w:sz w:val="22"/>
          <w:szCs w:val="22"/>
        </w:rPr>
        <w:t>(</w:t>
      </w:r>
      <w:r w:rsidR="000B0767">
        <w:rPr>
          <w:rFonts w:asciiTheme="majorHAnsi" w:hAnsiTheme="majorHAnsi"/>
          <w:sz w:val="22"/>
          <w:szCs w:val="22"/>
        </w:rPr>
        <w:t>25</w:t>
      </w:r>
      <w:r w:rsidR="000B0767" w:rsidRPr="000B0767">
        <w:rPr>
          <w:rFonts w:asciiTheme="majorHAnsi" w:hAnsiTheme="majorHAnsi"/>
          <w:sz w:val="22"/>
          <w:szCs w:val="22"/>
        </w:rPr>
        <w:t xml:space="preserve"> mg </w:t>
      </w:r>
      <w:r w:rsidR="00E66C9E">
        <w:rPr>
          <w:rFonts w:asciiTheme="majorHAnsi" w:hAnsiTheme="majorHAnsi"/>
          <w:sz w:val="22"/>
          <w:szCs w:val="22"/>
        </w:rPr>
        <w:t>hard capsules</w:t>
      </w:r>
      <w:r w:rsidR="000B0767" w:rsidRPr="000B0767">
        <w:rPr>
          <w:rFonts w:asciiTheme="majorHAnsi" w:hAnsiTheme="majorHAnsi"/>
          <w:sz w:val="22"/>
          <w:szCs w:val="22"/>
        </w:rPr>
        <w:t xml:space="preserve"> only)</w:t>
      </w:r>
      <w:r w:rsidR="00DD641A" w:rsidRPr="004A01DB">
        <w:rPr>
          <w:rFonts w:asciiTheme="majorHAnsi" w:hAnsiTheme="majorHAnsi"/>
          <w:sz w:val="22"/>
          <w:szCs w:val="22"/>
        </w:rPr>
        <w:t>,</w:t>
      </w:r>
    </w:p>
    <w:p w14:paraId="0C7C7D03" w14:textId="512F404C" w:rsidR="00023E7F" w:rsidRPr="008F2BF7" w:rsidRDefault="00023E7F" w:rsidP="001E1F37">
      <w:pPr>
        <w:pStyle w:val="SageBodyText"/>
        <w:jc w:val="both"/>
        <w:rPr>
          <w:rFonts w:asciiTheme="majorHAnsi" w:hAnsiTheme="majorHAnsi"/>
          <w:sz w:val="22"/>
          <w:szCs w:val="22"/>
        </w:rPr>
      </w:pPr>
      <w:r w:rsidRPr="008F2BF7">
        <w:rPr>
          <w:rFonts w:asciiTheme="majorHAnsi" w:hAnsiTheme="majorHAnsi"/>
          <w:sz w:val="22"/>
          <w:szCs w:val="22"/>
        </w:rPr>
        <w:t>Printing ink:</w:t>
      </w:r>
    </w:p>
    <w:p w14:paraId="1CC271E9" w14:textId="3A42FB22" w:rsidR="008F2BF7" w:rsidRPr="008F2BF7" w:rsidRDefault="008F2BF7" w:rsidP="0019587F">
      <w:pPr>
        <w:pStyle w:val="SageBodyText"/>
        <w:numPr>
          <w:ilvl w:val="0"/>
          <w:numId w:val="17"/>
        </w:numPr>
        <w:spacing w:before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8F2BF7">
        <w:rPr>
          <w:rFonts w:asciiTheme="majorHAnsi" w:hAnsiTheme="majorHAnsi"/>
          <w:sz w:val="22"/>
          <w:szCs w:val="22"/>
        </w:rPr>
        <w:t>TekPrint</w:t>
      </w:r>
      <w:proofErr w:type="spellEnd"/>
      <w:r w:rsidRPr="008F2BF7">
        <w:rPr>
          <w:rFonts w:asciiTheme="majorHAnsi" w:hAnsiTheme="majorHAnsi"/>
          <w:sz w:val="22"/>
          <w:szCs w:val="22"/>
        </w:rPr>
        <w:t xml:space="preserve"> SW-9049 Black Ink [Proprietary Ingredient ID: 12418]</w:t>
      </w:r>
    </w:p>
    <w:p w14:paraId="7B4B0A0B" w14:textId="77777777" w:rsidR="00451A85" w:rsidRPr="009E1BC3" w:rsidRDefault="00451A85" w:rsidP="00451A85">
      <w:pPr>
        <w:pStyle w:val="SageBodyText"/>
        <w:spacing w:before="0"/>
        <w:rPr>
          <w:rFonts w:asciiTheme="majorHAnsi" w:hAnsiTheme="majorHAnsi"/>
          <w:sz w:val="22"/>
          <w:szCs w:val="22"/>
        </w:rPr>
      </w:pPr>
    </w:p>
    <w:p w14:paraId="436A2DDD" w14:textId="77777777" w:rsidR="005B2812" w:rsidRPr="009E1BC3" w:rsidRDefault="005B2812" w:rsidP="005B2812">
      <w:pPr>
        <w:pStyle w:val="Heading2"/>
        <w:keepNext/>
        <w:keepLines/>
        <w:spacing w:before="0" w:after="120"/>
        <w:rPr>
          <w:rFonts w:cstheme="minorHAnsi"/>
          <w:lang w:val="en-US"/>
        </w:rPr>
      </w:pPr>
      <w:r w:rsidRPr="009E1BC3">
        <w:rPr>
          <w:rFonts w:cstheme="minorHAnsi"/>
          <w:lang w:val="en-US"/>
        </w:rPr>
        <w:t xml:space="preserve">Incompatibilities </w:t>
      </w:r>
    </w:p>
    <w:p w14:paraId="5B6E529F" w14:textId="118DBB20" w:rsidR="005B2812" w:rsidRPr="009E1BC3" w:rsidRDefault="00451A85" w:rsidP="001E1F37">
      <w:pPr>
        <w:jc w:val="both"/>
        <w:rPr>
          <w:rFonts w:asciiTheme="majorHAnsi" w:hAnsiTheme="majorHAnsi" w:cstheme="minorHAnsi"/>
          <w:lang w:val="en-US"/>
        </w:rPr>
      </w:pPr>
      <w:r w:rsidRPr="009E1BC3">
        <w:rPr>
          <w:rFonts w:asciiTheme="majorHAnsi" w:hAnsiTheme="majorHAnsi" w:cstheme="minorHAnsi"/>
          <w:lang w:val="en"/>
        </w:rPr>
        <w:t>No i</w:t>
      </w:r>
      <w:r w:rsidR="003D0380" w:rsidRPr="009E1BC3">
        <w:rPr>
          <w:rFonts w:asciiTheme="majorHAnsi" w:hAnsiTheme="majorHAnsi" w:cstheme="minorHAnsi"/>
          <w:lang w:val="en"/>
        </w:rPr>
        <w:t>n</w:t>
      </w:r>
      <w:r w:rsidRPr="009E1BC3">
        <w:rPr>
          <w:rFonts w:asciiTheme="majorHAnsi" w:hAnsiTheme="majorHAnsi" w:cstheme="minorHAnsi"/>
          <w:lang w:val="en"/>
        </w:rPr>
        <w:t>compat</w:t>
      </w:r>
      <w:r w:rsidR="000943F8" w:rsidRPr="009E1BC3">
        <w:rPr>
          <w:rFonts w:asciiTheme="majorHAnsi" w:hAnsiTheme="majorHAnsi" w:cstheme="minorHAnsi"/>
          <w:lang w:val="en"/>
        </w:rPr>
        <w:t>i</w:t>
      </w:r>
      <w:r w:rsidRPr="009E1BC3">
        <w:rPr>
          <w:rFonts w:asciiTheme="majorHAnsi" w:hAnsiTheme="majorHAnsi" w:cstheme="minorHAnsi"/>
          <w:lang w:val="en"/>
        </w:rPr>
        <w:t>b</w:t>
      </w:r>
      <w:r w:rsidR="000943F8" w:rsidRPr="009E1BC3">
        <w:rPr>
          <w:rFonts w:asciiTheme="majorHAnsi" w:hAnsiTheme="majorHAnsi" w:cstheme="minorHAnsi"/>
          <w:lang w:val="en"/>
        </w:rPr>
        <w:t>ilities</w:t>
      </w:r>
      <w:r w:rsidRPr="009E1BC3">
        <w:rPr>
          <w:rFonts w:asciiTheme="majorHAnsi" w:hAnsiTheme="majorHAnsi" w:cstheme="minorHAnsi"/>
          <w:lang w:val="en"/>
        </w:rPr>
        <w:t xml:space="preserve"> have been identified.</w:t>
      </w:r>
    </w:p>
    <w:p w14:paraId="326487B6" w14:textId="77777777" w:rsidR="005B2812" w:rsidRPr="009E1BC3" w:rsidRDefault="005B2812" w:rsidP="005B2812">
      <w:pPr>
        <w:pStyle w:val="Heading2"/>
        <w:spacing w:before="0" w:after="120"/>
        <w:rPr>
          <w:rFonts w:cstheme="minorHAnsi"/>
          <w:lang w:val="en-US"/>
        </w:rPr>
      </w:pPr>
      <w:r w:rsidRPr="009E1BC3">
        <w:rPr>
          <w:rFonts w:cstheme="minorHAnsi"/>
          <w:lang w:val="en-US"/>
        </w:rPr>
        <w:t xml:space="preserve">Shelf life </w:t>
      </w:r>
    </w:p>
    <w:p w14:paraId="55B724D0" w14:textId="0AC5B3B0" w:rsidR="005B2812" w:rsidRPr="009E1BC3" w:rsidRDefault="005B2812" w:rsidP="001E1F37">
      <w:pPr>
        <w:jc w:val="both"/>
        <w:rPr>
          <w:rFonts w:asciiTheme="majorHAnsi" w:hAnsiTheme="majorHAnsi" w:cstheme="minorHAnsi"/>
          <w:lang w:val="en-US"/>
        </w:rPr>
      </w:pPr>
      <w:r w:rsidRPr="009E1BC3">
        <w:rPr>
          <w:rFonts w:asciiTheme="majorHAnsi" w:hAnsiTheme="majorHAnsi" w:cstheme="minorHAnsi"/>
          <w:lang w:val="en"/>
        </w:rPr>
        <w:t xml:space="preserve">In Australia, information on the shelf life can be found on the public summary of the Australian Register of Therapeutic Goods (ARTG). The expiry date can be found on the packaging. </w:t>
      </w:r>
    </w:p>
    <w:p w14:paraId="3D307E4B" w14:textId="3D1245D9" w:rsidR="0013166B" w:rsidRPr="009E1BC3" w:rsidRDefault="005B2812" w:rsidP="0013166B">
      <w:pPr>
        <w:pStyle w:val="Heading2"/>
        <w:keepNext/>
        <w:keepLines/>
        <w:spacing w:before="0" w:after="120"/>
        <w:rPr>
          <w:rFonts w:cstheme="minorHAnsi"/>
          <w:lang w:val="en-US"/>
        </w:rPr>
      </w:pPr>
      <w:r w:rsidRPr="009E1BC3">
        <w:rPr>
          <w:rFonts w:cstheme="minorHAnsi"/>
          <w:lang w:val="en-US"/>
        </w:rPr>
        <w:t xml:space="preserve">Special precautions for storage </w:t>
      </w:r>
    </w:p>
    <w:p w14:paraId="010E7179" w14:textId="58591B16" w:rsidR="0013166B" w:rsidRPr="009E1BC3" w:rsidRDefault="0013166B" w:rsidP="001E1F37">
      <w:pPr>
        <w:jc w:val="both"/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 xml:space="preserve">Store below </w:t>
      </w:r>
      <w:r w:rsidRPr="009E1BC3">
        <w:rPr>
          <w:rFonts w:asciiTheme="majorHAnsi" w:hAnsiTheme="majorHAnsi"/>
        </w:rPr>
        <w:t>25°C.</w:t>
      </w:r>
    </w:p>
    <w:p w14:paraId="60993D33" w14:textId="226495EE" w:rsidR="005B2812" w:rsidRPr="009E1BC3" w:rsidRDefault="005B2812" w:rsidP="005B2812">
      <w:pPr>
        <w:pStyle w:val="Heading2"/>
        <w:spacing w:before="0" w:after="120"/>
        <w:rPr>
          <w:rFonts w:cstheme="minorHAnsi"/>
          <w:lang w:val="en-US"/>
        </w:rPr>
      </w:pPr>
      <w:r w:rsidRPr="009E1BC3">
        <w:rPr>
          <w:rFonts w:cstheme="minorHAnsi"/>
          <w:lang w:val="en-US"/>
        </w:rPr>
        <w:t xml:space="preserve">Nature and contents of container </w:t>
      </w:r>
    </w:p>
    <w:p w14:paraId="1BDA5D33" w14:textId="6EF9317E" w:rsidR="0013166B" w:rsidRPr="003E010F" w:rsidRDefault="002F38FB" w:rsidP="001E1F37">
      <w:pPr>
        <w:pStyle w:val="SageBodyText"/>
        <w:jc w:val="both"/>
        <w:rPr>
          <w:rFonts w:asciiTheme="majorHAnsi" w:hAnsiTheme="majorHAnsi"/>
          <w:sz w:val="22"/>
          <w:szCs w:val="22"/>
        </w:rPr>
      </w:pPr>
      <w:r w:rsidRPr="003E010F">
        <w:rPr>
          <w:rFonts w:asciiTheme="majorHAnsi" w:hAnsiTheme="majorHAnsi"/>
          <w:sz w:val="22"/>
          <w:szCs w:val="22"/>
        </w:rPr>
        <w:t>Multi-</w:t>
      </w:r>
      <w:r w:rsidR="0056308C" w:rsidRPr="003E010F">
        <w:rPr>
          <w:rFonts w:asciiTheme="majorHAnsi" w:hAnsiTheme="majorHAnsi"/>
          <w:sz w:val="22"/>
          <w:szCs w:val="22"/>
        </w:rPr>
        <w:t xml:space="preserve">day </w:t>
      </w:r>
      <w:r w:rsidR="00683FA8" w:rsidRPr="00BE0670">
        <w:rPr>
          <w:rFonts w:asciiTheme="majorHAnsi" w:hAnsiTheme="majorHAnsi"/>
          <w:sz w:val="22"/>
          <w:szCs w:val="22"/>
        </w:rPr>
        <w:t>PVC/</w:t>
      </w:r>
      <w:r w:rsidR="00B129B1" w:rsidRPr="00BE0670">
        <w:rPr>
          <w:rFonts w:asciiTheme="majorHAnsi" w:hAnsiTheme="majorHAnsi"/>
          <w:sz w:val="22"/>
          <w:szCs w:val="22"/>
        </w:rPr>
        <w:t>PCTFE blister</w:t>
      </w:r>
      <w:r w:rsidR="0056308C" w:rsidRPr="00BE0670">
        <w:rPr>
          <w:rFonts w:asciiTheme="majorHAnsi" w:hAnsiTheme="majorHAnsi"/>
          <w:sz w:val="22"/>
          <w:szCs w:val="22"/>
        </w:rPr>
        <w:t xml:space="preserve"> packs </w:t>
      </w:r>
      <w:r w:rsidR="00683FA8" w:rsidRPr="00BE0670">
        <w:rPr>
          <w:rFonts w:asciiTheme="majorHAnsi" w:hAnsiTheme="majorHAnsi"/>
          <w:sz w:val="22"/>
          <w:szCs w:val="22"/>
        </w:rPr>
        <w:t xml:space="preserve">with aluminum foil </w:t>
      </w:r>
      <w:r w:rsidR="00BC2FAE" w:rsidRPr="002D6C52">
        <w:rPr>
          <w:rFonts w:asciiTheme="majorHAnsi" w:hAnsiTheme="majorHAnsi"/>
          <w:sz w:val="22"/>
          <w:szCs w:val="22"/>
        </w:rPr>
        <w:t>lidding</w:t>
      </w:r>
      <w:r w:rsidR="00683FA8" w:rsidRPr="003E010F">
        <w:rPr>
          <w:rFonts w:asciiTheme="majorHAnsi" w:hAnsiTheme="majorHAnsi"/>
          <w:sz w:val="22"/>
          <w:szCs w:val="22"/>
        </w:rPr>
        <w:t xml:space="preserve"> </w:t>
      </w:r>
      <w:r w:rsidR="003A13EB" w:rsidRPr="003E010F">
        <w:rPr>
          <w:rFonts w:asciiTheme="majorHAnsi" w:hAnsiTheme="majorHAnsi"/>
          <w:sz w:val="22"/>
          <w:szCs w:val="22"/>
        </w:rPr>
        <w:t xml:space="preserve">with </w:t>
      </w:r>
      <w:r w:rsidR="00EC20D4" w:rsidRPr="003E010F">
        <w:rPr>
          <w:rFonts w:asciiTheme="majorHAnsi" w:hAnsiTheme="majorHAnsi"/>
          <w:sz w:val="22"/>
          <w:szCs w:val="22"/>
        </w:rPr>
        <w:t xml:space="preserve">the following </w:t>
      </w:r>
      <w:r w:rsidR="0013166B" w:rsidRPr="003E010F">
        <w:rPr>
          <w:rFonts w:asciiTheme="majorHAnsi" w:hAnsiTheme="majorHAnsi"/>
          <w:sz w:val="22"/>
          <w:szCs w:val="22"/>
        </w:rPr>
        <w:t>configurations:</w:t>
      </w:r>
    </w:p>
    <w:p w14:paraId="025BF1C4" w14:textId="1F861983" w:rsidR="00DD479A" w:rsidRPr="00BE0670" w:rsidRDefault="00683FA8" w:rsidP="00940371">
      <w:pPr>
        <w:pStyle w:val="SageBodyText"/>
        <w:numPr>
          <w:ilvl w:val="0"/>
          <w:numId w:val="16"/>
        </w:numPr>
        <w:spacing w:before="120"/>
        <w:rPr>
          <w:rFonts w:asciiTheme="majorHAnsi" w:hAnsiTheme="majorHAnsi"/>
          <w:sz w:val="22"/>
          <w:szCs w:val="22"/>
        </w:rPr>
      </w:pPr>
      <w:r w:rsidRPr="003E010F">
        <w:rPr>
          <w:rFonts w:asciiTheme="majorHAnsi" w:hAnsiTheme="majorHAnsi" w:cstheme="minorBidi"/>
          <w:sz w:val="22"/>
          <w:szCs w:val="22"/>
          <w:lang w:val="en"/>
        </w:rPr>
        <w:t>TRUSELTIQ</w:t>
      </w:r>
      <w:r w:rsidR="002A3D72" w:rsidRPr="003E010F">
        <w:rPr>
          <w:rFonts w:asciiTheme="majorHAnsi" w:hAnsiTheme="majorHAnsi" w:cstheme="minorBidi"/>
          <w:sz w:val="22"/>
          <w:szCs w:val="22"/>
          <w:vertAlign w:val="superscript"/>
          <w:lang w:val="en"/>
        </w:rPr>
        <w:t>TM</w:t>
      </w:r>
      <w:r w:rsidRPr="003E010F" w:rsidDel="00683FA8">
        <w:rPr>
          <w:rFonts w:asciiTheme="majorHAnsi" w:hAnsiTheme="majorHAnsi"/>
          <w:sz w:val="22"/>
          <w:szCs w:val="22"/>
        </w:rPr>
        <w:t xml:space="preserve"> </w:t>
      </w:r>
      <w:r w:rsidR="00D61458" w:rsidRPr="003E010F">
        <w:rPr>
          <w:rFonts w:asciiTheme="majorHAnsi" w:hAnsiTheme="majorHAnsi"/>
          <w:sz w:val="22"/>
          <w:szCs w:val="22"/>
        </w:rPr>
        <w:t xml:space="preserve">1 x 25 mg </w:t>
      </w:r>
      <w:r w:rsidR="003E010F">
        <w:rPr>
          <w:rFonts w:asciiTheme="majorHAnsi" w:hAnsiTheme="majorHAnsi"/>
          <w:sz w:val="22"/>
          <w:szCs w:val="22"/>
        </w:rPr>
        <w:t xml:space="preserve">hard </w:t>
      </w:r>
      <w:r w:rsidR="00D61458" w:rsidRPr="003E010F">
        <w:rPr>
          <w:rFonts w:asciiTheme="majorHAnsi" w:hAnsiTheme="majorHAnsi"/>
          <w:sz w:val="22"/>
          <w:szCs w:val="22"/>
        </w:rPr>
        <w:t>capsule and 1 x 100 mg capsule (</w:t>
      </w:r>
      <w:r w:rsidR="00DD479A" w:rsidRPr="003E010F">
        <w:rPr>
          <w:rFonts w:asciiTheme="majorHAnsi" w:hAnsiTheme="majorHAnsi"/>
          <w:sz w:val="22"/>
          <w:szCs w:val="22"/>
        </w:rPr>
        <w:t xml:space="preserve">125 mg daily dose </w:t>
      </w:r>
      <w:r w:rsidR="004A01DB" w:rsidRPr="00BE0670">
        <w:rPr>
          <w:rFonts w:asciiTheme="majorHAnsi" w:hAnsiTheme="majorHAnsi"/>
          <w:sz w:val="22"/>
          <w:szCs w:val="22"/>
        </w:rPr>
        <w:t>composite</w:t>
      </w:r>
      <w:r w:rsidR="004A01DB" w:rsidRPr="00BE0670" w:rsidDel="004A01DB">
        <w:rPr>
          <w:rFonts w:asciiTheme="majorHAnsi" w:hAnsiTheme="majorHAnsi"/>
          <w:sz w:val="22"/>
          <w:szCs w:val="22"/>
        </w:rPr>
        <w:t xml:space="preserve"> </w:t>
      </w:r>
      <w:r w:rsidR="00DD479A" w:rsidRPr="003E010F">
        <w:rPr>
          <w:rFonts w:asciiTheme="majorHAnsi" w:hAnsiTheme="majorHAnsi"/>
          <w:sz w:val="22"/>
          <w:szCs w:val="22"/>
        </w:rPr>
        <w:t>pack</w:t>
      </w:r>
      <w:r w:rsidR="00D61458" w:rsidRPr="003E010F">
        <w:rPr>
          <w:rFonts w:asciiTheme="majorHAnsi" w:hAnsiTheme="majorHAnsi"/>
          <w:sz w:val="22"/>
          <w:szCs w:val="22"/>
        </w:rPr>
        <w:t>)</w:t>
      </w:r>
      <w:r w:rsidR="00DD479A" w:rsidRPr="003E010F">
        <w:rPr>
          <w:rFonts w:asciiTheme="majorHAnsi" w:hAnsiTheme="majorHAnsi"/>
          <w:sz w:val="22"/>
          <w:szCs w:val="22"/>
        </w:rPr>
        <w:t xml:space="preserve"> </w:t>
      </w:r>
      <w:r w:rsidR="00DD479A" w:rsidRPr="00AC6B89">
        <w:rPr>
          <w:rFonts w:asciiTheme="majorHAnsi" w:hAnsiTheme="majorHAnsi"/>
          <w:sz w:val="22"/>
          <w:szCs w:val="22"/>
        </w:rPr>
        <w:br/>
      </w:r>
      <w:r w:rsidR="00DD479A" w:rsidRPr="003E010F">
        <w:rPr>
          <w:rFonts w:asciiTheme="majorHAnsi" w:hAnsiTheme="majorHAnsi"/>
          <w:sz w:val="22"/>
          <w:szCs w:val="22"/>
        </w:rPr>
        <w:t xml:space="preserve">(Contains 21 </w:t>
      </w:r>
      <w:r w:rsidR="00F35996" w:rsidRPr="00BE0670">
        <w:rPr>
          <w:rFonts w:asciiTheme="majorHAnsi" w:hAnsiTheme="majorHAnsi"/>
          <w:sz w:val="22"/>
          <w:szCs w:val="22"/>
        </w:rPr>
        <w:t>x</w:t>
      </w:r>
      <w:r w:rsidR="005A4661" w:rsidRPr="00BE0670">
        <w:rPr>
          <w:rFonts w:asciiTheme="majorHAnsi" w:hAnsiTheme="majorHAnsi"/>
          <w:sz w:val="22"/>
          <w:szCs w:val="22"/>
        </w:rPr>
        <w:t xml:space="preserve"> </w:t>
      </w:r>
      <w:r w:rsidR="00DD479A" w:rsidRPr="00BE0670">
        <w:rPr>
          <w:rFonts w:asciiTheme="majorHAnsi" w:hAnsiTheme="majorHAnsi"/>
          <w:sz w:val="22"/>
          <w:szCs w:val="22"/>
        </w:rPr>
        <w:t xml:space="preserve">25 </w:t>
      </w:r>
      <w:r w:rsidR="005A4661" w:rsidRPr="00BE0670">
        <w:rPr>
          <w:rFonts w:asciiTheme="majorHAnsi" w:hAnsiTheme="majorHAnsi"/>
          <w:sz w:val="22"/>
          <w:szCs w:val="22"/>
        </w:rPr>
        <w:t>mg and</w:t>
      </w:r>
      <w:r w:rsidR="00F35996" w:rsidRPr="002D6C52">
        <w:rPr>
          <w:rFonts w:asciiTheme="majorHAnsi" w:hAnsiTheme="majorHAnsi"/>
          <w:sz w:val="22"/>
          <w:szCs w:val="22"/>
        </w:rPr>
        <w:t xml:space="preserve"> 21 x 100 mg </w:t>
      </w:r>
      <w:r w:rsidR="00103F79" w:rsidRPr="003E010F">
        <w:rPr>
          <w:rFonts w:asciiTheme="majorHAnsi" w:hAnsiTheme="majorHAnsi"/>
          <w:sz w:val="22"/>
          <w:szCs w:val="22"/>
        </w:rPr>
        <w:t xml:space="preserve">hard </w:t>
      </w:r>
      <w:r w:rsidR="00DD479A" w:rsidRPr="00BE0670">
        <w:rPr>
          <w:rFonts w:asciiTheme="majorHAnsi" w:hAnsiTheme="majorHAnsi"/>
          <w:sz w:val="22"/>
          <w:szCs w:val="22"/>
        </w:rPr>
        <w:t>capsules).</w:t>
      </w:r>
    </w:p>
    <w:p w14:paraId="42556698" w14:textId="097FB51D" w:rsidR="00DD479A" w:rsidRPr="003E010F" w:rsidRDefault="00683FA8" w:rsidP="001E1F37">
      <w:pPr>
        <w:pStyle w:val="SageBodyText"/>
        <w:numPr>
          <w:ilvl w:val="0"/>
          <w:numId w:val="16"/>
        </w:numPr>
        <w:spacing w:before="120"/>
        <w:rPr>
          <w:rFonts w:asciiTheme="majorHAnsi" w:hAnsiTheme="majorHAnsi"/>
          <w:sz w:val="22"/>
          <w:szCs w:val="22"/>
        </w:rPr>
      </w:pPr>
      <w:r w:rsidRPr="00BE0670">
        <w:rPr>
          <w:rFonts w:asciiTheme="majorHAnsi" w:hAnsiTheme="majorHAnsi" w:cstheme="minorHAnsi"/>
          <w:sz w:val="22"/>
          <w:szCs w:val="22"/>
          <w:lang w:val="en"/>
        </w:rPr>
        <w:t>TRUSELTIQ</w:t>
      </w:r>
      <w:r w:rsidR="002A3D72" w:rsidRPr="00BE0670">
        <w:rPr>
          <w:rFonts w:asciiTheme="majorHAnsi" w:hAnsiTheme="majorHAnsi" w:cstheme="minorHAnsi"/>
          <w:sz w:val="22"/>
          <w:szCs w:val="22"/>
          <w:vertAlign w:val="superscript"/>
          <w:lang w:val="en"/>
        </w:rPr>
        <w:t>TM</w:t>
      </w:r>
      <w:r w:rsidRPr="00BE0670" w:rsidDel="00683FA8">
        <w:rPr>
          <w:rFonts w:asciiTheme="majorHAnsi" w:hAnsiTheme="majorHAnsi"/>
          <w:sz w:val="22"/>
          <w:szCs w:val="22"/>
        </w:rPr>
        <w:t xml:space="preserve"> </w:t>
      </w:r>
      <w:r w:rsidR="003547B2" w:rsidRPr="00AC6B89">
        <w:rPr>
          <w:rFonts w:asciiTheme="majorHAnsi" w:hAnsiTheme="majorHAnsi"/>
          <w:sz w:val="22"/>
          <w:szCs w:val="22"/>
        </w:rPr>
        <w:t xml:space="preserve">1 x 100 mg </w:t>
      </w:r>
      <w:r w:rsidR="003E010F">
        <w:rPr>
          <w:rFonts w:asciiTheme="majorHAnsi" w:hAnsiTheme="majorHAnsi"/>
          <w:sz w:val="22"/>
          <w:szCs w:val="22"/>
        </w:rPr>
        <w:t xml:space="preserve">hard </w:t>
      </w:r>
      <w:r w:rsidR="003547B2" w:rsidRPr="00AC6B89">
        <w:rPr>
          <w:rFonts w:asciiTheme="majorHAnsi" w:hAnsiTheme="majorHAnsi"/>
          <w:sz w:val="22"/>
          <w:szCs w:val="22"/>
        </w:rPr>
        <w:t>capsule (</w:t>
      </w:r>
      <w:r w:rsidR="00DD479A" w:rsidRPr="003E010F">
        <w:rPr>
          <w:rFonts w:asciiTheme="majorHAnsi" w:hAnsiTheme="majorHAnsi"/>
          <w:sz w:val="22"/>
          <w:szCs w:val="22"/>
        </w:rPr>
        <w:t>100 mg daily dose</w:t>
      </w:r>
      <w:r w:rsidR="00D61458" w:rsidRPr="003E010F">
        <w:rPr>
          <w:rFonts w:asciiTheme="majorHAnsi" w:hAnsiTheme="majorHAnsi"/>
          <w:sz w:val="22"/>
          <w:szCs w:val="22"/>
        </w:rPr>
        <w:t>)</w:t>
      </w:r>
      <w:r w:rsidR="00DD479A" w:rsidRPr="003E010F">
        <w:rPr>
          <w:rFonts w:asciiTheme="majorHAnsi" w:hAnsiTheme="majorHAnsi"/>
          <w:sz w:val="22"/>
          <w:szCs w:val="22"/>
        </w:rPr>
        <w:t xml:space="preserve"> </w:t>
      </w:r>
      <w:r w:rsidR="00DD479A" w:rsidRPr="003E010F">
        <w:rPr>
          <w:rFonts w:asciiTheme="majorHAnsi" w:hAnsiTheme="majorHAnsi"/>
          <w:sz w:val="22"/>
          <w:szCs w:val="22"/>
        </w:rPr>
        <w:br/>
        <w:t xml:space="preserve">(Contains 21 </w:t>
      </w:r>
      <w:r w:rsidR="00F35996" w:rsidRPr="00BE0670">
        <w:rPr>
          <w:rFonts w:asciiTheme="majorHAnsi" w:hAnsiTheme="majorHAnsi"/>
          <w:sz w:val="22"/>
          <w:szCs w:val="22"/>
        </w:rPr>
        <w:t>x</w:t>
      </w:r>
      <w:r w:rsidR="00DD479A" w:rsidRPr="00BE0670">
        <w:rPr>
          <w:rFonts w:asciiTheme="majorHAnsi" w:hAnsiTheme="majorHAnsi"/>
          <w:sz w:val="22"/>
          <w:szCs w:val="22"/>
        </w:rPr>
        <w:t xml:space="preserve"> 100 mg </w:t>
      </w:r>
      <w:r w:rsidR="00103F79" w:rsidRPr="00BE0670">
        <w:rPr>
          <w:rFonts w:asciiTheme="majorHAnsi" w:hAnsiTheme="majorHAnsi"/>
          <w:sz w:val="22"/>
          <w:szCs w:val="22"/>
        </w:rPr>
        <w:t xml:space="preserve">hard </w:t>
      </w:r>
      <w:r w:rsidR="00DD479A" w:rsidRPr="002D6C52">
        <w:rPr>
          <w:rFonts w:asciiTheme="majorHAnsi" w:hAnsiTheme="majorHAnsi"/>
          <w:sz w:val="22"/>
          <w:szCs w:val="22"/>
        </w:rPr>
        <w:t>capsules).</w:t>
      </w:r>
    </w:p>
    <w:p w14:paraId="2ABB50FC" w14:textId="52D7F9CB" w:rsidR="00F35996" w:rsidRPr="00F35996" w:rsidRDefault="00FF667F" w:rsidP="00A14A3E">
      <w:pPr>
        <w:pStyle w:val="sagebodytext0"/>
        <w:numPr>
          <w:ilvl w:val="0"/>
          <w:numId w:val="16"/>
        </w:numPr>
        <w:spacing w:before="120" w:beforeAutospacing="0" w:after="0" w:afterAutospacing="0"/>
      </w:pPr>
      <w:r w:rsidRPr="00F35996">
        <w:rPr>
          <w:rFonts w:asciiTheme="majorHAnsi" w:hAnsiTheme="majorHAnsi" w:cstheme="minorHAnsi"/>
          <w:lang w:val="en"/>
        </w:rPr>
        <w:t>TRUSELTIQ</w:t>
      </w:r>
      <w:r w:rsidR="002A3D72" w:rsidRPr="00F35996">
        <w:rPr>
          <w:rFonts w:asciiTheme="majorHAnsi" w:hAnsiTheme="majorHAnsi" w:cstheme="minorHAnsi"/>
          <w:vertAlign w:val="superscript"/>
          <w:lang w:val="en"/>
        </w:rPr>
        <w:t>TM</w:t>
      </w:r>
      <w:r w:rsidRPr="00F35996" w:rsidDel="00FF667F">
        <w:rPr>
          <w:rFonts w:asciiTheme="majorHAnsi" w:hAnsiTheme="majorHAnsi"/>
        </w:rPr>
        <w:t xml:space="preserve"> </w:t>
      </w:r>
      <w:r w:rsidR="00AA574E" w:rsidRPr="00AA574E">
        <w:rPr>
          <w:rFonts w:asciiTheme="majorHAnsi" w:hAnsiTheme="majorHAnsi"/>
        </w:rPr>
        <w:t xml:space="preserve">3 x 25 mg </w:t>
      </w:r>
      <w:r w:rsidR="003E010F">
        <w:rPr>
          <w:rFonts w:asciiTheme="majorHAnsi" w:hAnsiTheme="majorHAnsi"/>
        </w:rPr>
        <w:t xml:space="preserve">hard </w:t>
      </w:r>
      <w:r w:rsidR="00AA574E" w:rsidRPr="00AA574E">
        <w:rPr>
          <w:rFonts w:asciiTheme="majorHAnsi" w:hAnsiTheme="majorHAnsi"/>
        </w:rPr>
        <w:t xml:space="preserve">capsules </w:t>
      </w:r>
      <w:r w:rsidR="00AA574E">
        <w:rPr>
          <w:rFonts w:asciiTheme="majorHAnsi" w:hAnsiTheme="majorHAnsi"/>
        </w:rPr>
        <w:t>(</w:t>
      </w:r>
      <w:r w:rsidR="0013166B" w:rsidRPr="00F35996">
        <w:rPr>
          <w:rFonts w:asciiTheme="majorHAnsi" w:hAnsiTheme="majorHAnsi"/>
        </w:rPr>
        <w:t>75 mg daily dose</w:t>
      </w:r>
      <w:r w:rsidR="00AA574E">
        <w:rPr>
          <w:rFonts w:asciiTheme="majorHAnsi" w:hAnsiTheme="majorHAnsi"/>
        </w:rPr>
        <w:t>)</w:t>
      </w:r>
      <w:r w:rsidR="0013166B" w:rsidRPr="00F35996">
        <w:rPr>
          <w:rFonts w:asciiTheme="majorHAnsi" w:hAnsiTheme="majorHAnsi"/>
        </w:rPr>
        <w:t xml:space="preserve"> </w:t>
      </w:r>
      <w:r w:rsidR="0013166B" w:rsidRPr="00F35996">
        <w:rPr>
          <w:rFonts w:asciiTheme="majorHAnsi" w:hAnsiTheme="majorHAnsi"/>
        </w:rPr>
        <w:br/>
      </w:r>
      <w:r w:rsidR="00F35996" w:rsidRPr="00F35996">
        <w:rPr>
          <w:rFonts w:asciiTheme="majorHAnsi" w:hAnsiTheme="majorHAnsi"/>
          <w:lang w:val="en-US"/>
        </w:rPr>
        <w:t>Pack 1 - Weeks 1-2 contains 42</w:t>
      </w:r>
      <w:r w:rsidR="00FE7C2E">
        <w:rPr>
          <w:rFonts w:asciiTheme="majorHAnsi" w:hAnsiTheme="majorHAnsi"/>
          <w:lang w:val="en-US"/>
        </w:rPr>
        <w:t>-</w:t>
      </w:r>
      <w:r w:rsidR="00F35996" w:rsidRPr="00F35996">
        <w:rPr>
          <w:rFonts w:asciiTheme="majorHAnsi" w:hAnsiTheme="majorHAnsi"/>
          <w:lang w:val="en-US"/>
        </w:rPr>
        <w:t xml:space="preserve"> x 25</w:t>
      </w:r>
      <w:r w:rsidR="005A4661">
        <w:rPr>
          <w:rFonts w:asciiTheme="majorHAnsi" w:hAnsiTheme="majorHAnsi"/>
          <w:lang w:val="en-US"/>
        </w:rPr>
        <w:t xml:space="preserve"> </w:t>
      </w:r>
      <w:r w:rsidR="00F35996" w:rsidRPr="00F35996">
        <w:rPr>
          <w:rFonts w:asciiTheme="majorHAnsi" w:hAnsiTheme="majorHAnsi"/>
          <w:lang w:val="en-US"/>
        </w:rPr>
        <w:t>mg hard capsules. </w:t>
      </w:r>
    </w:p>
    <w:p w14:paraId="6F1E9675" w14:textId="3A2AAC42" w:rsidR="00F35996" w:rsidRPr="00F35996" w:rsidRDefault="00F35996" w:rsidP="00F35996">
      <w:pPr>
        <w:pStyle w:val="sagebodytext0"/>
        <w:spacing w:before="120" w:beforeAutospacing="0" w:after="0" w:afterAutospacing="0"/>
        <w:ind w:left="720"/>
      </w:pPr>
      <w:r w:rsidRPr="00F35996">
        <w:rPr>
          <w:rFonts w:asciiTheme="majorHAnsi" w:hAnsiTheme="majorHAnsi" w:cstheme="minorHAnsi"/>
          <w:lang w:val="en"/>
        </w:rPr>
        <w:t>Pack 2 - Weeks 3-4 contains </w:t>
      </w:r>
      <w:r w:rsidRPr="00F35996">
        <w:rPr>
          <w:rFonts w:asciiTheme="majorHAnsi" w:hAnsiTheme="majorHAnsi"/>
          <w:lang w:val="en-US"/>
        </w:rPr>
        <w:t>21 x 25</w:t>
      </w:r>
      <w:r w:rsidR="005A4661">
        <w:rPr>
          <w:rFonts w:asciiTheme="majorHAnsi" w:hAnsiTheme="majorHAnsi"/>
          <w:lang w:val="en-US"/>
        </w:rPr>
        <w:t xml:space="preserve"> </w:t>
      </w:r>
      <w:r w:rsidRPr="00F35996">
        <w:rPr>
          <w:rFonts w:asciiTheme="majorHAnsi" w:hAnsiTheme="majorHAnsi"/>
          <w:lang w:val="en-US"/>
        </w:rPr>
        <w:t>mg hard capsules. </w:t>
      </w:r>
    </w:p>
    <w:p w14:paraId="3AC513E0" w14:textId="774D811F" w:rsidR="00DD479A" w:rsidRPr="00F35996" w:rsidRDefault="00FF667F">
      <w:pPr>
        <w:pStyle w:val="SageBodyText"/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 w:rsidRPr="00A14A3E">
        <w:rPr>
          <w:rFonts w:asciiTheme="majorHAnsi" w:hAnsiTheme="majorHAnsi" w:cstheme="minorHAnsi"/>
          <w:sz w:val="22"/>
          <w:szCs w:val="22"/>
          <w:lang w:val="en"/>
        </w:rPr>
        <w:t>TRUSELTIQ</w:t>
      </w:r>
      <w:r w:rsidR="002A3D72" w:rsidRPr="00A14A3E">
        <w:rPr>
          <w:rFonts w:asciiTheme="majorHAnsi" w:hAnsiTheme="majorHAnsi" w:cstheme="minorHAnsi"/>
          <w:sz w:val="22"/>
          <w:szCs w:val="22"/>
          <w:vertAlign w:val="superscript"/>
          <w:lang w:val="en"/>
        </w:rPr>
        <w:t>TM</w:t>
      </w:r>
      <w:r w:rsidRPr="00F35996" w:rsidDel="00FF667F">
        <w:rPr>
          <w:rFonts w:asciiTheme="majorHAnsi" w:hAnsiTheme="majorHAnsi"/>
          <w:sz w:val="22"/>
          <w:szCs w:val="22"/>
        </w:rPr>
        <w:t xml:space="preserve"> </w:t>
      </w:r>
      <w:r w:rsidR="003E5D41" w:rsidRPr="003E5D41">
        <w:rPr>
          <w:rFonts w:asciiTheme="majorHAnsi" w:hAnsiTheme="majorHAnsi"/>
          <w:sz w:val="22"/>
          <w:szCs w:val="22"/>
        </w:rPr>
        <w:t xml:space="preserve">2 x 25 mg </w:t>
      </w:r>
      <w:r w:rsidR="003E010F">
        <w:rPr>
          <w:rFonts w:asciiTheme="majorHAnsi" w:hAnsiTheme="majorHAnsi"/>
          <w:sz w:val="22"/>
          <w:szCs w:val="22"/>
        </w:rPr>
        <w:t xml:space="preserve">hard </w:t>
      </w:r>
      <w:r w:rsidR="003E5D41" w:rsidRPr="003E5D41">
        <w:rPr>
          <w:rFonts w:asciiTheme="majorHAnsi" w:hAnsiTheme="majorHAnsi"/>
          <w:sz w:val="22"/>
          <w:szCs w:val="22"/>
        </w:rPr>
        <w:t xml:space="preserve">capsules </w:t>
      </w:r>
      <w:r w:rsidR="003E5D41">
        <w:rPr>
          <w:rFonts w:asciiTheme="majorHAnsi" w:hAnsiTheme="majorHAnsi"/>
          <w:sz w:val="22"/>
          <w:szCs w:val="22"/>
        </w:rPr>
        <w:t>(</w:t>
      </w:r>
      <w:r w:rsidR="00DD479A" w:rsidRPr="00F35996">
        <w:rPr>
          <w:rFonts w:asciiTheme="majorHAnsi" w:hAnsiTheme="majorHAnsi"/>
          <w:sz w:val="22"/>
          <w:szCs w:val="22"/>
        </w:rPr>
        <w:t>50 mg daily dose</w:t>
      </w:r>
      <w:r w:rsidR="003E5D41">
        <w:rPr>
          <w:rFonts w:asciiTheme="majorHAnsi" w:hAnsiTheme="majorHAnsi"/>
          <w:sz w:val="22"/>
          <w:szCs w:val="22"/>
        </w:rPr>
        <w:t>)</w:t>
      </w:r>
      <w:r w:rsidR="00DD479A" w:rsidRPr="00F35996">
        <w:rPr>
          <w:rFonts w:asciiTheme="majorHAnsi" w:hAnsiTheme="majorHAnsi"/>
          <w:sz w:val="22"/>
          <w:szCs w:val="22"/>
        </w:rPr>
        <w:t xml:space="preserve"> </w:t>
      </w:r>
      <w:r w:rsidR="00DD479A" w:rsidRPr="00F35996">
        <w:rPr>
          <w:rFonts w:asciiTheme="majorHAnsi" w:hAnsiTheme="majorHAnsi"/>
          <w:sz w:val="22"/>
          <w:szCs w:val="22"/>
        </w:rPr>
        <w:br/>
        <w:t xml:space="preserve">(Contains </w:t>
      </w:r>
      <w:r w:rsidR="00F35996">
        <w:rPr>
          <w:rFonts w:asciiTheme="majorHAnsi" w:hAnsiTheme="majorHAnsi"/>
          <w:sz w:val="22"/>
          <w:szCs w:val="22"/>
        </w:rPr>
        <w:t xml:space="preserve">42 x </w:t>
      </w:r>
      <w:r w:rsidR="00DD479A" w:rsidRPr="00F35996">
        <w:rPr>
          <w:rFonts w:asciiTheme="majorHAnsi" w:hAnsiTheme="majorHAnsi"/>
          <w:sz w:val="22"/>
          <w:szCs w:val="22"/>
        </w:rPr>
        <w:t xml:space="preserve">25 mg </w:t>
      </w:r>
      <w:r w:rsidR="00103F79" w:rsidRPr="00F35996">
        <w:rPr>
          <w:rFonts w:asciiTheme="majorHAnsi" w:hAnsiTheme="majorHAnsi"/>
          <w:sz w:val="22"/>
          <w:szCs w:val="22"/>
        </w:rPr>
        <w:t xml:space="preserve">hard </w:t>
      </w:r>
      <w:r w:rsidR="00DD479A" w:rsidRPr="00F35996">
        <w:rPr>
          <w:rFonts w:asciiTheme="majorHAnsi" w:hAnsiTheme="majorHAnsi"/>
          <w:sz w:val="22"/>
          <w:szCs w:val="22"/>
        </w:rPr>
        <w:t xml:space="preserve">capsules) </w:t>
      </w:r>
    </w:p>
    <w:p w14:paraId="149B06F9" w14:textId="77777777" w:rsidR="0013166B" w:rsidRPr="00F35996" w:rsidRDefault="0013166B" w:rsidP="003A13EB">
      <w:pPr>
        <w:pStyle w:val="SageBodyText"/>
        <w:spacing w:before="120"/>
        <w:ind w:left="720"/>
        <w:rPr>
          <w:rFonts w:asciiTheme="majorHAnsi" w:hAnsiTheme="majorHAnsi"/>
          <w:sz w:val="22"/>
          <w:szCs w:val="22"/>
        </w:rPr>
      </w:pPr>
    </w:p>
    <w:p w14:paraId="71CDC9D5" w14:textId="77777777" w:rsidR="005B2812" w:rsidRPr="009E1BC3" w:rsidRDefault="005B2812" w:rsidP="005B2812">
      <w:pPr>
        <w:pStyle w:val="Heading2"/>
        <w:spacing w:before="0" w:after="120"/>
        <w:rPr>
          <w:rFonts w:cstheme="minorHAnsi"/>
          <w:lang w:val="en-US"/>
        </w:rPr>
      </w:pPr>
      <w:r w:rsidRPr="009E1BC3">
        <w:rPr>
          <w:rFonts w:cstheme="minorHAnsi"/>
          <w:lang w:val="en-US"/>
        </w:rPr>
        <w:t xml:space="preserve">Special precautions for disposal </w:t>
      </w:r>
    </w:p>
    <w:p w14:paraId="6631F7C0" w14:textId="50B51146" w:rsidR="003A13EB" w:rsidRPr="009E1BC3" w:rsidRDefault="0021200F" w:rsidP="00940371">
      <w:pPr>
        <w:jc w:val="both"/>
        <w:rPr>
          <w:rFonts w:asciiTheme="majorHAnsi" w:hAnsiTheme="majorHAnsi" w:cstheme="minorHAnsi"/>
          <w:lang w:val="en"/>
        </w:rPr>
      </w:pPr>
      <w:r w:rsidRPr="009E1BC3">
        <w:rPr>
          <w:rFonts w:asciiTheme="majorHAnsi" w:hAnsiTheme="majorHAnsi" w:cstheme="minorHAnsi"/>
          <w:lang w:val="en"/>
        </w:rPr>
        <w:t xml:space="preserve">In Australia, any unused medicine or waste material should be disposed of by taking to your local pharmacy. </w:t>
      </w:r>
    </w:p>
    <w:p w14:paraId="0192CD87" w14:textId="5AE588C1" w:rsidR="001A3992" w:rsidRPr="009E1BC3" w:rsidRDefault="001A3992" w:rsidP="001A3992">
      <w:pPr>
        <w:pStyle w:val="Heading2"/>
        <w:spacing w:before="0" w:after="120"/>
        <w:rPr>
          <w:lang w:val="en-US"/>
        </w:rPr>
      </w:pPr>
      <w:r w:rsidRPr="009E1BC3">
        <w:rPr>
          <w:lang w:val="en-US"/>
        </w:rPr>
        <w:t>Physicochemical properties</w:t>
      </w:r>
    </w:p>
    <w:p w14:paraId="5B7B9411" w14:textId="79BF65C7" w:rsidR="00EC715D" w:rsidRPr="009E1BC3" w:rsidRDefault="00EC715D" w:rsidP="00940371">
      <w:pPr>
        <w:jc w:val="both"/>
        <w:rPr>
          <w:rFonts w:asciiTheme="majorHAnsi" w:hAnsiTheme="majorHAnsi"/>
        </w:rPr>
      </w:pPr>
      <w:r w:rsidRPr="009E1BC3">
        <w:rPr>
          <w:rFonts w:asciiTheme="majorHAnsi" w:hAnsiTheme="majorHAnsi"/>
        </w:rPr>
        <w:t>Infigratinib phosphate is a white to off-white powder. It shows adequate solubility in water and 0.1N HC</w:t>
      </w:r>
      <w:r w:rsidR="00B06ADB" w:rsidRPr="009E1BC3">
        <w:rPr>
          <w:rFonts w:asciiTheme="majorHAnsi" w:hAnsiTheme="majorHAnsi"/>
        </w:rPr>
        <w:t>l</w:t>
      </w:r>
      <w:r w:rsidRPr="009E1BC3">
        <w:rPr>
          <w:rFonts w:asciiTheme="majorHAnsi" w:hAnsiTheme="majorHAnsi"/>
        </w:rPr>
        <w:t>. It is practically insoluble in pH 6.8 buffer and poorly soluble in common organic solvents.</w:t>
      </w:r>
    </w:p>
    <w:p w14:paraId="079C8584" w14:textId="2E976974" w:rsidR="0013166B" w:rsidRPr="009E1BC3" w:rsidRDefault="001A3992" w:rsidP="00DD479A">
      <w:pPr>
        <w:pStyle w:val="Heading3"/>
        <w:spacing w:before="0" w:after="120"/>
        <w:ind w:left="0"/>
        <w:rPr>
          <w:lang w:val="en-US"/>
        </w:rPr>
      </w:pPr>
      <w:r w:rsidRPr="009E1BC3">
        <w:rPr>
          <w:lang w:val="en-US"/>
        </w:rPr>
        <w:lastRenderedPageBreak/>
        <w:t>Chemical structure</w:t>
      </w:r>
    </w:p>
    <w:p w14:paraId="23933E31" w14:textId="1ABADC9E" w:rsidR="0013166B" w:rsidRPr="009E1BC3" w:rsidRDefault="0013166B" w:rsidP="0013166B">
      <w:pPr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noProof/>
        </w:rPr>
        <w:drawing>
          <wp:inline distT="0" distB="0" distL="0" distR="0" wp14:anchorId="125C2F10" wp14:editId="75863773">
            <wp:extent cx="3648075" cy="1304925"/>
            <wp:effectExtent l="0" t="0" r="0" b="0"/>
            <wp:docPr id="718667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872A2" w14:textId="77777777" w:rsidR="0013166B" w:rsidRPr="009E1BC3" w:rsidRDefault="0013166B" w:rsidP="0013166B">
      <w:pPr>
        <w:pStyle w:val="Heading3"/>
        <w:spacing w:before="0" w:after="120"/>
        <w:ind w:left="0"/>
        <w:rPr>
          <w:b w:val="0"/>
          <w:bCs w:val="0"/>
          <w:lang w:val="en-US"/>
        </w:rPr>
      </w:pPr>
      <w:r w:rsidRPr="009E1BC3">
        <w:rPr>
          <w:b w:val="0"/>
          <w:bCs w:val="0"/>
          <w:lang w:val="en-US"/>
        </w:rPr>
        <w:t>Chemical name: 3-(2,6-dichloro-3,5-dimethoxyphenyl)-1-{6-[4-(4-ethylpiperazin-1-</w:t>
      </w:r>
      <w:proofErr w:type="gramStart"/>
      <w:r w:rsidRPr="009E1BC3">
        <w:rPr>
          <w:b w:val="0"/>
          <w:bCs w:val="0"/>
          <w:lang w:val="en-US"/>
        </w:rPr>
        <w:t>yl)phenylamino</w:t>
      </w:r>
      <w:proofErr w:type="gramEnd"/>
      <w:r w:rsidRPr="009E1BC3">
        <w:rPr>
          <w:b w:val="0"/>
          <w:bCs w:val="0"/>
          <w:lang w:val="en-US"/>
        </w:rPr>
        <w:t>]pyrimidin-4-yl}-1-methylurea phosphate (1:1).</w:t>
      </w:r>
    </w:p>
    <w:p w14:paraId="44D2805A" w14:textId="3EB06A05" w:rsidR="0013166B" w:rsidRPr="009E1BC3" w:rsidRDefault="0013166B" w:rsidP="00940371">
      <w:pPr>
        <w:jc w:val="both"/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>Molecular formula: C</w:t>
      </w:r>
      <w:r w:rsidRPr="009E1BC3">
        <w:rPr>
          <w:rFonts w:asciiTheme="majorHAnsi" w:hAnsiTheme="majorHAnsi"/>
          <w:vertAlign w:val="subscript"/>
          <w:lang w:val="en-US"/>
        </w:rPr>
        <w:t>26</w:t>
      </w:r>
      <w:r w:rsidRPr="009E1BC3">
        <w:rPr>
          <w:rFonts w:asciiTheme="majorHAnsi" w:hAnsiTheme="majorHAnsi"/>
          <w:lang w:val="en-US"/>
        </w:rPr>
        <w:t>H</w:t>
      </w:r>
      <w:r w:rsidRPr="009E1BC3">
        <w:rPr>
          <w:rFonts w:asciiTheme="majorHAnsi" w:hAnsiTheme="majorHAnsi"/>
          <w:vertAlign w:val="subscript"/>
          <w:lang w:val="en-US"/>
        </w:rPr>
        <w:t>31</w:t>
      </w:r>
      <w:r w:rsidRPr="009E1BC3">
        <w:rPr>
          <w:rFonts w:asciiTheme="majorHAnsi" w:hAnsiTheme="majorHAnsi"/>
          <w:lang w:val="en-US"/>
        </w:rPr>
        <w:t>C</w:t>
      </w:r>
      <w:r w:rsidR="00B06ADB" w:rsidRPr="009E1BC3">
        <w:rPr>
          <w:rFonts w:asciiTheme="majorHAnsi" w:hAnsiTheme="majorHAnsi"/>
          <w:lang w:val="en-US"/>
        </w:rPr>
        <w:t>l</w:t>
      </w:r>
      <w:r w:rsidRPr="009E1BC3">
        <w:rPr>
          <w:rFonts w:asciiTheme="majorHAnsi" w:hAnsiTheme="majorHAnsi"/>
          <w:vertAlign w:val="subscript"/>
          <w:lang w:val="en-US"/>
        </w:rPr>
        <w:t>2</w:t>
      </w:r>
      <w:r w:rsidRPr="009E1BC3">
        <w:rPr>
          <w:rFonts w:asciiTheme="majorHAnsi" w:hAnsiTheme="majorHAnsi"/>
          <w:lang w:val="en-US"/>
        </w:rPr>
        <w:t>N</w:t>
      </w:r>
      <w:r w:rsidRPr="009E1BC3">
        <w:rPr>
          <w:rFonts w:asciiTheme="majorHAnsi" w:hAnsiTheme="majorHAnsi"/>
          <w:vertAlign w:val="subscript"/>
          <w:lang w:val="en-US"/>
        </w:rPr>
        <w:t>7</w:t>
      </w:r>
      <w:r w:rsidRPr="009E1BC3">
        <w:rPr>
          <w:rFonts w:asciiTheme="majorHAnsi" w:hAnsiTheme="majorHAnsi"/>
          <w:lang w:val="en-US"/>
        </w:rPr>
        <w:t>O</w:t>
      </w:r>
      <w:r w:rsidRPr="009E1BC3">
        <w:rPr>
          <w:rFonts w:asciiTheme="majorHAnsi" w:hAnsiTheme="majorHAnsi"/>
          <w:vertAlign w:val="subscript"/>
          <w:lang w:val="en-US"/>
        </w:rPr>
        <w:t>3</w:t>
      </w:r>
      <w:r w:rsidRPr="009E1BC3">
        <w:rPr>
          <w:rFonts w:asciiTheme="majorHAnsi" w:hAnsiTheme="majorHAnsi"/>
          <w:lang w:val="en-US"/>
        </w:rPr>
        <w:t xml:space="preserve"> ·H</w:t>
      </w:r>
      <w:r w:rsidRPr="009E1BC3">
        <w:rPr>
          <w:rFonts w:asciiTheme="majorHAnsi" w:hAnsiTheme="majorHAnsi"/>
          <w:vertAlign w:val="subscript"/>
          <w:lang w:val="en-US"/>
        </w:rPr>
        <w:t>3</w:t>
      </w:r>
      <w:r w:rsidRPr="009E1BC3">
        <w:rPr>
          <w:rFonts w:asciiTheme="majorHAnsi" w:hAnsiTheme="majorHAnsi"/>
          <w:lang w:val="en-US"/>
        </w:rPr>
        <w:t>PO</w:t>
      </w:r>
      <w:r w:rsidRPr="009E1BC3">
        <w:rPr>
          <w:rFonts w:asciiTheme="majorHAnsi" w:hAnsiTheme="majorHAnsi"/>
          <w:vertAlign w:val="subscript"/>
          <w:lang w:val="en-US"/>
        </w:rPr>
        <w:t>4</w:t>
      </w:r>
    </w:p>
    <w:p w14:paraId="0DAE4DB4" w14:textId="51C7CBDE" w:rsidR="0013166B" w:rsidRPr="009E1BC3" w:rsidRDefault="0013166B" w:rsidP="00940371">
      <w:pPr>
        <w:jc w:val="both"/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>Molecular weight: 560.48 g/mol</w:t>
      </w:r>
      <w:r w:rsidR="002F38FB" w:rsidRPr="009E1BC3">
        <w:rPr>
          <w:rFonts w:asciiTheme="majorHAnsi" w:hAnsiTheme="majorHAnsi"/>
          <w:lang w:val="en-US"/>
        </w:rPr>
        <w:t xml:space="preserve"> for the free base, 658.47 g/mol for the phosphate salt.</w:t>
      </w:r>
    </w:p>
    <w:p w14:paraId="6C2C3249" w14:textId="58D17721" w:rsidR="001A3992" w:rsidRPr="009E1BC3" w:rsidRDefault="001A3992" w:rsidP="0013166B">
      <w:pPr>
        <w:pStyle w:val="Heading3"/>
        <w:spacing w:before="0" w:after="120"/>
        <w:ind w:left="0"/>
        <w:rPr>
          <w:lang w:val="en-US"/>
        </w:rPr>
      </w:pPr>
      <w:r w:rsidRPr="009E1BC3">
        <w:rPr>
          <w:lang w:val="en-US"/>
        </w:rPr>
        <w:t>CAS number</w:t>
      </w:r>
    </w:p>
    <w:p w14:paraId="08285C3D" w14:textId="77777777" w:rsidR="00403F26" w:rsidRPr="009E1BC3" w:rsidRDefault="00403F26" w:rsidP="00403F26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en-GB"/>
        </w:rPr>
      </w:pPr>
      <w:r w:rsidRPr="00403F26">
        <w:rPr>
          <w:rFonts w:asciiTheme="majorHAnsi" w:eastAsia="Times New Roman" w:hAnsiTheme="majorHAnsi" w:cs="Times New Roman"/>
          <w:lang w:val="en-CA" w:eastAsia="en-GB"/>
        </w:rPr>
        <w:t>872511-34-7</w:t>
      </w:r>
      <w:r>
        <w:rPr>
          <w:rFonts w:asciiTheme="majorHAnsi" w:eastAsia="Times New Roman" w:hAnsiTheme="majorHAnsi" w:cs="Times New Roman"/>
          <w:lang w:val="en-CA" w:eastAsia="en-GB"/>
        </w:rPr>
        <w:t xml:space="preserve"> (free base)</w:t>
      </w:r>
    </w:p>
    <w:p w14:paraId="0633460E" w14:textId="77777777" w:rsidR="00403F26" w:rsidRDefault="00403F26" w:rsidP="00940371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en-GB"/>
        </w:rPr>
      </w:pPr>
    </w:p>
    <w:p w14:paraId="76D400FB" w14:textId="37351764" w:rsidR="0013166B" w:rsidRPr="009E1BC3" w:rsidRDefault="00E95B0A" w:rsidP="0013166B">
      <w:pPr>
        <w:rPr>
          <w:rFonts w:asciiTheme="majorHAnsi" w:hAnsiTheme="majorHAnsi"/>
          <w:lang w:val="en-US"/>
        </w:rPr>
      </w:pPr>
      <w:r w:rsidRPr="009E1BC3">
        <w:rPr>
          <w:rFonts w:asciiTheme="majorHAnsi" w:eastAsia="Times New Roman" w:hAnsiTheme="majorHAnsi" w:cs="Times New Roman"/>
          <w:lang w:eastAsia="en-GB"/>
        </w:rPr>
        <w:t>1310746-10-1</w:t>
      </w:r>
      <w:r w:rsidR="00403F26">
        <w:rPr>
          <w:rFonts w:asciiTheme="majorHAnsi" w:eastAsia="Times New Roman" w:hAnsiTheme="majorHAnsi" w:cs="Times New Roman"/>
          <w:lang w:eastAsia="en-GB"/>
        </w:rPr>
        <w:t xml:space="preserve"> (phosphate salt)</w:t>
      </w:r>
    </w:p>
    <w:p w14:paraId="76921207" w14:textId="60C4C2DD" w:rsidR="001A3992" w:rsidRPr="009E1BC3" w:rsidRDefault="001A3992" w:rsidP="001A3992">
      <w:pPr>
        <w:pStyle w:val="Heading1"/>
        <w:spacing w:before="0" w:after="120"/>
        <w:rPr>
          <w:lang w:val="en-US"/>
        </w:rPr>
      </w:pPr>
      <w:r w:rsidRPr="009E1BC3">
        <w:rPr>
          <w:lang w:val="en-US"/>
        </w:rPr>
        <w:t>Medicine schedule (Poisons Standard)</w:t>
      </w:r>
    </w:p>
    <w:p w14:paraId="7774787D" w14:textId="07A791A5" w:rsidR="0013166B" w:rsidRPr="009E1BC3" w:rsidRDefault="0013166B" w:rsidP="00940371">
      <w:pPr>
        <w:jc w:val="both"/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>S4 –Prescription Only Medicine</w:t>
      </w:r>
    </w:p>
    <w:p w14:paraId="7AF718A0" w14:textId="31D5970C" w:rsidR="00B06ADB" w:rsidRPr="009E1BC3" w:rsidRDefault="001A3992" w:rsidP="00B06ADB">
      <w:pPr>
        <w:pStyle w:val="Heading1"/>
        <w:spacing w:before="0" w:after="120"/>
        <w:rPr>
          <w:lang w:val="en-US"/>
        </w:rPr>
      </w:pPr>
      <w:r w:rsidRPr="009E1BC3">
        <w:rPr>
          <w:lang w:val="en-US"/>
        </w:rPr>
        <w:t>Sponsor</w:t>
      </w:r>
      <w:r w:rsidR="00285173" w:rsidRPr="009E1BC3">
        <w:rPr>
          <w:lang w:val="en-US"/>
        </w:rPr>
        <w:t xml:space="preserve"> </w:t>
      </w:r>
    </w:p>
    <w:p w14:paraId="6A1075E2" w14:textId="3D0EADA3" w:rsidR="00B06ADB" w:rsidRPr="009E1BC3" w:rsidRDefault="00B06ADB" w:rsidP="00940371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>Adjutor Healthcare Pty Ltd</w:t>
      </w:r>
    </w:p>
    <w:p w14:paraId="77281962" w14:textId="2FFEABC9" w:rsidR="00B06ADB" w:rsidRPr="009E1BC3" w:rsidRDefault="00B06ADB" w:rsidP="00940371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>3 Grandview Avenue</w:t>
      </w:r>
    </w:p>
    <w:p w14:paraId="581115C2" w14:textId="311BA596" w:rsidR="00B06ADB" w:rsidRPr="009E1BC3" w:rsidRDefault="00B06ADB" w:rsidP="00940371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>Point Cook VIC 3030</w:t>
      </w:r>
    </w:p>
    <w:p w14:paraId="0CAC4A6E" w14:textId="48B016C2" w:rsidR="00CF6B96" w:rsidRPr="009E1BC3" w:rsidRDefault="00CF6B96" w:rsidP="00940371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14:paraId="2665DE2E" w14:textId="3FDE45A1" w:rsidR="00CF6B96" w:rsidRPr="009E1BC3" w:rsidRDefault="00CF6B96" w:rsidP="00940371">
      <w:pPr>
        <w:spacing w:after="0" w:line="240" w:lineRule="auto"/>
        <w:jc w:val="both"/>
        <w:rPr>
          <w:rFonts w:asciiTheme="majorHAnsi" w:hAnsiTheme="majorHAnsi"/>
          <w:shd w:val="clear" w:color="auto" w:fill="FFFFFF"/>
        </w:rPr>
      </w:pPr>
      <w:r w:rsidRPr="009E1BC3">
        <w:rPr>
          <w:rFonts w:asciiTheme="majorHAnsi" w:hAnsiTheme="majorHAnsi"/>
          <w:shd w:val="clear" w:color="auto" w:fill="FFFFFF"/>
        </w:rPr>
        <w:t xml:space="preserve">Phone: 0418 314 763 </w:t>
      </w:r>
    </w:p>
    <w:p w14:paraId="66E11BE8" w14:textId="77777777" w:rsidR="00B06ADB" w:rsidRPr="009E1BC3" w:rsidRDefault="00B06ADB" w:rsidP="008A59C7">
      <w:pPr>
        <w:spacing w:after="0" w:line="240" w:lineRule="auto"/>
        <w:rPr>
          <w:lang w:val="en-US"/>
        </w:rPr>
      </w:pPr>
    </w:p>
    <w:p w14:paraId="7E9DA5CC" w14:textId="638F0AB2" w:rsidR="0013166B" w:rsidRPr="009E1BC3" w:rsidRDefault="00285173" w:rsidP="00285173">
      <w:pPr>
        <w:pStyle w:val="Heading1"/>
        <w:spacing w:before="0" w:after="120"/>
        <w:rPr>
          <w:lang w:val="en-US"/>
        </w:rPr>
      </w:pPr>
      <w:r w:rsidRPr="009E1BC3">
        <w:rPr>
          <w:lang w:val="en-US"/>
        </w:rPr>
        <w:t>Date of first approval</w:t>
      </w:r>
    </w:p>
    <w:p w14:paraId="616801C1" w14:textId="2E4320DA" w:rsidR="00285173" w:rsidRPr="009E1BC3" w:rsidRDefault="00D072D3" w:rsidP="00940371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05 November 2021</w:t>
      </w:r>
    </w:p>
    <w:p w14:paraId="6E183B74" w14:textId="3D4805DA" w:rsidR="00285173" w:rsidRPr="009E1BC3" w:rsidRDefault="00285173" w:rsidP="00285173">
      <w:pPr>
        <w:pStyle w:val="Heading1"/>
        <w:spacing w:before="0" w:after="120"/>
        <w:rPr>
          <w:lang w:val="en-US"/>
        </w:rPr>
      </w:pPr>
      <w:r w:rsidRPr="009E1BC3">
        <w:rPr>
          <w:lang w:val="en-US"/>
        </w:rPr>
        <w:t xml:space="preserve">Date of revision </w:t>
      </w:r>
    </w:p>
    <w:p w14:paraId="09318D39" w14:textId="01B556CB" w:rsidR="00960CD5" w:rsidRPr="00897F0B" w:rsidRDefault="0013166B" w:rsidP="00940371">
      <w:pPr>
        <w:jc w:val="both"/>
        <w:rPr>
          <w:rFonts w:asciiTheme="majorHAnsi" w:hAnsiTheme="majorHAnsi"/>
          <w:lang w:val="en-US"/>
        </w:rPr>
      </w:pPr>
      <w:r w:rsidRPr="009E1BC3">
        <w:rPr>
          <w:rFonts w:asciiTheme="majorHAnsi" w:hAnsiTheme="majorHAnsi"/>
          <w:lang w:val="en-US"/>
        </w:rPr>
        <w:t>Not applicable.</w:t>
      </w:r>
    </w:p>
    <w:sectPr w:rsidR="00960CD5" w:rsidRPr="00897F0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3E06" w14:textId="77777777" w:rsidR="006B6A4C" w:rsidRDefault="006B6A4C" w:rsidP="001A3992">
      <w:pPr>
        <w:spacing w:after="0" w:line="240" w:lineRule="auto"/>
      </w:pPr>
      <w:r>
        <w:separator/>
      </w:r>
    </w:p>
  </w:endnote>
  <w:endnote w:type="continuationSeparator" w:id="0">
    <w:p w14:paraId="4308374D" w14:textId="77777777" w:rsidR="006B6A4C" w:rsidRDefault="006B6A4C" w:rsidP="001A3992">
      <w:pPr>
        <w:spacing w:after="0" w:line="240" w:lineRule="auto"/>
      </w:pPr>
      <w:r>
        <w:continuationSeparator/>
      </w:r>
    </w:p>
  </w:endnote>
  <w:endnote w:type="continuationNotice" w:id="1">
    <w:p w14:paraId="4C5DC805" w14:textId="77777777" w:rsidR="006B6A4C" w:rsidRDefault="006B6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316343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A0A433D" w14:textId="1F89E8EC" w:rsidR="001D15E5" w:rsidRPr="00B8074A" w:rsidRDefault="001D15E5" w:rsidP="00B859AC">
        <w:pPr>
          <w:pStyle w:val="Footer"/>
          <w:rPr>
            <w:sz w:val="20"/>
          </w:rPr>
        </w:pPr>
        <w:r w:rsidRPr="00D16E52">
          <w:rPr>
            <w:sz w:val="18"/>
            <w:szCs w:val="18"/>
          </w:rPr>
          <w:t xml:space="preserve">Product Information </w:t>
        </w:r>
        <w:r w:rsidRPr="00D16E52">
          <w:rPr>
            <w:rFonts w:asciiTheme="majorHAnsi" w:hAnsiTheme="majorHAnsi" w:cstheme="minorHAnsi"/>
            <w:sz w:val="18"/>
            <w:szCs w:val="18"/>
            <w:lang w:val="en"/>
          </w:rPr>
          <w:t>TRUSELTIQ</w:t>
        </w:r>
        <w:r>
          <w:rPr>
            <w:rFonts w:asciiTheme="majorHAnsi" w:hAnsiTheme="majorHAnsi" w:cstheme="minorHAnsi"/>
            <w:sz w:val="18"/>
            <w:szCs w:val="18"/>
            <w:vertAlign w:val="superscript"/>
            <w:lang w:val="en"/>
          </w:rPr>
          <w:t>TM</w:t>
        </w:r>
        <w:r w:rsidRPr="00D16E52">
          <w:rPr>
            <w:sz w:val="18"/>
            <w:szCs w:val="18"/>
          </w:rPr>
          <w:t xml:space="preserve"> infigratinib </w:t>
        </w:r>
        <w:r>
          <w:rPr>
            <w:sz w:val="18"/>
            <w:szCs w:val="18"/>
          </w:rPr>
          <w:t xml:space="preserve">(as phosphate) </w:t>
        </w:r>
        <w:r w:rsidR="00C225CA">
          <w:rPr>
            <w:sz w:val="18"/>
            <w:szCs w:val="18"/>
          </w:rPr>
          <w:t xml:space="preserve">hard </w:t>
        </w:r>
        <w:r w:rsidRPr="00D16E52">
          <w:rPr>
            <w:sz w:val="18"/>
            <w:szCs w:val="18"/>
          </w:rPr>
          <w:t>capsules    v</w:t>
        </w:r>
        <w:r w:rsidR="00232BEB">
          <w:rPr>
            <w:sz w:val="18"/>
            <w:szCs w:val="18"/>
          </w:rPr>
          <w:t>5.</w:t>
        </w:r>
        <w:r w:rsidR="00C90EC2">
          <w:rPr>
            <w:sz w:val="18"/>
            <w:szCs w:val="18"/>
          </w:rPr>
          <w:t>0</w:t>
        </w:r>
        <w:r w:rsidR="0048177B">
          <w:rPr>
            <w:sz w:val="18"/>
            <w:szCs w:val="18"/>
          </w:rPr>
          <w:t xml:space="preserve">  </w:t>
        </w:r>
        <w:r>
          <w:rPr>
            <w:sz w:val="18"/>
            <w:szCs w:val="18"/>
          </w:rPr>
          <w:t xml:space="preserve"> </w:t>
        </w:r>
        <w:r w:rsidR="00FC5868">
          <w:rPr>
            <w:sz w:val="18"/>
            <w:szCs w:val="18"/>
          </w:rPr>
          <w:t>05Nov</w:t>
        </w:r>
        <w:r w:rsidR="00232BEB">
          <w:rPr>
            <w:sz w:val="18"/>
            <w:szCs w:val="18"/>
          </w:rPr>
          <w:t>21</w:t>
        </w:r>
        <w:r w:rsidR="00325783">
          <w:rPr>
            <w:sz w:val="18"/>
            <w:szCs w:val="18"/>
          </w:rPr>
          <w:tab/>
        </w:r>
        <w:r w:rsidRPr="00B8074A">
          <w:rPr>
            <w:sz w:val="20"/>
          </w:rPr>
          <w:fldChar w:fldCharType="begin"/>
        </w:r>
        <w:r w:rsidRPr="00B8074A">
          <w:rPr>
            <w:sz w:val="20"/>
          </w:rPr>
          <w:instrText xml:space="preserve"> PAGE   \* MERGEFORMAT </w:instrText>
        </w:r>
        <w:r w:rsidRPr="00B8074A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B8074A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DFEE" w14:textId="77777777" w:rsidR="006B6A4C" w:rsidRDefault="006B6A4C" w:rsidP="001A3992">
      <w:pPr>
        <w:spacing w:after="0" w:line="240" w:lineRule="auto"/>
      </w:pPr>
      <w:r>
        <w:separator/>
      </w:r>
    </w:p>
  </w:footnote>
  <w:footnote w:type="continuationSeparator" w:id="0">
    <w:p w14:paraId="449FBDAA" w14:textId="77777777" w:rsidR="006B6A4C" w:rsidRDefault="006B6A4C" w:rsidP="001A3992">
      <w:pPr>
        <w:spacing w:after="0" w:line="240" w:lineRule="auto"/>
      </w:pPr>
      <w:r>
        <w:continuationSeparator/>
      </w:r>
    </w:p>
  </w:footnote>
  <w:footnote w:type="continuationNotice" w:id="1">
    <w:p w14:paraId="7BF74402" w14:textId="77777777" w:rsidR="006B6A4C" w:rsidRDefault="006B6A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shd w:val="clear" w:color="auto" w:fill="E4F2E0"/>
      <w:tblLook w:val="04A0" w:firstRow="1" w:lastRow="0" w:firstColumn="1" w:lastColumn="0" w:noHBand="0" w:noVBand="1"/>
    </w:tblPr>
    <w:tblGrid>
      <w:gridCol w:w="8720"/>
    </w:tblGrid>
    <w:tr w:rsidR="00FF7921" w:rsidRPr="00FF7921" w14:paraId="763FCC3F" w14:textId="77777777" w:rsidTr="001635E8">
      <w:tc>
        <w:tcPr>
          <w:tcW w:w="8720" w:type="dxa"/>
          <w:shd w:val="clear" w:color="auto" w:fill="E4F2E0"/>
        </w:tcPr>
        <w:p w14:paraId="6EC0D1DC" w14:textId="77777777" w:rsidR="00FF7921" w:rsidRPr="00FF7921" w:rsidRDefault="00FF7921" w:rsidP="00FF7921">
          <w:pPr>
            <w:spacing w:before="180" w:after="180" w:line="240" w:lineRule="atLeast"/>
            <w:rPr>
              <w:rFonts w:ascii="Cambria" w:hAnsi="Cambria" w:cs="Times New Roman"/>
              <w:b/>
              <w:sz w:val="18"/>
              <w:szCs w:val="18"/>
            </w:rPr>
          </w:pPr>
          <w:r w:rsidRPr="00FF7921">
            <w:rPr>
              <w:rFonts w:ascii="Cambria" w:hAnsi="Cambria" w:cs="Times New Roman"/>
              <w:b/>
              <w:sz w:val="18"/>
              <w:szCs w:val="18"/>
            </w:rPr>
            <w:t xml:space="preserve">Attachment 1: Product information for </w:t>
          </w:r>
          <w:proofErr w:type="spellStart"/>
          <w:r w:rsidRPr="00FF7921">
            <w:rPr>
              <w:rFonts w:ascii="Cambria" w:hAnsi="Cambria" w:cs="Times New Roman"/>
              <w:b/>
              <w:sz w:val="18"/>
              <w:szCs w:val="18"/>
            </w:rPr>
            <w:t>AusPAR</w:t>
          </w:r>
          <w:proofErr w:type="spellEnd"/>
          <w:r w:rsidRPr="00FF7921">
            <w:rPr>
              <w:rFonts w:ascii="Cambria" w:hAnsi="Cambria" w:cs="Times New Roman"/>
              <w:b/>
              <w:sz w:val="18"/>
              <w:szCs w:val="18"/>
            </w:rPr>
            <w:t xml:space="preserve"> – </w:t>
          </w:r>
          <w:proofErr w:type="spellStart"/>
          <w:r w:rsidRPr="00FF7921">
            <w:rPr>
              <w:rFonts w:ascii="Cambria" w:hAnsi="Cambria" w:cs="Times New Roman"/>
              <w:b/>
              <w:sz w:val="18"/>
              <w:szCs w:val="18"/>
            </w:rPr>
            <w:t>Truseltiq</w:t>
          </w:r>
          <w:proofErr w:type="spellEnd"/>
          <w:r w:rsidRPr="00FF7921">
            <w:rPr>
              <w:rFonts w:ascii="Cambria" w:hAnsi="Cambria" w:cs="Times New Roman"/>
              <w:b/>
              <w:sz w:val="18"/>
              <w:szCs w:val="18"/>
            </w:rPr>
            <w:t xml:space="preserve"> - </w:t>
          </w:r>
          <w:proofErr w:type="spellStart"/>
          <w:r w:rsidRPr="00FF7921">
            <w:rPr>
              <w:rFonts w:ascii="Cambria" w:hAnsi="Cambria" w:cs="Times New Roman"/>
              <w:b/>
              <w:sz w:val="18"/>
              <w:szCs w:val="18"/>
            </w:rPr>
            <w:t>infigratinib</w:t>
          </w:r>
          <w:proofErr w:type="spellEnd"/>
          <w:r w:rsidRPr="00FF7921">
            <w:rPr>
              <w:rFonts w:ascii="Cambria" w:hAnsi="Cambria" w:cs="Times New Roman"/>
              <w:b/>
              <w:sz w:val="18"/>
              <w:szCs w:val="18"/>
            </w:rPr>
            <w:t xml:space="preserve"> - Adjutor Healthcare Pty Ltd - PM-2020-06031-1-4 FINAL 8 December 2022. This is the Product Information that was approved with the submission described in this </w:t>
          </w:r>
          <w:proofErr w:type="spellStart"/>
          <w:r w:rsidRPr="00FF7921">
            <w:rPr>
              <w:rFonts w:ascii="Cambria" w:hAnsi="Cambria" w:cs="Times New Roman"/>
              <w:b/>
              <w:sz w:val="18"/>
              <w:szCs w:val="18"/>
            </w:rPr>
            <w:t>AusPAR</w:t>
          </w:r>
          <w:proofErr w:type="spellEnd"/>
          <w:r w:rsidRPr="00FF7921">
            <w:rPr>
              <w:rFonts w:ascii="Cambria" w:hAnsi="Cambria" w:cs="Times New Roman"/>
              <w:b/>
              <w:sz w:val="18"/>
              <w:szCs w:val="18"/>
            </w:rPr>
            <w:t>. It may have been superseded. For the most recent PI, please refer to the TGA website at &lt;</w:t>
          </w:r>
          <w:hyperlink r:id="rId1" w:history="1">
            <w:r w:rsidRPr="00FF7921">
              <w:rPr>
                <w:rFonts w:ascii="Cambria" w:hAnsi="Cambria" w:cs="Times New Roman"/>
                <w:b/>
                <w:color w:val="0000FF"/>
                <w:sz w:val="18"/>
                <w:szCs w:val="18"/>
                <w:u w:val="single"/>
              </w:rPr>
              <w:t>https://www.tga.gov.au/products/australian-register-therapeutic-goods-artg/product-information-one</w:t>
            </w:r>
          </w:hyperlink>
          <w:r w:rsidRPr="00FF7921">
            <w:rPr>
              <w:rFonts w:ascii="Cambria" w:hAnsi="Cambria" w:cs="Times New Roman"/>
              <w:b/>
              <w:sz w:val="18"/>
              <w:szCs w:val="18"/>
            </w:rPr>
            <w:t>&gt;</w:t>
          </w:r>
        </w:p>
      </w:tc>
    </w:tr>
  </w:tbl>
  <w:p w14:paraId="0D3C23F3" w14:textId="365BEDE9" w:rsidR="00FF7921" w:rsidRDefault="00FF7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3E"/>
    <w:multiLevelType w:val="hybridMultilevel"/>
    <w:tmpl w:val="5AB64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60B4"/>
    <w:multiLevelType w:val="hybridMultilevel"/>
    <w:tmpl w:val="87043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28D3"/>
    <w:multiLevelType w:val="hybridMultilevel"/>
    <w:tmpl w:val="D95A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853D5"/>
    <w:multiLevelType w:val="hybridMultilevel"/>
    <w:tmpl w:val="9A44C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35439"/>
    <w:multiLevelType w:val="hybridMultilevel"/>
    <w:tmpl w:val="D23AB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033"/>
    <w:multiLevelType w:val="hybridMultilevel"/>
    <w:tmpl w:val="847E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02A0"/>
    <w:multiLevelType w:val="hybridMultilevel"/>
    <w:tmpl w:val="C02E2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C3BDF"/>
    <w:multiLevelType w:val="hybridMultilevel"/>
    <w:tmpl w:val="4808B44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451F09C9"/>
    <w:multiLevelType w:val="hybridMultilevel"/>
    <w:tmpl w:val="251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31108"/>
    <w:multiLevelType w:val="hybridMultilevel"/>
    <w:tmpl w:val="82B6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07084"/>
    <w:multiLevelType w:val="hybridMultilevel"/>
    <w:tmpl w:val="B9160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42C05"/>
    <w:multiLevelType w:val="multilevel"/>
    <w:tmpl w:val="88CA3A76"/>
    <w:lvl w:ilvl="0">
      <w:start w:val="1"/>
      <w:numFmt w:val="decimal"/>
      <w:lvlText w:val="Note %1:"/>
      <w:lvlJc w:val="left"/>
      <w:pPr>
        <w:ind w:left="1021" w:hanging="1021"/>
      </w:pPr>
      <w:rPr>
        <w:rFonts w:ascii="Cambria" w:hAnsi="Cambria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6F49FC"/>
    <w:multiLevelType w:val="hybridMultilevel"/>
    <w:tmpl w:val="76C6F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32797"/>
    <w:multiLevelType w:val="multilevel"/>
    <w:tmpl w:val="2836F9B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27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2613446"/>
    <w:multiLevelType w:val="hybridMultilevel"/>
    <w:tmpl w:val="D384F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1220D"/>
    <w:multiLevelType w:val="hybridMultilevel"/>
    <w:tmpl w:val="E814E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12C93"/>
    <w:multiLevelType w:val="hybridMultilevel"/>
    <w:tmpl w:val="2E805540"/>
    <w:lvl w:ilvl="0" w:tplc="7B12DD6C">
      <w:start w:val="4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01D6"/>
    <w:multiLevelType w:val="hybridMultilevel"/>
    <w:tmpl w:val="270C4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17"/>
  </w:num>
  <w:num w:numId="6">
    <w:abstractNumId w:val="14"/>
  </w:num>
  <w:num w:numId="7">
    <w:abstractNumId w:val="12"/>
  </w:num>
  <w:num w:numId="8">
    <w:abstractNumId w:val="15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  <w:num w:numId="14">
    <w:abstractNumId w:val="16"/>
  </w:num>
  <w:num w:numId="15">
    <w:abstractNumId w:val="7"/>
  </w:num>
  <w:num w:numId="16">
    <w:abstractNumId w:val="9"/>
  </w:num>
  <w:num w:numId="17">
    <w:abstractNumId w:val="8"/>
  </w:num>
  <w:num w:numId="18">
    <w:abstractNumId w:val="13"/>
  </w:num>
  <w:num w:numId="19">
    <w:abstractNumId w:val="13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A4"/>
    <w:rsid w:val="00000B20"/>
    <w:rsid w:val="000013B6"/>
    <w:rsid w:val="00001BEA"/>
    <w:rsid w:val="0000349D"/>
    <w:rsid w:val="0000448D"/>
    <w:rsid w:val="00007D93"/>
    <w:rsid w:val="00010637"/>
    <w:rsid w:val="00010929"/>
    <w:rsid w:val="00011CDD"/>
    <w:rsid w:val="00012081"/>
    <w:rsid w:val="00013C33"/>
    <w:rsid w:val="000142A8"/>
    <w:rsid w:val="000144DC"/>
    <w:rsid w:val="0001465A"/>
    <w:rsid w:val="00014AD4"/>
    <w:rsid w:val="00016502"/>
    <w:rsid w:val="00016E4C"/>
    <w:rsid w:val="000203D7"/>
    <w:rsid w:val="00023E7F"/>
    <w:rsid w:val="00025657"/>
    <w:rsid w:val="00030614"/>
    <w:rsid w:val="000313F6"/>
    <w:rsid w:val="00031B55"/>
    <w:rsid w:val="000329F9"/>
    <w:rsid w:val="000346DD"/>
    <w:rsid w:val="000349DC"/>
    <w:rsid w:val="00040FCB"/>
    <w:rsid w:val="00042302"/>
    <w:rsid w:val="00047C37"/>
    <w:rsid w:val="00047E55"/>
    <w:rsid w:val="000515A6"/>
    <w:rsid w:val="00054271"/>
    <w:rsid w:val="000608AB"/>
    <w:rsid w:val="00061FB4"/>
    <w:rsid w:val="00063C32"/>
    <w:rsid w:val="00064715"/>
    <w:rsid w:val="00065A53"/>
    <w:rsid w:val="00067715"/>
    <w:rsid w:val="00071DCA"/>
    <w:rsid w:val="000831C4"/>
    <w:rsid w:val="000923C5"/>
    <w:rsid w:val="00092436"/>
    <w:rsid w:val="00093366"/>
    <w:rsid w:val="00093CF0"/>
    <w:rsid w:val="000943F8"/>
    <w:rsid w:val="0009499D"/>
    <w:rsid w:val="000953B4"/>
    <w:rsid w:val="00095C42"/>
    <w:rsid w:val="00097867"/>
    <w:rsid w:val="00097F08"/>
    <w:rsid w:val="000A377E"/>
    <w:rsid w:val="000A62E3"/>
    <w:rsid w:val="000A69A5"/>
    <w:rsid w:val="000A71E6"/>
    <w:rsid w:val="000A7B68"/>
    <w:rsid w:val="000B0767"/>
    <w:rsid w:val="000B1030"/>
    <w:rsid w:val="000B162D"/>
    <w:rsid w:val="000C3C14"/>
    <w:rsid w:val="000C4335"/>
    <w:rsid w:val="000C472E"/>
    <w:rsid w:val="000C5076"/>
    <w:rsid w:val="000C5CC0"/>
    <w:rsid w:val="000C6B1A"/>
    <w:rsid w:val="000D0230"/>
    <w:rsid w:val="000D0995"/>
    <w:rsid w:val="000D1D15"/>
    <w:rsid w:val="000D3101"/>
    <w:rsid w:val="000D3DF3"/>
    <w:rsid w:val="000D4068"/>
    <w:rsid w:val="000D5345"/>
    <w:rsid w:val="000D59B4"/>
    <w:rsid w:val="000D5F48"/>
    <w:rsid w:val="000D73F8"/>
    <w:rsid w:val="000E0380"/>
    <w:rsid w:val="000E6D8C"/>
    <w:rsid w:val="000F03CA"/>
    <w:rsid w:val="000F0D27"/>
    <w:rsid w:val="000F46A9"/>
    <w:rsid w:val="000F516C"/>
    <w:rsid w:val="000F547C"/>
    <w:rsid w:val="000F715F"/>
    <w:rsid w:val="000F79CE"/>
    <w:rsid w:val="001014EA"/>
    <w:rsid w:val="00101532"/>
    <w:rsid w:val="00102480"/>
    <w:rsid w:val="00102A2D"/>
    <w:rsid w:val="00102BFD"/>
    <w:rsid w:val="00102F25"/>
    <w:rsid w:val="00103F79"/>
    <w:rsid w:val="00104A07"/>
    <w:rsid w:val="00104A6B"/>
    <w:rsid w:val="00107093"/>
    <w:rsid w:val="001112AD"/>
    <w:rsid w:val="0011232A"/>
    <w:rsid w:val="00114CE0"/>
    <w:rsid w:val="0012167C"/>
    <w:rsid w:val="0012214C"/>
    <w:rsid w:val="0012574E"/>
    <w:rsid w:val="00126D47"/>
    <w:rsid w:val="00130F71"/>
    <w:rsid w:val="0013166B"/>
    <w:rsid w:val="00133100"/>
    <w:rsid w:val="00133162"/>
    <w:rsid w:val="001344F9"/>
    <w:rsid w:val="0013675D"/>
    <w:rsid w:val="0013729E"/>
    <w:rsid w:val="001450E4"/>
    <w:rsid w:val="001452C1"/>
    <w:rsid w:val="001455C3"/>
    <w:rsid w:val="00145E76"/>
    <w:rsid w:val="00146532"/>
    <w:rsid w:val="00146DF6"/>
    <w:rsid w:val="001477EA"/>
    <w:rsid w:val="00152E1D"/>
    <w:rsid w:val="00157B51"/>
    <w:rsid w:val="00162527"/>
    <w:rsid w:val="00163856"/>
    <w:rsid w:val="00167CBB"/>
    <w:rsid w:val="001740A0"/>
    <w:rsid w:val="00176A41"/>
    <w:rsid w:val="00177824"/>
    <w:rsid w:val="00181391"/>
    <w:rsid w:val="00181A00"/>
    <w:rsid w:val="001821B8"/>
    <w:rsid w:val="001866C8"/>
    <w:rsid w:val="00186D37"/>
    <w:rsid w:val="00187223"/>
    <w:rsid w:val="001912B5"/>
    <w:rsid w:val="0019160F"/>
    <w:rsid w:val="001943AC"/>
    <w:rsid w:val="00194EE2"/>
    <w:rsid w:val="00195717"/>
    <w:rsid w:val="0019587F"/>
    <w:rsid w:val="001962A8"/>
    <w:rsid w:val="001A3992"/>
    <w:rsid w:val="001A64DB"/>
    <w:rsid w:val="001B3581"/>
    <w:rsid w:val="001B4CCF"/>
    <w:rsid w:val="001B5B1B"/>
    <w:rsid w:val="001B5D52"/>
    <w:rsid w:val="001B6BE7"/>
    <w:rsid w:val="001B6E8E"/>
    <w:rsid w:val="001C18C4"/>
    <w:rsid w:val="001C3A89"/>
    <w:rsid w:val="001C4197"/>
    <w:rsid w:val="001C7839"/>
    <w:rsid w:val="001D059C"/>
    <w:rsid w:val="001D15E5"/>
    <w:rsid w:val="001D3EA7"/>
    <w:rsid w:val="001D5C19"/>
    <w:rsid w:val="001E1356"/>
    <w:rsid w:val="001E1F37"/>
    <w:rsid w:val="001E20A7"/>
    <w:rsid w:val="001E6A88"/>
    <w:rsid w:val="001E6BE2"/>
    <w:rsid w:val="001E7E41"/>
    <w:rsid w:val="001F0B68"/>
    <w:rsid w:val="001F1644"/>
    <w:rsid w:val="001F316E"/>
    <w:rsid w:val="001F48C6"/>
    <w:rsid w:val="001F6CEE"/>
    <w:rsid w:val="00200F14"/>
    <w:rsid w:val="00205683"/>
    <w:rsid w:val="002061BD"/>
    <w:rsid w:val="0021200F"/>
    <w:rsid w:val="0021226D"/>
    <w:rsid w:val="00213057"/>
    <w:rsid w:val="0021365B"/>
    <w:rsid w:val="002136B4"/>
    <w:rsid w:val="002144A2"/>
    <w:rsid w:val="002148C9"/>
    <w:rsid w:val="002148D3"/>
    <w:rsid w:val="00220F72"/>
    <w:rsid w:val="002259BC"/>
    <w:rsid w:val="00226D1A"/>
    <w:rsid w:val="00227223"/>
    <w:rsid w:val="00230AED"/>
    <w:rsid w:val="0023144A"/>
    <w:rsid w:val="00232BEB"/>
    <w:rsid w:val="0023496E"/>
    <w:rsid w:val="00236FB1"/>
    <w:rsid w:val="002404EC"/>
    <w:rsid w:val="00240BDC"/>
    <w:rsid w:val="00247ACB"/>
    <w:rsid w:val="00250F09"/>
    <w:rsid w:val="00251DB9"/>
    <w:rsid w:val="00253490"/>
    <w:rsid w:val="00253ED1"/>
    <w:rsid w:val="002549A7"/>
    <w:rsid w:val="00254EA6"/>
    <w:rsid w:val="00256D40"/>
    <w:rsid w:val="0025753A"/>
    <w:rsid w:val="00257902"/>
    <w:rsid w:val="00266C48"/>
    <w:rsid w:val="0026735D"/>
    <w:rsid w:val="0027220A"/>
    <w:rsid w:val="00276AEA"/>
    <w:rsid w:val="0028129C"/>
    <w:rsid w:val="00281785"/>
    <w:rsid w:val="002817A8"/>
    <w:rsid w:val="0028181D"/>
    <w:rsid w:val="00282749"/>
    <w:rsid w:val="00285173"/>
    <w:rsid w:val="00285C6F"/>
    <w:rsid w:val="00290E1C"/>
    <w:rsid w:val="002922B1"/>
    <w:rsid w:val="00296F2A"/>
    <w:rsid w:val="002A3400"/>
    <w:rsid w:val="002A3D72"/>
    <w:rsid w:val="002B4B37"/>
    <w:rsid w:val="002C1A24"/>
    <w:rsid w:val="002C3306"/>
    <w:rsid w:val="002C398A"/>
    <w:rsid w:val="002C3E93"/>
    <w:rsid w:val="002C6694"/>
    <w:rsid w:val="002C68D3"/>
    <w:rsid w:val="002D0E75"/>
    <w:rsid w:val="002D1035"/>
    <w:rsid w:val="002D25A4"/>
    <w:rsid w:val="002D656D"/>
    <w:rsid w:val="002D6C52"/>
    <w:rsid w:val="002D7724"/>
    <w:rsid w:val="002E01BE"/>
    <w:rsid w:val="002E0BB4"/>
    <w:rsid w:val="002E2034"/>
    <w:rsid w:val="002E277D"/>
    <w:rsid w:val="002E3D98"/>
    <w:rsid w:val="002E4942"/>
    <w:rsid w:val="002E4AD0"/>
    <w:rsid w:val="002E652D"/>
    <w:rsid w:val="002E6627"/>
    <w:rsid w:val="002E7F61"/>
    <w:rsid w:val="002F1D0A"/>
    <w:rsid w:val="002F38FB"/>
    <w:rsid w:val="002F6368"/>
    <w:rsid w:val="003051A3"/>
    <w:rsid w:val="00306577"/>
    <w:rsid w:val="003106BA"/>
    <w:rsid w:val="00313D8C"/>
    <w:rsid w:val="003147D2"/>
    <w:rsid w:val="00315F35"/>
    <w:rsid w:val="00321181"/>
    <w:rsid w:val="00322290"/>
    <w:rsid w:val="00323295"/>
    <w:rsid w:val="003232AC"/>
    <w:rsid w:val="00323452"/>
    <w:rsid w:val="00323DF5"/>
    <w:rsid w:val="00325783"/>
    <w:rsid w:val="00326816"/>
    <w:rsid w:val="00326F17"/>
    <w:rsid w:val="00334A35"/>
    <w:rsid w:val="00334C09"/>
    <w:rsid w:val="00336F68"/>
    <w:rsid w:val="003377CD"/>
    <w:rsid w:val="00341FD2"/>
    <w:rsid w:val="003461EE"/>
    <w:rsid w:val="00347773"/>
    <w:rsid w:val="003527BE"/>
    <w:rsid w:val="00352A85"/>
    <w:rsid w:val="00352B64"/>
    <w:rsid w:val="003547B2"/>
    <w:rsid w:val="00354D44"/>
    <w:rsid w:val="003579B1"/>
    <w:rsid w:val="00357D96"/>
    <w:rsid w:val="0036099B"/>
    <w:rsid w:val="0036099D"/>
    <w:rsid w:val="00364453"/>
    <w:rsid w:val="00365FE5"/>
    <w:rsid w:val="00375939"/>
    <w:rsid w:val="00375C78"/>
    <w:rsid w:val="00375DF3"/>
    <w:rsid w:val="00377127"/>
    <w:rsid w:val="003825BE"/>
    <w:rsid w:val="0038454E"/>
    <w:rsid w:val="00385EE7"/>
    <w:rsid w:val="0038788E"/>
    <w:rsid w:val="00392802"/>
    <w:rsid w:val="00392DF2"/>
    <w:rsid w:val="0039399F"/>
    <w:rsid w:val="00394CB3"/>
    <w:rsid w:val="00396D5F"/>
    <w:rsid w:val="003972C3"/>
    <w:rsid w:val="003A10D5"/>
    <w:rsid w:val="003A13EB"/>
    <w:rsid w:val="003A2FD0"/>
    <w:rsid w:val="003A43D4"/>
    <w:rsid w:val="003B053D"/>
    <w:rsid w:val="003B6A05"/>
    <w:rsid w:val="003B7007"/>
    <w:rsid w:val="003C04A2"/>
    <w:rsid w:val="003C5CA5"/>
    <w:rsid w:val="003C7FB5"/>
    <w:rsid w:val="003D0380"/>
    <w:rsid w:val="003D1697"/>
    <w:rsid w:val="003D4FAD"/>
    <w:rsid w:val="003D76E5"/>
    <w:rsid w:val="003E010F"/>
    <w:rsid w:val="003E1AE8"/>
    <w:rsid w:val="003E21C7"/>
    <w:rsid w:val="003E417B"/>
    <w:rsid w:val="003E5D41"/>
    <w:rsid w:val="003F0915"/>
    <w:rsid w:val="003F5EA2"/>
    <w:rsid w:val="00402061"/>
    <w:rsid w:val="004029E0"/>
    <w:rsid w:val="00403F26"/>
    <w:rsid w:val="00405381"/>
    <w:rsid w:val="004065C4"/>
    <w:rsid w:val="00406D9A"/>
    <w:rsid w:val="00406F8A"/>
    <w:rsid w:val="0041009B"/>
    <w:rsid w:val="00410B2A"/>
    <w:rsid w:val="00411379"/>
    <w:rsid w:val="00413A4F"/>
    <w:rsid w:val="00413EEE"/>
    <w:rsid w:val="00415F3F"/>
    <w:rsid w:val="004163CF"/>
    <w:rsid w:val="0041733A"/>
    <w:rsid w:val="00417E02"/>
    <w:rsid w:val="004226C5"/>
    <w:rsid w:val="0042327D"/>
    <w:rsid w:val="00423412"/>
    <w:rsid w:val="004252AC"/>
    <w:rsid w:val="00427F08"/>
    <w:rsid w:val="00431ACD"/>
    <w:rsid w:val="00431FC6"/>
    <w:rsid w:val="00437D08"/>
    <w:rsid w:val="00443C00"/>
    <w:rsid w:val="00444013"/>
    <w:rsid w:val="00446E12"/>
    <w:rsid w:val="00451A85"/>
    <w:rsid w:val="00454F4E"/>
    <w:rsid w:val="004565FF"/>
    <w:rsid w:val="0045756C"/>
    <w:rsid w:val="00461842"/>
    <w:rsid w:val="0046242D"/>
    <w:rsid w:val="0046549C"/>
    <w:rsid w:val="004672C2"/>
    <w:rsid w:val="004672CF"/>
    <w:rsid w:val="00467B28"/>
    <w:rsid w:val="00467F62"/>
    <w:rsid w:val="00473F3F"/>
    <w:rsid w:val="004741F8"/>
    <w:rsid w:val="00475674"/>
    <w:rsid w:val="004764BB"/>
    <w:rsid w:val="00480233"/>
    <w:rsid w:val="0048177B"/>
    <w:rsid w:val="004848F9"/>
    <w:rsid w:val="004917D9"/>
    <w:rsid w:val="00491D84"/>
    <w:rsid w:val="00492388"/>
    <w:rsid w:val="004939ED"/>
    <w:rsid w:val="00493E18"/>
    <w:rsid w:val="00494850"/>
    <w:rsid w:val="00495A3A"/>
    <w:rsid w:val="004A0044"/>
    <w:rsid w:val="004A01DB"/>
    <w:rsid w:val="004A4201"/>
    <w:rsid w:val="004B3D83"/>
    <w:rsid w:val="004B47F3"/>
    <w:rsid w:val="004B5385"/>
    <w:rsid w:val="004B6B19"/>
    <w:rsid w:val="004B71CC"/>
    <w:rsid w:val="004C04DC"/>
    <w:rsid w:val="004C076F"/>
    <w:rsid w:val="004C3C53"/>
    <w:rsid w:val="004C4FED"/>
    <w:rsid w:val="004D3DD1"/>
    <w:rsid w:val="004D52EA"/>
    <w:rsid w:val="004D5B60"/>
    <w:rsid w:val="004D5FA2"/>
    <w:rsid w:val="004E0750"/>
    <w:rsid w:val="004E3223"/>
    <w:rsid w:val="004E483B"/>
    <w:rsid w:val="004E4C5F"/>
    <w:rsid w:val="004E70DD"/>
    <w:rsid w:val="004E7104"/>
    <w:rsid w:val="004E768D"/>
    <w:rsid w:val="004F01B7"/>
    <w:rsid w:val="004F1D9E"/>
    <w:rsid w:val="004F522C"/>
    <w:rsid w:val="004F5551"/>
    <w:rsid w:val="004F71B6"/>
    <w:rsid w:val="004F786D"/>
    <w:rsid w:val="00503752"/>
    <w:rsid w:val="005063E3"/>
    <w:rsid w:val="0051119C"/>
    <w:rsid w:val="00512A15"/>
    <w:rsid w:val="00512B98"/>
    <w:rsid w:val="00513B54"/>
    <w:rsid w:val="00515908"/>
    <w:rsid w:val="00517ED8"/>
    <w:rsid w:val="00524AB5"/>
    <w:rsid w:val="0052506D"/>
    <w:rsid w:val="00525CE7"/>
    <w:rsid w:val="0052729B"/>
    <w:rsid w:val="0053107B"/>
    <w:rsid w:val="00532A6D"/>
    <w:rsid w:val="00535D63"/>
    <w:rsid w:val="00540209"/>
    <w:rsid w:val="005406E5"/>
    <w:rsid w:val="00550C6A"/>
    <w:rsid w:val="00552E41"/>
    <w:rsid w:val="00554269"/>
    <w:rsid w:val="00555C07"/>
    <w:rsid w:val="00555CED"/>
    <w:rsid w:val="00556EA4"/>
    <w:rsid w:val="00557252"/>
    <w:rsid w:val="00560D3A"/>
    <w:rsid w:val="00562182"/>
    <w:rsid w:val="005627DC"/>
    <w:rsid w:val="0056308C"/>
    <w:rsid w:val="005645BF"/>
    <w:rsid w:val="00566E97"/>
    <w:rsid w:val="00567070"/>
    <w:rsid w:val="0057180A"/>
    <w:rsid w:val="00572163"/>
    <w:rsid w:val="00575E3C"/>
    <w:rsid w:val="00576149"/>
    <w:rsid w:val="0057742A"/>
    <w:rsid w:val="00581F2F"/>
    <w:rsid w:val="00585D2C"/>
    <w:rsid w:val="00585D7B"/>
    <w:rsid w:val="0058699F"/>
    <w:rsid w:val="00587EBC"/>
    <w:rsid w:val="005901B3"/>
    <w:rsid w:val="00590EFC"/>
    <w:rsid w:val="005918AE"/>
    <w:rsid w:val="00592AA5"/>
    <w:rsid w:val="005938B5"/>
    <w:rsid w:val="0059442F"/>
    <w:rsid w:val="00595CE0"/>
    <w:rsid w:val="005A365A"/>
    <w:rsid w:val="005A3983"/>
    <w:rsid w:val="005A4661"/>
    <w:rsid w:val="005A6E60"/>
    <w:rsid w:val="005A7165"/>
    <w:rsid w:val="005B2812"/>
    <w:rsid w:val="005B34DA"/>
    <w:rsid w:val="005B4EF5"/>
    <w:rsid w:val="005B5CEA"/>
    <w:rsid w:val="005B7D4E"/>
    <w:rsid w:val="005C2CF8"/>
    <w:rsid w:val="005C3C40"/>
    <w:rsid w:val="005C448C"/>
    <w:rsid w:val="005C5193"/>
    <w:rsid w:val="005D312E"/>
    <w:rsid w:val="005D5223"/>
    <w:rsid w:val="005E02CE"/>
    <w:rsid w:val="005E06F9"/>
    <w:rsid w:val="005E0AB8"/>
    <w:rsid w:val="005E1012"/>
    <w:rsid w:val="005E3AC4"/>
    <w:rsid w:val="005E3F15"/>
    <w:rsid w:val="005E41A1"/>
    <w:rsid w:val="005E7560"/>
    <w:rsid w:val="005F1F1C"/>
    <w:rsid w:val="005F2481"/>
    <w:rsid w:val="005F2D71"/>
    <w:rsid w:val="005F3C6C"/>
    <w:rsid w:val="005F53D2"/>
    <w:rsid w:val="00601366"/>
    <w:rsid w:val="006018AE"/>
    <w:rsid w:val="00605512"/>
    <w:rsid w:val="00605E46"/>
    <w:rsid w:val="00606466"/>
    <w:rsid w:val="00607153"/>
    <w:rsid w:val="006076BE"/>
    <w:rsid w:val="00610D00"/>
    <w:rsid w:val="00610EDC"/>
    <w:rsid w:val="00611769"/>
    <w:rsid w:val="00611AE5"/>
    <w:rsid w:val="00612D37"/>
    <w:rsid w:val="00613379"/>
    <w:rsid w:val="006142A4"/>
    <w:rsid w:val="00617E34"/>
    <w:rsid w:val="00622802"/>
    <w:rsid w:val="00624A09"/>
    <w:rsid w:val="00625107"/>
    <w:rsid w:val="00625C3A"/>
    <w:rsid w:val="0062797B"/>
    <w:rsid w:val="00631B3B"/>
    <w:rsid w:val="00631E10"/>
    <w:rsid w:val="0063403D"/>
    <w:rsid w:val="00636E2D"/>
    <w:rsid w:val="0063733C"/>
    <w:rsid w:val="006400C2"/>
    <w:rsid w:val="006403BE"/>
    <w:rsid w:val="00640A57"/>
    <w:rsid w:val="00641487"/>
    <w:rsid w:val="00641A1A"/>
    <w:rsid w:val="00643494"/>
    <w:rsid w:val="0064399B"/>
    <w:rsid w:val="00646301"/>
    <w:rsid w:val="00647A19"/>
    <w:rsid w:val="00647BEA"/>
    <w:rsid w:val="00652BD7"/>
    <w:rsid w:val="00652EE8"/>
    <w:rsid w:val="00662352"/>
    <w:rsid w:val="006623E7"/>
    <w:rsid w:val="0066450A"/>
    <w:rsid w:val="0067189F"/>
    <w:rsid w:val="00671CF1"/>
    <w:rsid w:val="006731DA"/>
    <w:rsid w:val="00675CED"/>
    <w:rsid w:val="006769B8"/>
    <w:rsid w:val="00683FA8"/>
    <w:rsid w:val="006878AA"/>
    <w:rsid w:val="00687FE2"/>
    <w:rsid w:val="00693ADC"/>
    <w:rsid w:val="00694C32"/>
    <w:rsid w:val="00694F31"/>
    <w:rsid w:val="006971D0"/>
    <w:rsid w:val="006A33B8"/>
    <w:rsid w:val="006A38FD"/>
    <w:rsid w:val="006A567E"/>
    <w:rsid w:val="006B1547"/>
    <w:rsid w:val="006B21EC"/>
    <w:rsid w:val="006B6A4C"/>
    <w:rsid w:val="006B7412"/>
    <w:rsid w:val="006C1603"/>
    <w:rsid w:val="006C259E"/>
    <w:rsid w:val="006D0C69"/>
    <w:rsid w:val="006D14F1"/>
    <w:rsid w:val="006D3CBD"/>
    <w:rsid w:val="006D6C31"/>
    <w:rsid w:val="006D6DEF"/>
    <w:rsid w:val="006D79ED"/>
    <w:rsid w:val="006D7C88"/>
    <w:rsid w:val="006E0975"/>
    <w:rsid w:val="006E0C0F"/>
    <w:rsid w:val="006E0DAA"/>
    <w:rsid w:val="006F5848"/>
    <w:rsid w:val="006F6333"/>
    <w:rsid w:val="00700711"/>
    <w:rsid w:val="007029E9"/>
    <w:rsid w:val="00705542"/>
    <w:rsid w:val="007073AE"/>
    <w:rsid w:val="00713F5C"/>
    <w:rsid w:val="007159AA"/>
    <w:rsid w:val="00715A6E"/>
    <w:rsid w:val="00722292"/>
    <w:rsid w:val="00724621"/>
    <w:rsid w:val="007259C5"/>
    <w:rsid w:val="00727DFD"/>
    <w:rsid w:val="00731C56"/>
    <w:rsid w:val="00732294"/>
    <w:rsid w:val="00732669"/>
    <w:rsid w:val="00734FA3"/>
    <w:rsid w:val="00735AF1"/>
    <w:rsid w:val="00736851"/>
    <w:rsid w:val="00744CE3"/>
    <w:rsid w:val="007466AD"/>
    <w:rsid w:val="00750779"/>
    <w:rsid w:val="00751B1E"/>
    <w:rsid w:val="00753BA7"/>
    <w:rsid w:val="007607B4"/>
    <w:rsid w:val="0076374D"/>
    <w:rsid w:val="00765F27"/>
    <w:rsid w:val="00766F3A"/>
    <w:rsid w:val="0077248C"/>
    <w:rsid w:val="00774254"/>
    <w:rsid w:val="00777BB7"/>
    <w:rsid w:val="00780829"/>
    <w:rsid w:val="00791D84"/>
    <w:rsid w:val="00792484"/>
    <w:rsid w:val="00794650"/>
    <w:rsid w:val="00795206"/>
    <w:rsid w:val="007953BB"/>
    <w:rsid w:val="00797BC5"/>
    <w:rsid w:val="007B0904"/>
    <w:rsid w:val="007B1ADB"/>
    <w:rsid w:val="007B294D"/>
    <w:rsid w:val="007B68F9"/>
    <w:rsid w:val="007C03A3"/>
    <w:rsid w:val="007C66C8"/>
    <w:rsid w:val="007C78AF"/>
    <w:rsid w:val="007D0300"/>
    <w:rsid w:val="007D031D"/>
    <w:rsid w:val="007D1EEE"/>
    <w:rsid w:val="007D1F12"/>
    <w:rsid w:val="007D4FDD"/>
    <w:rsid w:val="007D56F4"/>
    <w:rsid w:val="007E236D"/>
    <w:rsid w:val="007E318A"/>
    <w:rsid w:val="007E6191"/>
    <w:rsid w:val="007E6827"/>
    <w:rsid w:val="007E6A37"/>
    <w:rsid w:val="007F2296"/>
    <w:rsid w:val="007F3628"/>
    <w:rsid w:val="007F4BA1"/>
    <w:rsid w:val="007F4E9B"/>
    <w:rsid w:val="007F6460"/>
    <w:rsid w:val="0080476B"/>
    <w:rsid w:val="00805745"/>
    <w:rsid w:val="00807ECF"/>
    <w:rsid w:val="008105A5"/>
    <w:rsid w:val="008105BA"/>
    <w:rsid w:val="0081260B"/>
    <w:rsid w:val="00813AB0"/>
    <w:rsid w:val="00814D65"/>
    <w:rsid w:val="00823855"/>
    <w:rsid w:val="008312C0"/>
    <w:rsid w:val="0083232C"/>
    <w:rsid w:val="00832DF2"/>
    <w:rsid w:val="00833524"/>
    <w:rsid w:val="008362B0"/>
    <w:rsid w:val="00840FF7"/>
    <w:rsid w:val="00841128"/>
    <w:rsid w:val="00841797"/>
    <w:rsid w:val="0084476B"/>
    <w:rsid w:val="008449B9"/>
    <w:rsid w:val="0084695D"/>
    <w:rsid w:val="00847EC9"/>
    <w:rsid w:val="00850ECC"/>
    <w:rsid w:val="00861584"/>
    <w:rsid w:val="00867954"/>
    <w:rsid w:val="0087266B"/>
    <w:rsid w:val="00873C0F"/>
    <w:rsid w:val="0087775C"/>
    <w:rsid w:val="0088196A"/>
    <w:rsid w:val="00882936"/>
    <w:rsid w:val="00886E1D"/>
    <w:rsid w:val="00891E71"/>
    <w:rsid w:val="00895D35"/>
    <w:rsid w:val="00896631"/>
    <w:rsid w:val="00896AB3"/>
    <w:rsid w:val="00897F0B"/>
    <w:rsid w:val="008A18BC"/>
    <w:rsid w:val="008A2A59"/>
    <w:rsid w:val="008A59C7"/>
    <w:rsid w:val="008A5B6B"/>
    <w:rsid w:val="008A6AB7"/>
    <w:rsid w:val="008B0D2C"/>
    <w:rsid w:val="008B1651"/>
    <w:rsid w:val="008B683F"/>
    <w:rsid w:val="008B7EC4"/>
    <w:rsid w:val="008C09A2"/>
    <w:rsid w:val="008C1387"/>
    <w:rsid w:val="008C16D4"/>
    <w:rsid w:val="008C1FCC"/>
    <w:rsid w:val="008C4AC0"/>
    <w:rsid w:val="008C5D42"/>
    <w:rsid w:val="008D0C22"/>
    <w:rsid w:val="008D18F2"/>
    <w:rsid w:val="008D2BBF"/>
    <w:rsid w:val="008D3AE8"/>
    <w:rsid w:val="008D4287"/>
    <w:rsid w:val="008D5338"/>
    <w:rsid w:val="008D64E5"/>
    <w:rsid w:val="008D7C50"/>
    <w:rsid w:val="008E07A5"/>
    <w:rsid w:val="008E7A35"/>
    <w:rsid w:val="008F1DBB"/>
    <w:rsid w:val="008F2BF7"/>
    <w:rsid w:val="008F43E2"/>
    <w:rsid w:val="0090188B"/>
    <w:rsid w:val="0090369B"/>
    <w:rsid w:val="0090472B"/>
    <w:rsid w:val="00905FE6"/>
    <w:rsid w:val="009075C6"/>
    <w:rsid w:val="009111E7"/>
    <w:rsid w:val="00912C05"/>
    <w:rsid w:val="009155BB"/>
    <w:rsid w:val="009167E6"/>
    <w:rsid w:val="00917858"/>
    <w:rsid w:val="0092366B"/>
    <w:rsid w:val="009237F1"/>
    <w:rsid w:val="0093021D"/>
    <w:rsid w:val="00931B2D"/>
    <w:rsid w:val="009331E9"/>
    <w:rsid w:val="00935CA4"/>
    <w:rsid w:val="00940371"/>
    <w:rsid w:val="009431D0"/>
    <w:rsid w:val="009528C4"/>
    <w:rsid w:val="00960CD5"/>
    <w:rsid w:val="00962974"/>
    <w:rsid w:val="00965F6C"/>
    <w:rsid w:val="00970FEE"/>
    <w:rsid w:val="009724B7"/>
    <w:rsid w:val="00972654"/>
    <w:rsid w:val="00975669"/>
    <w:rsid w:val="009759CF"/>
    <w:rsid w:val="00975A50"/>
    <w:rsid w:val="00975B93"/>
    <w:rsid w:val="009760D5"/>
    <w:rsid w:val="00977027"/>
    <w:rsid w:val="0098015C"/>
    <w:rsid w:val="00986996"/>
    <w:rsid w:val="00990317"/>
    <w:rsid w:val="00990EBE"/>
    <w:rsid w:val="009942A9"/>
    <w:rsid w:val="009958A5"/>
    <w:rsid w:val="009966C4"/>
    <w:rsid w:val="009A13FD"/>
    <w:rsid w:val="009A77AC"/>
    <w:rsid w:val="009B42DE"/>
    <w:rsid w:val="009B42F1"/>
    <w:rsid w:val="009B62F3"/>
    <w:rsid w:val="009C1D44"/>
    <w:rsid w:val="009C3668"/>
    <w:rsid w:val="009D20F7"/>
    <w:rsid w:val="009D2407"/>
    <w:rsid w:val="009D25A0"/>
    <w:rsid w:val="009D32BB"/>
    <w:rsid w:val="009D34A1"/>
    <w:rsid w:val="009D45FA"/>
    <w:rsid w:val="009D4BFE"/>
    <w:rsid w:val="009E0C7F"/>
    <w:rsid w:val="009E175F"/>
    <w:rsid w:val="009E18ED"/>
    <w:rsid w:val="009E1BC3"/>
    <w:rsid w:val="009E2E9F"/>
    <w:rsid w:val="009E3D86"/>
    <w:rsid w:val="009E473E"/>
    <w:rsid w:val="009E47E6"/>
    <w:rsid w:val="009E6C49"/>
    <w:rsid w:val="009F1664"/>
    <w:rsid w:val="009F4154"/>
    <w:rsid w:val="009F7581"/>
    <w:rsid w:val="009F7BE6"/>
    <w:rsid w:val="00A00528"/>
    <w:rsid w:val="00A00C5D"/>
    <w:rsid w:val="00A01693"/>
    <w:rsid w:val="00A0253E"/>
    <w:rsid w:val="00A03385"/>
    <w:rsid w:val="00A07775"/>
    <w:rsid w:val="00A11DB4"/>
    <w:rsid w:val="00A14A3E"/>
    <w:rsid w:val="00A17B0A"/>
    <w:rsid w:val="00A20786"/>
    <w:rsid w:val="00A21172"/>
    <w:rsid w:val="00A21C64"/>
    <w:rsid w:val="00A236E6"/>
    <w:rsid w:val="00A25687"/>
    <w:rsid w:val="00A333E9"/>
    <w:rsid w:val="00A33647"/>
    <w:rsid w:val="00A33F14"/>
    <w:rsid w:val="00A36499"/>
    <w:rsid w:val="00A40C49"/>
    <w:rsid w:val="00A44006"/>
    <w:rsid w:val="00A4412D"/>
    <w:rsid w:val="00A471ED"/>
    <w:rsid w:val="00A53348"/>
    <w:rsid w:val="00A6138C"/>
    <w:rsid w:val="00A635A6"/>
    <w:rsid w:val="00A64655"/>
    <w:rsid w:val="00A64AA7"/>
    <w:rsid w:val="00A701AB"/>
    <w:rsid w:val="00A70279"/>
    <w:rsid w:val="00A7318B"/>
    <w:rsid w:val="00A75301"/>
    <w:rsid w:val="00A7671A"/>
    <w:rsid w:val="00A77129"/>
    <w:rsid w:val="00A8226D"/>
    <w:rsid w:val="00A87957"/>
    <w:rsid w:val="00A93141"/>
    <w:rsid w:val="00AA3033"/>
    <w:rsid w:val="00AA50BA"/>
    <w:rsid w:val="00AA574E"/>
    <w:rsid w:val="00AA6107"/>
    <w:rsid w:val="00AA69AB"/>
    <w:rsid w:val="00AA6C6D"/>
    <w:rsid w:val="00AA6CFB"/>
    <w:rsid w:val="00AA7BB3"/>
    <w:rsid w:val="00AB0CED"/>
    <w:rsid w:val="00AB244F"/>
    <w:rsid w:val="00AB3750"/>
    <w:rsid w:val="00AB589F"/>
    <w:rsid w:val="00AB69EE"/>
    <w:rsid w:val="00AB7879"/>
    <w:rsid w:val="00AC1176"/>
    <w:rsid w:val="00AC16B5"/>
    <w:rsid w:val="00AC3250"/>
    <w:rsid w:val="00AC5E32"/>
    <w:rsid w:val="00AC6B89"/>
    <w:rsid w:val="00AC6E18"/>
    <w:rsid w:val="00AD1F20"/>
    <w:rsid w:val="00AD2A57"/>
    <w:rsid w:val="00AD43F2"/>
    <w:rsid w:val="00AE05CC"/>
    <w:rsid w:val="00AE1C28"/>
    <w:rsid w:val="00AE4A22"/>
    <w:rsid w:val="00AE683A"/>
    <w:rsid w:val="00AF238D"/>
    <w:rsid w:val="00AF3542"/>
    <w:rsid w:val="00AF46CB"/>
    <w:rsid w:val="00B002E5"/>
    <w:rsid w:val="00B021C6"/>
    <w:rsid w:val="00B02A0B"/>
    <w:rsid w:val="00B06069"/>
    <w:rsid w:val="00B06ADB"/>
    <w:rsid w:val="00B129B1"/>
    <w:rsid w:val="00B12B4F"/>
    <w:rsid w:val="00B21479"/>
    <w:rsid w:val="00B2189C"/>
    <w:rsid w:val="00B23B02"/>
    <w:rsid w:val="00B240F9"/>
    <w:rsid w:val="00B25B8D"/>
    <w:rsid w:val="00B25E7A"/>
    <w:rsid w:val="00B269AC"/>
    <w:rsid w:val="00B30505"/>
    <w:rsid w:val="00B3136D"/>
    <w:rsid w:val="00B353FE"/>
    <w:rsid w:val="00B36431"/>
    <w:rsid w:val="00B40F75"/>
    <w:rsid w:val="00B41916"/>
    <w:rsid w:val="00B41EB1"/>
    <w:rsid w:val="00B4307F"/>
    <w:rsid w:val="00B44F67"/>
    <w:rsid w:val="00B45071"/>
    <w:rsid w:val="00B46F5E"/>
    <w:rsid w:val="00B52AF4"/>
    <w:rsid w:val="00B532F5"/>
    <w:rsid w:val="00B53BC7"/>
    <w:rsid w:val="00B54F74"/>
    <w:rsid w:val="00B561A4"/>
    <w:rsid w:val="00B6054A"/>
    <w:rsid w:val="00B62A84"/>
    <w:rsid w:val="00B65BE2"/>
    <w:rsid w:val="00B65D8B"/>
    <w:rsid w:val="00B7111E"/>
    <w:rsid w:val="00B713BC"/>
    <w:rsid w:val="00B72E98"/>
    <w:rsid w:val="00B73AB1"/>
    <w:rsid w:val="00B771E0"/>
    <w:rsid w:val="00B812E7"/>
    <w:rsid w:val="00B859AC"/>
    <w:rsid w:val="00B871FA"/>
    <w:rsid w:val="00B91D8E"/>
    <w:rsid w:val="00B9468A"/>
    <w:rsid w:val="00B958A6"/>
    <w:rsid w:val="00B95C9B"/>
    <w:rsid w:val="00BA0A41"/>
    <w:rsid w:val="00BA20F4"/>
    <w:rsid w:val="00BA234E"/>
    <w:rsid w:val="00BA5262"/>
    <w:rsid w:val="00BA74D7"/>
    <w:rsid w:val="00BB2884"/>
    <w:rsid w:val="00BC2416"/>
    <w:rsid w:val="00BC2FAE"/>
    <w:rsid w:val="00BC3EE6"/>
    <w:rsid w:val="00BC58DB"/>
    <w:rsid w:val="00BC7309"/>
    <w:rsid w:val="00BC758C"/>
    <w:rsid w:val="00BD29C4"/>
    <w:rsid w:val="00BD399E"/>
    <w:rsid w:val="00BD509D"/>
    <w:rsid w:val="00BD55D4"/>
    <w:rsid w:val="00BD63FD"/>
    <w:rsid w:val="00BE0670"/>
    <w:rsid w:val="00BE156E"/>
    <w:rsid w:val="00BE2A26"/>
    <w:rsid w:val="00BE3E89"/>
    <w:rsid w:val="00BE4DEB"/>
    <w:rsid w:val="00BE6B85"/>
    <w:rsid w:val="00BF2C4F"/>
    <w:rsid w:val="00BF2E77"/>
    <w:rsid w:val="00BF714B"/>
    <w:rsid w:val="00C031ED"/>
    <w:rsid w:val="00C03956"/>
    <w:rsid w:val="00C05201"/>
    <w:rsid w:val="00C068EB"/>
    <w:rsid w:val="00C06E0F"/>
    <w:rsid w:val="00C12BBF"/>
    <w:rsid w:val="00C13DE8"/>
    <w:rsid w:val="00C17761"/>
    <w:rsid w:val="00C225CA"/>
    <w:rsid w:val="00C2531A"/>
    <w:rsid w:val="00C2795A"/>
    <w:rsid w:val="00C33F92"/>
    <w:rsid w:val="00C40750"/>
    <w:rsid w:val="00C4186C"/>
    <w:rsid w:val="00C469CB"/>
    <w:rsid w:val="00C51830"/>
    <w:rsid w:val="00C51F69"/>
    <w:rsid w:val="00C535DC"/>
    <w:rsid w:val="00C61EB8"/>
    <w:rsid w:val="00C62FAA"/>
    <w:rsid w:val="00C64017"/>
    <w:rsid w:val="00C65796"/>
    <w:rsid w:val="00C7074A"/>
    <w:rsid w:val="00C70E16"/>
    <w:rsid w:val="00C7124C"/>
    <w:rsid w:val="00C74731"/>
    <w:rsid w:val="00C77450"/>
    <w:rsid w:val="00C83AF9"/>
    <w:rsid w:val="00C84D4C"/>
    <w:rsid w:val="00C85743"/>
    <w:rsid w:val="00C86097"/>
    <w:rsid w:val="00C86B0E"/>
    <w:rsid w:val="00C87421"/>
    <w:rsid w:val="00C90572"/>
    <w:rsid w:val="00C90EC2"/>
    <w:rsid w:val="00C97D50"/>
    <w:rsid w:val="00CA0B5F"/>
    <w:rsid w:val="00CA0E28"/>
    <w:rsid w:val="00CA12AD"/>
    <w:rsid w:val="00CA2C09"/>
    <w:rsid w:val="00CA2DD7"/>
    <w:rsid w:val="00CB0AC8"/>
    <w:rsid w:val="00CB3E37"/>
    <w:rsid w:val="00CB6E15"/>
    <w:rsid w:val="00CC0CC6"/>
    <w:rsid w:val="00CC446B"/>
    <w:rsid w:val="00CC6FB8"/>
    <w:rsid w:val="00CD1EB7"/>
    <w:rsid w:val="00CD3978"/>
    <w:rsid w:val="00CD4247"/>
    <w:rsid w:val="00CE1B10"/>
    <w:rsid w:val="00CE2492"/>
    <w:rsid w:val="00CE6246"/>
    <w:rsid w:val="00CF17A9"/>
    <w:rsid w:val="00CF22FF"/>
    <w:rsid w:val="00CF340C"/>
    <w:rsid w:val="00CF4FEF"/>
    <w:rsid w:val="00CF6B96"/>
    <w:rsid w:val="00D04140"/>
    <w:rsid w:val="00D0449C"/>
    <w:rsid w:val="00D072D3"/>
    <w:rsid w:val="00D1325D"/>
    <w:rsid w:val="00D147C1"/>
    <w:rsid w:val="00D16E52"/>
    <w:rsid w:val="00D22496"/>
    <w:rsid w:val="00D239AA"/>
    <w:rsid w:val="00D27EE2"/>
    <w:rsid w:val="00D31EE6"/>
    <w:rsid w:val="00D33B3D"/>
    <w:rsid w:val="00D438AF"/>
    <w:rsid w:val="00D44291"/>
    <w:rsid w:val="00D44349"/>
    <w:rsid w:val="00D453D1"/>
    <w:rsid w:val="00D500AB"/>
    <w:rsid w:val="00D51141"/>
    <w:rsid w:val="00D5139B"/>
    <w:rsid w:val="00D52642"/>
    <w:rsid w:val="00D536EE"/>
    <w:rsid w:val="00D53866"/>
    <w:rsid w:val="00D54F00"/>
    <w:rsid w:val="00D573E5"/>
    <w:rsid w:val="00D608E7"/>
    <w:rsid w:val="00D612B6"/>
    <w:rsid w:val="00D61458"/>
    <w:rsid w:val="00D6164D"/>
    <w:rsid w:val="00D661DC"/>
    <w:rsid w:val="00D67972"/>
    <w:rsid w:val="00D71DF2"/>
    <w:rsid w:val="00D73EFD"/>
    <w:rsid w:val="00D74DB0"/>
    <w:rsid w:val="00D81F42"/>
    <w:rsid w:val="00D837DF"/>
    <w:rsid w:val="00D83DF3"/>
    <w:rsid w:val="00D90305"/>
    <w:rsid w:val="00D938C0"/>
    <w:rsid w:val="00D9466D"/>
    <w:rsid w:val="00D95429"/>
    <w:rsid w:val="00D97169"/>
    <w:rsid w:val="00DA1440"/>
    <w:rsid w:val="00DA2E37"/>
    <w:rsid w:val="00DA3CEC"/>
    <w:rsid w:val="00DB2294"/>
    <w:rsid w:val="00DB4BDC"/>
    <w:rsid w:val="00DB4D0B"/>
    <w:rsid w:val="00DC257D"/>
    <w:rsid w:val="00DC3155"/>
    <w:rsid w:val="00DC75ED"/>
    <w:rsid w:val="00DD2105"/>
    <w:rsid w:val="00DD2D93"/>
    <w:rsid w:val="00DD479A"/>
    <w:rsid w:val="00DD5382"/>
    <w:rsid w:val="00DD641A"/>
    <w:rsid w:val="00DD66D1"/>
    <w:rsid w:val="00DD7558"/>
    <w:rsid w:val="00DE19F1"/>
    <w:rsid w:val="00DE1E71"/>
    <w:rsid w:val="00DE3A71"/>
    <w:rsid w:val="00DE3F5F"/>
    <w:rsid w:val="00DE4DC4"/>
    <w:rsid w:val="00DE79F5"/>
    <w:rsid w:val="00DF0428"/>
    <w:rsid w:val="00DF0698"/>
    <w:rsid w:val="00DF67A0"/>
    <w:rsid w:val="00E00E12"/>
    <w:rsid w:val="00E00E97"/>
    <w:rsid w:val="00E050A0"/>
    <w:rsid w:val="00E06D9B"/>
    <w:rsid w:val="00E07C9B"/>
    <w:rsid w:val="00E155ED"/>
    <w:rsid w:val="00E158B6"/>
    <w:rsid w:val="00E17233"/>
    <w:rsid w:val="00E2608D"/>
    <w:rsid w:val="00E309AE"/>
    <w:rsid w:val="00E3548A"/>
    <w:rsid w:val="00E44707"/>
    <w:rsid w:val="00E46E39"/>
    <w:rsid w:val="00E46F00"/>
    <w:rsid w:val="00E529D8"/>
    <w:rsid w:val="00E56FF7"/>
    <w:rsid w:val="00E57714"/>
    <w:rsid w:val="00E62D7F"/>
    <w:rsid w:val="00E645F1"/>
    <w:rsid w:val="00E65D5E"/>
    <w:rsid w:val="00E66C9E"/>
    <w:rsid w:val="00E66D93"/>
    <w:rsid w:val="00E67A35"/>
    <w:rsid w:val="00E70793"/>
    <w:rsid w:val="00E70A49"/>
    <w:rsid w:val="00E71364"/>
    <w:rsid w:val="00E7275E"/>
    <w:rsid w:val="00E728AD"/>
    <w:rsid w:val="00E74A56"/>
    <w:rsid w:val="00E80AC2"/>
    <w:rsid w:val="00E86A8D"/>
    <w:rsid w:val="00E878FC"/>
    <w:rsid w:val="00E9012F"/>
    <w:rsid w:val="00E906E8"/>
    <w:rsid w:val="00E924AE"/>
    <w:rsid w:val="00E931AB"/>
    <w:rsid w:val="00E95B0A"/>
    <w:rsid w:val="00E95F78"/>
    <w:rsid w:val="00E9746F"/>
    <w:rsid w:val="00EA123E"/>
    <w:rsid w:val="00EA1CB4"/>
    <w:rsid w:val="00EA1D10"/>
    <w:rsid w:val="00EA22CC"/>
    <w:rsid w:val="00EA2AED"/>
    <w:rsid w:val="00EA33B4"/>
    <w:rsid w:val="00EA34F0"/>
    <w:rsid w:val="00EA40DC"/>
    <w:rsid w:val="00EA531E"/>
    <w:rsid w:val="00EA5CF6"/>
    <w:rsid w:val="00EB4A34"/>
    <w:rsid w:val="00EB575E"/>
    <w:rsid w:val="00EC0813"/>
    <w:rsid w:val="00EC19CC"/>
    <w:rsid w:val="00EC20D4"/>
    <w:rsid w:val="00EC35B0"/>
    <w:rsid w:val="00EC5C33"/>
    <w:rsid w:val="00EC715D"/>
    <w:rsid w:val="00EC7943"/>
    <w:rsid w:val="00ED0442"/>
    <w:rsid w:val="00ED0E0F"/>
    <w:rsid w:val="00ED2188"/>
    <w:rsid w:val="00ED48E4"/>
    <w:rsid w:val="00ED5197"/>
    <w:rsid w:val="00ED57D5"/>
    <w:rsid w:val="00ED6674"/>
    <w:rsid w:val="00EE2987"/>
    <w:rsid w:val="00EE2E84"/>
    <w:rsid w:val="00EE697C"/>
    <w:rsid w:val="00EE6EB2"/>
    <w:rsid w:val="00EF02CB"/>
    <w:rsid w:val="00EF4817"/>
    <w:rsid w:val="00EF611D"/>
    <w:rsid w:val="00F00328"/>
    <w:rsid w:val="00F02256"/>
    <w:rsid w:val="00F02C20"/>
    <w:rsid w:val="00F05314"/>
    <w:rsid w:val="00F118B9"/>
    <w:rsid w:val="00F130A4"/>
    <w:rsid w:val="00F2013A"/>
    <w:rsid w:val="00F21770"/>
    <w:rsid w:val="00F23E13"/>
    <w:rsid w:val="00F24A2A"/>
    <w:rsid w:val="00F346E0"/>
    <w:rsid w:val="00F34A7E"/>
    <w:rsid w:val="00F3515E"/>
    <w:rsid w:val="00F35996"/>
    <w:rsid w:val="00F35D96"/>
    <w:rsid w:val="00F377FD"/>
    <w:rsid w:val="00F4139C"/>
    <w:rsid w:val="00F42025"/>
    <w:rsid w:val="00F42148"/>
    <w:rsid w:val="00F42620"/>
    <w:rsid w:val="00F4294D"/>
    <w:rsid w:val="00F44F49"/>
    <w:rsid w:val="00F56AFA"/>
    <w:rsid w:val="00F57F31"/>
    <w:rsid w:val="00F61AC0"/>
    <w:rsid w:val="00F61D8A"/>
    <w:rsid w:val="00F62015"/>
    <w:rsid w:val="00F620AA"/>
    <w:rsid w:val="00F639FA"/>
    <w:rsid w:val="00F64DA5"/>
    <w:rsid w:val="00F663CC"/>
    <w:rsid w:val="00F66B82"/>
    <w:rsid w:val="00F71F4D"/>
    <w:rsid w:val="00F72271"/>
    <w:rsid w:val="00F7607A"/>
    <w:rsid w:val="00F82B96"/>
    <w:rsid w:val="00F82BC4"/>
    <w:rsid w:val="00F83C2C"/>
    <w:rsid w:val="00F85458"/>
    <w:rsid w:val="00F857E6"/>
    <w:rsid w:val="00F874CC"/>
    <w:rsid w:val="00F91AB8"/>
    <w:rsid w:val="00FA0EB9"/>
    <w:rsid w:val="00FA2ADA"/>
    <w:rsid w:val="00FA3B20"/>
    <w:rsid w:val="00FB2261"/>
    <w:rsid w:val="00FB2941"/>
    <w:rsid w:val="00FC006F"/>
    <w:rsid w:val="00FC1442"/>
    <w:rsid w:val="00FC22D1"/>
    <w:rsid w:val="00FC2B86"/>
    <w:rsid w:val="00FC3111"/>
    <w:rsid w:val="00FC4AA0"/>
    <w:rsid w:val="00FC5362"/>
    <w:rsid w:val="00FC5868"/>
    <w:rsid w:val="00FD0EB1"/>
    <w:rsid w:val="00FD239D"/>
    <w:rsid w:val="00FD3E8E"/>
    <w:rsid w:val="00FD4A04"/>
    <w:rsid w:val="00FD7C29"/>
    <w:rsid w:val="00FE0C1C"/>
    <w:rsid w:val="00FE17AA"/>
    <w:rsid w:val="00FE69CB"/>
    <w:rsid w:val="00FE78D7"/>
    <w:rsid w:val="00FE7A6A"/>
    <w:rsid w:val="00FE7C2E"/>
    <w:rsid w:val="00FE7F41"/>
    <w:rsid w:val="00FF0274"/>
    <w:rsid w:val="00FF03AD"/>
    <w:rsid w:val="00FF5303"/>
    <w:rsid w:val="00FF667F"/>
    <w:rsid w:val="00FF7921"/>
    <w:rsid w:val="00FF7E4E"/>
    <w:rsid w:val="03B15050"/>
    <w:rsid w:val="0598F4CB"/>
    <w:rsid w:val="05A0E6F8"/>
    <w:rsid w:val="07A844DE"/>
    <w:rsid w:val="07B0BE18"/>
    <w:rsid w:val="0A01062E"/>
    <w:rsid w:val="0A286430"/>
    <w:rsid w:val="0C38B69D"/>
    <w:rsid w:val="0E3673EB"/>
    <w:rsid w:val="0EC891AA"/>
    <w:rsid w:val="0F43F2B3"/>
    <w:rsid w:val="1740CC8D"/>
    <w:rsid w:val="1780B8E3"/>
    <w:rsid w:val="1E7BC52C"/>
    <w:rsid w:val="21DF92C2"/>
    <w:rsid w:val="21E85202"/>
    <w:rsid w:val="22B2379A"/>
    <w:rsid w:val="27BF995C"/>
    <w:rsid w:val="2DF39C80"/>
    <w:rsid w:val="2E2E9C37"/>
    <w:rsid w:val="2EBB4438"/>
    <w:rsid w:val="30E75B6B"/>
    <w:rsid w:val="32F29289"/>
    <w:rsid w:val="379F124D"/>
    <w:rsid w:val="3B2B80A2"/>
    <w:rsid w:val="3EAA4D47"/>
    <w:rsid w:val="405973F5"/>
    <w:rsid w:val="416A3B41"/>
    <w:rsid w:val="435BEF16"/>
    <w:rsid w:val="44646CF8"/>
    <w:rsid w:val="4D13C350"/>
    <w:rsid w:val="56671A5D"/>
    <w:rsid w:val="56D6CCA5"/>
    <w:rsid w:val="5934B359"/>
    <w:rsid w:val="5A18BEE6"/>
    <w:rsid w:val="5A7A7E47"/>
    <w:rsid w:val="5C21BE89"/>
    <w:rsid w:val="5E6897F2"/>
    <w:rsid w:val="630C650B"/>
    <w:rsid w:val="67C6CF69"/>
    <w:rsid w:val="6CBEDA6D"/>
    <w:rsid w:val="704B0F26"/>
    <w:rsid w:val="72534F63"/>
    <w:rsid w:val="74BD256A"/>
    <w:rsid w:val="7C7CC384"/>
    <w:rsid w:val="7D214B14"/>
    <w:rsid w:val="7DE3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87D33"/>
  <w15:docId w15:val="{BDDEFE48-8053-4AE9-B723-23E464AF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99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992"/>
    <w:pPr>
      <w:numPr>
        <w:ilvl w:val="1"/>
        <w:numId w:val="1"/>
      </w:numPr>
      <w:spacing w:before="240"/>
      <w:ind w:left="576"/>
      <w:outlineLvl w:val="1"/>
    </w:pPr>
    <w:rPr>
      <w:rFonts w:asciiTheme="majorHAnsi" w:hAnsiTheme="majorHAnsi"/>
      <w:b/>
      <w:smallCap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992"/>
    <w:pPr>
      <w:keepNext/>
      <w:keepLines/>
      <w:spacing w:before="200" w:after="0"/>
      <w:ind w:left="22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9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9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9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9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9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9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992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3992"/>
    <w:rPr>
      <w:rFonts w:asciiTheme="majorHAnsi" w:hAnsiTheme="majorHAnsi"/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399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A39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9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9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9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9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9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A3992"/>
    <w:pPr>
      <w:ind w:left="720"/>
      <w:contextualSpacing/>
    </w:pPr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1A3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992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992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1A3992"/>
    <w:pPr>
      <w:keepLines/>
      <w:spacing w:before="180" w:after="180"/>
    </w:pPr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3992"/>
    <w:rPr>
      <w:rFonts w:ascii="Calibri" w:eastAsia="Calibri" w:hAnsi="Calibri" w:cs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rsid w:val="001A3992"/>
    <w:rPr>
      <w:vertAlign w:val="superscript"/>
    </w:rPr>
  </w:style>
  <w:style w:type="paragraph" w:styleId="ListBullet">
    <w:name w:val="List Bullet"/>
    <w:basedOn w:val="Normal"/>
    <w:uiPriority w:val="99"/>
    <w:unhideWhenUsed/>
    <w:rsid w:val="001A3992"/>
    <w:pPr>
      <w:ind w:left="425" w:hanging="425"/>
      <w:contextualSpacing/>
    </w:pPr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1A3992"/>
    <w:rPr>
      <w:color w:val="0000FF" w:themeColor="hyperlink"/>
      <w:u w:val="single"/>
    </w:rPr>
  </w:style>
  <w:style w:type="table" w:styleId="LightGrid">
    <w:name w:val="Light Grid"/>
    <w:basedOn w:val="TableNormal"/>
    <w:uiPriority w:val="62"/>
    <w:rsid w:val="001A39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1A3992"/>
    <w:pPr>
      <w:tabs>
        <w:tab w:val="center" w:pos="4513"/>
        <w:tab w:val="right" w:pos="9026"/>
      </w:tabs>
      <w:spacing w:after="0" w:line="240" w:lineRule="auto"/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1A3992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9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6076BE"/>
    <w:rPr>
      <w:color w:val="605E5C"/>
      <w:shd w:val="clear" w:color="auto" w:fill="E1DFDD"/>
    </w:rPr>
  </w:style>
  <w:style w:type="table" w:styleId="TableGrid">
    <w:name w:val="Table Grid"/>
    <w:aliases w:val="Intext"/>
    <w:basedOn w:val="TableNormal"/>
    <w:uiPriority w:val="39"/>
    <w:rsid w:val="003B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geBodyText">
    <w:name w:val="Sage Body Text"/>
    <w:rsid w:val="00227223"/>
    <w:pPr>
      <w:spacing w:before="240" w:after="0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A85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A85"/>
    <w:rPr>
      <w:rFonts w:ascii="Cambria" w:hAnsi="Cambr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4BF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C3"/>
  </w:style>
  <w:style w:type="paragraph" w:customStyle="1" w:styleId="Default">
    <w:name w:val="Default"/>
    <w:rsid w:val="00D93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BF2E7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83C2C"/>
    <w:pPr>
      <w:spacing w:after="0" w:line="240" w:lineRule="auto"/>
    </w:pPr>
  </w:style>
  <w:style w:type="paragraph" w:customStyle="1" w:styleId="sagebodytext0">
    <w:name w:val="sagebodytext"/>
    <w:basedOn w:val="Normal"/>
    <w:rsid w:val="00F35996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FF7921"/>
    <w:pPr>
      <w:spacing w:after="0" w:line="240" w:lineRule="auto"/>
    </w:pPr>
    <w:rPr>
      <w:rFonts w:eastAsia="Cambria"/>
    </w:rPr>
    <w:tblPr>
      <w:tblBorders>
        <w:top w:val="single" w:sz="4" w:space="0" w:color="002C47"/>
        <w:left w:val="single" w:sz="4" w:space="0" w:color="002C47"/>
        <w:bottom w:val="single" w:sz="4" w:space="0" w:color="002C47"/>
        <w:right w:val="single" w:sz="4" w:space="0" w:color="002C47"/>
        <w:insideH w:val="single" w:sz="4" w:space="0" w:color="002C47"/>
        <w:insideV w:val="single" w:sz="4" w:space="0" w:color="002C4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ga.gov.au/reporting-probl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a.gov.au/reporting-proble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ga.gov.au/products/australian-register-therapeutic-goods-artg/product-information-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71dc17-003b-4667-909d-e7186e2a3f44">
      <UserInfo>
        <DisplayName/>
        <AccountId xsi:nil="true"/>
        <AccountType/>
      </UserInfo>
    </SharedWithUsers>
    <PublicationStatus xmlns="0cd21ac6-39db-416d-a027-9b96aa741cac" xsi:nil="true"/>
    <DocumentStatus xmlns="0cd21ac6-39db-416d-a027-9b96aa741cac" xsi:nil="true"/>
    <FinalApprovalStatus xmlns="0cd21ac6-39db-416d-a027-9b96aa741cac" xsi:nil="true"/>
    <PosterStatus xmlns="0cd21ac6-39db-416d-a027-9b96aa741cac" xsi:nil="true"/>
    <QEDApprovalStatus xmlns="0cd21ac6-39db-416d-a027-9b96aa741cac">true</QEDApprovalStatus>
    <_Flow_SignoffStatus xmlns="0cd21ac6-39db-416d-a027-9b96aa741cac" xsi:nil="true"/>
    <QEDapprovers0 xmlns="0cd21ac6-39db-416d-a027-9b96aa741cac">
      <UserInfo>
        <DisplayName/>
        <AccountId xsi:nil="true"/>
        <AccountType/>
      </UserInfo>
    </QEDapprovers0>
    <DocumentType xmlns="0cd21ac6-39db-416d-a027-9b96aa741cac" xsi:nil="true"/>
    <QEDApprovers xmlns="0cd21ac6-39db-416d-a027-9b96aa741cac">
      <UserInfo>
        <DisplayName/>
        <AccountId xsi:nil="true"/>
        <AccountType/>
      </UserInfo>
    </QEDApprovers>
    <AbstractStatus xmlns="0cd21ac6-39db-416d-a027-9b96aa741cac" xsi:nil="true"/>
    <Comments xmlns="0cd21ac6-39db-416d-a027-9b96aa741cac" xsi:nil="true"/>
    <MedicalWriter xmlns="0cd21ac6-39db-416d-a027-9b96aa741c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43DA7D4EDC2043AC323C8E18964ECB" ma:contentTypeVersion="25" ma:contentTypeDescription="Creare un nuovo documento." ma:contentTypeScope="" ma:versionID="ca1e1a39d9fb09ad48acd42f3d8c1d17">
  <xsd:schema xmlns:xsd="http://www.w3.org/2001/XMLSchema" xmlns:xs="http://www.w3.org/2001/XMLSchema" xmlns:p="http://schemas.microsoft.com/office/2006/metadata/properties" xmlns:ns2="0cd21ac6-39db-416d-a027-9b96aa741cac" xmlns:ns3="1271dc17-003b-4667-909d-e7186e2a3f44" targetNamespace="http://schemas.microsoft.com/office/2006/metadata/properties" ma:root="true" ma:fieldsID="88d3b3681e6ba8c22957a11c7d8f4fc5" ns2:_="" ns3:_="">
    <xsd:import namespace="0cd21ac6-39db-416d-a027-9b96aa741cac"/>
    <xsd:import namespace="1271dc17-003b-4667-909d-e7186e2a3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Status" minOccurs="0"/>
                <xsd:element ref="ns2:PublicationStatus" minOccurs="0"/>
                <xsd:element ref="ns2:QEDApprovers" minOccurs="0"/>
                <xsd:element ref="ns2:QEDapprovers0" minOccurs="0"/>
                <xsd:element ref="ns2:QEDApprovalStatus" minOccurs="0"/>
                <xsd:element ref="ns2:DocumentType" minOccurs="0"/>
                <xsd:element ref="ns2:MedicalWriter" minOccurs="0"/>
                <xsd:element ref="ns2:AbstractStatus" minOccurs="0"/>
                <xsd:element ref="ns2:PosterStatus" minOccurs="0"/>
                <xsd:element ref="ns2:Comments" minOccurs="0"/>
                <xsd:element ref="ns2:FinalApprovalStatu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21ac6-39db-416d-a027-9b96aa741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Status" ma:index="19" nillable="true" ma:displayName="Document Status" ma:format="Dropdown" ma:internalName="DocumentStatus">
      <xsd:simpleType>
        <xsd:restriction base="dms:Choice">
          <xsd:enumeration value="Helsinn Review"/>
          <xsd:enumeration value="QED/Helsinn Joint Review"/>
          <xsd:enumeration value="QC"/>
          <xsd:enumeration value="Final for Publishing"/>
        </xsd:restriction>
      </xsd:simpleType>
    </xsd:element>
    <xsd:element name="PublicationStatus" ma:index="20" nillable="true" ma:displayName="Publication Status" ma:format="Dropdown" ma:internalName="PublicationStatus">
      <xsd:simpleType>
        <xsd:restriction base="dms:Choice">
          <xsd:enumeration value="1. QED/Helsinn Joint Review"/>
          <xsd:enumeration value="2. Revisions"/>
          <xsd:enumeration value="3. Submitted"/>
          <xsd:enumeration value="4. Accepted"/>
          <xsd:enumeration value="0. Draft"/>
          <xsd:enumeration value="N/A"/>
        </xsd:restriction>
      </xsd:simpleType>
    </xsd:element>
    <xsd:element name="QEDApprovers" ma:index="21" nillable="true" ma:displayName="QED Reviewers" ma:format="Dropdown" ma:list="UserInfo" ma:SharePointGroup="0" ma:internalName="QED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EDapprovers0" ma:index="22" nillable="true" ma:displayName="QED approvers" ma:format="Dropdown" ma:list="UserInfo" ma:SharePointGroup="0" ma:internalName="QEDapprovers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EDApprovalStatus" ma:index="23" nillable="true" ma:displayName="QED Approval Status" ma:default="1" ma:format="Dropdown" ma:internalName="QEDApprovalStatus">
      <xsd:simpleType>
        <xsd:restriction base="dms:Boolean"/>
      </xsd:simpleType>
    </xsd:element>
    <xsd:element name="DocumentType" ma:index="24" nillable="true" ma:displayName="Document Type" ma:format="Dropdown" ma:internalName="DocumentType">
      <xsd:simpleType>
        <xsd:restriction base="dms:Choice">
          <xsd:enumeration value="Conference"/>
          <xsd:enumeration value="Manuscript"/>
        </xsd:restriction>
      </xsd:simpleType>
    </xsd:element>
    <xsd:element name="MedicalWriter" ma:index="25" nillable="true" ma:displayName="Medical Writer" ma:format="Dropdown" ma:internalName="MedicalWriter">
      <xsd:simpleType>
        <xsd:restriction base="dms:Choice">
          <xsd:enumeration value="Miller Medical"/>
          <xsd:enumeration value="Lynx"/>
          <xsd:enumeration value="Other"/>
        </xsd:restriction>
      </xsd:simpleType>
    </xsd:element>
    <xsd:element name="AbstractStatus" ma:index="26" nillable="true" ma:displayName="Abstract Status" ma:format="Dropdown" ma:internalName="AbstractStatus">
      <xsd:simpleType>
        <xsd:restriction base="dms:Choice">
          <xsd:enumeration value="0. Draft"/>
          <xsd:enumeration value="1. Review"/>
          <xsd:enumeration value="2. Revisions"/>
          <xsd:enumeration value="3. Submitted"/>
          <xsd:enumeration value="4. Accepted"/>
          <xsd:enumeration value="N/A or Withdrawn"/>
        </xsd:restriction>
      </xsd:simpleType>
    </xsd:element>
    <xsd:element name="PosterStatus" ma:index="27" nillable="true" ma:displayName="Poster Status" ma:format="Dropdown" ma:internalName="PosterStatus">
      <xsd:simpleType>
        <xsd:restriction base="dms:Choice">
          <xsd:enumeration value="0. Draft"/>
          <xsd:enumeration value="1. Review"/>
          <xsd:enumeration value="2. Revisions"/>
          <xsd:enumeration value="3. Submitted"/>
          <xsd:enumeration value="4. Presented"/>
          <xsd:enumeration value="N/A"/>
        </xsd:restriction>
      </xsd:simpleType>
    </xsd:element>
    <xsd:element name="Comments" ma:index="28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FinalApprovalStatus" ma:index="29" nillable="true" ma:displayName="Final Approval Status" ma:format="Dropdown" ma:internalName="FinalApprovalStatus">
      <xsd:simpleType>
        <xsd:restriction base="dms:Choice">
          <xsd:enumeration value="QED approved"/>
          <xsd:enumeration value="Helsinn approved"/>
          <xsd:enumeration value="Choice 3"/>
        </xsd:restriction>
      </xsd:simpleType>
    </xsd:element>
    <xsd:element name="_Flow_SignoffStatus" ma:index="30" nillable="true" ma:displayName="Stato consenso" ma:internalName="Stato_x0020_consenso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1dc17-003b-4667-909d-e7186e2a3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A5135-E6A6-4A0B-B422-3320BE8EA6F6}">
  <ds:schemaRefs>
    <ds:schemaRef ds:uri="http://schemas.microsoft.com/office/2006/metadata/properties"/>
    <ds:schemaRef ds:uri="http://schemas.microsoft.com/office/infopath/2007/PartnerControls"/>
    <ds:schemaRef ds:uri="1271dc17-003b-4667-909d-e7186e2a3f44"/>
    <ds:schemaRef ds:uri="0cd21ac6-39db-416d-a027-9b96aa741cac"/>
  </ds:schemaRefs>
</ds:datastoreItem>
</file>

<file path=customXml/itemProps2.xml><?xml version="1.0" encoding="utf-8"?>
<ds:datastoreItem xmlns:ds="http://schemas.openxmlformats.org/officeDocument/2006/customXml" ds:itemID="{D0120B19-FDF8-47A8-B363-8A874C4CB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B12F1-851C-478A-A869-3F945076E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25D100-B319-47AE-B87E-8C76C76F6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21ac6-39db-416d-a027-9b96aa741cac"/>
    <ds:schemaRef ds:uri="1271dc17-003b-4667-909d-e7186e2a3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5326</Words>
  <Characters>31268</Characters>
  <Application>Microsoft Office Word</Application>
  <DocSecurity>0</DocSecurity>
  <Lines>665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TRUSELTIQ_AU_PI_v0.1_07-Oct-20-clean-QED.docx</vt:lpstr>
    </vt:vector>
  </TitlesOfParts>
  <Manager/>
  <Company/>
  <LinksUpToDate>false</LinksUpToDate>
  <CharactersWithSpaces>36243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AusPAR Attachment 1: Product Information for Truseltiq</dc:title>
  <dc:subject/>
  <dc:creator>Adjutor Healthcare Pty Ltd</dc:creator>
  <cp:keywords>Atruviq</cp:keywords>
  <dc:description/>
  <cp:lastModifiedBy>PITKIN, Brendan</cp:lastModifiedBy>
  <cp:revision>3</cp:revision>
  <cp:lastPrinted>2020-09-13T08:20:00Z</cp:lastPrinted>
  <dcterms:created xsi:type="dcterms:W3CDTF">2022-10-21T00:13:00Z</dcterms:created>
  <dcterms:modified xsi:type="dcterms:W3CDTF">2022-12-15T02:21:00Z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0x0101008243DA7D4EDC2043AC323C8E18964ECB</vt:lpwstr>
  </property>
  <property fmtid="{D5CDD505-2E9C-101B-9397-08002B2CF9AE}" pid="3" name="Order">
    <vt:r8>100</vt:r8>
  </property>
</Properties>
</file>