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97EE1" w14:textId="77777777" w:rsidR="002F702F" w:rsidRDefault="002F702F">
      <w:pPr>
        <w:jc w:val="both"/>
      </w:pPr>
    </w:p>
    <w:p w14:paraId="69E5490A" w14:textId="77777777" w:rsidR="002F702F" w:rsidRPr="002E0E36" w:rsidRDefault="00AF790A">
      <w:pPr>
        <w:jc w:val="both"/>
        <w:rPr>
          <w:b/>
          <w:sz w:val="28"/>
        </w:rPr>
      </w:pPr>
      <w:r w:rsidRPr="002E0E36">
        <w:rPr>
          <w:b/>
          <w:sz w:val="28"/>
        </w:rPr>
        <w:t xml:space="preserve">AUSTRALIAN </w:t>
      </w:r>
      <w:r w:rsidR="00BE7DF4" w:rsidRPr="002E0E36">
        <w:rPr>
          <w:b/>
          <w:sz w:val="28"/>
        </w:rPr>
        <w:t>PRODUCT INFORMATION</w:t>
      </w:r>
    </w:p>
    <w:p w14:paraId="1C2FF387" w14:textId="77777777" w:rsidR="00BE7DF4" w:rsidRDefault="00BE7DF4">
      <w:pPr>
        <w:jc w:val="both"/>
        <w:rPr>
          <w:b/>
        </w:rPr>
      </w:pPr>
    </w:p>
    <w:p w14:paraId="769E5549" w14:textId="77777777" w:rsidR="00BE7DF4" w:rsidRDefault="00BE7DF4">
      <w:pPr>
        <w:jc w:val="both"/>
        <w:rPr>
          <w:b/>
        </w:rPr>
      </w:pPr>
      <w:r>
        <w:rPr>
          <w:b/>
        </w:rPr>
        <w:t xml:space="preserve">UTROGESTAN </w:t>
      </w:r>
      <w:r w:rsidR="00810879">
        <w:rPr>
          <w:b/>
        </w:rPr>
        <w:t>200</w:t>
      </w:r>
      <w:r w:rsidR="00DD4A81">
        <w:rPr>
          <w:b/>
        </w:rPr>
        <w:t xml:space="preserve"> </w:t>
      </w:r>
      <w:r w:rsidR="001923A5">
        <w:rPr>
          <w:b/>
        </w:rPr>
        <w:t>(PROGESTERONE) SOFT CAPSULE</w:t>
      </w:r>
    </w:p>
    <w:p w14:paraId="333ACA28" w14:textId="77777777" w:rsidR="00540EEC" w:rsidRPr="0074561A" w:rsidRDefault="00350914">
      <w:pPr>
        <w:jc w:val="both"/>
        <w:rPr>
          <w:b/>
          <w:i/>
        </w:rPr>
      </w:pPr>
      <w:r w:rsidRPr="0074561A">
        <w:rPr>
          <w:b/>
          <w:i/>
        </w:rPr>
        <w:t>(For Vaginal Use)</w:t>
      </w:r>
    </w:p>
    <w:p w14:paraId="716A2517" w14:textId="77777777" w:rsidR="00350914" w:rsidRDefault="00350914">
      <w:pPr>
        <w:jc w:val="both"/>
        <w:rPr>
          <w:b/>
        </w:rPr>
      </w:pPr>
    </w:p>
    <w:p w14:paraId="101DC4EA" w14:textId="77777777" w:rsidR="002F702F" w:rsidRPr="00266778" w:rsidRDefault="002F702F" w:rsidP="00C9518C">
      <w:pPr>
        <w:pStyle w:val="Heading1"/>
        <w:spacing w:before="0"/>
      </w:pPr>
      <w:r w:rsidRPr="00266778">
        <w:t>NAME OF THE MEDICIN</w:t>
      </w:r>
      <w:r w:rsidR="00540EEC" w:rsidRPr="00266778">
        <w:t xml:space="preserve">E </w:t>
      </w:r>
    </w:p>
    <w:p w14:paraId="61180BAA" w14:textId="77777777" w:rsidR="002F702F" w:rsidRDefault="002F702F">
      <w:pPr>
        <w:jc w:val="both"/>
        <w:rPr>
          <w:b/>
          <w:szCs w:val="22"/>
        </w:rPr>
      </w:pPr>
    </w:p>
    <w:p w14:paraId="72845D9C" w14:textId="77777777" w:rsidR="002F702F" w:rsidRDefault="00540EEC">
      <w:r>
        <w:t xml:space="preserve">Progesterone </w:t>
      </w:r>
    </w:p>
    <w:p w14:paraId="5B08163E" w14:textId="77777777" w:rsidR="003E40B1" w:rsidRPr="00266778" w:rsidRDefault="00AF790A" w:rsidP="002E0E36">
      <w:pPr>
        <w:pStyle w:val="Heading1"/>
      </w:pPr>
      <w:r w:rsidRPr="00266778">
        <w:t xml:space="preserve">QUALITATIVE AND QUANTITATIVE COMPOSITION </w:t>
      </w:r>
    </w:p>
    <w:p w14:paraId="604A2A01" w14:textId="77777777" w:rsidR="00AF790A" w:rsidRDefault="00AF790A" w:rsidP="003E40B1">
      <w:pPr>
        <w:autoSpaceDE w:val="0"/>
        <w:autoSpaceDN w:val="0"/>
        <w:adjustRightInd w:val="0"/>
      </w:pPr>
    </w:p>
    <w:p w14:paraId="183A4E45" w14:textId="77777777" w:rsidR="008865DD" w:rsidRDefault="008865DD" w:rsidP="003A233B">
      <w:pPr>
        <w:jc w:val="both"/>
        <w:rPr>
          <w:color w:val="000000"/>
          <w:lang w:val="en-AU" w:eastAsia="en-AU"/>
        </w:rPr>
      </w:pPr>
      <w:proofErr w:type="spellStart"/>
      <w:r>
        <w:rPr>
          <w:color w:val="000000"/>
          <w:lang w:val="en-AU" w:eastAsia="en-AU"/>
        </w:rPr>
        <w:t>Utrogestan</w:t>
      </w:r>
      <w:proofErr w:type="spellEnd"/>
      <w:r w:rsidR="003E40B1">
        <w:rPr>
          <w:color w:val="000000"/>
          <w:lang w:val="en-AU" w:eastAsia="en-AU"/>
        </w:rPr>
        <w:t xml:space="preserve"> contains the active ingredient: Progesterone (</w:t>
      </w:r>
      <w:proofErr w:type="spellStart"/>
      <w:r w:rsidR="0016666D">
        <w:rPr>
          <w:color w:val="000000"/>
          <w:lang w:val="en-AU" w:eastAsia="en-AU"/>
        </w:rPr>
        <w:t>micronised</w:t>
      </w:r>
      <w:proofErr w:type="spellEnd"/>
      <w:r w:rsidR="003E40B1">
        <w:rPr>
          <w:color w:val="000000"/>
          <w:lang w:val="en-AU" w:eastAsia="en-AU"/>
        </w:rPr>
        <w:t>) 200 mg.</w:t>
      </w:r>
    </w:p>
    <w:p w14:paraId="0FD961BF" w14:textId="77777777" w:rsidR="00925842" w:rsidRDefault="00925842" w:rsidP="00925842">
      <w:pPr>
        <w:autoSpaceDE w:val="0"/>
        <w:autoSpaceDN w:val="0"/>
        <w:adjustRightInd w:val="0"/>
      </w:pPr>
    </w:p>
    <w:p w14:paraId="2187841A" w14:textId="76942D92" w:rsidR="00925842" w:rsidRDefault="001923A5" w:rsidP="00925842">
      <w:pPr>
        <w:jc w:val="both"/>
        <w:rPr>
          <w:color w:val="000000"/>
          <w:lang w:val="en-AU" w:eastAsia="en-AU"/>
        </w:rPr>
      </w:pPr>
      <w:r>
        <w:rPr>
          <w:color w:val="000000"/>
          <w:lang w:val="en-AU" w:eastAsia="en-AU"/>
        </w:rPr>
        <w:t xml:space="preserve">Excipient with known effect: </w:t>
      </w:r>
      <w:r w:rsidR="00542B14">
        <w:rPr>
          <w:color w:val="000000"/>
          <w:lang w:val="en-AU" w:eastAsia="en-AU"/>
        </w:rPr>
        <w:t xml:space="preserve">Soyabean </w:t>
      </w:r>
      <w:proofErr w:type="gramStart"/>
      <w:r>
        <w:rPr>
          <w:color w:val="000000"/>
          <w:lang w:val="en-AU" w:eastAsia="en-AU"/>
        </w:rPr>
        <w:t>lecithin .</w:t>
      </w:r>
      <w:proofErr w:type="gramEnd"/>
    </w:p>
    <w:p w14:paraId="66E39742" w14:textId="77777777" w:rsidR="008865DD" w:rsidRPr="002E0E36" w:rsidRDefault="001923A5" w:rsidP="002E0E36">
      <w:pPr>
        <w:autoSpaceDE w:val="0"/>
        <w:autoSpaceDN w:val="0"/>
        <w:adjustRightInd w:val="0"/>
        <w:rPr>
          <w:b/>
        </w:rPr>
      </w:pPr>
      <w:r>
        <w:rPr>
          <w:b/>
        </w:rPr>
        <w:t xml:space="preserve"> </w:t>
      </w:r>
    </w:p>
    <w:p w14:paraId="442EB98F" w14:textId="77777777" w:rsidR="008865DD" w:rsidRDefault="008865DD" w:rsidP="003A233B">
      <w:pPr>
        <w:jc w:val="both"/>
        <w:rPr>
          <w:color w:val="000000"/>
          <w:lang w:val="en-AU" w:eastAsia="en-AU"/>
        </w:rPr>
      </w:pPr>
      <w:r>
        <w:rPr>
          <w:color w:val="000000"/>
          <w:lang w:val="en-AU" w:eastAsia="en-AU"/>
        </w:rPr>
        <w:t>For the full list of excipients, see section 6.1 List of Excipients</w:t>
      </w:r>
    </w:p>
    <w:p w14:paraId="4F918315" w14:textId="77777777" w:rsidR="003A233B" w:rsidRDefault="003E40B1" w:rsidP="003A233B">
      <w:pPr>
        <w:jc w:val="both"/>
      </w:pPr>
      <w:r>
        <w:rPr>
          <w:color w:val="000000"/>
          <w:lang w:val="en-AU" w:eastAsia="en-AU"/>
        </w:rPr>
        <w:t xml:space="preserve">  </w:t>
      </w:r>
    </w:p>
    <w:p w14:paraId="1C5E9832" w14:textId="77777777" w:rsidR="00AC43D5" w:rsidRPr="005B71BF" w:rsidRDefault="00ED5E42" w:rsidP="00256D47">
      <w:pPr>
        <w:pStyle w:val="Heading1"/>
        <w:spacing w:before="120"/>
      </w:pPr>
      <w:r>
        <w:t>PHARMACEUTICAL FORM</w:t>
      </w:r>
    </w:p>
    <w:p w14:paraId="7401684A" w14:textId="77777777" w:rsidR="003A233B" w:rsidRDefault="00ED5E42" w:rsidP="003A233B">
      <w:pPr>
        <w:jc w:val="both"/>
      </w:pPr>
      <w:proofErr w:type="spellStart"/>
      <w:r>
        <w:t>Utrogestan</w:t>
      </w:r>
      <w:proofErr w:type="spellEnd"/>
      <w:r>
        <w:t xml:space="preserve"> 200 soft capsule is an ovoid, slightly yellow, soft capsule, containing a whitish oily suspension</w:t>
      </w:r>
      <w:r w:rsidR="001548BB">
        <w:t>.</w:t>
      </w:r>
    </w:p>
    <w:p w14:paraId="750ACC93" w14:textId="77777777" w:rsidR="001548BB" w:rsidRDefault="001548BB" w:rsidP="00AC43D5">
      <w:pPr>
        <w:jc w:val="both"/>
        <w:rPr>
          <w:b/>
        </w:rPr>
      </w:pPr>
    </w:p>
    <w:p w14:paraId="3A57209C" w14:textId="77777777" w:rsidR="001548BB" w:rsidRDefault="001548BB" w:rsidP="002E0E36">
      <w:pPr>
        <w:pStyle w:val="Heading1"/>
        <w:spacing w:before="0"/>
      </w:pPr>
      <w:r w:rsidRPr="00266778">
        <w:t xml:space="preserve">CLINICAL </w:t>
      </w:r>
      <w:r w:rsidRPr="004A0F24">
        <w:t>PARTICULARS</w:t>
      </w:r>
    </w:p>
    <w:p w14:paraId="3B8AC83B" w14:textId="77777777" w:rsidR="001548BB" w:rsidRPr="002E0E36" w:rsidRDefault="004A0F24" w:rsidP="002E0E36">
      <w:pPr>
        <w:pStyle w:val="Heading1"/>
        <w:widowControl w:val="0"/>
        <w:numPr>
          <w:ilvl w:val="1"/>
          <w:numId w:val="15"/>
        </w:numPr>
        <w:autoSpaceDE w:val="0"/>
        <w:autoSpaceDN w:val="0"/>
        <w:adjustRightInd w:val="0"/>
        <w:spacing w:before="0"/>
        <w:ind w:left="0" w:firstLine="0"/>
        <w:jc w:val="both"/>
        <w:rPr>
          <w:sz w:val="24"/>
        </w:rPr>
      </w:pPr>
      <w:r w:rsidRPr="004A0F24">
        <w:rPr>
          <w:sz w:val="24"/>
        </w:rPr>
        <w:t>THERAPEUTIC INDICATIONS</w:t>
      </w:r>
    </w:p>
    <w:p w14:paraId="563044D1" w14:textId="77777777" w:rsidR="00624B40" w:rsidRDefault="00624B40" w:rsidP="001747A8">
      <w:pPr>
        <w:pStyle w:val="SBH2"/>
        <w:spacing w:after="0"/>
        <w:rPr>
          <w:b w:val="0"/>
          <w:i w:val="0"/>
        </w:rPr>
      </w:pPr>
    </w:p>
    <w:p w14:paraId="14CCE769" w14:textId="77777777" w:rsidR="00624B40" w:rsidRPr="00CA20F8" w:rsidRDefault="00624B40" w:rsidP="00624B40">
      <w:pPr>
        <w:pStyle w:val="SBH2"/>
        <w:rPr>
          <w:b w:val="0"/>
          <w:i w:val="0"/>
        </w:rPr>
      </w:pPr>
      <w:proofErr w:type="spellStart"/>
      <w:r w:rsidRPr="00CA20F8">
        <w:rPr>
          <w:b w:val="0"/>
          <w:i w:val="0"/>
        </w:rPr>
        <w:t>Utrogestan</w:t>
      </w:r>
      <w:proofErr w:type="spellEnd"/>
      <w:r w:rsidRPr="00CA20F8">
        <w:rPr>
          <w:b w:val="0"/>
          <w:i w:val="0"/>
        </w:rPr>
        <w:t xml:space="preserve"> 200</w:t>
      </w:r>
      <w:r>
        <w:rPr>
          <w:b w:val="0"/>
          <w:i w:val="0"/>
        </w:rPr>
        <w:t>, soft capsules are indicated for</w:t>
      </w:r>
      <w:r w:rsidRPr="00CA20F8">
        <w:rPr>
          <w:b w:val="0"/>
          <w:i w:val="0"/>
        </w:rPr>
        <w:t>:</w:t>
      </w:r>
    </w:p>
    <w:p w14:paraId="13D666B0" w14:textId="77777777" w:rsidR="00624B40" w:rsidRPr="00CD7AEF" w:rsidRDefault="00624B40" w:rsidP="00624B40">
      <w:pPr>
        <w:pStyle w:val="SBH2"/>
      </w:pPr>
      <w:r w:rsidRPr="00CD7AEF">
        <w:t>Luteal phase support</w:t>
      </w:r>
    </w:p>
    <w:p w14:paraId="232E229D" w14:textId="77777777" w:rsidR="00624B40" w:rsidRDefault="00624B40" w:rsidP="00624B40">
      <w:pPr>
        <w:pStyle w:val="Bulletpoint1"/>
        <w:ind w:left="786"/>
      </w:pPr>
      <w:r>
        <w:t>Luteal Support of Assisted Reproductive Technology (ART) cycles</w:t>
      </w:r>
    </w:p>
    <w:p w14:paraId="3BF2AF1C" w14:textId="77777777" w:rsidR="00727172" w:rsidRPr="00692993" w:rsidRDefault="00727172" w:rsidP="00727172">
      <w:pPr>
        <w:pStyle w:val="SBH2"/>
      </w:pPr>
      <w:r w:rsidRPr="00692993">
        <w:t>Support during pregnancy</w:t>
      </w:r>
    </w:p>
    <w:p w14:paraId="6834A959" w14:textId="77777777" w:rsidR="00727172" w:rsidRPr="00692993" w:rsidRDefault="00727172" w:rsidP="00FF0944">
      <w:pPr>
        <w:pStyle w:val="Bulletpoint1"/>
        <w:ind w:left="709" w:hanging="283"/>
      </w:pPr>
      <w:r w:rsidRPr="00692993">
        <w:t>Prevention of preterm birth in</w:t>
      </w:r>
      <w:r w:rsidR="000A372D">
        <w:t xml:space="preserve"> </w:t>
      </w:r>
      <w:r w:rsidRPr="00692993">
        <w:t xml:space="preserve">women </w:t>
      </w:r>
      <w:r w:rsidR="006A23A5">
        <w:t xml:space="preserve">with </w:t>
      </w:r>
      <w:r w:rsidR="002F50BB">
        <w:t xml:space="preserve">singleton pregnancy </w:t>
      </w:r>
      <w:r w:rsidRPr="00692993">
        <w:t xml:space="preserve">who have a short cervix </w:t>
      </w:r>
      <w:r w:rsidR="002F50BB">
        <w:t>(</w:t>
      </w:r>
      <w:proofErr w:type="spellStart"/>
      <w:r w:rsidR="002F50BB">
        <w:t>midtrimester</w:t>
      </w:r>
      <w:proofErr w:type="spellEnd"/>
      <w:r w:rsidR="002F50BB">
        <w:t xml:space="preserve"> sonographic cervix </w:t>
      </w:r>
      <w:r w:rsidR="00240495">
        <w:t>≤</w:t>
      </w:r>
      <w:r w:rsidR="002F50BB">
        <w:t>25</w:t>
      </w:r>
      <w:r w:rsidR="001923A5">
        <w:t xml:space="preserve"> </w:t>
      </w:r>
      <w:r w:rsidR="002F50BB">
        <w:t xml:space="preserve">mm) </w:t>
      </w:r>
      <w:r w:rsidR="00CE3AA8">
        <w:t>and/</w:t>
      </w:r>
      <w:r w:rsidRPr="00692993">
        <w:t>or a history of spontaneous preterm birth.</w:t>
      </w:r>
    </w:p>
    <w:p w14:paraId="4751B5EA" w14:textId="7BD1470D" w:rsidR="00AB02C1" w:rsidRDefault="0094750B" w:rsidP="00AB02C1">
      <w:pPr>
        <w:pStyle w:val="Bulletpoint1"/>
        <w:spacing w:after="0"/>
        <w:ind w:left="709" w:hanging="283"/>
      </w:pPr>
      <w:r>
        <w:t xml:space="preserve">Treatment </w:t>
      </w:r>
      <w:r w:rsidR="00AB02C1" w:rsidRPr="00AB02C1">
        <w:t xml:space="preserve">of </w:t>
      </w:r>
      <w:r>
        <w:t xml:space="preserve">unexplained </w:t>
      </w:r>
      <w:r w:rsidR="00FF0944">
        <w:t xml:space="preserve">threatened </w:t>
      </w:r>
      <w:r w:rsidR="00AB02C1" w:rsidRPr="00AB02C1">
        <w:t xml:space="preserve">miscarriage in women with </w:t>
      </w:r>
      <w:r w:rsidR="00FF0944">
        <w:t xml:space="preserve">bleeding in the current pregnancy and </w:t>
      </w:r>
      <w:r w:rsidR="00AB02C1" w:rsidRPr="00AB02C1">
        <w:t xml:space="preserve">a history of </w:t>
      </w:r>
      <w:r w:rsidR="00FF0944">
        <w:t xml:space="preserve">at least </w:t>
      </w:r>
      <w:r w:rsidR="006B3A3A">
        <w:t xml:space="preserve">three </w:t>
      </w:r>
      <w:r w:rsidR="00FF0944">
        <w:t xml:space="preserve">or more previous </w:t>
      </w:r>
      <w:r w:rsidR="00AB02C1" w:rsidRPr="00AB02C1">
        <w:t>miscarriage</w:t>
      </w:r>
      <w:r w:rsidR="00FF0944">
        <w:t>s</w:t>
      </w:r>
      <w:r w:rsidR="00AB02C1" w:rsidRPr="00AB02C1">
        <w:t>.</w:t>
      </w:r>
    </w:p>
    <w:p w14:paraId="346AEC73" w14:textId="77777777" w:rsidR="00DF6CF2" w:rsidRDefault="00DF6CF2" w:rsidP="00C70EBB">
      <w:pPr>
        <w:pStyle w:val="Bulletpoint1"/>
        <w:numPr>
          <w:ilvl w:val="0"/>
          <w:numId w:val="0"/>
        </w:numPr>
        <w:spacing w:after="0"/>
        <w:ind w:left="709"/>
      </w:pPr>
    </w:p>
    <w:p w14:paraId="394B5FDF" w14:textId="13C00CFA" w:rsidR="00EC729F" w:rsidRPr="00AB02C1" w:rsidRDefault="00EC729F" w:rsidP="00C70EBB">
      <w:pPr>
        <w:pStyle w:val="Bulletpoint1"/>
        <w:numPr>
          <w:ilvl w:val="0"/>
          <w:numId w:val="0"/>
        </w:numPr>
        <w:spacing w:after="0"/>
        <w:ind w:left="709"/>
      </w:pPr>
      <w:r>
        <w:t>Use in women with less than three miscarriages ma</w:t>
      </w:r>
      <w:r w:rsidR="00A13D0A">
        <w:t>y</w:t>
      </w:r>
      <w:r>
        <w:t xml:space="preserve"> be warranted </w:t>
      </w:r>
      <w:r w:rsidR="00A13D0A">
        <w:t xml:space="preserve">in those with reduced chances of future pregnancy such as those undergoing IVF treatment with limited viable egg and/or embryo availability or advanced fertility age.  However, the benefit of treatment in clinical trials </w:t>
      </w:r>
      <w:r w:rsidR="00474E4B">
        <w:t>was limited to</w:t>
      </w:r>
      <w:r w:rsidR="00F00B2D" w:rsidRPr="00A532A7">
        <w:t xml:space="preserve"> </w:t>
      </w:r>
      <w:r w:rsidR="00A13D0A" w:rsidRPr="00A532A7">
        <w:t>women with three or more miscarriages.</w:t>
      </w:r>
      <w:r w:rsidR="00F00B2D" w:rsidRPr="00A532A7">
        <w:t xml:space="preserve"> (See Section </w:t>
      </w:r>
      <w:r w:rsidR="0011545D" w:rsidRPr="00A532A7">
        <w:t>5 Pharmacological properties</w:t>
      </w:r>
      <w:r w:rsidR="00AC702B" w:rsidRPr="00A532A7">
        <w:t>; Clinical trials; Threatened Unexplained Miscarriage)</w:t>
      </w:r>
    </w:p>
    <w:p w14:paraId="24BCB225" w14:textId="77777777" w:rsidR="00624B40" w:rsidRPr="00872290" w:rsidRDefault="00624B40" w:rsidP="002E0E36">
      <w:pPr>
        <w:pStyle w:val="Bulletpoint1"/>
        <w:numPr>
          <w:ilvl w:val="0"/>
          <w:numId w:val="0"/>
        </w:numPr>
        <w:ind w:left="786"/>
      </w:pPr>
    </w:p>
    <w:p w14:paraId="760AEAA3" w14:textId="77777777" w:rsidR="001548BB" w:rsidRPr="002E0E36" w:rsidRDefault="007475A2" w:rsidP="002E0E36">
      <w:pPr>
        <w:pStyle w:val="Heading1"/>
        <w:widowControl w:val="0"/>
        <w:numPr>
          <w:ilvl w:val="1"/>
          <w:numId w:val="15"/>
        </w:numPr>
        <w:autoSpaceDE w:val="0"/>
        <w:autoSpaceDN w:val="0"/>
        <w:adjustRightInd w:val="0"/>
        <w:spacing w:before="0"/>
        <w:ind w:left="0" w:firstLine="0"/>
        <w:jc w:val="both"/>
        <w:rPr>
          <w:sz w:val="24"/>
        </w:rPr>
      </w:pPr>
      <w:r w:rsidRPr="005E6CE6">
        <w:rPr>
          <w:sz w:val="24"/>
        </w:rPr>
        <w:lastRenderedPageBreak/>
        <w:t>DOSE AND METHOD OF ADMINISTRATION</w:t>
      </w:r>
      <w:r w:rsidR="006F0472">
        <w:rPr>
          <w:sz w:val="24"/>
        </w:rPr>
        <w:t xml:space="preserve"> </w:t>
      </w:r>
    </w:p>
    <w:p w14:paraId="1BD86E12" w14:textId="77777777" w:rsidR="00FE785B" w:rsidRDefault="00FE785B" w:rsidP="00FE785B">
      <w:pPr>
        <w:jc w:val="both"/>
        <w:rPr>
          <w:rFonts w:ascii="Arial" w:hAnsi="Arial" w:cs="Arial"/>
          <w:color w:val="000000"/>
          <w:sz w:val="18"/>
          <w:szCs w:val="18"/>
          <w:lang w:val="en-AU" w:eastAsia="en-AU"/>
        </w:rPr>
      </w:pPr>
      <w:r w:rsidRPr="00FC3F4A">
        <w:rPr>
          <w:b/>
          <w:color w:val="000000"/>
          <w:lang w:val="en-AU" w:eastAsia="en-AU"/>
        </w:rPr>
        <w:t>Adults</w:t>
      </w:r>
      <w:r>
        <w:rPr>
          <w:rFonts w:ascii="Arial" w:hAnsi="Arial" w:cs="Arial"/>
          <w:color w:val="000000"/>
          <w:sz w:val="18"/>
          <w:szCs w:val="18"/>
          <w:lang w:val="en-AU" w:eastAsia="en-AU"/>
        </w:rPr>
        <w:t xml:space="preserve">: </w:t>
      </w:r>
    </w:p>
    <w:p w14:paraId="59036FF2" w14:textId="77777777" w:rsidR="00FE785B" w:rsidRDefault="00FE785B" w:rsidP="00FE785B">
      <w:pPr>
        <w:jc w:val="both"/>
        <w:rPr>
          <w:rFonts w:ascii="Arial" w:hAnsi="Arial" w:cs="Arial"/>
          <w:color w:val="000000"/>
          <w:sz w:val="18"/>
          <w:szCs w:val="18"/>
          <w:lang w:val="en-AU" w:eastAsia="en-AU"/>
        </w:rPr>
      </w:pPr>
      <w:r w:rsidRPr="00E61F0F">
        <w:rPr>
          <w:b/>
          <w:bCs/>
          <w:i/>
          <w:iCs/>
          <w:color w:val="000000"/>
          <w:lang w:val="en-AU" w:eastAsia="en-AU"/>
        </w:rPr>
        <w:t>Luteal Phase Support (LPS)</w:t>
      </w:r>
      <w:r w:rsidRPr="007B0190">
        <w:rPr>
          <w:color w:val="000000"/>
          <w:lang w:val="en-AU" w:eastAsia="en-AU"/>
        </w:rPr>
        <w:t xml:space="preserve"> </w:t>
      </w:r>
    </w:p>
    <w:p w14:paraId="73EA74B9" w14:textId="77777777" w:rsidR="00FE785B" w:rsidRDefault="00FE785B" w:rsidP="00975996">
      <w:pPr>
        <w:widowControl w:val="0"/>
        <w:spacing w:before="120"/>
        <w:jc w:val="both"/>
      </w:pPr>
      <w:r w:rsidRPr="00E023A8">
        <w:t>The recommended dosage is 600 mg/day, in three divided doses, from the day of embryo transfer until at least the 7</w:t>
      </w:r>
      <w:r w:rsidRPr="00E023A8">
        <w:rPr>
          <w:vertAlign w:val="superscript"/>
        </w:rPr>
        <w:t>th</w:t>
      </w:r>
      <w:r w:rsidRPr="00E023A8">
        <w:t xml:space="preserve"> week of pregnancy and not later than the 12</w:t>
      </w:r>
      <w:r w:rsidRPr="00E023A8">
        <w:rPr>
          <w:vertAlign w:val="superscript"/>
        </w:rPr>
        <w:t>th</w:t>
      </w:r>
      <w:r w:rsidRPr="00E023A8">
        <w:t xml:space="preserve"> week of pregnancy.</w:t>
      </w:r>
    </w:p>
    <w:p w14:paraId="048CC6EF" w14:textId="77777777" w:rsidR="00256D47" w:rsidRDefault="00256D47" w:rsidP="00256D47">
      <w:pPr>
        <w:widowControl w:val="0"/>
        <w:jc w:val="both"/>
      </w:pPr>
    </w:p>
    <w:p w14:paraId="27B87DB1" w14:textId="77777777" w:rsidR="00727172" w:rsidRDefault="00AB02C1" w:rsidP="00256D47">
      <w:pPr>
        <w:widowControl w:val="0"/>
        <w:jc w:val="both"/>
      </w:pPr>
      <w:r w:rsidRPr="00E61F0F">
        <w:rPr>
          <w:b/>
          <w:bCs/>
          <w:i/>
          <w:iCs/>
        </w:rPr>
        <w:t>Prevention of Preterm Birth</w:t>
      </w:r>
      <w:r>
        <w:rPr>
          <w:b/>
          <w:bCs/>
          <w:i/>
          <w:iCs/>
        </w:rPr>
        <w:t xml:space="preserve"> (PTB)</w:t>
      </w:r>
    </w:p>
    <w:p w14:paraId="6BBAB1FC" w14:textId="77777777" w:rsidR="00727172" w:rsidRDefault="00727172" w:rsidP="00975996">
      <w:pPr>
        <w:widowControl w:val="0"/>
        <w:spacing w:before="120"/>
        <w:jc w:val="both"/>
      </w:pPr>
      <w:r w:rsidRPr="00E16060">
        <w:t xml:space="preserve">The usual dose is 200 mg/day, </w:t>
      </w:r>
      <w:r w:rsidR="005F0E89">
        <w:t xml:space="preserve">recommended </w:t>
      </w:r>
      <w:r w:rsidRPr="00DA7016">
        <w:t>at bedtime</w:t>
      </w:r>
      <w:r w:rsidR="001923A5" w:rsidRPr="00DA7016">
        <w:t>. Treatment</w:t>
      </w:r>
      <w:r w:rsidR="001923A5">
        <w:t xml:space="preserve"> can be initiated during the second trimester (16-24 weeks gestation) and is to be continued to the end of the 36</w:t>
      </w:r>
      <w:r w:rsidR="001923A5" w:rsidRPr="007B78DC">
        <w:rPr>
          <w:vertAlign w:val="superscript"/>
        </w:rPr>
        <w:t>th</w:t>
      </w:r>
      <w:r w:rsidR="001923A5">
        <w:t xml:space="preserve"> week of gestation or until delivery</w:t>
      </w:r>
      <w:r w:rsidRPr="00E16060">
        <w:t>.</w:t>
      </w:r>
    </w:p>
    <w:p w14:paraId="744B03B5" w14:textId="77777777" w:rsidR="009E1740" w:rsidRPr="00FC3F4A" w:rsidRDefault="009E1740" w:rsidP="00975996">
      <w:pPr>
        <w:widowControl w:val="0"/>
        <w:spacing w:before="120"/>
        <w:jc w:val="both"/>
      </w:pPr>
    </w:p>
    <w:p w14:paraId="7CDA3DFF" w14:textId="7597C57C" w:rsidR="00AB02C1" w:rsidRPr="00E61F0F" w:rsidRDefault="00AB02C1" w:rsidP="00256D47">
      <w:pPr>
        <w:widowControl w:val="0"/>
        <w:jc w:val="both"/>
        <w:rPr>
          <w:b/>
          <w:bCs/>
          <w:i/>
          <w:iCs/>
        </w:rPr>
      </w:pPr>
      <w:r w:rsidRPr="00E61F0F">
        <w:rPr>
          <w:b/>
          <w:bCs/>
          <w:i/>
          <w:iCs/>
        </w:rPr>
        <w:t>Threatened Miscarriage</w:t>
      </w:r>
    </w:p>
    <w:p w14:paraId="5B895A98" w14:textId="35DC1F09" w:rsidR="00AB02C1" w:rsidRDefault="00726AA0" w:rsidP="00975996">
      <w:pPr>
        <w:widowControl w:val="0"/>
        <w:spacing w:before="120"/>
        <w:jc w:val="both"/>
      </w:pPr>
      <w:r>
        <w:t xml:space="preserve">The usual dose is 400 mg twice a day </w:t>
      </w:r>
      <w:r w:rsidR="000167B9">
        <w:t>(</w:t>
      </w:r>
      <w:r>
        <w:t>morning and night</w:t>
      </w:r>
      <w:r w:rsidR="000167B9">
        <w:t>)</w:t>
      </w:r>
      <w:r>
        <w:t xml:space="preserve">.  Treatment should be initiated at </w:t>
      </w:r>
      <w:r w:rsidR="00301780">
        <w:t xml:space="preserve">the </w:t>
      </w:r>
      <w:r>
        <w:t xml:space="preserve">first sign of vaginal bleeding during </w:t>
      </w:r>
      <w:r w:rsidR="00A63BD6">
        <w:t xml:space="preserve">the </w:t>
      </w:r>
      <w:r>
        <w:t xml:space="preserve">first trimester of pregnancy </w:t>
      </w:r>
      <w:r w:rsidR="0008265A">
        <w:t xml:space="preserve">(see Section 4.4 Special Warnings and Precautions for Use) </w:t>
      </w:r>
      <w:r>
        <w:t>and should continue to at least the 1</w:t>
      </w:r>
      <w:r w:rsidR="00EE18CD">
        <w:t>6</w:t>
      </w:r>
      <w:r w:rsidRPr="00E61F0F">
        <w:rPr>
          <w:vertAlign w:val="superscript"/>
        </w:rPr>
        <w:t>th</w:t>
      </w:r>
      <w:r>
        <w:t xml:space="preserve"> week of gestation.</w:t>
      </w:r>
    </w:p>
    <w:p w14:paraId="3F6555E8" w14:textId="13401BA9" w:rsidR="00AB02C1" w:rsidRPr="00FC3F4A" w:rsidRDefault="00AB02C1" w:rsidP="00256D47">
      <w:pPr>
        <w:widowControl w:val="0"/>
        <w:jc w:val="both"/>
      </w:pPr>
    </w:p>
    <w:p w14:paraId="2D9D7335" w14:textId="45FBF933" w:rsidR="00FE785B" w:rsidRDefault="00FE785B" w:rsidP="00FE785B">
      <w:pPr>
        <w:autoSpaceDE w:val="0"/>
        <w:autoSpaceDN w:val="0"/>
        <w:adjustRightInd w:val="0"/>
        <w:rPr>
          <w:rFonts w:ascii="Arial" w:hAnsi="Arial" w:cs="Arial"/>
          <w:color w:val="000000"/>
          <w:sz w:val="18"/>
          <w:szCs w:val="18"/>
          <w:lang w:val="en-AU" w:eastAsia="en-AU"/>
        </w:rPr>
      </w:pPr>
      <w:r w:rsidRPr="00FC3F4A">
        <w:rPr>
          <w:b/>
          <w:bCs/>
          <w:iCs/>
          <w:color w:val="000000"/>
          <w:lang w:val="en-AU" w:eastAsia="en-AU"/>
        </w:rPr>
        <w:t>Children:</w:t>
      </w:r>
      <w:r>
        <w:rPr>
          <w:rFonts w:ascii="Arial" w:hAnsi="Arial" w:cs="Arial"/>
          <w:b/>
          <w:bCs/>
          <w:i/>
          <w:iCs/>
          <w:color w:val="000000"/>
          <w:sz w:val="18"/>
          <w:szCs w:val="18"/>
          <w:lang w:val="en-AU" w:eastAsia="en-AU"/>
        </w:rPr>
        <w:t xml:space="preserve"> </w:t>
      </w:r>
      <w:r>
        <w:t>Not applicable</w:t>
      </w:r>
      <w:r>
        <w:rPr>
          <w:rFonts w:ascii="Arial" w:hAnsi="Arial" w:cs="Arial"/>
          <w:color w:val="000000"/>
          <w:sz w:val="18"/>
          <w:szCs w:val="18"/>
          <w:lang w:val="en-AU" w:eastAsia="en-AU"/>
        </w:rPr>
        <w:t>.</w:t>
      </w:r>
    </w:p>
    <w:p w14:paraId="0C598E80" w14:textId="30271ED9" w:rsidR="00FE785B" w:rsidRDefault="00FE785B" w:rsidP="00FE785B">
      <w:pPr>
        <w:autoSpaceDE w:val="0"/>
        <w:autoSpaceDN w:val="0"/>
        <w:adjustRightInd w:val="0"/>
        <w:rPr>
          <w:rFonts w:ascii="Arial" w:hAnsi="Arial" w:cs="Arial"/>
          <w:color w:val="000000"/>
          <w:sz w:val="18"/>
          <w:szCs w:val="18"/>
          <w:lang w:val="en-AU" w:eastAsia="en-AU"/>
        </w:rPr>
      </w:pPr>
      <w:r w:rsidRPr="00FC3F4A">
        <w:rPr>
          <w:b/>
          <w:color w:val="000000"/>
          <w:lang w:val="en-AU" w:eastAsia="en-AU"/>
        </w:rPr>
        <w:t>Elderly</w:t>
      </w:r>
      <w:r>
        <w:rPr>
          <w:rFonts w:ascii="Arial" w:hAnsi="Arial" w:cs="Arial"/>
          <w:b/>
          <w:bCs/>
          <w:i/>
          <w:iCs/>
          <w:color w:val="000000"/>
          <w:sz w:val="18"/>
          <w:szCs w:val="18"/>
          <w:lang w:val="en-AU" w:eastAsia="en-AU"/>
        </w:rPr>
        <w:t xml:space="preserve">: </w:t>
      </w:r>
      <w:r>
        <w:t>Not applicable</w:t>
      </w:r>
    </w:p>
    <w:p w14:paraId="62BC7A99" w14:textId="77777777" w:rsidR="00FE785B" w:rsidRDefault="00FE785B" w:rsidP="00FE785B">
      <w:pPr>
        <w:jc w:val="both"/>
        <w:rPr>
          <w:b/>
          <w:color w:val="000000"/>
          <w:lang w:val="en-AU" w:eastAsia="en-AU"/>
        </w:rPr>
      </w:pPr>
    </w:p>
    <w:p w14:paraId="73B81EF7" w14:textId="77777777" w:rsidR="00FE785B" w:rsidRPr="004D1A29" w:rsidRDefault="00FE785B" w:rsidP="00FE785B">
      <w:pPr>
        <w:jc w:val="both"/>
      </w:pPr>
      <w:r w:rsidRPr="00FC3F4A">
        <w:rPr>
          <w:b/>
          <w:color w:val="000000"/>
          <w:lang w:val="en-AU" w:eastAsia="en-AU"/>
        </w:rPr>
        <w:t>Method of Administration:</w:t>
      </w:r>
      <w:r>
        <w:rPr>
          <w:rFonts w:ascii="Arial" w:hAnsi="Arial" w:cs="Arial"/>
          <w:b/>
          <w:bCs/>
          <w:i/>
          <w:iCs/>
          <w:color w:val="000000"/>
          <w:sz w:val="18"/>
          <w:szCs w:val="18"/>
          <w:lang w:val="en-AU" w:eastAsia="en-AU"/>
        </w:rPr>
        <w:t xml:space="preserve"> </w:t>
      </w:r>
      <w:r w:rsidRPr="004D1A29">
        <w:t xml:space="preserve">Vaginal. Each capsule of </w:t>
      </w:r>
      <w:proofErr w:type="spellStart"/>
      <w:r w:rsidRPr="004D1A29">
        <w:t>Utrogestan</w:t>
      </w:r>
      <w:proofErr w:type="spellEnd"/>
      <w:r w:rsidRPr="004D1A29">
        <w:t xml:space="preserve"> must be inserted deep into the vagina.</w:t>
      </w:r>
    </w:p>
    <w:p w14:paraId="7988CC55" w14:textId="77777777" w:rsidR="00FE785B" w:rsidRPr="004D1A29" w:rsidRDefault="00FE785B" w:rsidP="00FE785B">
      <w:pPr>
        <w:jc w:val="both"/>
      </w:pPr>
    </w:p>
    <w:p w14:paraId="1013DA95" w14:textId="77777777" w:rsidR="00FE785B" w:rsidRPr="001C4BED" w:rsidRDefault="00FE785B" w:rsidP="00FE785B">
      <w:pPr>
        <w:jc w:val="both"/>
      </w:pPr>
      <w:r w:rsidRPr="001C4BED">
        <w:t xml:space="preserve">The average dosage is 200 to </w:t>
      </w:r>
      <w:r w:rsidR="00703738">
        <w:t>8</w:t>
      </w:r>
      <w:r w:rsidR="00703738" w:rsidRPr="001C4BED">
        <w:t xml:space="preserve">00 </w:t>
      </w:r>
      <w:r w:rsidRPr="001C4BED">
        <w:t>mg of progesterone per day to be introduced deep into the vagina.  This may be increased, depending on the patient's response.</w:t>
      </w:r>
    </w:p>
    <w:p w14:paraId="64B549CA" w14:textId="77777777" w:rsidR="00FE785B" w:rsidRPr="001C4BED" w:rsidRDefault="00FE785B" w:rsidP="00C9518C">
      <w:pPr>
        <w:spacing w:before="120"/>
        <w:ind w:left="540" w:hanging="540"/>
        <w:jc w:val="both"/>
      </w:pPr>
      <w:r w:rsidRPr="001C4BED">
        <w:t xml:space="preserve">-  </w:t>
      </w:r>
      <w:r w:rsidRPr="001C4BED">
        <w:tab/>
        <w:t>In</w:t>
      </w:r>
      <w:r w:rsidRPr="001C4BED">
        <w:rPr>
          <w:b/>
        </w:rPr>
        <w:t xml:space="preserve"> partial luteal insufficiency</w:t>
      </w:r>
      <w:r w:rsidRPr="001C4BED">
        <w:t xml:space="preserve"> (</w:t>
      </w:r>
      <w:proofErr w:type="spellStart"/>
      <w:r w:rsidRPr="001C4BED">
        <w:t>dysovulatio</w:t>
      </w:r>
      <w:r w:rsidRPr="00F2276A">
        <w:t>n</w:t>
      </w:r>
      <w:proofErr w:type="spellEnd"/>
      <w:r w:rsidRPr="00F2276A">
        <w:t>):</w:t>
      </w:r>
      <w:r w:rsidRPr="001C4BED">
        <w:t xml:space="preserve"> treatment should be given for 10 days per cycle, usually from </w:t>
      </w:r>
      <w:r w:rsidRPr="001C4BED">
        <w:rPr>
          <w:b/>
        </w:rPr>
        <w:t xml:space="preserve">days 17 to 26 </w:t>
      </w:r>
      <w:r w:rsidRPr="001C4BED">
        <w:t>of the cycle, at a dosage of 200 mg of progesterone daily.</w:t>
      </w:r>
    </w:p>
    <w:p w14:paraId="19DCA50C" w14:textId="77777777" w:rsidR="00FE785B" w:rsidRPr="001C4BED" w:rsidRDefault="00FE785B" w:rsidP="00FE785B">
      <w:pPr>
        <w:ind w:left="540" w:hanging="540"/>
        <w:jc w:val="both"/>
      </w:pPr>
      <w:r w:rsidRPr="001C4BED">
        <w:t xml:space="preserve">-  </w:t>
      </w:r>
      <w:r w:rsidRPr="001C4BED">
        <w:tab/>
        <w:t xml:space="preserve">In </w:t>
      </w:r>
      <w:r w:rsidRPr="001C4BED">
        <w:rPr>
          <w:b/>
        </w:rPr>
        <w:t>sterility oocyte donation program</w:t>
      </w:r>
      <w:r w:rsidRPr="001C4BED">
        <w:t>: the recommended dosage of progesterone is 100 mg on day 13 and 14 of the transfer cycle, followed by 100 mg of progesterone in the morning and evening, from days 15 to 25 of the cycle. From day 26, the dose should be increased - in early pregnancy - weekly, from 100 mg of progesterone per day up to a maximum of 600 mg of progesterone per day, as three divided doses. This dosage should be continued until day 60.</w:t>
      </w:r>
    </w:p>
    <w:p w14:paraId="40B48EF5" w14:textId="77777777" w:rsidR="00FE785B" w:rsidRPr="001C4BED" w:rsidRDefault="00FE785B" w:rsidP="00FE785B">
      <w:pPr>
        <w:ind w:left="540" w:hanging="540"/>
        <w:jc w:val="both"/>
      </w:pPr>
      <w:r w:rsidRPr="001C4BED">
        <w:t xml:space="preserve">-  </w:t>
      </w:r>
      <w:r w:rsidRPr="001C4BED">
        <w:tab/>
        <w:t xml:space="preserve">In </w:t>
      </w:r>
      <w:r w:rsidRPr="001C4BED">
        <w:rPr>
          <w:b/>
        </w:rPr>
        <w:t xml:space="preserve">luteal phase supplementation during ART (IVF), </w:t>
      </w:r>
      <w:r w:rsidRPr="001C4BED">
        <w:t xml:space="preserve">treatment should be started latest from the evening of the transfer, as 600 mg of progesterone in three divided doses, morning, </w:t>
      </w:r>
      <w:proofErr w:type="gramStart"/>
      <w:r w:rsidRPr="001C4BED">
        <w:t>midday</w:t>
      </w:r>
      <w:proofErr w:type="gramEnd"/>
      <w:r w:rsidRPr="001C4BED">
        <w:t xml:space="preserve"> and evening.</w:t>
      </w:r>
    </w:p>
    <w:p w14:paraId="69DD1F6C" w14:textId="77777777" w:rsidR="00727172" w:rsidRDefault="00727172" w:rsidP="00727172">
      <w:pPr>
        <w:ind w:left="540" w:hanging="540"/>
        <w:jc w:val="both"/>
      </w:pPr>
      <w:r>
        <w:rPr>
          <w:b/>
        </w:rPr>
        <w:t>-</w:t>
      </w:r>
      <w:r>
        <w:rPr>
          <w:b/>
        </w:rPr>
        <w:tab/>
      </w:r>
      <w:r w:rsidRPr="001C4BED">
        <w:rPr>
          <w:b/>
        </w:rPr>
        <w:t xml:space="preserve">In the prevention of premature </w:t>
      </w:r>
      <w:proofErr w:type="gramStart"/>
      <w:r w:rsidR="000D5384">
        <w:rPr>
          <w:b/>
        </w:rPr>
        <w:t>birth</w:t>
      </w:r>
      <w:proofErr w:type="gramEnd"/>
      <w:r w:rsidR="000D5384" w:rsidRPr="001C4BED">
        <w:rPr>
          <w:b/>
        </w:rPr>
        <w:t xml:space="preserve"> </w:t>
      </w:r>
      <w:r w:rsidRPr="001C4BED">
        <w:t>the dosage is 200 mg daily in the evening at bedtime</w:t>
      </w:r>
      <w:r w:rsidR="001923A5">
        <w:t>.  Treatment can be initiated during the second trimester (16 – 24 weeks gestation) and is to be continued to the end of the 36</w:t>
      </w:r>
      <w:r w:rsidR="001923A5" w:rsidRPr="007B78DC">
        <w:rPr>
          <w:vertAlign w:val="superscript"/>
        </w:rPr>
        <w:t>th</w:t>
      </w:r>
      <w:r w:rsidR="001923A5">
        <w:t xml:space="preserve"> week of gestation or until delivery</w:t>
      </w:r>
      <w:r w:rsidRPr="001C4BED">
        <w:t>.</w:t>
      </w:r>
      <w:r>
        <w:t xml:space="preserve"> </w:t>
      </w:r>
    </w:p>
    <w:p w14:paraId="630B6AF1" w14:textId="3309987B" w:rsidR="00483251" w:rsidRDefault="00703738" w:rsidP="00727172">
      <w:pPr>
        <w:ind w:left="540" w:hanging="540"/>
        <w:jc w:val="both"/>
        <w:rPr>
          <w:bCs/>
        </w:rPr>
      </w:pPr>
      <w:r>
        <w:rPr>
          <w:b/>
        </w:rPr>
        <w:t>-</w:t>
      </w:r>
      <w:r>
        <w:rPr>
          <w:b/>
        </w:rPr>
        <w:tab/>
        <w:t xml:space="preserve">In the treatment of </w:t>
      </w:r>
      <w:r w:rsidR="0094750B">
        <w:rPr>
          <w:b/>
        </w:rPr>
        <w:t xml:space="preserve">unexplained </w:t>
      </w:r>
      <w:r>
        <w:rPr>
          <w:b/>
        </w:rPr>
        <w:t>threatened miscarriage</w:t>
      </w:r>
      <w:r w:rsidR="00483251">
        <w:rPr>
          <w:bCs/>
        </w:rPr>
        <w:t xml:space="preserve">, </w:t>
      </w:r>
      <w:r w:rsidR="00DA7016">
        <w:t xml:space="preserve">the usual dose is </w:t>
      </w:r>
      <w:r w:rsidR="0008265A">
        <w:t>400</w:t>
      </w:r>
      <w:r w:rsidR="00DA7016">
        <w:t xml:space="preserve"> mg twice a day (morning and night).  Treatment should be initiated at</w:t>
      </w:r>
      <w:r w:rsidR="00603838">
        <w:t xml:space="preserve"> the</w:t>
      </w:r>
      <w:r w:rsidR="00DA7016">
        <w:t xml:space="preserve"> first sign of vaginal bleeding during </w:t>
      </w:r>
      <w:r w:rsidR="00603838">
        <w:t xml:space="preserve">the </w:t>
      </w:r>
      <w:r w:rsidR="00DA7016">
        <w:t>first trimester of pregnancy and should continue to at least the 16</w:t>
      </w:r>
      <w:r w:rsidR="00DA7016" w:rsidRPr="009371FE">
        <w:rPr>
          <w:vertAlign w:val="superscript"/>
        </w:rPr>
        <w:t>th</w:t>
      </w:r>
      <w:r w:rsidR="00DA7016">
        <w:t xml:space="preserve"> week of gestation.</w:t>
      </w:r>
    </w:p>
    <w:p w14:paraId="4812914B" w14:textId="77777777" w:rsidR="00FE785B" w:rsidRDefault="00FE785B" w:rsidP="00E61F0F">
      <w:pPr>
        <w:ind w:left="540" w:hanging="540"/>
      </w:pPr>
    </w:p>
    <w:p w14:paraId="0B5CB9C0" w14:textId="77777777" w:rsidR="00FE785B" w:rsidRPr="002E0E36" w:rsidRDefault="007475A2" w:rsidP="00C9518C">
      <w:pPr>
        <w:pStyle w:val="Heading1"/>
        <w:widowControl w:val="0"/>
        <w:numPr>
          <w:ilvl w:val="1"/>
          <w:numId w:val="15"/>
        </w:numPr>
        <w:autoSpaceDE w:val="0"/>
        <w:autoSpaceDN w:val="0"/>
        <w:adjustRightInd w:val="0"/>
        <w:spacing w:before="0" w:after="0"/>
        <w:ind w:left="0" w:firstLine="0"/>
        <w:jc w:val="both"/>
        <w:rPr>
          <w:bCs w:val="0"/>
          <w:kern w:val="0"/>
          <w:sz w:val="24"/>
          <w:szCs w:val="24"/>
        </w:rPr>
      </w:pPr>
      <w:r w:rsidRPr="002E0E36">
        <w:rPr>
          <w:bCs w:val="0"/>
          <w:kern w:val="0"/>
          <w:sz w:val="24"/>
          <w:szCs w:val="24"/>
        </w:rPr>
        <w:lastRenderedPageBreak/>
        <w:t>CONTRAINDICAT</w:t>
      </w:r>
      <w:r w:rsidR="00341DCF">
        <w:rPr>
          <w:bCs w:val="0"/>
          <w:kern w:val="0"/>
          <w:sz w:val="24"/>
          <w:szCs w:val="24"/>
        </w:rPr>
        <w:t>I</w:t>
      </w:r>
      <w:r w:rsidRPr="002E0E36">
        <w:rPr>
          <w:bCs w:val="0"/>
          <w:kern w:val="0"/>
          <w:sz w:val="24"/>
          <w:szCs w:val="24"/>
        </w:rPr>
        <w:t>ON</w:t>
      </w:r>
    </w:p>
    <w:p w14:paraId="7F4EA382" w14:textId="77777777" w:rsidR="00FE785B" w:rsidRPr="00DA481B" w:rsidRDefault="00FE785B" w:rsidP="00C9518C">
      <w:pPr>
        <w:spacing w:before="240"/>
        <w:jc w:val="both"/>
      </w:pPr>
      <w:proofErr w:type="spellStart"/>
      <w:r>
        <w:t>Utrogestan</w:t>
      </w:r>
      <w:proofErr w:type="spellEnd"/>
      <w:r>
        <w:t xml:space="preserve"> </w:t>
      </w:r>
      <w:r w:rsidRPr="00DA481B">
        <w:t>should not be used in indiv</w:t>
      </w:r>
      <w:r>
        <w:t>id</w:t>
      </w:r>
      <w:r w:rsidRPr="00DA481B">
        <w:t>uals with any of the following conditions:</w:t>
      </w:r>
    </w:p>
    <w:p w14:paraId="06E3AB3D" w14:textId="77777777" w:rsidR="00FE785B" w:rsidRPr="00DA481B" w:rsidRDefault="00FE785B" w:rsidP="00FE785B">
      <w:pPr>
        <w:numPr>
          <w:ilvl w:val="0"/>
          <w:numId w:val="13"/>
        </w:numPr>
        <w:autoSpaceDE w:val="0"/>
        <w:autoSpaceDN w:val="0"/>
        <w:adjustRightInd w:val="0"/>
        <w:rPr>
          <w:color w:val="000000"/>
          <w:lang w:val="en-AU" w:eastAsia="en-AU"/>
        </w:rPr>
      </w:pPr>
      <w:r w:rsidRPr="00DA481B">
        <w:rPr>
          <w:color w:val="000000"/>
          <w:lang w:val="en-AU" w:eastAsia="en-AU"/>
        </w:rPr>
        <w:t xml:space="preserve">Known allergy or hypersensitivity to progesterone or to any of the excipients. </w:t>
      </w:r>
      <w:r>
        <w:rPr>
          <w:color w:val="000000"/>
          <w:lang w:val="en-AU" w:eastAsia="en-AU"/>
        </w:rPr>
        <w:t xml:space="preserve"> </w:t>
      </w:r>
    </w:p>
    <w:p w14:paraId="672D041F" w14:textId="77777777" w:rsidR="00FE785B" w:rsidRPr="00DA481B" w:rsidRDefault="00FE785B" w:rsidP="00FE785B">
      <w:pPr>
        <w:numPr>
          <w:ilvl w:val="0"/>
          <w:numId w:val="13"/>
        </w:numPr>
        <w:autoSpaceDE w:val="0"/>
        <w:autoSpaceDN w:val="0"/>
        <w:adjustRightInd w:val="0"/>
        <w:rPr>
          <w:color w:val="000000"/>
          <w:lang w:val="en-AU" w:eastAsia="en-AU"/>
        </w:rPr>
      </w:pPr>
      <w:r w:rsidRPr="00DA481B">
        <w:rPr>
          <w:color w:val="000000"/>
          <w:lang w:val="en-AU" w:eastAsia="en-AU"/>
        </w:rPr>
        <w:t xml:space="preserve">Severe hepatic dysfunction. </w:t>
      </w:r>
    </w:p>
    <w:p w14:paraId="4504059C" w14:textId="77777777" w:rsidR="00FE785B" w:rsidRDefault="00FE785B" w:rsidP="00FE785B">
      <w:pPr>
        <w:numPr>
          <w:ilvl w:val="0"/>
          <w:numId w:val="13"/>
        </w:numPr>
        <w:autoSpaceDE w:val="0"/>
        <w:autoSpaceDN w:val="0"/>
        <w:adjustRightInd w:val="0"/>
        <w:rPr>
          <w:color w:val="000000"/>
          <w:lang w:val="en-AU" w:eastAsia="en-AU"/>
        </w:rPr>
      </w:pPr>
      <w:r w:rsidRPr="00DA481B">
        <w:rPr>
          <w:color w:val="000000"/>
          <w:lang w:val="en-AU" w:eastAsia="en-AU"/>
        </w:rPr>
        <w:t>Undiagnosed vaginal bleeding.</w:t>
      </w:r>
    </w:p>
    <w:p w14:paraId="4657FE2C" w14:textId="77777777" w:rsidR="00FE785B" w:rsidRPr="00DA481B" w:rsidRDefault="00FE785B" w:rsidP="00FE785B">
      <w:pPr>
        <w:numPr>
          <w:ilvl w:val="0"/>
          <w:numId w:val="13"/>
        </w:numPr>
        <w:autoSpaceDE w:val="0"/>
        <w:autoSpaceDN w:val="0"/>
        <w:adjustRightInd w:val="0"/>
        <w:rPr>
          <w:color w:val="000000"/>
          <w:lang w:val="en-AU" w:eastAsia="en-AU"/>
        </w:rPr>
      </w:pPr>
      <w:r>
        <w:rPr>
          <w:color w:val="000000"/>
          <w:lang w:val="en-AU" w:eastAsia="en-AU"/>
        </w:rPr>
        <w:t>Known missed abortion or ectopic pregnancy</w:t>
      </w:r>
      <w:r w:rsidR="009F4EF8">
        <w:rPr>
          <w:color w:val="000000"/>
          <w:lang w:val="en-AU" w:eastAsia="en-AU"/>
        </w:rPr>
        <w:t>.</w:t>
      </w:r>
    </w:p>
    <w:p w14:paraId="38BEC948" w14:textId="77777777" w:rsidR="00FE785B" w:rsidRPr="00DA481B" w:rsidRDefault="00FE785B" w:rsidP="00FE785B">
      <w:pPr>
        <w:numPr>
          <w:ilvl w:val="0"/>
          <w:numId w:val="13"/>
        </w:numPr>
        <w:autoSpaceDE w:val="0"/>
        <w:autoSpaceDN w:val="0"/>
        <w:adjustRightInd w:val="0"/>
        <w:rPr>
          <w:color w:val="000000"/>
          <w:lang w:val="en-AU" w:eastAsia="en-AU"/>
        </w:rPr>
      </w:pPr>
      <w:r w:rsidRPr="00DA481B">
        <w:rPr>
          <w:color w:val="000000"/>
          <w:lang w:val="en-AU" w:eastAsia="en-AU"/>
        </w:rPr>
        <w:t xml:space="preserve">Mammary or genital tract carcinoma. </w:t>
      </w:r>
    </w:p>
    <w:p w14:paraId="0A3CAD32" w14:textId="77777777" w:rsidR="00FE785B" w:rsidRPr="00DA481B" w:rsidRDefault="00FE785B" w:rsidP="00FE785B">
      <w:pPr>
        <w:numPr>
          <w:ilvl w:val="0"/>
          <w:numId w:val="13"/>
        </w:numPr>
        <w:autoSpaceDE w:val="0"/>
        <w:autoSpaceDN w:val="0"/>
        <w:adjustRightInd w:val="0"/>
        <w:rPr>
          <w:color w:val="000000"/>
          <w:lang w:val="en-AU" w:eastAsia="en-AU"/>
        </w:rPr>
      </w:pPr>
      <w:r w:rsidRPr="00DA481B">
        <w:rPr>
          <w:color w:val="000000"/>
          <w:lang w:val="en-AU" w:eastAsia="en-AU"/>
        </w:rPr>
        <w:t xml:space="preserve">Thromboembolic or thrombophlebitis disorders. </w:t>
      </w:r>
    </w:p>
    <w:p w14:paraId="54CD0911" w14:textId="77777777" w:rsidR="00FE785B" w:rsidRPr="00DA481B" w:rsidRDefault="00FE785B" w:rsidP="00FE785B">
      <w:pPr>
        <w:numPr>
          <w:ilvl w:val="0"/>
          <w:numId w:val="13"/>
        </w:numPr>
        <w:autoSpaceDE w:val="0"/>
        <w:autoSpaceDN w:val="0"/>
        <w:adjustRightInd w:val="0"/>
        <w:rPr>
          <w:color w:val="000000"/>
          <w:lang w:val="en-AU" w:eastAsia="en-AU"/>
        </w:rPr>
      </w:pPr>
      <w:r w:rsidRPr="00DA481B">
        <w:rPr>
          <w:color w:val="000000"/>
          <w:lang w:val="en-AU" w:eastAsia="en-AU"/>
        </w:rPr>
        <w:t xml:space="preserve">Cerebral haemorrhage. </w:t>
      </w:r>
    </w:p>
    <w:p w14:paraId="58E1A9F7" w14:textId="77777777" w:rsidR="00FE785B" w:rsidRPr="00DA481B" w:rsidRDefault="00FE785B" w:rsidP="00FE785B">
      <w:pPr>
        <w:numPr>
          <w:ilvl w:val="0"/>
          <w:numId w:val="13"/>
        </w:numPr>
        <w:autoSpaceDE w:val="0"/>
        <w:autoSpaceDN w:val="0"/>
        <w:adjustRightInd w:val="0"/>
        <w:rPr>
          <w:color w:val="000000"/>
          <w:lang w:val="en-AU" w:eastAsia="en-AU"/>
        </w:rPr>
      </w:pPr>
      <w:r w:rsidRPr="00DA481B">
        <w:rPr>
          <w:color w:val="000000"/>
          <w:lang w:val="en-AU" w:eastAsia="en-AU"/>
        </w:rPr>
        <w:t>Porphyria.</w:t>
      </w:r>
    </w:p>
    <w:p w14:paraId="64424BEF" w14:textId="77777777" w:rsidR="00256D47" w:rsidRDefault="00256D47" w:rsidP="002E0E36">
      <w:pPr>
        <w:ind w:left="375"/>
        <w:jc w:val="both"/>
        <w:rPr>
          <w:b/>
        </w:rPr>
      </w:pPr>
    </w:p>
    <w:p w14:paraId="5E67FC8B" w14:textId="77777777" w:rsidR="00FE785B" w:rsidRPr="002E0E36" w:rsidRDefault="007475A2" w:rsidP="002E0E36">
      <w:pPr>
        <w:pStyle w:val="Heading1"/>
        <w:widowControl w:val="0"/>
        <w:numPr>
          <w:ilvl w:val="1"/>
          <w:numId w:val="15"/>
        </w:numPr>
        <w:autoSpaceDE w:val="0"/>
        <w:autoSpaceDN w:val="0"/>
        <w:adjustRightInd w:val="0"/>
        <w:spacing w:before="0"/>
        <w:ind w:left="0" w:firstLine="0"/>
        <w:jc w:val="both"/>
        <w:rPr>
          <w:sz w:val="24"/>
          <w:szCs w:val="24"/>
        </w:rPr>
      </w:pPr>
      <w:r w:rsidRPr="002E0E36">
        <w:rPr>
          <w:bCs w:val="0"/>
          <w:kern w:val="0"/>
          <w:sz w:val="24"/>
          <w:szCs w:val="24"/>
        </w:rPr>
        <w:t>SPECI</w:t>
      </w:r>
      <w:r w:rsidR="00FE785B" w:rsidRPr="002E0E36">
        <w:rPr>
          <w:bCs w:val="0"/>
          <w:kern w:val="0"/>
          <w:sz w:val="24"/>
          <w:szCs w:val="24"/>
        </w:rPr>
        <w:t>AL</w:t>
      </w:r>
      <w:r w:rsidR="00FE785B" w:rsidRPr="002E0E36">
        <w:rPr>
          <w:sz w:val="24"/>
          <w:szCs w:val="24"/>
        </w:rPr>
        <w:t xml:space="preserve"> WARNINGS AND PRECA</w:t>
      </w:r>
      <w:r w:rsidR="006F0472" w:rsidRPr="002E0E36">
        <w:rPr>
          <w:sz w:val="24"/>
          <w:szCs w:val="24"/>
        </w:rPr>
        <w:t>U</w:t>
      </w:r>
      <w:r w:rsidR="00FE785B" w:rsidRPr="002E0E36">
        <w:rPr>
          <w:sz w:val="24"/>
          <w:szCs w:val="24"/>
        </w:rPr>
        <w:t>TIONS FOR USE</w:t>
      </w:r>
    </w:p>
    <w:p w14:paraId="56504FD7" w14:textId="77777777" w:rsidR="00FE785B" w:rsidRPr="007520FE" w:rsidRDefault="00FE785B" w:rsidP="00C9518C">
      <w:pPr>
        <w:spacing w:before="240"/>
        <w:jc w:val="both"/>
      </w:pPr>
      <w:r w:rsidRPr="007520FE">
        <w:t xml:space="preserve">During pregnancy, </w:t>
      </w:r>
      <w:proofErr w:type="spellStart"/>
      <w:r w:rsidRPr="00CE3AA8">
        <w:t>Utrogestan</w:t>
      </w:r>
      <w:proofErr w:type="spellEnd"/>
      <w:r w:rsidRPr="00CE3AA8">
        <w:t xml:space="preserve"> should </w:t>
      </w:r>
      <w:r w:rsidR="007F6A46" w:rsidRPr="000D5384">
        <w:t>be used</w:t>
      </w:r>
      <w:r w:rsidR="009336E7" w:rsidRPr="000D5384">
        <w:t xml:space="preserve"> for the recommended timeframes for each indicated use </w:t>
      </w:r>
      <w:r w:rsidR="007F6A46" w:rsidRPr="000D5384">
        <w:t>(see Section 4.2 Dose and Administration</w:t>
      </w:r>
      <w:r w:rsidR="009336E7" w:rsidRPr="000D5384">
        <w:t xml:space="preserve">).  </w:t>
      </w:r>
      <w:proofErr w:type="spellStart"/>
      <w:r w:rsidR="009336E7" w:rsidRPr="000D5384">
        <w:t>Utrogestan</w:t>
      </w:r>
      <w:proofErr w:type="spellEnd"/>
      <w:r w:rsidR="009336E7" w:rsidRPr="000D5384">
        <w:t xml:space="preserve"> should only be used </w:t>
      </w:r>
      <w:r w:rsidRPr="000D5384">
        <w:t xml:space="preserve">by the vaginal route. </w:t>
      </w:r>
      <w:r w:rsidR="00841219">
        <w:t xml:space="preserve"> </w:t>
      </w:r>
      <w:r w:rsidR="00BE5D5D" w:rsidRPr="00BE5D5D">
        <w:t xml:space="preserve">Cases of cytolytic liver damage and cases of </w:t>
      </w:r>
      <w:proofErr w:type="spellStart"/>
      <w:r w:rsidR="00BE5D5D" w:rsidRPr="00BE5D5D">
        <w:t>gravid</w:t>
      </w:r>
      <w:r w:rsidR="00BE5D5D">
        <w:t>ic</w:t>
      </w:r>
      <w:proofErr w:type="spellEnd"/>
      <w:r w:rsidR="00BE5D5D">
        <w:t xml:space="preserve"> cholestasis</w:t>
      </w:r>
      <w:r w:rsidR="00BE5D5D" w:rsidRPr="00BE5D5D">
        <w:t xml:space="preserve"> were exceptionally reported during the administration of </w:t>
      </w:r>
      <w:proofErr w:type="spellStart"/>
      <w:r w:rsidR="00BE5D5D" w:rsidRPr="00BE5D5D">
        <w:t>microni</w:t>
      </w:r>
      <w:r w:rsidR="00CE0E85">
        <w:t>s</w:t>
      </w:r>
      <w:r w:rsidR="00BE5D5D" w:rsidRPr="00BE5D5D">
        <w:t>ed</w:t>
      </w:r>
      <w:proofErr w:type="spellEnd"/>
      <w:r w:rsidR="00BE5D5D" w:rsidRPr="00BE5D5D">
        <w:t xml:space="preserve"> progesterone during the 2</w:t>
      </w:r>
      <w:r w:rsidR="00BE5D5D" w:rsidRPr="005C4936">
        <w:rPr>
          <w:vertAlign w:val="superscript"/>
        </w:rPr>
        <w:t>nd</w:t>
      </w:r>
      <w:r w:rsidR="00BE5D5D">
        <w:t xml:space="preserve"> </w:t>
      </w:r>
      <w:r w:rsidR="00BE5D5D" w:rsidRPr="00BE5D5D">
        <w:t>and 3</w:t>
      </w:r>
      <w:r w:rsidR="00BE5D5D" w:rsidRPr="005C4936">
        <w:rPr>
          <w:vertAlign w:val="superscript"/>
        </w:rPr>
        <w:t>rd</w:t>
      </w:r>
      <w:r w:rsidR="00BE5D5D">
        <w:t xml:space="preserve"> </w:t>
      </w:r>
      <w:r w:rsidR="00BE5D5D" w:rsidRPr="00BE5D5D">
        <w:t>trimesters of pregnancy.</w:t>
      </w:r>
    </w:p>
    <w:p w14:paraId="6213C1CC" w14:textId="77777777" w:rsidR="00FE785B" w:rsidRPr="007520FE" w:rsidRDefault="00FE785B" w:rsidP="00FE785B">
      <w:pPr>
        <w:jc w:val="both"/>
      </w:pPr>
    </w:p>
    <w:p w14:paraId="2AFE8F05" w14:textId="77777777" w:rsidR="00FE785B" w:rsidRPr="007520FE" w:rsidRDefault="00FE785B" w:rsidP="00FE785B">
      <w:pPr>
        <w:jc w:val="both"/>
      </w:pPr>
      <w:proofErr w:type="spellStart"/>
      <w:r w:rsidRPr="007520FE">
        <w:t>Utrogestan</w:t>
      </w:r>
      <w:proofErr w:type="spellEnd"/>
      <w:r w:rsidRPr="007520FE">
        <w:t xml:space="preserve"> </w:t>
      </w:r>
      <w:r>
        <w:t>is</w:t>
      </w:r>
      <w:r w:rsidRPr="007520FE">
        <w:t xml:space="preserve"> not suitable for use as a contraceptive.</w:t>
      </w:r>
    </w:p>
    <w:p w14:paraId="02C1797A" w14:textId="77777777" w:rsidR="00FE785B" w:rsidRDefault="00FE785B" w:rsidP="00FE785B">
      <w:pPr>
        <w:widowControl w:val="0"/>
        <w:autoSpaceDE w:val="0"/>
        <w:autoSpaceDN w:val="0"/>
        <w:adjustRightInd w:val="0"/>
        <w:ind w:left="120" w:right="3124" w:hanging="120"/>
        <w:jc w:val="both"/>
        <w:rPr>
          <w:rFonts w:cs="Calibri"/>
          <w:b/>
          <w:bCs/>
        </w:rPr>
      </w:pPr>
    </w:p>
    <w:p w14:paraId="535DFBCF" w14:textId="77777777" w:rsidR="00FE785B" w:rsidRPr="00DA7016" w:rsidRDefault="00FE785B" w:rsidP="00FE785B">
      <w:pPr>
        <w:jc w:val="both"/>
      </w:pPr>
      <w:r w:rsidRPr="00F5538F">
        <w:t xml:space="preserve">Women </w:t>
      </w:r>
      <w:r w:rsidRPr="00DA7016">
        <w:t>should insert each capsule deep into the vagina.</w:t>
      </w:r>
    </w:p>
    <w:p w14:paraId="579220C6" w14:textId="77777777" w:rsidR="00FE785B" w:rsidRPr="00DA7016" w:rsidRDefault="00FE785B" w:rsidP="00FE785B">
      <w:pPr>
        <w:jc w:val="both"/>
      </w:pPr>
    </w:p>
    <w:p w14:paraId="1C001DFB" w14:textId="77777777" w:rsidR="00FE785B" w:rsidRPr="00DA7016" w:rsidRDefault="00FE785B" w:rsidP="00FE785B">
      <w:pPr>
        <w:pStyle w:val="BodyTextIndent"/>
      </w:pPr>
      <w:r w:rsidRPr="00DA7016">
        <w:t xml:space="preserve">- </w:t>
      </w:r>
      <w:r w:rsidRPr="00DA7016">
        <w:tab/>
      </w:r>
      <w:r w:rsidRPr="00E61F0F">
        <w:t>If uterine bleeding is present, do not prescribe before establishing a cause, particularly with endometrial investigations.</w:t>
      </w:r>
    </w:p>
    <w:p w14:paraId="4B8AD5B0" w14:textId="77777777" w:rsidR="00FE785B" w:rsidRPr="00DA7016" w:rsidRDefault="00FE785B" w:rsidP="00FE785B">
      <w:pPr>
        <w:pStyle w:val="BodyTextIndent"/>
      </w:pPr>
      <w:r w:rsidRPr="00DA7016">
        <w:t xml:space="preserve">- </w:t>
      </w:r>
      <w:r w:rsidRPr="00DA7016">
        <w:tab/>
        <w:t xml:space="preserve">Patients must be monitored closely if they have </w:t>
      </w:r>
      <w:proofErr w:type="gramStart"/>
      <w:r w:rsidRPr="00DA7016">
        <w:t>a past history</w:t>
      </w:r>
      <w:proofErr w:type="gramEnd"/>
      <w:r w:rsidRPr="00DA7016">
        <w:t xml:space="preserve"> of venous thrombosis.</w:t>
      </w:r>
    </w:p>
    <w:p w14:paraId="2834A0EC" w14:textId="77777777" w:rsidR="001923A5" w:rsidRPr="00262FEB" w:rsidRDefault="001923A5" w:rsidP="001923A5">
      <w:pPr>
        <w:jc w:val="both"/>
      </w:pPr>
    </w:p>
    <w:p w14:paraId="060E4B5D" w14:textId="77777777" w:rsidR="001923A5" w:rsidRPr="006D781E" w:rsidRDefault="001923A5" w:rsidP="001923A5">
      <w:pPr>
        <w:jc w:val="both"/>
      </w:pPr>
      <w:r w:rsidRPr="00E61F0F">
        <w:t>Treatment should be discontinued upon diagnosis</w:t>
      </w:r>
      <w:r w:rsidRPr="006D781E">
        <w:t xml:space="preserve"> of a missed abortion.</w:t>
      </w:r>
    </w:p>
    <w:p w14:paraId="6D6DE927" w14:textId="77777777" w:rsidR="00FE785B" w:rsidRPr="004D1A29" w:rsidRDefault="00FE785B" w:rsidP="00FE785B">
      <w:pPr>
        <w:jc w:val="both"/>
        <w:rPr>
          <w:highlight w:val="yellow"/>
        </w:rPr>
      </w:pPr>
    </w:p>
    <w:p w14:paraId="2C966A1D" w14:textId="77777777" w:rsidR="00FE785B" w:rsidRDefault="00FE785B" w:rsidP="00FE785B">
      <w:pPr>
        <w:jc w:val="both"/>
      </w:pPr>
      <w:proofErr w:type="spellStart"/>
      <w:r>
        <w:t>Utrogestan</w:t>
      </w:r>
      <w:proofErr w:type="spellEnd"/>
      <w:r>
        <w:t xml:space="preserve"> </w:t>
      </w:r>
      <w:r w:rsidRPr="00985BB5">
        <w:t>should be used cautiously in patients with conditions that might be aggravated by fluid</w:t>
      </w:r>
      <w:r>
        <w:t xml:space="preserve"> </w:t>
      </w:r>
      <w:r w:rsidRPr="00985BB5">
        <w:t>retention (</w:t>
      </w:r>
      <w:proofErr w:type="gramStart"/>
      <w:r w:rsidRPr="00985BB5">
        <w:t>e.g.</w:t>
      </w:r>
      <w:proofErr w:type="gramEnd"/>
      <w:r w:rsidRPr="00985BB5">
        <w:t xml:space="preserve"> hypertension, cardiac disease, renal disease, epilepsy, migraine, asthma); in patients with a history of</w:t>
      </w:r>
      <w:r>
        <w:t xml:space="preserve"> </w:t>
      </w:r>
      <w:r w:rsidRPr="00985BB5">
        <w:t>depression, diabetes, mild to moderate hepatic dysfunction, migraine or photosensitivity and in breast-feeding</w:t>
      </w:r>
      <w:r>
        <w:t xml:space="preserve"> </w:t>
      </w:r>
      <w:r w:rsidRPr="00985BB5">
        <w:t>mothers.</w:t>
      </w:r>
    </w:p>
    <w:p w14:paraId="2171B893" w14:textId="77777777" w:rsidR="00FE785B" w:rsidRPr="00985BB5" w:rsidRDefault="00FE785B" w:rsidP="00FE785B">
      <w:pPr>
        <w:jc w:val="both"/>
      </w:pPr>
    </w:p>
    <w:p w14:paraId="22C2914F" w14:textId="77777777" w:rsidR="00113B55" w:rsidRPr="001923A5" w:rsidRDefault="00815D13" w:rsidP="00815D13">
      <w:pPr>
        <w:jc w:val="both"/>
        <w:rPr>
          <w:strike/>
          <w:lang w:val="en-AU"/>
        </w:rPr>
      </w:pPr>
      <w:r w:rsidRPr="00815D13">
        <w:rPr>
          <w:lang w:val="en-AU"/>
        </w:rPr>
        <w:t xml:space="preserve">There is </w:t>
      </w:r>
      <w:r w:rsidR="00113B55">
        <w:rPr>
          <w:lang w:val="en-AU"/>
        </w:rPr>
        <w:t>limited evidence that supplementation with vaginal progesterone reduces the risk of preterm birth in women with twin/multiple pregnancy who have short cervix (</w:t>
      </w:r>
      <w:proofErr w:type="spellStart"/>
      <w:r w:rsidR="00113B55">
        <w:rPr>
          <w:lang w:val="en-AU"/>
        </w:rPr>
        <w:t>midtrimester</w:t>
      </w:r>
      <w:proofErr w:type="spellEnd"/>
      <w:r w:rsidR="00113B55">
        <w:rPr>
          <w:lang w:val="en-AU"/>
        </w:rPr>
        <w:t xml:space="preserve"> sonographic cervix </w:t>
      </w:r>
      <w:r w:rsidR="00240495">
        <w:rPr>
          <w:lang w:val="en-AU"/>
        </w:rPr>
        <w:t>≤</w:t>
      </w:r>
      <w:r w:rsidR="00113B55">
        <w:rPr>
          <w:lang w:val="en-AU"/>
        </w:rPr>
        <w:t xml:space="preserve"> 25 mm) and/or a history of spontaneous preterm birth</w:t>
      </w:r>
      <w:r w:rsidR="00FD0BBA">
        <w:rPr>
          <w:lang w:val="en-AU"/>
        </w:rPr>
        <w:t>.</w:t>
      </w:r>
    </w:p>
    <w:p w14:paraId="1D4D3621" w14:textId="77777777" w:rsidR="00113B55" w:rsidRPr="00F643C7" w:rsidRDefault="00113B55" w:rsidP="00815D13">
      <w:pPr>
        <w:jc w:val="both"/>
        <w:rPr>
          <w:lang w:val="en-AU"/>
        </w:rPr>
      </w:pPr>
    </w:p>
    <w:p w14:paraId="36224CD5" w14:textId="77777777" w:rsidR="00211C60" w:rsidRPr="00F643C7" w:rsidRDefault="008D39AE" w:rsidP="00FE785B">
      <w:pPr>
        <w:jc w:val="both"/>
      </w:pPr>
      <w:r w:rsidRPr="00F643C7">
        <w:t>There is insufficient evidence to recommend the use of progesterone in women with preterm labour</w:t>
      </w:r>
      <w:r w:rsidR="006D0B18" w:rsidRPr="00F643C7">
        <w:t xml:space="preserve"> </w:t>
      </w:r>
      <w:r w:rsidRPr="00F643C7">
        <w:t xml:space="preserve">or ‘other’ risk factors for preterm birth. </w:t>
      </w:r>
      <w:r w:rsidR="001923A5">
        <w:t xml:space="preserve"> </w:t>
      </w:r>
    </w:p>
    <w:p w14:paraId="5CEA4DBC" w14:textId="77777777" w:rsidR="006D0B18" w:rsidRPr="00F643C7" w:rsidRDefault="006D0B18" w:rsidP="00FE785B">
      <w:pPr>
        <w:jc w:val="both"/>
      </w:pPr>
    </w:p>
    <w:p w14:paraId="23B514A4" w14:textId="77777777" w:rsidR="0008265A" w:rsidRDefault="0008265A" w:rsidP="0008265A">
      <w:pPr>
        <w:jc w:val="both"/>
      </w:pPr>
      <w:r w:rsidRPr="0008265A">
        <w:t xml:space="preserve">Other known causes of </w:t>
      </w:r>
      <w:r>
        <w:t xml:space="preserve">threatened or </w:t>
      </w:r>
      <w:r w:rsidRPr="0008265A">
        <w:t xml:space="preserve">recurrent miscarriage should be ruled out before initiating treatment in women with </w:t>
      </w:r>
      <w:r>
        <w:t xml:space="preserve">threatened or </w:t>
      </w:r>
      <w:r w:rsidRPr="0008265A">
        <w:t xml:space="preserve">recurrent miscarriage. </w:t>
      </w:r>
    </w:p>
    <w:p w14:paraId="74E5AE44" w14:textId="77777777" w:rsidR="00EB74EF" w:rsidRDefault="00EB74EF" w:rsidP="0008265A">
      <w:pPr>
        <w:jc w:val="both"/>
      </w:pPr>
    </w:p>
    <w:p w14:paraId="2A5B6CFA" w14:textId="77777777" w:rsidR="00FE785B" w:rsidRDefault="00FE785B" w:rsidP="00FE785B">
      <w:pPr>
        <w:jc w:val="both"/>
      </w:pPr>
      <w:proofErr w:type="spellStart"/>
      <w:r w:rsidRPr="004D1E67">
        <w:t>Utrogestan</w:t>
      </w:r>
      <w:proofErr w:type="spellEnd"/>
      <w:r w:rsidRPr="004D1E67">
        <w:t xml:space="preserve"> contains soya lecithin </w:t>
      </w:r>
      <w:r>
        <w:t>which</w:t>
      </w:r>
      <w:r w:rsidRPr="004D1E67">
        <w:t xml:space="preserve"> may cause hypersensitivity reactions (urticaria and anaphylactic shock).</w:t>
      </w:r>
    </w:p>
    <w:p w14:paraId="1070797B" w14:textId="77777777" w:rsidR="004B4168" w:rsidRDefault="004B4168" w:rsidP="004B4168">
      <w:pPr>
        <w:widowControl w:val="0"/>
        <w:autoSpaceDE w:val="0"/>
        <w:autoSpaceDN w:val="0"/>
        <w:adjustRightInd w:val="0"/>
        <w:ind w:left="120" w:right="3124" w:hanging="120"/>
        <w:jc w:val="both"/>
        <w:rPr>
          <w:rFonts w:cs="Calibri"/>
          <w:b/>
          <w:bCs/>
        </w:rPr>
      </w:pPr>
    </w:p>
    <w:p w14:paraId="45F1222C" w14:textId="77777777" w:rsidR="004B4168" w:rsidRPr="007520FE" w:rsidRDefault="004B4168" w:rsidP="004B4168">
      <w:pPr>
        <w:autoSpaceDE w:val="0"/>
        <w:autoSpaceDN w:val="0"/>
        <w:adjustRightInd w:val="0"/>
        <w:rPr>
          <w:b/>
        </w:rPr>
      </w:pPr>
      <w:r w:rsidRPr="007520FE">
        <w:rPr>
          <w:b/>
        </w:rPr>
        <w:t>Use in the Elderly</w:t>
      </w:r>
    </w:p>
    <w:p w14:paraId="4EB8DE8E" w14:textId="77777777" w:rsidR="004B4168" w:rsidRDefault="001F4A8C" w:rsidP="004B4168">
      <w:pPr>
        <w:autoSpaceDE w:val="0"/>
        <w:autoSpaceDN w:val="0"/>
        <w:adjustRightInd w:val="0"/>
      </w:pPr>
      <w:r>
        <w:t>No data available</w:t>
      </w:r>
      <w:r w:rsidR="004B4168">
        <w:t>.</w:t>
      </w:r>
    </w:p>
    <w:p w14:paraId="253ECEFF" w14:textId="77777777" w:rsidR="00240488" w:rsidRDefault="00240488" w:rsidP="001F4A8C">
      <w:pPr>
        <w:widowControl w:val="0"/>
        <w:autoSpaceDE w:val="0"/>
        <w:autoSpaceDN w:val="0"/>
        <w:adjustRightInd w:val="0"/>
        <w:ind w:left="120" w:right="3124" w:hanging="120"/>
        <w:jc w:val="both"/>
        <w:rPr>
          <w:rFonts w:cs="Calibri"/>
          <w:b/>
          <w:bCs/>
        </w:rPr>
      </w:pPr>
    </w:p>
    <w:p w14:paraId="7597C534" w14:textId="77777777" w:rsidR="001F4A8C" w:rsidRPr="007520FE" w:rsidRDefault="001F4A8C" w:rsidP="000167B9">
      <w:pPr>
        <w:widowControl w:val="0"/>
        <w:autoSpaceDE w:val="0"/>
        <w:autoSpaceDN w:val="0"/>
        <w:adjustRightInd w:val="0"/>
        <w:ind w:left="120" w:right="3124" w:hanging="120"/>
        <w:jc w:val="both"/>
        <w:rPr>
          <w:rFonts w:cs="Calibri"/>
          <w:b/>
          <w:bCs/>
        </w:rPr>
      </w:pPr>
      <w:r>
        <w:rPr>
          <w:rFonts w:cs="Calibri"/>
          <w:b/>
          <w:bCs/>
        </w:rPr>
        <w:t>Pa</w:t>
      </w:r>
      <w:r w:rsidRPr="00F2276A">
        <w:rPr>
          <w:rFonts w:cs="Calibri"/>
          <w:b/>
          <w:bCs/>
        </w:rPr>
        <w:t>ediatric</w:t>
      </w:r>
      <w:r>
        <w:rPr>
          <w:rFonts w:cs="Calibri"/>
          <w:b/>
          <w:bCs/>
        </w:rPr>
        <w:t xml:space="preserve"> Use </w:t>
      </w:r>
    </w:p>
    <w:p w14:paraId="5A756169" w14:textId="77777777" w:rsidR="001F4A8C" w:rsidRDefault="001F4A8C" w:rsidP="00E61F0F">
      <w:pPr>
        <w:autoSpaceDE w:val="0"/>
        <w:autoSpaceDN w:val="0"/>
        <w:adjustRightInd w:val="0"/>
        <w:jc w:val="both"/>
      </w:pPr>
      <w:r>
        <w:t xml:space="preserve">There is no experience in children as there is no relevant indication for use of </w:t>
      </w:r>
      <w:proofErr w:type="spellStart"/>
      <w:r>
        <w:t>Utrogestan</w:t>
      </w:r>
      <w:proofErr w:type="spellEnd"/>
      <w:r>
        <w:t xml:space="preserve"> in children</w:t>
      </w:r>
      <w:r w:rsidR="00F831E1">
        <w:t xml:space="preserve">. </w:t>
      </w:r>
      <w:r w:rsidR="00FD0BBA">
        <w:t xml:space="preserve"> </w:t>
      </w:r>
      <w:proofErr w:type="spellStart"/>
      <w:r w:rsidR="00F831E1">
        <w:t>Utrogestan</w:t>
      </w:r>
      <w:proofErr w:type="spellEnd"/>
      <w:r w:rsidR="00F831E1">
        <w:t xml:space="preserve"> has not been evaluated in adolescents with child-bearing potential.</w:t>
      </w:r>
    </w:p>
    <w:p w14:paraId="6426ED5B" w14:textId="77777777" w:rsidR="004B4168" w:rsidRDefault="004B4168" w:rsidP="000167B9">
      <w:pPr>
        <w:jc w:val="both"/>
        <w:rPr>
          <w:b/>
        </w:rPr>
      </w:pPr>
    </w:p>
    <w:p w14:paraId="446CB1B2" w14:textId="77777777" w:rsidR="004B4168" w:rsidRDefault="004B4168" w:rsidP="000167B9">
      <w:pPr>
        <w:jc w:val="both"/>
        <w:rPr>
          <w:b/>
        </w:rPr>
      </w:pPr>
      <w:r>
        <w:rPr>
          <w:b/>
        </w:rPr>
        <w:t>Effect on laboratory tests</w:t>
      </w:r>
    </w:p>
    <w:p w14:paraId="18E9DA40" w14:textId="77777777" w:rsidR="00FE785B" w:rsidRDefault="004B4168" w:rsidP="000167B9">
      <w:pPr>
        <w:jc w:val="both"/>
      </w:pPr>
      <w:proofErr w:type="spellStart"/>
      <w:r w:rsidRPr="00F608CC">
        <w:t>Utrogestan</w:t>
      </w:r>
      <w:proofErr w:type="spellEnd"/>
      <w:r w:rsidRPr="00F608CC">
        <w:t xml:space="preserve"> may affect the results of laboratory tests of hepatic</w:t>
      </w:r>
      <w:r>
        <w:t xml:space="preserve"> </w:t>
      </w:r>
      <w:r w:rsidRPr="00F608CC">
        <w:t>and/or endocrine functions</w:t>
      </w:r>
      <w:r w:rsidR="00EB1E9C">
        <w:t>.</w:t>
      </w:r>
    </w:p>
    <w:p w14:paraId="5E6681E5" w14:textId="77777777" w:rsidR="004B4168" w:rsidRDefault="004B4168" w:rsidP="004B4168">
      <w:pPr>
        <w:jc w:val="both"/>
      </w:pPr>
    </w:p>
    <w:p w14:paraId="1D921452" w14:textId="77777777" w:rsidR="007475A2" w:rsidRPr="002E0E36" w:rsidRDefault="004B4168" w:rsidP="002E0E36">
      <w:pPr>
        <w:pStyle w:val="Heading1"/>
        <w:widowControl w:val="0"/>
        <w:numPr>
          <w:ilvl w:val="1"/>
          <w:numId w:val="15"/>
        </w:numPr>
        <w:autoSpaceDE w:val="0"/>
        <w:autoSpaceDN w:val="0"/>
        <w:adjustRightInd w:val="0"/>
        <w:spacing w:before="0"/>
        <w:ind w:left="0" w:firstLine="0"/>
        <w:jc w:val="both"/>
        <w:rPr>
          <w:bCs w:val="0"/>
          <w:kern w:val="0"/>
          <w:sz w:val="24"/>
          <w:szCs w:val="24"/>
        </w:rPr>
      </w:pPr>
      <w:r w:rsidRPr="002E0E36">
        <w:rPr>
          <w:bCs w:val="0"/>
          <w:kern w:val="0"/>
          <w:sz w:val="24"/>
          <w:szCs w:val="24"/>
        </w:rPr>
        <w:t>INTERACTIONS WITH OTHER MEDICINES AND OTHER FORMS OF INTERACTION</w:t>
      </w:r>
    </w:p>
    <w:p w14:paraId="0822575F" w14:textId="77777777" w:rsidR="003A421E" w:rsidRDefault="003A421E" w:rsidP="005E6CE6">
      <w:pPr>
        <w:jc w:val="both"/>
        <w:rPr>
          <w:b/>
        </w:rPr>
      </w:pPr>
    </w:p>
    <w:p w14:paraId="287E993A" w14:textId="77777777" w:rsidR="003A421E" w:rsidRDefault="003A421E" w:rsidP="00975996">
      <w:pPr>
        <w:widowControl w:val="0"/>
        <w:jc w:val="both"/>
      </w:pPr>
      <w:r w:rsidRPr="007C5E83">
        <w:t xml:space="preserve">Progesterone is metabolised primarily by the liver. </w:t>
      </w:r>
      <w:r>
        <w:t>Caution should be taken with drugs that are P450 enzyme inducers and inhibitors.</w:t>
      </w:r>
    </w:p>
    <w:p w14:paraId="1BC90503" w14:textId="77777777" w:rsidR="003A421E" w:rsidRDefault="003A421E" w:rsidP="003A421E">
      <w:pPr>
        <w:jc w:val="both"/>
      </w:pPr>
    </w:p>
    <w:p w14:paraId="09D20DBF" w14:textId="77777777" w:rsidR="003A421E" w:rsidRDefault="003A421E" w:rsidP="003A421E">
      <w:pPr>
        <w:jc w:val="both"/>
      </w:pPr>
      <w:r w:rsidRPr="00F608CC">
        <w:t xml:space="preserve">Metabolism of </w:t>
      </w:r>
      <w:proofErr w:type="spellStart"/>
      <w:r>
        <w:t>Utrogestan</w:t>
      </w:r>
      <w:proofErr w:type="spellEnd"/>
      <w:r>
        <w:t xml:space="preserve"> </w:t>
      </w:r>
      <w:r w:rsidRPr="00F608CC">
        <w:t>is accelerated by rifamycin an antibacterial agent.</w:t>
      </w:r>
    </w:p>
    <w:p w14:paraId="5A662111" w14:textId="77777777" w:rsidR="003A421E" w:rsidRPr="00F608CC" w:rsidRDefault="003A421E" w:rsidP="003A421E">
      <w:pPr>
        <w:jc w:val="both"/>
      </w:pPr>
    </w:p>
    <w:p w14:paraId="1B0F6A5C" w14:textId="77777777" w:rsidR="003A421E" w:rsidRPr="00F608CC" w:rsidRDefault="003A421E" w:rsidP="003A421E">
      <w:pPr>
        <w:jc w:val="both"/>
      </w:pPr>
      <w:r w:rsidRPr="00F608CC">
        <w:t>The metabolism of progesterone by human liver microsomes was inhibited by ketoconazole (IC</w:t>
      </w:r>
      <w:r w:rsidRPr="002906BB">
        <w:rPr>
          <w:vertAlign w:val="subscript"/>
        </w:rPr>
        <w:t>50</w:t>
      </w:r>
      <w:r w:rsidRPr="00F608CC">
        <w:t>&lt;0.1</w:t>
      </w:r>
      <w:r>
        <w:t> </w:t>
      </w:r>
      <w:r w:rsidRPr="00F608CC">
        <w:t>µM</w:t>
      </w:r>
      <w:r>
        <w:t xml:space="preserve">), </w:t>
      </w:r>
      <w:r w:rsidRPr="00F608CC">
        <w:t xml:space="preserve">a known inhibitor of cytochrome P450 3A4. These data therefore suggest that ketoconazole may increase the bioavailability of progesterone. The clinical relevance of the </w:t>
      </w:r>
      <w:r w:rsidRPr="00C329C1">
        <w:rPr>
          <w:i/>
        </w:rPr>
        <w:t>in vitro</w:t>
      </w:r>
      <w:r w:rsidRPr="00F608CC">
        <w:t xml:space="preserve"> findings is unknown. </w:t>
      </w:r>
    </w:p>
    <w:p w14:paraId="39701574" w14:textId="77777777" w:rsidR="003A421E" w:rsidRDefault="003A421E" w:rsidP="009E1740">
      <w:pPr>
        <w:widowControl w:val="0"/>
        <w:rPr>
          <w:rFonts w:ascii="Arial" w:hAnsi="Arial" w:cs="Arial"/>
          <w:b/>
          <w:bCs/>
          <w:color w:val="000000"/>
          <w:sz w:val="18"/>
          <w:szCs w:val="18"/>
          <w:lang w:val="en-AU" w:eastAsia="en-AU"/>
        </w:rPr>
      </w:pPr>
      <w:r>
        <w:rPr>
          <w:rFonts w:ascii="Arial" w:hAnsi="Arial" w:cs="Arial"/>
          <w:b/>
          <w:bCs/>
          <w:color w:val="000000"/>
          <w:sz w:val="18"/>
          <w:szCs w:val="18"/>
          <w:lang w:val="en-AU" w:eastAsia="en-AU"/>
        </w:rPr>
        <w:t xml:space="preserve"> </w:t>
      </w:r>
    </w:p>
    <w:p w14:paraId="1BF3C84D" w14:textId="77777777" w:rsidR="003A421E" w:rsidRPr="004222AC" w:rsidRDefault="003A421E" w:rsidP="009E1740">
      <w:pPr>
        <w:widowControl w:val="0"/>
        <w:jc w:val="both"/>
      </w:pPr>
      <w:r w:rsidRPr="004222AC">
        <w:t xml:space="preserve">Combination with other medicinal products may decrease progesterone metabolism which may alter its effect. </w:t>
      </w:r>
    </w:p>
    <w:p w14:paraId="7257FE8C" w14:textId="77777777" w:rsidR="003A421E" w:rsidRPr="004222AC" w:rsidRDefault="003A421E" w:rsidP="003A421E">
      <w:pPr>
        <w:jc w:val="both"/>
      </w:pPr>
    </w:p>
    <w:p w14:paraId="34CD3320" w14:textId="77777777" w:rsidR="003A421E" w:rsidRPr="004222AC" w:rsidRDefault="003A421E" w:rsidP="003A421E">
      <w:pPr>
        <w:jc w:val="both"/>
      </w:pPr>
      <w:r w:rsidRPr="004222AC">
        <w:t>This applies to:</w:t>
      </w:r>
    </w:p>
    <w:p w14:paraId="3F2F2C9D" w14:textId="77777777" w:rsidR="003A421E" w:rsidRPr="004222AC" w:rsidRDefault="003A421E" w:rsidP="003A421E">
      <w:pPr>
        <w:pStyle w:val="BodyTextIndent"/>
        <w:numPr>
          <w:ilvl w:val="0"/>
          <w:numId w:val="6"/>
        </w:numPr>
      </w:pPr>
      <w:r w:rsidRPr="004222AC">
        <w:t>potent enzyme inducers such as barbiturates, antiepileptics (phenytoin), rifampicin, phenylbutazone, spironolactone and griseofulvin. These medicinal products increase hepatic metabolism.</w:t>
      </w:r>
    </w:p>
    <w:p w14:paraId="0FCF62A6" w14:textId="77777777" w:rsidR="003A421E" w:rsidRPr="004222AC" w:rsidRDefault="003A421E" w:rsidP="003A421E">
      <w:pPr>
        <w:ind w:left="720" w:hanging="360"/>
        <w:jc w:val="both"/>
      </w:pPr>
      <w:r w:rsidRPr="004222AC">
        <w:t>-</w:t>
      </w:r>
      <w:r w:rsidRPr="004222AC">
        <w:tab/>
        <w:t>some antibiotics (ampicillins, tetracyclines): changes in the intestinal flora leading to a change in the steroid enterohepatic cycle.</w:t>
      </w:r>
    </w:p>
    <w:p w14:paraId="22082517" w14:textId="77777777" w:rsidR="003A421E" w:rsidRPr="004222AC" w:rsidRDefault="003A421E" w:rsidP="003A421E">
      <w:pPr>
        <w:pStyle w:val="BodyText"/>
      </w:pPr>
    </w:p>
    <w:p w14:paraId="2D83B255" w14:textId="77777777" w:rsidR="003A421E" w:rsidRDefault="003A421E" w:rsidP="003A421E">
      <w:pPr>
        <w:jc w:val="both"/>
      </w:pPr>
      <w:proofErr w:type="spellStart"/>
      <w:r>
        <w:t>Utrogestan</w:t>
      </w:r>
      <w:proofErr w:type="spellEnd"/>
      <w:r>
        <w:t xml:space="preserve"> </w:t>
      </w:r>
      <w:r w:rsidRPr="00F608CC">
        <w:t>may interfere with the effects of bromocriptine and may raise the plasma</w:t>
      </w:r>
      <w:r>
        <w:t xml:space="preserve"> </w:t>
      </w:r>
      <w:r w:rsidRPr="00F608CC">
        <w:t>concentration of c</w:t>
      </w:r>
      <w:r>
        <w:t>y</w:t>
      </w:r>
      <w:r w:rsidRPr="00F608CC">
        <w:t>closporin.</w:t>
      </w:r>
    </w:p>
    <w:p w14:paraId="305D2B97" w14:textId="77777777" w:rsidR="003A421E" w:rsidRDefault="003A421E" w:rsidP="003A421E">
      <w:pPr>
        <w:jc w:val="both"/>
      </w:pPr>
      <w:r w:rsidRPr="00F608CC">
        <w:t xml:space="preserve"> </w:t>
      </w:r>
    </w:p>
    <w:p w14:paraId="015E08FD" w14:textId="77777777" w:rsidR="003A421E" w:rsidRPr="004222AC" w:rsidRDefault="003A421E" w:rsidP="003A421E">
      <w:pPr>
        <w:pStyle w:val="BodyText"/>
        <w:rPr>
          <w:bCs/>
          <w:szCs w:val="22"/>
        </w:rPr>
      </w:pPr>
      <w:r w:rsidRPr="004222AC">
        <w:t>As these interactions may vary between people, the clinical results are not necessarily predictable.</w:t>
      </w:r>
    </w:p>
    <w:p w14:paraId="0F8B902E" w14:textId="77777777" w:rsidR="003A421E" w:rsidRPr="004222AC" w:rsidRDefault="003A421E" w:rsidP="003A421E">
      <w:pPr>
        <w:jc w:val="both"/>
      </w:pPr>
    </w:p>
    <w:p w14:paraId="7826E603" w14:textId="77777777" w:rsidR="003A421E" w:rsidRPr="004222AC" w:rsidRDefault="003A421E" w:rsidP="003A421E">
      <w:pPr>
        <w:jc w:val="both"/>
      </w:pPr>
      <w:r w:rsidRPr="004222AC">
        <w:t>Progestogens</w:t>
      </w:r>
      <w:r>
        <w:t xml:space="preserve">, but not natural progesterone </w:t>
      </w:r>
      <w:r w:rsidRPr="004222AC">
        <w:t>may impair glucose tolerance and, because of this, increase requirements for insulin or other antidiabetic agents in diabetic patients.</w:t>
      </w:r>
    </w:p>
    <w:p w14:paraId="0752FA5D" w14:textId="77777777" w:rsidR="003A421E" w:rsidRPr="004222AC" w:rsidRDefault="003A421E" w:rsidP="003A421E">
      <w:pPr>
        <w:jc w:val="both"/>
      </w:pPr>
    </w:p>
    <w:p w14:paraId="155B87FF" w14:textId="77777777" w:rsidR="003A421E" w:rsidRDefault="003A421E" w:rsidP="003A421E">
      <w:pPr>
        <w:jc w:val="both"/>
        <w:rPr>
          <w:bCs/>
          <w:szCs w:val="22"/>
        </w:rPr>
      </w:pPr>
      <w:r w:rsidRPr="004222AC">
        <w:t>The bioavailability of progesterone may be reduced by smoking and increased by alcohol abuse.</w:t>
      </w:r>
    </w:p>
    <w:p w14:paraId="737CFCAD" w14:textId="77777777" w:rsidR="005E6CE6" w:rsidRDefault="005E6CE6" w:rsidP="00043D74">
      <w:pPr>
        <w:pStyle w:val="Heading1"/>
        <w:pageBreakBefore/>
        <w:widowControl w:val="0"/>
        <w:numPr>
          <w:ilvl w:val="1"/>
          <w:numId w:val="15"/>
        </w:numPr>
        <w:autoSpaceDE w:val="0"/>
        <w:autoSpaceDN w:val="0"/>
        <w:adjustRightInd w:val="0"/>
        <w:ind w:left="119" w:right="3124" w:hanging="119"/>
        <w:jc w:val="both"/>
        <w:rPr>
          <w:rFonts w:cs="Calibri"/>
        </w:rPr>
      </w:pPr>
      <w:r w:rsidRPr="002E0E36">
        <w:rPr>
          <w:bCs w:val="0"/>
          <w:kern w:val="0"/>
          <w:sz w:val="24"/>
          <w:szCs w:val="24"/>
        </w:rPr>
        <w:lastRenderedPageBreak/>
        <w:t>F</w:t>
      </w:r>
      <w:r w:rsidRPr="002E0E36">
        <w:rPr>
          <w:kern w:val="0"/>
          <w:sz w:val="24"/>
          <w:szCs w:val="24"/>
        </w:rPr>
        <w:t>ERTILITY, PREGNANCY AND LACTATION</w:t>
      </w:r>
    </w:p>
    <w:p w14:paraId="1CF67E26" w14:textId="77777777" w:rsidR="00FE785B" w:rsidRPr="005E6CE6" w:rsidRDefault="00FE785B" w:rsidP="00E61F0F">
      <w:pPr>
        <w:widowControl w:val="0"/>
        <w:autoSpaceDE w:val="0"/>
        <w:autoSpaceDN w:val="0"/>
        <w:adjustRightInd w:val="0"/>
        <w:ind w:left="120" w:right="3124" w:hanging="120"/>
        <w:jc w:val="both"/>
        <w:rPr>
          <w:rFonts w:cs="Calibri"/>
          <w:b/>
          <w:bCs/>
        </w:rPr>
      </w:pPr>
      <w:r w:rsidRPr="005E6CE6">
        <w:rPr>
          <w:rFonts w:cs="Calibri"/>
          <w:b/>
          <w:bCs/>
        </w:rPr>
        <w:t xml:space="preserve">Effects on </w:t>
      </w:r>
      <w:r w:rsidR="00544DBF">
        <w:rPr>
          <w:rFonts w:cs="Calibri"/>
          <w:b/>
          <w:bCs/>
        </w:rPr>
        <w:t>F</w:t>
      </w:r>
      <w:r w:rsidR="00544DBF" w:rsidRPr="005E6CE6">
        <w:rPr>
          <w:rFonts w:cs="Calibri"/>
          <w:b/>
          <w:bCs/>
        </w:rPr>
        <w:t xml:space="preserve">ertility </w:t>
      </w:r>
    </w:p>
    <w:p w14:paraId="375230AD" w14:textId="77777777" w:rsidR="00FE785B" w:rsidRPr="002906BB" w:rsidRDefault="00FE785B" w:rsidP="00E61F0F">
      <w:pPr>
        <w:pStyle w:val="NormalWeb"/>
        <w:widowControl w:val="0"/>
        <w:shd w:val="clear" w:color="auto" w:fill="FFFFFF"/>
        <w:spacing w:before="0" w:beforeAutospacing="0" w:after="240" w:afterAutospacing="0" w:line="261" w:lineRule="atLeast"/>
        <w:jc w:val="both"/>
        <w:rPr>
          <w:lang w:val="en-GB" w:eastAsia="en-GB"/>
        </w:rPr>
      </w:pPr>
      <w:r w:rsidRPr="002906BB">
        <w:rPr>
          <w:lang w:val="en-GB" w:eastAsia="en-GB"/>
        </w:rPr>
        <w:t xml:space="preserve">Exogenously administered progesterone has been shown to inhibit ovulation in </w:t>
      </w:r>
      <w:proofErr w:type="gramStart"/>
      <w:r w:rsidRPr="002906BB">
        <w:rPr>
          <w:lang w:val="en-GB" w:eastAsia="en-GB"/>
        </w:rPr>
        <w:t>a number of</w:t>
      </w:r>
      <w:proofErr w:type="gramEnd"/>
      <w:r w:rsidRPr="002906BB">
        <w:rPr>
          <w:lang w:val="en-GB" w:eastAsia="en-GB"/>
        </w:rPr>
        <w:t xml:space="preserve"> species and it is expected that high doses given for an extended duration would impair fertility until the cessation of treatment.</w:t>
      </w:r>
    </w:p>
    <w:p w14:paraId="67223184" w14:textId="77777777" w:rsidR="00FE785B" w:rsidRPr="009D376E" w:rsidRDefault="00FE785B" w:rsidP="000167B9">
      <w:pPr>
        <w:widowControl w:val="0"/>
        <w:autoSpaceDE w:val="0"/>
        <w:autoSpaceDN w:val="0"/>
        <w:adjustRightInd w:val="0"/>
        <w:ind w:left="120" w:hanging="120"/>
        <w:jc w:val="both"/>
        <w:rPr>
          <w:rFonts w:cs="Calibri"/>
        </w:rPr>
      </w:pPr>
      <w:r w:rsidRPr="005776DF">
        <w:rPr>
          <w:rFonts w:cs="Calibri"/>
          <w:b/>
          <w:bCs/>
        </w:rPr>
        <w:t>Use in</w:t>
      </w:r>
      <w:r w:rsidRPr="005776DF">
        <w:rPr>
          <w:rFonts w:cs="Calibri"/>
          <w:b/>
          <w:bCs/>
          <w:spacing w:val="-1"/>
        </w:rPr>
        <w:t xml:space="preserve"> </w:t>
      </w:r>
      <w:r w:rsidRPr="005776DF">
        <w:rPr>
          <w:rFonts w:cs="Calibri"/>
          <w:b/>
          <w:bCs/>
        </w:rPr>
        <w:t>Pregnancy</w:t>
      </w:r>
      <w:r>
        <w:rPr>
          <w:rFonts w:cs="Calibri"/>
          <w:b/>
          <w:bCs/>
        </w:rPr>
        <w:t xml:space="preserve"> (</w:t>
      </w:r>
      <w:r w:rsidRPr="005776DF">
        <w:rPr>
          <w:rFonts w:cs="Calibri"/>
          <w:b/>
          <w:bCs/>
        </w:rPr>
        <w:t>Cat</w:t>
      </w:r>
      <w:r w:rsidRPr="005776DF">
        <w:rPr>
          <w:rFonts w:cs="Calibri"/>
          <w:b/>
          <w:bCs/>
          <w:spacing w:val="-1"/>
        </w:rPr>
        <w:t>e</w:t>
      </w:r>
      <w:r w:rsidRPr="005776DF">
        <w:rPr>
          <w:rFonts w:cs="Calibri"/>
          <w:b/>
          <w:bCs/>
        </w:rPr>
        <w:t>go</w:t>
      </w:r>
      <w:r w:rsidRPr="005776DF">
        <w:rPr>
          <w:rFonts w:cs="Calibri"/>
          <w:b/>
          <w:bCs/>
          <w:spacing w:val="-1"/>
        </w:rPr>
        <w:t>r</w:t>
      </w:r>
      <w:r w:rsidRPr="005776DF">
        <w:rPr>
          <w:rFonts w:cs="Calibri"/>
          <w:b/>
          <w:bCs/>
        </w:rPr>
        <w:t xml:space="preserve">y </w:t>
      </w:r>
      <w:r>
        <w:rPr>
          <w:rFonts w:cs="Calibri"/>
          <w:b/>
          <w:bCs/>
          <w:spacing w:val="-2"/>
        </w:rPr>
        <w:t>A</w:t>
      </w:r>
      <w:r>
        <w:rPr>
          <w:rFonts w:cs="Calibri"/>
          <w:b/>
          <w:bCs/>
        </w:rPr>
        <w:t>)</w:t>
      </w:r>
    </w:p>
    <w:p w14:paraId="25D27889" w14:textId="77777777" w:rsidR="00FE785B" w:rsidRDefault="00FE785B" w:rsidP="000167B9">
      <w:pPr>
        <w:widowControl w:val="0"/>
        <w:autoSpaceDE w:val="0"/>
        <w:autoSpaceDN w:val="0"/>
        <w:adjustRightInd w:val="0"/>
        <w:spacing w:before="55"/>
        <w:jc w:val="both"/>
        <w:rPr>
          <w:rFonts w:cs="Calibri"/>
          <w:spacing w:val="-4"/>
          <w:w w:val="105"/>
          <w:lang w:val="en-AU"/>
        </w:rPr>
      </w:pPr>
      <w:r w:rsidRPr="00F54B69">
        <w:rPr>
          <w:rFonts w:cs="Calibri"/>
          <w:spacing w:val="-4"/>
          <w:w w:val="105"/>
          <w:lang w:val="en-AU"/>
        </w:rPr>
        <w:t xml:space="preserve">Progesterone crosses the placenta. No association has been found between the maternal use of progesterone in early pregnancy and </w:t>
      </w:r>
      <w:proofErr w:type="spellStart"/>
      <w:r w:rsidRPr="00F54B69">
        <w:rPr>
          <w:rFonts w:cs="Calibri"/>
          <w:spacing w:val="-4"/>
          <w:w w:val="105"/>
          <w:lang w:val="en-AU"/>
        </w:rPr>
        <w:t>fetal</w:t>
      </w:r>
      <w:proofErr w:type="spellEnd"/>
      <w:r w:rsidRPr="00F54B69">
        <w:rPr>
          <w:rFonts w:cs="Calibri"/>
          <w:spacing w:val="-4"/>
          <w:w w:val="105"/>
          <w:lang w:val="en-AU"/>
        </w:rPr>
        <w:t xml:space="preserve"> malformations. Data on the risk of </w:t>
      </w:r>
      <w:proofErr w:type="spellStart"/>
      <w:r w:rsidRPr="00F54B69">
        <w:rPr>
          <w:rFonts w:cs="Calibri"/>
          <w:spacing w:val="-4"/>
          <w:w w:val="105"/>
          <w:lang w:val="en-AU"/>
        </w:rPr>
        <w:t>fetal</w:t>
      </w:r>
      <w:proofErr w:type="spellEnd"/>
      <w:r w:rsidRPr="00F54B69">
        <w:rPr>
          <w:rFonts w:cs="Calibri"/>
          <w:spacing w:val="-4"/>
          <w:w w:val="105"/>
          <w:lang w:val="en-AU"/>
        </w:rPr>
        <w:t xml:space="preserve"> effects with exposure in later stages of pregnancy are limited. Male and female genital abnormalities (hypospadias and virilisation) have been observed in </w:t>
      </w:r>
      <w:proofErr w:type="spellStart"/>
      <w:r w:rsidRPr="00F54B69">
        <w:rPr>
          <w:rFonts w:cs="Calibri"/>
          <w:spacing w:val="-4"/>
          <w:w w:val="105"/>
          <w:lang w:val="en-AU"/>
        </w:rPr>
        <w:t>fetuses</w:t>
      </w:r>
      <w:proofErr w:type="spellEnd"/>
      <w:r w:rsidRPr="00F54B69">
        <w:rPr>
          <w:rFonts w:cs="Calibri"/>
          <w:spacing w:val="-4"/>
          <w:w w:val="105"/>
          <w:lang w:val="en-AU"/>
        </w:rPr>
        <w:t xml:space="preserve"> of animals treated with progesterone during gestation.</w:t>
      </w:r>
    </w:p>
    <w:p w14:paraId="1666E29C" w14:textId="77777777" w:rsidR="00FE785B" w:rsidRDefault="00FE785B" w:rsidP="000167B9">
      <w:pPr>
        <w:widowControl w:val="0"/>
        <w:autoSpaceDE w:val="0"/>
        <w:autoSpaceDN w:val="0"/>
        <w:adjustRightInd w:val="0"/>
        <w:ind w:left="120" w:hanging="120"/>
        <w:jc w:val="both"/>
        <w:rPr>
          <w:rFonts w:cs="Calibri"/>
          <w:b/>
          <w:bCs/>
        </w:rPr>
      </w:pPr>
    </w:p>
    <w:p w14:paraId="04102F0D" w14:textId="77777777" w:rsidR="00FE785B" w:rsidRPr="007520FE" w:rsidRDefault="00FE785B" w:rsidP="000167B9">
      <w:pPr>
        <w:widowControl w:val="0"/>
        <w:autoSpaceDE w:val="0"/>
        <w:autoSpaceDN w:val="0"/>
        <w:adjustRightInd w:val="0"/>
        <w:ind w:left="120" w:hanging="120"/>
        <w:jc w:val="both"/>
        <w:rPr>
          <w:rFonts w:cs="Calibri"/>
          <w:b/>
          <w:bCs/>
        </w:rPr>
      </w:pPr>
      <w:r w:rsidRPr="007520FE">
        <w:rPr>
          <w:rFonts w:cs="Calibri"/>
          <w:b/>
          <w:bCs/>
        </w:rPr>
        <w:t>Use in Lactation</w:t>
      </w:r>
    </w:p>
    <w:p w14:paraId="7BE9B7EC" w14:textId="77777777" w:rsidR="00FE785B" w:rsidRDefault="00FE785B" w:rsidP="000167B9">
      <w:pPr>
        <w:pStyle w:val="NormalWeb"/>
        <w:shd w:val="clear" w:color="auto" w:fill="FFFFFF"/>
        <w:spacing w:before="0" w:beforeAutospacing="0" w:after="240" w:afterAutospacing="0" w:line="261" w:lineRule="atLeast"/>
        <w:jc w:val="both"/>
        <w:rPr>
          <w:lang w:val="en-GB" w:eastAsia="en-GB"/>
        </w:rPr>
      </w:pPr>
      <w:r w:rsidRPr="007520FE">
        <w:rPr>
          <w:lang w:val="en-GB" w:eastAsia="en-GB"/>
        </w:rPr>
        <w:t>Detectable amounts of progesterone enter the breast milk. There</w:t>
      </w:r>
      <w:r>
        <w:rPr>
          <w:lang w:val="en-GB" w:eastAsia="en-GB"/>
        </w:rPr>
        <w:t>fore</w:t>
      </w:r>
      <w:r w:rsidR="001923A5">
        <w:rPr>
          <w:lang w:val="en-GB" w:eastAsia="en-GB"/>
        </w:rPr>
        <w:t>,</w:t>
      </w:r>
      <w:r>
        <w:rPr>
          <w:lang w:val="en-GB" w:eastAsia="en-GB"/>
        </w:rPr>
        <w:t xml:space="preserve"> </w:t>
      </w:r>
      <w:proofErr w:type="spellStart"/>
      <w:r w:rsidRPr="007520FE">
        <w:rPr>
          <w:lang w:val="en-GB" w:eastAsia="en-GB"/>
        </w:rPr>
        <w:t>Utrogestan</w:t>
      </w:r>
      <w:proofErr w:type="spellEnd"/>
      <w:r w:rsidRPr="007520FE">
        <w:rPr>
          <w:lang w:val="en-GB" w:eastAsia="en-GB"/>
        </w:rPr>
        <w:t xml:space="preserve"> </w:t>
      </w:r>
      <w:r>
        <w:rPr>
          <w:lang w:val="en-GB" w:eastAsia="en-GB"/>
        </w:rPr>
        <w:t xml:space="preserve">should not be used </w:t>
      </w:r>
      <w:r w:rsidRPr="007520FE">
        <w:rPr>
          <w:lang w:val="en-GB" w:eastAsia="en-GB"/>
        </w:rPr>
        <w:t xml:space="preserve">during lactation. </w:t>
      </w:r>
    </w:p>
    <w:p w14:paraId="5041CD66" w14:textId="77777777" w:rsidR="00EE710A" w:rsidRPr="00692993" w:rsidRDefault="00EE710A" w:rsidP="00841A58">
      <w:pPr>
        <w:pStyle w:val="Heading1"/>
        <w:widowControl w:val="0"/>
        <w:numPr>
          <w:ilvl w:val="1"/>
          <w:numId w:val="15"/>
        </w:numPr>
        <w:autoSpaceDE w:val="0"/>
        <w:autoSpaceDN w:val="0"/>
        <w:adjustRightInd w:val="0"/>
        <w:spacing w:before="0"/>
        <w:ind w:left="120" w:right="2551" w:hanging="120"/>
        <w:jc w:val="both"/>
        <w:rPr>
          <w:kern w:val="0"/>
          <w:sz w:val="24"/>
          <w:szCs w:val="24"/>
        </w:rPr>
      </w:pPr>
      <w:r w:rsidRPr="00692993">
        <w:rPr>
          <w:kern w:val="0"/>
          <w:sz w:val="24"/>
          <w:szCs w:val="24"/>
        </w:rPr>
        <w:t xml:space="preserve">EFFECTS ON ABILITY TO DRIVE </w:t>
      </w:r>
      <w:r w:rsidR="00841A58">
        <w:rPr>
          <w:kern w:val="0"/>
          <w:sz w:val="24"/>
          <w:szCs w:val="24"/>
        </w:rPr>
        <w:t xml:space="preserve">AND </w:t>
      </w:r>
      <w:r w:rsidRPr="00692993">
        <w:rPr>
          <w:kern w:val="0"/>
          <w:sz w:val="24"/>
          <w:szCs w:val="24"/>
        </w:rPr>
        <w:t>USE MAC</w:t>
      </w:r>
      <w:r>
        <w:rPr>
          <w:kern w:val="0"/>
          <w:sz w:val="24"/>
          <w:szCs w:val="24"/>
        </w:rPr>
        <w:t>H</w:t>
      </w:r>
      <w:r w:rsidRPr="00692993">
        <w:rPr>
          <w:kern w:val="0"/>
          <w:sz w:val="24"/>
          <w:szCs w:val="24"/>
        </w:rPr>
        <w:t>INES</w:t>
      </w:r>
    </w:p>
    <w:p w14:paraId="077194DB" w14:textId="77777777" w:rsidR="00EE710A" w:rsidRDefault="00EE710A" w:rsidP="00EE710A">
      <w:r>
        <w:t>Cases of drowsiness and dizzy sensations have been reported for the oral form.</w:t>
      </w:r>
    </w:p>
    <w:p w14:paraId="2B683E05" w14:textId="77777777" w:rsidR="00EE710A" w:rsidRDefault="00EE710A" w:rsidP="00C9518C">
      <w:pPr>
        <w:widowControl w:val="0"/>
        <w:spacing w:before="120"/>
        <w:jc w:val="both"/>
      </w:pPr>
      <w:r>
        <w:t xml:space="preserve">Drivers and machine </w:t>
      </w:r>
      <w:proofErr w:type="gramStart"/>
      <w:r>
        <w:t>operators in particular</w:t>
      </w:r>
      <w:r w:rsidR="00544DBF">
        <w:t>,</w:t>
      </w:r>
      <w:r>
        <w:t xml:space="preserve"> are</w:t>
      </w:r>
      <w:proofErr w:type="gramEnd"/>
      <w:r>
        <w:t xml:space="preserve"> alerted to the risks of drowsiness and/or dizziness associated with oral use of this medicinal product. These problems can be avoided by taking the capsules at bedtime.</w:t>
      </w:r>
    </w:p>
    <w:p w14:paraId="592022F3" w14:textId="77777777" w:rsidR="00EE710A" w:rsidRDefault="00EE710A" w:rsidP="00EE710A">
      <w:pPr>
        <w:ind w:left="375"/>
        <w:jc w:val="both"/>
        <w:rPr>
          <w:b/>
        </w:rPr>
      </w:pPr>
    </w:p>
    <w:p w14:paraId="40E9BC03" w14:textId="77777777" w:rsidR="00EE710A" w:rsidRPr="00692993" w:rsidRDefault="00EE710A" w:rsidP="002E0E36">
      <w:pPr>
        <w:pStyle w:val="Heading1"/>
        <w:widowControl w:val="0"/>
        <w:numPr>
          <w:ilvl w:val="1"/>
          <w:numId w:val="15"/>
        </w:numPr>
        <w:autoSpaceDE w:val="0"/>
        <w:autoSpaceDN w:val="0"/>
        <w:adjustRightInd w:val="0"/>
        <w:spacing w:before="0"/>
        <w:ind w:left="120" w:right="3124" w:hanging="120"/>
        <w:jc w:val="both"/>
        <w:rPr>
          <w:kern w:val="0"/>
          <w:sz w:val="24"/>
          <w:szCs w:val="24"/>
        </w:rPr>
      </w:pPr>
      <w:r w:rsidRPr="00692993">
        <w:rPr>
          <w:kern w:val="0"/>
          <w:sz w:val="24"/>
          <w:szCs w:val="24"/>
        </w:rPr>
        <w:t>ADVERSE EFFECTS (UNDESIRABLE EFFECT)</w:t>
      </w:r>
    </w:p>
    <w:p w14:paraId="61DEA2F8" w14:textId="77777777" w:rsidR="00EE710A" w:rsidRPr="00FC3F4A" w:rsidRDefault="00EE710A" w:rsidP="00EE710A">
      <w:pPr>
        <w:jc w:val="both"/>
      </w:pPr>
      <w:r>
        <w:t xml:space="preserve">No major local intolerance issues have been reported during the different clinical trials even if some </w:t>
      </w:r>
      <w:r w:rsidRPr="00FC3F4A">
        <w:t>burning, pruritus or fatty discharge</w:t>
      </w:r>
      <w:r>
        <w:t xml:space="preserve"> </w:t>
      </w:r>
      <w:r w:rsidRPr="00FC3F4A">
        <w:t>ha</w:t>
      </w:r>
      <w:r>
        <w:t>ve</w:t>
      </w:r>
      <w:r w:rsidRPr="00FC3F4A">
        <w:t xml:space="preserve"> been observed and</w:t>
      </w:r>
      <w:r>
        <w:t xml:space="preserve"> </w:t>
      </w:r>
      <w:r w:rsidRPr="00FC3F4A">
        <w:t>reported in the literature</w:t>
      </w:r>
      <w:r>
        <w:t>;</w:t>
      </w:r>
      <w:r w:rsidRPr="00FC3F4A">
        <w:t xml:space="preserve"> incidences were extremely low. </w:t>
      </w:r>
    </w:p>
    <w:p w14:paraId="351EE2CE" w14:textId="77777777" w:rsidR="0096401D" w:rsidRDefault="00EE710A" w:rsidP="00C9518C">
      <w:pPr>
        <w:spacing w:before="120"/>
        <w:jc w:val="both"/>
      </w:pPr>
      <w:r w:rsidRPr="00FC3F4A">
        <w:t>No systemic side effects, in particular somnolence or dizziness (observed with the oral form), have been reported</w:t>
      </w:r>
      <w:r>
        <w:t xml:space="preserve"> </w:t>
      </w:r>
      <w:r w:rsidRPr="00FC3F4A">
        <w:t>during clinical studies at the recommended dosages.</w:t>
      </w:r>
    </w:p>
    <w:p w14:paraId="7CEFC316" w14:textId="77777777" w:rsidR="00EE710A" w:rsidRPr="007E08BF" w:rsidRDefault="00F924D5" w:rsidP="00C9518C">
      <w:pPr>
        <w:spacing w:before="120"/>
        <w:jc w:val="both"/>
      </w:pPr>
      <w:r w:rsidRPr="007E08BF">
        <w:t xml:space="preserve">No </w:t>
      </w:r>
      <w:r w:rsidR="006E2A6D" w:rsidRPr="007E08BF">
        <w:t xml:space="preserve">significant </w:t>
      </w:r>
      <w:r w:rsidRPr="007E08BF">
        <w:t xml:space="preserve">safety </w:t>
      </w:r>
      <w:r w:rsidR="006E2A6D" w:rsidRPr="007E08BF">
        <w:t>concerns for the mother or for the foetus</w:t>
      </w:r>
      <w:r w:rsidRPr="007E08BF">
        <w:t xml:space="preserve"> were identified with </w:t>
      </w:r>
      <w:r w:rsidR="0096401D" w:rsidRPr="007E08BF">
        <w:t>vaginally</w:t>
      </w:r>
      <w:r w:rsidR="00544DBF">
        <w:t xml:space="preserve"> </w:t>
      </w:r>
      <w:r w:rsidR="0096401D" w:rsidRPr="007E08BF">
        <w:t xml:space="preserve">administered </w:t>
      </w:r>
      <w:proofErr w:type="spellStart"/>
      <w:r w:rsidR="0096401D" w:rsidRPr="007E08BF">
        <w:t>Utrogestan</w:t>
      </w:r>
      <w:proofErr w:type="spellEnd"/>
      <w:r w:rsidR="0096401D" w:rsidRPr="007E08BF">
        <w:t xml:space="preserve"> during pregnancy</w:t>
      </w:r>
      <w:r w:rsidR="006E2A6D" w:rsidRPr="007E08BF">
        <w:t>. M</w:t>
      </w:r>
      <w:r w:rsidR="002A70F3" w:rsidRPr="007E08BF">
        <w:t>aternal outcomes were unaffected</w:t>
      </w:r>
      <w:r w:rsidRPr="007E08BF">
        <w:t xml:space="preserve">. Treatment-related adverse effects were generally mild and transient, and the incidence was no greater than those reported for placebo or no treatment. </w:t>
      </w:r>
      <w:r w:rsidR="002A01F7" w:rsidRPr="007E08BF">
        <w:t>T</w:t>
      </w:r>
      <w:r w:rsidR="0096401D" w:rsidRPr="007E08BF">
        <w:t xml:space="preserve">he adverse effect profile was consistent with the established safety profile of </w:t>
      </w:r>
      <w:proofErr w:type="spellStart"/>
      <w:r w:rsidR="0096401D" w:rsidRPr="007E08BF">
        <w:t>Utrogestan</w:t>
      </w:r>
      <w:proofErr w:type="spellEnd"/>
      <w:r w:rsidR="0096401D" w:rsidRPr="007E08BF">
        <w:t xml:space="preserve"> for ART.</w:t>
      </w:r>
    </w:p>
    <w:p w14:paraId="151C236C" w14:textId="77777777" w:rsidR="00B751D4" w:rsidRDefault="006E2A6D" w:rsidP="00C9518C">
      <w:pPr>
        <w:spacing w:before="120"/>
        <w:jc w:val="both"/>
      </w:pPr>
      <w:r w:rsidRPr="007E08BF">
        <w:t xml:space="preserve">The beneficial effects of progesterone to prevent preterm birth in women with a short cervix and/or a history of preterm birth is expected to improve neonatal outcomes. </w:t>
      </w:r>
      <w:r w:rsidR="004B56B6" w:rsidRPr="007E08BF">
        <w:t xml:space="preserve">There is no </w:t>
      </w:r>
      <w:r w:rsidR="00F924D5" w:rsidRPr="007E08BF">
        <w:t>evidence</w:t>
      </w:r>
      <w:r w:rsidR="00185C7D">
        <w:t xml:space="preserve"> </w:t>
      </w:r>
      <w:r w:rsidR="004B56B6" w:rsidRPr="007E08BF">
        <w:t xml:space="preserve">that </w:t>
      </w:r>
      <w:proofErr w:type="spellStart"/>
      <w:r w:rsidR="00F924D5" w:rsidRPr="007E08BF">
        <w:t>fetal</w:t>
      </w:r>
      <w:proofErr w:type="spellEnd"/>
      <w:r w:rsidR="00F924D5" w:rsidRPr="007E08BF">
        <w:t xml:space="preserve"> progesterone exposure in the 2</w:t>
      </w:r>
      <w:r w:rsidR="00F924D5" w:rsidRPr="007E08BF">
        <w:rPr>
          <w:vertAlign w:val="superscript"/>
        </w:rPr>
        <w:t>nd</w:t>
      </w:r>
      <w:r w:rsidR="00F924D5" w:rsidRPr="007E08BF">
        <w:t xml:space="preserve"> and 3</w:t>
      </w:r>
      <w:r w:rsidR="00F924D5" w:rsidRPr="007E08BF">
        <w:rPr>
          <w:vertAlign w:val="superscript"/>
        </w:rPr>
        <w:t>rd</w:t>
      </w:r>
      <w:r w:rsidR="00F924D5" w:rsidRPr="007E08BF">
        <w:t xml:space="preserve"> trimester adversely affects childhood </w:t>
      </w:r>
      <w:r w:rsidR="002A70F3" w:rsidRPr="007E08BF">
        <w:t xml:space="preserve">neurodevelopmental </w:t>
      </w:r>
      <w:r w:rsidR="00F924D5" w:rsidRPr="007E08BF">
        <w:t>outcomes.</w:t>
      </w:r>
      <w:r w:rsidR="004B56B6" w:rsidRPr="007E08BF">
        <w:t xml:space="preserve"> </w:t>
      </w:r>
    </w:p>
    <w:p w14:paraId="7387A698" w14:textId="77777777" w:rsidR="00873E26" w:rsidRPr="00FC3F4A" w:rsidRDefault="00873E26" w:rsidP="00C9518C">
      <w:pPr>
        <w:spacing w:before="120"/>
        <w:jc w:val="both"/>
      </w:pPr>
      <w:r>
        <w:t>Consistent with the well-established safety profile of vaginally administered progesterone for support in the luteal phase and for support during pregnancy for women at risk of preterm birth, progesterone for the prevention of miscarriage does not appear to increase the risk of congenital malformations.  Incidence of adverse neonatal outcomes and serious maternal adverse events were low with no differences observed between progesterone and placebo groups during the 1</w:t>
      </w:r>
      <w:r w:rsidRPr="00873E26">
        <w:rPr>
          <w:vertAlign w:val="superscript"/>
        </w:rPr>
        <w:t>st</w:t>
      </w:r>
      <w:r>
        <w:t xml:space="preserve"> and 2</w:t>
      </w:r>
      <w:r w:rsidRPr="00873E26">
        <w:rPr>
          <w:vertAlign w:val="superscript"/>
        </w:rPr>
        <w:t>nd</w:t>
      </w:r>
      <w:r>
        <w:t xml:space="preserve"> </w:t>
      </w:r>
      <w:r>
        <w:lastRenderedPageBreak/>
        <w:t xml:space="preserve">trimester.  The adverse effect profile remains unchanged regardless of the </w:t>
      </w:r>
      <w:r w:rsidR="005A317F">
        <w:t xml:space="preserve">timing or duration of </w:t>
      </w:r>
      <w:r>
        <w:t>treatment during pregnancy with beneficial effects of progesterone expected to increase the number of live births in women with threatened miscarriage or a history of recurrent miscarriage.</w:t>
      </w:r>
    </w:p>
    <w:p w14:paraId="360F168C" w14:textId="77777777" w:rsidR="00EB74EF" w:rsidRPr="00975996" w:rsidRDefault="00EB74EF" w:rsidP="00EB74EF">
      <w:pPr>
        <w:pStyle w:val="Default"/>
        <w:rPr>
          <w:sz w:val="20"/>
          <w:szCs w:val="20"/>
        </w:rPr>
      </w:pPr>
    </w:p>
    <w:p w14:paraId="7BE0C01D" w14:textId="77777777" w:rsidR="00EB74EF" w:rsidRDefault="00EB74EF" w:rsidP="00EB74EF">
      <w:pPr>
        <w:pStyle w:val="Default"/>
        <w:rPr>
          <w:sz w:val="23"/>
          <w:szCs w:val="23"/>
        </w:rPr>
      </w:pPr>
      <w:r>
        <w:rPr>
          <w:sz w:val="23"/>
          <w:szCs w:val="23"/>
        </w:rPr>
        <w:t xml:space="preserve">Table 1 – Adverse events from PROMISE trial  </w:t>
      </w:r>
    </w:p>
    <w:p w14:paraId="78370EC5" w14:textId="30A55725" w:rsidR="00EB74EF" w:rsidRDefault="00AA2036" w:rsidP="00975996">
      <w:pPr>
        <w:pStyle w:val="NormalWeb"/>
        <w:spacing w:before="0" w:beforeAutospacing="0" w:after="0" w:afterAutospacing="0"/>
        <w:jc w:val="both"/>
        <w:rPr>
          <w:b/>
        </w:rPr>
      </w:pPr>
      <w:r w:rsidRPr="00EB74EF">
        <w:rPr>
          <w:b/>
          <w:noProof/>
        </w:rPr>
        <w:drawing>
          <wp:inline distT="0" distB="0" distL="0" distR="0" wp14:anchorId="75223148" wp14:editId="7171AA76">
            <wp:extent cx="6124575" cy="19145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4575" cy="1914525"/>
                    </a:xfrm>
                    <a:prstGeom prst="rect">
                      <a:avLst/>
                    </a:prstGeom>
                    <a:noFill/>
                    <a:ln>
                      <a:noFill/>
                    </a:ln>
                  </pic:spPr>
                </pic:pic>
              </a:graphicData>
            </a:graphic>
          </wp:inline>
        </w:drawing>
      </w:r>
    </w:p>
    <w:p w14:paraId="733E8DAE" w14:textId="77777777" w:rsidR="00EB74EF" w:rsidRPr="00D84C35" w:rsidRDefault="00EB74EF" w:rsidP="00975996">
      <w:pPr>
        <w:pStyle w:val="NormalWeb"/>
        <w:spacing w:before="0" w:beforeAutospacing="0" w:after="0" w:afterAutospacing="0"/>
        <w:jc w:val="both"/>
        <w:rPr>
          <w:bCs/>
        </w:rPr>
      </w:pPr>
      <w:r w:rsidRPr="00D84C35">
        <w:rPr>
          <w:bCs/>
        </w:rPr>
        <w:t>Table 2 – Adverse events from PRISM tr</w:t>
      </w:r>
      <w:r w:rsidR="00A677F5">
        <w:rPr>
          <w:bCs/>
        </w:rPr>
        <w:t>ia</w:t>
      </w:r>
      <w:r w:rsidRPr="00D84C35">
        <w:rPr>
          <w:bCs/>
        </w:rPr>
        <w:t xml:space="preserve">l </w:t>
      </w:r>
    </w:p>
    <w:p w14:paraId="41CE3EA0" w14:textId="6F2A9AC9" w:rsidR="00EB74EF" w:rsidRDefault="00AA2036" w:rsidP="00C9518C">
      <w:pPr>
        <w:pStyle w:val="NormalWeb"/>
        <w:spacing w:before="0" w:beforeAutospacing="0" w:after="0" w:afterAutospacing="0"/>
        <w:jc w:val="both"/>
        <w:rPr>
          <w:b/>
        </w:rPr>
      </w:pPr>
      <w:r w:rsidRPr="00EB74EF">
        <w:rPr>
          <w:b/>
          <w:noProof/>
        </w:rPr>
        <w:drawing>
          <wp:inline distT="0" distB="0" distL="0" distR="0" wp14:anchorId="3BC98214" wp14:editId="7F29518D">
            <wp:extent cx="6124575" cy="157162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4575" cy="1571625"/>
                    </a:xfrm>
                    <a:prstGeom prst="rect">
                      <a:avLst/>
                    </a:prstGeom>
                    <a:noFill/>
                    <a:ln>
                      <a:noFill/>
                    </a:ln>
                  </pic:spPr>
                </pic:pic>
              </a:graphicData>
            </a:graphic>
          </wp:inline>
        </w:drawing>
      </w:r>
    </w:p>
    <w:p w14:paraId="2045680E" w14:textId="47EF1B6B" w:rsidR="001B6095" w:rsidRDefault="00AA2036" w:rsidP="00975996">
      <w:pPr>
        <w:pStyle w:val="NormalWeb"/>
        <w:spacing w:before="0" w:beforeAutospacing="0"/>
        <w:jc w:val="both"/>
        <w:rPr>
          <w:b/>
        </w:rPr>
      </w:pPr>
      <w:r w:rsidRPr="00EE2045">
        <w:rPr>
          <w:b/>
          <w:noProof/>
        </w:rPr>
        <w:lastRenderedPageBreak/>
        <w:drawing>
          <wp:inline distT="0" distB="0" distL="0" distR="0" wp14:anchorId="3C901AE6" wp14:editId="49D693C0">
            <wp:extent cx="6115050" cy="5553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5553075"/>
                    </a:xfrm>
                    <a:prstGeom prst="rect">
                      <a:avLst/>
                    </a:prstGeom>
                    <a:noFill/>
                    <a:ln>
                      <a:noFill/>
                    </a:ln>
                  </pic:spPr>
                </pic:pic>
              </a:graphicData>
            </a:graphic>
          </wp:inline>
        </w:drawing>
      </w:r>
      <w:r w:rsidRPr="00EE2045">
        <w:rPr>
          <w:b/>
          <w:noProof/>
        </w:rPr>
        <w:drawing>
          <wp:inline distT="0" distB="0" distL="0" distR="0" wp14:anchorId="7F64B707" wp14:editId="4E698D2D">
            <wp:extent cx="5924550" cy="2200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4550" cy="2200275"/>
                    </a:xfrm>
                    <a:prstGeom prst="rect">
                      <a:avLst/>
                    </a:prstGeom>
                    <a:noFill/>
                    <a:ln>
                      <a:noFill/>
                    </a:ln>
                  </pic:spPr>
                </pic:pic>
              </a:graphicData>
            </a:graphic>
          </wp:inline>
        </w:drawing>
      </w:r>
      <w:r w:rsidR="00C9518C">
        <w:rPr>
          <w:b/>
        </w:rPr>
        <w:br w:type="page"/>
      </w:r>
      <w:r w:rsidR="008C32F2" w:rsidRPr="007E08BF">
        <w:rPr>
          <w:b/>
        </w:rPr>
        <w:lastRenderedPageBreak/>
        <w:t xml:space="preserve">Post-Marketing </w:t>
      </w:r>
      <w:r w:rsidR="00AF273F">
        <w:rPr>
          <w:b/>
        </w:rPr>
        <w:t>E</w:t>
      </w:r>
      <w:r w:rsidR="008C32F2" w:rsidRPr="007E08BF">
        <w:rPr>
          <w:b/>
        </w:rPr>
        <w:t>xperience</w:t>
      </w:r>
    </w:p>
    <w:p w14:paraId="21B59217" w14:textId="77777777" w:rsidR="008C32F2" w:rsidRDefault="008C32F2" w:rsidP="00975996">
      <w:pPr>
        <w:pStyle w:val="NormalWeb"/>
        <w:jc w:val="both"/>
      </w:pPr>
      <w:r>
        <w:t>The information given below is based on extensive post marketing experience from vaginal administration of progesterone.</w:t>
      </w:r>
    </w:p>
    <w:p w14:paraId="4DB24E40" w14:textId="77777777" w:rsidR="008C32F2" w:rsidRDefault="008C32F2" w:rsidP="00975996">
      <w:pPr>
        <w:pStyle w:val="NormalWeb"/>
        <w:jc w:val="both"/>
      </w:pPr>
      <w:r>
        <w:t>Adverse effects have been ranked under headings of frequency using the following convention: very common (≥1/10); common (≥1/100 to &lt;1/10); uncommon (≥1/1,000 to &lt;1/100); rare (≥1/10,000 to &lt;1/1,000); very rare (&lt;1/10,000); frequency not known (cannot be estimated from the available data).</w:t>
      </w:r>
    </w:p>
    <w:p w14:paraId="4C70DB8B" w14:textId="77777777" w:rsidR="001923A5" w:rsidRPr="00A47887" w:rsidRDefault="001923A5" w:rsidP="00C9518C">
      <w:pPr>
        <w:pStyle w:val="NormalWeb"/>
        <w:spacing w:after="0" w:afterAutospacing="0"/>
        <w:jc w:val="both"/>
        <w:rPr>
          <w:b/>
          <w:bCs/>
        </w:rPr>
      </w:pPr>
      <w:r w:rsidRPr="00A47887">
        <w:rPr>
          <w:b/>
          <w:bCs/>
        </w:rPr>
        <w:t xml:space="preserve">Table </w:t>
      </w:r>
      <w:r w:rsidR="00256D47">
        <w:rPr>
          <w:b/>
          <w:bCs/>
        </w:rPr>
        <w:t>3</w:t>
      </w:r>
      <w:r w:rsidRPr="00A47887">
        <w:rPr>
          <w:b/>
          <w:bCs/>
        </w:rPr>
        <w:t>: Post-</w:t>
      </w:r>
      <w:r w:rsidR="009D43C5">
        <w:rPr>
          <w:b/>
          <w:bCs/>
        </w:rPr>
        <w:t>m</w:t>
      </w:r>
      <w:r w:rsidRPr="00A47887">
        <w:rPr>
          <w:b/>
          <w:bCs/>
        </w:rPr>
        <w:t>arketing experience of vaginal administered progesterone</w:t>
      </w:r>
    </w:p>
    <w:tbl>
      <w:tblPr>
        <w:tblW w:w="1011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306"/>
        <w:gridCol w:w="2976"/>
        <w:gridCol w:w="3828"/>
      </w:tblGrid>
      <w:tr w:rsidR="001923A5" w14:paraId="48AD13A9" w14:textId="77777777" w:rsidTr="00712672">
        <w:trPr>
          <w:tblCellSpacing w:w="0" w:type="dxa"/>
        </w:trPr>
        <w:tc>
          <w:tcPr>
            <w:tcW w:w="1635" w:type="pct"/>
            <w:tcBorders>
              <w:top w:val="outset" w:sz="6" w:space="0" w:color="auto"/>
              <w:left w:val="outset" w:sz="6" w:space="0" w:color="auto"/>
              <w:bottom w:val="outset" w:sz="6" w:space="0" w:color="auto"/>
              <w:right w:val="outset" w:sz="6" w:space="0" w:color="auto"/>
            </w:tcBorders>
            <w:vAlign w:val="center"/>
            <w:hideMark/>
          </w:tcPr>
          <w:p w14:paraId="20A34BB9" w14:textId="77777777" w:rsidR="001923A5" w:rsidRDefault="001923A5">
            <w:pPr>
              <w:pStyle w:val="NormalWeb"/>
            </w:pPr>
            <w:r>
              <w:t>System organ class</w:t>
            </w:r>
          </w:p>
        </w:tc>
        <w:tc>
          <w:tcPr>
            <w:tcW w:w="1472" w:type="pct"/>
            <w:tcBorders>
              <w:top w:val="outset" w:sz="6" w:space="0" w:color="auto"/>
              <w:left w:val="outset" w:sz="6" w:space="0" w:color="auto"/>
              <w:bottom w:val="outset" w:sz="6" w:space="0" w:color="auto"/>
              <w:right w:val="outset" w:sz="6" w:space="0" w:color="auto"/>
            </w:tcBorders>
          </w:tcPr>
          <w:p w14:paraId="339CC516" w14:textId="77777777" w:rsidR="001923A5" w:rsidRDefault="001923A5" w:rsidP="00617E9A">
            <w:pPr>
              <w:pStyle w:val="NormalWeb"/>
              <w:spacing w:before="0" w:beforeAutospacing="0" w:after="0" w:afterAutospacing="0"/>
            </w:pPr>
          </w:p>
          <w:p w14:paraId="20419E68" w14:textId="77777777" w:rsidR="001923A5" w:rsidRDefault="00544DBF" w:rsidP="00617E9A">
            <w:pPr>
              <w:pStyle w:val="NormalWeb"/>
              <w:spacing w:before="0" w:beforeAutospacing="0" w:after="0" w:afterAutospacing="0"/>
            </w:pPr>
            <w:r>
              <w:t>V</w:t>
            </w:r>
            <w:r w:rsidR="001923A5">
              <w:t xml:space="preserve">ery </w:t>
            </w:r>
            <w:r>
              <w:t>R</w:t>
            </w:r>
            <w:r w:rsidR="001923A5">
              <w:t>are (&lt;1/10,000)</w:t>
            </w:r>
          </w:p>
        </w:tc>
        <w:tc>
          <w:tcPr>
            <w:tcW w:w="1893" w:type="pct"/>
            <w:tcBorders>
              <w:top w:val="outset" w:sz="6" w:space="0" w:color="auto"/>
              <w:left w:val="outset" w:sz="6" w:space="0" w:color="auto"/>
              <w:bottom w:val="outset" w:sz="6" w:space="0" w:color="auto"/>
              <w:right w:val="outset" w:sz="6" w:space="0" w:color="auto"/>
            </w:tcBorders>
            <w:vAlign w:val="center"/>
            <w:hideMark/>
          </w:tcPr>
          <w:p w14:paraId="1066C537" w14:textId="77777777" w:rsidR="001923A5" w:rsidRDefault="001923A5" w:rsidP="00617E9A">
            <w:pPr>
              <w:pStyle w:val="NormalWeb"/>
              <w:spacing w:before="0" w:beforeAutospacing="0" w:after="0" w:afterAutospacing="0"/>
            </w:pPr>
            <w:r>
              <w:t xml:space="preserve">Frequency Not </w:t>
            </w:r>
            <w:r w:rsidR="00544DBF">
              <w:t>K</w:t>
            </w:r>
            <w:r>
              <w:t xml:space="preserve">nown </w:t>
            </w:r>
          </w:p>
          <w:p w14:paraId="51A882C1" w14:textId="77777777" w:rsidR="001923A5" w:rsidRDefault="001923A5" w:rsidP="00617E9A">
            <w:pPr>
              <w:pStyle w:val="NormalWeb"/>
              <w:spacing w:before="0" w:beforeAutospacing="0" w:after="0" w:afterAutospacing="0"/>
            </w:pPr>
            <w:r>
              <w:t>(</w:t>
            </w:r>
            <w:proofErr w:type="gramStart"/>
            <w:r>
              <w:t>cannot</w:t>
            </w:r>
            <w:proofErr w:type="gramEnd"/>
            <w:r>
              <w:t xml:space="preserve"> be estimated from the available data)</w:t>
            </w:r>
          </w:p>
        </w:tc>
      </w:tr>
      <w:tr w:rsidR="001923A5" w14:paraId="3849B2F3" w14:textId="77777777" w:rsidTr="00712672">
        <w:trPr>
          <w:tblCellSpacing w:w="0" w:type="dxa"/>
        </w:trPr>
        <w:tc>
          <w:tcPr>
            <w:tcW w:w="1635" w:type="pct"/>
            <w:tcBorders>
              <w:top w:val="outset" w:sz="6" w:space="0" w:color="auto"/>
              <w:left w:val="outset" w:sz="6" w:space="0" w:color="auto"/>
              <w:bottom w:val="outset" w:sz="6" w:space="0" w:color="auto"/>
              <w:right w:val="outset" w:sz="6" w:space="0" w:color="auto"/>
            </w:tcBorders>
            <w:vAlign w:val="center"/>
          </w:tcPr>
          <w:p w14:paraId="32D8034D" w14:textId="77777777" w:rsidR="001923A5" w:rsidRDefault="001923A5">
            <w:pPr>
              <w:pStyle w:val="NormalWeb"/>
            </w:pPr>
            <w:r>
              <w:t>Immune system disorders</w:t>
            </w:r>
          </w:p>
        </w:tc>
        <w:tc>
          <w:tcPr>
            <w:tcW w:w="1472" w:type="pct"/>
            <w:tcBorders>
              <w:top w:val="outset" w:sz="6" w:space="0" w:color="auto"/>
              <w:left w:val="outset" w:sz="6" w:space="0" w:color="auto"/>
              <w:bottom w:val="outset" w:sz="6" w:space="0" w:color="auto"/>
              <w:right w:val="outset" w:sz="6" w:space="0" w:color="auto"/>
            </w:tcBorders>
          </w:tcPr>
          <w:p w14:paraId="240370B3" w14:textId="77777777" w:rsidR="001923A5" w:rsidRDefault="001923A5" w:rsidP="008C32F2">
            <w:pPr>
              <w:pStyle w:val="NormalWeb"/>
            </w:pPr>
            <w:r>
              <w:t>Anaphylactic reactions</w:t>
            </w:r>
          </w:p>
        </w:tc>
        <w:tc>
          <w:tcPr>
            <w:tcW w:w="1893" w:type="pct"/>
            <w:tcBorders>
              <w:top w:val="outset" w:sz="6" w:space="0" w:color="auto"/>
              <w:left w:val="outset" w:sz="6" w:space="0" w:color="auto"/>
              <w:bottom w:val="outset" w:sz="6" w:space="0" w:color="auto"/>
              <w:right w:val="outset" w:sz="6" w:space="0" w:color="auto"/>
            </w:tcBorders>
            <w:vAlign w:val="center"/>
          </w:tcPr>
          <w:p w14:paraId="330740B2" w14:textId="77777777" w:rsidR="001923A5" w:rsidRDefault="001923A5" w:rsidP="008C32F2">
            <w:pPr>
              <w:pStyle w:val="NormalWeb"/>
            </w:pPr>
          </w:p>
        </w:tc>
      </w:tr>
      <w:tr w:rsidR="001923A5" w14:paraId="03DB3FDA" w14:textId="77777777" w:rsidTr="00712672">
        <w:trPr>
          <w:tblCellSpacing w:w="0" w:type="dxa"/>
        </w:trPr>
        <w:tc>
          <w:tcPr>
            <w:tcW w:w="1635" w:type="pct"/>
            <w:tcBorders>
              <w:top w:val="outset" w:sz="6" w:space="0" w:color="auto"/>
              <w:left w:val="outset" w:sz="6" w:space="0" w:color="auto"/>
              <w:bottom w:val="outset" w:sz="6" w:space="0" w:color="auto"/>
              <w:right w:val="outset" w:sz="6" w:space="0" w:color="auto"/>
            </w:tcBorders>
            <w:vAlign w:val="center"/>
            <w:hideMark/>
          </w:tcPr>
          <w:p w14:paraId="7E62D649" w14:textId="77777777" w:rsidR="001923A5" w:rsidRDefault="001923A5">
            <w:pPr>
              <w:pStyle w:val="NormalWeb"/>
            </w:pPr>
            <w:r>
              <w:t>Reproductive system and breast disorders</w:t>
            </w:r>
          </w:p>
        </w:tc>
        <w:tc>
          <w:tcPr>
            <w:tcW w:w="1472" w:type="pct"/>
            <w:tcBorders>
              <w:top w:val="outset" w:sz="6" w:space="0" w:color="auto"/>
              <w:left w:val="outset" w:sz="6" w:space="0" w:color="auto"/>
              <w:bottom w:val="outset" w:sz="6" w:space="0" w:color="auto"/>
              <w:right w:val="outset" w:sz="6" w:space="0" w:color="auto"/>
            </w:tcBorders>
          </w:tcPr>
          <w:p w14:paraId="30C3AFB2" w14:textId="77777777" w:rsidR="001923A5" w:rsidRDefault="001923A5" w:rsidP="008C32F2">
            <w:pPr>
              <w:pStyle w:val="NormalWeb"/>
            </w:pPr>
          </w:p>
        </w:tc>
        <w:tc>
          <w:tcPr>
            <w:tcW w:w="1893" w:type="pct"/>
            <w:tcBorders>
              <w:top w:val="outset" w:sz="6" w:space="0" w:color="auto"/>
              <w:left w:val="outset" w:sz="6" w:space="0" w:color="auto"/>
              <w:bottom w:val="outset" w:sz="6" w:space="0" w:color="auto"/>
              <w:right w:val="outset" w:sz="6" w:space="0" w:color="auto"/>
            </w:tcBorders>
            <w:vAlign w:val="center"/>
            <w:hideMark/>
          </w:tcPr>
          <w:p w14:paraId="5E381F32" w14:textId="77777777" w:rsidR="001923A5" w:rsidRDefault="001923A5" w:rsidP="008C32F2">
            <w:pPr>
              <w:pStyle w:val="NormalWeb"/>
            </w:pPr>
            <w:r>
              <w:t>Vaginal haemorrhage</w:t>
            </w:r>
          </w:p>
          <w:p w14:paraId="2A11B1B5" w14:textId="77777777" w:rsidR="001923A5" w:rsidRDefault="001923A5">
            <w:pPr>
              <w:pStyle w:val="NormalWeb"/>
            </w:pPr>
            <w:r>
              <w:t>Vaginal discharge</w:t>
            </w:r>
          </w:p>
        </w:tc>
      </w:tr>
      <w:tr w:rsidR="001923A5" w14:paraId="16906A26" w14:textId="77777777" w:rsidTr="00712672">
        <w:trPr>
          <w:tblCellSpacing w:w="0" w:type="dxa"/>
        </w:trPr>
        <w:tc>
          <w:tcPr>
            <w:tcW w:w="1635" w:type="pct"/>
            <w:tcBorders>
              <w:top w:val="outset" w:sz="6" w:space="0" w:color="auto"/>
              <w:left w:val="outset" w:sz="6" w:space="0" w:color="auto"/>
              <w:bottom w:val="outset" w:sz="6" w:space="0" w:color="auto"/>
              <w:right w:val="outset" w:sz="6" w:space="0" w:color="auto"/>
            </w:tcBorders>
            <w:vAlign w:val="center"/>
            <w:hideMark/>
          </w:tcPr>
          <w:p w14:paraId="0D2D5289" w14:textId="77777777" w:rsidR="001923A5" w:rsidRDefault="001923A5">
            <w:pPr>
              <w:pStyle w:val="NormalWeb"/>
            </w:pPr>
            <w:r>
              <w:t>Skin and subcutaneous tissue disorders</w:t>
            </w:r>
          </w:p>
        </w:tc>
        <w:tc>
          <w:tcPr>
            <w:tcW w:w="1472" w:type="pct"/>
            <w:tcBorders>
              <w:top w:val="outset" w:sz="6" w:space="0" w:color="auto"/>
              <w:left w:val="outset" w:sz="6" w:space="0" w:color="auto"/>
              <w:bottom w:val="outset" w:sz="6" w:space="0" w:color="auto"/>
              <w:right w:val="outset" w:sz="6" w:space="0" w:color="auto"/>
            </w:tcBorders>
          </w:tcPr>
          <w:p w14:paraId="1EC3F80F" w14:textId="77777777" w:rsidR="001923A5" w:rsidRDefault="001923A5">
            <w:pPr>
              <w:pStyle w:val="NormalWeb"/>
            </w:pPr>
            <w:r>
              <w:t xml:space="preserve">Application site pruritis, </w:t>
            </w:r>
          </w:p>
          <w:p w14:paraId="5F102A51" w14:textId="77777777" w:rsidR="001923A5" w:rsidRDefault="001923A5">
            <w:pPr>
              <w:pStyle w:val="NormalWeb"/>
            </w:pPr>
            <w:r>
              <w:t>Burning sensation</w:t>
            </w:r>
          </w:p>
        </w:tc>
        <w:tc>
          <w:tcPr>
            <w:tcW w:w="1893" w:type="pct"/>
            <w:tcBorders>
              <w:top w:val="outset" w:sz="6" w:space="0" w:color="auto"/>
              <w:left w:val="outset" w:sz="6" w:space="0" w:color="auto"/>
              <w:bottom w:val="outset" w:sz="6" w:space="0" w:color="auto"/>
              <w:right w:val="outset" w:sz="6" w:space="0" w:color="auto"/>
            </w:tcBorders>
            <w:vAlign w:val="center"/>
            <w:hideMark/>
          </w:tcPr>
          <w:p w14:paraId="0A346196" w14:textId="77777777" w:rsidR="001923A5" w:rsidRPr="001923A5" w:rsidRDefault="001923A5">
            <w:pPr>
              <w:pStyle w:val="NormalWeb"/>
              <w:rPr>
                <w:strike/>
              </w:rPr>
            </w:pPr>
          </w:p>
        </w:tc>
      </w:tr>
      <w:tr w:rsidR="001923A5" w14:paraId="795C2A1B" w14:textId="77777777" w:rsidTr="00712672">
        <w:trPr>
          <w:tblCellSpacing w:w="0" w:type="dxa"/>
        </w:trPr>
        <w:tc>
          <w:tcPr>
            <w:tcW w:w="1635" w:type="pct"/>
            <w:tcBorders>
              <w:top w:val="outset" w:sz="6" w:space="0" w:color="auto"/>
              <w:left w:val="outset" w:sz="6" w:space="0" w:color="auto"/>
              <w:bottom w:val="outset" w:sz="6" w:space="0" w:color="auto"/>
              <w:right w:val="outset" w:sz="6" w:space="0" w:color="auto"/>
            </w:tcBorders>
            <w:vAlign w:val="center"/>
          </w:tcPr>
          <w:p w14:paraId="3D44DF30" w14:textId="77777777" w:rsidR="001923A5" w:rsidRDefault="001923A5">
            <w:pPr>
              <w:pStyle w:val="NormalWeb"/>
            </w:pPr>
            <w:r>
              <w:t>General Disorders</w:t>
            </w:r>
          </w:p>
        </w:tc>
        <w:tc>
          <w:tcPr>
            <w:tcW w:w="1472" w:type="pct"/>
            <w:tcBorders>
              <w:top w:val="outset" w:sz="6" w:space="0" w:color="auto"/>
              <w:left w:val="outset" w:sz="6" w:space="0" w:color="auto"/>
              <w:bottom w:val="outset" w:sz="6" w:space="0" w:color="auto"/>
              <w:right w:val="outset" w:sz="6" w:space="0" w:color="auto"/>
            </w:tcBorders>
          </w:tcPr>
          <w:p w14:paraId="163314CC" w14:textId="77777777" w:rsidR="001923A5" w:rsidRDefault="001923A5">
            <w:pPr>
              <w:pStyle w:val="NormalWeb"/>
            </w:pPr>
          </w:p>
        </w:tc>
        <w:tc>
          <w:tcPr>
            <w:tcW w:w="1893" w:type="pct"/>
            <w:tcBorders>
              <w:top w:val="outset" w:sz="6" w:space="0" w:color="auto"/>
              <w:left w:val="outset" w:sz="6" w:space="0" w:color="auto"/>
              <w:bottom w:val="outset" w:sz="6" w:space="0" w:color="auto"/>
              <w:right w:val="outset" w:sz="6" w:space="0" w:color="auto"/>
            </w:tcBorders>
            <w:vAlign w:val="center"/>
          </w:tcPr>
          <w:p w14:paraId="40B1A037" w14:textId="77777777" w:rsidR="001923A5" w:rsidRPr="001923A5" w:rsidRDefault="001923A5">
            <w:pPr>
              <w:pStyle w:val="NormalWeb"/>
            </w:pPr>
            <w:r w:rsidRPr="001923A5">
              <w:t>Drug intolerance</w:t>
            </w:r>
          </w:p>
        </w:tc>
      </w:tr>
    </w:tbl>
    <w:p w14:paraId="5FC83CA0" w14:textId="77777777" w:rsidR="002A70F3" w:rsidRDefault="002A70F3" w:rsidP="005A317F">
      <w:pPr>
        <w:pStyle w:val="NormalWeb"/>
        <w:shd w:val="clear" w:color="auto" w:fill="FFFFFF"/>
        <w:spacing w:before="0" w:beforeAutospacing="0" w:after="0" w:afterAutospacing="0" w:line="261" w:lineRule="atLeast"/>
        <w:jc w:val="both"/>
        <w:rPr>
          <w:lang w:val="en-GB" w:eastAsia="en-GB"/>
        </w:rPr>
      </w:pPr>
    </w:p>
    <w:p w14:paraId="1FCAB8D8" w14:textId="77777777" w:rsidR="005B1311" w:rsidRPr="002E0E36" w:rsidRDefault="005B1311" w:rsidP="005A317F">
      <w:pPr>
        <w:widowControl w:val="0"/>
        <w:autoSpaceDE w:val="0"/>
        <w:autoSpaceDN w:val="0"/>
        <w:adjustRightInd w:val="0"/>
        <w:ind w:left="120" w:right="3124" w:hanging="120"/>
        <w:jc w:val="both"/>
        <w:rPr>
          <w:rFonts w:cs="Calibri"/>
          <w:b/>
          <w:bCs/>
        </w:rPr>
      </w:pPr>
      <w:r w:rsidRPr="002E0E36">
        <w:rPr>
          <w:rFonts w:cs="Calibri"/>
          <w:b/>
          <w:bCs/>
        </w:rPr>
        <w:t>Reporting suspected adverse effects</w:t>
      </w:r>
    </w:p>
    <w:p w14:paraId="3F21ED77" w14:textId="77777777" w:rsidR="00EE710A" w:rsidRDefault="00EE710A" w:rsidP="005A317F">
      <w:pPr>
        <w:pStyle w:val="NormalWeb"/>
        <w:shd w:val="clear" w:color="auto" w:fill="FFFFFF"/>
        <w:spacing w:before="0" w:beforeAutospacing="0" w:after="240" w:afterAutospacing="0" w:line="261" w:lineRule="atLeast"/>
        <w:jc w:val="both"/>
        <w:rPr>
          <w:lang w:val="en-GB" w:eastAsia="en-GB"/>
        </w:rPr>
      </w:pPr>
      <w:r w:rsidRPr="00EE710A">
        <w:rPr>
          <w:lang w:val="en-GB" w:eastAsia="en-GB"/>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5" w:history="1">
        <w:r w:rsidRPr="00EE710A">
          <w:rPr>
            <w:rStyle w:val="Hyperlink"/>
          </w:rPr>
          <w:t>www.tga.gov.au/reporting-problems</w:t>
        </w:r>
      </w:hyperlink>
      <w:r w:rsidRPr="00EE710A">
        <w:rPr>
          <w:lang w:val="en-GB" w:eastAsia="en-GB"/>
        </w:rPr>
        <w:t>.</w:t>
      </w:r>
    </w:p>
    <w:p w14:paraId="139FD483" w14:textId="77777777" w:rsidR="005B1311" w:rsidRDefault="005B1311" w:rsidP="002E0E36">
      <w:pPr>
        <w:pStyle w:val="Heading1"/>
        <w:widowControl w:val="0"/>
        <w:numPr>
          <w:ilvl w:val="1"/>
          <w:numId w:val="15"/>
        </w:numPr>
        <w:autoSpaceDE w:val="0"/>
        <w:autoSpaceDN w:val="0"/>
        <w:adjustRightInd w:val="0"/>
        <w:ind w:left="120" w:right="3124" w:hanging="120"/>
        <w:jc w:val="both"/>
        <w:rPr>
          <w:kern w:val="0"/>
          <w:sz w:val="24"/>
          <w:szCs w:val="24"/>
        </w:rPr>
      </w:pPr>
      <w:r w:rsidRPr="002E0E36">
        <w:rPr>
          <w:kern w:val="0"/>
          <w:sz w:val="24"/>
          <w:szCs w:val="24"/>
        </w:rPr>
        <w:t>OVERDOSE</w:t>
      </w:r>
    </w:p>
    <w:p w14:paraId="75A856BD" w14:textId="77777777" w:rsidR="005B1311" w:rsidRPr="00600410" w:rsidRDefault="005B1311" w:rsidP="00256D47">
      <w:pPr>
        <w:widowControl w:val="0"/>
        <w:spacing w:before="100" w:beforeAutospacing="1"/>
        <w:jc w:val="both"/>
      </w:pPr>
      <w:r w:rsidRPr="00600410">
        <w:t>Symptoms of overdose</w:t>
      </w:r>
      <w:r>
        <w:t xml:space="preserve"> (more frequent with the oral route of administration) </w:t>
      </w:r>
      <w:r w:rsidRPr="00600410">
        <w:t xml:space="preserve">may include somnolence, dizziness, </w:t>
      </w:r>
      <w:proofErr w:type="gramStart"/>
      <w:r w:rsidRPr="00600410">
        <w:t>euphoria</w:t>
      </w:r>
      <w:proofErr w:type="gramEnd"/>
      <w:r w:rsidRPr="00600410">
        <w:t xml:space="preserve"> or dysmenorrhoea. Treatment is observation</w:t>
      </w:r>
      <w:r>
        <w:t xml:space="preserve"> </w:t>
      </w:r>
      <w:r w:rsidRPr="00600410">
        <w:t xml:space="preserve">and, if necessary, </w:t>
      </w:r>
      <w:proofErr w:type="gramStart"/>
      <w:r w:rsidRPr="00600410">
        <w:t>symptomatic</w:t>
      </w:r>
      <w:proofErr w:type="gramEnd"/>
      <w:r w:rsidRPr="00600410">
        <w:t xml:space="preserve"> and supportive measures should be provided. </w:t>
      </w:r>
    </w:p>
    <w:p w14:paraId="561496DB" w14:textId="77777777" w:rsidR="005B1311" w:rsidRPr="00600410" w:rsidRDefault="005B1311" w:rsidP="00256D47">
      <w:pPr>
        <w:widowControl w:val="0"/>
        <w:jc w:val="both"/>
      </w:pPr>
    </w:p>
    <w:p w14:paraId="6EEC35AF" w14:textId="77777777" w:rsidR="005B1311" w:rsidRPr="006D047A" w:rsidRDefault="005B1311" w:rsidP="00C9518C">
      <w:pPr>
        <w:widowControl w:val="0"/>
        <w:jc w:val="both"/>
      </w:pPr>
      <w:r w:rsidRPr="006D047A">
        <w:t>Although no overdose has been reported to date for the vaginal form, the adverse effects described above are usually signs of overdose. These disappear without treatment when the dosage is reduced.</w:t>
      </w:r>
    </w:p>
    <w:p w14:paraId="76D46A84" w14:textId="77777777" w:rsidR="005B1311" w:rsidRPr="005B71BF" w:rsidRDefault="005B1311" w:rsidP="00C9518C">
      <w:pPr>
        <w:widowControl w:val="0"/>
        <w:spacing w:before="120"/>
        <w:jc w:val="both"/>
      </w:pPr>
      <w:r w:rsidRPr="005B71BF">
        <w:t>In case of overdose, immediately contact the Poisons Information Centre (in Australia, call 13 11 26) for advice.</w:t>
      </w:r>
    </w:p>
    <w:p w14:paraId="4E07322E" w14:textId="77777777" w:rsidR="005B1311" w:rsidRPr="002E0E36" w:rsidRDefault="005B1311" w:rsidP="002E0E36"/>
    <w:p w14:paraId="051CDBAB" w14:textId="77777777" w:rsidR="00FE785B" w:rsidRDefault="004C24C7" w:rsidP="00043D74">
      <w:pPr>
        <w:pStyle w:val="Heading1"/>
        <w:pageBreakBefore/>
        <w:spacing w:before="120"/>
        <w:ind w:left="357" w:hanging="357"/>
      </w:pPr>
      <w:r>
        <w:lastRenderedPageBreak/>
        <w:t>PHARMACOLOGICAL PROPERTIES</w:t>
      </w:r>
    </w:p>
    <w:p w14:paraId="3F23D124" w14:textId="77777777" w:rsidR="004C24C7" w:rsidRPr="002E0E36" w:rsidRDefault="004C24C7" w:rsidP="002E0E36">
      <w:pPr>
        <w:pStyle w:val="Heading1"/>
        <w:widowControl w:val="0"/>
        <w:numPr>
          <w:ilvl w:val="1"/>
          <w:numId w:val="15"/>
        </w:numPr>
        <w:autoSpaceDE w:val="0"/>
        <w:autoSpaceDN w:val="0"/>
        <w:adjustRightInd w:val="0"/>
        <w:ind w:left="120" w:right="3124" w:hanging="120"/>
        <w:jc w:val="both"/>
        <w:rPr>
          <w:kern w:val="0"/>
          <w:sz w:val="24"/>
          <w:szCs w:val="24"/>
        </w:rPr>
      </w:pPr>
      <w:r w:rsidRPr="002E0E36">
        <w:rPr>
          <w:kern w:val="0"/>
          <w:sz w:val="24"/>
          <w:szCs w:val="24"/>
        </w:rPr>
        <w:t>PHARMACODYNAMIC PROPERTIES</w:t>
      </w:r>
    </w:p>
    <w:p w14:paraId="5C1B1763" w14:textId="77777777" w:rsidR="0015639E" w:rsidRPr="002E0E36" w:rsidRDefault="0015639E" w:rsidP="002E0E36">
      <w:pPr>
        <w:widowControl w:val="0"/>
        <w:autoSpaceDE w:val="0"/>
        <w:autoSpaceDN w:val="0"/>
        <w:adjustRightInd w:val="0"/>
        <w:ind w:left="120" w:right="3124" w:hanging="120"/>
        <w:jc w:val="both"/>
        <w:rPr>
          <w:rFonts w:cs="Calibri"/>
          <w:b/>
          <w:bCs/>
        </w:rPr>
      </w:pPr>
      <w:r w:rsidRPr="002E0E36">
        <w:rPr>
          <w:rFonts w:cs="Calibri"/>
          <w:b/>
          <w:bCs/>
        </w:rPr>
        <w:t>Mechanism of action</w:t>
      </w:r>
    </w:p>
    <w:p w14:paraId="165D0B7B" w14:textId="77777777" w:rsidR="0015639E" w:rsidRPr="007C5E83" w:rsidRDefault="0015639E" w:rsidP="002E0E36">
      <w:pPr>
        <w:pStyle w:val="ListNumber"/>
        <w:numPr>
          <w:ilvl w:val="0"/>
          <w:numId w:val="0"/>
        </w:numPr>
      </w:pPr>
      <w:r w:rsidRPr="007C5E83">
        <w:t xml:space="preserve">Progesterone </w:t>
      </w:r>
      <w:r>
        <w:t xml:space="preserve">is a </w:t>
      </w:r>
      <w:r w:rsidRPr="002A2D6B">
        <w:rPr>
          <w:lang w:val="en-AU"/>
        </w:rPr>
        <w:t>naturally occurring steroid hormone that is secr</w:t>
      </w:r>
      <w:r>
        <w:rPr>
          <w:lang w:val="en-AU"/>
        </w:rPr>
        <w:t xml:space="preserve">eted by the ovary, </w:t>
      </w:r>
      <w:proofErr w:type="gramStart"/>
      <w:r>
        <w:rPr>
          <w:lang w:val="en-AU"/>
        </w:rPr>
        <w:t>placenta</w:t>
      </w:r>
      <w:proofErr w:type="gramEnd"/>
      <w:r>
        <w:rPr>
          <w:lang w:val="en-AU"/>
        </w:rPr>
        <w:t xml:space="preserve"> and </w:t>
      </w:r>
      <w:r w:rsidRPr="002A2D6B">
        <w:rPr>
          <w:lang w:val="en-AU"/>
        </w:rPr>
        <w:t>adrenal gland.</w:t>
      </w:r>
      <w:r w:rsidRPr="007C5E83">
        <w:t xml:space="preserve"> </w:t>
      </w:r>
      <w:r w:rsidRPr="003F3F90">
        <w:t>It acts on the endometrium by converting the proliferating phase to the secretory phase.</w:t>
      </w:r>
      <w:r w:rsidRPr="004A18AA">
        <w:t xml:space="preserve"> </w:t>
      </w:r>
      <w:r>
        <w:t xml:space="preserve"> </w:t>
      </w:r>
      <w:r w:rsidRPr="002A2D6B">
        <w:rPr>
          <w:lang w:val="en-AU"/>
        </w:rPr>
        <w:t>Progesterone is necessary to increase endometrial receptivity for implantation of an embryo, and once an embryo is implanted, progesterone acts to maintain the pregnancy. As well</w:t>
      </w:r>
      <w:r w:rsidRPr="00CE4D4F">
        <w:t xml:space="preserve"> </w:t>
      </w:r>
      <w:r>
        <w:t>as</w:t>
      </w:r>
      <w:r w:rsidRPr="007C5E83">
        <w:t xml:space="preserve"> </w:t>
      </w:r>
      <w:proofErr w:type="spellStart"/>
      <w:r w:rsidRPr="007C5E83">
        <w:t>gestagenic</w:t>
      </w:r>
      <w:proofErr w:type="spellEnd"/>
      <w:r>
        <w:t xml:space="preserve"> actions</w:t>
      </w:r>
      <w:r w:rsidRPr="007C5E83">
        <w:t xml:space="preserve">, </w:t>
      </w:r>
      <w:r>
        <w:t xml:space="preserve">progesterone also has </w:t>
      </w:r>
      <w:r w:rsidRPr="007C5E83">
        <w:t>anti</w:t>
      </w:r>
      <w:r>
        <w:t>-</w:t>
      </w:r>
      <w:r w:rsidRPr="007C5E83">
        <w:t>estrogenic, slightly anti-androgenic and anti</w:t>
      </w:r>
      <w:r>
        <w:t>-</w:t>
      </w:r>
      <w:r w:rsidRPr="007C5E83">
        <w:t>aldosterone effects.</w:t>
      </w:r>
    </w:p>
    <w:p w14:paraId="0A8E3159" w14:textId="77777777" w:rsidR="0015639E" w:rsidRDefault="0015639E" w:rsidP="002E0E36">
      <w:pPr>
        <w:pStyle w:val="ListNumber"/>
        <w:numPr>
          <w:ilvl w:val="0"/>
          <w:numId w:val="0"/>
        </w:numPr>
        <w:ind w:left="360"/>
      </w:pPr>
    </w:p>
    <w:p w14:paraId="0C07D7A3" w14:textId="77777777" w:rsidR="004C24C7" w:rsidRPr="002E0E36" w:rsidRDefault="0015639E" w:rsidP="002E0E36">
      <w:pPr>
        <w:jc w:val="both"/>
        <w:rPr>
          <w:b/>
        </w:rPr>
      </w:pPr>
      <w:r w:rsidRPr="002E0E36">
        <w:rPr>
          <w:b/>
        </w:rPr>
        <w:t>Clinical Trials</w:t>
      </w:r>
    </w:p>
    <w:p w14:paraId="23E83373" w14:textId="77777777" w:rsidR="0015639E" w:rsidRDefault="0015639E" w:rsidP="00FE785B">
      <w:pPr>
        <w:jc w:val="both"/>
        <w:rPr>
          <w:b/>
        </w:rPr>
      </w:pPr>
    </w:p>
    <w:p w14:paraId="1E0A9533" w14:textId="77777777" w:rsidR="0015639E" w:rsidRPr="00BA7B81" w:rsidRDefault="0015639E" w:rsidP="0015639E">
      <w:pPr>
        <w:spacing w:after="120"/>
        <w:jc w:val="both"/>
        <w:rPr>
          <w:b/>
          <w:i/>
          <w:szCs w:val="20"/>
        </w:rPr>
      </w:pPr>
      <w:r w:rsidRPr="00BA7B81">
        <w:rPr>
          <w:b/>
          <w:i/>
          <w:szCs w:val="20"/>
        </w:rPr>
        <w:t>Luteal phase support</w:t>
      </w:r>
    </w:p>
    <w:p w14:paraId="170A97E0" w14:textId="77777777" w:rsidR="0015639E" w:rsidRDefault="0015639E" w:rsidP="0015639E">
      <w:pPr>
        <w:spacing w:after="120"/>
        <w:jc w:val="both"/>
      </w:pPr>
      <w:r>
        <w:t xml:space="preserve">Two company-sponsored studies have been conducted to investigate efficacy of </w:t>
      </w:r>
      <w:proofErr w:type="spellStart"/>
      <w:r>
        <w:t>Utrogestan</w:t>
      </w:r>
      <w:proofErr w:type="spellEnd"/>
      <w:r>
        <w:t xml:space="preserve"> for luteal phase support.</w:t>
      </w:r>
    </w:p>
    <w:p w14:paraId="0C7137C2" w14:textId="77777777" w:rsidR="0015639E" w:rsidRDefault="0015639E" w:rsidP="0015639E">
      <w:pPr>
        <w:spacing w:after="120"/>
        <w:jc w:val="both"/>
        <w:rPr>
          <w:lang w:eastAsia="x-none"/>
        </w:rPr>
      </w:pPr>
      <w:r>
        <w:t xml:space="preserve">1. Study </w:t>
      </w:r>
      <w:proofErr w:type="spellStart"/>
      <w:r>
        <w:t>Kleinstein</w:t>
      </w:r>
      <w:proofErr w:type="spellEnd"/>
      <w:r>
        <w:t xml:space="preserve"> 2002</w:t>
      </w:r>
      <w:r w:rsidRPr="00BA7B81">
        <w:t xml:space="preserve"> was an open, multicentre, comparative controlled, randomised, parallel group phase III trial that c</w:t>
      </w:r>
      <w:proofErr w:type="spellStart"/>
      <w:r w:rsidRPr="00BA7B81">
        <w:rPr>
          <w:lang w:val="x-none" w:eastAsia="x-none"/>
        </w:rPr>
        <w:t>ompar</w:t>
      </w:r>
      <w:r w:rsidRPr="00BA7B81">
        <w:rPr>
          <w:lang w:eastAsia="x-none"/>
        </w:rPr>
        <w:t>ed</w:t>
      </w:r>
      <w:proofErr w:type="spellEnd"/>
      <w:r w:rsidRPr="00BA7B81">
        <w:rPr>
          <w:lang w:val="x-none" w:eastAsia="x-none"/>
        </w:rPr>
        <w:t xml:space="preserve"> the efficacy and safety of vaginal </w:t>
      </w:r>
      <w:proofErr w:type="spellStart"/>
      <w:r w:rsidRPr="00BA7B81">
        <w:rPr>
          <w:lang w:val="x-none" w:eastAsia="x-none"/>
        </w:rPr>
        <w:t>Utrogestan</w:t>
      </w:r>
      <w:proofErr w:type="spellEnd"/>
      <w:r w:rsidRPr="00BA7B81">
        <w:rPr>
          <w:lang w:val="x-none" w:eastAsia="x-none"/>
        </w:rPr>
        <w:t xml:space="preserve"> 200 mg three times daily and vaginal 1.125 g </w:t>
      </w:r>
      <w:proofErr w:type="spellStart"/>
      <w:r w:rsidRPr="00BA7B81">
        <w:rPr>
          <w:lang w:val="x-none" w:eastAsia="x-none"/>
        </w:rPr>
        <w:t>Crinone</w:t>
      </w:r>
      <w:proofErr w:type="spellEnd"/>
      <w:r w:rsidRPr="00BA7B81">
        <w:rPr>
          <w:lang w:val="x-none" w:eastAsia="x-none"/>
        </w:rPr>
        <w:t xml:space="preserve"> 8% gel twice daily, for up to 12 weeks, in providing luteal phase support to women undergoing </w:t>
      </w:r>
      <w:r w:rsidRPr="00BA7B81">
        <w:rPr>
          <w:lang w:eastAsia="x-none"/>
        </w:rPr>
        <w:t>IVF</w:t>
      </w:r>
      <w:r w:rsidR="00DF4282">
        <w:rPr>
          <w:lang w:eastAsia="x-none"/>
        </w:rPr>
        <w:t xml:space="preserve"> [</w:t>
      </w:r>
      <w:proofErr w:type="spellStart"/>
      <w:r w:rsidR="00DF4282">
        <w:rPr>
          <w:lang w:eastAsia="x-none"/>
        </w:rPr>
        <w:t>Kleinstein</w:t>
      </w:r>
      <w:proofErr w:type="spellEnd"/>
      <w:r w:rsidR="00DF4282">
        <w:rPr>
          <w:lang w:eastAsia="x-none"/>
        </w:rPr>
        <w:t xml:space="preserve"> 2005]</w:t>
      </w:r>
      <w:r w:rsidRPr="00BA7B81">
        <w:rPr>
          <w:lang w:eastAsia="x-none"/>
        </w:rPr>
        <w:t xml:space="preserve">. </w:t>
      </w:r>
      <w:r>
        <w:rPr>
          <w:lang w:eastAsia="x-none"/>
        </w:rPr>
        <w:t xml:space="preserve"> </w:t>
      </w:r>
    </w:p>
    <w:p w14:paraId="6E74B69C" w14:textId="77777777" w:rsidR="0015639E" w:rsidRPr="00BA7B81" w:rsidRDefault="0015639E" w:rsidP="0015639E">
      <w:pPr>
        <w:spacing w:after="120"/>
        <w:jc w:val="both"/>
        <w:rPr>
          <w:lang w:val="x-none" w:eastAsia="x-none"/>
        </w:rPr>
      </w:pPr>
      <w:r w:rsidRPr="00BA7B81">
        <w:rPr>
          <w:lang w:val="x-none" w:eastAsia="x-none"/>
        </w:rPr>
        <w:t>The primary end point was the ongoing pregnancy rate at the end of the 12</w:t>
      </w:r>
      <w:r w:rsidRPr="009D43C5">
        <w:rPr>
          <w:vertAlign w:val="superscript"/>
          <w:lang w:val="x-none" w:eastAsia="x-none"/>
        </w:rPr>
        <w:t>th</w:t>
      </w:r>
      <w:r w:rsidRPr="00BA7B81">
        <w:rPr>
          <w:lang w:val="x-none" w:eastAsia="x-none"/>
        </w:rPr>
        <w:t xml:space="preserve"> week of gestation.  The implantation and abortion rates and the rate of withdrawals, overall or at the respective visits, were considered as secondary study end points. </w:t>
      </w:r>
    </w:p>
    <w:p w14:paraId="0E8E742A" w14:textId="77777777" w:rsidR="0015639E" w:rsidRPr="00BA7B81" w:rsidRDefault="0015639E" w:rsidP="00256D47">
      <w:pPr>
        <w:jc w:val="both"/>
        <w:rPr>
          <w:lang w:val="x-none" w:eastAsia="x-none"/>
        </w:rPr>
      </w:pPr>
      <w:r w:rsidRPr="00BA7B81">
        <w:rPr>
          <w:lang w:val="x-none" w:eastAsia="x-none"/>
        </w:rPr>
        <w:t xml:space="preserve">Fifty-five (55) patients in the </w:t>
      </w:r>
      <w:proofErr w:type="spellStart"/>
      <w:r w:rsidRPr="00BA7B81">
        <w:rPr>
          <w:lang w:val="x-none" w:eastAsia="x-none"/>
        </w:rPr>
        <w:t>Utrogestan</w:t>
      </w:r>
      <w:proofErr w:type="spellEnd"/>
      <w:r w:rsidRPr="00BA7B81">
        <w:rPr>
          <w:lang w:val="x-none" w:eastAsia="x-none"/>
        </w:rPr>
        <w:t xml:space="preserve"> group and forty-seven (47) patients in the progesterone gel group completed the study.  These were all women with ongoing pregnancies at or beyond the 12</w:t>
      </w:r>
      <w:r w:rsidRPr="009D43C5">
        <w:rPr>
          <w:vertAlign w:val="superscript"/>
          <w:lang w:val="x-none" w:eastAsia="x-none"/>
        </w:rPr>
        <w:t>th</w:t>
      </w:r>
      <w:r w:rsidRPr="00BA7B81">
        <w:rPr>
          <w:lang w:val="x-none" w:eastAsia="x-none"/>
        </w:rPr>
        <w:t xml:space="preserve"> week of gestation.  Ongoing pregnancy rates were 25.2% (95% confidence interval [CI]: 19.6%–31.5%) for the </w:t>
      </w:r>
      <w:proofErr w:type="spellStart"/>
      <w:r w:rsidRPr="00BA7B81">
        <w:rPr>
          <w:lang w:val="x-none" w:eastAsia="x-none"/>
        </w:rPr>
        <w:t>Utrogestan</w:t>
      </w:r>
      <w:proofErr w:type="spellEnd"/>
      <w:r w:rsidRPr="00BA7B81">
        <w:rPr>
          <w:lang w:val="x-none" w:eastAsia="x-none"/>
        </w:rPr>
        <w:t xml:space="preserve"> group and 22.2% (95% CI: 16.8%–28.4%) for the progesterone gel group</w:t>
      </w:r>
      <w:r>
        <w:rPr>
          <w:lang w:eastAsia="x-none"/>
        </w:rPr>
        <w:t xml:space="preserve"> (Figure 1)</w:t>
      </w:r>
      <w:r w:rsidRPr="00BA7B81">
        <w:rPr>
          <w:lang w:val="x-none" w:eastAsia="x-none"/>
        </w:rPr>
        <w:t>.  The odds ratio (OR) (calculated on the per-protocol population) for an intact pregnancy at the end of 12</w:t>
      </w:r>
      <w:r w:rsidRPr="009D43C5">
        <w:rPr>
          <w:vertAlign w:val="superscript"/>
          <w:lang w:val="x-none" w:eastAsia="x-none"/>
        </w:rPr>
        <w:t>th</w:t>
      </w:r>
      <w:r w:rsidRPr="00BA7B81">
        <w:rPr>
          <w:lang w:val="x-none" w:eastAsia="x-none"/>
        </w:rPr>
        <w:t xml:space="preserve"> week of gestation was 1.185 (90% CI: 0.733–1.833) when the </w:t>
      </w:r>
      <w:proofErr w:type="spellStart"/>
      <w:r w:rsidRPr="00BA7B81">
        <w:rPr>
          <w:lang w:val="x-none" w:eastAsia="x-none"/>
        </w:rPr>
        <w:t>Utrogestan</w:t>
      </w:r>
      <w:proofErr w:type="spellEnd"/>
      <w:r w:rsidRPr="00BA7B81">
        <w:rPr>
          <w:lang w:val="x-none" w:eastAsia="x-none"/>
        </w:rPr>
        <w:t xml:space="preserve"> group was compared with the progesterone gel group. According to the pre-specified criteria, the pregnancy rate in the </w:t>
      </w:r>
      <w:proofErr w:type="spellStart"/>
      <w:r w:rsidRPr="00BA7B81">
        <w:rPr>
          <w:lang w:val="x-none" w:eastAsia="x-none"/>
        </w:rPr>
        <w:t>Utrogestan</w:t>
      </w:r>
      <w:proofErr w:type="spellEnd"/>
      <w:r w:rsidRPr="00BA7B81">
        <w:rPr>
          <w:lang w:val="x-none" w:eastAsia="x-none"/>
        </w:rPr>
        <w:t xml:space="preserve"> group was demonstrated to be non-inferior to that in the progesterone gel group (lower limit of the 90% confidence interval &gt;-0.1).</w:t>
      </w:r>
    </w:p>
    <w:p w14:paraId="0A0B1B8B" w14:textId="77777777" w:rsidR="0015639E" w:rsidRDefault="0015639E" w:rsidP="002E0E36">
      <w:pPr>
        <w:rPr>
          <w:b/>
          <w:szCs w:val="20"/>
        </w:rPr>
      </w:pPr>
    </w:p>
    <w:p w14:paraId="672C6462" w14:textId="77777777" w:rsidR="0015639E" w:rsidRPr="00BA7B81" w:rsidRDefault="0015639E" w:rsidP="00043D74">
      <w:pPr>
        <w:pageBreakBefore/>
        <w:spacing w:after="240"/>
        <w:rPr>
          <w:b/>
          <w:szCs w:val="20"/>
        </w:rPr>
      </w:pPr>
      <w:r>
        <w:rPr>
          <w:b/>
          <w:szCs w:val="20"/>
        </w:rPr>
        <w:lastRenderedPageBreak/>
        <w:t xml:space="preserve">Figure 1: </w:t>
      </w:r>
      <w:r w:rsidRPr="00BA7B81">
        <w:rPr>
          <w:b/>
          <w:szCs w:val="20"/>
        </w:rPr>
        <w:t>Point estimate and 95% confidence limits of pregnancy rates in women regularly completing the study with an ongoing pregnancy at or later than 12 weeks gestation in the per protocol population</w:t>
      </w:r>
    </w:p>
    <w:p w14:paraId="2D13E8FB" w14:textId="62B70981" w:rsidR="0015639E" w:rsidRPr="00BA7B81" w:rsidRDefault="00AA2036" w:rsidP="0015639E">
      <w:pPr>
        <w:spacing w:after="120"/>
        <w:jc w:val="center"/>
        <w:rPr>
          <w:szCs w:val="20"/>
        </w:rPr>
      </w:pPr>
      <w:r w:rsidRPr="00E023A8">
        <w:rPr>
          <w:noProof/>
          <w:szCs w:val="20"/>
          <w:lang w:val="en-AU" w:eastAsia="en-AU"/>
        </w:rPr>
        <w:drawing>
          <wp:inline distT="0" distB="0" distL="0" distR="0" wp14:anchorId="55CE80B3" wp14:editId="343EA7C5">
            <wp:extent cx="4286250" cy="221932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6250" cy="2219325"/>
                    </a:xfrm>
                    <a:prstGeom prst="rect">
                      <a:avLst/>
                    </a:prstGeom>
                    <a:noFill/>
                    <a:ln>
                      <a:noFill/>
                    </a:ln>
                  </pic:spPr>
                </pic:pic>
              </a:graphicData>
            </a:graphic>
          </wp:inline>
        </w:drawing>
      </w:r>
    </w:p>
    <w:p w14:paraId="6FDDB5CE" w14:textId="77777777" w:rsidR="0015639E" w:rsidRPr="00BA7B81" w:rsidRDefault="0015639E" w:rsidP="0015639E">
      <w:pPr>
        <w:spacing w:after="120"/>
        <w:jc w:val="both"/>
        <w:rPr>
          <w:lang w:val="x-none" w:eastAsia="x-none"/>
        </w:rPr>
      </w:pPr>
    </w:p>
    <w:p w14:paraId="27948AC3" w14:textId="4F8685B5" w:rsidR="0015639E" w:rsidRPr="003360B7" w:rsidRDefault="0015639E" w:rsidP="0015639E">
      <w:pPr>
        <w:spacing w:after="120"/>
        <w:jc w:val="both"/>
        <w:rPr>
          <w:lang w:val="en-AU" w:eastAsia="x-none"/>
        </w:rPr>
      </w:pPr>
      <w:r w:rsidRPr="003360B7">
        <w:rPr>
          <w:lang w:val="x-none" w:eastAsia="x-none"/>
        </w:rPr>
        <w:t xml:space="preserve">The implantation and abortion rates were also considered to be equivalent between the </w:t>
      </w:r>
      <w:proofErr w:type="spellStart"/>
      <w:r w:rsidRPr="003360B7">
        <w:rPr>
          <w:lang w:val="x-none" w:eastAsia="x-none"/>
        </w:rPr>
        <w:t>Utrogest</w:t>
      </w:r>
      <w:r>
        <w:rPr>
          <w:lang w:val="en-AU" w:eastAsia="x-none"/>
        </w:rPr>
        <w:t>an</w:t>
      </w:r>
      <w:proofErr w:type="spellEnd"/>
      <w:r w:rsidRPr="003360B7">
        <w:rPr>
          <w:lang w:val="x-none" w:eastAsia="x-none"/>
        </w:rPr>
        <w:t xml:space="preserve"> 200 group and </w:t>
      </w:r>
      <w:proofErr w:type="spellStart"/>
      <w:r w:rsidRPr="003360B7">
        <w:rPr>
          <w:lang w:val="x-none" w:eastAsia="x-none"/>
        </w:rPr>
        <w:t>Crinone</w:t>
      </w:r>
      <w:proofErr w:type="spellEnd"/>
      <w:r>
        <w:rPr>
          <w:lang w:val="en-AU" w:eastAsia="x-none"/>
        </w:rPr>
        <w:t xml:space="preserve"> </w:t>
      </w:r>
      <w:r w:rsidRPr="003360B7">
        <w:rPr>
          <w:lang w:val="x-none" w:eastAsia="x-none"/>
        </w:rPr>
        <w:t>8% group</w:t>
      </w:r>
      <w:r>
        <w:rPr>
          <w:lang w:eastAsia="x-none"/>
        </w:rPr>
        <w:t xml:space="preserve"> (Table </w:t>
      </w:r>
      <w:r w:rsidR="00CD2F4C">
        <w:rPr>
          <w:lang w:eastAsia="x-none"/>
        </w:rPr>
        <w:t>4</w:t>
      </w:r>
      <w:r>
        <w:rPr>
          <w:lang w:eastAsia="x-none"/>
        </w:rPr>
        <w:t>)</w:t>
      </w:r>
    </w:p>
    <w:p w14:paraId="089C161D" w14:textId="300A87DC" w:rsidR="0015639E" w:rsidRPr="00BA7B81" w:rsidRDefault="001D6D66" w:rsidP="00777A13">
      <w:pPr>
        <w:spacing w:after="240"/>
        <w:jc w:val="both"/>
        <w:rPr>
          <w:b/>
          <w:szCs w:val="20"/>
        </w:rPr>
      </w:pPr>
      <w:r>
        <w:rPr>
          <w:b/>
          <w:szCs w:val="20"/>
        </w:rPr>
        <w:br w:type="page"/>
      </w:r>
      <w:r w:rsidR="0015639E">
        <w:rPr>
          <w:b/>
          <w:szCs w:val="20"/>
        </w:rPr>
        <w:lastRenderedPageBreak/>
        <w:t xml:space="preserve">Table </w:t>
      </w:r>
      <w:r w:rsidR="00CD2F4C">
        <w:rPr>
          <w:b/>
          <w:szCs w:val="20"/>
        </w:rPr>
        <w:t>4</w:t>
      </w:r>
      <w:r w:rsidR="0015639E" w:rsidRPr="00BA7B81">
        <w:rPr>
          <w:b/>
          <w:szCs w:val="20"/>
        </w:rPr>
        <w:t xml:space="preserve">: Summary of implantation and abortion outcomes in women receiving </w:t>
      </w:r>
      <w:proofErr w:type="spellStart"/>
      <w:r w:rsidR="0015639E" w:rsidRPr="00BA7B81">
        <w:rPr>
          <w:b/>
          <w:szCs w:val="20"/>
        </w:rPr>
        <w:t>Utrogest</w:t>
      </w:r>
      <w:r w:rsidR="0015639E">
        <w:rPr>
          <w:b/>
          <w:szCs w:val="20"/>
        </w:rPr>
        <w:t>an</w:t>
      </w:r>
      <w:proofErr w:type="spellEnd"/>
      <w:r w:rsidR="0015639E" w:rsidRPr="00BA7B81">
        <w:rPr>
          <w:b/>
          <w:szCs w:val="20"/>
        </w:rPr>
        <w:t xml:space="preserve"> 200 mg or </w:t>
      </w:r>
      <w:proofErr w:type="spellStart"/>
      <w:r w:rsidR="0015639E" w:rsidRPr="00BA7B81">
        <w:rPr>
          <w:b/>
          <w:szCs w:val="20"/>
        </w:rPr>
        <w:t>Crinone</w:t>
      </w:r>
      <w:proofErr w:type="spellEnd"/>
      <w:r w:rsidR="0015639E">
        <w:rPr>
          <w:b/>
          <w:szCs w:val="20"/>
        </w:rPr>
        <w:t xml:space="preserve"> </w:t>
      </w:r>
      <w:r w:rsidR="0015639E" w:rsidRPr="00BA7B81">
        <w:rPr>
          <w:b/>
          <w:szCs w:val="20"/>
        </w:rPr>
        <w:t>8%</w:t>
      </w:r>
      <w:r w:rsidR="00DA21D0">
        <w:rPr>
          <w:b/>
          <w:szCs w:val="20"/>
        </w:rPr>
        <w:t xml:space="preserve"> </w:t>
      </w:r>
    </w:p>
    <w:tbl>
      <w:tblPr>
        <w:tblW w:w="8789" w:type="dxa"/>
        <w:jc w:val="center"/>
        <w:tblLook w:val="04A0" w:firstRow="1" w:lastRow="0" w:firstColumn="1" w:lastColumn="0" w:noHBand="0" w:noVBand="1"/>
      </w:tblPr>
      <w:tblGrid>
        <w:gridCol w:w="5103"/>
        <w:gridCol w:w="1985"/>
        <w:gridCol w:w="1701"/>
      </w:tblGrid>
      <w:tr w:rsidR="0015639E" w:rsidRPr="00BA7B81" w14:paraId="25F1E044" w14:textId="77777777" w:rsidTr="00E61F0F">
        <w:trPr>
          <w:jc w:val="center"/>
        </w:trPr>
        <w:tc>
          <w:tcPr>
            <w:tcW w:w="5103" w:type="dxa"/>
            <w:tcBorders>
              <w:top w:val="single" w:sz="4" w:space="0" w:color="auto"/>
              <w:bottom w:val="single" w:sz="4" w:space="0" w:color="auto"/>
            </w:tcBorders>
            <w:shd w:val="clear" w:color="auto" w:fill="auto"/>
          </w:tcPr>
          <w:p w14:paraId="6708FDA5" w14:textId="77777777" w:rsidR="0015639E" w:rsidRPr="00BA7B81" w:rsidRDefault="0015639E" w:rsidP="00BD1BD4">
            <w:pPr>
              <w:rPr>
                <w:b/>
                <w:szCs w:val="20"/>
                <w:lang w:eastAsia="en-AU"/>
              </w:rPr>
            </w:pPr>
            <w:r w:rsidRPr="00BA7B81">
              <w:rPr>
                <w:b/>
                <w:szCs w:val="20"/>
                <w:lang w:eastAsia="en-AU"/>
              </w:rPr>
              <w:t>Variable</w:t>
            </w:r>
          </w:p>
        </w:tc>
        <w:tc>
          <w:tcPr>
            <w:tcW w:w="1985" w:type="dxa"/>
            <w:tcBorders>
              <w:top w:val="single" w:sz="4" w:space="0" w:color="auto"/>
              <w:bottom w:val="single" w:sz="4" w:space="0" w:color="auto"/>
            </w:tcBorders>
            <w:shd w:val="clear" w:color="auto" w:fill="auto"/>
          </w:tcPr>
          <w:p w14:paraId="5EF79C19" w14:textId="77777777" w:rsidR="0015639E" w:rsidRPr="00BA7B81" w:rsidRDefault="0015639E" w:rsidP="00BD1BD4">
            <w:pPr>
              <w:jc w:val="center"/>
              <w:rPr>
                <w:b/>
                <w:szCs w:val="20"/>
                <w:lang w:eastAsia="en-AU"/>
              </w:rPr>
            </w:pPr>
            <w:proofErr w:type="spellStart"/>
            <w:r w:rsidRPr="00BA7B81">
              <w:rPr>
                <w:b/>
                <w:szCs w:val="20"/>
                <w:lang w:eastAsia="en-AU"/>
              </w:rPr>
              <w:t>Utrogest</w:t>
            </w:r>
            <w:r>
              <w:rPr>
                <w:b/>
                <w:szCs w:val="20"/>
                <w:lang w:eastAsia="en-AU"/>
              </w:rPr>
              <w:t>an</w:t>
            </w:r>
            <w:proofErr w:type="spellEnd"/>
            <w:r w:rsidR="00943181" w:rsidRPr="00943181">
              <w:rPr>
                <w:b/>
                <w:szCs w:val="20"/>
                <w:vertAlign w:val="superscript"/>
                <w:lang w:eastAsia="en-AU"/>
              </w:rPr>
              <w:t>®</w:t>
            </w:r>
            <w:r w:rsidRPr="00BA7B81">
              <w:rPr>
                <w:b/>
                <w:szCs w:val="20"/>
                <w:lang w:eastAsia="en-AU"/>
              </w:rPr>
              <w:t xml:space="preserve"> </w:t>
            </w:r>
          </w:p>
          <w:p w14:paraId="5C2C6045" w14:textId="77777777" w:rsidR="0015639E" w:rsidRPr="00BA7B81" w:rsidRDefault="0015639E" w:rsidP="00BD1BD4">
            <w:pPr>
              <w:jc w:val="center"/>
              <w:rPr>
                <w:b/>
                <w:szCs w:val="20"/>
                <w:lang w:eastAsia="en-AU"/>
              </w:rPr>
            </w:pPr>
            <w:r w:rsidRPr="00BA7B81">
              <w:rPr>
                <w:b/>
                <w:szCs w:val="20"/>
                <w:lang w:eastAsia="en-AU"/>
              </w:rPr>
              <w:t>200</w:t>
            </w:r>
          </w:p>
        </w:tc>
        <w:tc>
          <w:tcPr>
            <w:tcW w:w="1701" w:type="dxa"/>
            <w:tcBorders>
              <w:top w:val="single" w:sz="4" w:space="0" w:color="auto"/>
              <w:bottom w:val="single" w:sz="4" w:space="0" w:color="auto"/>
            </w:tcBorders>
            <w:shd w:val="clear" w:color="auto" w:fill="auto"/>
          </w:tcPr>
          <w:p w14:paraId="2D761434" w14:textId="77777777" w:rsidR="0015639E" w:rsidRPr="00BA7B81" w:rsidRDefault="0015639E" w:rsidP="00BD1BD4">
            <w:pPr>
              <w:jc w:val="center"/>
              <w:rPr>
                <w:b/>
                <w:szCs w:val="20"/>
                <w:lang w:eastAsia="en-AU"/>
              </w:rPr>
            </w:pPr>
            <w:proofErr w:type="spellStart"/>
            <w:r w:rsidRPr="00BA7B81">
              <w:rPr>
                <w:b/>
                <w:szCs w:val="20"/>
                <w:lang w:eastAsia="en-AU"/>
              </w:rPr>
              <w:t>Crinone</w:t>
            </w:r>
            <w:proofErr w:type="spellEnd"/>
            <w:r w:rsidR="00943181" w:rsidRPr="00943181">
              <w:rPr>
                <w:b/>
                <w:szCs w:val="20"/>
                <w:vertAlign w:val="superscript"/>
                <w:lang w:eastAsia="en-AU"/>
              </w:rPr>
              <w:t>®</w:t>
            </w:r>
            <w:r w:rsidRPr="00BA7B81">
              <w:rPr>
                <w:b/>
                <w:szCs w:val="20"/>
                <w:lang w:eastAsia="en-AU"/>
              </w:rPr>
              <w:t xml:space="preserve"> 8%</w:t>
            </w:r>
          </w:p>
        </w:tc>
      </w:tr>
      <w:tr w:rsidR="0015639E" w:rsidRPr="00BA7B81" w14:paraId="7F577BAA" w14:textId="77777777" w:rsidTr="00E61F0F">
        <w:trPr>
          <w:jc w:val="center"/>
        </w:trPr>
        <w:tc>
          <w:tcPr>
            <w:tcW w:w="5103" w:type="dxa"/>
            <w:tcBorders>
              <w:top w:val="single" w:sz="4" w:space="0" w:color="auto"/>
            </w:tcBorders>
            <w:shd w:val="clear" w:color="auto" w:fill="auto"/>
          </w:tcPr>
          <w:p w14:paraId="4B354E38" w14:textId="77777777" w:rsidR="0015639E" w:rsidRPr="00BA7B81" w:rsidRDefault="0015639E" w:rsidP="00BD1BD4">
            <w:pPr>
              <w:rPr>
                <w:szCs w:val="20"/>
                <w:lang w:eastAsia="en-AU"/>
              </w:rPr>
            </w:pPr>
            <w:r w:rsidRPr="00BA7B81">
              <w:rPr>
                <w:szCs w:val="20"/>
                <w:lang w:eastAsia="en-AU"/>
              </w:rPr>
              <w:t>No. of transfers</w:t>
            </w:r>
          </w:p>
        </w:tc>
        <w:tc>
          <w:tcPr>
            <w:tcW w:w="1985" w:type="dxa"/>
            <w:tcBorders>
              <w:top w:val="single" w:sz="4" w:space="0" w:color="auto"/>
            </w:tcBorders>
            <w:shd w:val="clear" w:color="auto" w:fill="auto"/>
          </w:tcPr>
          <w:p w14:paraId="5706990D" w14:textId="77777777" w:rsidR="0015639E" w:rsidRPr="00BA7B81" w:rsidRDefault="0015639E" w:rsidP="00BD1BD4">
            <w:pPr>
              <w:jc w:val="center"/>
              <w:rPr>
                <w:szCs w:val="20"/>
                <w:lang w:eastAsia="en-AU"/>
              </w:rPr>
            </w:pPr>
            <w:r w:rsidRPr="00BA7B81">
              <w:rPr>
                <w:szCs w:val="20"/>
                <w:lang w:eastAsia="en-AU"/>
              </w:rPr>
              <w:t>218</w:t>
            </w:r>
          </w:p>
        </w:tc>
        <w:tc>
          <w:tcPr>
            <w:tcW w:w="1701" w:type="dxa"/>
            <w:tcBorders>
              <w:top w:val="single" w:sz="4" w:space="0" w:color="auto"/>
            </w:tcBorders>
            <w:shd w:val="clear" w:color="auto" w:fill="auto"/>
          </w:tcPr>
          <w:p w14:paraId="332A7857" w14:textId="77777777" w:rsidR="0015639E" w:rsidRPr="00BA7B81" w:rsidRDefault="0015639E" w:rsidP="00BD1BD4">
            <w:pPr>
              <w:jc w:val="center"/>
              <w:rPr>
                <w:szCs w:val="20"/>
                <w:lang w:eastAsia="en-AU"/>
              </w:rPr>
            </w:pPr>
            <w:r w:rsidRPr="00BA7B81">
              <w:rPr>
                <w:szCs w:val="20"/>
                <w:lang w:eastAsia="en-AU"/>
              </w:rPr>
              <w:t>212</w:t>
            </w:r>
          </w:p>
        </w:tc>
      </w:tr>
      <w:tr w:rsidR="0015639E" w:rsidRPr="00BA7B81" w14:paraId="22D3E4C5" w14:textId="77777777" w:rsidTr="00E61F0F">
        <w:trPr>
          <w:jc w:val="center"/>
        </w:trPr>
        <w:tc>
          <w:tcPr>
            <w:tcW w:w="5103" w:type="dxa"/>
            <w:shd w:val="clear" w:color="auto" w:fill="auto"/>
          </w:tcPr>
          <w:p w14:paraId="5A3035B2" w14:textId="77777777" w:rsidR="0015639E" w:rsidRPr="00BA7B81" w:rsidRDefault="0015639E" w:rsidP="00BD1BD4">
            <w:pPr>
              <w:rPr>
                <w:szCs w:val="20"/>
                <w:lang w:eastAsia="en-AU"/>
              </w:rPr>
            </w:pPr>
            <w:r w:rsidRPr="00BA7B81">
              <w:rPr>
                <w:szCs w:val="20"/>
                <w:lang w:eastAsia="en-AU"/>
              </w:rPr>
              <w:t>No. of embryos transferred</w:t>
            </w:r>
          </w:p>
        </w:tc>
        <w:tc>
          <w:tcPr>
            <w:tcW w:w="1985" w:type="dxa"/>
            <w:shd w:val="clear" w:color="auto" w:fill="auto"/>
          </w:tcPr>
          <w:p w14:paraId="0688E122" w14:textId="77777777" w:rsidR="0015639E" w:rsidRPr="00BA7B81" w:rsidRDefault="0015639E" w:rsidP="00BD1BD4">
            <w:pPr>
              <w:jc w:val="center"/>
              <w:rPr>
                <w:szCs w:val="20"/>
                <w:lang w:eastAsia="en-AU"/>
              </w:rPr>
            </w:pPr>
            <w:r w:rsidRPr="00BA7B81">
              <w:rPr>
                <w:szCs w:val="20"/>
                <w:lang w:eastAsia="en-AU"/>
              </w:rPr>
              <w:t>489</w:t>
            </w:r>
          </w:p>
        </w:tc>
        <w:tc>
          <w:tcPr>
            <w:tcW w:w="1701" w:type="dxa"/>
            <w:shd w:val="clear" w:color="auto" w:fill="auto"/>
          </w:tcPr>
          <w:p w14:paraId="4C31854E" w14:textId="77777777" w:rsidR="0015639E" w:rsidRPr="00BA7B81" w:rsidRDefault="0015639E" w:rsidP="00BD1BD4">
            <w:pPr>
              <w:jc w:val="center"/>
              <w:rPr>
                <w:szCs w:val="20"/>
                <w:lang w:eastAsia="en-AU"/>
              </w:rPr>
            </w:pPr>
            <w:r w:rsidRPr="00BA7B81">
              <w:rPr>
                <w:szCs w:val="20"/>
                <w:lang w:eastAsia="en-AU"/>
              </w:rPr>
              <w:t>481</w:t>
            </w:r>
          </w:p>
        </w:tc>
      </w:tr>
      <w:tr w:rsidR="0015639E" w:rsidRPr="00BA7B81" w14:paraId="510508AB" w14:textId="77777777" w:rsidTr="00E61F0F">
        <w:trPr>
          <w:jc w:val="center"/>
        </w:trPr>
        <w:tc>
          <w:tcPr>
            <w:tcW w:w="5103" w:type="dxa"/>
            <w:shd w:val="clear" w:color="auto" w:fill="auto"/>
          </w:tcPr>
          <w:p w14:paraId="35FC0E77" w14:textId="77777777" w:rsidR="0015639E" w:rsidRPr="00BA7B81" w:rsidRDefault="0015639E" w:rsidP="00BD1BD4">
            <w:pPr>
              <w:rPr>
                <w:szCs w:val="20"/>
                <w:lang w:eastAsia="en-AU"/>
              </w:rPr>
            </w:pPr>
            <w:r w:rsidRPr="00BA7B81">
              <w:rPr>
                <w:szCs w:val="20"/>
                <w:lang w:eastAsia="en-AU"/>
              </w:rPr>
              <w:t>No. of implantations (% per transferred embryos)</w:t>
            </w:r>
          </w:p>
        </w:tc>
        <w:tc>
          <w:tcPr>
            <w:tcW w:w="1985" w:type="dxa"/>
            <w:shd w:val="clear" w:color="auto" w:fill="auto"/>
          </w:tcPr>
          <w:p w14:paraId="21C3CE37" w14:textId="77777777" w:rsidR="0015639E" w:rsidRPr="00BA7B81" w:rsidRDefault="0015639E" w:rsidP="00BD1BD4">
            <w:pPr>
              <w:jc w:val="center"/>
              <w:rPr>
                <w:szCs w:val="20"/>
                <w:lang w:eastAsia="en-AU"/>
              </w:rPr>
            </w:pPr>
            <w:r w:rsidRPr="00BA7B81">
              <w:rPr>
                <w:szCs w:val="20"/>
                <w:lang w:eastAsia="en-AU"/>
              </w:rPr>
              <w:t>71 (14.7)</w:t>
            </w:r>
          </w:p>
        </w:tc>
        <w:tc>
          <w:tcPr>
            <w:tcW w:w="1701" w:type="dxa"/>
            <w:shd w:val="clear" w:color="auto" w:fill="auto"/>
          </w:tcPr>
          <w:p w14:paraId="6FCAC56E" w14:textId="77777777" w:rsidR="0015639E" w:rsidRPr="00BA7B81" w:rsidRDefault="0015639E" w:rsidP="00BD1BD4">
            <w:pPr>
              <w:jc w:val="center"/>
              <w:rPr>
                <w:szCs w:val="20"/>
                <w:lang w:eastAsia="en-AU"/>
              </w:rPr>
            </w:pPr>
            <w:r w:rsidRPr="00BA7B81">
              <w:rPr>
                <w:szCs w:val="20"/>
                <w:lang w:eastAsia="en-AU"/>
              </w:rPr>
              <w:t>57 (11.9)</w:t>
            </w:r>
          </w:p>
        </w:tc>
      </w:tr>
      <w:tr w:rsidR="0015639E" w:rsidRPr="00BA7B81" w14:paraId="6D99CA1F" w14:textId="77777777" w:rsidTr="00E61F0F">
        <w:trPr>
          <w:jc w:val="center"/>
        </w:trPr>
        <w:tc>
          <w:tcPr>
            <w:tcW w:w="5103" w:type="dxa"/>
            <w:shd w:val="clear" w:color="auto" w:fill="auto"/>
          </w:tcPr>
          <w:p w14:paraId="492A5DC4" w14:textId="77777777" w:rsidR="0015639E" w:rsidRPr="00BA7B81" w:rsidRDefault="0015639E" w:rsidP="00BD1BD4">
            <w:pPr>
              <w:rPr>
                <w:szCs w:val="20"/>
                <w:lang w:eastAsia="en-AU"/>
              </w:rPr>
            </w:pPr>
            <w:r w:rsidRPr="00BA7B81">
              <w:rPr>
                <w:szCs w:val="20"/>
                <w:lang w:eastAsia="en-AU"/>
              </w:rPr>
              <w:t>No. of clinical pregnancies (% per transfer)</w:t>
            </w:r>
          </w:p>
        </w:tc>
        <w:tc>
          <w:tcPr>
            <w:tcW w:w="1985" w:type="dxa"/>
            <w:shd w:val="clear" w:color="auto" w:fill="auto"/>
          </w:tcPr>
          <w:p w14:paraId="795BF347" w14:textId="77777777" w:rsidR="0015639E" w:rsidRPr="00BA7B81" w:rsidRDefault="0015639E" w:rsidP="00BD1BD4">
            <w:pPr>
              <w:jc w:val="center"/>
              <w:rPr>
                <w:szCs w:val="20"/>
                <w:lang w:eastAsia="en-AU"/>
              </w:rPr>
            </w:pPr>
            <w:r w:rsidRPr="00BA7B81">
              <w:rPr>
                <w:szCs w:val="20"/>
                <w:lang w:eastAsia="en-AU"/>
              </w:rPr>
              <w:t>55 (25.2)</w:t>
            </w:r>
          </w:p>
        </w:tc>
        <w:tc>
          <w:tcPr>
            <w:tcW w:w="1701" w:type="dxa"/>
            <w:shd w:val="clear" w:color="auto" w:fill="auto"/>
          </w:tcPr>
          <w:p w14:paraId="5790EB25" w14:textId="77777777" w:rsidR="0015639E" w:rsidRPr="00BA7B81" w:rsidRDefault="0015639E" w:rsidP="00BD1BD4">
            <w:pPr>
              <w:jc w:val="center"/>
              <w:rPr>
                <w:szCs w:val="20"/>
                <w:lang w:eastAsia="en-AU"/>
              </w:rPr>
            </w:pPr>
            <w:r w:rsidRPr="00BA7B81">
              <w:rPr>
                <w:szCs w:val="20"/>
                <w:lang w:eastAsia="en-AU"/>
              </w:rPr>
              <w:t>47 (22.2)</w:t>
            </w:r>
          </w:p>
        </w:tc>
      </w:tr>
      <w:tr w:rsidR="0015639E" w:rsidRPr="00BA7B81" w14:paraId="6AD82442" w14:textId="77777777" w:rsidTr="00E61F0F">
        <w:trPr>
          <w:trHeight w:val="502"/>
          <w:jc w:val="center"/>
        </w:trPr>
        <w:tc>
          <w:tcPr>
            <w:tcW w:w="5103" w:type="dxa"/>
            <w:tcBorders>
              <w:bottom w:val="single" w:sz="4" w:space="0" w:color="auto"/>
            </w:tcBorders>
            <w:shd w:val="clear" w:color="auto" w:fill="auto"/>
          </w:tcPr>
          <w:p w14:paraId="3FEC05BE" w14:textId="77777777" w:rsidR="0015639E" w:rsidRPr="00BA7B81" w:rsidRDefault="0015639E" w:rsidP="00BD1BD4">
            <w:pPr>
              <w:rPr>
                <w:szCs w:val="20"/>
                <w:lang w:eastAsia="en-AU"/>
              </w:rPr>
            </w:pPr>
            <w:r w:rsidRPr="00BA7B81">
              <w:rPr>
                <w:szCs w:val="20"/>
                <w:lang w:eastAsia="en-AU"/>
              </w:rPr>
              <w:t>No. of abortions / missed abortions (% of clinical pregnancies)</w:t>
            </w:r>
          </w:p>
        </w:tc>
        <w:tc>
          <w:tcPr>
            <w:tcW w:w="1985" w:type="dxa"/>
            <w:tcBorders>
              <w:bottom w:val="single" w:sz="4" w:space="0" w:color="auto"/>
            </w:tcBorders>
            <w:shd w:val="clear" w:color="auto" w:fill="auto"/>
          </w:tcPr>
          <w:p w14:paraId="5CA514E0" w14:textId="77777777" w:rsidR="0015639E" w:rsidRPr="00BA7B81" w:rsidRDefault="0015639E" w:rsidP="00BD1BD4">
            <w:pPr>
              <w:jc w:val="center"/>
              <w:rPr>
                <w:szCs w:val="20"/>
                <w:lang w:eastAsia="en-AU"/>
              </w:rPr>
            </w:pPr>
            <w:r w:rsidRPr="00BA7B81">
              <w:rPr>
                <w:szCs w:val="20"/>
                <w:lang w:eastAsia="en-AU"/>
              </w:rPr>
              <w:t>10 (18.2)</w:t>
            </w:r>
          </w:p>
        </w:tc>
        <w:tc>
          <w:tcPr>
            <w:tcW w:w="1701" w:type="dxa"/>
            <w:tcBorders>
              <w:bottom w:val="single" w:sz="4" w:space="0" w:color="auto"/>
            </w:tcBorders>
            <w:shd w:val="clear" w:color="auto" w:fill="auto"/>
          </w:tcPr>
          <w:p w14:paraId="441EC0D2" w14:textId="77777777" w:rsidR="0015639E" w:rsidRPr="00BA7B81" w:rsidRDefault="0015639E" w:rsidP="00BD1BD4">
            <w:pPr>
              <w:jc w:val="center"/>
              <w:rPr>
                <w:szCs w:val="20"/>
                <w:lang w:eastAsia="en-AU"/>
              </w:rPr>
            </w:pPr>
            <w:r w:rsidRPr="00BA7B81">
              <w:rPr>
                <w:szCs w:val="20"/>
                <w:lang w:eastAsia="en-AU"/>
              </w:rPr>
              <w:t>9 (19.1)</w:t>
            </w:r>
          </w:p>
        </w:tc>
      </w:tr>
    </w:tbl>
    <w:p w14:paraId="00F3EE5E" w14:textId="77777777" w:rsidR="0015639E" w:rsidRPr="00BA7B81" w:rsidRDefault="0015639E" w:rsidP="0015639E">
      <w:pPr>
        <w:spacing w:after="120"/>
        <w:jc w:val="center"/>
        <w:rPr>
          <w:szCs w:val="20"/>
        </w:rPr>
      </w:pPr>
    </w:p>
    <w:p w14:paraId="290C3F54" w14:textId="77777777" w:rsidR="0015639E" w:rsidRPr="003360B7" w:rsidRDefault="0015639E" w:rsidP="0015639E">
      <w:pPr>
        <w:spacing w:after="120"/>
        <w:jc w:val="both"/>
        <w:rPr>
          <w:lang w:val="x-none" w:eastAsia="x-none"/>
        </w:rPr>
      </w:pPr>
      <w:r w:rsidRPr="003360B7">
        <w:rPr>
          <w:lang w:val="x-none" w:eastAsia="x-none"/>
        </w:rPr>
        <w:t>More than 90% of women rated overall tolerability of the study drugs as “very good” or “good”.  Similarly, acceptance of either treatment was positively assessed in &gt; 90% of women by the physicians.  Nevertheless, both items indicated an overall significant difference (P&lt;</w:t>
      </w:r>
      <w:r w:rsidR="008D39AE">
        <w:rPr>
          <w:lang w:val="en-AU" w:eastAsia="x-none"/>
        </w:rPr>
        <w:t>0</w:t>
      </w:r>
      <w:r w:rsidRPr="003360B7">
        <w:rPr>
          <w:lang w:val="x-none" w:eastAsia="x-none"/>
        </w:rPr>
        <w:t xml:space="preserve">.0001) of the effect index, as calculated from rank sums, in favour of </w:t>
      </w:r>
      <w:proofErr w:type="spellStart"/>
      <w:r w:rsidRPr="003360B7">
        <w:rPr>
          <w:lang w:val="x-none" w:eastAsia="x-none"/>
        </w:rPr>
        <w:t>Utrogestan</w:t>
      </w:r>
      <w:proofErr w:type="spellEnd"/>
      <w:r w:rsidRPr="003360B7">
        <w:rPr>
          <w:lang w:val="x-none" w:eastAsia="x-none"/>
        </w:rPr>
        <w:t>.</w:t>
      </w:r>
    </w:p>
    <w:p w14:paraId="55E62F50" w14:textId="77777777" w:rsidR="0015639E" w:rsidRDefault="0015639E" w:rsidP="0015639E">
      <w:pPr>
        <w:spacing w:after="120"/>
        <w:jc w:val="both"/>
        <w:rPr>
          <w:lang w:eastAsia="x-none"/>
        </w:rPr>
      </w:pPr>
      <w:r w:rsidRPr="000B62D8">
        <w:rPr>
          <w:lang w:val="x-none" w:eastAsia="x-none"/>
        </w:rPr>
        <w:t xml:space="preserve">These efficacy findings are consistent with the company-sponsored bioavailability study showing that the vaginal bioavailability of </w:t>
      </w:r>
      <w:proofErr w:type="spellStart"/>
      <w:r w:rsidRPr="000B62D8">
        <w:rPr>
          <w:lang w:val="x-none" w:eastAsia="x-none"/>
        </w:rPr>
        <w:t>micronised</w:t>
      </w:r>
      <w:proofErr w:type="spellEnd"/>
      <w:r w:rsidRPr="000B62D8">
        <w:rPr>
          <w:lang w:val="x-none" w:eastAsia="x-none"/>
        </w:rPr>
        <w:t xml:space="preserve"> progesterone following administration of a </w:t>
      </w:r>
      <w:proofErr w:type="spellStart"/>
      <w:r w:rsidRPr="000B62D8">
        <w:rPr>
          <w:lang w:val="x-none" w:eastAsia="x-none"/>
        </w:rPr>
        <w:t>Utrogestan</w:t>
      </w:r>
      <w:proofErr w:type="spellEnd"/>
      <w:r w:rsidRPr="000B62D8">
        <w:rPr>
          <w:lang w:val="x-none" w:eastAsia="x-none"/>
        </w:rPr>
        <w:t xml:space="preserve"> 200 mg capsule and </w:t>
      </w:r>
      <w:proofErr w:type="spellStart"/>
      <w:r w:rsidRPr="000B62D8">
        <w:rPr>
          <w:lang w:val="x-none" w:eastAsia="x-none"/>
        </w:rPr>
        <w:t>Crinone</w:t>
      </w:r>
      <w:proofErr w:type="spellEnd"/>
      <w:r w:rsidRPr="000B62D8">
        <w:rPr>
          <w:lang w:val="x-none" w:eastAsia="x-none"/>
        </w:rPr>
        <w:t xml:space="preserve"> 8% gel (90 mg progesterone) in young healthy women was therapeutically at least equivalent to that of the vaginal gel</w:t>
      </w:r>
      <w:r w:rsidR="00DF4282" w:rsidRPr="007E08BF">
        <w:rPr>
          <w:lang w:val="en-US" w:eastAsia="x-none"/>
        </w:rPr>
        <w:t xml:space="preserve"> </w:t>
      </w:r>
      <w:r w:rsidR="00DF4282">
        <w:rPr>
          <w:lang w:val="en-US" w:eastAsia="x-none"/>
        </w:rPr>
        <w:t>[</w:t>
      </w:r>
      <w:proofErr w:type="spellStart"/>
      <w:r w:rsidR="00DF4282">
        <w:rPr>
          <w:lang w:val="en-US" w:eastAsia="x-none"/>
        </w:rPr>
        <w:t>Kleinstein</w:t>
      </w:r>
      <w:proofErr w:type="spellEnd"/>
      <w:r w:rsidR="00DF4282">
        <w:rPr>
          <w:lang w:val="en-US" w:eastAsia="x-none"/>
        </w:rPr>
        <w:t xml:space="preserve"> 2002]</w:t>
      </w:r>
      <w:r>
        <w:rPr>
          <w:lang w:eastAsia="x-none"/>
        </w:rPr>
        <w:t>.</w:t>
      </w:r>
    </w:p>
    <w:p w14:paraId="7AB2056F" w14:textId="77777777" w:rsidR="0015639E" w:rsidRPr="0045034C" w:rsidRDefault="0015639E" w:rsidP="0015639E">
      <w:pPr>
        <w:pStyle w:val="DocumentText"/>
        <w:spacing w:after="120" w:line="240" w:lineRule="auto"/>
        <w:jc w:val="both"/>
      </w:pPr>
      <w:r w:rsidRPr="005F125F">
        <w:t>The role of progesterone for luteal phase support in stimulated IVF cycles is well established</w:t>
      </w:r>
      <w:r w:rsidRPr="0045034C">
        <w:rPr>
          <w:rFonts w:eastAsia="TimesNewRoman"/>
        </w:rPr>
        <w:t xml:space="preserve"> and supported by several recent meta-analyses</w:t>
      </w:r>
      <w:r w:rsidR="001128D8">
        <w:rPr>
          <w:rFonts w:eastAsia="TimesNewRoman"/>
        </w:rPr>
        <w:t xml:space="preserve"> </w:t>
      </w:r>
      <w:r w:rsidRPr="007E08BF">
        <w:rPr>
          <w:noProof/>
        </w:rPr>
        <w:t>[Nosarka 2005;</w:t>
      </w:r>
      <w:r w:rsidR="00FD0BBA">
        <w:rPr>
          <w:noProof/>
        </w:rPr>
        <w:t xml:space="preserve"> </w:t>
      </w:r>
      <w:r w:rsidRPr="007E08BF">
        <w:rPr>
          <w:noProof/>
        </w:rPr>
        <w:t>Polyzos 2010;</w:t>
      </w:r>
      <w:r w:rsidR="00712672">
        <w:rPr>
          <w:noProof/>
        </w:rPr>
        <w:t xml:space="preserve"> </w:t>
      </w:r>
      <w:r w:rsidRPr="007E08BF">
        <w:rPr>
          <w:noProof/>
        </w:rPr>
        <w:t xml:space="preserve">Pritts </w:t>
      </w:r>
      <w:r w:rsidR="005101E6">
        <w:rPr>
          <w:noProof/>
        </w:rPr>
        <w:t>&amp;</w:t>
      </w:r>
      <w:r w:rsidRPr="007E08BF">
        <w:rPr>
          <w:noProof/>
        </w:rPr>
        <w:t xml:space="preserve"> Atwood 2002; van der Linden  2012, </w:t>
      </w:r>
      <w:r w:rsidR="00DF4282">
        <w:rPr>
          <w:noProof/>
        </w:rPr>
        <w:t xml:space="preserve">van der Linden 2015, </w:t>
      </w:r>
      <w:r w:rsidRPr="007E08BF">
        <w:rPr>
          <w:noProof/>
        </w:rPr>
        <w:t xml:space="preserve">Zarutskie </w:t>
      </w:r>
      <w:r w:rsidR="005101E6">
        <w:rPr>
          <w:noProof/>
        </w:rPr>
        <w:t>&amp;</w:t>
      </w:r>
      <w:r w:rsidRPr="007E08BF">
        <w:rPr>
          <w:noProof/>
        </w:rPr>
        <w:t xml:space="preserve"> Phillips 2009, Lin  2012]</w:t>
      </w:r>
      <w:r w:rsidRPr="008D39AE">
        <w:t>.</w:t>
      </w:r>
      <w:r w:rsidRPr="0045034C">
        <w:t xml:space="preserve">  However, </w:t>
      </w:r>
      <w:r>
        <w:t>several</w:t>
      </w:r>
      <w:r w:rsidRPr="0045034C">
        <w:t xml:space="preserve"> meta-analyses included data from RCTs with an unclear or high risk of bias.  In general, findings from the meta-analyses showed no significant differences in clinical pregnancy rate between the different formulations of vaginal progesterone (gel, capsule, inserts, </w:t>
      </w:r>
      <w:proofErr w:type="gramStart"/>
      <w:r w:rsidRPr="0045034C">
        <w:t>pessaries</w:t>
      </w:r>
      <w:r w:rsidRPr="008D39AE">
        <w:t>)</w:t>
      </w:r>
      <w:r w:rsidRPr="007E08BF">
        <w:rPr>
          <w:noProof/>
        </w:rPr>
        <w:t>[</w:t>
      </w:r>
      <w:proofErr w:type="gramEnd"/>
      <w:r w:rsidRPr="007E08BF">
        <w:rPr>
          <w:noProof/>
        </w:rPr>
        <w:t xml:space="preserve"> Polyzos 2010, Zarutskie </w:t>
      </w:r>
      <w:r w:rsidR="00712672">
        <w:rPr>
          <w:noProof/>
        </w:rPr>
        <w:t>&amp;</w:t>
      </w:r>
      <w:r w:rsidRPr="007E08BF">
        <w:rPr>
          <w:noProof/>
        </w:rPr>
        <w:t xml:space="preserve"> Phillips  2009]</w:t>
      </w:r>
      <w:r w:rsidRPr="0045034C">
        <w:t xml:space="preserve"> but the relative benefit of the various routes of administration (oral, IM, vaginal) is unclear. </w:t>
      </w:r>
      <w:r w:rsidRPr="0045034C">
        <w:rPr>
          <w:rFonts w:eastAsia="TimesNewRoman"/>
        </w:rPr>
        <w:t>Despite this, the vaginal route is often preferred because of better patient comfort</w:t>
      </w:r>
      <w:r>
        <w:rPr>
          <w:rFonts w:eastAsia="TimesNewRoman"/>
        </w:rPr>
        <w:t xml:space="preserve"> </w:t>
      </w:r>
      <w:r w:rsidRPr="007E08BF">
        <w:rPr>
          <w:rFonts w:eastAsia="TimesNewRoman"/>
          <w:noProof/>
        </w:rPr>
        <w:t>[Vaisbuch 2014]</w:t>
      </w:r>
      <w:r w:rsidRPr="0045034C">
        <w:rPr>
          <w:rFonts w:eastAsia="TimesNewRoman"/>
        </w:rPr>
        <w:t xml:space="preserve">. </w:t>
      </w:r>
    </w:p>
    <w:p w14:paraId="1A87751A" w14:textId="77777777" w:rsidR="0015639E" w:rsidRPr="000B62D8" w:rsidRDefault="0015639E" w:rsidP="0015639E">
      <w:pPr>
        <w:spacing w:after="120"/>
        <w:jc w:val="both"/>
        <w:rPr>
          <w:szCs w:val="20"/>
        </w:rPr>
      </w:pPr>
      <w:r w:rsidRPr="000B62D8">
        <w:rPr>
          <w:szCs w:val="20"/>
        </w:rPr>
        <w:t>The use of progesterone for luteal phase support was recently reviewed in detail by the UK National Institute for Care Excellence (NICE)</w:t>
      </w:r>
      <w:r>
        <w:rPr>
          <w:szCs w:val="20"/>
        </w:rPr>
        <w:t xml:space="preserve"> in 2013,</w:t>
      </w:r>
      <w:r w:rsidRPr="000B62D8">
        <w:rPr>
          <w:szCs w:val="20"/>
        </w:rPr>
        <w:t xml:space="preserve"> to provide guidelines on treatment options for luteal phase support in fertility treatments.  This was a significant assessment, which involved detailed review of all existing published evidence on the use of progesterone for luteal phase support.  Overall, the evidence from the current published clinical studies was judged to be of low to very low </w:t>
      </w:r>
      <w:proofErr w:type="gramStart"/>
      <w:r w:rsidRPr="000B62D8">
        <w:rPr>
          <w:szCs w:val="20"/>
        </w:rPr>
        <w:t>quality;</w:t>
      </w:r>
      <w:proofErr w:type="gramEnd"/>
      <w:r w:rsidRPr="000B62D8">
        <w:rPr>
          <w:szCs w:val="20"/>
        </w:rPr>
        <w:t xml:space="preserve"> largely due to poor reporting on the details of the studies and lack of reported power calculations.  </w:t>
      </w:r>
      <w:r w:rsidR="00722CBE">
        <w:rPr>
          <w:szCs w:val="20"/>
        </w:rPr>
        <w:t>S</w:t>
      </w:r>
      <w:r w:rsidRPr="000B62D8">
        <w:rPr>
          <w:szCs w:val="20"/>
        </w:rPr>
        <w:t xml:space="preserve">tudies may have been underpowered for many of the reported outcomes, as shown by the wide confidence intervals around power estimates.  However, </w:t>
      </w:r>
      <w:proofErr w:type="gramStart"/>
      <w:r w:rsidRPr="000B62D8">
        <w:rPr>
          <w:szCs w:val="20"/>
        </w:rPr>
        <w:t>it is clear that much</w:t>
      </w:r>
      <w:proofErr w:type="gramEnd"/>
      <w:r w:rsidRPr="000B62D8">
        <w:rPr>
          <w:szCs w:val="20"/>
        </w:rPr>
        <w:t xml:space="preserve"> of the evidence is over 20 years old and new research is unlikely to be conducted because of the well accepted role of luteal phase support in IVF treatment.</w:t>
      </w:r>
    </w:p>
    <w:p w14:paraId="59A430FF" w14:textId="77777777" w:rsidR="0015639E" w:rsidRPr="000B62D8" w:rsidRDefault="0015639E" w:rsidP="00043D74">
      <w:pPr>
        <w:pageBreakBefore/>
        <w:spacing w:after="240"/>
        <w:jc w:val="both"/>
        <w:rPr>
          <w:szCs w:val="20"/>
        </w:rPr>
      </w:pPr>
      <w:r w:rsidRPr="000B62D8">
        <w:rPr>
          <w:szCs w:val="20"/>
        </w:rPr>
        <w:lastRenderedPageBreak/>
        <w:t>Notwithstanding any weaknesses in the data, the NICE 2013 guidelines, which are consistent with the Royal Australian and New Zealand College of Obstetricians and Gynaecologists (RANZCOG) guidelines, recommend the following:</w:t>
      </w:r>
    </w:p>
    <w:p w14:paraId="0AF89C94" w14:textId="77777777" w:rsidR="0015639E" w:rsidRPr="000B62D8" w:rsidRDefault="0015639E" w:rsidP="0015639E">
      <w:pPr>
        <w:numPr>
          <w:ilvl w:val="0"/>
          <w:numId w:val="10"/>
        </w:numPr>
        <w:spacing w:after="120"/>
        <w:ind w:left="426" w:hanging="284"/>
        <w:jc w:val="both"/>
        <w:rPr>
          <w:rFonts w:eastAsia="MS Minngs"/>
          <w:kern w:val="24"/>
          <w:lang w:val="en-US"/>
        </w:rPr>
      </w:pPr>
      <w:r w:rsidRPr="000B62D8">
        <w:rPr>
          <w:rFonts w:eastAsia="MS Minngs"/>
          <w:kern w:val="24"/>
          <w:lang w:val="en-US"/>
        </w:rPr>
        <w:t>There is evidence that luteal phase support with progesterone is associated with significantly more live full-term singleton births and clinical pregnancies than placebo or no support.  Progesterone is therefore the drug of choice recommended for luteal phase support.</w:t>
      </w:r>
    </w:p>
    <w:p w14:paraId="7E9B897E" w14:textId="77777777" w:rsidR="0015639E" w:rsidRPr="000B62D8" w:rsidRDefault="0015639E" w:rsidP="0015639E">
      <w:pPr>
        <w:numPr>
          <w:ilvl w:val="0"/>
          <w:numId w:val="10"/>
        </w:numPr>
        <w:spacing w:after="120"/>
        <w:ind w:left="426" w:hanging="284"/>
        <w:jc w:val="both"/>
        <w:rPr>
          <w:rFonts w:eastAsia="MS Minngs"/>
          <w:kern w:val="24"/>
          <w:lang w:val="en-US"/>
        </w:rPr>
      </w:pPr>
      <w:r w:rsidRPr="000B62D8">
        <w:rPr>
          <w:rFonts w:eastAsia="MS Minngs"/>
          <w:kern w:val="24"/>
          <w:lang w:val="en-US"/>
        </w:rPr>
        <w:t>There was no significant difference in the number of clinical pregnancies and live full-term singleton births when comparing the different types of drugs used for luteal phase support.  However, the evidence showed that the use of hCG for luteal phase support was associated with an increased risk of ovarian hyperstimulation syndrome compared with the use of progesterone.  Therefore</w:t>
      </w:r>
      <w:r w:rsidR="001923A5">
        <w:rPr>
          <w:rFonts w:eastAsia="MS Minngs"/>
          <w:kern w:val="24"/>
          <w:lang w:val="en-US"/>
        </w:rPr>
        <w:t>,</w:t>
      </w:r>
      <w:r w:rsidRPr="000B62D8">
        <w:rPr>
          <w:rFonts w:eastAsia="MS Minngs"/>
          <w:kern w:val="24"/>
          <w:lang w:val="en-US"/>
        </w:rPr>
        <w:t xml:space="preserve"> hCG is not recommended for luteal phase support.</w:t>
      </w:r>
    </w:p>
    <w:p w14:paraId="2FF69BAA" w14:textId="77777777" w:rsidR="0015639E" w:rsidRPr="000B62D8" w:rsidRDefault="0015639E" w:rsidP="0015639E">
      <w:pPr>
        <w:numPr>
          <w:ilvl w:val="0"/>
          <w:numId w:val="10"/>
        </w:numPr>
        <w:spacing w:after="120"/>
        <w:ind w:left="426" w:hanging="284"/>
        <w:jc w:val="both"/>
        <w:rPr>
          <w:rFonts w:eastAsia="MS Minngs"/>
          <w:kern w:val="24"/>
          <w:lang w:val="en-US"/>
        </w:rPr>
      </w:pPr>
      <w:r w:rsidRPr="000B62D8">
        <w:rPr>
          <w:rFonts w:eastAsia="MS Minngs"/>
          <w:kern w:val="24"/>
          <w:lang w:val="en-US"/>
        </w:rPr>
        <w:t>In terms of duration of treatment, luteal phase support should be offered for up to 8 weeks after embryo transfer and patients should be informed that there is no evidence for continuing luteal phase support after this time.</w:t>
      </w:r>
    </w:p>
    <w:p w14:paraId="22BE8A06" w14:textId="77777777" w:rsidR="0015639E" w:rsidRPr="000B62D8" w:rsidRDefault="0015639E" w:rsidP="0015639E">
      <w:pPr>
        <w:spacing w:after="120"/>
        <w:jc w:val="both"/>
        <w:rPr>
          <w:lang w:val="en-AU" w:eastAsia="x-none"/>
        </w:rPr>
      </w:pPr>
    </w:p>
    <w:p w14:paraId="02C1C3AD" w14:textId="77777777" w:rsidR="0015639E" w:rsidRDefault="0015639E" w:rsidP="0015639E">
      <w:pPr>
        <w:spacing w:after="120"/>
        <w:jc w:val="both"/>
        <w:rPr>
          <w:lang w:eastAsia="x-none"/>
        </w:rPr>
      </w:pPr>
      <w:r>
        <w:t>2.</w:t>
      </w:r>
      <w:r w:rsidR="008D39AE">
        <w:t xml:space="preserve"> </w:t>
      </w:r>
      <w:r w:rsidRPr="00BA7B81">
        <w:t>Study Salat-</w:t>
      </w:r>
      <w:proofErr w:type="spellStart"/>
      <w:r w:rsidRPr="00BA7B81">
        <w:t>Baroux</w:t>
      </w:r>
      <w:proofErr w:type="spellEnd"/>
      <w:r w:rsidRPr="00BA7B81">
        <w:t xml:space="preserve"> 1988 </w:t>
      </w:r>
      <w:r w:rsidRPr="007E08BF">
        <w:t>was a</w:t>
      </w:r>
      <w:r w:rsidRPr="00082583">
        <w:t xml:space="preserve"> one-</w:t>
      </w:r>
      <w:r w:rsidRPr="00BA7B81">
        <w:t xml:space="preserve">arm, prospective study that evaluated </w:t>
      </w:r>
      <w:r w:rsidRPr="00BA7B81">
        <w:rPr>
          <w:lang w:val="x-none" w:eastAsia="x-none"/>
        </w:rPr>
        <w:t xml:space="preserve">endometrial morphology and pregnancy outcomes following the administration of </w:t>
      </w:r>
      <w:proofErr w:type="spellStart"/>
      <w:r w:rsidRPr="00BA7B81">
        <w:rPr>
          <w:lang w:val="x-none" w:eastAsia="x-none"/>
        </w:rPr>
        <w:t>Utrogestan</w:t>
      </w:r>
      <w:proofErr w:type="spellEnd"/>
      <w:r w:rsidRPr="00BA7B81">
        <w:rPr>
          <w:lang w:val="x-none" w:eastAsia="x-none"/>
        </w:rPr>
        <w:t xml:space="preserve"> and oestradiol in women without ovarian function participating in an oocyte donation program</w:t>
      </w:r>
      <w:r w:rsidRPr="00BA7B81">
        <w:rPr>
          <w:lang w:eastAsia="x-none"/>
        </w:rPr>
        <w:t xml:space="preserve">. </w:t>
      </w:r>
    </w:p>
    <w:p w14:paraId="5E7C7FDD" w14:textId="77777777" w:rsidR="0015639E" w:rsidRPr="003360B7" w:rsidRDefault="0015639E" w:rsidP="0015639E">
      <w:pPr>
        <w:spacing w:after="120"/>
        <w:jc w:val="both"/>
        <w:rPr>
          <w:szCs w:val="20"/>
        </w:rPr>
      </w:pPr>
      <w:r w:rsidRPr="003360B7">
        <w:rPr>
          <w:szCs w:val="20"/>
        </w:rPr>
        <w:t>The aim of this clinical study was to demonstrate adequate endometrial maturation in women lacking ovaries after the vaginal administration of progesterone and pregnancy after the transfer of frozen embryos, thawed in the context of oocyte donation.</w:t>
      </w:r>
    </w:p>
    <w:p w14:paraId="69422E15" w14:textId="77777777" w:rsidR="0015639E" w:rsidRPr="003360B7" w:rsidRDefault="0015639E" w:rsidP="0015639E">
      <w:pPr>
        <w:spacing w:after="120"/>
        <w:jc w:val="both"/>
        <w:rPr>
          <w:szCs w:val="20"/>
          <w:lang w:eastAsia="en-US"/>
        </w:rPr>
      </w:pPr>
      <w:r w:rsidRPr="003360B7">
        <w:rPr>
          <w:szCs w:val="20"/>
        </w:rPr>
        <w:t xml:space="preserve">One capsule of </w:t>
      </w:r>
      <w:proofErr w:type="spellStart"/>
      <w:r w:rsidRPr="003360B7">
        <w:rPr>
          <w:szCs w:val="20"/>
        </w:rPr>
        <w:t>Utrogestan</w:t>
      </w:r>
      <w:proofErr w:type="spellEnd"/>
      <w:r w:rsidRPr="003360B7">
        <w:rPr>
          <w:szCs w:val="20"/>
        </w:rPr>
        <w:t xml:space="preserve"> (100 mg natural </w:t>
      </w:r>
      <w:proofErr w:type="spellStart"/>
      <w:r w:rsidRPr="003360B7">
        <w:rPr>
          <w:szCs w:val="20"/>
        </w:rPr>
        <w:t>micronised</w:t>
      </w:r>
      <w:proofErr w:type="spellEnd"/>
      <w:r w:rsidRPr="003360B7">
        <w:rPr>
          <w:szCs w:val="20"/>
        </w:rPr>
        <w:t xml:space="preserve"> progesterone) was inserted into the vagina by the subject on Days 13 and 14 in the evening.  On Days 15 to 25 an additional capsule was inserted in the morning. The dose was then regularly increased to 300, 400, 500</w:t>
      </w:r>
      <w:r w:rsidR="005101E6">
        <w:rPr>
          <w:szCs w:val="20"/>
        </w:rPr>
        <w:t xml:space="preserve"> </w:t>
      </w:r>
      <w:r w:rsidRPr="003360B7">
        <w:rPr>
          <w:szCs w:val="20"/>
        </w:rPr>
        <w:t>and 600</w:t>
      </w:r>
      <w:r w:rsidR="005101E6">
        <w:rPr>
          <w:szCs w:val="20"/>
        </w:rPr>
        <w:t xml:space="preserve"> </w:t>
      </w:r>
      <w:r w:rsidRPr="003360B7">
        <w:rPr>
          <w:szCs w:val="20"/>
        </w:rPr>
        <w:t xml:space="preserve">mg/day maximum until Day 60.  </w:t>
      </w:r>
    </w:p>
    <w:p w14:paraId="2AEEC295" w14:textId="77777777" w:rsidR="0015639E" w:rsidRPr="003360B7" w:rsidRDefault="0015639E" w:rsidP="0015639E">
      <w:pPr>
        <w:spacing w:after="120"/>
        <w:jc w:val="both"/>
        <w:rPr>
          <w:szCs w:val="20"/>
        </w:rPr>
      </w:pPr>
      <w:r w:rsidRPr="003360B7">
        <w:rPr>
          <w:szCs w:val="20"/>
        </w:rPr>
        <w:t>The primary outcome measure was the effectiveness of vaginal progesterone as assessed by plasma progesterone concentrations (Days 13, 15 and 21) and endometrial histology.</w:t>
      </w:r>
    </w:p>
    <w:p w14:paraId="24AB97A3" w14:textId="77777777" w:rsidR="0015639E" w:rsidRPr="003360B7" w:rsidRDefault="0015639E" w:rsidP="0015639E">
      <w:pPr>
        <w:spacing w:after="120"/>
        <w:jc w:val="both"/>
        <w:rPr>
          <w:szCs w:val="20"/>
        </w:rPr>
      </w:pPr>
      <w:r w:rsidRPr="003360B7">
        <w:rPr>
          <w:szCs w:val="20"/>
        </w:rPr>
        <w:t xml:space="preserve">Endometrial biopsies on Days 21 or 22 of a substitution cycle were found to be, on average, typical of endometria on Days 21 ± 2 (average ± SD) of a normal 28-day menstrual cycle in 18 of the 22 women. In the other 4 women, 3 cases of moderate hypotrophy and 1 case of severe hypotrophy were observed. </w:t>
      </w:r>
    </w:p>
    <w:p w14:paraId="65E502F5" w14:textId="77777777" w:rsidR="0015639E" w:rsidRPr="003360B7" w:rsidRDefault="0015639E" w:rsidP="0015639E">
      <w:pPr>
        <w:spacing w:after="120"/>
        <w:jc w:val="both"/>
        <w:rPr>
          <w:szCs w:val="20"/>
        </w:rPr>
      </w:pPr>
      <w:r w:rsidRPr="003360B7">
        <w:rPr>
          <w:szCs w:val="20"/>
        </w:rPr>
        <w:t>There were 11 pregnancies out of 32 transfers (34%).</w:t>
      </w:r>
    </w:p>
    <w:p w14:paraId="1DAF5A6E" w14:textId="77777777" w:rsidR="0015639E" w:rsidRPr="003360B7" w:rsidRDefault="0015639E" w:rsidP="0015639E">
      <w:pPr>
        <w:spacing w:after="120"/>
        <w:jc w:val="both"/>
        <w:rPr>
          <w:szCs w:val="20"/>
        </w:rPr>
      </w:pPr>
      <w:r w:rsidRPr="003360B7">
        <w:rPr>
          <w:szCs w:val="20"/>
        </w:rPr>
        <w:t xml:space="preserve">In conclusion, findings from this clinical trial demonstrated that the vaginal administration of natural </w:t>
      </w:r>
      <w:proofErr w:type="spellStart"/>
      <w:r w:rsidRPr="003360B7">
        <w:rPr>
          <w:szCs w:val="20"/>
        </w:rPr>
        <w:t>micronised</w:t>
      </w:r>
      <w:proofErr w:type="spellEnd"/>
      <w:r w:rsidRPr="003360B7">
        <w:rPr>
          <w:szCs w:val="20"/>
        </w:rPr>
        <w:t xml:space="preserve"> progesterone enables an adequate maturation of the endometrium in women without functioning ovaries. </w:t>
      </w:r>
    </w:p>
    <w:p w14:paraId="6B2CF73D" w14:textId="77777777" w:rsidR="0015639E" w:rsidRPr="000B62D8" w:rsidRDefault="0015639E" w:rsidP="0015639E">
      <w:pPr>
        <w:spacing w:after="120"/>
        <w:jc w:val="both"/>
      </w:pPr>
      <w:r w:rsidRPr="000B62D8">
        <w:t>These findings are supported by a meta-analysis of 9 RCTs (1620 women</w:t>
      </w:r>
      <w:r w:rsidRPr="008D39AE">
        <w:t>)</w:t>
      </w:r>
      <w:r w:rsidR="001128D8">
        <w:t xml:space="preserve"> </w:t>
      </w:r>
      <w:r w:rsidRPr="007E08BF">
        <w:rPr>
          <w:noProof/>
        </w:rPr>
        <w:t>[van der Linden M 2012]</w:t>
      </w:r>
      <w:r w:rsidRPr="000B62D8">
        <w:t xml:space="preserve"> of varying quality comparing vaginal versus IM progesterone in women undergoing ART.  The meta-analysis showed no differences for ongoing and clinical pregnancy or live birth rate between vaginal progesterone (gel or capsule) and IM progesterone as luteal support for women undergoing ART.   Although a meta-analysis of data from 22 RCTs (3451 women) of moderate risk of bias </w:t>
      </w:r>
      <w:r w:rsidRPr="000B62D8">
        <w:lastRenderedPageBreak/>
        <w:t xml:space="preserve">found insufficient evidence to recommend any one </w:t>
      </w:r>
      <w:proofErr w:type="gramStart"/>
      <w:r w:rsidRPr="000B62D8">
        <w:t>particular protocol</w:t>
      </w:r>
      <w:proofErr w:type="gramEnd"/>
      <w:r w:rsidRPr="000B62D8">
        <w:t xml:space="preserve"> for endometrial preparation over another with regard to pregnancy rates after embryo transfers, there was evidence of a lower pregnancy rate when progesterone supplementation is commenced before oocyte retrieval in oocyte donation cycles.</w:t>
      </w:r>
    </w:p>
    <w:p w14:paraId="3715D1BA" w14:textId="77777777" w:rsidR="0015639E" w:rsidRPr="000B62D8" w:rsidRDefault="0015639E" w:rsidP="0015639E">
      <w:pPr>
        <w:pStyle w:val="BodyText"/>
        <w:rPr>
          <w:lang w:val="en-AU" w:eastAsia="en-US"/>
        </w:rPr>
      </w:pPr>
      <w:r w:rsidRPr="000B62D8">
        <w:rPr>
          <w:lang w:val="en-AU" w:eastAsia="en-US"/>
        </w:rPr>
        <w:t>The role for progesterone as support during the luteal phase of IUI cycles is not well established.  Although progesterone and hCG are both used for luteal phase support, progesterone may be the preferred over hCG because of the potential for ovarian hyperstimulation syndrome with hCG</w:t>
      </w:r>
      <w:r w:rsidR="001128D8">
        <w:t xml:space="preserve"> </w:t>
      </w:r>
      <w:r w:rsidR="001128D8" w:rsidRPr="00A73FFB">
        <w:rPr>
          <w:noProof/>
        </w:rPr>
        <w:t>[</w:t>
      </w:r>
      <w:r w:rsidR="001128D8">
        <w:rPr>
          <w:noProof/>
        </w:rPr>
        <w:t>van der Linden 2011</w:t>
      </w:r>
      <w:r w:rsidR="001128D8" w:rsidRPr="00A73FFB">
        <w:rPr>
          <w:noProof/>
        </w:rPr>
        <w:t>]</w:t>
      </w:r>
      <w:r w:rsidRPr="000B62D8">
        <w:rPr>
          <w:lang w:val="en-AU" w:eastAsia="en-US"/>
        </w:rPr>
        <w:t>.  No company-sponsored studies were conducted to support this indication.  Two meta-analyses</w:t>
      </w:r>
      <w:r w:rsidR="001128D8">
        <w:t xml:space="preserve"> </w:t>
      </w:r>
      <w:r w:rsidR="001128D8" w:rsidRPr="00A73FFB">
        <w:rPr>
          <w:noProof/>
        </w:rPr>
        <w:t>[</w:t>
      </w:r>
      <w:r w:rsidR="001128D8">
        <w:rPr>
          <w:noProof/>
        </w:rPr>
        <w:t>Hill 2013; Miralpeix 2014</w:t>
      </w:r>
      <w:r w:rsidR="001128D8" w:rsidRPr="00A73FFB">
        <w:rPr>
          <w:noProof/>
        </w:rPr>
        <w:t>]</w:t>
      </w:r>
      <w:r w:rsidR="001128D8">
        <w:rPr>
          <w:noProof/>
        </w:rPr>
        <w:t xml:space="preserve"> </w:t>
      </w:r>
      <w:r w:rsidRPr="000B62D8">
        <w:rPr>
          <w:lang w:val="en-AU" w:eastAsia="en-US"/>
        </w:rPr>
        <w:t xml:space="preserve">including the </w:t>
      </w:r>
      <w:r w:rsidRPr="000B62D8">
        <w:rPr>
          <w:lang w:val="en-US" w:eastAsia="en-US"/>
        </w:rPr>
        <w:t xml:space="preserve">same 5 open-label RCTs of mixed quality, evaluated </w:t>
      </w:r>
      <w:r w:rsidRPr="000B62D8">
        <w:rPr>
          <w:lang w:val="en-AU" w:eastAsia="en-US"/>
        </w:rPr>
        <w:t>vaginal progesterone as luteal support in the following formulations: gel (</w:t>
      </w:r>
      <w:proofErr w:type="spellStart"/>
      <w:r w:rsidRPr="000B62D8">
        <w:rPr>
          <w:lang w:val="en-AU" w:eastAsia="en-US"/>
        </w:rPr>
        <w:t>Crinone</w:t>
      </w:r>
      <w:proofErr w:type="spellEnd"/>
      <w:r w:rsidRPr="000B62D8">
        <w:rPr>
          <w:lang w:val="en-AU" w:eastAsia="en-US"/>
        </w:rPr>
        <w:t xml:space="preserve"> 8% 90 mg/day, 2 RCTs), capsules (</w:t>
      </w:r>
      <w:proofErr w:type="spellStart"/>
      <w:r w:rsidRPr="000B62D8">
        <w:rPr>
          <w:lang w:val="en-AU" w:eastAsia="en-US"/>
        </w:rPr>
        <w:t>Utrogestan</w:t>
      </w:r>
      <w:proofErr w:type="spellEnd"/>
      <w:r w:rsidRPr="000B62D8">
        <w:rPr>
          <w:lang w:val="en-AU" w:eastAsia="en-US"/>
        </w:rPr>
        <w:t xml:space="preserve"> 600 mg/day, 1 RCT), or suppositories (</w:t>
      </w:r>
      <w:proofErr w:type="spellStart"/>
      <w:r w:rsidRPr="000B62D8">
        <w:rPr>
          <w:lang w:val="en-AU" w:eastAsia="en-US"/>
        </w:rPr>
        <w:t>Cyclogest</w:t>
      </w:r>
      <w:proofErr w:type="spellEnd"/>
      <w:r w:rsidRPr="000B62D8">
        <w:rPr>
          <w:lang w:val="en-AU" w:eastAsia="en-US"/>
        </w:rPr>
        <w:t xml:space="preserve"> 400 mg/day, 2 RCTs).  Findings from these meta-analyses showed that vaginal progesterone increased the likelihood of clinical pregnancy and live birth per cycle and may be of benefit in women undergoing ovulation induction with gonadotropins, but not clomiphene citrate, during IUI.</w:t>
      </w:r>
    </w:p>
    <w:p w14:paraId="5B1B9C11" w14:textId="77777777" w:rsidR="0015639E" w:rsidRPr="003360B7" w:rsidRDefault="0015639E" w:rsidP="00256D47">
      <w:pPr>
        <w:pStyle w:val="BodyText"/>
        <w:spacing w:before="120"/>
        <w:rPr>
          <w:szCs w:val="20"/>
        </w:rPr>
      </w:pPr>
      <w:r w:rsidRPr="000B62D8">
        <w:rPr>
          <w:szCs w:val="20"/>
        </w:rPr>
        <w:t>Moreover recently, a retrospective evaluation of the luteal phase of 579 IUI cycles from 2010 to 2013 was conducted to determine the effect of luteal phase support on clinical pregnancy and live birth rates after ovulation induction and IUI</w:t>
      </w:r>
      <w:r w:rsidR="001128D8">
        <w:rPr>
          <w:szCs w:val="20"/>
        </w:rPr>
        <w:t xml:space="preserve"> </w:t>
      </w:r>
      <w:r w:rsidRPr="007E08BF">
        <w:rPr>
          <w:noProof/>
          <w:szCs w:val="20"/>
        </w:rPr>
        <w:t xml:space="preserve">[Oktem </w:t>
      </w:r>
      <w:r w:rsidR="001128D8">
        <w:rPr>
          <w:noProof/>
          <w:szCs w:val="20"/>
        </w:rPr>
        <w:t>2014</w:t>
      </w:r>
      <w:r w:rsidRPr="007E08BF">
        <w:rPr>
          <w:noProof/>
          <w:szCs w:val="20"/>
        </w:rPr>
        <w:t>]</w:t>
      </w:r>
      <w:r w:rsidRPr="000B62D8">
        <w:rPr>
          <w:rFonts w:ascii="Arial" w:hAnsi="Arial" w:cs="Arial"/>
          <w:color w:val="000000"/>
          <w:sz w:val="20"/>
          <w:szCs w:val="20"/>
          <w:shd w:val="clear" w:color="auto" w:fill="FFFFFF"/>
        </w:rPr>
        <w:t>.</w:t>
      </w:r>
      <w:r w:rsidRPr="000B62D8">
        <w:rPr>
          <w:szCs w:val="20"/>
        </w:rPr>
        <w:t xml:space="preserve">  Ovarian stimulation was performed with gonadotropins, and recombinant hCG was used for ovulation triggering. The use of vaginal progesterone gel (</w:t>
      </w:r>
      <w:proofErr w:type="spellStart"/>
      <w:r w:rsidRPr="000B62D8">
        <w:rPr>
          <w:szCs w:val="20"/>
        </w:rPr>
        <w:t>Crinone</w:t>
      </w:r>
      <w:proofErr w:type="spellEnd"/>
      <w:r w:rsidRPr="000B62D8">
        <w:rPr>
          <w:szCs w:val="20"/>
        </w:rPr>
        <w:t xml:space="preserve">) or </w:t>
      </w:r>
      <w:proofErr w:type="spellStart"/>
      <w:r w:rsidRPr="000B62D8">
        <w:rPr>
          <w:szCs w:val="20"/>
        </w:rPr>
        <w:t>micronised</w:t>
      </w:r>
      <w:proofErr w:type="spellEnd"/>
      <w:r w:rsidRPr="000B62D8">
        <w:rPr>
          <w:szCs w:val="20"/>
        </w:rPr>
        <w:t xml:space="preserve"> progesterone vaginal capsules (</w:t>
      </w:r>
      <w:proofErr w:type="spellStart"/>
      <w:r>
        <w:rPr>
          <w:szCs w:val="20"/>
        </w:rPr>
        <w:t>Besins</w:t>
      </w:r>
      <w:proofErr w:type="spellEnd"/>
      <w:r>
        <w:rPr>
          <w:szCs w:val="20"/>
        </w:rPr>
        <w:t xml:space="preserve"> progesterone capsules</w:t>
      </w:r>
      <w:r w:rsidRPr="000B62D8">
        <w:rPr>
          <w:szCs w:val="20"/>
        </w:rPr>
        <w:t xml:space="preserve">) were found to significantly improve clinical pregnancy rates.  </w:t>
      </w:r>
    </w:p>
    <w:p w14:paraId="4D3F2DAA" w14:textId="77777777" w:rsidR="00727172" w:rsidRDefault="00727172" w:rsidP="00727172">
      <w:pPr>
        <w:spacing w:after="120"/>
        <w:jc w:val="both"/>
        <w:rPr>
          <w:lang w:eastAsia="x-none"/>
        </w:rPr>
      </w:pPr>
    </w:p>
    <w:p w14:paraId="0BC7A568" w14:textId="77777777" w:rsidR="00727172" w:rsidRPr="00BA7B81" w:rsidRDefault="00727172" w:rsidP="00727172">
      <w:pPr>
        <w:spacing w:after="120"/>
        <w:jc w:val="both"/>
        <w:rPr>
          <w:b/>
          <w:i/>
          <w:szCs w:val="20"/>
        </w:rPr>
      </w:pPr>
      <w:r w:rsidRPr="00BA7B81">
        <w:rPr>
          <w:b/>
          <w:i/>
          <w:szCs w:val="20"/>
        </w:rPr>
        <w:t>Support during pregnancy</w:t>
      </w:r>
    </w:p>
    <w:p w14:paraId="052147AC" w14:textId="77777777" w:rsidR="000E73A6" w:rsidRPr="00E61F0F" w:rsidRDefault="000E73A6" w:rsidP="00727172">
      <w:pPr>
        <w:spacing w:after="120"/>
        <w:jc w:val="both"/>
        <w:rPr>
          <w:b/>
          <w:bCs/>
          <w:i/>
          <w:iCs/>
        </w:rPr>
      </w:pPr>
      <w:r w:rsidRPr="00E61F0F">
        <w:rPr>
          <w:b/>
          <w:bCs/>
          <w:i/>
          <w:iCs/>
        </w:rPr>
        <w:t>Prevention of Pre-term birth</w:t>
      </w:r>
    </w:p>
    <w:p w14:paraId="68C7507F" w14:textId="77777777" w:rsidR="00727172" w:rsidRPr="00BA7B81" w:rsidRDefault="00727172" w:rsidP="00727172">
      <w:pPr>
        <w:spacing w:after="120"/>
        <w:jc w:val="both"/>
        <w:rPr>
          <w:lang w:eastAsia="x-none"/>
        </w:rPr>
      </w:pPr>
      <w:r w:rsidRPr="00BA7B81">
        <w:t>Study UTRO-200-PTD (MISTERI) 2014 was an open-label, multicentre, one-arm phase III study that evaluated</w:t>
      </w:r>
      <w:r w:rsidRPr="00BA7B81">
        <w:rPr>
          <w:lang w:val="x-none" w:eastAsia="x-none"/>
        </w:rPr>
        <w:t xml:space="preserve"> whet</w:t>
      </w:r>
      <w:r w:rsidR="00164C78">
        <w:rPr>
          <w:lang w:val="x-none" w:eastAsia="x-none"/>
        </w:rPr>
        <w:t xml:space="preserve">her the prophylactic use of 200 </w:t>
      </w:r>
      <w:r w:rsidRPr="00BA7B81">
        <w:rPr>
          <w:lang w:val="x-none" w:eastAsia="x-none"/>
        </w:rPr>
        <w:t>mg vagi</w:t>
      </w:r>
      <w:r w:rsidR="00164C78">
        <w:rPr>
          <w:lang w:val="x-none" w:eastAsia="x-none"/>
        </w:rPr>
        <w:t xml:space="preserve">nal progesterone daily in weeks </w:t>
      </w:r>
      <w:r w:rsidRPr="00BA7B81">
        <w:rPr>
          <w:lang w:val="x-none" w:eastAsia="x-none"/>
        </w:rPr>
        <w:t>19-34 of pregnancy reduces the rate of preterm birth in women at high risk for preterm birth</w:t>
      </w:r>
      <w:r w:rsidRPr="00BA7B81">
        <w:rPr>
          <w:lang w:eastAsia="x-none"/>
        </w:rPr>
        <w:t xml:space="preserve">. </w:t>
      </w:r>
    </w:p>
    <w:p w14:paraId="41680F20" w14:textId="77777777" w:rsidR="00727172" w:rsidRPr="00483431" w:rsidRDefault="00727172" w:rsidP="00727172">
      <w:pPr>
        <w:spacing w:after="120"/>
        <w:jc w:val="both"/>
        <w:rPr>
          <w:szCs w:val="20"/>
        </w:rPr>
      </w:pPr>
      <w:r w:rsidRPr="00483431">
        <w:rPr>
          <w:szCs w:val="20"/>
        </w:rPr>
        <w:t>The primary objective of the study was to improve obstetric outcomes by prolonging pregnancy and thereby reducing the rate of pre</w:t>
      </w:r>
      <w:r w:rsidR="00164C78">
        <w:rPr>
          <w:szCs w:val="20"/>
        </w:rPr>
        <w:t xml:space="preserve">term birth (birth prior to 34+0 </w:t>
      </w:r>
      <w:r w:rsidRPr="00483431">
        <w:rPr>
          <w:szCs w:val="20"/>
        </w:rPr>
        <w:t>week</w:t>
      </w:r>
      <w:r w:rsidR="00164C78">
        <w:rPr>
          <w:szCs w:val="20"/>
        </w:rPr>
        <w:t xml:space="preserve">s) with prophylactic use of 200 </w:t>
      </w:r>
      <w:r w:rsidRPr="00483431">
        <w:rPr>
          <w:szCs w:val="20"/>
        </w:rPr>
        <w:t>mg/day natural progesterone (</w:t>
      </w:r>
      <w:proofErr w:type="spellStart"/>
      <w:r w:rsidRPr="00483431">
        <w:rPr>
          <w:szCs w:val="20"/>
        </w:rPr>
        <w:t>Utrogestan</w:t>
      </w:r>
      <w:proofErr w:type="spellEnd"/>
      <w:r w:rsidRPr="00483431">
        <w:rPr>
          <w:szCs w:val="20"/>
        </w:rPr>
        <w:t xml:space="preserve">) in weeks 19-34 of gestation in women at high risk for preterm birth compared to the population at risk of preterm birth.  </w:t>
      </w:r>
    </w:p>
    <w:p w14:paraId="5019032F" w14:textId="77777777" w:rsidR="00727172" w:rsidRPr="00483431" w:rsidRDefault="00727172" w:rsidP="00727172">
      <w:pPr>
        <w:spacing w:after="120"/>
        <w:jc w:val="both"/>
        <w:rPr>
          <w:szCs w:val="20"/>
        </w:rPr>
      </w:pPr>
      <w:r w:rsidRPr="00483431">
        <w:rPr>
          <w:szCs w:val="20"/>
        </w:rPr>
        <w:t>All patients (N = 220) who enr</w:t>
      </w:r>
      <w:r w:rsidR="00164C78">
        <w:rPr>
          <w:szCs w:val="20"/>
        </w:rPr>
        <w:t xml:space="preserve">olled in the study received 200 </w:t>
      </w:r>
      <w:r w:rsidRPr="00483431">
        <w:rPr>
          <w:szCs w:val="20"/>
        </w:rPr>
        <w:t xml:space="preserve">mg/day </w:t>
      </w:r>
      <w:proofErr w:type="spellStart"/>
      <w:r w:rsidRPr="00483431">
        <w:rPr>
          <w:szCs w:val="20"/>
        </w:rPr>
        <w:t>Ut</w:t>
      </w:r>
      <w:r w:rsidR="00164C78">
        <w:rPr>
          <w:szCs w:val="20"/>
        </w:rPr>
        <w:t>rogestan</w:t>
      </w:r>
      <w:proofErr w:type="spellEnd"/>
      <w:r w:rsidR="00164C78">
        <w:rPr>
          <w:szCs w:val="20"/>
        </w:rPr>
        <w:t xml:space="preserve"> vaginally for 10 to 15 </w:t>
      </w:r>
      <w:r w:rsidRPr="00483431">
        <w:rPr>
          <w:szCs w:val="20"/>
        </w:rPr>
        <w:t>weeks, depending on the gestational age at enrolment.  Treatment w</w:t>
      </w:r>
      <w:r w:rsidR="00164C78">
        <w:rPr>
          <w:szCs w:val="20"/>
        </w:rPr>
        <w:t xml:space="preserve">as started no earlier than week </w:t>
      </w:r>
      <w:r w:rsidRPr="00483431">
        <w:rPr>
          <w:szCs w:val="20"/>
        </w:rPr>
        <w:t>19+0 and no later than week</w:t>
      </w:r>
      <w:r w:rsidR="00164C78">
        <w:rPr>
          <w:szCs w:val="20"/>
        </w:rPr>
        <w:t xml:space="preserve"> </w:t>
      </w:r>
      <w:r w:rsidRPr="00483431">
        <w:rPr>
          <w:szCs w:val="20"/>
        </w:rPr>
        <w:t>24+0 of pregnancy and the maxim</w:t>
      </w:r>
      <w:r w:rsidR="00164C78">
        <w:rPr>
          <w:szCs w:val="20"/>
        </w:rPr>
        <w:t xml:space="preserve">um duration of treatment was 15 </w:t>
      </w:r>
      <w:r w:rsidRPr="00483431">
        <w:rPr>
          <w:szCs w:val="20"/>
        </w:rPr>
        <w:t>weeks (weeks</w:t>
      </w:r>
      <w:r w:rsidR="00164C78">
        <w:rPr>
          <w:szCs w:val="20"/>
        </w:rPr>
        <w:t xml:space="preserve"> </w:t>
      </w:r>
      <w:r w:rsidRPr="00483431">
        <w:rPr>
          <w:szCs w:val="20"/>
        </w:rPr>
        <w:t xml:space="preserve">19 to 34 of gestation).  </w:t>
      </w:r>
    </w:p>
    <w:p w14:paraId="6A9C03A1" w14:textId="77777777" w:rsidR="00727172" w:rsidRPr="00483431" w:rsidRDefault="00164C78" w:rsidP="00256D47">
      <w:pPr>
        <w:widowControl w:val="0"/>
        <w:spacing w:after="120"/>
        <w:jc w:val="both"/>
        <w:rPr>
          <w:szCs w:val="20"/>
        </w:rPr>
      </w:pPr>
      <w:r>
        <w:rPr>
          <w:szCs w:val="20"/>
        </w:rPr>
        <w:t>One</w:t>
      </w:r>
      <w:r w:rsidR="006F1A9A">
        <w:rPr>
          <w:szCs w:val="20"/>
        </w:rPr>
        <w:t xml:space="preserve"> </w:t>
      </w:r>
      <w:r>
        <w:rPr>
          <w:szCs w:val="20"/>
        </w:rPr>
        <w:t xml:space="preserve">hundred and ten (110) </w:t>
      </w:r>
      <w:r w:rsidR="00727172" w:rsidRPr="00483431">
        <w:rPr>
          <w:szCs w:val="20"/>
        </w:rPr>
        <w:t>patients were grouped as:</w:t>
      </w:r>
    </w:p>
    <w:p w14:paraId="7E44245B" w14:textId="77777777" w:rsidR="00727172" w:rsidRPr="00483431" w:rsidRDefault="00727172" w:rsidP="00256D47">
      <w:pPr>
        <w:widowControl w:val="0"/>
        <w:numPr>
          <w:ilvl w:val="0"/>
          <w:numId w:val="10"/>
        </w:numPr>
        <w:spacing w:after="120"/>
        <w:ind w:left="426" w:hanging="284"/>
        <w:jc w:val="both"/>
        <w:rPr>
          <w:rFonts w:eastAsia="MS Minngs"/>
          <w:kern w:val="24"/>
          <w:lang w:val="en-US"/>
        </w:rPr>
      </w:pPr>
      <w:r w:rsidRPr="00483431">
        <w:rPr>
          <w:rFonts w:eastAsia="MS Minngs"/>
          <w:kern w:val="24"/>
          <w:lang w:val="en-US"/>
        </w:rPr>
        <w:t>Patients with a shortened cer</w:t>
      </w:r>
      <w:r w:rsidR="00164C78">
        <w:rPr>
          <w:rFonts w:eastAsia="MS Minngs"/>
          <w:kern w:val="24"/>
          <w:lang w:val="en-US"/>
        </w:rPr>
        <w:t>vix (uterine cervix length of &gt;10 and &lt;</w:t>
      </w:r>
      <w:r w:rsidRPr="00483431">
        <w:rPr>
          <w:rFonts w:eastAsia="MS Minngs"/>
          <w:kern w:val="24"/>
          <w:lang w:val="en-US"/>
        </w:rPr>
        <w:t>25</w:t>
      </w:r>
      <w:r w:rsidR="00164C78">
        <w:rPr>
          <w:rFonts w:eastAsia="MS Minngs"/>
          <w:kern w:val="24"/>
          <w:lang w:val="en-US"/>
        </w:rPr>
        <w:t xml:space="preserve"> </w:t>
      </w:r>
      <w:r w:rsidRPr="00483431">
        <w:rPr>
          <w:rFonts w:eastAsia="MS Minngs"/>
          <w:kern w:val="24"/>
          <w:lang w:val="en-US"/>
        </w:rPr>
        <w:t xml:space="preserve">mm at weeks 18-24 of gestation) and </w:t>
      </w:r>
    </w:p>
    <w:p w14:paraId="1733B457" w14:textId="77777777" w:rsidR="00727172" w:rsidRPr="00483431" w:rsidRDefault="00727172" w:rsidP="00256D47">
      <w:pPr>
        <w:widowControl w:val="0"/>
        <w:numPr>
          <w:ilvl w:val="0"/>
          <w:numId w:val="10"/>
        </w:numPr>
        <w:spacing w:after="120"/>
        <w:ind w:left="426" w:hanging="284"/>
        <w:jc w:val="both"/>
        <w:rPr>
          <w:rFonts w:eastAsia="MS Minngs"/>
          <w:kern w:val="24"/>
          <w:lang w:val="en-US"/>
        </w:rPr>
      </w:pPr>
      <w:r w:rsidRPr="00483431">
        <w:rPr>
          <w:rFonts w:eastAsia="MS Minngs"/>
          <w:kern w:val="24"/>
          <w:lang w:val="en-US"/>
        </w:rPr>
        <w:t>Patients with anamnestic risk factors (a prior preterm birth or premature rupture of membranes).</w:t>
      </w:r>
    </w:p>
    <w:p w14:paraId="359A3C0E" w14:textId="77777777" w:rsidR="00727172" w:rsidRPr="00483431" w:rsidRDefault="00727172" w:rsidP="00727172">
      <w:pPr>
        <w:spacing w:after="120"/>
        <w:jc w:val="both"/>
        <w:rPr>
          <w:szCs w:val="20"/>
        </w:rPr>
      </w:pPr>
      <w:r w:rsidRPr="00483431">
        <w:rPr>
          <w:szCs w:val="20"/>
        </w:rPr>
        <w:t>Patients with both risk factors were included in the shortened cervix group.</w:t>
      </w:r>
    </w:p>
    <w:p w14:paraId="78FEC5BE" w14:textId="77777777" w:rsidR="00727172" w:rsidRPr="00483431" w:rsidRDefault="00727172" w:rsidP="00727172">
      <w:pPr>
        <w:spacing w:after="120"/>
        <w:jc w:val="both"/>
        <w:rPr>
          <w:szCs w:val="20"/>
        </w:rPr>
      </w:pPr>
      <w:r w:rsidRPr="00483431">
        <w:rPr>
          <w:szCs w:val="20"/>
        </w:rPr>
        <w:t>The investigators concluded that, according to the data generated in the study, the risk of preterm birth prior to 34</w:t>
      </w:r>
      <w:r w:rsidR="00164C78">
        <w:rPr>
          <w:szCs w:val="20"/>
        </w:rPr>
        <w:t xml:space="preserve"> </w:t>
      </w:r>
      <w:r w:rsidRPr="00483431">
        <w:rPr>
          <w:szCs w:val="20"/>
        </w:rPr>
        <w:t xml:space="preserve">weeks was effectively reduced by treatment with vaginal </w:t>
      </w:r>
      <w:proofErr w:type="spellStart"/>
      <w:r w:rsidRPr="00483431">
        <w:rPr>
          <w:szCs w:val="20"/>
        </w:rPr>
        <w:t>Utrogestan</w:t>
      </w:r>
      <w:proofErr w:type="spellEnd"/>
      <w:r w:rsidRPr="00483431">
        <w:rPr>
          <w:szCs w:val="20"/>
        </w:rPr>
        <w:t xml:space="preserve"> 200</w:t>
      </w:r>
      <w:r w:rsidR="00164C78">
        <w:rPr>
          <w:szCs w:val="20"/>
        </w:rPr>
        <w:t xml:space="preserve"> </w:t>
      </w:r>
      <w:r w:rsidRPr="00483431">
        <w:rPr>
          <w:szCs w:val="20"/>
        </w:rPr>
        <w:t xml:space="preserve">mg </w:t>
      </w:r>
      <w:r w:rsidRPr="00483431">
        <w:rPr>
          <w:szCs w:val="20"/>
        </w:rPr>
        <w:lastRenderedPageBreak/>
        <w:t>capsules in patients with preterm birth risk factors (cervical shortening and medical history of preterm birth and/or preterm premature rupture of membranes).</w:t>
      </w:r>
    </w:p>
    <w:p w14:paraId="60F4F000" w14:textId="77777777" w:rsidR="00DA4777" w:rsidRPr="00DA406E" w:rsidRDefault="00727172" w:rsidP="00727172">
      <w:pPr>
        <w:spacing w:after="120"/>
        <w:jc w:val="both"/>
        <w:rPr>
          <w:szCs w:val="20"/>
          <w:lang w:val="en-US"/>
        </w:rPr>
      </w:pPr>
      <w:r w:rsidRPr="00483431">
        <w:rPr>
          <w:szCs w:val="20"/>
          <w:lang w:val="en-US"/>
        </w:rPr>
        <w:t xml:space="preserve">The company-sponsored study </w:t>
      </w:r>
      <w:r w:rsidR="00EA00EB">
        <w:rPr>
          <w:szCs w:val="20"/>
          <w:lang w:val="en-US"/>
        </w:rPr>
        <w:t>is</w:t>
      </w:r>
      <w:r w:rsidR="00EA00EB" w:rsidRPr="00483431">
        <w:rPr>
          <w:szCs w:val="20"/>
          <w:lang w:val="en-US"/>
        </w:rPr>
        <w:t xml:space="preserve"> </w:t>
      </w:r>
      <w:r w:rsidRPr="00DA406E">
        <w:rPr>
          <w:szCs w:val="20"/>
          <w:lang w:val="en-US"/>
        </w:rPr>
        <w:t xml:space="preserve">supported by </w:t>
      </w:r>
      <w:r w:rsidR="00DA4777" w:rsidRPr="00DA406E">
        <w:rPr>
          <w:szCs w:val="20"/>
          <w:lang w:val="en-US"/>
        </w:rPr>
        <w:t xml:space="preserve">systematic reviews, meta-analyses and numerous investigator-sponsored studies similarly showing a significantly lower risk of preterm birth before 34 weeks gestation in women with a short cervix </w:t>
      </w:r>
      <w:r w:rsidR="001128D8">
        <w:rPr>
          <w:szCs w:val="20"/>
          <w:lang w:val="en-US"/>
        </w:rPr>
        <w:t>and/</w:t>
      </w:r>
      <w:r w:rsidR="00DA4777" w:rsidRPr="00DA406E">
        <w:rPr>
          <w:szCs w:val="20"/>
          <w:lang w:val="en-US"/>
        </w:rPr>
        <w:t>or a history of preterm birth.</w:t>
      </w:r>
    </w:p>
    <w:p w14:paraId="2FA81215" w14:textId="77777777" w:rsidR="00DA4777" w:rsidRPr="0010625E" w:rsidRDefault="0010625E" w:rsidP="00727172">
      <w:pPr>
        <w:spacing w:after="120"/>
        <w:jc w:val="both"/>
        <w:rPr>
          <w:szCs w:val="20"/>
          <w:u w:val="single"/>
          <w:lang w:val="en-US"/>
        </w:rPr>
      </w:pPr>
      <w:r w:rsidRPr="0010625E">
        <w:rPr>
          <w:szCs w:val="20"/>
          <w:u w:val="single"/>
          <w:lang w:val="en-US"/>
        </w:rPr>
        <w:t>Short Cervix</w:t>
      </w:r>
      <w:r w:rsidR="00BB7367">
        <w:rPr>
          <w:szCs w:val="20"/>
          <w:u w:val="single"/>
          <w:lang w:val="en-US"/>
        </w:rPr>
        <w:t xml:space="preserve"> </w:t>
      </w:r>
      <w:r w:rsidR="00010E6A">
        <w:rPr>
          <w:szCs w:val="20"/>
          <w:u w:val="single"/>
          <w:lang w:val="en-US"/>
        </w:rPr>
        <w:t>and/or history of Preterm birth</w:t>
      </w:r>
    </w:p>
    <w:p w14:paraId="5DCA808D" w14:textId="77777777" w:rsidR="00CA2345" w:rsidRDefault="00DA4777" w:rsidP="00727172">
      <w:pPr>
        <w:spacing w:after="120"/>
        <w:jc w:val="both"/>
        <w:rPr>
          <w:szCs w:val="20"/>
          <w:lang w:val="en-US"/>
        </w:rPr>
      </w:pPr>
      <w:r w:rsidRPr="00DA406E">
        <w:rPr>
          <w:szCs w:val="20"/>
          <w:lang w:val="en-US"/>
        </w:rPr>
        <w:t xml:space="preserve">Fonseca 2007 was a </w:t>
      </w:r>
      <w:proofErr w:type="spellStart"/>
      <w:r w:rsidRPr="00DA406E">
        <w:rPr>
          <w:szCs w:val="20"/>
          <w:lang w:val="en-US"/>
        </w:rPr>
        <w:t>randomi</w:t>
      </w:r>
      <w:r w:rsidR="001128D8">
        <w:rPr>
          <w:szCs w:val="20"/>
          <w:lang w:val="en-US"/>
        </w:rPr>
        <w:t>s</w:t>
      </w:r>
      <w:r w:rsidRPr="00DA406E">
        <w:rPr>
          <w:szCs w:val="20"/>
          <w:lang w:val="en-US"/>
        </w:rPr>
        <w:t>ed</w:t>
      </w:r>
      <w:proofErr w:type="spellEnd"/>
      <w:r w:rsidRPr="00DA406E">
        <w:rPr>
          <w:szCs w:val="20"/>
          <w:lang w:val="en-US"/>
        </w:rPr>
        <w:t xml:space="preserve">, </w:t>
      </w:r>
      <w:r w:rsidR="00727172" w:rsidRPr="00DA406E">
        <w:rPr>
          <w:szCs w:val="20"/>
          <w:lang w:val="en-US"/>
        </w:rPr>
        <w:t>double</w:t>
      </w:r>
      <w:r w:rsidR="00727172" w:rsidRPr="00483431">
        <w:rPr>
          <w:szCs w:val="20"/>
          <w:lang w:val="en-US"/>
        </w:rPr>
        <w:t xml:space="preserve">-blind, placebo-controlled </w:t>
      </w:r>
      <w:r>
        <w:rPr>
          <w:szCs w:val="20"/>
          <w:lang w:val="en-US"/>
        </w:rPr>
        <w:t xml:space="preserve">trial </w:t>
      </w:r>
      <w:r w:rsidR="001128D8">
        <w:rPr>
          <w:szCs w:val="20"/>
          <w:lang w:val="en-US"/>
        </w:rPr>
        <w:t>that</w:t>
      </w:r>
      <w:r w:rsidR="00F9361A">
        <w:rPr>
          <w:szCs w:val="20"/>
          <w:lang w:val="en-US"/>
        </w:rPr>
        <w:t xml:space="preserve"> examine</w:t>
      </w:r>
      <w:r w:rsidR="001128D8">
        <w:rPr>
          <w:szCs w:val="20"/>
          <w:lang w:val="en-US"/>
        </w:rPr>
        <w:t>d</w:t>
      </w:r>
      <w:r w:rsidR="00F9361A">
        <w:rPr>
          <w:szCs w:val="20"/>
          <w:lang w:val="en-US"/>
        </w:rPr>
        <w:t xml:space="preserve"> the effects of vaginal progesterone </w:t>
      </w:r>
      <w:r w:rsidR="001128D8">
        <w:rPr>
          <w:szCs w:val="20"/>
          <w:lang w:val="en-US"/>
        </w:rPr>
        <w:t>for</w:t>
      </w:r>
      <w:r w:rsidR="00F9361A">
        <w:rPr>
          <w:szCs w:val="20"/>
          <w:lang w:val="en-US"/>
        </w:rPr>
        <w:t xml:space="preserve"> the prevention of preterm birth in women with a short cervix. In this study women were allocated to receive either </w:t>
      </w:r>
      <w:proofErr w:type="spellStart"/>
      <w:r w:rsidR="00F9361A">
        <w:rPr>
          <w:szCs w:val="20"/>
          <w:lang w:val="en-US"/>
        </w:rPr>
        <w:t>Utrogestan</w:t>
      </w:r>
      <w:proofErr w:type="spellEnd"/>
      <w:r w:rsidR="00F9361A">
        <w:rPr>
          <w:szCs w:val="20"/>
          <w:lang w:val="en-US"/>
        </w:rPr>
        <w:t xml:space="preserve"> 200 mg/day or placebo from 24 to 34 weeks gestation with the primary aim to measure the frequency of spontaneous preterm delivery at &lt;34 weeks of gestation. Patients treated with </w:t>
      </w:r>
      <w:proofErr w:type="spellStart"/>
      <w:r w:rsidR="00F9361A">
        <w:rPr>
          <w:szCs w:val="20"/>
          <w:lang w:val="en-US"/>
        </w:rPr>
        <w:t>Utrogestan</w:t>
      </w:r>
      <w:proofErr w:type="spellEnd"/>
      <w:r w:rsidR="00F9361A">
        <w:rPr>
          <w:szCs w:val="20"/>
          <w:lang w:val="en-US"/>
        </w:rPr>
        <w:t xml:space="preserve"> had a lower rate of preterm delivery (&lt;34 weeks) than those in the placebo group [19.2% (24/125) vs 34.4% (43/125)]. </w:t>
      </w:r>
    </w:p>
    <w:p w14:paraId="3CB281A8" w14:textId="77777777" w:rsidR="005E7296" w:rsidRDefault="005E7296" w:rsidP="00DA406E">
      <w:pPr>
        <w:spacing w:after="120"/>
        <w:jc w:val="both"/>
        <w:rPr>
          <w:szCs w:val="20"/>
          <w:lang w:val="en-US"/>
        </w:rPr>
      </w:pPr>
      <w:r>
        <w:rPr>
          <w:szCs w:val="20"/>
          <w:lang w:val="en-US"/>
        </w:rPr>
        <w:t xml:space="preserve">Norman 2016 [OPPTIMUM study] was a double-blind, placebo-controlled </w:t>
      </w:r>
      <w:proofErr w:type="spellStart"/>
      <w:r>
        <w:rPr>
          <w:szCs w:val="20"/>
          <w:lang w:val="en-US"/>
        </w:rPr>
        <w:t>randomi</w:t>
      </w:r>
      <w:r w:rsidR="001128D8">
        <w:rPr>
          <w:szCs w:val="20"/>
          <w:lang w:val="en-US"/>
        </w:rPr>
        <w:t>s</w:t>
      </w:r>
      <w:r>
        <w:rPr>
          <w:szCs w:val="20"/>
          <w:lang w:val="en-US"/>
        </w:rPr>
        <w:t>ed</w:t>
      </w:r>
      <w:proofErr w:type="spellEnd"/>
      <w:r>
        <w:rPr>
          <w:szCs w:val="20"/>
          <w:lang w:val="en-US"/>
        </w:rPr>
        <w:t xml:space="preserve"> clinical trial conducted in a heterogeneous group of women at risk of PTB to determine whether vaginal progesterone </w:t>
      </w:r>
      <w:r w:rsidR="00DF62F2">
        <w:rPr>
          <w:szCs w:val="20"/>
          <w:lang w:val="en-US"/>
        </w:rPr>
        <w:t xml:space="preserve">(200 mg daily from 22-24 weeks to 34 weeks of gestation) reduced the risk of preterm birth. The study also assessed whether progesterone </w:t>
      </w:r>
      <w:r w:rsidR="00363779">
        <w:rPr>
          <w:szCs w:val="20"/>
          <w:lang w:val="en-US"/>
        </w:rPr>
        <w:t>prophylaxis</w:t>
      </w:r>
      <w:r w:rsidR="00DF62F2">
        <w:rPr>
          <w:szCs w:val="20"/>
          <w:lang w:val="en-US"/>
        </w:rPr>
        <w:t xml:space="preserve"> affect</w:t>
      </w:r>
      <w:r w:rsidR="00363779">
        <w:rPr>
          <w:szCs w:val="20"/>
          <w:lang w:val="en-US"/>
        </w:rPr>
        <w:t>s</w:t>
      </w:r>
      <w:r w:rsidR="00DF62F2">
        <w:rPr>
          <w:szCs w:val="20"/>
          <w:lang w:val="en-US"/>
        </w:rPr>
        <w:t xml:space="preserve"> neonatal and childhood outcomes.</w:t>
      </w:r>
    </w:p>
    <w:p w14:paraId="2724DB1B" w14:textId="77777777" w:rsidR="00676439" w:rsidRDefault="00DF62F2" w:rsidP="00DA406E">
      <w:pPr>
        <w:spacing w:after="120"/>
        <w:jc w:val="both"/>
        <w:rPr>
          <w:szCs w:val="20"/>
          <w:lang w:val="en-AU"/>
        </w:rPr>
      </w:pPr>
      <w:r w:rsidRPr="00DF62F2">
        <w:rPr>
          <w:szCs w:val="20"/>
          <w:lang w:val="en-AU"/>
        </w:rPr>
        <w:t xml:space="preserve">Although the odds ratios (OR) </w:t>
      </w:r>
      <w:proofErr w:type="gramStart"/>
      <w:r w:rsidRPr="00DF62F2">
        <w:rPr>
          <w:szCs w:val="20"/>
          <w:lang w:val="en-AU"/>
        </w:rPr>
        <w:t>was</w:t>
      </w:r>
      <w:proofErr w:type="gramEnd"/>
      <w:r w:rsidRPr="00DF62F2">
        <w:rPr>
          <w:szCs w:val="20"/>
          <w:lang w:val="en-AU"/>
        </w:rPr>
        <w:t xml:space="preserve"> in the direction of benefit, administration of progesterone did not significantly alter the risk of obstetric outcomes (</w:t>
      </w:r>
      <w:proofErr w:type="spellStart"/>
      <w:r w:rsidRPr="00DF62F2">
        <w:rPr>
          <w:szCs w:val="20"/>
          <w:lang w:val="en-AU"/>
        </w:rPr>
        <w:t>fetal</w:t>
      </w:r>
      <w:proofErr w:type="spellEnd"/>
      <w:r w:rsidRPr="00DF62F2">
        <w:rPr>
          <w:szCs w:val="20"/>
          <w:lang w:val="en-AU"/>
        </w:rPr>
        <w:t xml:space="preserve"> death or birth &lt;34 weeks; OR 0.86) or neonatal outcome (a composite of death, brain injury or bronchopulmonary dysplasia; OR 0.62) in this heterogeneous population of women at risk of PTB</w:t>
      </w:r>
      <w:r>
        <w:rPr>
          <w:szCs w:val="20"/>
          <w:lang w:val="en-AU"/>
        </w:rPr>
        <w:t xml:space="preserve">. </w:t>
      </w:r>
      <w:r w:rsidR="00363779">
        <w:rPr>
          <w:szCs w:val="20"/>
          <w:lang w:val="en-AU"/>
        </w:rPr>
        <w:t xml:space="preserve">Progesterone prophylaxis for preterm birth had no effect on childhood </w:t>
      </w:r>
      <w:r w:rsidR="00363779" w:rsidRPr="00363779">
        <w:rPr>
          <w:szCs w:val="20"/>
          <w:lang w:val="en-AU"/>
        </w:rPr>
        <w:t xml:space="preserve">outcomes </w:t>
      </w:r>
      <w:r w:rsidR="00363779" w:rsidRPr="00CA2993">
        <w:rPr>
          <w:szCs w:val="20"/>
          <w:lang w:val="en-AU"/>
        </w:rPr>
        <w:t>(at 2 years).</w:t>
      </w:r>
    </w:p>
    <w:p w14:paraId="4BF662D0" w14:textId="77777777" w:rsidR="00676439" w:rsidRPr="00676439" w:rsidRDefault="00676439" w:rsidP="00676439">
      <w:pPr>
        <w:spacing w:after="120"/>
        <w:jc w:val="both"/>
        <w:rPr>
          <w:szCs w:val="20"/>
          <w:lang w:val="en-AU"/>
        </w:rPr>
      </w:pPr>
      <w:r w:rsidRPr="00676439">
        <w:rPr>
          <w:szCs w:val="20"/>
          <w:lang w:val="en-AU"/>
        </w:rPr>
        <w:t>The OPPTIMUM trial reported a non-significant 38% reduction in the risk of neonatal death or serious neonatal morbidity, which is very similar to the 4</w:t>
      </w:r>
      <w:r w:rsidR="00CC3C42">
        <w:rPr>
          <w:szCs w:val="20"/>
          <w:lang w:val="en-AU"/>
        </w:rPr>
        <w:t>3</w:t>
      </w:r>
      <w:r w:rsidRPr="00676439">
        <w:rPr>
          <w:szCs w:val="20"/>
          <w:lang w:val="en-AU"/>
        </w:rPr>
        <w:t>% significant reduction in the risk of composite neonatal morbidity and mortality found in</w:t>
      </w:r>
      <w:r>
        <w:rPr>
          <w:szCs w:val="20"/>
          <w:lang w:val="en-AU"/>
        </w:rPr>
        <w:t xml:space="preserve"> a </w:t>
      </w:r>
      <w:r w:rsidRPr="00676439">
        <w:rPr>
          <w:szCs w:val="20"/>
          <w:lang w:val="en-AU"/>
        </w:rPr>
        <w:t>previous</w:t>
      </w:r>
      <w:r>
        <w:rPr>
          <w:szCs w:val="20"/>
          <w:lang w:val="en-AU"/>
        </w:rPr>
        <w:t xml:space="preserve"> Individual Patient Data</w:t>
      </w:r>
      <w:r w:rsidR="00CC3C42">
        <w:rPr>
          <w:szCs w:val="20"/>
          <w:lang w:val="en-AU"/>
        </w:rPr>
        <w:t xml:space="preserve"> (IPD)</w:t>
      </w:r>
      <w:r>
        <w:rPr>
          <w:szCs w:val="20"/>
          <w:lang w:val="en-AU"/>
        </w:rPr>
        <w:t xml:space="preserve"> M</w:t>
      </w:r>
      <w:r w:rsidRPr="00676439">
        <w:rPr>
          <w:szCs w:val="20"/>
          <w:lang w:val="en-AU"/>
        </w:rPr>
        <w:t>eta-analysis</w:t>
      </w:r>
      <w:r>
        <w:rPr>
          <w:szCs w:val="20"/>
          <w:lang w:val="en-AU"/>
        </w:rPr>
        <w:t xml:space="preserve"> by Romero </w:t>
      </w:r>
      <w:r w:rsidRPr="00676439">
        <w:rPr>
          <w:szCs w:val="20"/>
          <w:lang w:val="en-AU"/>
        </w:rPr>
        <w:t>(RR 0.5</w:t>
      </w:r>
      <w:r w:rsidR="00CC3C42">
        <w:rPr>
          <w:szCs w:val="20"/>
          <w:lang w:val="en-AU"/>
        </w:rPr>
        <w:t>9</w:t>
      </w:r>
      <w:r w:rsidRPr="00676439">
        <w:rPr>
          <w:szCs w:val="20"/>
          <w:lang w:val="en-AU"/>
        </w:rPr>
        <w:t>, 95% CI 0.</w:t>
      </w:r>
      <w:r w:rsidR="00CC3C42">
        <w:rPr>
          <w:szCs w:val="20"/>
          <w:lang w:val="en-AU"/>
        </w:rPr>
        <w:t>38</w:t>
      </w:r>
      <w:r w:rsidRPr="00676439">
        <w:rPr>
          <w:szCs w:val="20"/>
          <w:lang w:val="en-AU"/>
        </w:rPr>
        <w:t>-0.</w:t>
      </w:r>
      <w:r w:rsidR="00CC3C42">
        <w:rPr>
          <w:szCs w:val="20"/>
          <w:lang w:val="en-AU"/>
        </w:rPr>
        <w:t>9</w:t>
      </w:r>
      <w:r>
        <w:rPr>
          <w:szCs w:val="20"/>
          <w:lang w:val="en-AU"/>
        </w:rPr>
        <w:t>1</w:t>
      </w:r>
      <w:r w:rsidRPr="00676439">
        <w:rPr>
          <w:szCs w:val="20"/>
          <w:lang w:val="en-AU"/>
        </w:rPr>
        <w:t>)</w:t>
      </w:r>
      <w:r>
        <w:rPr>
          <w:szCs w:val="20"/>
          <w:lang w:val="en-AU"/>
        </w:rPr>
        <w:t xml:space="preserve"> </w:t>
      </w:r>
      <w:r w:rsidR="00CC3C42">
        <w:rPr>
          <w:szCs w:val="20"/>
          <w:lang w:val="en-AU"/>
        </w:rPr>
        <w:t>(</w:t>
      </w:r>
      <w:r>
        <w:rPr>
          <w:szCs w:val="20"/>
          <w:lang w:val="en-AU"/>
        </w:rPr>
        <w:t>Romero 2012</w:t>
      </w:r>
      <w:r w:rsidR="00CC3C42">
        <w:rPr>
          <w:szCs w:val="20"/>
          <w:lang w:val="en-AU"/>
        </w:rPr>
        <w:t>)</w:t>
      </w:r>
      <w:r w:rsidRPr="00676439">
        <w:rPr>
          <w:szCs w:val="20"/>
          <w:lang w:val="en-AU"/>
        </w:rPr>
        <w:t xml:space="preserve">. </w:t>
      </w:r>
    </w:p>
    <w:p w14:paraId="4639B4C2" w14:textId="77777777" w:rsidR="002211FD" w:rsidRDefault="002211FD" w:rsidP="00676439">
      <w:pPr>
        <w:spacing w:after="120"/>
        <w:jc w:val="both"/>
        <w:rPr>
          <w:szCs w:val="20"/>
          <w:lang w:val="en-AU"/>
        </w:rPr>
      </w:pPr>
      <w:r w:rsidRPr="002211FD">
        <w:rPr>
          <w:szCs w:val="20"/>
          <w:lang w:val="en-AU"/>
        </w:rPr>
        <w:t>In a subgroup analysis of women with a short cervix ≤ 25 mm, the point estimates for neonatal composite effects in the OPPTIMUM study (OR 0.54; CI 0.25-1.16) was comparable to the RR of 0.57 in the IPD meta-analysis by Romero and colleagues (Romero 2012).</w:t>
      </w:r>
    </w:p>
    <w:p w14:paraId="2ED83F3C" w14:textId="77777777" w:rsidR="0010625E" w:rsidRDefault="00676439" w:rsidP="00013081">
      <w:pPr>
        <w:spacing w:after="120"/>
        <w:jc w:val="both"/>
        <w:rPr>
          <w:szCs w:val="20"/>
          <w:lang w:val="en-AU"/>
        </w:rPr>
      </w:pPr>
      <w:r w:rsidRPr="00676439">
        <w:rPr>
          <w:szCs w:val="20"/>
          <w:lang w:val="en-AU"/>
        </w:rPr>
        <w:t xml:space="preserve">It is noteworthy that the OPPTIMUM trial was underpowered to detect a meaningful difference between vaginal progesterone and placebo in the subgroup of women with a CL ≤25 mm. </w:t>
      </w:r>
      <w:r w:rsidR="00CC3C42">
        <w:rPr>
          <w:szCs w:val="20"/>
          <w:lang w:val="en-AU"/>
        </w:rPr>
        <w:t>Therefore, a new I</w:t>
      </w:r>
      <w:r w:rsidRPr="00676439">
        <w:rPr>
          <w:szCs w:val="20"/>
          <w:lang w:val="en-AU"/>
        </w:rPr>
        <w:t xml:space="preserve">ndividual </w:t>
      </w:r>
      <w:r w:rsidR="00CC3C42">
        <w:rPr>
          <w:szCs w:val="20"/>
          <w:lang w:val="en-AU"/>
        </w:rPr>
        <w:t>P</w:t>
      </w:r>
      <w:r w:rsidRPr="00676439">
        <w:rPr>
          <w:szCs w:val="20"/>
          <w:lang w:val="en-AU"/>
        </w:rPr>
        <w:t xml:space="preserve">atient </w:t>
      </w:r>
      <w:r w:rsidR="00CC3C42">
        <w:rPr>
          <w:szCs w:val="20"/>
          <w:lang w:val="en-AU"/>
        </w:rPr>
        <w:t>D</w:t>
      </w:r>
      <w:r w:rsidRPr="00676439">
        <w:rPr>
          <w:szCs w:val="20"/>
          <w:lang w:val="en-AU"/>
        </w:rPr>
        <w:t xml:space="preserve">ata level </w:t>
      </w:r>
      <w:r w:rsidR="00CC3C42">
        <w:rPr>
          <w:szCs w:val="20"/>
          <w:lang w:val="en-AU"/>
        </w:rPr>
        <w:t>meta-</w:t>
      </w:r>
      <w:r w:rsidRPr="00676439">
        <w:rPr>
          <w:szCs w:val="20"/>
          <w:lang w:val="en-AU"/>
        </w:rPr>
        <w:t xml:space="preserve">analysis </w:t>
      </w:r>
      <w:r w:rsidR="00013081" w:rsidRPr="00013081">
        <w:rPr>
          <w:szCs w:val="20"/>
          <w:lang w:val="en-AU"/>
        </w:rPr>
        <w:t xml:space="preserve">including OPPTIMUM trial results, </w:t>
      </w:r>
      <w:r w:rsidR="00CC3C42">
        <w:rPr>
          <w:szCs w:val="20"/>
          <w:lang w:val="en-AU"/>
        </w:rPr>
        <w:t>was</w:t>
      </w:r>
      <w:r w:rsidRPr="00676439">
        <w:rPr>
          <w:szCs w:val="20"/>
          <w:lang w:val="en-AU"/>
        </w:rPr>
        <w:t xml:space="preserve"> mandatory </w:t>
      </w:r>
      <w:r w:rsidR="00013081" w:rsidRPr="00013081">
        <w:rPr>
          <w:szCs w:val="20"/>
          <w:lang w:val="en-AU"/>
        </w:rPr>
        <w:t xml:space="preserve">to understand what the totality of evidence indicates, particularly within subgroups of interest </w:t>
      </w:r>
      <w:r w:rsidR="00013081">
        <w:rPr>
          <w:szCs w:val="20"/>
          <w:lang w:val="en-AU"/>
        </w:rPr>
        <w:t xml:space="preserve">and </w:t>
      </w:r>
      <w:r w:rsidRPr="00676439">
        <w:rPr>
          <w:szCs w:val="20"/>
          <w:lang w:val="en-AU"/>
        </w:rPr>
        <w:t>to address the effect of vaginal progesterone for the most powerful risk factor (short cervix)</w:t>
      </w:r>
      <w:r w:rsidR="00013081">
        <w:rPr>
          <w:szCs w:val="20"/>
          <w:lang w:val="en-AU"/>
        </w:rPr>
        <w:t>, as suggested by the authors in the publication (Norman 2016).</w:t>
      </w:r>
    </w:p>
    <w:p w14:paraId="38FEA296" w14:textId="77777777" w:rsidR="00FC72E0" w:rsidRDefault="00264108" w:rsidP="00DA406E">
      <w:pPr>
        <w:spacing w:after="120"/>
        <w:jc w:val="both"/>
        <w:rPr>
          <w:szCs w:val="20"/>
          <w:lang w:val="en-AU"/>
        </w:rPr>
      </w:pPr>
      <w:r w:rsidRPr="00264108">
        <w:rPr>
          <w:szCs w:val="20"/>
          <w:lang w:val="en-AU"/>
        </w:rPr>
        <w:t xml:space="preserve">A </w:t>
      </w:r>
      <w:r w:rsidR="002211FD">
        <w:rPr>
          <w:szCs w:val="20"/>
          <w:lang w:val="en-AU"/>
        </w:rPr>
        <w:t xml:space="preserve">first </w:t>
      </w:r>
      <w:r w:rsidRPr="00264108">
        <w:rPr>
          <w:szCs w:val="20"/>
          <w:lang w:val="en-AU"/>
        </w:rPr>
        <w:t xml:space="preserve">aggregate meta-analysis, including the OPPTIMUM data, was published shortly after the release of the OPPTIMUM study data to quantify the efficacy of vaginal progesterone to improve perinatal morbidity and mortality in asymptomatic women with a singleton gestation and a </w:t>
      </w:r>
      <w:proofErr w:type="spellStart"/>
      <w:r w:rsidRPr="00264108">
        <w:rPr>
          <w:szCs w:val="20"/>
          <w:lang w:val="en-AU"/>
        </w:rPr>
        <w:t>midtrimester</w:t>
      </w:r>
      <w:proofErr w:type="spellEnd"/>
      <w:r w:rsidRPr="00264108">
        <w:rPr>
          <w:szCs w:val="20"/>
          <w:lang w:val="en-AU"/>
        </w:rPr>
        <w:t xml:space="preserve"> short cervix (Romero 2016). In 5 RCTs including 974 women, vaginal progesterone was associated with a 34% reduction in the risk of PTB ≤34 weeks or </w:t>
      </w:r>
      <w:proofErr w:type="spellStart"/>
      <w:r w:rsidRPr="00264108">
        <w:rPr>
          <w:szCs w:val="20"/>
          <w:lang w:val="en-AU"/>
        </w:rPr>
        <w:t>fetal</w:t>
      </w:r>
      <w:proofErr w:type="spellEnd"/>
      <w:r w:rsidRPr="00264108">
        <w:rPr>
          <w:szCs w:val="20"/>
          <w:lang w:val="en-AU"/>
        </w:rPr>
        <w:t xml:space="preserve"> death (RR 0.60, 95% CI, 0.52-0.83, </w:t>
      </w:r>
      <w:r w:rsidRPr="00264108">
        <w:rPr>
          <w:i/>
          <w:iCs/>
          <w:szCs w:val="20"/>
          <w:lang w:val="en-AU"/>
        </w:rPr>
        <w:t>P</w:t>
      </w:r>
      <w:r w:rsidRPr="00264108">
        <w:rPr>
          <w:szCs w:val="20"/>
          <w:lang w:val="en-AU"/>
        </w:rPr>
        <w:t xml:space="preserve">=0.0005). Composite neonatal morbidity and mortality was also significantly reduced </w:t>
      </w:r>
      <w:r w:rsidRPr="00264108">
        <w:rPr>
          <w:szCs w:val="20"/>
          <w:lang w:val="en-AU"/>
        </w:rPr>
        <w:lastRenderedPageBreak/>
        <w:t>in women treated with vaginal progesterone, along with a reduction in RDS, birth weight &lt;1500 g and admission to NICU</w:t>
      </w:r>
      <w:r>
        <w:rPr>
          <w:szCs w:val="20"/>
          <w:lang w:val="en-AU"/>
        </w:rPr>
        <w:t>.</w:t>
      </w:r>
    </w:p>
    <w:p w14:paraId="1BB01A67" w14:textId="77777777" w:rsidR="00691385" w:rsidRDefault="00691385" w:rsidP="00691385">
      <w:pPr>
        <w:spacing w:after="120"/>
        <w:jc w:val="both"/>
        <w:rPr>
          <w:szCs w:val="20"/>
          <w:lang w:val="en-AU"/>
        </w:rPr>
      </w:pPr>
      <w:r>
        <w:rPr>
          <w:szCs w:val="20"/>
          <w:lang w:val="en-AU"/>
        </w:rPr>
        <w:t>Following on from the 2016 aggregate meta-analysis, an</w:t>
      </w:r>
      <w:r w:rsidRPr="008C32F2">
        <w:rPr>
          <w:szCs w:val="20"/>
          <w:lang w:val="en-AU"/>
        </w:rPr>
        <w:t xml:space="preserve"> in-depth individual participant data (IPD) meta-analyses</w:t>
      </w:r>
      <w:r>
        <w:rPr>
          <w:szCs w:val="20"/>
          <w:lang w:val="en-AU"/>
        </w:rPr>
        <w:t>, which included individual patient data from the OPPTIMUM trial, reported</w:t>
      </w:r>
      <w:r w:rsidRPr="008C32F2">
        <w:rPr>
          <w:szCs w:val="20"/>
          <w:lang w:val="en-AU"/>
        </w:rPr>
        <w:t xml:space="preserve"> with Level I evidence that vaginal progesterone reduces the risk of PTB</w:t>
      </w:r>
      <w:r>
        <w:rPr>
          <w:szCs w:val="20"/>
          <w:lang w:val="en-AU"/>
        </w:rPr>
        <w:t xml:space="preserve"> and improves perinatal outcomes in singleton gestation with a </w:t>
      </w:r>
      <w:proofErr w:type="spellStart"/>
      <w:r>
        <w:rPr>
          <w:szCs w:val="20"/>
          <w:lang w:val="en-AU"/>
        </w:rPr>
        <w:t>midtrimester</w:t>
      </w:r>
      <w:proofErr w:type="spellEnd"/>
      <w:r>
        <w:rPr>
          <w:szCs w:val="20"/>
          <w:lang w:val="en-AU"/>
        </w:rPr>
        <w:t xml:space="preserve"> short cervix (Romero 2018). Vaginal progesterone had no effect on childhood neurodevelopmental outcomes.</w:t>
      </w:r>
    </w:p>
    <w:p w14:paraId="4DF1A6F3" w14:textId="77777777" w:rsidR="006F1A9A" w:rsidRPr="00483431" w:rsidRDefault="00EA00EB" w:rsidP="006F1A9A">
      <w:pPr>
        <w:spacing w:after="120"/>
        <w:jc w:val="both"/>
        <w:rPr>
          <w:szCs w:val="20"/>
          <w:lang w:val="en-US"/>
        </w:rPr>
      </w:pPr>
      <w:r w:rsidRPr="00EA00EB">
        <w:rPr>
          <w:szCs w:val="20"/>
          <w:lang w:val="en-AU"/>
        </w:rPr>
        <w:t xml:space="preserve">Several </w:t>
      </w:r>
      <w:r w:rsidR="00691385">
        <w:rPr>
          <w:szCs w:val="20"/>
          <w:lang w:val="en-AU"/>
        </w:rPr>
        <w:t xml:space="preserve">further </w:t>
      </w:r>
      <w:r w:rsidRPr="00EA00EB">
        <w:rPr>
          <w:szCs w:val="20"/>
          <w:lang w:val="en-AU"/>
        </w:rPr>
        <w:t>meta-analyses</w:t>
      </w:r>
      <w:r w:rsidRPr="00217BDA">
        <w:rPr>
          <w:szCs w:val="20"/>
          <w:lang w:val="en-AU"/>
        </w:rPr>
        <w:t xml:space="preserve"> on the use of progesterone in the prevention of preterm birth have been published, each of which further supports the use of vaginal progesterone in the prevention of preterm birth </w:t>
      </w:r>
      <w:r w:rsidR="00CE74D7" w:rsidRPr="008C32F2">
        <w:rPr>
          <w:szCs w:val="20"/>
          <w:lang w:val="en-AU"/>
        </w:rPr>
        <w:t xml:space="preserve">in </w:t>
      </w:r>
      <w:r w:rsidR="00691385">
        <w:rPr>
          <w:szCs w:val="20"/>
          <w:lang w:val="en-AU"/>
        </w:rPr>
        <w:t>pregnant</w:t>
      </w:r>
      <w:r w:rsidR="00217D45">
        <w:rPr>
          <w:szCs w:val="20"/>
          <w:lang w:val="en-AU"/>
        </w:rPr>
        <w:t xml:space="preserve"> </w:t>
      </w:r>
      <w:r w:rsidR="00CE74D7" w:rsidRPr="008C32F2">
        <w:rPr>
          <w:szCs w:val="20"/>
          <w:lang w:val="en-AU"/>
        </w:rPr>
        <w:t xml:space="preserve">women with a </w:t>
      </w:r>
      <w:proofErr w:type="spellStart"/>
      <w:r w:rsidR="00CE74D7" w:rsidRPr="008C32F2">
        <w:rPr>
          <w:szCs w:val="20"/>
          <w:lang w:val="en-AU"/>
        </w:rPr>
        <w:t>midtrimester</w:t>
      </w:r>
      <w:proofErr w:type="spellEnd"/>
      <w:r w:rsidR="00CE74D7" w:rsidRPr="008C32F2">
        <w:rPr>
          <w:szCs w:val="20"/>
          <w:lang w:val="en-AU"/>
        </w:rPr>
        <w:t xml:space="preserve"> short cervix </w:t>
      </w:r>
      <w:r w:rsidR="00691385">
        <w:rPr>
          <w:szCs w:val="20"/>
          <w:lang w:val="en-AU"/>
        </w:rPr>
        <w:t>with reductions in neonatal morbidity and mortality</w:t>
      </w:r>
      <w:r w:rsidR="00691385" w:rsidDel="00691385">
        <w:rPr>
          <w:szCs w:val="20"/>
          <w:lang w:val="en-AU"/>
        </w:rPr>
        <w:t xml:space="preserve"> </w:t>
      </w:r>
      <w:r w:rsidR="00CE74D7" w:rsidRPr="006F3D22">
        <w:rPr>
          <w:szCs w:val="20"/>
          <w:lang w:val="en-AU"/>
        </w:rPr>
        <w:t>(</w:t>
      </w:r>
      <w:r w:rsidR="00CE74D7" w:rsidRPr="00DA406E">
        <w:rPr>
          <w:szCs w:val="20"/>
          <w:lang w:val="en-AU"/>
        </w:rPr>
        <w:t>Romero 2017</w:t>
      </w:r>
      <w:r w:rsidR="00E60983">
        <w:rPr>
          <w:szCs w:val="20"/>
          <w:lang w:val="en-AU"/>
        </w:rPr>
        <w:t>;</w:t>
      </w:r>
      <w:r w:rsidR="00CE74D7" w:rsidRPr="00DA406E">
        <w:rPr>
          <w:szCs w:val="20"/>
          <w:lang w:val="en-AU"/>
        </w:rPr>
        <w:t xml:space="preserve"> </w:t>
      </w:r>
      <w:r w:rsidR="00400654" w:rsidRPr="006F3D22">
        <w:rPr>
          <w:szCs w:val="20"/>
          <w:lang w:val="en-AU"/>
        </w:rPr>
        <w:t>Romero 2012</w:t>
      </w:r>
      <w:r w:rsidR="00E60983">
        <w:rPr>
          <w:szCs w:val="20"/>
          <w:lang w:val="en-AU"/>
        </w:rPr>
        <w:t>;</w:t>
      </w:r>
      <w:r w:rsidR="00400654" w:rsidRPr="006F3D22">
        <w:rPr>
          <w:szCs w:val="20"/>
          <w:lang w:val="en-AU"/>
        </w:rPr>
        <w:t xml:space="preserve"> </w:t>
      </w:r>
      <w:r w:rsidR="00CE74D7" w:rsidRPr="00496B1E">
        <w:rPr>
          <w:szCs w:val="20"/>
          <w:lang w:val="en-AU"/>
        </w:rPr>
        <w:t>Conde-</w:t>
      </w:r>
      <w:proofErr w:type="spellStart"/>
      <w:r w:rsidR="00CE74D7" w:rsidRPr="00496B1E">
        <w:rPr>
          <w:szCs w:val="20"/>
          <w:lang w:val="en-AU"/>
        </w:rPr>
        <w:t>Agudelo</w:t>
      </w:r>
      <w:proofErr w:type="spellEnd"/>
      <w:r w:rsidR="00CE74D7" w:rsidRPr="00496B1E">
        <w:rPr>
          <w:szCs w:val="20"/>
          <w:lang w:val="en-AU"/>
        </w:rPr>
        <w:t xml:space="preserve"> 2018</w:t>
      </w:r>
      <w:r w:rsidR="00E60983">
        <w:rPr>
          <w:szCs w:val="20"/>
          <w:lang w:val="en-AU"/>
        </w:rPr>
        <w:t>;</w:t>
      </w:r>
      <w:r w:rsidR="00CE74D7" w:rsidRPr="00496B1E">
        <w:rPr>
          <w:szCs w:val="20"/>
          <w:lang w:val="en-AU"/>
        </w:rPr>
        <w:t xml:space="preserve"> </w:t>
      </w:r>
      <w:proofErr w:type="spellStart"/>
      <w:r w:rsidR="00400654" w:rsidRPr="00496B1E">
        <w:rPr>
          <w:szCs w:val="20"/>
          <w:lang w:val="en-AU"/>
        </w:rPr>
        <w:t>Jarde</w:t>
      </w:r>
      <w:proofErr w:type="spellEnd"/>
      <w:r w:rsidR="00400654" w:rsidRPr="00496B1E">
        <w:rPr>
          <w:szCs w:val="20"/>
          <w:lang w:val="en-AU"/>
        </w:rPr>
        <w:t xml:space="preserve"> 2017a</w:t>
      </w:r>
      <w:r w:rsidR="00E60983">
        <w:rPr>
          <w:szCs w:val="20"/>
          <w:lang w:val="en-AU"/>
        </w:rPr>
        <w:t>;</w:t>
      </w:r>
      <w:r w:rsidR="00400654" w:rsidRPr="00496B1E">
        <w:rPr>
          <w:szCs w:val="20"/>
          <w:lang w:val="en-AU"/>
        </w:rPr>
        <w:t xml:space="preserve"> </w:t>
      </w:r>
      <w:proofErr w:type="spellStart"/>
      <w:r w:rsidR="00400654" w:rsidRPr="00496B1E">
        <w:rPr>
          <w:szCs w:val="20"/>
          <w:lang w:val="en-AU"/>
        </w:rPr>
        <w:t>Jarde</w:t>
      </w:r>
      <w:proofErr w:type="spellEnd"/>
      <w:r w:rsidR="00400654" w:rsidRPr="00496B1E">
        <w:rPr>
          <w:szCs w:val="20"/>
          <w:lang w:val="en-AU"/>
        </w:rPr>
        <w:t xml:space="preserve"> 2017b</w:t>
      </w:r>
      <w:r w:rsidR="00E60983">
        <w:rPr>
          <w:szCs w:val="20"/>
          <w:lang w:val="en-AU"/>
        </w:rPr>
        <w:t>;</w:t>
      </w:r>
      <w:r w:rsidR="00400654">
        <w:rPr>
          <w:szCs w:val="20"/>
          <w:lang w:val="en-AU"/>
        </w:rPr>
        <w:t xml:space="preserve"> </w:t>
      </w:r>
      <w:proofErr w:type="spellStart"/>
      <w:r w:rsidR="00CE74D7" w:rsidRPr="006F3D22">
        <w:rPr>
          <w:szCs w:val="20"/>
          <w:lang w:val="en-AU"/>
        </w:rPr>
        <w:t>Schuit</w:t>
      </w:r>
      <w:proofErr w:type="spellEnd"/>
      <w:r w:rsidR="00CE74D7" w:rsidRPr="006F3D22">
        <w:rPr>
          <w:szCs w:val="20"/>
          <w:lang w:val="en-AU"/>
        </w:rPr>
        <w:t xml:space="preserve"> 2014</w:t>
      </w:r>
      <w:r w:rsidR="00E60983">
        <w:rPr>
          <w:szCs w:val="20"/>
          <w:lang w:val="en-AU"/>
        </w:rPr>
        <w:t>;</w:t>
      </w:r>
      <w:r w:rsidR="00CE74D7">
        <w:rPr>
          <w:szCs w:val="20"/>
          <w:lang w:val="en-AU"/>
        </w:rPr>
        <w:t xml:space="preserve"> </w:t>
      </w:r>
      <w:r w:rsidR="00CE74D7" w:rsidRPr="006F3D22">
        <w:rPr>
          <w:szCs w:val="20"/>
          <w:lang w:val="en-AU"/>
        </w:rPr>
        <w:t>Dodd 2013</w:t>
      </w:r>
      <w:r w:rsidR="00E60983">
        <w:rPr>
          <w:szCs w:val="20"/>
          <w:lang w:val="en-AU"/>
        </w:rPr>
        <w:t>;</w:t>
      </w:r>
      <w:r w:rsidR="00CE74D7" w:rsidRPr="006F3D22">
        <w:rPr>
          <w:szCs w:val="20"/>
          <w:lang w:val="en-AU"/>
        </w:rPr>
        <w:t xml:space="preserve"> </w:t>
      </w:r>
      <w:r w:rsidR="00E022F0" w:rsidRPr="00496B1E">
        <w:rPr>
          <w:szCs w:val="20"/>
          <w:lang w:val="en-AU"/>
        </w:rPr>
        <w:t>Velez Edwards 2013</w:t>
      </w:r>
      <w:r w:rsidR="00E60983">
        <w:rPr>
          <w:szCs w:val="20"/>
          <w:lang w:val="en-AU"/>
        </w:rPr>
        <w:t>;</w:t>
      </w:r>
      <w:r w:rsidR="00E022F0" w:rsidRPr="00496B1E">
        <w:rPr>
          <w:szCs w:val="20"/>
          <w:lang w:val="en-AU"/>
        </w:rPr>
        <w:t xml:space="preserve"> </w:t>
      </w:r>
      <w:proofErr w:type="spellStart"/>
      <w:r w:rsidR="00CE74D7" w:rsidRPr="006F3D22">
        <w:rPr>
          <w:szCs w:val="20"/>
          <w:lang w:val="en-AU"/>
        </w:rPr>
        <w:t>Soti</w:t>
      </w:r>
      <w:r w:rsidR="00CE74D7" w:rsidRPr="00DA406E">
        <w:rPr>
          <w:szCs w:val="20"/>
          <w:lang w:val="en-AU"/>
        </w:rPr>
        <w:t>riadis</w:t>
      </w:r>
      <w:proofErr w:type="spellEnd"/>
      <w:r w:rsidR="00CE74D7" w:rsidRPr="00DA406E">
        <w:rPr>
          <w:szCs w:val="20"/>
          <w:lang w:val="en-AU"/>
        </w:rPr>
        <w:t xml:space="preserve"> 2012</w:t>
      </w:r>
      <w:r w:rsidR="00E60983">
        <w:rPr>
          <w:szCs w:val="20"/>
          <w:lang w:val="en-AU"/>
        </w:rPr>
        <w:t>;</w:t>
      </w:r>
      <w:r w:rsidR="009A6DE0">
        <w:rPr>
          <w:szCs w:val="20"/>
          <w:lang w:val="en-AU"/>
        </w:rPr>
        <w:t xml:space="preserve"> </w:t>
      </w:r>
      <w:proofErr w:type="spellStart"/>
      <w:r w:rsidR="00691385">
        <w:rPr>
          <w:szCs w:val="20"/>
          <w:lang w:val="en-AU"/>
        </w:rPr>
        <w:t>Likis</w:t>
      </w:r>
      <w:proofErr w:type="spellEnd"/>
      <w:r w:rsidR="00691385">
        <w:rPr>
          <w:szCs w:val="20"/>
          <w:lang w:val="en-AU"/>
        </w:rPr>
        <w:t xml:space="preserve"> 2012</w:t>
      </w:r>
      <w:r w:rsidR="00E60983">
        <w:rPr>
          <w:szCs w:val="20"/>
          <w:lang w:val="en-AU"/>
        </w:rPr>
        <w:t>;</w:t>
      </w:r>
      <w:r w:rsidR="00691385">
        <w:rPr>
          <w:szCs w:val="20"/>
          <w:lang w:val="en-AU"/>
        </w:rPr>
        <w:t xml:space="preserve"> </w:t>
      </w:r>
      <w:proofErr w:type="spellStart"/>
      <w:r w:rsidR="00691385">
        <w:rPr>
          <w:szCs w:val="20"/>
          <w:lang w:val="en-AU"/>
        </w:rPr>
        <w:t>Mckenzie</w:t>
      </w:r>
      <w:proofErr w:type="spellEnd"/>
      <w:r w:rsidR="00691385">
        <w:rPr>
          <w:szCs w:val="20"/>
          <w:lang w:val="en-AU"/>
        </w:rPr>
        <w:t xml:space="preserve"> 2006</w:t>
      </w:r>
      <w:r w:rsidRPr="00496B1E">
        <w:rPr>
          <w:szCs w:val="20"/>
          <w:lang w:val="en-AU"/>
        </w:rPr>
        <w:t>).</w:t>
      </w:r>
      <w:r w:rsidR="006F1A9A">
        <w:rPr>
          <w:szCs w:val="20"/>
          <w:lang w:val="en-AU"/>
        </w:rPr>
        <w:t xml:space="preserve"> </w:t>
      </w:r>
      <w:r w:rsidR="006F1A9A" w:rsidRPr="00483431">
        <w:rPr>
          <w:szCs w:val="20"/>
          <w:lang w:val="en-US"/>
        </w:rPr>
        <w:t xml:space="preserve">Together these </w:t>
      </w:r>
      <w:r w:rsidR="006F1A9A">
        <w:rPr>
          <w:szCs w:val="20"/>
          <w:lang w:val="en-US"/>
        </w:rPr>
        <w:t>findings</w:t>
      </w:r>
      <w:r w:rsidR="006F1A9A" w:rsidRPr="00483431">
        <w:rPr>
          <w:szCs w:val="20"/>
          <w:lang w:val="en-US"/>
        </w:rPr>
        <w:t xml:space="preserve"> suggest that routine screening of women to detect short cervical length at the mid</w:t>
      </w:r>
      <w:r w:rsidR="006F1A9A">
        <w:rPr>
          <w:szCs w:val="20"/>
          <w:lang w:val="en-US"/>
        </w:rPr>
        <w:t>-</w:t>
      </w:r>
      <w:r w:rsidR="006F1A9A" w:rsidRPr="00483431">
        <w:rPr>
          <w:szCs w:val="20"/>
          <w:lang w:val="en-US"/>
        </w:rPr>
        <w:t>trimester and prophylactic administration of progesterone to those found to have a short cervix is warranted.</w:t>
      </w:r>
    </w:p>
    <w:p w14:paraId="4A9EA7B2" w14:textId="77777777" w:rsidR="00EA00EB" w:rsidRPr="006A23A5" w:rsidRDefault="00EA00EB" w:rsidP="00586AFF">
      <w:pPr>
        <w:spacing w:after="120"/>
        <w:jc w:val="both"/>
        <w:rPr>
          <w:szCs w:val="20"/>
          <w:lang w:val="en-US"/>
        </w:rPr>
      </w:pPr>
      <w:r w:rsidRPr="00922400">
        <w:rPr>
          <w:szCs w:val="20"/>
          <w:lang w:val="en-AU"/>
        </w:rPr>
        <w:t>Meta-analyses of randomised controlled trials have also demonstrated that daily vaginal progesterone, initiated at around 16 weeks’ gestation, prevents PTB in women with a history of spontaneous PTB (</w:t>
      </w:r>
      <w:r w:rsidR="00CE74D7" w:rsidRPr="00496B1E">
        <w:rPr>
          <w:szCs w:val="20"/>
          <w:lang w:val="en-AU"/>
        </w:rPr>
        <w:t>Conde-</w:t>
      </w:r>
      <w:proofErr w:type="spellStart"/>
      <w:r w:rsidR="00CE74D7" w:rsidRPr="00496B1E">
        <w:rPr>
          <w:szCs w:val="20"/>
          <w:lang w:val="en-AU"/>
        </w:rPr>
        <w:t>Agudelo</w:t>
      </w:r>
      <w:proofErr w:type="spellEnd"/>
      <w:r w:rsidR="00CE74D7" w:rsidRPr="00496B1E">
        <w:rPr>
          <w:szCs w:val="20"/>
          <w:lang w:val="en-AU"/>
        </w:rPr>
        <w:t xml:space="preserve"> 2018</w:t>
      </w:r>
      <w:r w:rsidR="00E60983">
        <w:rPr>
          <w:szCs w:val="20"/>
          <w:lang w:val="en-AU"/>
        </w:rPr>
        <w:t>;</w:t>
      </w:r>
      <w:r w:rsidR="00CE74D7" w:rsidRPr="00496B1E">
        <w:rPr>
          <w:szCs w:val="20"/>
          <w:lang w:val="en-AU"/>
        </w:rPr>
        <w:t xml:space="preserve"> </w:t>
      </w:r>
      <w:proofErr w:type="spellStart"/>
      <w:r w:rsidR="00400654" w:rsidRPr="005E7296">
        <w:rPr>
          <w:szCs w:val="20"/>
          <w:lang w:val="en-AU"/>
        </w:rPr>
        <w:t>Saccone</w:t>
      </w:r>
      <w:proofErr w:type="spellEnd"/>
      <w:r w:rsidR="00400654" w:rsidRPr="005E7296">
        <w:rPr>
          <w:szCs w:val="20"/>
          <w:lang w:val="en-AU"/>
        </w:rPr>
        <w:t xml:space="preserve"> 2017</w:t>
      </w:r>
      <w:r w:rsidR="00E60983">
        <w:rPr>
          <w:szCs w:val="20"/>
          <w:lang w:val="en-AU"/>
        </w:rPr>
        <w:t>;</w:t>
      </w:r>
      <w:r w:rsidR="00400654">
        <w:rPr>
          <w:szCs w:val="20"/>
          <w:lang w:val="en-AU"/>
        </w:rPr>
        <w:t xml:space="preserve"> </w:t>
      </w:r>
      <w:proofErr w:type="spellStart"/>
      <w:r w:rsidR="00400654" w:rsidRPr="00496B1E">
        <w:rPr>
          <w:szCs w:val="20"/>
          <w:lang w:val="en-AU"/>
        </w:rPr>
        <w:t>Jarde</w:t>
      </w:r>
      <w:proofErr w:type="spellEnd"/>
      <w:r w:rsidR="00400654" w:rsidRPr="00496B1E">
        <w:rPr>
          <w:szCs w:val="20"/>
          <w:lang w:val="en-AU"/>
        </w:rPr>
        <w:t xml:space="preserve"> 2017a</w:t>
      </w:r>
      <w:r w:rsidR="00E60983">
        <w:rPr>
          <w:szCs w:val="20"/>
          <w:lang w:val="en-AU"/>
        </w:rPr>
        <w:t>;</w:t>
      </w:r>
      <w:r w:rsidR="00400654" w:rsidRPr="00496B1E">
        <w:rPr>
          <w:szCs w:val="20"/>
          <w:lang w:val="en-AU"/>
        </w:rPr>
        <w:t xml:space="preserve"> </w:t>
      </w:r>
      <w:proofErr w:type="spellStart"/>
      <w:r w:rsidR="00400654" w:rsidRPr="00496B1E">
        <w:rPr>
          <w:szCs w:val="20"/>
          <w:lang w:val="en-AU"/>
        </w:rPr>
        <w:t>Jarde</w:t>
      </w:r>
      <w:proofErr w:type="spellEnd"/>
      <w:r w:rsidR="00400654" w:rsidRPr="00496B1E">
        <w:rPr>
          <w:szCs w:val="20"/>
          <w:lang w:val="en-AU"/>
        </w:rPr>
        <w:t xml:space="preserve"> 2017b</w:t>
      </w:r>
      <w:r w:rsidR="00E60983">
        <w:rPr>
          <w:szCs w:val="20"/>
          <w:lang w:val="en-AU"/>
        </w:rPr>
        <w:t>;</w:t>
      </w:r>
      <w:r w:rsidR="00400654">
        <w:rPr>
          <w:szCs w:val="20"/>
          <w:lang w:val="en-AU"/>
        </w:rPr>
        <w:t xml:space="preserve"> </w:t>
      </w:r>
      <w:proofErr w:type="spellStart"/>
      <w:r w:rsidR="00400654" w:rsidRPr="00496B1E">
        <w:rPr>
          <w:szCs w:val="20"/>
          <w:lang w:val="en-AU"/>
        </w:rPr>
        <w:t>Oler</w:t>
      </w:r>
      <w:proofErr w:type="spellEnd"/>
      <w:r w:rsidR="00400654">
        <w:rPr>
          <w:szCs w:val="20"/>
          <w:lang w:val="en-AU"/>
        </w:rPr>
        <w:t xml:space="preserve"> </w:t>
      </w:r>
      <w:r w:rsidR="00400654" w:rsidRPr="00496B1E">
        <w:rPr>
          <w:szCs w:val="20"/>
          <w:lang w:val="en-AU"/>
        </w:rPr>
        <w:t>2017</w:t>
      </w:r>
      <w:r w:rsidR="00E60983">
        <w:rPr>
          <w:szCs w:val="20"/>
          <w:lang w:val="en-AU"/>
        </w:rPr>
        <w:t>;</w:t>
      </w:r>
      <w:r w:rsidR="00400654" w:rsidRPr="00496B1E">
        <w:rPr>
          <w:szCs w:val="20"/>
          <w:lang w:val="en-AU"/>
        </w:rPr>
        <w:t xml:space="preserve"> </w:t>
      </w:r>
      <w:r w:rsidRPr="005E7296">
        <w:rPr>
          <w:szCs w:val="20"/>
          <w:lang w:val="en-AU"/>
        </w:rPr>
        <w:t>Dodd 2013</w:t>
      </w:r>
      <w:r w:rsidR="00E60983">
        <w:rPr>
          <w:szCs w:val="20"/>
          <w:lang w:val="en-AU"/>
        </w:rPr>
        <w:t>;</w:t>
      </w:r>
      <w:r w:rsidRPr="005E7296">
        <w:rPr>
          <w:szCs w:val="20"/>
          <w:lang w:val="en-AU"/>
        </w:rPr>
        <w:t xml:space="preserve"> </w:t>
      </w:r>
      <w:proofErr w:type="spellStart"/>
      <w:r w:rsidR="00CE74D7" w:rsidRPr="006F3D22">
        <w:rPr>
          <w:szCs w:val="20"/>
          <w:lang w:val="en-AU"/>
        </w:rPr>
        <w:t>Soti</w:t>
      </w:r>
      <w:r w:rsidR="00CE74D7" w:rsidRPr="00DA406E">
        <w:rPr>
          <w:szCs w:val="20"/>
          <w:lang w:val="en-AU"/>
        </w:rPr>
        <w:t>riadis</w:t>
      </w:r>
      <w:proofErr w:type="spellEnd"/>
      <w:r w:rsidR="00CE74D7" w:rsidRPr="00DA406E">
        <w:rPr>
          <w:szCs w:val="20"/>
          <w:lang w:val="en-AU"/>
        </w:rPr>
        <w:t xml:space="preserve"> 2012</w:t>
      </w:r>
      <w:r w:rsidR="00E60983">
        <w:rPr>
          <w:szCs w:val="20"/>
          <w:lang w:val="en-AU"/>
        </w:rPr>
        <w:t>;</w:t>
      </w:r>
      <w:r w:rsidR="00CE74D7">
        <w:rPr>
          <w:szCs w:val="20"/>
          <w:lang w:val="en-AU"/>
        </w:rPr>
        <w:t xml:space="preserve"> </w:t>
      </w:r>
      <w:proofErr w:type="spellStart"/>
      <w:r w:rsidR="00CE74D7" w:rsidRPr="00496B1E">
        <w:rPr>
          <w:szCs w:val="20"/>
          <w:lang w:val="en-AU"/>
        </w:rPr>
        <w:t>Likis</w:t>
      </w:r>
      <w:proofErr w:type="spellEnd"/>
      <w:r w:rsidR="00CE74D7" w:rsidRPr="00496B1E">
        <w:rPr>
          <w:szCs w:val="20"/>
          <w:lang w:val="en-AU"/>
        </w:rPr>
        <w:t xml:space="preserve"> 2012</w:t>
      </w:r>
      <w:r w:rsidR="00E60983">
        <w:rPr>
          <w:szCs w:val="20"/>
          <w:lang w:val="en-AU"/>
        </w:rPr>
        <w:t>;</w:t>
      </w:r>
      <w:r w:rsidR="00CE74D7" w:rsidRPr="00496B1E">
        <w:rPr>
          <w:szCs w:val="20"/>
          <w:lang w:val="en-AU"/>
        </w:rPr>
        <w:t xml:space="preserve"> </w:t>
      </w:r>
      <w:r w:rsidR="00CE74D7">
        <w:rPr>
          <w:szCs w:val="20"/>
          <w:lang w:val="en-AU"/>
        </w:rPr>
        <w:t>Dodd 2005</w:t>
      </w:r>
      <w:r w:rsidRPr="005E7296">
        <w:rPr>
          <w:szCs w:val="20"/>
          <w:lang w:val="en-AU"/>
        </w:rPr>
        <w:t>).</w:t>
      </w:r>
    </w:p>
    <w:p w14:paraId="43943553" w14:textId="77777777" w:rsidR="002211FD" w:rsidRDefault="00796781" w:rsidP="00586AFF">
      <w:pPr>
        <w:spacing w:after="120"/>
        <w:jc w:val="both"/>
        <w:rPr>
          <w:szCs w:val="20"/>
          <w:lang w:val="en-US"/>
        </w:rPr>
      </w:pPr>
      <w:r>
        <w:rPr>
          <w:szCs w:val="20"/>
          <w:lang w:val="en-US"/>
        </w:rPr>
        <w:t>A</w:t>
      </w:r>
      <w:r w:rsidRPr="00796781">
        <w:rPr>
          <w:szCs w:val="20"/>
          <w:lang w:val="en-US"/>
        </w:rPr>
        <w:t xml:space="preserve"> </w:t>
      </w:r>
      <w:r>
        <w:rPr>
          <w:szCs w:val="20"/>
          <w:lang w:val="en-US"/>
        </w:rPr>
        <w:t xml:space="preserve">2013 </w:t>
      </w:r>
      <w:r w:rsidRPr="00796781">
        <w:rPr>
          <w:szCs w:val="20"/>
          <w:lang w:val="en-US"/>
        </w:rPr>
        <w:t xml:space="preserve">Cochrane review </w:t>
      </w:r>
      <w:r>
        <w:rPr>
          <w:szCs w:val="20"/>
          <w:lang w:val="en-US"/>
        </w:rPr>
        <w:t>a</w:t>
      </w:r>
      <w:r w:rsidRPr="00796781">
        <w:rPr>
          <w:szCs w:val="20"/>
          <w:lang w:val="en-US"/>
        </w:rPr>
        <w:t>ssess</w:t>
      </w:r>
      <w:r>
        <w:rPr>
          <w:szCs w:val="20"/>
          <w:lang w:val="en-US"/>
        </w:rPr>
        <w:t>ed</w:t>
      </w:r>
      <w:r w:rsidRPr="00796781">
        <w:rPr>
          <w:szCs w:val="20"/>
          <w:lang w:val="en-US"/>
        </w:rPr>
        <w:t xml:space="preserve"> the benefits and harms of progesterone for the prevention of preterm birth in </w:t>
      </w:r>
      <w:r>
        <w:rPr>
          <w:szCs w:val="20"/>
          <w:lang w:val="en-US"/>
        </w:rPr>
        <w:t>women with a history of preterm birth (Dodd 2013)</w:t>
      </w:r>
      <w:r w:rsidRPr="00796781">
        <w:rPr>
          <w:szCs w:val="20"/>
          <w:lang w:val="en-US"/>
        </w:rPr>
        <w:t xml:space="preserve">. The findings, all significantly in </w:t>
      </w:r>
      <w:proofErr w:type="spellStart"/>
      <w:r w:rsidRPr="00796781">
        <w:rPr>
          <w:szCs w:val="20"/>
          <w:lang w:val="en-US"/>
        </w:rPr>
        <w:t>favour</w:t>
      </w:r>
      <w:proofErr w:type="spellEnd"/>
      <w:r w:rsidRPr="00796781">
        <w:rPr>
          <w:szCs w:val="20"/>
          <w:lang w:val="en-US"/>
        </w:rPr>
        <w:t xml:space="preserve"> of progesterone, included a reduction in the risk of preterm birth </w:t>
      </w:r>
      <w:r>
        <w:rPr>
          <w:szCs w:val="20"/>
          <w:lang w:val="en-US"/>
        </w:rPr>
        <w:t xml:space="preserve">at </w:t>
      </w:r>
      <w:r w:rsidRPr="00796781">
        <w:rPr>
          <w:szCs w:val="20"/>
          <w:lang w:val="en-US"/>
        </w:rPr>
        <w:t xml:space="preserve">&lt;34 and &lt;37 weeks gestation </w:t>
      </w:r>
      <w:r>
        <w:rPr>
          <w:szCs w:val="20"/>
          <w:lang w:val="en-US"/>
        </w:rPr>
        <w:t>and</w:t>
      </w:r>
      <w:r w:rsidRPr="00796781">
        <w:rPr>
          <w:szCs w:val="20"/>
          <w:lang w:val="en-US"/>
        </w:rPr>
        <w:t xml:space="preserve"> a significant increase in pregnancy prolongation</w:t>
      </w:r>
      <w:r>
        <w:rPr>
          <w:szCs w:val="20"/>
          <w:lang w:val="en-US"/>
        </w:rPr>
        <w:t>,</w:t>
      </w:r>
      <w:r w:rsidRPr="00796781">
        <w:rPr>
          <w:szCs w:val="20"/>
          <w:lang w:val="en-US"/>
        </w:rPr>
        <w:t xml:space="preserve"> significant </w:t>
      </w:r>
      <w:r>
        <w:rPr>
          <w:szCs w:val="20"/>
          <w:lang w:val="en-US"/>
        </w:rPr>
        <w:t>improvements in</w:t>
      </w:r>
      <w:r w:rsidRPr="00796781">
        <w:rPr>
          <w:szCs w:val="20"/>
          <w:lang w:val="en-US"/>
        </w:rPr>
        <w:t xml:space="preserve"> perinatal mortality, infant birthweight, use of assisted ventilation, </w:t>
      </w:r>
      <w:proofErr w:type="spellStart"/>
      <w:r w:rsidRPr="00796781">
        <w:rPr>
          <w:szCs w:val="20"/>
          <w:lang w:val="en-US"/>
        </w:rPr>
        <w:t>necrotising</w:t>
      </w:r>
      <w:proofErr w:type="spellEnd"/>
      <w:r w:rsidRPr="00796781">
        <w:rPr>
          <w:szCs w:val="20"/>
          <w:lang w:val="en-US"/>
        </w:rPr>
        <w:t xml:space="preserve"> enterocolitis, neonatal </w:t>
      </w:r>
      <w:proofErr w:type="gramStart"/>
      <w:r w:rsidRPr="00796781">
        <w:rPr>
          <w:szCs w:val="20"/>
          <w:lang w:val="en-US"/>
        </w:rPr>
        <w:t>death</w:t>
      </w:r>
      <w:proofErr w:type="gramEnd"/>
      <w:r w:rsidRPr="00796781">
        <w:rPr>
          <w:szCs w:val="20"/>
          <w:lang w:val="en-US"/>
        </w:rPr>
        <w:t xml:space="preserve"> and admission to NICU (Dodd 2013).</w:t>
      </w:r>
    </w:p>
    <w:p w14:paraId="27CE8CF1" w14:textId="77777777" w:rsidR="00EB74EF" w:rsidRDefault="00EB74EF" w:rsidP="00873E26">
      <w:pPr>
        <w:spacing w:after="120"/>
        <w:jc w:val="both"/>
        <w:rPr>
          <w:b/>
          <w:bCs/>
          <w:i/>
          <w:szCs w:val="20"/>
        </w:rPr>
      </w:pPr>
    </w:p>
    <w:p w14:paraId="3A01C095" w14:textId="3668EE26" w:rsidR="0015639E" w:rsidRDefault="0094750B" w:rsidP="00873E26">
      <w:pPr>
        <w:spacing w:after="120"/>
        <w:jc w:val="both"/>
        <w:rPr>
          <w:b/>
          <w:bCs/>
          <w:i/>
          <w:szCs w:val="20"/>
        </w:rPr>
      </w:pPr>
      <w:r>
        <w:rPr>
          <w:b/>
          <w:bCs/>
          <w:i/>
          <w:szCs w:val="20"/>
        </w:rPr>
        <w:t xml:space="preserve">Treatment of </w:t>
      </w:r>
      <w:r w:rsidR="00D45AA9">
        <w:rPr>
          <w:b/>
          <w:bCs/>
          <w:i/>
          <w:szCs w:val="20"/>
        </w:rPr>
        <w:t>Unexplai</w:t>
      </w:r>
      <w:r w:rsidR="00A25AA7">
        <w:rPr>
          <w:b/>
          <w:bCs/>
          <w:i/>
          <w:szCs w:val="20"/>
        </w:rPr>
        <w:t xml:space="preserve">ned </w:t>
      </w:r>
      <w:r w:rsidR="00873E26" w:rsidRPr="00E61F0F">
        <w:rPr>
          <w:b/>
          <w:bCs/>
          <w:i/>
          <w:szCs w:val="20"/>
        </w:rPr>
        <w:t>Threatened</w:t>
      </w:r>
      <w:r w:rsidR="00EB74EF">
        <w:rPr>
          <w:b/>
          <w:bCs/>
          <w:i/>
          <w:szCs w:val="20"/>
        </w:rPr>
        <w:t xml:space="preserve"> </w:t>
      </w:r>
      <w:r w:rsidR="00873E26" w:rsidRPr="00E61F0F">
        <w:rPr>
          <w:b/>
          <w:bCs/>
          <w:i/>
          <w:szCs w:val="20"/>
        </w:rPr>
        <w:t xml:space="preserve">miscarriage </w:t>
      </w:r>
    </w:p>
    <w:p w14:paraId="7045F575" w14:textId="0B40176F" w:rsidR="006E30AA" w:rsidRDefault="00142FDB" w:rsidP="00256D47">
      <w:pPr>
        <w:pStyle w:val="BodyText"/>
        <w:spacing w:before="120"/>
        <w:rPr>
          <w:lang w:val="en-AU"/>
        </w:rPr>
      </w:pPr>
      <w:r>
        <w:rPr>
          <w:lang w:val="en-AU"/>
        </w:rPr>
        <w:t>T</w:t>
      </w:r>
      <w:r w:rsidR="00AD0350" w:rsidRPr="00AD0350">
        <w:rPr>
          <w:lang w:val="en-AU"/>
        </w:rPr>
        <w:t xml:space="preserve">he PROMISE trial </w:t>
      </w:r>
      <w:r w:rsidR="00A25AA7">
        <w:rPr>
          <w:lang w:val="en-AU"/>
        </w:rPr>
        <w:t>(</w:t>
      </w:r>
      <w:r w:rsidR="00363D2D">
        <w:rPr>
          <w:lang w:val="en-AU"/>
        </w:rPr>
        <w:t xml:space="preserve">Coomarasamy 2015) </w:t>
      </w:r>
      <w:r w:rsidR="00AD0350" w:rsidRPr="00AD0350">
        <w:rPr>
          <w:lang w:val="en-AU"/>
        </w:rPr>
        <w:t>was designed to evaluate the effects of progesterone in the 1st trimester, not during the luteal phase, and because progesterone treatment was initiated only after urinary pregnancy test was confirmed, the study did not address whether progesterone supplementation would be more effective in reducing the risk of miscarriage if administered during luteal phase of the cycle, before confirmation of pregnancy.</w:t>
      </w:r>
    </w:p>
    <w:p w14:paraId="46E687D5" w14:textId="77777777" w:rsidR="00C9460B" w:rsidRPr="00C9460B" w:rsidRDefault="00C9460B" w:rsidP="00256D47">
      <w:pPr>
        <w:pStyle w:val="BodyText"/>
        <w:spacing w:before="120"/>
        <w:rPr>
          <w:lang w:val="en-AU"/>
        </w:rPr>
      </w:pPr>
      <w:r w:rsidRPr="00C9460B">
        <w:rPr>
          <w:lang w:val="en-AU"/>
        </w:rPr>
        <w:t>Progesterone supplementation in early pregnancy</w:t>
      </w:r>
      <w:r>
        <w:rPr>
          <w:lang w:val="en-AU"/>
        </w:rPr>
        <w:t xml:space="preserve"> </w:t>
      </w:r>
      <w:r w:rsidRPr="00C9460B">
        <w:rPr>
          <w:lang w:val="en-AU"/>
        </w:rPr>
        <w:t>has been attempted in two contexts: the first is</w:t>
      </w:r>
    </w:p>
    <w:p w14:paraId="14F5D9D0" w14:textId="77777777" w:rsidR="00913DCC" w:rsidRDefault="00C9460B" w:rsidP="00C9460B">
      <w:pPr>
        <w:pStyle w:val="BodyText"/>
        <w:rPr>
          <w:lang w:val="en-AU"/>
        </w:rPr>
      </w:pPr>
      <w:r w:rsidRPr="00C9460B">
        <w:rPr>
          <w:lang w:val="en-AU"/>
        </w:rPr>
        <w:t>to prevent miscarriages in asymptomatic women</w:t>
      </w:r>
      <w:r>
        <w:rPr>
          <w:lang w:val="en-AU"/>
        </w:rPr>
        <w:t xml:space="preserve"> </w:t>
      </w:r>
      <w:r w:rsidRPr="00C9460B">
        <w:rPr>
          <w:lang w:val="en-AU"/>
        </w:rPr>
        <w:t>who have a history of recurrent miscarriages</w:t>
      </w:r>
      <w:r w:rsidR="000C008E">
        <w:rPr>
          <w:lang w:val="en-AU"/>
        </w:rPr>
        <w:t xml:space="preserve"> (</w:t>
      </w:r>
      <w:r>
        <w:rPr>
          <w:lang w:val="en-AU"/>
        </w:rPr>
        <w:t xml:space="preserve">as in </w:t>
      </w:r>
      <w:r w:rsidR="00142FDB">
        <w:rPr>
          <w:lang w:val="en-AU"/>
        </w:rPr>
        <w:t xml:space="preserve">the </w:t>
      </w:r>
      <w:r>
        <w:rPr>
          <w:lang w:val="en-AU"/>
        </w:rPr>
        <w:t>PROMISE trial</w:t>
      </w:r>
      <w:r w:rsidR="000C008E">
        <w:rPr>
          <w:lang w:val="en-AU"/>
        </w:rPr>
        <w:t>)</w:t>
      </w:r>
      <w:r>
        <w:rPr>
          <w:lang w:val="en-AU"/>
        </w:rPr>
        <w:t xml:space="preserve"> </w:t>
      </w:r>
      <w:r w:rsidRPr="00C9460B">
        <w:rPr>
          <w:lang w:val="en-AU"/>
        </w:rPr>
        <w:t xml:space="preserve">and the second </w:t>
      </w:r>
      <w:r>
        <w:rPr>
          <w:lang w:val="en-AU"/>
        </w:rPr>
        <w:t>wa</w:t>
      </w:r>
      <w:r w:rsidRPr="00C9460B">
        <w:rPr>
          <w:lang w:val="en-AU"/>
        </w:rPr>
        <w:t>s to rescue a pregnancy in</w:t>
      </w:r>
      <w:r>
        <w:rPr>
          <w:lang w:val="en-AU"/>
        </w:rPr>
        <w:t xml:space="preserve"> </w:t>
      </w:r>
      <w:r w:rsidRPr="00C9460B">
        <w:rPr>
          <w:lang w:val="en-AU"/>
        </w:rPr>
        <w:t>women who have started to bleed during early</w:t>
      </w:r>
      <w:r>
        <w:rPr>
          <w:lang w:val="en-AU"/>
        </w:rPr>
        <w:t xml:space="preserve"> </w:t>
      </w:r>
      <w:r w:rsidRPr="00C9460B">
        <w:rPr>
          <w:lang w:val="en-AU"/>
        </w:rPr>
        <w:t>pregnancy</w:t>
      </w:r>
      <w:r>
        <w:rPr>
          <w:lang w:val="en-AU"/>
        </w:rPr>
        <w:t xml:space="preserve"> (Wahabi 2018)</w:t>
      </w:r>
      <w:r w:rsidR="000C008E">
        <w:rPr>
          <w:lang w:val="en-AU"/>
        </w:rPr>
        <w:t xml:space="preserve">. </w:t>
      </w:r>
      <w:r>
        <w:rPr>
          <w:lang w:val="en-AU"/>
        </w:rPr>
        <w:t>As no benefi</w:t>
      </w:r>
      <w:r w:rsidR="00142FDB">
        <w:rPr>
          <w:lang w:val="en-AU"/>
        </w:rPr>
        <w:t>cial</w:t>
      </w:r>
      <w:r>
        <w:rPr>
          <w:lang w:val="en-AU"/>
        </w:rPr>
        <w:t xml:space="preserve"> </w:t>
      </w:r>
      <w:r w:rsidRPr="00C9460B">
        <w:rPr>
          <w:lang w:val="en-AU"/>
        </w:rPr>
        <w:t>effect of progesterone in women with a</w:t>
      </w:r>
      <w:r>
        <w:rPr>
          <w:lang w:val="en-AU"/>
        </w:rPr>
        <w:t xml:space="preserve"> </w:t>
      </w:r>
      <w:r w:rsidRPr="00C9460B">
        <w:rPr>
          <w:lang w:val="en-AU"/>
        </w:rPr>
        <w:t>history of unexplained recurrent miscarriages</w:t>
      </w:r>
      <w:r>
        <w:rPr>
          <w:lang w:val="en-AU"/>
        </w:rPr>
        <w:t xml:space="preserve"> was found in PROMISE, the second scenario was evaluated in t</w:t>
      </w:r>
      <w:r w:rsidR="00913DCC">
        <w:rPr>
          <w:lang w:val="en-AU"/>
        </w:rPr>
        <w:t>he PRISM trial</w:t>
      </w:r>
      <w:r>
        <w:rPr>
          <w:lang w:val="en-AU"/>
        </w:rPr>
        <w:t xml:space="preserve">, </w:t>
      </w:r>
      <w:r w:rsidR="00913DCC">
        <w:rPr>
          <w:lang w:val="en-AU"/>
        </w:rPr>
        <w:t>the largest randomised trial conducted evaluating progesterone in women with early pregnancy bleeding.</w:t>
      </w:r>
    </w:p>
    <w:p w14:paraId="36B1B576" w14:textId="77777777" w:rsidR="00913DCC" w:rsidRDefault="00913DCC" w:rsidP="009E1740">
      <w:pPr>
        <w:pStyle w:val="BodyText"/>
        <w:spacing w:before="120"/>
        <w:rPr>
          <w:b/>
          <w:bCs/>
          <w:i/>
          <w:szCs w:val="20"/>
        </w:rPr>
      </w:pPr>
      <w:r>
        <w:rPr>
          <w:lang w:val="en-AU"/>
        </w:rPr>
        <w:t xml:space="preserve">The intervention </w:t>
      </w:r>
      <w:r w:rsidR="000C008E">
        <w:rPr>
          <w:lang w:val="en-AU"/>
        </w:rPr>
        <w:t xml:space="preserve">in </w:t>
      </w:r>
      <w:r w:rsidR="00142FDB">
        <w:rPr>
          <w:lang w:val="en-AU"/>
        </w:rPr>
        <w:t xml:space="preserve">the </w:t>
      </w:r>
      <w:r w:rsidR="000C008E">
        <w:rPr>
          <w:lang w:val="en-AU"/>
        </w:rPr>
        <w:t xml:space="preserve">PRISM trial </w:t>
      </w:r>
      <w:r>
        <w:rPr>
          <w:lang w:val="en-AU"/>
        </w:rPr>
        <w:t xml:space="preserve">was </w:t>
      </w:r>
      <w:proofErr w:type="spellStart"/>
      <w:r>
        <w:rPr>
          <w:lang w:val="en-AU"/>
        </w:rPr>
        <w:t>Utrogestan</w:t>
      </w:r>
      <w:proofErr w:type="spellEnd"/>
      <w:r>
        <w:rPr>
          <w:lang w:val="en-AU"/>
        </w:rPr>
        <w:t xml:space="preserve"> 400 mg administered vaginally twice daily or placebo pessaries. The 800 mg daily dose, divided into 2 doses, </w:t>
      </w:r>
      <w:proofErr w:type="gramStart"/>
      <w:r>
        <w:rPr>
          <w:lang w:val="en-AU"/>
        </w:rPr>
        <w:t>is considered to be</w:t>
      </w:r>
      <w:proofErr w:type="gramEnd"/>
      <w:r>
        <w:rPr>
          <w:lang w:val="en-AU"/>
        </w:rPr>
        <w:t xml:space="preserve"> a </w:t>
      </w:r>
      <w:r w:rsidR="000C008E">
        <w:rPr>
          <w:lang w:val="en-AU"/>
        </w:rPr>
        <w:t>clinically effective</w:t>
      </w:r>
      <w:r>
        <w:rPr>
          <w:lang w:val="en-AU"/>
        </w:rPr>
        <w:t xml:space="preserve"> dose based on luteal phase support data.</w:t>
      </w:r>
      <w:r w:rsidRPr="00913DCC">
        <w:rPr>
          <w:lang w:val="en-AU"/>
        </w:rPr>
        <w:t xml:space="preserve"> </w:t>
      </w:r>
      <w:r>
        <w:rPr>
          <w:lang w:val="en-AU"/>
        </w:rPr>
        <w:t xml:space="preserve"> Progesterone therapy continued until 16 weeks’ </w:t>
      </w:r>
      <w:r>
        <w:rPr>
          <w:lang w:val="en-AU"/>
        </w:rPr>
        <w:lastRenderedPageBreak/>
        <w:t xml:space="preserve">gestation. At this critical </w:t>
      </w:r>
      <w:proofErr w:type="spellStart"/>
      <w:r>
        <w:rPr>
          <w:lang w:val="en-AU"/>
        </w:rPr>
        <w:t>luteoplacental</w:t>
      </w:r>
      <w:proofErr w:type="spellEnd"/>
      <w:r>
        <w:rPr>
          <w:lang w:val="en-AU"/>
        </w:rPr>
        <w:t xml:space="preserve"> juncture of pregnancy, placental progesterone is biologically more important than luteal progesterone.</w:t>
      </w:r>
    </w:p>
    <w:p w14:paraId="5A8B52D9" w14:textId="2C14C125" w:rsidR="00975996" w:rsidRDefault="00EB74EF" w:rsidP="00975996">
      <w:pPr>
        <w:pStyle w:val="BodyText"/>
        <w:spacing w:before="120"/>
      </w:pPr>
      <w:r w:rsidRPr="00EB74EF">
        <w:rPr>
          <w:lang w:val="en-AU"/>
        </w:rPr>
        <w:t>The primary outcome of the PRISM trial was a live birth after at least 34 weeks gestation</w:t>
      </w:r>
      <w:r>
        <w:rPr>
          <w:lang w:val="en-AU"/>
        </w:rPr>
        <w:t xml:space="preserve">.  </w:t>
      </w:r>
      <w:r w:rsidR="00913DCC">
        <w:rPr>
          <w:lang w:val="en-AU"/>
        </w:rPr>
        <w:t>L</w:t>
      </w:r>
      <w:proofErr w:type="spellStart"/>
      <w:r w:rsidR="00913DCC">
        <w:t>ive</w:t>
      </w:r>
      <w:proofErr w:type="spellEnd"/>
      <w:r w:rsidR="00913DCC">
        <w:t xml:space="preserve"> births were greater in the progesterone group </w:t>
      </w:r>
      <w:r w:rsidR="00913DCC" w:rsidRPr="007250D6">
        <w:t>(75% in the progesterone group vs. 72% in the placebo group</w:t>
      </w:r>
      <w:r w:rsidR="00E55524" w:rsidRPr="00E55524">
        <w:rPr>
          <w:rFonts w:ascii="AdvOT77db9845" w:hAnsi="AdvOT77db9845" w:cs="AdvOT77db9845"/>
          <w:sz w:val="20"/>
          <w:szCs w:val="20"/>
          <w:lang w:val="en-AU" w:eastAsia="en-AU"/>
        </w:rPr>
        <w:t xml:space="preserve"> </w:t>
      </w:r>
      <w:r w:rsidR="00E55524">
        <w:rPr>
          <w:rFonts w:ascii="AdvOT77db9845" w:hAnsi="AdvOT77db9845" w:cs="AdvOT77db9845"/>
          <w:sz w:val="20"/>
          <w:szCs w:val="20"/>
          <w:lang w:val="en-AU" w:eastAsia="en-AU"/>
        </w:rPr>
        <w:t>(</w:t>
      </w:r>
      <w:r w:rsidR="00E55524" w:rsidRPr="00E55524">
        <w:rPr>
          <w:lang w:val="en-AU"/>
        </w:rPr>
        <w:t>RR, 1.03; 95% CI, 1.00</w:t>
      </w:r>
      <w:r w:rsidR="00E55524">
        <w:rPr>
          <w:lang w:val="en-AU"/>
        </w:rPr>
        <w:t>-</w:t>
      </w:r>
      <w:r w:rsidR="00E55524" w:rsidRPr="00E55524">
        <w:rPr>
          <w:lang w:val="en-AU"/>
        </w:rPr>
        <w:t>1.07</w:t>
      </w:r>
      <w:r w:rsidR="00E55524">
        <w:rPr>
          <w:lang w:val="en-AU"/>
        </w:rPr>
        <w:t>, p=0.08</w:t>
      </w:r>
      <w:r w:rsidR="00E55524" w:rsidRPr="00E55524">
        <w:rPr>
          <w:lang w:val="en-AU"/>
        </w:rPr>
        <w:t>)</w:t>
      </w:r>
      <w:r w:rsidR="00913DCC">
        <w:t xml:space="preserve">) and this primary outcome achieved borderline significance </w:t>
      </w:r>
      <w:r w:rsidR="00913DCC" w:rsidRPr="001A5FFB">
        <w:t>(</w:t>
      </w:r>
      <w:r w:rsidR="00913DCC" w:rsidRPr="00406F47">
        <w:t>Coomarasamy 2020a</w:t>
      </w:r>
      <w:r w:rsidR="00913DCC" w:rsidRPr="005B35F6">
        <w:rPr>
          <w:color w:val="0000FF"/>
        </w:rPr>
        <w:t>,</w:t>
      </w:r>
      <w:r w:rsidR="001F71CB">
        <w:rPr>
          <w:color w:val="0000FF"/>
        </w:rPr>
        <w:t xml:space="preserve"> </w:t>
      </w:r>
      <w:r w:rsidR="001F71CB" w:rsidRPr="009F49A9">
        <w:t>H</w:t>
      </w:r>
      <w:r w:rsidR="00E3151E" w:rsidRPr="009F49A9">
        <w:t>T</w:t>
      </w:r>
      <w:r w:rsidR="00A25AA7">
        <w:t>A</w:t>
      </w:r>
      <w:r w:rsidR="001F71CB">
        <w:rPr>
          <w:color w:val="0000FF"/>
        </w:rPr>
        <w:t>,</w:t>
      </w:r>
      <w:r w:rsidR="00913DCC" w:rsidRPr="005B35F6">
        <w:rPr>
          <w:color w:val="0000FF"/>
        </w:rPr>
        <w:t xml:space="preserve"> </w:t>
      </w:r>
      <w:r w:rsidR="00913DCC" w:rsidRPr="00406F47">
        <w:t>Coomarasamy 2019</w:t>
      </w:r>
      <w:r w:rsidR="001F71CB">
        <w:t>, NEJM PRISM Trial</w:t>
      </w:r>
      <w:r w:rsidR="00913DCC" w:rsidRPr="001A5FFB">
        <w:t>).</w:t>
      </w:r>
      <w:r w:rsidR="00913DCC">
        <w:t xml:space="preserve"> </w:t>
      </w:r>
      <w:r w:rsidRPr="00EB74EF">
        <w:t>Progesterone</w:t>
      </w:r>
      <w:r w:rsidR="00913DCC">
        <w:t xml:space="preserve"> resulted in an additional 2 live births per 100 women at ≥34 weeks of gestation compared with placebo (</w:t>
      </w:r>
      <w:r w:rsidR="00913DCC" w:rsidRPr="00406F47">
        <w:t>Coomarasamy 20</w:t>
      </w:r>
      <w:r w:rsidR="001C6603" w:rsidRPr="00406F47">
        <w:t>20</w:t>
      </w:r>
      <w:r w:rsidR="00913DCC" w:rsidRPr="00406F47">
        <w:t>b</w:t>
      </w:r>
      <w:r w:rsidR="001F71CB">
        <w:t>, ACOG</w:t>
      </w:r>
      <w:r w:rsidR="00913DCC">
        <w:t>).</w:t>
      </w:r>
      <w:r w:rsidR="00975996" w:rsidRPr="00975996">
        <w:t xml:space="preserve"> </w:t>
      </w:r>
      <w:r w:rsidR="00975996">
        <w:t>Live birth rate after 24 weeks of gestation was 66% in the progesterone group compared with the 63.3% in the placebo group (relative rate, 1.04: 95% CI, 0.94-1.15: absolute risk difference</w:t>
      </w:r>
      <w:r w:rsidR="0085069D">
        <w:t>, 2.5 percentage points: 95% CI, -4.0 to 9.0</w:t>
      </w:r>
      <w:r w:rsidR="00975996">
        <w:t xml:space="preserve">). </w:t>
      </w:r>
      <w:r w:rsidR="0085069D">
        <w:t xml:space="preserve"> </w:t>
      </w:r>
    </w:p>
    <w:p w14:paraId="2DF626A6" w14:textId="6B154EE8" w:rsidR="00EB442B" w:rsidRDefault="00A6355A" w:rsidP="00256D47">
      <w:pPr>
        <w:spacing w:before="120"/>
        <w:jc w:val="both"/>
      </w:pPr>
      <w:r>
        <w:t>A</w:t>
      </w:r>
      <w:r w:rsidRPr="001A5FFB">
        <w:t xml:space="preserve"> subgroup effect by previous history of miscarriage was observed</w:t>
      </w:r>
      <w:r>
        <w:t xml:space="preserve"> in pre-specified subgroup analysis. Analysis revealed a </w:t>
      </w:r>
      <w:r w:rsidRPr="001A5FFB">
        <w:t xml:space="preserve">biological gradient, </w:t>
      </w:r>
      <w:r>
        <w:t>whereby</w:t>
      </w:r>
      <w:r w:rsidRPr="001A5FFB">
        <w:t xml:space="preserve"> </w:t>
      </w:r>
      <w:r>
        <w:t>women</w:t>
      </w:r>
      <w:r w:rsidRPr="001A5FFB">
        <w:t xml:space="preserve"> with </w:t>
      </w:r>
      <w:r>
        <w:t>1 or 2</w:t>
      </w:r>
      <w:r w:rsidRPr="001A5FFB">
        <w:t xml:space="preserve"> previous miscarriages </w:t>
      </w:r>
      <w:r>
        <w:t>gained</w:t>
      </w:r>
      <w:r w:rsidRPr="001A5FFB">
        <w:t xml:space="preserve"> </w:t>
      </w:r>
      <w:r>
        <w:t xml:space="preserve">some </w:t>
      </w:r>
      <w:r w:rsidRPr="001A5FFB">
        <w:t xml:space="preserve">benefit and those with </w:t>
      </w:r>
      <w:r>
        <w:t xml:space="preserve">≥3 </w:t>
      </w:r>
      <w:r w:rsidRPr="001A5FFB">
        <w:t>previous miscarriages receiv</w:t>
      </w:r>
      <w:r>
        <w:t>ed</w:t>
      </w:r>
      <w:r w:rsidRPr="001A5FFB">
        <w:t xml:space="preserve"> a </w:t>
      </w:r>
      <w:r>
        <w:t>considerably significant</w:t>
      </w:r>
      <w:r w:rsidRPr="001A5FFB">
        <w:t xml:space="preserve"> benefit.</w:t>
      </w:r>
      <w:r>
        <w:t xml:space="preserve"> In women with threatened miscarriage and a history of 1 or more miscarriage(s), the number needed to treat for 1 additional live birth is 20. In women with a history of 3 or more miscarriages, the number needed to treat is 8. </w:t>
      </w:r>
      <w:r w:rsidRPr="001A5FFB">
        <w:t xml:space="preserve">The biological gradient </w:t>
      </w:r>
      <w:r>
        <w:t xml:space="preserve">of progesterone </w:t>
      </w:r>
      <w:r w:rsidRPr="001A5FFB">
        <w:t xml:space="preserve">combined with the </w:t>
      </w:r>
      <w:r>
        <w:t>borderline significant</w:t>
      </w:r>
      <w:r w:rsidRPr="001A5FFB">
        <w:t xml:space="preserve"> </w:t>
      </w:r>
      <w:r>
        <w:t>live birth rate</w:t>
      </w:r>
      <w:r w:rsidRPr="001A5FFB">
        <w:t xml:space="preserve"> </w:t>
      </w:r>
      <w:r>
        <w:t>provides assurance of the positive</w:t>
      </w:r>
      <w:r w:rsidRPr="001A5FFB">
        <w:t xml:space="preserve"> effects of progesterone in women </w:t>
      </w:r>
      <w:r>
        <w:t>at</w:t>
      </w:r>
      <w:r w:rsidRPr="001A5FFB">
        <w:t xml:space="preserve"> high-risk</w:t>
      </w:r>
      <w:r>
        <w:t xml:space="preserve"> of miscarriage</w:t>
      </w:r>
      <w:r w:rsidRPr="001A5FFB">
        <w:t>.</w:t>
      </w:r>
    </w:p>
    <w:p w14:paraId="573583A6" w14:textId="307BA6C2" w:rsidR="00256D47" w:rsidRDefault="00AA2036" w:rsidP="00256D47">
      <w:pPr>
        <w:pStyle w:val="BodyText"/>
        <w:rPr>
          <w:lang w:val="en-AU"/>
        </w:rPr>
      </w:pPr>
      <w:r w:rsidRPr="00E96C6E">
        <w:rPr>
          <w:noProof/>
        </w:rPr>
        <w:drawing>
          <wp:inline distT="0" distB="0" distL="0" distR="0" wp14:anchorId="28549889" wp14:editId="46FF7FDE">
            <wp:extent cx="6115050" cy="29718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2971800"/>
                    </a:xfrm>
                    <a:prstGeom prst="rect">
                      <a:avLst/>
                    </a:prstGeom>
                    <a:noFill/>
                    <a:ln>
                      <a:noFill/>
                    </a:ln>
                  </pic:spPr>
                </pic:pic>
              </a:graphicData>
            </a:graphic>
          </wp:inline>
        </w:drawing>
      </w:r>
    </w:p>
    <w:p w14:paraId="3B084CE0" w14:textId="298E4055" w:rsidR="00EB74EF" w:rsidRPr="00EB74EF" w:rsidRDefault="00DB50E8" w:rsidP="00CB7E18">
      <w:pPr>
        <w:pStyle w:val="BodyText"/>
        <w:spacing w:before="120"/>
        <w:rPr>
          <w:lang w:val="en-AU"/>
        </w:rPr>
      </w:pPr>
      <w:r>
        <w:rPr>
          <w:lang w:val="en-AU"/>
        </w:rPr>
        <w:t xml:space="preserve"> </w:t>
      </w:r>
    </w:p>
    <w:p w14:paraId="4879F17C" w14:textId="1BE7CB03" w:rsidR="000C008E" w:rsidRDefault="000C008E" w:rsidP="00256D47">
      <w:pPr>
        <w:pStyle w:val="BodyText"/>
        <w:spacing w:before="120"/>
        <w:rPr>
          <w:lang w:val="en-AU"/>
        </w:rPr>
      </w:pPr>
      <w:r>
        <w:rPr>
          <w:lang w:val="en-AU"/>
        </w:rPr>
        <w:t>In summary</w:t>
      </w:r>
      <w:r w:rsidR="00603838">
        <w:rPr>
          <w:lang w:val="en-AU"/>
        </w:rPr>
        <w:t>,</w:t>
      </w:r>
      <w:r>
        <w:rPr>
          <w:lang w:val="en-AU"/>
        </w:rPr>
        <w:t xml:space="preserve"> t</w:t>
      </w:r>
      <w:r w:rsidRPr="000C008E">
        <w:rPr>
          <w:lang w:val="en-AU"/>
        </w:rPr>
        <w:t xml:space="preserve">he dual risk factors of early pregnancy bleeding and a history of one or more previous miscarriage(s) identified high-risk women in whom progesterone </w:t>
      </w:r>
      <w:r w:rsidR="0098261A">
        <w:rPr>
          <w:lang w:val="en-AU"/>
        </w:rPr>
        <w:t>may be</w:t>
      </w:r>
      <w:r w:rsidR="0098261A" w:rsidRPr="000C008E">
        <w:rPr>
          <w:lang w:val="en-AU"/>
        </w:rPr>
        <w:t xml:space="preserve"> </w:t>
      </w:r>
      <w:r w:rsidRPr="000C008E">
        <w:rPr>
          <w:lang w:val="en-AU"/>
        </w:rPr>
        <w:t xml:space="preserve">of benefit.  </w:t>
      </w:r>
      <w:r w:rsidR="00CB7E18">
        <w:rPr>
          <w:lang w:val="en-AU"/>
        </w:rPr>
        <w:t xml:space="preserve">It is </w:t>
      </w:r>
      <w:r w:rsidRPr="000C008E">
        <w:rPr>
          <w:lang w:val="en-AU"/>
        </w:rPr>
        <w:t xml:space="preserve">suggested that the information should be communicated to women at high risk of miscarriages to enable shared decision-making and consider offering to women with vaginal bleeding and a history of 1 or more previous miscarriage(s) a course of treatment with vaginal micronized progesterone 400 mg twice daily, started at the time of presentation with vaginal bleeding and continued to 16 completed weeks of gestation. </w:t>
      </w:r>
      <w:r w:rsidR="0098261A">
        <w:rPr>
          <w:lang w:val="en-AU"/>
        </w:rPr>
        <w:t>(NICE 2021</w:t>
      </w:r>
      <w:proofErr w:type="gramStart"/>
      <w:r w:rsidR="0098261A">
        <w:rPr>
          <w:lang w:val="en-AU"/>
        </w:rPr>
        <w:t xml:space="preserve">) </w:t>
      </w:r>
      <w:r w:rsidRPr="000C008E">
        <w:rPr>
          <w:lang w:val="en-AU"/>
        </w:rPr>
        <w:t xml:space="preserve"> In</w:t>
      </w:r>
      <w:proofErr w:type="gramEnd"/>
      <w:r w:rsidRPr="000C008E">
        <w:rPr>
          <w:lang w:val="en-AU"/>
        </w:rPr>
        <w:t xml:space="preserve"> the United Kingdom, they estimated that implementing this treatment strategy would result in an additional 8450 live births per year and believed that a woman at high </w:t>
      </w:r>
      <w:r w:rsidRPr="000C008E">
        <w:rPr>
          <w:lang w:val="en-AU"/>
        </w:rPr>
        <w:lastRenderedPageBreak/>
        <w:t>risk of having a miscarriage may not need absolute scientific certainty to choose to have this treatment (Coomarasamy</w:t>
      </w:r>
      <w:r w:rsidR="00A028A6">
        <w:rPr>
          <w:lang w:val="en-AU"/>
        </w:rPr>
        <w:t xml:space="preserve"> 2020b</w:t>
      </w:r>
      <w:r w:rsidR="001F71CB">
        <w:rPr>
          <w:lang w:val="en-AU"/>
        </w:rPr>
        <w:t>, ACOG</w:t>
      </w:r>
      <w:r w:rsidRPr="000C008E">
        <w:rPr>
          <w:lang w:val="en-AU"/>
        </w:rPr>
        <w:t>).</w:t>
      </w:r>
    </w:p>
    <w:p w14:paraId="09320029" w14:textId="77777777" w:rsidR="000C008E" w:rsidRPr="000C008E" w:rsidRDefault="00C11878" w:rsidP="00256D47">
      <w:pPr>
        <w:spacing w:before="120"/>
        <w:jc w:val="both"/>
        <w:rPr>
          <w:iCs/>
          <w:szCs w:val="20"/>
          <w:lang w:val="en-AU"/>
        </w:rPr>
      </w:pPr>
      <w:r>
        <w:rPr>
          <w:iCs/>
          <w:szCs w:val="20"/>
          <w:lang w:val="en-AU"/>
        </w:rPr>
        <w:t xml:space="preserve">A </w:t>
      </w:r>
      <w:r w:rsidR="0021573F">
        <w:rPr>
          <w:iCs/>
          <w:szCs w:val="20"/>
          <w:lang w:val="en-AU"/>
        </w:rPr>
        <w:t xml:space="preserve">Cochrane network meta-analysis </w:t>
      </w:r>
      <w:r>
        <w:rPr>
          <w:iCs/>
          <w:szCs w:val="20"/>
          <w:lang w:val="en-AU"/>
        </w:rPr>
        <w:t xml:space="preserve">including seven randomised trials involving 5682 </w:t>
      </w:r>
      <w:r w:rsidR="0021573F">
        <w:rPr>
          <w:iCs/>
          <w:szCs w:val="20"/>
          <w:lang w:val="en-AU"/>
        </w:rPr>
        <w:t>confirmed</w:t>
      </w:r>
      <w:r>
        <w:rPr>
          <w:iCs/>
          <w:szCs w:val="20"/>
          <w:lang w:val="en-AU"/>
        </w:rPr>
        <w:t xml:space="preserve"> that vaginal micronized progesterone may increase the live birth rate for women with a history of one or more previous miscarriages and early bleeding pregnancy (</w:t>
      </w:r>
      <w:r w:rsidR="0021573F">
        <w:rPr>
          <w:iCs/>
          <w:szCs w:val="20"/>
          <w:lang w:val="en-AU"/>
        </w:rPr>
        <w:t>Devall 2021</w:t>
      </w:r>
      <w:r>
        <w:rPr>
          <w:iCs/>
          <w:szCs w:val="20"/>
          <w:lang w:val="en-AU"/>
        </w:rPr>
        <w:t xml:space="preserve">). </w:t>
      </w:r>
      <w:r w:rsidR="00D726E6">
        <w:rPr>
          <w:iCs/>
          <w:szCs w:val="20"/>
          <w:lang w:val="en-AU"/>
        </w:rPr>
        <w:t xml:space="preserve"> F</w:t>
      </w:r>
      <w:r w:rsidR="00D726E6" w:rsidRPr="00D726E6">
        <w:rPr>
          <w:iCs/>
          <w:szCs w:val="20"/>
          <w:lang w:val="en-AU"/>
        </w:rPr>
        <w:t>or women with one or more previous miscarriages and early pregnancy bleeding, vaginal micronized</w:t>
      </w:r>
      <w:r w:rsidR="00D726E6">
        <w:rPr>
          <w:iCs/>
          <w:szCs w:val="20"/>
          <w:lang w:val="en-AU"/>
        </w:rPr>
        <w:t xml:space="preserve"> </w:t>
      </w:r>
      <w:r w:rsidR="00D726E6" w:rsidRPr="00D726E6">
        <w:rPr>
          <w:iCs/>
          <w:szCs w:val="20"/>
          <w:lang w:val="en-AU"/>
        </w:rPr>
        <w:t>progesterone increase</w:t>
      </w:r>
      <w:r w:rsidR="00D726E6">
        <w:rPr>
          <w:iCs/>
          <w:szCs w:val="20"/>
          <w:lang w:val="en-AU"/>
        </w:rPr>
        <w:t>d</w:t>
      </w:r>
      <w:r w:rsidR="00D726E6" w:rsidRPr="00D726E6">
        <w:rPr>
          <w:iCs/>
          <w:szCs w:val="20"/>
          <w:lang w:val="en-AU"/>
        </w:rPr>
        <w:t xml:space="preserve"> the live birth rate compared to placebo (RR 1.08, 95% CI 1.02 to 1.15, high-certainty evidence).</w:t>
      </w:r>
      <w:r w:rsidR="000C008E" w:rsidRPr="000C008E">
        <w:rPr>
          <w:iCs/>
          <w:szCs w:val="20"/>
          <w:lang w:val="en-AU"/>
        </w:rPr>
        <w:t xml:space="preserve"> (Devall 2021).</w:t>
      </w:r>
    </w:p>
    <w:p w14:paraId="5E3CDDC3" w14:textId="77777777" w:rsidR="0015639E" w:rsidRPr="002E0E36" w:rsidRDefault="0015639E" w:rsidP="002E0E36">
      <w:pPr>
        <w:pStyle w:val="Heading1"/>
        <w:widowControl w:val="0"/>
        <w:numPr>
          <w:ilvl w:val="1"/>
          <w:numId w:val="15"/>
        </w:numPr>
        <w:autoSpaceDE w:val="0"/>
        <w:autoSpaceDN w:val="0"/>
        <w:adjustRightInd w:val="0"/>
        <w:ind w:left="120" w:right="3124" w:hanging="120"/>
        <w:jc w:val="both"/>
        <w:rPr>
          <w:kern w:val="0"/>
          <w:sz w:val="24"/>
          <w:szCs w:val="24"/>
        </w:rPr>
      </w:pPr>
      <w:r w:rsidRPr="002E0E36">
        <w:rPr>
          <w:kern w:val="0"/>
          <w:sz w:val="24"/>
          <w:szCs w:val="24"/>
        </w:rPr>
        <w:t>PHARMACOKINETIC PROPERTIES</w:t>
      </w:r>
    </w:p>
    <w:p w14:paraId="60147CDF" w14:textId="77777777" w:rsidR="0096546E" w:rsidRPr="007C5E83" w:rsidRDefault="0096546E" w:rsidP="0096546E">
      <w:pPr>
        <w:jc w:val="both"/>
        <w:rPr>
          <w:b/>
        </w:rPr>
      </w:pPr>
      <w:r w:rsidRPr="007C5E83">
        <w:rPr>
          <w:b/>
        </w:rPr>
        <w:t>Absorption</w:t>
      </w:r>
    </w:p>
    <w:p w14:paraId="0D075A98" w14:textId="77777777" w:rsidR="0096546E" w:rsidRPr="005031C8" w:rsidRDefault="0096546E" w:rsidP="009E1740">
      <w:pPr>
        <w:widowControl w:val="0"/>
        <w:jc w:val="both"/>
      </w:pPr>
      <w:r w:rsidRPr="005031C8">
        <w:t xml:space="preserve">Following oral administration, </w:t>
      </w:r>
      <w:proofErr w:type="spellStart"/>
      <w:r w:rsidRPr="005031C8">
        <w:t>micronised</w:t>
      </w:r>
      <w:proofErr w:type="spellEnd"/>
      <w:r w:rsidRPr="005031C8">
        <w:t xml:space="preserve"> progesterone is absorbed by the digestive tract. Pharmacokinetic studies conducted in healthy volunteers have shown that after oral administration of two 100 mg capsules (200mg), plasma progesterone levels increased to reach the </w:t>
      </w:r>
      <w:proofErr w:type="spellStart"/>
      <w:r w:rsidRPr="005031C8">
        <w:t>C</w:t>
      </w:r>
      <w:r w:rsidRPr="00E60983">
        <w:rPr>
          <w:vertAlign w:val="subscript"/>
        </w:rPr>
        <w:t>max</w:t>
      </w:r>
      <w:proofErr w:type="spellEnd"/>
      <w:r w:rsidRPr="005031C8">
        <w:t xml:space="preserve"> of 13.8ng/ml +/- 2.9ng/ml in 2.2 +/- 1.4 hours. The elimination half-life observed was 16.8+/- 2.3 hours. </w:t>
      </w:r>
    </w:p>
    <w:p w14:paraId="6E2B3C0D" w14:textId="77777777" w:rsidR="00256D47" w:rsidRDefault="00256D47" w:rsidP="009E1740">
      <w:pPr>
        <w:widowControl w:val="0"/>
        <w:jc w:val="both"/>
      </w:pPr>
    </w:p>
    <w:p w14:paraId="0BABBFD4" w14:textId="77777777" w:rsidR="0096546E" w:rsidRDefault="0096546E" w:rsidP="0096546E">
      <w:pPr>
        <w:jc w:val="both"/>
      </w:pPr>
      <w:r w:rsidRPr="005031C8">
        <w:t xml:space="preserve">Although there were inter-individual variations, the individual pharmacokinetic characteristics were maintained over several months, indicating predictable responses to the drug. </w:t>
      </w:r>
    </w:p>
    <w:p w14:paraId="56EADA4B" w14:textId="77777777" w:rsidR="0096546E" w:rsidRDefault="0096546E" w:rsidP="0096546E">
      <w:pPr>
        <w:jc w:val="both"/>
      </w:pPr>
    </w:p>
    <w:p w14:paraId="0AC54485" w14:textId="77777777" w:rsidR="0096546E" w:rsidRPr="007C5E83" w:rsidRDefault="0096546E" w:rsidP="0096546E">
      <w:pPr>
        <w:jc w:val="both"/>
      </w:pPr>
      <w:r w:rsidRPr="007C5E83">
        <w:t xml:space="preserve">Following vaginal administration, </w:t>
      </w:r>
      <w:proofErr w:type="spellStart"/>
      <w:r w:rsidRPr="007C5E83">
        <w:t>micronised</w:t>
      </w:r>
      <w:proofErr w:type="spellEnd"/>
      <w:r w:rsidRPr="007C5E83">
        <w:t xml:space="preserve"> progesterone is absorbed rapidly and achieves stable plasma levels in</w:t>
      </w:r>
      <w:r>
        <w:t xml:space="preserve"> </w:t>
      </w:r>
      <w:r w:rsidRPr="007C5E83">
        <w:t>the range of 4-12 ng/ml, depending on the daily dose, with much less inter-subject variation than following oral</w:t>
      </w:r>
      <w:r>
        <w:t xml:space="preserve"> </w:t>
      </w:r>
      <w:r w:rsidRPr="007C5E83">
        <w:t xml:space="preserve">administration. </w:t>
      </w:r>
    </w:p>
    <w:p w14:paraId="4CE24A8D" w14:textId="77777777" w:rsidR="009A6DE0" w:rsidRDefault="009A6DE0" w:rsidP="0096546E">
      <w:pPr>
        <w:jc w:val="both"/>
        <w:rPr>
          <w:b/>
        </w:rPr>
      </w:pPr>
    </w:p>
    <w:p w14:paraId="2052F1D2" w14:textId="77777777" w:rsidR="0096546E" w:rsidRPr="007C5E83" w:rsidRDefault="0096546E" w:rsidP="0096546E">
      <w:pPr>
        <w:jc w:val="both"/>
        <w:rPr>
          <w:b/>
        </w:rPr>
      </w:pPr>
      <w:r w:rsidRPr="007C5E83">
        <w:rPr>
          <w:b/>
        </w:rPr>
        <w:t xml:space="preserve">Distribution </w:t>
      </w:r>
    </w:p>
    <w:p w14:paraId="2913BCAA" w14:textId="77777777" w:rsidR="0096546E" w:rsidRDefault="0096546E" w:rsidP="0096546E">
      <w:pPr>
        <w:jc w:val="both"/>
      </w:pPr>
      <w:r w:rsidRPr="007B7EAF">
        <w:t xml:space="preserve">Following vaginal administration of </w:t>
      </w:r>
      <w:proofErr w:type="spellStart"/>
      <w:r w:rsidRPr="007B7EAF">
        <w:t>micronised</w:t>
      </w:r>
      <w:proofErr w:type="spellEnd"/>
      <w:r w:rsidRPr="007B7EAF">
        <w:t xml:space="preserve"> progesterone, relatively high concentrations of progesterone are found in the uterus and nearby tissues with correspondingly low systemic exposure. Progesterone enters both the lymph system and the blood vessels, as outlined for the uterine first-pass effect</w:t>
      </w:r>
      <w:r>
        <w:t xml:space="preserve">. </w:t>
      </w:r>
      <w:r w:rsidRPr="007C5E83">
        <w:t xml:space="preserve">Progesterone is approximately 96-99% bound to serum proteins, primarily to serum albumin (50-54%) and </w:t>
      </w:r>
      <w:proofErr w:type="spellStart"/>
      <w:r w:rsidRPr="007C5E83">
        <w:t>transcortin</w:t>
      </w:r>
      <w:proofErr w:type="spellEnd"/>
      <w:r>
        <w:t xml:space="preserve"> (corticosteroid binding globulin)</w:t>
      </w:r>
      <w:r w:rsidRPr="007C5E83">
        <w:t xml:space="preserve"> (43-48%).</w:t>
      </w:r>
    </w:p>
    <w:p w14:paraId="75398226" w14:textId="77777777" w:rsidR="0096546E" w:rsidRPr="007C5E83" w:rsidRDefault="0096546E" w:rsidP="0096546E">
      <w:pPr>
        <w:jc w:val="both"/>
        <w:rPr>
          <w:b/>
        </w:rPr>
      </w:pPr>
    </w:p>
    <w:p w14:paraId="3A42D514" w14:textId="77777777" w:rsidR="0096546E" w:rsidRPr="007C5E83" w:rsidRDefault="0096546E" w:rsidP="0096546E">
      <w:pPr>
        <w:jc w:val="both"/>
        <w:rPr>
          <w:b/>
        </w:rPr>
      </w:pPr>
      <w:r w:rsidRPr="007C5E83">
        <w:rPr>
          <w:b/>
        </w:rPr>
        <w:t>Metabolism</w:t>
      </w:r>
    </w:p>
    <w:p w14:paraId="30F5420C" w14:textId="77777777" w:rsidR="0096546E" w:rsidRPr="007C5E83" w:rsidRDefault="0096546E" w:rsidP="0096546E">
      <w:pPr>
        <w:jc w:val="both"/>
      </w:pPr>
      <w:r w:rsidRPr="007C5E83">
        <w:t>Progesterone is metabolised primarily by the liver. Following oral administration, the main plasma metabolites are 20</w:t>
      </w:r>
      <w:r>
        <w:t>α</w:t>
      </w:r>
      <w:r w:rsidRPr="007C5E83">
        <w:t xml:space="preserve"> hydroxy-Δ4</w:t>
      </w:r>
      <w:r>
        <w:t>α</w:t>
      </w:r>
      <w:r w:rsidRPr="007C5E83">
        <w:t>-</w:t>
      </w:r>
      <w:proofErr w:type="spellStart"/>
      <w:r w:rsidRPr="007C5E83">
        <w:t>prenolone</w:t>
      </w:r>
      <w:proofErr w:type="spellEnd"/>
      <w:r w:rsidRPr="007C5E83">
        <w:t xml:space="preserve"> and 5</w:t>
      </w:r>
      <w:r>
        <w:t>α</w:t>
      </w:r>
      <w:r w:rsidRPr="007C5E83">
        <w:t>-</w:t>
      </w:r>
      <w:proofErr w:type="spellStart"/>
      <w:r w:rsidRPr="007C5E83">
        <w:t>dihydroprogesterone</w:t>
      </w:r>
      <w:proofErr w:type="spellEnd"/>
      <w:r w:rsidRPr="007C5E83">
        <w:t xml:space="preserve">. Some progesterone metabolites are excreted in the </w:t>
      </w:r>
      <w:proofErr w:type="gramStart"/>
      <w:r w:rsidRPr="007C5E83">
        <w:t>bile</w:t>
      </w:r>
      <w:proofErr w:type="gramEnd"/>
      <w:r>
        <w:t xml:space="preserve"> </w:t>
      </w:r>
      <w:r w:rsidRPr="007C5E83">
        <w:t xml:space="preserve">and these may be deconjugated and further metabolised in the gut via reduction, </w:t>
      </w:r>
      <w:proofErr w:type="spellStart"/>
      <w:r w:rsidRPr="007C5E83">
        <w:t>dehydroxylation</w:t>
      </w:r>
      <w:proofErr w:type="spellEnd"/>
      <w:r w:rsidRPr="007C5E83">
        <w:t xml:space="preserve"> and epimerisation.</w:t>
      </w:r>
    </w:p>
    <w:p w14:paraId="4BF3A1C6" w14:textId="77777777" w:rsidR="0096546E" w:rsidRDefault="0096546E" w:rsidP="0096546E">
      <w:pPr>
        <w:jc w:val="both"/>
      </w:pPr>
    </w:p>
    <w:p w14:paraId="5C91F37B" w14:textId="77777777" w:rsidR="0096546E" w:rsidRPr="007C5E83" w:rsidRDefault="0096546E" w:rsidP="0096546E">
      <w:pPr>
        <w:jc w:val="both"/>
      </w:pPr>
      <w:r w:rsidRPr="007C5E83">
        <w:t xml:space="preserve">The main plasma and urinary metabolites are </w:t>
      </w:r>
      <w:proofErr w:type="gramStart"/>
      <w:r w:rsidRPr="007C5E83">
        <w:t>similar to</w:t>
      </w:r>
      <w:proofErr w:type="gramEnd"/>
      <w:r w:rsidRPr="007C5E83">
        <w:t xml:space="preserve"> those found during the physiological secretion of the corpus</w:t>
      </w:r>
      <w:r>
        <w:t xml:space="preserve"> </w:t>
      </w:r>
      <w:r w:rsidRPr="007C5E83">
        <w:t xml:space="preserve">luteum. </w:t>
      </w:r>
    </w:p>
    <w:p w14:paraId="6636AB9E" w14:textId="77777777" w:rsidR="0096546E" w:rsidRDefault="0096546E" w:rsidP="0096546E">
      <w:pPr>
        <w:jc w:val="both"/>
      </w:pPr>
    </w:p>
    <w:p w14:paraId="5A62C8DA" w14:textId="77777777" w:rsidR="0096546E" w:rsidRPr="007C5E83" w:rsidRDefault="0096546E" w:rsidP="0096546E">
      <w:pPr>
        <w:jc w:val="both"/>
      </w:pPr>
      <w:r w:rsidRPr="007C5E83">
        <w:t>Following vaginal administration, only low plasma levels of pregnanolone and 5</w:t>
      </w:r>
      <w:r>
        <w:t>α</w:t>
      </w:r>
      <w:r w:rsidRPr="007C5E83">
        <w:t>-</w:t>
      </w:r>
      <w:proofErr w:type="spellStart"/>
      <w:r w:rsidRPr="007C5E83">
        <w:t>dihydroprogesterone</w:t>
      </w:r>
      <w:proofErr w:type="spellEnd"/>
      <w:r w:rsidRPr="007C5E83">
        <w:t xml:space="preserve"> are detected,</w:t>
      </w:r>
      <w:r>
        <w:t xml:space="preserve"> </w:t>
      </w:r>
      <w:r w:rsidRPr="007C5E83">
        <w:t>due to the lack of first-pass metabolism.</w:t>
      </w:r>
    </w:p>
    <w:p w14:paraId="1AC04816" w14:textId="77777777" w:rsidR="0096546E" w:rsidRDefault="0096546E" w:rsidP="0096546E">
      <w:pPr>
        <w:jc w:val="both"/>
        <w:rPr>
          <w:b/>
        </w:rPr>
      </w:pPr>
    </w:p>
    <w:p w14:paraId="5D9A3541" w14:textId="77777777" w:rsidR="0096546E" w:rsidRPr="007C5E83" w:rsidRDefault="0096546E" w:rsidP="00043D74">
      <w:pPr>
        <w:pageBreakBefore/>
        <w:jc w:val="both"/>
        <w:rPr>
          <w:b/>
        </w:rPr>
      </w:pPr>
      <w:r>
        <w:rPr>
          <w:b/>
        </w:rPr>
        <w:lastRenderedPageBreak/>
        <w:t>Excretion</w:t>
      </w:r>
    </w:p>
    <w:p w14:paraId="7FF9E077" w14:textId="77777777" w:rsidR="0096546E" w:rsidRDefault="0096546E" w:rsidP="0096546E">
      <w:pPr>
        <w:jc w:val="both"/>
      </w:pPr>
      <w:r w:rsidRPr="007C5E83">
        <w:t xml:space="preserve">Urinary elimination is observed for 95% in the form of </w:t>
      </w:r>
      <w:proofErr w:type="spellStart"/>
      <w:r w:rsidRPr="007C5E83">
        <w:t>glycuroconjugated</w:t>
      </w:r>
      <w:proofErr w:type="spellEnd"/>
      <w:r w:rsidRPr="007C5E83">
        <w:t xml:space="preserve"> metabolites, mainly 3</w:t>
      </w:r>
      <w:r>
        <w:t>α</w:t>
      </w:r>
      <w:r w:rsidRPr="007C5E83">
        <w:t>, 5ß–pregnanediol (</w:t>
      </w:r>
      <w:proofErr w:type="spellStart"/>
      <w:r w:rsidRPr="007C5E83">
        <w:t>pregnandiol</w:t>
      </w:r>
      <w:proofErr w:type="spellEnd"/>
      <w:r w:rsidRPr="007C5E83">
        <w:t>).</w:t>
      </w:r>
    </w:p>
    <w:p w14:paraId="30253DFA" w14:textId="77777777" w:rsidR="00EB74EF" w:rsidRDefault="00EB74EF" w:rsidP="0096546E">
      <w:pPr>
        <w:jc w:val="both"/>
      </w:pPr>
    </w:p>
    <w:p w14:paraId="1FC76655" w14:textId="77777777" w:rsidR="0015639E" w:rsidRPr="002E0E36" w:rsidRDefault="0096546E" w:rsidP="008E0BF4">
      <w:pPr>
        <w:pStyle w:val="Heading1"/>
        <w:widowControl w:val="0"/>
        <w:numPr>
          <w:ilvl w:val="1"/>
          <w:numId w:val="15"/>
        </w:numPr>
        <w:autoSpaceDE w:val="0"/>
        <w:autoSpaceDN w:val="0"/>
        <w:adjustRightInd w:val="0"/>
        <w:spacing w:before="120"/>
        <w:ind w:left="120" w:right="3124" w:hanging="120"/>
        <w:jc w:val="both"/>
        <w:rPr>
          <w:kern w:val="0"/>
          <w:sz w:val="24"/>
          <w:szCs w:val="24"/>
        </w:rPr>
      </w:pPr>
      <w:r w:rsidRPr="002E0E36">
        <w:rPr>
          <w:kern w:val="0"/>
          <w:sz w:val="24"/>
          <w:szCs w:val="24"/>
        </w:rPr>
        <w:t>PRECLINICAL SAFETY DATA</w:t>
      </w:r>
    </w:p>
    <w:p w14:paraId="3FAD7B6F" w14:textId="77777777" w:rsidR="0096546E" w:rsidRDefault="0096546E" w:rsidP="002E0E36">
      <w:pPr>
        <w:ind w:left="375"/>
        <w:jc w:val="both"/>
        <w:rPr>
          <w:b/>
        </w:rPr>
      </w:pPr>
    </w:p>
    <w:p w14:paraId="7D651FC5" w14:textId="77777777" w:rsidR="00FE785B" w:rsidRPr="004D1E67" w:rsidRDefault="00FE785B" w:rsidP="00256D47">
      <w:pPr>
        <w:widowControl w:val="0"/>
        <w:jc w:val="both"/>
        <w:rPr>
          <w:b/>
        </w:rPr>
      </w:pPr>
      <w:r w:rsidRPr="006007DA">
        <w:rPr>
          <w:b/>
        </w:rPr>
        <w:t>Genotoxicity</w:t>
      </w:r>
    </w:p>
    <w:p w14:paraId="2B80CF97" w14:textId="77777777" w:rsidR="00FE785B" w:rsidRDefault="00FE785B" w:rsidP="00256D47">
      <w:pPr>
        <w:widowControl w:val="0"/>
        <w:jc w:val="both"/>
        <w:rPr>
          <w:color w:val="000000"/>
          <w:sz w:val="23"/>
          <w:szCs w:val="23"/>
        </w:rPr>
      </w:pPr>
      <w:r>
        <w:rPr>
          <w:color w:val="000000"/>
          <w:sz w:val="23"/>
          <w:szCs w:val="23"/>
        </w:rPr>
        <w:t xml:space="preserve">Progesterone </w:t>
      </w:r>
      <w:r w:rsidRPr="006007DA">
        <w:t>did not induce chromosomal aberrations or sister chromatid e</w:t>
      </w:r>
      <w:r w:rsidRPr="00302E58">
        <w:t xml:space="preserve">xchanges in cultured human cells nor chromosomal aberrations or DNA strand breaks in rodent cells.  </w:t>
      </w:r>
      <w:r w:rsidRPr="006007DA">
        <w:t>Progesterone did not induce dominant lethal mutations in mice or chromosomal aberrations in the</w:t>
      </w:r>
      <w:r>
        <w:t xml:space="preserve"> </w:t>
      </w:r>
      <w:r w:rsidRPr="006007DA">
        <w:t>bone marrow of rats in vivo</w:t>
      </w:r>
      <w:r>
        <w:t xml:space="preserve"> although </w:t>
      </w:r>
      <w:r>
        <w:rPr>
          <w:color w:val="000000"/>
          <w:sz w:val="23"/>
          <w:szCs w:val="23"/>
        </w:rPr>
        <w:t xml:space="preserve">in vivo studies for chromosome damage have yielded positive results in mice at oral doses of 1000 mg/kg and 2000 mg/kg.  </w:t>
      </w:r>
    </w:p>
    <w:p w14:paraId="07A893A0" w14:textId="77777777" w:rsidR="00FE785B" w:rsidRDefault="00FE785B" w:rsidP="00FE785B">
      <w:pPr>
        <w:jc w:val="both"/>
        <w:rPr>
          <w:color w:val="000000"/>
          <w:sz w:val="23"/>
          <w:szCs w:val="23"/>
        </w:rPr>
      </w:pPr>
    </w:p>
    <w:p w14:paraId="69340457" w14:textId="77777777" w:rsidR="00FE785B" w:rsidRPr="00F608CC" w:rsidRDefault="00FE785B" w:rsidP="00FE785B">
      <w:pPr>
        <w:jc w:val="both"/>
      </w:pPr>
      <w:r w:rsidRPr="00302E58">
        <w:t>Weak clastogenic activity was found for progesterone in the rat hepatocyte micronucleus test after treatment</w:t>
      </w:r>
      <w:r w:rsidRPr="00E00E3D">
        <w:t xml:space="preserve"> with a high oral dose (100 mg/kg). Studies on transformation of rodent cells </w:t>
      </w:r>
      <w:r w:rsidRPr="00C329C1">
        <w:rPr>
          <w:i/>
        </w:rPr>
        <w:t>in vitro</w:t>
      </w:r>
      <w:r w:rsidRPr="00E00E3D">
        <w:t xml:space="preserve"> were inconclusive.</w:t>
      </w:r>
      <w:r w:rsidRPr="00774030">
        <w:t xml:space="preserve"> </w:t>
      </w:r>
      <w:r w:rsidRPr="008C39EA">
        <w:t xml:space="preserve">Variable results were obtained in the mouse lymphoma </w:t>
      </w:r>
      <w:proofErr w:type="spellStart"/>
      <w:r w:rsidRPr="008C39EA">
        <w:t>tk</w:t>
      </w:r>
      <w:proofErr w:type="spellEnd"/>
      <w:r w:rsidRPr="008C39EA">
        <w:t xml:space="preserve"> assay. Progesterone was not mutagenic to bacteria.</w:t>
      </w:r>
    </w:p>
    <w:p w14:paraId="0B9765AF" w14:textId="77777777" w:rsidR="00FE785B" w:rsidRDefault="00FE785B" w:rsidP="00FE785B"/>
    <w:p w14:paraId="4A24A984" w14:textId="77777777" w:rsidR="00FE785B" w:rsidRDefault="00FE785B" w:rsidP="00FE785B">
      <w:pPr>
        <w:jc w:val="both"/>
        <w:rPr>
          <w:lang w:val="en-US"/>
        </w:rPr>
      </w:pPr>
      <w:r w:rsidRPr="00F608CC">
        <w:rPr>
          <w:b/>
        </w:rPr>
        <w:t>Carcinogenicity</w:t>
      </w:r>
    </w:p>
    <w:p w14:paraId="7B87F69B" w14:textId="77777777" w:rsidR="00FE785B" w:rsidRDefault="00FE785B" w:rsidP="00FE785B">
      <w:pPr>
        <w:jc w:val="both"/>
      </w:pPr>
      <w:r w:rsidRPr="00F608CC">
        <w:t>Progesterone has been shown to induce/promote the formation of ovarian, ut</w:t>
      </w:r>
      <w:r>
        <w:t xml:space="preserve">erine, mammary, and </w:t>
      </w:r>
      <w:r w:rsidRPr="00F608CC">
        <w:t>genital tract tumours in animals.  The clinical relevance of these findings is unknown. Literature data</w:t>
      </w:r>
      <w:r>
        <w:t xml:space="preserve"> </w:t>
      </w:r>
      <w:r w:rsidRPr="00F608CC">
        <w:t xml:space="preserve">provides no indication of potential carcinogenicity in humans.  </w:t>
      </w:r>
    </w:p>
    <w:p w14:paraId="2A0C875B" w14:textId="77777777" w:rsidR="00FE785B" w:rsidRDefault="00FE785B" w:rsidP="00FE785B">
      <w:pPr>
        <w:jc w:val="both"/>
        <w:rPr>
          <w:lang w:val="en-US"/>
        </w:rPr>
      </w:pPr>
    </w:p>
    <w:p w14:paraId="3DB16907" w14:textId="77777777" w:rsidR="00FE785B" w:rsidRPr="00302E58" w:rsidRDefault="00FE785B" w:rsidP="00FE785B">
      <w:pPr>
        <w:jc w:val="both"/>
      </w:pPr>
      <w:r w:rsidRPr="00302E58">
        <w:rPr>
          <w:lang w:val="en-US"/>
        </w:rPr>
        <w:t xml:space="preserve">When implanted into female mice, progesterone produced mammary carcinomas, ovarian granulosa cell tumors and endometrial stromal sarcomas. In dogs, long-term intramuscular injections produced nodular hyperplasia and benign and malignant mammary tumors. Subcutaneous or intramuscular injections of progesterone decreased the latency period and increased the incidence of mammary tumors in rats previously treated with a chemical carcinogen. </w:t>
      </w:r>
    </w:p>
    <w:p w14:paraId="5A170982" w14:textId="77777777" w:rsidR="00FE785B" w:rsidRDefault="00FE785B" w:rsidP="00FE785B">
      <w:pPr>
        <w:jc w:val="both"/>
        <w:rPr>
          <w:color w:val="000000"/>
          <w:sz w:val="23"/>
          <w:szCs w:val="23"/>
        </w:rPr>
      </w:pPr>
    </w:p>
    <w:p w14:paraId="40D4A382" w14:textId="77777777" w:rsidR="00FE785B" w:rsidRDefault="00FE785B" w:rsidP="00FE785B">
      <w:pPr>
        <w:jc w:val="both"/>
      </w:pPr>
      <w:r w:rsidRPr="00F608CC">
        <w:t>The exposure to women</w:t>
      </w:r>
      <w:r>
        <w:t xml:space="preserve"> remains always in the physiological range</w:t>
      </w:r>
      <w:r w:rsidRPr="00F608CC">
        <w:t xml:space="preserve"> of progesterone </w:t>
      </w:r>
      <w:r>
        <w:t xml:space="preserve">and </w:t>
      </w:r>
      <w:r w:rsidRPr="00F608CC">
        <w:t xml:space="preserve">is regarded </w:t>
      </w:r>
      <w:r>
        <w:t>a</w:t>
      </w:r>
      <w:r w:rsidRPr="00F608CC">
        <w:t>s</w:t>
      </w:r>
      <w:r>
        <w:t xml:space="preserve"> hormone </w:t>
      </w:r>
      <w:r w:rsidRPr="00F608CC">
        <w:t>replacement therapy</w:t>
      </w:r>
      <w:r>
        <w:t xml:space="preserve"> whatever the indication</w:t>
      </w:r>
      <w:r w:rsidRPr="00F608CC">
        <w:t>.</w:t>
      </w:r>
    </w:p>
    <w:p w14:paraId="38917F8E" w14:textId="77777777" w:rsidR="0096546E" w:rsidRPr="004D1E67" w:rsidRDefault="0096546E" w:rsidP="00FE785B">
      <w:pPr>
        <w:jc w:val="both"/>
      </w:pPr>
    </w:p>
    <w:p w14:paraId="40D72F72" w14:textId="77777777" w:rsidR="0096546E" w:rsidRPr="00BA7B81" w:rsidRDefault="0096546E" w:rsidP="00FD0BBA">
      <w:pPr>
        <w:pStyle w:val="Heading1"/>
        <w:spacing w:before="0"/>
      </w:pPr>
      <w:r>
        <w:t>PHARMACEUTICAL PARTICULAR</w:t>
      </w:r>
    </w:p>
    <w:p w14:paraId="1A43FF7C" w14:textId="77777777" w:rsidR="0096546E" w:rsidRDefault="0096546E" w:rsidP="002E0E36">
      <w:pPr>
        <w:pStyle w:val="Heading1"/>
        <w:widowControl w:val="0"/>
        <w:numPr>
          <w:ilvl w:val="1"/>
          <w:numId w:val="15"/>
        </w:numPr>
        <w:autoSpaceDE w:val="0"/>
        <w:autoSpaceDN w:val="0"/>
        <w:adjustRightInd w:val="0"/>
        <w:ind w:left="120" w:right="3124" w:hanging="120"/>
        <w:jc w:val="both"/>
        <w:rPr>
          <w:kern w:val="0"/>
          <w:sz w:val="24"/>
          <w:szCs w:val="24"/>
        </w:rPr>
      </w:pPr>
      <w:r w:rsidRPr="002E0E36">
        <w:rPr>
          <w:kern w:val="0"/>
          <w:sz w:val="24"/>
          <w:szCs w:val="24"/>
        </w:rPr>
        <w:t>LIST OF EXCIPIENT</w:t>
      </w:r>
      <w:r w:rsidR="009C3952">
        <w:rPr>
          <w:kern w:val="0"/>
          <w:sz w:val="24"/>
          <w:szCs w:val="24"/>
        </w:rPr>
        <w:t>S</w:t>
      </w:r>
    </w:p>
    <w:p w14:paraId="3DACEE12" w14:textId="77777777" w:rsidR="009C3952" w:rsidRDefault="009C3952" w:rsidP="009C3952">
      <w:pPr>
        <w:jc w:val="both"/>
        <w:rPr>
          <w:color w:val="000000"/>
          <w:lang w:val="en-AU" w:eastAsia="en-AU"/>
        </w:rPr>
      </w:pPr>
      <w:r>
        <w:rPr>
          <w:color w:val="000000"/>
          <w:lang w:val="en-AU" w:eastAsia="en-AU"/>
        </w:rPr>
        <w:t>Sunflower oil</w:t>
      </w:r>
    </w:p>
    <w:p w14:paraId="2E3600F5" w14:textId="77777777" w:rsidR="009C3952" w:rsidRDefault="001923A5" w:rsidP="009C3952">
      <w:pPr>
        <w:jc w:val="both"/>
        <w:rPr>
          <w:color w:val="000000"/>
          <w:lang w:val="en-AU" w:eastAsia="en-AU"/>
        </w:rPr>
      </w:pPr>
      <w:r>
        <w:rPr>
          <w:color w:val="000000"/>
          <w:lang w:val="en-AU" w:eastAsia="en-AU"/>
        </w:rPr>
        <w:t>L</w:t>
      </w:r>
      <w:r w:rsidR="009C3952">
        <w:rPr>
          <w:color w:val="000000"/>
          <w:lang w:val="en-AU" w:eastAsia="en-AU"/>
        </w:rPr>
        <w:t>ecithin</w:t>
      </w:r>
    </w:p>
    <w:p w14:paraId="68CF775D" w14:textId="77777777" w:rsidR="009C3952" w:rsidRDefault="009C3952" w:rsidP="009C3952">
      <w:pPr>
        <w:jc w:val="both"/>
        <w:rPr>
          <w:color w:val="000000"/>
          <w:lang w:val="en-AU" w:eastAsia="en-AU"/>
        </w:rPr>
      </w:pPr>
      <w:proofErr w:type="spellStart"/>
      <w:r>
        <w:rPr>
          <w:color w:val="000000"/>
          <w:lang w:val="en-AU" w:eastAsia="en-AU"/>
        </w:rPr>
        <w:t>Gelatin</w:t>
      </w:r>
      <w:proofErr w:type="spellEnd"/>
    </w:p>
    <w:p w14:paraId="7A232C1C" w14:textId="77777777" w:rsidR="009C3952" w:rsidRDefault="009C3952" w:rsidP="009C3952">
      <w:pPr>
        <w:jc w:val="both"/>
        <w:rPr>
          <w:color w:val="000000"/>
          <w:lang w:val="en-AU" w:eastAsia="en-AU"/>
        </w:rPr>
      </w:pPr>
      <w:r>
        <w:rPr>
          <w:color w:val="000000"/>
          <w:lang w:val="en-AU" w:eastAsia="en-AU"/>
        </w:rPr>
        <w:t>Glycerol</w:t>
      </w:r>
    </w:p>
    <w:p w14:paraId="32601BA5" w14:textId="77777777" w:rsidR="009C3952" w:rsidRDefault="009C3952" w:rsidP="009C3952">
      <w:pPr>
        <w:jc w:val="both"/>
        <w:rPr>
          <w:color w:val="000000"/>
          <w:lang w:val="en-AU" w:eastAsia="en-AU"/>
        </w:rPr>
      </w:pPr>
      <w:r>
        <w:rPr>
          <w:color w:val="000000"/>
          <w:lang w:val="en-AU" w:eastAsia="en-AU"/>
        </w:rPr>
        <w:t>Titanium dioxide</w:t>
      </w:r>
    </w:p>
    <w:p w14:paraId="2C114AF4" w14:textId="77777777" w:rsidR="001923A5" w:rsidRDefault="001923A5" w:rsidP="009C3952">
      <w:pPr>
        <w:jc w:val="both"/>
        <w:rPr>
          <w:color w:val="000000"/>
          <w:lang w:val="en-AU" w:eastAsia="en-AU"/>
        </w:rPr>
      </w:pPr>
      <w:r>
        <w:rPr>
          <w:color w:val="000000"/>
          <w:lang w:val="en-AU" w:eastAsia="en-AU"/>
        </w:rPr>
        <w:t>Purified water</w:t>
      </w:r>
    </w:p>
    <w:p w14:paraId="2E754D75" w14:textId="77777777" w:rsidR="009C3952" w:rsidRPr="002E0E36" w:rsidRDefault="009C3952" w:rsidP="002E0E36"/>
    <w:p w14:paraId="65293AAC" w14:textId="77777777" w:rsidR="00921B9D" w:rsidRPr="002E0E36" w:rsidRDefault="009C3952" w:rsidP="00FD0BBA">
      <w:pPr>
        <w:pStyle w:val="Heading1"/>
        <w:widowControl w:val="0"/>
        <w:numPr>
          <w:ilvl w:val="1"/>
          <w:numId w:val="15"/>
        </w:numPr>
        <w:autoSpaceDE w:val="0"/>
        <w:autoSpaceDN w:val="0"/>
        <w:adjustRightInd w:val="0"/>
        <w:spacing w:before="0"/>
        <w:ind w:left="120" w:right="3124" w:hanging="120"/>
        <w:jc w:val="both"/>
        <w:rPr>
          <w:kern w:val="0"/>
          <w:sz w:val="24"/>
          <w:szCs w:val="24"/>
        </w:rPr>
      </w:pPr>
      <w:r w:rsidRPr="002E0E36">
        <w:rPr>
          <w:kern w:val="0"/>
          <w:sz w:val="24"/>
          <w:szCs w:val="24"/>
        </w:rPr>
        <w:t>INCOMPATIBILITIES</w:t>
      </w:r>
    </w:p>
    <w:p w14:paraId="79BCC906" w14:textId="77777777" w:rsidR="009C3952" w:rsidRDefault="009C3952">
      <w:pPr>
        <w:jc w:val="both"/>
      </w:pPr>
      <w:r>
        <w:t>Incompatibilities were either not assessed or not identified as part of the registration of this medicine.</w:t>
      </w:r>
    </w:p>
    <w:p w14:paraId="5A78E4A3" w14:textId="77777777" w:rsidR="009C3952" w:rsidRDefault="009C3952">
      <w:pPr>
        <w:jc w:val="both"/>
        <w:rPr>
          <w:b/>
          <w:szCs w:val="22"/>
        </w:rPr>
      </w:pPr>
    </w:p>
    <w:p w14:paraId="6AE82BFC" w14:textId="77777777" w:rsidR="00AB7CDB" w:rsidRPr="002E0E36" w:rsidRDefault="009C3952" w:rsidP="00FD0BBA">
      <w:pPr>
        <w:pStyle w:val="Heading1"/>
        <w:widowControl w:val="0"/>
        <w:numPr>
          <w:ilvl w:val="1"/>
          <w:numId w:val="15"/>
        </w:numPr>
        <w:autoSpaceDE w:val="0"/>
        <w:autoSpaceDN w:val="0"/>
        <w:adjustRightInd w:val="0"/>
        <w:spacing w:before="0"/>
        <w:ind w:left="120" w:right="3124" w:hanging="120"/>
        <w:jc w:val="both"/>
        <w:rPr>
          <w:kern w:val="0"/>
          <w:sz w:val="24"/>
          <w:szCs w:val="24"/>
        </w:rPr>
      </w:pPr>
      <w:r>
        <w:rPr>
          <w:kern w:val="0"/>
          <w:sz w:val="24"/>
          <w:szCs w:val="24"/>
        </w:rPr>
        <w:t>S</w:t>
      </w:r>
      <w:r w:rsidR="00AB7CDB" w:rsidRPr="002E0E36">
        <w:rPr>
          <w:kern w:val="0"/>
          <w:sz w:val="24"/>
          <w:szCs w:val="24"/>
        </w:rPr>
        <w:t>HELF-LIFE</w:t>
      </w:r>
    </w:p>
    <w:p w14:paraId="67EC5C87" w14:textId="77777777" w:rsidR="00AB7CDB" w:rsidRPr="002E0E36" w:rsidRDefault="00AB7CDB">
      <w:pPr>
        <w:jc w:val="both"/>
      </w:pPr>
      <w:r w:rsidRPr="002E0E36">
        <w:t>In Australia, information on the shelf-life can be found on the public summary of the Australia Register of Therapeutic Goods (ARTG)</w:t>
      </w:r>
      <w:r w:rsidR="009C3952">
        <w:t>.</w:t>
      </w:r>
      <w:r w:rsidR="00456F49" w:rsidRPr="002E0E36">
        <w:t xml:space="preserve">  The expiry date can be found on the packaging.</w:t>
      </w:r>
    </w:p>
    <w:p w14:paraId="71A69C27" w14:textId="77777777" w:rsidR="006F2900" w:rsidRDefault="006F2900">
      <w:pPr>
        <w:jc w:val="both"/>
        <w:rPr>
          <w:b/>
          <w:szCs w:val="22"/>
        </w:rPr>
      </w:pPr>
    </w:p>
    <w:p w14:paraId="1FC180B3" w14:textId="77777777" w:rsidR="00AB7CDB" w:rsidRPr="002E0E36" w:rsidRDefault="009C3952" w:rsidP="00FD0BBA">
      <w:pPr>
        <w:pStyle w:val="Heading1"/>
        <w:widowControl w:val="0"/>
        <w:numPr>
          <w:ilvl w:val="1"/>
          <w:numId w:val="15"/>
        </w:numPr>
        <w:autoSpaceDE w:val="0"/>
        <w:autoSpaceDN w:val="0"/>
        <w:adjustRightInd w:val="0"/>
        <w:spacing w:before="0"/>
        <w:ind w:left="120" w:right="3124" w:hanging="120"/>
        <w:jc w:val="both"/>
        <w:rPr>
          <w:kern w:val="0"/>
          <w:sz w:val="24"/>
          <w:szCs w:val="24"/>
        </w:rPr>
      </w:pPr>
      <w:r>
        <w:rPr>
          <w:kern w:val="0"/>
          <w:sz w:val="24"/>
          <w:szCs w:val="24"/>
        </w:rPr>
        <w:t>S</w:t>
      </w:r>
      <w:r w:rsidR="00AB7CDB" w:rsidRPr="002E0E36">
        <w:rPr>
          <w:kern w:val="0"/>
          <w:sz w:val="24"/>
          <w:szCs w:val="24"/>
        </w:rPr>
        <w:t>PECIA</w:t>
      </w:r>
      <w:r w:rsidR="00456F49" w:rsidRPr="002E0E36">
        <w:rPr>
          <w:kern w:val="0"/>
          <w:sz w:val="24"/>
          <w:szCs w:val="24"/>
        </w:rPr>
        <w:t>L</w:t>
      </w:r>
      <w:r w:rsidR="00AB7CDB" w:rsidRPr="002E0E36">
        <w:rPr>
          <w:kern w:val="0"/>
          <w:sz w:val="24"/>
          <w:szCs w:val="24"/>
        </w:rPr>
        <w:t xml:space="preserve"> PRECAUTIO</w:t>
      </w:r>
      <w:r w:rsidR="00456F49" w:rsidRPr="002E0E36">
        <w:rPr>
          <w:kern w:val="0"/>
          <w:sz w:val="24"/>
          <w:szCs w:val="24"/>
        </w:rPr>
        <w:t>N</w:t>
      </w:r>
      <w:r w:rsidR="00AB7CDB" w:rsidRPr="002E0E36">
        <w:rPr>
          <w:kern w:val="0"/>
          <w:sz w:val="24"/>
          <w:szCs w:val="24"/>
        </w:rPr>
        <w:t>S FOR STORAGE</w:t>
      </w:r>
    </w:p>
    <w:p w14:paraId="5D7328AB" w14:textId="77777777" w:rsidR="00456F49" w:rsidRDefault="00456F49" w:rsidP="00456F49">
      <w:pPr>
        <w:jc w:val="both"/>
      </w:pPr>
      <w:r>
        <w:t>Store below 30</w:t>
      </w:r>
      <w:r w:rsidRPr="00C33843">
        <w:rPr>
          <w:vertAlign w:val="superscript"/>
        </w:rPr>
        <w:t>o</w:t>
      </w:r>
      <w:r>
        <w:t xml:space="preserve">C.  </w:t>
      </w:r>
    </w:p>
    <w:p w14:paraId="25EC1990" w14:textId="77777777" w:rsidR="00456F49" w:rsidRDefault="00456F49" w:rsidP="00456F49">
      <w:pPr>
        <w:jc w:val="both"/>
      </w:pPr>
      <w:r>
        <w:t xml:space="preserve">Do not refrigerate.  </w:t>
      </w:r>
    </w:p>
    <w:p w14:paraId="6D9D834D" w14:textId="2DA51EF8" w:rsidR="00456F49" w:rsidRDefault="0047047F" w:rsidP="00456F49">
      <w:pPr>
        <w:jc w:val="both"/>
      </w:pPr>
      <w:r>
        <w:t xml:space="preserve"> </w:t>
      </w:r>
    </w:p>
    <w:p w14:paraId="4EC30095" w14:textId="77777777" w:rsidR="00AB7CDB" w:rsidRDefault="00AB7CDB">
      <w:pPr>
        <w:jc w:val="both"/>
        <w:rPr>
          <w:b/>
          <w:szCs w:val="22"/>
        </w:rPr>
      </w:pPr>
    </w:p>
    <w:p w14:paraId="29FA2547" w14:textId="77777777" w:rsidR="00AB7CDB" w:rsidRPr="002E0E36" w:rsidRDefault="00AB7CDB" w:rsidP="00FD0BBA">
      <w:pPr>
        <w:pStyle w:val="Heading1"/>
        <w:widowControl w:val="0"/>
        <w:numPr>
          <w:ilvl w:val="1"/>
          <w:numId w:val="15"/>
        </w:numPr>
        <w:autoSpaceDE w:val="0"/>
        <w:autoSpaceDN w:val="0"/>
        <w:adjustRightInd w:val="0"/>
        <w:spacing w:before="0"/>
        <w:ind w:left="120" w:right="3124" w:hanging="120"/>
        <w:jc w:val="both"/>
        <w:rPr>
          <w:kern w:val="0"/>
          <w:sz w:val="24"/>
          <w:szCs w:val="24"/>
        </w:rPr>
      </w:pPr>
      <w:r w:rsidRPr="002E0E36">
        <w:rPr>
          <w:kern w:val="0"/>
          <w:sz w:val="24"/>
          <w:szCs w:val="24"/>
        </w:rPr>
        <w:t>NATURE AND CONTENTS OF CONTAINER</w:t>
      </w:r>
    </w:p>
    <w:p w14:paraId="7C74E3C4" w14:textId="77777777" w:rsidR="00C85724" w:rsidRDefault="00C85724" w:rsidP="00C85724">
      <w:pPr>
        <w:jc w:val="both"/>
      </w:pPr>
      <w:proofErr w:type="spellStart"/>
      <w:r>
        <w:t>Utrogestan</w:t>
      </w:r>
      <w:proofErr w:type="spellEnd"/>
      <w:r>
        <w:t xml:space="preserve"> is supplied in a </w:t>
      </w:r>
      <w:proofErr w:type="gramStart"/>
      <w:r>
        <w:t>PVC/aluminium blisters</w:t>
      </w:r>
      <w:proofErr w:type="gramEnd"/>
      <w:r>
        <w:t xml:space="preserve"> packaged in an outer carton.</w:t>
      </w:r>
    </w:p>
    <w:p w14:paraId="2B52C147" w14:textId="77777777" w:rsidR="00C85724" w:rsidRDefault="00C85724" w:rsidP="00C85724">
      <w:pPr>
        <w:jc w:val="both"/>
      </w:pPr>
      <w:r>
        <w:t xml:space="preserve"> </w:t>
      </w:r>
    </w:p>
    <w:p w14:paraId="20CD8A00" w14:textId="6341F6A3" w:rsidR="00C85724" w:rsidRDefault="00C85724" w:rsidP="00C85724">
      <w:pPr>
        <w:jc w:val="both"/>
      </w:pPr>
      <w:proofErr w:type="spellStart"/>
      <w:r>
        <w:t>Utrogestan</w:t>
      </w:r>
      <w:proofErr w:type="spellEnd"/>
      <w:r>
        <w:t xml:space="preserve"> </w:t>
      </w:r>
      <w:proofErr w:type="gramStart"/>
      <w:r>
        <w:t>200  is</w:t>
      </w:r>
      <w:proofErr w:type="gramEnd"/>
      <w:r>
        <w:t xml:space="preserve"> available in pack sizes of 7</w:t>
      </w:r>
      <w:r w:rsidR="0047047F">
        <w:t xml:space="preserve"> (trade or starter pack)</w:t>
      </w:r>
      <w:r>
        <w:t xml:space="preserve">, </w:t>
      </w:r>
      <w:r w:rsidRPr="004D7527">
        <w:rPr>
          <w:lang w:val="en-US"/>
        </w:rPr>
        <w:t>14, 15, 21, 28, 30, 42, 45, 56, 84 or 90</w:t>
      </w:r>
      <w:r>
        <w:rPr>
          <w:lang w:val="en-US"/>
        </w:rPr>
        <w:t xml:space="preserve"> </w:t>
      </w:r>
      <w:r>
        <w:t xml:space="preserve">capsules*.  </w:t>
      </w:r>
    </w:p>
    <w:p w14:paraId="0833E73D" w14:textId="77777777" w:rsidR="00C85724" w:rsidRDefault="00C85724" w:rsidP="00C85724">
      <w:pPr>
        <w:jc w:val="both"/>
      </w:pPr>
    </w:p>
    <w:p w14:paraId="4A3ABC57" w14:textId="77777777" w:rsidR="00C85724" w:rsidRDefault="00C85724" w:rsidP="00C85724">
      <w:pPr>
        <w:jc w:val="both"/>
      </w:pPr>
      <w:r>
        <w:t>*Not all pack sizes may be marketed.</w:t>
      </w:r>
    </w:p>
    <w:p w14:paraId="4A5843C0" w14:textId="77777777" w:rsidR="00C85724" w:rsidRDefault="00C85724" w:rsidP="00C85724">
      <w:pPr>
        <w:jc w:val="both"/>
      </w:pPr>
    </w:p>
    <w:p w14:paraId="372BF70A" w14:textId="77777777" w:rsidR="00CC14BA" w:rsidRPr="002E0E36" w:rsidRDefault="00CC14BA" w:rsidP="00FD0BBA">
      <w:pPr>
        <w:pStyle w:val="Heading1"/>
        <w:widowControl w:val="0"/>
        <w:numPr>
          <w:ilvl w:val="1"/>
          <w:numId w:val="15"/>
        </w:numPr>
        <w:autoSpaceDE w:val="0"/>
        <w:autoSpaceDN w:val="0"/>
        <w:adjustRightInd w:val="0"/>
        <w:spacing w:before="0"/>
        <w:ind w:left="120" w:right="3124" w:hanging="120"/>
        <w:jc w:val="both"/>
        <w:rPr>
          <w:kern w:val="0"/>
          <w:sz w:val="24"/>
          <w:szCs w:val="24"/>
        </w:rPr>
      </w:pPr>
      <w:r w:rsidRPr="002E0E36">
        <w:rPr>
          <w:kern w:val="0"/>
          <w:sz w:val="24"/>
          <w:szCs w:val="24"/>
        </w:rPr>
        <w:t>SPECIAL PRECAUTIONS FOR DISPOSAL</w:t>
      </w:r>
    </w:p>
    <w:p w14:paraId="2CB10FC1" w14:textId="77777777" w:rsidR="00600410" w:rsidRPr="002E0E36" w:rsidRDefault="00CC14BA">
      <w:pPr>
        <w:jc w:val="both"/>
      </w:pPr>
      <w:r w:rsidRPr="002E0E36">
        <w:t xml:space="preserve">In Australia, any unused medicine or waste material should be disposed in accordance with </w:t>
      </w:r>
      <w:r w:rsidR="00B963FA" w:rsidRPr="002E0E36">
        <w:t>local requirements.</w:t>
      </w:r>
      <w:r w:rsidRPr="002E0E36">
        <w:t xml:space="preserve"> </w:t>
      </w:r>
    </w:p>
    <w:p w14:paraId="1FB61FC7" w14:textId="77777777" w:rsidR="00462AEB" w:rsidRPr="002E0E36" w:rsidRDefault="00462AEB" w:rsidP="002E0E36">
      <w:pPr>
        <w:pStyle w:val="Heading1"/>
        <w:widowControl w:val="0"/>
        <w:numPr>
          <w:ilvl w:val="1"/>
          <w:numId w:val="15"/>
        </w:numPr>
        <w:autoSpaceDE w:val="0"/>
        <w:autoSpaceDN w:val="0"/>
        <w:adjustRightInd w:val="0"/>
        <w:ind w:left="120" w:right="3124" w:hanging="120"/>
        <w:jc w:val="both"/>
        <w:rPr>
          <w:sz w:val="24"/>
          <w:szCs w:val="24"/>
        </w:rPr>
      </w:pPr>
      <w:r w:rsidRPr="002E0E36">
        <w:rPr>
          <w:sz w:val="24"/>
          <w:szCs w:val="24"/>
        </w:rPr>
        <w:t>PHYSIOCHECMIAL PROPERTIES</w:t>
      </w:r>
    </w:p>
    <w:p w14:paraId="28EDE5C5" w14:textId="77777777" w:rsidR="001923A5" w:rsidRDefault="001923A5" w:rsidP="001923A5">
      <w:pPr>
        <w:autoSpaceDE w:val="0"/>
        <w:autoSpaceDN w:val="0"/>
        <w:adjustRightInd w:val="0"/>
        <w:rPr>
          <w:color w:val="000000"/>
          <w:lang w:val="en-AU" w:eastAsia="en-AU"/>
        </w:rPr>
      </w:pPr>
      <w:r>
        <w:t>Progesterone is</w:t>
      </w:r>
      <w:r>
        <w:rPr>
          <w:color w:val="000000"/>
          <w:lang w:val="en-AU" w:eastAsia="en-AU"/>
        </w:rPr>
        <w:t xml:space="preserve"> a white or almost white crystalline powder or colourless crystals, is practically insoluble in water, freely soluble in ethanol and sparingly soluble in acetone and in fatty oils.</w:t>
      </w:r>
    </w:p>
    <w:p w14:paraId="1A684DEC" w14:textId="77777777" w:rsidR="009E1740" w:rsidRDefault="009E1740" w:rsidP="002E0E36">
      <w:pPr>
        <w:rPr>
          <w:b/>
        </w:rPr>
      </w:pPr>
    </w:p>
    <w:p w14:paraId="2E820E55" w14:textId="77777777" w:rsidR="00ED1BEB" w:rsidRPr="00ED1BEB" w:rsidRDefault="00B963FA" w:rsidP="002E0E36">
      <w:pPr>
        <w:rPr>
          <w:b/>
        </w:rPr>
      </w:pPr>
      <w:r>
        <w:rPr>
          <w:b/>
        </w:rPr>
        <w:t>Chemical structure</w:t>
      </w:r>
    </w:p>
    <w:p w14:paraId="4E6CA42D" w14:textId="755D34A1" w:rsidR="00ED1BEB" w:rsidRPr="00ED1BEB" w:rsidRDefault="00AA2036" w:rsidP="00ED1BEB">
      <w:pPr>
        <w:rPr>
          <w:b/>
        </w:rPr>
      </w:pPr>
      <w:r w:rsidRPr="00ED1BEB">
        <w:rPr>
          <w:noProof/>
          <w:lang w:val="en-AU"/>
        </w:rPr>
        <w:drawing>
          <wp:inline distT="0" distB="0" distL="0" distR="0" wp14:anchorId="506C9676" wp14:editId="351803F9">
            <wp:extent cx="2828925" cy="185737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28925" cy="1857375"/>
                    </a:xfrm>
                    <a:prstGeom prst="rect">
                      <a:avLst/>
                    </a:prstGeom>
                    <a:noFill/>
                    <a:ln>
                      <a:noFill/>
                    </a:ln>
                  </pic:spPr>
                </pic:pic>
              </a:graphicData>
            </a:graphic>
          </wp:inline>
        </w:drawing>
      </w:r>
    </w:p>
    <w:p w14:paraId="38E32F42" w14:textId="77777777" w:rsidR="00ED1BEB" w:rsidRPr="00ED1BEB" w:rsidRDefault="00ED1BEB" w:rsidP="00ED1BEB">
      <w:pPr>
        <w:rPr>
          <w:b/>
        </w:rPr>
      </w:pPr>
    </w:p>
    <w:p w14:paraId="7E98D9CE" w14:textId="77777777" w:rsidR="00ED1BEB" w:rsidRPr="00E61F0F" w:rsidRDefault="00ED1BEB" w:rsidP="00ED1BEB">
      <w:pPr>
        <w:rPr>
          <w:lang w:val="es-ES"/>
        </w:rPr>
      </w:pPr>
      <w:r w:rsidRPr="00E61F0F">
        <w:rPr>
          <w:lang w:val="es-ES"/>
        </w:rPr>
        <w:t xml:space="preserve">Chemical </w:t>
      </w:r>
      <w:proofErr w:type="spellStart"/>
      <w:r w:rsidRPr="00E61F0F">
        <w:rPr>
          <w:lang w:val="es-ES"/>
        </w:rPr>
        <w:t>name</w:t>
      </w:r>
      <w:proofErr w:type="spellEnd"/>
      <w:r w:rsidRPr="00E61F0F">
        <w:rPr>
          <w:lang w:val="es-ES"/>
        </w:rPr>
        <w:t>: Pregn-4-ene-3,20-dione</w:t>
      </w:r>
    </w:p>
    <w:p w14:paraId="48E8A414" w14:textId="11238F88" w:rsidR="00ED1BEB" w:rsidRPr="00E61F0F" w:rsidRDefault="00ED1BEB" w:rsidP="00ED1BEB">
      <w:pPr>
        <w:rPr>
          <w:lang w:val="es-ES"/>
        </w:rPr>
      </w:pPr>
      <w:r w:rsidRPr="00E61F0F">
        <w:rPr>
          <w:lang w:val="es-ES"/>
        </w:rPr>
        <w:t>Molecular formula: C</w:t>
      </w:r>
      <w:r w:rsidRPr="00E61F0F">
        <w:rPr>
          <w:vertAlign w:val="subscript"/>
          <w:lang w:val="es-ES"/>
        </w:rPr>
        <w:t>21</w:t>
      </w:r>
      <w:r w:rsidRPr="00E61F0F">
        <w:rPr>
          <w:lang w:val="es-ES"/>
        </w:rPr>
        <w:t>H</w:t>
      </w:r>
      <w:r w:rsidRPr="00E61F0F">
        <w:rPr>
          <w:vertAlign w:val="subscript"/>
          <w:lang w:val="es-ES"/>
        </w:rPr>
        <w:t>30</w:t>
      </w:r>
      <w:r w:rsidRPr="00E61F0F">
        <w:rPr>
          <w:lang w:val="es-ES"/>
        </w:rPr>
        <w:t>O</w:t>
      </w:r>
      <w:r w:rsidRPr="00E61F0F">
        <w:rPr>
          <w:vertAlign w:val="subscript"/>
          <w:lang w:val="es-ES"/>
        </w:rPr>
        <w:t>2</w:t>
      </w:r>
    </w:p>
    <w:p w14:paraId="1FEB7101" w14:textId="77777777" w:rsidR="00ED1BEB" w:rsidRPr="00ED1BEB" w:rsidRDefault="00ED1BEB" w:rsidP="00ED1BEB">
      <w:r w:rsidRPr="00ED1BEB">
        <w:t>MW: 314.5</w:t>
      </w:r>
    </w:p>
    <w:p w14:paraId="265AEFC2" w14:textId="77777777" w:rsidR="00256D47" w:rsidRDefault="00256D47" w:rsidP="00ED1BEB">
      <w:pPr>
        <w:rPr>
          <w:b/>
        </w:rPr>
      </w:pPr>
    </w:p>
    <w:p w14:paraId="09ACA864" w14:textId="77777777" w:rsidR="00B963FA" w:rsidRPr="002E0E36" w:rsidRDefault="00256D47" w:rsidP="00ED1BEB">
      <w:pPr>
        <w:rPr>
          <w:b/>
        </w:rPr>
      </w:pPr>
      <w:r w:rsidRPr="002E0E36">
        <w:rPr>
          <w:b/>
        </w:rPr>
        <w:t>C</w:t>
      </w:r>
      <w:r>
        <w:rPr>
          <w:b/>
        </w:rPr>
        <w:t>AS</w:t>
      </w:r>
      <w:r w:rsidRPr="002E0E36">
        <w:rPr>
          <w:b/>
        </w:rPr>
        <w:t xml:space="preserve"> </w:t>
      </w:r>
      <w:r w:rsidR="00B963FA" w:rsidRPr="002E0E36">
        <w:rPr>
          <w:b/>
        </w:rPr>
        <w:t>Number</w:t>
      </w:r>
    </w:p>
    <w:p w14:paraId="3FC4BFAC" w14:textId="6ECC53D8" w:rsidR="00ED1BEB" w:rsidRPr="00ED1BEB" w:rsidRDefault="00ED1BEB" w:rsidP="00ED1BEB">
      <w:r w:rsidRPr="00ED1BEB">
        <w:t>57-83-0</w:t>
      </w:r>
    </w:p>
    <w:p w14:paraId="79F9FDED" w14:textId="77777777" w:rsidR="00462AEB" w:rsidRPr="002E0E36" w:rsidRDefault="00462AEB" w:rsidP="002E0E36"/>
    <w:p w14:paraId="068F6224" w14:textId="77777777" w:rsidR="00C33843" w:rsidRPr="00C33843" w:rsidRDefault="00462AEB" w:rsidP="00FD0BBA">
      <w:pPr>
        <w:pStyle w:val="Heading1"/>
        <w:spacing w:before="0"/>
      </w:pPr>
      <w:r>
        <w:t>MEDICINE SCHEDULE (</w:t>
      </w:r>
      <w:r w:rsidR="00C33843" w:rsidRPr="00C33843">
        <w:t xml:space="preserve">POSION </w:t>
      </w:r>
      <w:r>
        <w:t>STANDARDS)</w:t>
      </w:r>
    </w:p>
    <w:p w14:paraId="45B4A810" w14:textId="77777777" w:rsidR="00C33843" w:rsidRDefault="00462AEB">
      <w:pPr>
        <w:jc w:val="both"/>
      </w:pPr>
      <w:r>
        <w:t xml:space="preserve">Schedule 4 - </w:t>
      </w:r>
      <w:r w:rsidR="00C33843">
        <w:t>Prescription Only Medicine</w:t>
      </w:r>
    </w:p>
    <w:p w14:paraId="3EA0555D" w14:textId="77777777" w:rsidR="00024ACB" w:rsidRDefault="00024ACB" w:rsidP="002E0E36">
      <w:pPr>
        <w:pStyle w:val="Heading1"/>
        <w:rPr>
          <w:b w:val="0"/>
        </w:rPr>
      </w:pPr>
      <w:r w:rsidRPr="002E0E36">
        <w:t>SPONSOR</w:t>
      </w:r>
    </w:p>
    <w:p w14:paraId="27F7ABAD" w14:textId="77777777" w:rsidR="00024ACB" w:rsidRDefault="00024ACB" w:rsidP="00024ACB">
      <w:pPr>
        <w:jc w:val="both"/>
      </w:pPr>
      <w:proofErr w:type="spellStart"/>
      <w:r>
        <w:t>Besins</w:t>
      </w:r>
      <w:proofErr w:type="spellEnd"/>
      <w:r>
        <w:t xml:space="preserve"> Healthcare Australia Pty Ltd,</w:t>
      </w:r>
    </w:p>
    <w:p w14:paraId="6381CBFC" w14:textId="77777777" w:rsidR="00483251" w:rsidRPr="00EF6318" w:rsidRDefault="00483251" w:rsidP="00E61F0F">
      <w:pPr>
        <w:pStyle w:val="BodyText"/>
        <w:rPr>
          <w:lang w:val="en-AU"/>
        </w:rPr>
      </w:pPr>
      <w:r w:rsidRPr="00EF6318">
        <w:rPr>
          <w:lang w:val="en-AU"/>
        </w:rPr>
        <w:t>Level 16, Tower 2, Darling Park,</w:t>
      </w:r>
    </w:p>
    <w:p w14:paraId="057B6EF9" w14:textId="77777777" w:rsidR="00483251" w:rsidRPr="00EF6318" w:rsidRDefault="00483251" w:rsidP="00E61F0F">
      <w:pPr>
        <w:pStyle w:val="BodyText"/>
        <w:rPr>
          <w:lang w:val="en-AU"/>
        </w:rPr>
      </w:pPr>
      <w:r w:rsidRPr="00EF6318">
        <w:rPr>
          <w:lang w:val="en-AU"/>
        </w:rPr>
        <w:t>201 Sussex Street,</w:t>
      </w:r>
    </w:p>
    <w:p w14:paraId="6B5CF390" w14:textId="77777777" w:rsidR="00483251" w:rsidRPr="00EF6318" w:rsidRDefault="00483251" w:rsidP="00E61F0F">
      <w:pPr>
        <w:pStyle w:val="BodyText"/>
        <w:rPr>
          <w:lang w:val="en-AU"/>
        </w:rPr>
      </w:pPr>
      <w:r w:rsidRPr="00EF6318">
        <w:rPr>
          <w:lang w:val="en-AU"/>
        </w:rPr>
        <w:t>Sydney, NSW 2000</w:t>
      </w:r>
    </w:p>
    <w:p w14:paraId="67F8C27D" w14:textId="77777777" w:rsidR="00C33843" w:rsidRPr="00C33843" w:rsidRDefault="00C33843" w:rsidP="002E0E36">
      <w:pPr>
        <w:pStyle w:val="Heading1"/>
      </w:pPr>
      <w:r w:rsidRPr="00C33843">
        <w:t xml:space="preserve">DATE OF FIRST </w:t>
      </w:r>
      <w:r w:rsidR="00024ACB">
        <w:t>APPROVAL</w:t>
      </w:r>
    </w:p>
    <w:p w14:paraId="4D4A13E5" w14:textId="77777777" w:rsidR="002F702F" w:rsidRDefault="007A41F9" w:rsidP="002F702F">
      <w:pPr>
        <w:jc w:val="both"/>
      </w:pPr>
      <w:r>
        <w:t>12 July 2016</w:t>
      </w:r>
    </w:p>
    <w:p w14:paraId="2DEA13E8" w14:textId="77777777" w:rsidR="008865DD" w:rsidRDefault="008865DD" w:rsidP="00FD0BBA">
      <w:pPr>
        <w:pStyle w:val="Heading1"/>
      </w:pPr>
      <w:r>
        <w:t>DATE OF REVISION</w:t>
      </w:r>
    </w:p>
    <w:p w14:paraId="080A6B59" w14:textId="5EDB8D39" w:rsidR="008865DD" w:rsidRPr="005F70DC" w:rsidRDefault="001D29D3" w:rsidP="005F70DC">
      <w:pPr>
        <w:jc w:val="both"/>
      </w:pPr>
      <w:r>
        <w:t>22 February 2022</w:t>
      </w:r>
    </w:p>
    <w:p w14:paraId="12C4F46D" w14:textId="77777777" w:rsidR="008865DD" w:rsidRPr="008865DD" w:rsidRDefault="008865DD" w:rsidP="008865DD">
      <w:pPr>
        <w:spacing w:before="100" w:beforeAutospacing="1" w:after="100" w:afterAutospacing="1"/>
        <w:outlineLvl w:val="3"/>
        <w:rPr>
          <w:b/>
          <w:bCs/>
          <w:lang w:val="en-US"/>
        </w:rPr>
      </w:pPr>
      <w:r w:rsidRPr="008865DD">
        <w:rPr>
          <w:b/>
          <w:bCs/>
          <w:lang w:val="en-US"/>
        </w:rPr>
        <w:t>Summary table of changes</w:t>
      </w:r>
    </w:p>
    <w:tbl>
      <w:tblPr>
        <w:tblW w:w="940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64"/>
        <w:gridCol w:w="6241"/>
      </w:tblGrid>
      <w:tr w:rsidR="008865DD" w:rsidRPr="003C4835" w14:paraId="1FB90F13" w14:textId="77777777" w:rsidTr="00BD1BD4">
        <w:trPr>
          <w:tblHeader/>
          <w:tblCellSpacing w:w="15" w:type="dxa"/>
        </w:trPr>
        <w:tc>
          <w:tcPr>
            <w:tcW w:w="3119" w:type="dxa"/>
            <w:vAlign w:val="center"/>
            <w:hideMark/>
          </w:tcPr>
          <w:p w14:paraId="28E1AAD4" w14:textId="77777777" w:rsidR="008865DD" w:rsidRPr="008865DD" w:rsidRDefault="008865DD" w:rsidP="00BD1BD4">
            <w:pPr>
              <w:rPr>
                <w:b/>
                <w:bCs/>
                <w:lang w:val="en-US"/>
              </w:rPr>
            </w:pPr>
            <w:r w:rsidRPr="008865DD">
              <w:rPr>
                <w:b/>
                <w:bCs/>
                <w:lang w:val="en-US"/>
              </w:rPr>
              <w:t>Section changed</w:t>
            </w:r>
          </w:p>
        </w:tc>
        <w:tc>
          <w:tcPr>
            <w:tcW w:w="6196" w:type="dxa"/>
            <w:vAlign w:val="center"/>
            <w:hideMark/>
          </w:tcPr>
          <w:p w14:paraId="74634773" w14:textId="77777777" w:rsidR="008865DD" w:rsidRPr="008865DD" w:rsidRDefault="008865DD" w:rsidP="00BD1BD4">
            <w:pPr>
              <w:rPr>
                <w:b/>
                <w:bCs/>
                <w:lang w:val="en-US"/>
              </w:rPr>
            </w:pPr>
            <w:r w:rsidRPr="008865DD">
              <w:rPr>
                <w:b/>
                <w:bCs/>
                <w:lang w:val="en-US"/>
              </w:rPr>
              <w:t>Summary of new information</w:t>
            </w:r>
          </w:p>
        </w:tc>
      </w:tr>
      <w:tr w:rsidR="008865DD" w:rsidRPr="003C4835" w14:paraId="5997B64A" w14:textId="77777777" w:rsidTr="00BD1BD4">
        <w:trPr>
          <w:tblCellSpacing w:w="15" w:type="dxa"/>
        </w:trPr>
        <w:tc>
          <w:tcPr>
            <w:tcW w:w="3119" w:type="dxa"/>
            <w:vAlign w:val="center"/>
            <w:hideMark/>
          </w:tcPr>
          <w:p w14:paraId="19840EF7" w14:textId="63CF1BC7" w:rsidR="008865DD" w:rsidRPr="008865DD" w:rsidRDefault="008865DD" w:rsidP="00BD1BD4">
            <w:pPr>
              <w:rPr>
                <w:lang w:val="en-US"/>
              </w:rPr>
            </w:pPr>
            <w:r w:rsidRPr="008865DD">
              <w:rPr>
                <w:lang w:val="en-US"/>
              </w:rPr>
              <w:t> </w:t>
            </w:r>
            <w:r w:rsidR="00483251">
              <w:rPr>
                <w:lang w:val="en-US"/>
              </w:rPr>
              <w:t>4.1, 4.2, 4.4, 4.8, 5.1 Clinical Trial</w:t>
            </w:r>
            <w:r w:rsidR="00303F15">
              <w:rPr>
                <w:lang w:val="en-US"/>
              </w:rPr>
              <w:t>s</w:t>
            </w:r>
          </w:p>
        </w:tc>
        <w:tc>
          <w:tcPr>
            <w:tcW w:w="6196" w:type="dxa"/>
            <w:vAlign w:val="center"/>
            <w:hideMark/>
          </w:tcPr>
          <w:p w14:paraId="7A3EE302" w14:textId="77777777" w:rsidR="008865DD" w:rsidRPr="008865DD" w:rsidRDefault="00483251" w:rsidP="00BD1BD4">
            <w:pPr>
              <w:rPr>
                <w:sz w:val="20"/>
                <w:lang w:val="en-US"/>
              </w:rPr>
            </w:pPr>
            <w:r>
              <w:rPr>
                <w:sz w:val="20"/>
                <w:lang w:val="en-US"/>
              </w:rPr>
              <w:t>Changes as result of new indication</w:t>
            </w:r>
          </w:p>
        </w:tc>
      </w:tr>
    </w:tbl>
    <w:p w14:paraId="66C3390C" w14:textId="77777777" w:rsidR="008865DD" w:rsidRPr="00C332E3" w:rsidRDefault="008865DD" w:rsidP="008865DD">
      <w:pPr>
        <w:rPr>
          <w:rFonts w:ascii="Trebuchet MS" w:hAnsi="Trebuchet MS"/>
          <w:szCs w:val="22"/>
        </w:rPr>
      </w:pPr>
    </w:p>
    <w:p w14:paraId="6A7066BC" w14:textId="77777777" w:rsidR="008865DD" w:rsidRDefault="008865DD" w:rsidP="002F702F">
      <w:pPr>
        <w:jc w:val="both"/>
      </w:pPr>
    </w:p>
    <w:sectPr w:rsidR="008865DD" w:rsidSect="00C11878">
      <w:headerReference w:type="default" r:id="rId19"/>
      <w:footerReference w:type="even" r:id="rId20"/>
      <w:footerReference w:type="default" r:id="rId21"/>
      <w:pgSz w:w="11907" w:h="16840"/>
      <w:pgMar w:top="1134" w:right="1134" w:bottom="1134" w:left="1276" w:header="720" w:footer="7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1A895" w14:textId="77777777" w:rsidR="0039412D" w:rsidRDefault="0039412D">
      <w:r>
        <w:separator/>
      </w:r>
    </w:p>
  </w:endnote>
  <w:endnote w:type="continuationSeparator" w:id="0">
    <w:p w14:paraId="6E9B03B1" w14:textId="77777777" w:rsidR="0039412D" w:rsidRDefault="0039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ngs">
    <w:altName w:val="Yu Gothic"/>
    <w:panose1 w:val="00000000000000000000"/>
    <w:charset w:val="80"/>
    <w:family w:val="roman"/>
    <w:notTrueType/>
    <w:pitch w:val="fixed"/>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AdvOT77db9845">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2126" w14:textId="77777777" w:rsidR="00150DDB" w:rsidRDefault="00150D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7D9BD3" w14:textId="77777777" w:rsidR="00150DDB" w:rsidRDefault="00150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8B95" w14:textId="77777777" w:rsidR="00150DDB" w:rsidRPr="0084515E" w:rsidRDefault="00150DDB">
    <w:pPr>
      <w:pStyle w:val="Footer"/>
      <w:framePr w:wrap="around" w:vAnchor="text" w:hAnchor="margin" w:xAlign="center" w:y="1"/>
      <w:rPr>
        <w:rStyle w:val="PageNumber"/>
        <w:sz w:val="20"/>
      </w:rPr>
    </w:pPr>
    <w:r w:rsidRPr="0084515E">
      <w:rPr>
        <w:rStyle w:val="PageNumber"/>
        <w:sz w:val="20"/>
      </w:rPr>
      <w:fldChar w:fldCharType="begin"/>
    </w:r>
    <w:r w:rsidRPr="0084515E">
      <w:rPr>
        <w:rStyle w:val="PageNumber"/>
        <w:sz w:val="20"/>
      </w:rPr>
      <w:instrText xml:space="preserve">PAGE  </w:instrText>
    </w:r>
    <w:r w:rsidRPr="0084515E">
      <w:rPr>
        <w:rStyle w:val="PageNumber"/>
        <w:sz w:val="20"/>
      </w:rPr>
      <w:fldChar w:fldCharType="separate"/>
    </w:r>
    <w:r w:rsidR="00262FEB">
      <w:rPr>
        <w:rStyle w:val="PageNumber"/>
        <w:noProof/>
        <w:sz w:val="20"/>
      </w:rPr>
      <w:t>2</w:t>
    </w:r>
    <w:r w:rsidRPr="0084515E">
      <w:rPr>
        <w:rStyle w:val="PageNumber"/>
        <w:sz w:val="20"/>
      </w:rPr>
      <w:fldChar w:fldCharType="end"/>
    </w:r>
    <w:r w:rsidRPr="0084515E">
      <w:rPr>
        <w:rStyle w:val="PageNumber"/>
        <w:sz w:val="20"/>
      </w:rPr>
      <w:t>/</w:t>
    </w:r>
    <w:r w:rsidRPr="0084515E">
      <w:rPr>
        <w:rStyle w:val="PageNumber"/>
        <w:sz w:val="20"/>
      </w:rPr>
      <w:fldChar w:fldCharType="begin"/>
    </w:r>
    <w:r w:rsidRPr="0084515E">
      <w:rPr>
        <w:rStyle w:val="PageNumber"/>
        <w:sz w:val="20"/>
      </w:rPr>
      <w:instrText xml:space="preserve"> NUMPAGES </w:instrText>
    </w:r>
    <w:r w:rsidRPr="0084515E">
      <w:rPr>
        <w:rStyle w:val="PageNumber"/>
        <w:sz w:val="20"/>
      </w:rPr>
      <w:fldChar w:fldCharType="separate"/>
    </w:r>
    <w:r w:rsidR="00262FEB">
      <w:rPr>
        <w:rStyle w:val="PageNumber"/>
        <w:noProof/>
        <w:sz w:val="20"/>
      </w:rPr>
      <w:t>18</w:t>
    </w:r>
    <w:r w:rsidRPr="0084515E">
      <w:rPr>
        <w:rStyle w:val="PageNumber"/>
        <w:sz w:val="20"/>
      </w:rPr>
      <w:fldChar w:fldCharType="end"/>
    </w:r>
  </w:p>
  <w:p w14:paraId="4DB6C279" w14:textId="361E96E0" w:rsidR="002657AD" w:rsidRDefault="002066A9" w:rsidP="00826645">
    <w:pPr>
      <w:pStyle w:val="Footer"/>
      <w:pBdr>
        <w:top w:val="single" w:sz="4" w:space="1" w:color="auto"/>
      </w:pBdr>
      <w:rPr>
        <w:sz w:val="16"/>
        <w:szCs w:val="16"/>
      </w:rPr>
    </w:pPr>
    <w:r>
      <w:rPr>
        <w:sz w:val="16"/>
        <w:szCs w:val="16"/>
      </w:rPr>
      <w:t>V13</w:t>
    </w:r>
    <w:r w:rsidR="00AC0B1F">
      <w:rPr>
        <w:sz w:val="16"/>
        <w:szCs w:val="16"/>
      </w:rPr>
      <w:t>-</w:t>
    </w:r>
    <w:r w:rsidR="00926902">
      <w:rPr>
        <w:sz w:val="16"/>
        <w:szCs w:val="16"/>
      </w:rPr>
      <w:t>0122</w:t>
    </w:r>
  </w:p>
  <w:p w14:paraId="774F72A5" w14:textId="77777777" w:rsidR="002657AD" w:rsidRPr="00E42D57" w:rsidRDefault="002657AD" w:rsidP="00826645">
    <w:pPr>
      <w:pStyle w:val="Footer"/>
      <w:pBdr>
        <w:top w:val="single" w:sz="4" w:space="1" w:color="auto"/>
      </w:pBdr>
      <w:rPr>
        <w:sz w:val="16"/>
        <w:szCs w:val="16"/>
      </w:rPr>
    </w:pPr>
    <w:r>
      <w:rPr>
        <w:sz w:val="16"/>
        <w:szCs w:val="16"/>
      </w:rPr>
      <w:t>AUSTR R 232824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9F5DD" w14:textId="77777777" w:rsidR="0039412D" w:rsidRDefault="0039412D">
      <w:r>
        <w:separator/>
      </w:r>
    </w:p>
  </w:footnote>
  <w:footnote w:type="continuationSeparator" w:id="0">
    <w:p w14:paraId="4F78471E" w14:textId="77777777" w:rsidR="0039412D" w:rsidRDefault="00394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0" w:type="auto"/>
      <w:shd w:val="clear" w:color="auto" w:fill="E4F2E0"/>
      <w:tblLook w:val="04A0" w:firstRow="1" w:lastRow="0" w:firstColumn="1" w:lastColumn="0" w:noHBand="0" w:noVBand="1"/>
    </w:tblPr>
    <w:tblGrid>
      <w:gridCol w:w="8720"/>
    </w:tblGrid>
    <w:tr w:rsidR="00B1391D" w:rsidRPr="00B1391D" w14:paraId="57141D45" w14:textId="77777777" w:rsidTr="00A417B4">
      <w:tc>
        <w:tcPr>
          <w:tcW w:w="8720" w:type="dxa"/>
          <w:shd w:val="clear" w:color="auto" w:fill="E4F2E0"/>
        </w:tcPr>
        <w:p w14:paraId="664A9A73" w14:textId="77777777" w:rsidR="00B1391D" w:rsidRPr="00B1391D" w:rsidRDefault="00B1391D" w:rsidP="00B1391D">
          <w:pPr>
            <w:spacing w:before="180" w:after="180" w:line="240" w:lineRule="atLeast"/>
            <w:rPr>
              <w:sz w:val="18"/>
              <w:szCs w:val="18"/>
              <w:lang w:val="en-AU" w:eastAsia="en-US"/>
            </w:rPr>
          </w:pPr>
          <w:r w:rsidRPr="00B1391D">
            <w:rPr>
              <w:b/>
              <w:sz w:val="18"/>
              <w:szCs w:val="18"/>
              <w:lang w:val="en-AU" w:eastAsia="en-US"/>
            </w:rPr>
            <w:t xml:space="preserve">Attachment 1: Product information for </w:t>
          </w:r>
          <w:proofErr w:type="spellStart"/>
          <w:r w:rsidRPr="00B1391D">
            <w:rPr>
              <w:b/>
              <w:sz w:val="18"/>
              <w:szCs w:val="18"/>
              <w:lang w:val="en-AU" w:eastAsia="en-US"/>
            </w:rPr>
            <w:t>AusPAR</w:t>
          </w:r>
          <w:proofErr w:type="spellEnd"/>
          <w:r w:rsidRPr="00B1391D">
            <w:rPr>
              <w:b/>
              <w:sz w:val="18"/>
              <w:szCs w:val="18"/>
              <w:lang w:val="en-AU" w:eastAsia="en-US"/>
            </w:rPr>
            <w:t xml:space="preserve"> - </w:t>
          </w:r>
          <w:proofErr w:type="spellStart"/>
          <w:r w:rsidRPr="00B1391D">
            <w:rPr>
              <w:b/>
              <w:sz w:val="18"/>
              <w:szCs w:val="18"/>
              <w:lang w:val="en-AU" w:eastAsia="en-US"/>
            </w:rPr>
            <w:t>Utrogestan</w:t>
          </w:r>
          <w:proofErr w:type="spellEnd"/>
          <w:r w:rsidRPr="00B1391D">
            <w:rPr>
              <w:b/>
              <w:sz w:val="18"/>
              <w:szCs w:val="18"/>
              <w:lang w:val="en-AU" w:eastAsia="en-US"/>
            </w:rPr>
            <w:t xml:space="preserve"> 200 - progesterone - </w:t>
          </w:r>
          <w:proofErr w:type="spellStart"/>
          <w:r w:rsidRPr="00B1391D">
            <w:rPr>
              <w:b/>
              <w:sz w:val="18"/>
              <w:szCs w:val="18"/>
              <w:lang w:val="en-AU" w:eastAsia="en-US"/>
            </w:rPr>
            <w:t>Besins</w:t>
          </w:r>
          <w:proofErr w:type="spellEnd"/>
          <w:r w:rsidRPr="00B1391D">
            <w:rPr>
              <w:b/>
              <w:sz w:val="18"/>
              <w:szCs w:val="18"/>
              <w:lang w:val="en-AU" w:eastAsia="en-US"/>
            </w:rPr>
            <w:t xml:space="preserve"> Healthcare Australia Pty Ltd - PM-2020-06063-1-5 Final 24 November 2022. This is the Product Information that was approved with the submission described in this </w:t>
          </w:r>
          <w:proofErr w:type="spellStart"/>
          <w:r w:rsidRPr="00B1391D">
            <w:rPr>
              <w:b/>
              <w:sz w:val="18"/>
              <w:szCs w:val="18"/>
              <w:lang w:val="en-AU" w:eastAsia="en-US"/>
            </w:rPr>
            <w:t>AusPAR</w:t>
          </w:r>
          <w:proofErr w:type="spellEnd"/>
          <w:r w:rsidRPr="00B1391D">
            <w:rPr>
              <w:b/>
              <w:sz w:val="18"/>
              <w:szCs w:val="18"/>
              <w:lang w:val="en-AU" w:eastAsia="en-US"/>
            </w:rPr>
            <w:t>. It may have been superseded. For the most recent PI, please refer to the TGA website at &lt;</w:t>
          </w:r>
          <w:hyperlink r:id="rId1" w:history="1">
            <w:r w:rsidRPr="00B1391D">
              <w:rPr>
                <w:b/>
                <w:color w:val="0000FF"/>
                <w:sz w:val="18"/>
                <w:szCs w:val="18"/>
                <w:u w:val="single"/>
                <w:lang w:val="en-AU" w:eastAsia="en-US"/>
              </w:rPr>
              <w:t>https://www.tga.gov.au/products/australian-register-therapeutic-goods-artg/product-information-one</w:t>
            </w:r>
          </w:hyperlink>
          <w:r w:rsidRPr="00B1391D">
            <w:rPr>
              <w:color w:val="0000FF"/>
              <w:sz w:val="18"/>
              <w:szCs w:val="18"/>
              <w:u w:val="single"/>
              <w:lang w:val="en-AU" w:eastAsia="en-US"/>
            </w:rPr>
            <w:t>&gt;</w:t>
          </w:r>
        </w:p>
      </w:tc>
    </w:tr>
  </w:tbl>
  <w:p w14:paraId="0B68E8E4" w14:textId="0EE7478D" w:rsidR="00150DDB" w:rsidRDefault="00150DDB">
    <w:pPr>
      <w:pStyle w:val="Header"/>
    </w:pPr>
    <w:r>
      <w:t>UTROGESTAN 200, soft capsule</w:t>
    </w:r>
  </w:p>
  <w:p w14:paraId="52BB2C72" w14:textId="77777777" w:rsidR="00150DDB" w:rsidRDefault="00150DDB" w:rsidP="0084515E">
    <w:pPr>
      <w:pStyle w:val="Header"/>
      <w:pBdr>
        <w:bottom w:val="single" w:sz="4" w:space="1" w:color="auto"/>
      </w:pBdr>
    </w:pPr>
    <w:r>
      <w:t>PRODUCT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34DAF858"/>
    <w:lvl w:ilvl="0">
      <w:start w:val="1"/>
      <w:numFmt w:val="decimal"/>
      <w:pStyle w:val="ListNumber"/>
      <w:lvlText w:val="%1."/>
      <w:lvlJc w:val="left"/>
      <w:pPr>
        <w:tabs>
          <w:tab w:val="num" w:pos="360"/>
        </w:tabs>
        <w:ind w:left="360" w:hanging="360"/>
      </w:pPr>
      <w:rPr>
        <w:b/>
      </w:rPr>
    </w:lvl>
    <w:lvl w:ilvl="1">
      <w:start w:val="1"/>
      <w:numFmt w:val="decimal"/>
      <w:isLgl/>
      <w:lvlText w:val="%1.%2"/>
      <w:lvlJc w:val="left"/>
      <w:pPr>
        <w:ind w:left="375" w:hanging="375"/>
      </w:pPr>
      <w:rPr>
        <w:rFonts w:hint="default"/>
        <w:b/>
        <w:sz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6127E33"/>
    <w:multiLevelType w:val="hybridMultilevel"/>
    <w:tmpl w:val="7F962B28"/>
    <w:lvl w:ilvl="0" w:tplc="08587ED6">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E128E9"/>
    <w:multiLevelType w:val="hybridMultilevel"/>
    <w:tmpl w:val="4A2A7A7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2993A25"/>
    <w:multiLevelType w:val="hybridMultilevel"/>
    <w:tmpl w:val="CD64ECE0"/>
    <w:lvl w:ilvl="0" w:tplc="DD9C66EA">
      <w:start w:val="4"/>
      <w:numFmt w:val="bullet"/>
      <w:lvlText w:val="-"/>
      <w:lvlJc w:val="left"/>
      <w:pPr>
        <w:tabs>
          <w:tab w:val="num" w:pos="1065"/>
        </w:tabs>
        <w:ind w:left="1065" w:hanging="360"/>
      </w:pPr>
      <w:rPr>
        <w:rFonts w:ascii="Times New Roman" w:eastAsia="Times New Roman" w:hAnsi="Times New Roman" w:cs="Times New Roman" w:hint="default"/>
      </w:rPr>
    </w:lvl>
    <w:lvl w:ilvl="1" w:tplc="7BBAFC78" w:tentative="1">
      <w:start w:val="1"/>
      <w:numFmt w:val="bullet"/>
      <w:lvlText w:val="o"/>
      <w:lvlJc w:val="left"/>
      <w:pPr>
        <w:tabs>
          <w:tab w:val="num" w:pos="1785"/>
        </w:tabs>
        <w:ind w:left="1785" w:hanging="360"/>
      </w:pPr>
      <w:rPr>
        <w:rFonts w:ascii="Courier New" w:hAnsi="Courier New" w:hint="default"/>
      </w:rPr>
    </w:lvl>
    <w:lvl w:ilvl="2" w:tplc="31C0E14A" w:tentative="1">
      <w:start w:val="1"/>
      <w:numFmt w:val="bullet"/>
      <w:lvlText w:val=""/>
      <w:lvlJc w:val="left"/>
      <w:pPr>
        <w:tabs>
          <w:tab w:val="num" w:pos="2505"/>
        </w:tabs>
        <w:ind w:left="2505" w:hanging="360"/>
      </w:pPr>
      <w:rPr>
        <w:rFonts w:ascii="Wingdings" w:hAnsi="Wingdings" w:hint="default"/>
      </w:rPr>
    </w:lvl>
    <w:lvl w:ilvl="3" w:tplc="4F40D7E6" w:tentative="1">
      <w:start w:val="1"/>
      <w:numFmt w:val="bullet"/>
      <w:lvlText w:val=""/>
      <w:lvlJc w:val="left"/>
      <w:pPr>
        <w:tabs>
          <w:tab w:val="num" w:pos="3225"/>
        </w:tabs>
        <w:ind w:left="3225" w:hanging="360"/>
      </w:pPr>
      <w:rPr>
        <w:rFonts w:ascii="Symbol" w:hAnsi="Symbol" w:hint="default"/>
      </w:rPr>
    </w:lvl>
    <w:lvl w:ilvl="4" w:tplc="42FAE8B6" w:tentative="1">
      <w:start w:val="1"/>
      <w:numFmt w:val="bullet"/>
      <w:lvlText w:val="o"/>
      <w:lvlJc w:val="left"/>
      <w:pPr>
        <w:tabs>
          <w:tab w:val="num" w:pos="3945"/>
        </w:tabs>
        <w:ind w:left="3945" w:hanging="360"/>
      </w:pPr>
      <w:rPr>
        <w:rFonts w:ascii="Courier New" w:hAnsi="Courier New" w:hint="default"/>
      </w:rPr>
    </w:lvl>
    <w:lvl w:ilvl="5" w:tplc="2BC4683C" w:tentative="1">
      <w:start w:val="1"/>
      <w:numFmt w:val="bullet"/>
      <w:lvlText w:val=""/>
      <w:lvlJc w:val="left"/>
      <w:pPr>
        <w:tabs>
          <w:tab w:val="num" w:pos="4665"/>
        </w:tabs>
        <w:ind w:left="4665" w:hanging="360"/>
      </w:pPr>
      <w:rPr>
        <w:rFonts w:ascii="Wingdings" w:hAnsi="Wingdings" w:hint="default"/>
      </w:rPr>
    </w:lvl>
    <w:lvl w:ilvl="6" w:tplc="33C475B0" w:tentative="1">
      <w:start w:val="1"/>
      <w:numFmt w:val="bullet"/>
      <w:lvlText w:val=""/>
      <w:lvlJc w:val="left"/>
      <w:pPr>
        <w:tabs>
          <w:tab w:val="num" w:pos="5385"/>
        </w:tabs>
        <w:ind w:left="5385" w:hanging="360"/>
      </w:pPr>
      <w:rPr>
        <w:rFonts w:ascii="Symbol" w:hAnsi="Symbol" w:hint="default"/>
      </w:rPr>
    </w:lvl>
    <w:lvl w:ilvl="7" w:tplc="6E146828" w:tentative="1">
      <w:start w:val="1"/>
      <w:numFmt w:val="bullet"/>
      <w:lvlText w:val="o"/>
      <w:lvlJc w:val="left"/>
      <w:pPr>
        <w:tabs>
          <w:tab w:val="num" w:pos="6105"/>
        </w:tabs>
        <w:ind w:left="6105" w:hanging="360"/>
      </w:pPr>
      <w:rPr>
        <w:rFonts w:ascii="Courier New" w:hAnsi="Courier New" w:hint="default"/>
      </w:rPr>
    </w:lvl>
    <w:lvl w:ilvl="8" w:tplc="3A82D69C"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14187FC5"/>
    <w:multiLevelType w:val="hybridMultilevel"/>
    <w:tmpl w:val="1F72C628"/>
    <w:lvl w:ilvl="0" w:tplc="08587ED6">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BE2988"/>
    <w:multiLevelType w:val="hybridMultilevel"/>
    <w:tmpl w:val="F324345C"/>
    <w:lvl w:ilvl="0" w:tplc="271A71E0">
      <w:start w:val="1"/>
      <w:numFmt w:val="bullet"/>
      <w:lvlText w:val=""/>
      <w:lvlJc w:val="left"/>
      <w:pPr>
        <w:ind w:left="720" w:hanging="360"/>
      </w:pPr>
      <w:rPr>
        <w:rFonts w:ascii="Symbol" w:hAnsi="Symbol" w:hint="default"/>
      </w:rPr>
    </w:lvl>
    <w:lvl w:ilvl="1" w:tplc="0478B236">
      <w:start w:val="1"/>
      <w:numFmt w:val="bullet"/>
      <w:lvlText w:val="o"/>
      <w:lvlJc w:val="left"/>
      <w:pPr>
        <w:ind w:left="1440" w:hanging="360"/>
      </w:pPr>
      <w:rPr>
        <w:rFonts w:ascii="Courier New" w:hAnsi="Courier New" w:cs="Courier New" w:hint="default"/>
      </w:rPr>
    </w:lvl>
    <w:lvl w:ilvl="2" w:tplc="513E51B2" w:tentative="1">
      <w:start w:val="1"/>
      <w:numFmt w:val="bullet"/>
      <w:lvlText w:val=""/>
      <w:lvlJc w:val="left"/>
      <w:pPr>
        <w:ind w:left="2160" w:hanging="360"/>
      </w:pPr>
      <w:rPr>
        <w:rFonts w:ascii="Wingdings" w:hAnsi="Wingdings" w:hint="default"/>
      </w:rPr>
    </w:lvl>
    <w:lvl w:ilvl="3" w:tplc="81565DCE" w:tentative="1">
      <w:start w:val="1"/>
      <w:numFmt w:val="bullet"/>
      <w:lvlText w:val=""/>
      <w:lvlJc w:val="left"/>
      <w:pPr>
        <w:ind w:left="2880" w:hanging="360"/>
      </w:pPr>
      <w:rPr>
        <w:rFonts w:ascii="Symbol" w:hAnsi="Symbol" w:hint="default"/>
      </w:rPr>
    </w:lvl>
    <w:lvl w:ilvl="4" w:tplc="31F4A64C" w:tentative="1">
      <w:start w:val="1"/>
      <w:numFmt w:val="bullet"/>
      <w:lvlText w:val="o"/>
      <w:lvlJc w:val="left"/>
      <w:pPr>
        <w:ind w:left="3600" w:hanging="360"/>
      </w:pPr>
      <w:rPr>
        <w:rFonts w:ascii="Courier New" w:hAnsi="Courier New" w:cs="Courier New" w:hint="default"/>
      </w:rPr>
    </w:lvl>
    <w:lvl w:ilvl="5" w:tplc="284AFEE2" w:tentative="1">
      <w:start w:val="1"/>
      <w:numFmt w:val="bullet"/>
      <w:lvlText w:val=""/>
      <w:lvlJc w:val="left"/>
      <w:pPr>
        <w:ind w:left="4320" w:hanging="360"/>
      </w:pPr>
      <w:rPr>
        <w:rFonts w:ascii="Wingdings" w:hAnsi="Wingdings" w:hint="default"/>
      </w:rPr>
    </w:lvl>
    <w:lvl w:ilvl="6" w:tplc="C13A5CF6" w:tentative="1">
      <w:start w:val="1"/>
      <w:numFmt w:val="bullet"/>
      <w:lvlText w:val=""/>
      <w:lvlJc w:val="left"/>
      <w:pPr>
        <w:ind w:left="5040" w:hanging="360"/>
      </w:pPr>
      <w:rPr>
        <w:rFonts w:ascii="Symbol" w:hAnsi="Symbol" w:hint="default"/>
      </w:rPr>
    </w:lvl>
    <w:lvl w:ilvl="7" w:tplc="9F5872A4" w:tentative="1">
      <w:start w:val="1"/>
      <w:numFmt w:val="bullet"/>
      <w:lvlText w:val="o"/>
      <w:lvlJc w:val="left"/>
      <w:pPr>
        <w:ind w:left="5760" w:hanging="360"/>
      </w:pPr>
      <w:rPr>
        <w:rFonts w:ascii="Courier New" w:hAnsi="Courier New" w:cs="Courier New" w:hint="default"/>
      </w:rPr>
    </w:lvl>
    <w:lvl w:ilvl="8" w:tplc="5BB81292" w:tentative="1">
      <w:start w:val="1"/>
      <w:numFmt w:val="bullet"/>
      <w:lvlText w:val=""/>
      <w:lvlJc w:val="left"/>
      <w:pPr>
        <w:ind w:left="6480" w:hanging="360"/>
      </w:pPr>
      <w:rPr>
        <w:rFonts w:ascii="Wingdings" w:hAnsi="Wingdings" w:hint="default"/>
      </w:rPr>
    </w:lvl>
  </w:abstractNum>
  <w:abstractNum w:abstractNumId="6" w15:restartNumberingAfterBreak="0">
    <w:nsid w:val="235E7868"/>
    <w:multiLevelType w:val="hybridMultilevel"/>
    <w:tmpl w:val="C2527EBC"/>
    <w:lvl w:ilvl="0" w:tplc="57F26476">
      <w:start w:val="11"/>
      <w:numFmt w:val="decimal"/>
      <w:lvlText w:val="%1."/>
      <w:lvlJc w:val="left"/>
      <w:pPr>
        <w:tabs>
          <w:tab w:val="num" w:pos="720"/>
        </w:tabs>
        <w:ind w:left="720" w:hanging="360"/>
      </w:pPr>
      <w:rPr>
        <w:rFonts w:hint="default"/>
      </w:rPr>
    </w:lvl>
    <w:lvl w:ilvl="1" w:tplc="8184117C" w:tentative="1">
      <w:start w:val="1"/>
      <w:numFmt w:val="lowerLetter"/>
      <w:lvlText w:val="%2."/>
      <w:lvlJc w:val="left"/>
      <w:pPr>
        <w:tabs>
          <w:tab w:val="num" w:pos="1440"/>
        </w:tabs>
        <w:ind w:left="1440" w:hanging="360"/>
      </w:pPr>
    </w:lvl>
    <w:lvl w:ilvl="2" w:tplc="0EDA0800" w:tentative="1">
      <w:start w:val="1"/>
      <w:numFmt w:val="lowerRoman"/>
      <w:lvlText w:val="%3."/>
      <w:lvlJc w:val="right"/>
      <w:pPr>
        <w:tabs>
          <w:tab w:val="num" w:pos="2160"/>
        </w:tabs>
        <w:ind w:left="2160" w:hanging="180"/>
      </w:pPr>
    </w:lvl>
    <w:lvl w:ilvl="3" w:tplc="573AD0C8" w:tentative="1">
      <w:start w:val="1"/>
      <w:numFmt w:val="decimal"/>
      <w:lvlText w:val="%4."/>
      <w:lvlJc w:val="left"/>
      <w:pPr>
        <w:tabs>
          <w:tab w:val="num" w:pos="2880"/>
        </w:tabs>
        <w:ind w:left="2880" w:hanging="360"/>
      </w:pPr>
    </w:lvl>
    <w:lvl w:ilvl="4" w:tplc="279ABB32" w:tentative="1">
      <w:start w:val="1"/>
      <w:numFmt w:val="lowerLetter"/>
      <w:lvlText w:val="%5."/>
      <w:lvlJc w:val="left"/>
      <w:pPr>
        <w:tabs>
          <w:tab w:val="num" w:pos="3600"/>
        </w:tabs>
        <w:ind w:left="3600" w:hanging="360"/>
      </w:pPr>
    </w:lvl>
    <w:lvl w:ilvl="5" w:tplc="EA6CE7D6" w:tentative="1">
      <w:start w:val="1"/>
      <w:numFmt w:val="lowerRoman"/>
      <w:lvlText w:val="%6."/>
      <w:lvlJc w:val="right"/>
      <w:pPr>
        <w:tabs>
          <w:tab w:val="num" w:pos="4320"/>
        </w:tabs>
        <w:ind w:left="4320" w:hanging="180"/>
      </w:pPr>
    </w:lvl>
    <w:lvl w:ilvl="6" w:tplc="C14885D6" w:tentative="1">
      <w:start w:val="1"/>
      <w:numFmt w:val="decimal"/>
      <w:lvlText w:val="%7."/>
      <w:lvlJc w:val="left"/>
      <w:pPr>
        <w:tabs>
          <w:tab w:val="num" w:pos="5040"/>
        </w:tabs>
        <w:ind w:left="5040" w:hanging="360"/>
      </w:pPr>
    </w:lvl>
    <w:lvl w:ilvl="7" w:tplc="DEF4D540" w:tentative="1">
      <w:start w:val="1"/>
      <w:numFmt w:val="lowerLetter"/>
      <w:lvlText w:val="%8."/>
      <w:lvlJc w:val="left"/>
      <w:pPr>
        <w:tabs>
          <w:tab w:val="num" w:pos="5760"/>
        </w:tabs>
        <w:ind w:left="5760" w:hanging="360"/>
      </w:pPr>
    </w:lvl>
    <w:lvl w:ilvl="8" w:tplc="9274ECCC" w:tentative="1">
      <w:start w:val="1"/>
      <w:numFmt w:val="lowerRoman"/>
      <w:lvlText w:val="%9."/>
      <w:lvlJc w:val="right"/>
      <w:pPr>
        <w:tabs>
          <w:tab w:val="num" w:pos="6480"/>
        </w:tabs>
        <w:ind w:left="6480" w:hanging="180"/>
      </w:pPr>
    </w:lvl>
  </w:abstractNum>
  <w:abstractNum w:abstractNumId="7" w15:restartNumberingAfterBreak="0">
    <w:nsid w:val="2ADF606E"/>
    <w:multiLevelType w:val="hybridMultilevel"/>
    <w:tmpl w:val="38D6CB6A"/>
    <w:lvl w:ilvl="0" w:tplc="557CFB2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37064A"/>
    <w:multiLevelType w:val="hybridMultilevel"/>
    <w:tmpl w:val="84E491DA"/>
    <w:lvl w:ilvl="0" w:tplc="D4A09B5A">
      <w:start w:val="1"/>
      <w:numFmt w:val="bullet"/>
      <w:lvlText w:val=""/>
      <w:lvlJc w:val="left"/>
      <w:pPr>
        <w:ind w:left="720" w:hanging="360"/>
      </w:pPr>
      <w:rPr>
        <w:rFonts w:ascii="Symbol" w:hAnsi="Symbol" w:hint="default"/>
      </w:rPr>
    </w:lvl>
    <w:lvl w:ilvl="1" w:tplc="02A02D0A">
      <w:start w:val="1"/>
      <w:numFmt w:val="bullet"/>
      <w:pStyle w:val="bulletpoint2"/>
      <w:lvlText w:val="–"/>
      <w:lvlJc w:val="left"/>
      <w:pPr>
        <w:ind w:left="1440" w:hanging="360"/>
      </w:pPr>
      <w:rPr>
        <w:rFonts w:ascii="Times New Roman" w:hAnsi="Times New Roman" w:cs="Times New Roman" w:hint="default"/>
      </w:rPr>
    </w:lvl>
    <w:lvl w:ilvl="2" w:tplc="323C8332">
      <w:start w:val="1"/>
      <w:numFmt w:val="bullet"/>
      <w:pStyle w:val="bulletpoin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C027DD"/>
    <w:multiLevelType w:val="hybridMultilevel"/>
    <w:tmpl w:val="4A4A632E"/>
    <w:lvl w:ilvl="0" w:tplc="BD8070D6">
      <w:start w:val="11"/>
      <w:numFmt w:val="decimal"/>
      <w:lvlText w:val="%1."/>
      <w:lvlJc w:val="left"/>
      <w:pPr>
        <w:tabs>
          <w:tab w:val="num" w:pos="720"/>
        </w:tabs>
        <w:ind w:left="720" w:hanging="360"/>
      </w:pPr>
      <w:rPr>
        <w:rFonts w:hint="default"/>
      </w:rPr>
    </w:lvl>
    <w:lvl w:ilvl="1" w:tplc="4796A024" w:tentative="1">
      <w:start w:val="1"/>
      <w:numFmt w:val="lowerLetter"/>
      <w:lvlText w:val="%2."/>
      <w:lvlJc w:val="left"/>
      <w:pPr>
        <w:tabs>
          <w:tab w:val="num" w:pos="1440"/>
        </w:tabs>
        <w:ind w:left="1440" w:hanging="360"/>
      </w:pPr>
    </w:lvl>
    <w:lvl w:ilvl="2" w:tplc="28FE1636" w:tentative="1">
      <w:start w:val="1"/>
      <w:numFmt w:val="lowerRoman"/>
      <w:lvlText w:val="%3."/>
      <w:lvlJc w:val="right"/>
      <w:pPr>
        <w:tabs>
          <w:tab w:val="num" w:pos="2160"/>
        </w:tabs>
        <w:ind w:left="2160" w:hanging="180"/>
      </w:pPr>
    </w:lvl>
    <w:lvl w:ilvl="3" w:tplc="9ADC7100" w:tentative="1">
      <w:start w:val="1"/>
      <w:numFmt w:val="decimal"/>
      <w:lvlText w:val="%4."/>
      <w:lvlJc w:val="left"/>
      <w:pPr>
        <w:tabs>
          <w:tab w:val="num" w:pos="2880"/>
        </w:tabs>
        <w:ind w:left="2880" w:hanging="360"/>
      </w:pPr>
    </w:lvl>
    <w:lvl w:ilvl="4" w:tplc="830E1E66" w:tentative="1">
      <w:start w:val="1"/>
      <w:numFmt w:val="lowerLetter"/>
      <w:lvlText w:val="%5."/>
      <w:lvlJc w:val="left"/>
      <w:pPr>
        <w:tabs>
          <w:tab w:val="num" w:pos="3600"/>
        </w:tabs>
        <w:ind w:left="3600" w:hanging="360"/>
      </w:pPr>
    </w:lvl>
    <w:lvl w:ilvl="5" w:tplc="89A40232" w:tentative="1">
      <w:start w:val="1"/>
      <w:numFmt w:val="lowerRoman"/>
      <w:lvlText w:val="%6."/>
      <w:lvlJc w:val="right"/>
      <w:pPr>
        <w:tabs>
          <w:tab w:val="num" w:pos="4320"/>
        </w:tabs>
        <w:ind w:left="4320" w:hanging="180"/>
      </w:pPr>
    </w:lvl>
    <w:lvl w:ilvl="6" w:tplc="93F0F03C" w:tentative="1">
      <w:start w:val="1"/>
      <w:numFmt w:val="decimal"/>
      <w:lvlText w:val="%7."/>
      <w:lvlJc w:val="left"/>
      <w:pPr>
        <w:tabs>
          <w:tab w:val="num" w:pos="5040"/>
        </w:tabs>
        <w:ind w:left="5040" w:hanging="360"/>
      </w:pPr>
    </w:lvl>
    <w:lvl w:ilvl="7" w:tplc="D0D40EF0" w:tentative="1">
      <w:start w:val="1"/>
      <w:numFmt w:val="lowerLetter"/>
      <w:lvlText w:val="%8."/>
      <w:lvlJc w:val="left"/>
      <w:pPr>
        <w:tabs>
          <w:tab w:val="num" w:pos="5760"/>
        </w:tabs>
        <w:ind w:left="5760" w:hanging="360"/>
      </w:pPr>
    </w:lvl>
    <w:lvl w:ilvl="8" w:tplc="5DC26202" w:tentative="1">
      <w:start w:val="1"/>
      <w:numFmt w:val="lowerRoman"/>
      <w:lvlText w:val="%9."/>
      <w:lvlJc w:val="right"/>
      <w:pPr>
        <w:tabs>
          <w:tab w:val="num" w:pos="6480"/>
        </w:tabs>
        <w:ind w:left="6480" w:hanging="180"/>
      </w:pPr>
    </w:lvl>
  </w:abstractNum>
  <w:abstractNum w:abstractNumId="10" w15:restartNumberingAfterBreak="0">
    <w:nsid w:val="37877783"/>
    <w:multiLevelType w:val="hybridMultilevel"/>
    <w:tmpl w:val="581CA0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585673"/>
    <w:multiLevelType w:val="singleLevel"/>
    <w:tmpl w:val="A37C54DE"/>
    <w:lvl w:ilvl="0">
      <w:start w:val="10"/>
      <w:numFmt w:val="decimal"/>
      <w:lvlText w:val="%1."/>
      <w:lvlJc w:val="left"/>
      <w:pPr>
        <w:tabs>
          <w:tab w:val="num" w:pos="555"/>
        </w:tabs>
        <w:ind w:left="555" w:hanging="555"/>
      </w:pPr>
      <w:rPr>
        <w:rFonts w:hint="default"/>
      </w:rPr>
    </w:lvl>
  </w:abstractNum>
  <w:abstractNum w:abstractNumId="12" w15:restartNumberingAfterBreak="0">
    <w:nsid w:val="40611130"/>
    <w:multiLevelType w:val="hybridMultilevel"/>
    <w:tmpl w:val="2CF64692"/>
    <w:lvl w:ilvl="0" w:tplc="D78A498A">
      <w:start w:val="3"/>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9360E6"/>
    <w:multiLevelType w:val="hybridMultilevel"/>
    <w:tmpl w:val="86108D64"/>
    <w:lvl w:ilvl="0" w:tplc="F86E3C62">
      <w:start w:val="11"/>
      <w:numFmt w:val="decimal"/>
      <w:lvlText w:val="%1."/>
      <w:lvlJc w:val="left"/>
      <w:pPr>
        <w:tabs>
          <w:tab w:val="num" w:pos="720"/>
        </w:tabs>
        <w:ind w:left="720" w:hanging="360"/>
      </w:pPr>
      <w:rPr>
        <w:rFonts w:hint="default"/>
      </w:rPr>
    </w:lvl>
    <w:lvl w:ilvl="1" w:tplc="D4A8B0FA" w:tentative="1">
      <w:start w:val="1"/>
      <w:numFmt w:val="lowerLetter"/>
      <w:lvlText w:val="%2."/>
      <w:lvlJc w:val="left"/>
      <w:pPr>
        <w:tabs>
          <w:tab w:val="num" w:pos="1440"/>
        </w:tabs>
        <w:ind w:left="1440" w:hanging="360"/>
      </w:pPr>
    </w:lvl>
    <w:lvl w:ilvl="2" w:tplc="046270EC" w:tentative="1">
      <w:start w:val="1"/>
      <w:numFmt w:val="lowerRoman"/>
      <w:lvlText w:val="%3."/>
      <w:lvlJc w:val="right"/>
      <w:pPr>
        <w:tabs>
          <w:tab w:val="num" w:pos="2160"/>
        </w:tabs>
        <w:ind w:left="2160" w:hanging="180"/>
      </w:pPr>
    </w:lvl>
    <w:lvl w:ilvl="3" w:tplc="8F5C4946" w:tentative="1">
      <w:start w:val="1"/>
      <w:numFmt w:val="decimal"/>
      <w:lvlText w:val="%4."/>
      <w:lvlJc w:val="left"/>
      <w:pPr>
        <w:tabs>
          <w:tab w:val="num" w:pos="2880"/>
        </w:tabs>
        <w:ind w:left="2880" w:hanging="360"/>
      </w:pPr>
    </w:lvl>
    <w:lvl w:ilvl="4" w:tplc="63120276" w:tentative="1">
      <w:start w:val="1"/>
      <w:numFmt w:val="lowerLetter"/>
      <w:lvlText w:val="%5."/>
      <w:lvlJc w:val="left"/>
      <w:pPr>
        <w:tabs>
          <w:tab w:val="num" w:pos="3600"/>
        </w:tabs>
        <w:ind w:left="3600" w:hanging="360"/>
      </w:pPr>
    </w:lvl>
    <w:lvl w:ilvl="5" w:tplc="D1986DB8" w:tentative="1">
      <w:start w:val="1"/>
      <w:numFmt w:val="lowerRoman"/>
      <w:lvlText w:val="%6."/>
      <w:lvlJc w:val="right"/>
      <w:pPr>
        <w:tabs>
          <w:tab w:val="num" w:pos="4320"/>
        </w:tabs>
        <w:ind w:left="4320" w:hanging="180"/>
      </w:pPr>
    </w:lvl>
    <w:lvl w:ilvl="6" w:tplc="A1CA6832" w:tentative="1">
      <w:start w:val="1"/>
      <w:numFmt w:val="decimal"/>
      <w:lvlText w:val="%7."/>
      <w:lvlJc w:val="left"/>
      <w:pPr>
        <w:tabs>
          <w:tab w:val="num" w:pos="5040"/>
        </w:tabs>
        <w:ind w:left="5040" w:hanging="360"/>
      </w:pPr>
    </w:lvl>
    <w:lvl w:ilvl="7" w:tplc="A3DA924A" w:tentative="1">
      <w:start w:val="1"/>
      <w:numFmt w:val="lowerLetter"/>
      <w:lvlText w:val="%8."/>
      <w:lvlJc w:val="left"/>
      <w:pPr>
        <w:tabs>
          <w:tab w:val="num" w:pos="5760"/>
        </w:tabs>
        <w:ind w:left="5760" w:hanging="360"/>
      </w:pPr>
    </w:lvl>
    <w:lvl w:ilvl="8" w:tplc="B6E4FE8A" w:tentative="1">
      <w:start w:val="1"/>
      <w:numFmt w:val="lowerRoman"/>
      <w:lvlText w:val="%9."/>
      <w:lvlJc w:val="right"/>
      <w:pPr>
        <w:tabs>
          <w:tab w:val="num" w:pos="6480"/>
        </w:tabs>
        <w:ind w:left="6480" w:hanging="180"/>
      </w:pPr>
    </w:lvl>
  </w:abstractNum>
  <w:abstractNum w:abstractNumId="14" w15:restartNumberingAfterBreak="0">
    <w:nsid w:val="4DE91739"/>
    <w:multiLevelType w:val="multilevel"/>
    <w:tmpl w:val="EDCAF4DC"/>
    <w:lvl w:ilvl="0">
      <w:start w:val="3"/>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39D6777"/>
    <w:multiLevelType w:val="hybridMultilevel"/>
    <w:tmpl w:val="2486A266"/>
    <w:lvl w:ilvl="0" w:tplc="A04E6814">
      <w:start w:val="1"/>
      <w:numFmt w:val="bullet"/>
      <w:pStyle w:val="Bulletpoint1"/>
      <w:lvlText w:val=""/>
      <w:lvlJc w:val="left"/>
      <w:pPr>
        <w:ind w:left="360" w:hanging="360"/>
      </w:pPr>
      <w:rPr>
        <w:rFonts w:ascii="Symbol" w:hAnsi="Symbol" w:hint="default"/>
        <w:sz w:val="20"/>
        <w:szCs w:val="2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6688442C"/>
    <w:multiLevelType w:val="hybridMultilevel"/>
    <w:tmpl w:val="8BAE2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C30679"/>
    <w:multiLevelType w:val="hybridMultilevel"/>
    <w:tmpl w:val="FB489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FE613F9"/>
    <w:multiLevelType w:val="hybridMultilevel"/>
    <w:tmpl w:val="AF3C1AAA"/>
    <w:lvl w:ilvl="0" w:tplc="F5985FB2">
      <w:start w:val="4"/>
      <w:numFmt w:val="bullet"/>
      <w:lvlText w:val="-"/>
      <w:lvlJc w:val="left"/>
      <w:pPr>
        <w:ind w:left="720" w:hanging="360"/>
      </w:pPr>
      <w:rPr>
        <w:rFonts w:ascii="Times New Roman" w:eastAsia="Times New Roman" w:hAnsi="Times New Roman" w:cs="Times New Roman" w:hint="default"/>
      </w:rPr>
    </w:lvl>
    <w:lvl w:ilvl="1" w:tplc="A85C7F26" w:tentative="1">
      <w:start w:val="1"/>
      <w:numFmt w:val="bullet"/>
      <w:lvlText w:val="o"/>
      <w:lvlJc w:val="left"/>
      <w:pPr>
        <w:ind w:left="1440" w:hanging="360"/>
      </w:pPr>
      <w:rPr>
        <w:rFonts w:ascii="Courier New" w:hAnsi="Courier New" w:cs="Courier New" w:hint="default"/>
      </w:rPr>
    </w:lvl>
    <w:lvl w:ilvl="2" w:tplc="6DB094B6" w:tentative="1">
      <w:start w:val="1"/>
      <w:numFmt w:val="bullet"/>
      <w:lvlText w:val=""/>
      <w:lvlJc w:val="left"/>
      <w:pPr>
        <w:ind w:left="2160" w:hanging="360"/>
      </w:pPr>
      <w:rPr>
        <w:rFonts w:ascii="Wingdings" w:hAnsi="Wingdings" w:hint="default"/>
      </w:rPr>
    </w:lvl>
    <w:lvl w:ilvl="3" w:tplc="A71445B2" w:tentative="1">
      <w:start w:val="1"/>
      <w:numFmt w:val="bullet"/>
      <w:lvlText w:val=""/>
      <w:lvlJc w:val="left"/>
      <w:pPr>
        <w:ind w:left="2880" w:hanging="360"/>
      </w:pPr>
      <w:rPr>
        <w:rFonts w:ascii="Symbol" w:hAnsi="Symbol" w:hint="default"/>
      </w:rPr>
    </w:lvl>
    <w:lvl w:ilvl="4" w:tplc="4A62E4DA" w:tentative="1">
      <w:start w:val="1"/>
      <w:numFmt w:val="bullet"/>
      <w:lvlText w:val="o"/>
      <w:lvlJc w:val="left"/>
      <w:pPr>
        <w:ind w:left="3600" w:hanging="360"/>
      </w:pPr>
      <w:rPr>
        <w:rFonts w:ascii="Courier New" w:hAnsi="Courier New" w:cs="Courier New" w:hint="default"/>
      </w:rPr>
    </w:lvl>
    <w:lvl w:ilvl="5" w:tplc="42FE5C22" w:tentative="1">
      <w:start w:val="1"/>
      <w:numFmt w:val="bullet"/>
      <w:lvlText w:val=""/>
      <w:lvlJc w:val="left"/>
      <w:pPr>
        <w:ind w:left="4320" w:hanging="360"/>
      </w:pPr>
      <w:rPr>
        <w:rFonts w:ascii="Wingdings" w:hAnsi="Wingdings" w:hint="default"/>
      </w:rPr>
    </w:lvl>
    <w:lvl w:ilvl="6" w:tplc="D630ADE6" w:tentative="1">
      <w:start w:val="1"/>
      <w:numFmt w:val="bullet"/>
      <w:lvlText w:val=""/>
      <w:lvlJc w:val="left"/>
      <w:pPr>
        <w:ind w:left="5040" w:hanging="360"/>
      </w:pPr>
      <w:rPr>
        <w:rFonts w:ascii="Symbol" w:hAnsi="Symbol" w:hint="default"/>
      </w:rPr>
    </w:lvl>
    <w:lvl w:ilvl="7" w:tplc="DDE06712" w:tentative="1">
      <w:start w:val="1"/>
      <w:numFmt w:val="bullet"/>
      <w:lvlText w:val="o"/>
      <w:lvlJc w:val="left"/>
      <w:pPr>
        <w:ind w:left="5760" w:hanging="360"/>
      </w:pPr>
      <w:rPr>
        <w:rFonts w:ascii="Courier New" w:hAnsi="Courier New" w:cs="Courier New" w:hint="default"/>
      </w:rPr>
    </w:lvl>
    <w:lvl w:ilvl="8" w:tplc="AC1AD62A" w:tentative="1">
      <w:start w:val="1"/>
      <w:numFmt w:val="bullet"/>
      <w:lvlText w:val=""/>
      <w:lvlJc w:val="left"/>
      <w:pPr>
        <w:ind w:left="6480" w:hanging="360"/>
      </w:pPr>
      <w:rPr>
        <w:rFonts w:ascii="Wingdings" w:hAnsi="Wingdings" w:hint="default"/>
      </w:rPr>
    </w:lvl>
  </w:abstractNum>
  <w:abstractNum w:abstractNumId="19" w15:restartNumberingAfterBreak="0">
    <w:nsid w:val="7ADC17A8"/>
    <w:multiLevelType w:val="hybridMultilevel"/>
    <w:tmpl w:val="838654F0"/>
    <w:lvl w:ilvl="0" w:tplc="596CEBAC">
      <w:start w:val="4"/>
      <w:numFmt w:val="bullet"/>
      <w:lvlText w:val="-"/>
      <w:lvlJc w:val="left"/>
      <w:pPr>
        <w:tabs>
          <w:tab w:val="num" w:pos="720"/>
        </w:tabs>
        <w:ind w:left="720" w:hanging="360"/>
      </w:pPr>
      <w:rPr>
        <w:rFonts w:ascii="Times New Roman" w:eastAsia="Times New Roman" w:hAnsi="Times New Roman" w:cs="Times New Roman" w:hint="default"/>
      </w:rPr>
    </w:lvl>
    <w:lvl w:ilvl="1" w:tplc="C7CED462" w:tentative="1">
      <w:start w:val="1"/>
      <w:numFmt w:val="bullet"/>
      <w:lvlText w:val="o"/>
      <w:lvlJc w:val="left"/>
      <w:pPr>
        <w:tabs>
          <w:tab w:val="num" w:pos="1440"/>
        </w:tabs>
        <w:ind w:left="1440" w:hanging="360"/>
      </w:pPr>
      <w:rPr>
        <w:rFonts w:ascii="Courier New" w:hAnsi="Courier New" w:hint="default"/>
      </w:rPr>
    </w:lvl>
    <w:lvl w:ilvl="2" w:tplc="4086E6CC" w:tentative="1">
      <w:start w:val="1"/>
      <w:numFmt w:val="bullet"/>
      <w:lvlText w:val=""/>
      <w:lvlJc w:val="left"/>
      <w:pPr>
        <w:tabs>
          <w:tab w:val="num" w:pos="2160"/>
        </w:tabs>
        <w:ind w:left="2160" w:hanging="360"/>
      </w:pPr>
      <w:rPr>
        <w:rFonts w:ascii="Wingdings" w:hAnsi="Wingdings" w:hint="default"/>
      </w:rPr>
    </w:lvl>
    <w:lvl w:ilvl="3" w:tplc="D73CA9FE" w:tentative="1">
      <w:start w:val="1"/>
      <w:numFmt w:val="bullet"/>
      <w:lvlText w:val=""/>
      <w:lvlJc w:val="left"/>
      <w:pPr>
        <w:tabs>
          <w:tab w:val="num" w:pos="2880"/>
        </w:tabs>
        <w:ind w:left="2880" w:hanging="360"/>
      </w:pPr>
      <w:rPr>
        <w:rFonts w:ascii="Symbol" w:hAnsi="Symbol" w:hint="default"/>
      </w:rPr>
    </w:lvl>
    <w:lvl w:ilvl="4" w:tplc="281C261C" w:tentative="1">
      <w:start w:val="1"/>
      <w:numFmt w:val="bullet"/>
      <w:lvlText w:val="o"/>
      <w:lvlJc w:val="left"/>
      <w:pPr>
        <w:tabs>
          <w:tab w:val="num" w:pos="3600"/>
        </w:tabs>
        <w:ind w:left="3600" w:hanging="360"/>
      </w:pPr>
      <w:rPr>
        <w:rFonts w:ascii="Courier New" w:hAnsi="Courier New" w:hint="default"/>
      </w:rPr>
    </w:lvl>
    <w:lvl w:ilvl="5" w:tplc="68F27CA4" w:tentative="1">
      <w:start w:val="1"/>
      <w:numFmt w:val="bullet"/>
      <w:lvlText w:val=""/>
      <w:lvlJc w:val="left"/>
      <w:pPr>
        <w:tabs>
          <w:tab w:val="num" w:pos="4320"/>
        </w:tabs>
        <w:ind w:left="4320" w:hanging="360"/>
      </w:pPr>
      <w:rPr>
        <w:rFonts w:ascii="Wingdings" w:hAnsi="Wingdings" w:hint="default"/>
      </w:rPr>
    </w:lvl>
    <w:lvl w:ilvl="6" w:tplc="0E54FD0C" w:tentative="1">
      <w:start w:val="1"/>
      <w:numFmt w:val="bullet"/>
      <w:lvlText w:val=""/>
      <w:lvlJc w:val="left"/>
      <w:pPr>
        <w:tabs>
          <w:tab w:val="num" w:pos="5040"/>
        </w:tabs>
        <w:ind w:left="5040" w:hanging="360"/>
      </w:pPr>
      <w:rPr>
        <w:rFonts w:ascii="Symbol" w:hAnsi="Symbol" w:hint="default"/>
      </w:rPr>
    </w:lvl>
    <w:lvl w:ilvl="7" w:tplc="778E08CA" w:tentative="1">
      <w:start w:val="1"/>
      <w:numFmt w:val="bullet"/>
      <w:lvlText w:val="o"/>
      <w:lvlJc w:val="left"/>
      <w:pPr>
        <w:tabs>
          <w:tab w:val="num" w:pos="5760"/>
        </w:tabs>
        <w:ind w:left="5760" w:hanging="360"/>
      </w:pPr>
      <w:rPr>
        <w:rFonts w:ascii="Courier New" w:hAnsi="Courier New" w:hint="default"/>
      </w:rPr>
    </w:lvl>
    <w:lvl w:ilvl="8" w:tplc="B134BFDE"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6"/>
  </w:num>
  <w:num w:numId="4">
    <w:abstractNumId w:val="13"/>
  </w:num>
  <w:num w:numId="5">
    <w:abstractNumId w:val="3"/>
  </w:num>
  <w:num w:numId="6">
    <w:abstractNumId w:val="19"/>
  </w:num>
  <w:num w:numId="7">
    <w:abstractNumId w:val="18"/>
  </w:num>
  <w:num w:numId="8">
    <w:abstractNumId w:val="5"/>
  </w:num>
  <w:num w:numId="9">
    <w:abstractNumId w:val="2"/>
  </w:num>
  <w:num w:numId="10">
    <w:abstractNumId w:val="15"/>
  </w:num>
  <w:num w:numId="11">
    <w:abstractNumId w:val="8"/>
  </w:num>
  <w:num w:numId="12">
    <w:abstractNumId w:val="15"/>
  </w:num>
  <w:num w:numId="13">
    <w:abstractNumId w:val="7"/>
  </w:num>
  <w:num w:numId="14">
    <w:abstractNumId w:val="17"/>
  </w:num>
  <w:num w:numId="15">
    <w:abstractNumId w:val="0"/>
  </w:num>
  <w:num w:numId="16">
    <w:abstractNumId w:val="10"/>
  </w:num>
  <w:num w:numId="17">
    <w:abstractNumId w:val="1"/>
  </w:num>
  <w:num w:numId="18">
    <w:abstractNumId w:val="4"/>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14"/>
  </w:num>
  <w:num w:numId="47">
    <w:abstractNumId w:val="16"/>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0A"/>
    <w:rsid w:val="00010E6A"/>
    <w:rsid w:val="00013081"/>
    <w:rsid w:val="000136CD"/>
    <w:rsid w:val="000167B9"/>
    <w:rsid w:val="00024ACB"/>
    <w:rsid w:val="00027263"/>
    <w:rsid w:val="000308C3"/>
    <w:rsid w:val="00030EEE"/>
    <w:rsid w:val="00040143"/>
    <w:rsid w:val="00043D74"/>
    <w:rsid w:val="00070D08"/>
    <w:rsid w:val="00071D2E"/>
    <w:rsid w:val="00082583"/>
    <w:rsid w:val="0008265A"/>
    <w:rsid w:val="00091231"/>
    <w:rsid w:val="00092FE7"/>
    <w:rsid w:val="000941FD"/>
    <w:rsid w:val="000A372D"/>
    <w:rsid w:val="000B1848"/>
    <w:rsid w:val="000B357E"/>
    <w:rsid w:val="000C008E"/>
    <w:rsid w:val="000C20D4"/>
    <w:rsid w:val="000C76FD"/>
    <w:rsid w:val="000D15CF"/>
    <w:rsid w:val="000D5384"/>
    <w:rsid w:val="000E73A6"/>
    <w:rsid w:val="000F5DC2"/>
    <w:rsid w:val="0010625E"/>
    <w:rsid w:val="0010694F"/>
    <w:rsid w:val="00107E26"/>
    <w:rsid w:val="001128D8"/>
    <w:rsid w:val="00113B55"/>
    <w:rsid w:val="00113D00"/>
    <w:rsid w:val="00114C08"/>
    <w:rsid w:val="0011545D"/>
    <w:rsid w:val="00120D10"/>
    <w:rsid w:val="00125945"/>
    <w:rsid w:val="001266E4"/>
    <w:rsid w:val="00142FDB"/>
    <w:rsid w:val="001469FD"/>
    <w:rsid w:val="00146C5D"/>
    <w:rsid w:val="0014771B"/>
    <w:rsid w:val="00150DDB"/>
    <w:rsid w:val="001548BB"/>
    <w:rsid w:val="0015639E"/>
    <w:rsid w:val="00164C78"/>
    <w:rsid w:val="00165618"/>
    <w:rsid w:val="0016666D"/>
    <w:rsid w:val="001747A8"/>
    <w:rsid w:val="00185C7D"/>
    <w:rsid w:val="00186FCF"/>
    <w:rsid w:val="001923A5"/>
    <w:rsid w:val="00195335"/>
    <w:rsid w:val="001A028D"/>
    <w:rsid w:val="001A0DB7"/>
    <w:rsid w:val="001B6095"/>
    <w:rsid w:val="001C2278"/>
    <w:rsid w:val="001C4BED"/>
    <w:rsid w:val="001C6603"/>
    <w:rsid w:val="001D2169"/>
    <w:rsid w:val="001D29D3"/>
    <w:rsid w:val="001D6D66"/>
    <w:rsid w:val="001E2C54"/>
    <w:rsid w:val="001E4B3D"/>
    <w:rsid w:val="001F4A8C"/>
    <w:rsid w:val="001F71CB"/>
    <w:rsid w:val="002066A9"/>
    <w:rsid w:val="00207919"/>
    <w:rsid w:val="00211C60"/>
    <w:rsid w:val="0021573F"/>
    <w:rsid w:val="002171CE"/>
    <w:rsid w:val="00217BDA"/>
    <w:rsid w:val="00217D45"/>
    <w:rsid w:val="002211FD"/>
    <w:rsid w:val="00240488"/>
    <w:rsid w:val="00240495"/>
    <w:rsid w:val="00256D47"/>
    <w:rsid w:val="00262FEB"/>
    <w:rsid w:val="00264108"/>
    <w:rsid w:val="002657AD"/>
    <w:rsid w:val="00266778"/>
    <w:rsid w:val="00285F70"/>
    <w:rsid w:val="002906BB"/>
    <w:rsid w:val="00291CD0"/>
    <w:rsid w:val="002A01F7"/>
    <w:rsid w:val="002A27D1"/>
    <w:rsid w:val="002A2D6B"/>
    <w:rsid w:val="002A70F3"/>
    <w:rsid w:val="002C4075"/>
    <w:rsid w:val="002C5B1B"/>
    <w:rsid w:val="002D000A"/>
    <w:rsid w:val="002E0E36"/>
    <w:rsid w:val="002F10F7"/>
    <w:rsid w:val="002F50BB"/>
    <w:rsid w:val="002F702F"/>
    <w:rsid w:val="00301780"/>
    <w:rsid w:val="00302D7A"/>
    <w:rsid w:val="00303F15"/>
    <w:rsid w:val="00307C7F"/>
    <w:rsid w:val="003134C1"/>
    <w:rsid w:val="0031517B"/>
    <w:rsid w:val="003251D8"/>
    <w:rsid w:val="00332008"/>
    <w:rsid w:val="00341DCF"/>
    <w:rsid w:val="003425CC"/>
    <w:rsid w:val="003455C6"/>
    <w:rsid w:val="0034607B"/>
    <w:rsid w:val="00350914"/>
    <w:rsid w:val="00355B1A"/>
    <w:rsid w:val="00363779"/>
    <w:rsid w:val="00363D2D"/>
    <w:rsid w:val="003674F9"/>
    <w:rsid w:val="003746FD"/>
    <w:rsid w:val="00381F2A"/>
    <w:rsid w:val="003934CA"/>
    <w:rsid w:val="0039412D"/>
    <w:rsid w:val="00396B60"/>
    <w:rsid w:val="003A233B"/>
    <w:rsid w:val="003A421E"/>
    <w:rsid w:val="003A45FD"/>
    <w:rsid w:val="003A4B7F"/>
    <w:rsid w:val="003A5CE4"/>
    <w:rsid w:val="003B049A"/>
    <w:rsid w:val="003B0964"/>
    <w:rsid w:val="003B372C"/>
    <w:rsid w:val="003C3B92"/>
    <w:rsid w:val="003D50F0"/>
    <w:rsid w:val="003D554A"/>
    <w:rsid w:val="003D6F37"/>
    <w:rsid w:val="003E2906"/>
    <w:rsid w:val="003E3716"/>
    <w:rsid w:val="003E40B1"/>
    <w:rsid w:val="00400620"/>
    <w:rsid w:val="00400654"/>
    <w:rsid w:val="00402470"/>
    <w:rsid w:val="00406F47"/>
    <w:rsid w:val="00412034"/>
    <w:rsid w:val="004123A0"/>
    <w:rsid w:val="00412700"/>
    <w:rsid w:val="004175F1"/>
    <w:rsid w:val="0042207A"/>
    <w:rsid w:val="00423DA4"/>
    <w:rsid w:val="00427102"/>
    <w:rsid w:val="0044258E"/>
    <w:rsid w:val="004453F1"/>
    <w:rsid w:val="004544C8"/>
    <w:rsid w:val="004545E4"/>
    <w:rsid w:val="00456EAD"/>
    <w:rsid w:val="00456F49"/>
    <w:rsid w:val="00462AEB"/>
    <w:rsid w:val="00465678"/>
    <w:rsid w:val="00465878"/>
    <w:rsid w:val="0047047F"/>
    <w:rsid w:val="00474E4B"/>
    <w:rsid w:val="00474F40"/>
    <w:rsid w:val="00475DDA"/>
    <w:rsid w:val="004812AE"/>
    <w:rsid w:val="00483251"/>
    <w:rsid w:val="00490332"/>
    <w:rsid w:val="00495F8D"/>
    <w:rsid w:val="00496B1E"/>
    <w:rsid w:val="004A0F24"/>
    <w:rsid w:val="004A18AA"/>
    <w:rsid w:val="004A5B94"/>
    <w:rsid w:val="004B4168"/>
    <w:rsid w:val="004B56B6"/>
    <w:rsid w:val="004C24C7"/>
    <w:rsid w:val="004D1A29"/>
    <w:rsid w:val="004D1E67"/>
    <w:rsid w:val="004D7527"/>
    <w:rsid w:val="004F69CD"/>
    <w:rsid w:val="005031C8"/>
    <w:rsid w:val="00506311"/>
    <w:rsid w:val="005101E6"/>
    <w:rsid w:val="00514E97"/>
    <w:rsid w:val="005248AB"/>
    <w:rsid w:val="00535019"/>
    <w:rsid w:val="005356B2"/>
    <w:rsid w:val="00537261"/>
    <w:rsid w:val="00540EEC"/>
    <w:rsid w:val="00541E33"/>
    <w:rsid w:val="00542B14"/>
    <w:rsid w:val="00544DBF"/>
    <w:rsid w:val="0057020E"/>
    <w:rsid w:val="0057577E"/>
    <w:rsid w:val="00575BF3"/>
    <w:rsid w:val="00586AFF"/>
    <w:rsid w:val="0059613F"/>
    <w:rsid w:val="005A317F"/>
    <w:rsid w:val="005B1311"/>
    <w:rsid w:val="005B4A0D"/>
    <w:rsid w:val="005B526C"/>
    <w:rsid w:val="005B5E0A"/>
    <w:rsid w:val="005C3F3A"/>
    <w:rsid w:val="005C4936"/>
    <w:rsid w:val="005C605A"/>
    <w:rsid w:val="005D1383"/>
    <w:rsid w:val="005E6CE6"/>
    <w:rsid w:val="005E7127"/>
    <w:rsid w:val="005E7296"/>
    <w:rsid w:val="005F0E89"/>
    <w:rsid w:val="005F39F8"/>
    <w:rsid w:val="005F56A3"/>
    <w:rsid w:val="005F70DC"/>
    <w:rsid w:val="00600410"/>
    <w:rsid w:val="00600EEB"/>
    <w:rsid w:val="0060179A"/>
    <w:rsid w:val="00602B55"/>
    <w:rsid w:val="00603838"/>
    <w:rsid w:val="00617E9A"/>
    <w:rsid w:val="00624B40"/>
    <w:rsid w:val="00625693"/>
    <w:rsid w:val="00634D8F"/>
    <w:rsid w:val="00640718"/>
    <w:rsid w:val="00671C38"/>
    <w:rsid w:val="00676439"/>
    <w:rsid w:val="006765F4"/>
    <w:rsid w:val="00677F78"/>
    <w:rsid w:val="00683C9E"/>
    <w:rsid w:val="0068722E"/>
    <w:rsid w:val="00691385"/>
    <w:rsid w:val="006926EA"/>
    <w:rsid w:val="0069755F"/>
    <w:rsid w:val="006A2130"/>
    <w:rsid w:val="006A23A5"/>
    <w:rsid w:val="006B3993"/>
    <w:rsid w:val="006B3A3A"/>
    <w:rsid w:val="006B616A"/>
    <w:rsid w:val="006D047A"/>
    <w:rsid w:val="006D0B18"/>
    <w:rsid w:val="006E2A6D"/>
    <w:rsid w:val="006E30AA"/>
    <w:rsid w:val="006F0472"/>
    <w:rsid w:val="006F1A9A"/>
    <w:rsid w:val="006F2900"/>
    <w:rsid w:val="006F3D22"/>
    <w:rsid w:val="007015CB"/>
    <w:rsid w:val="00703738"/>
    <w:rsid w:val="00706B99"/>
    <w:rsid w:val="00712672"/>
    <w:rsid w:val="00715C95"/>
    <w:rsid w:val="00722CBE"/>
    <w:rsid w:val="00724CC5"/>
    <w:rsid w:val="00726AA0"/>
    <w:rsid w:val="007270D1"/>
    <w:rsid w:val="00727172"/>
    <w:rsid w:val="00727481"/>
    <w:rsid w:val="0072786D"/>
    <w:rsid w:val="0073466F"/>
    <w:rsid w:val="00741107"/>
    <w:rsid w:val="00744069"/>
    <w:rsid w:val="0074561A"/>
    <w:rsid w:val="0074698B"/>
    <w:rsid w:val="007475A2"/>
    <w:rsid w:val="007520FE"/>
    <w:rsid w:val="00754F46"/>
    <w:rsid w:val="007651A7"/>
    <w:rsid w:val="00774759"/>
    <w:rsid w:val="00777A13"/>
    <w:rsid w:val="00794CA4"/>
    <w:rsid w:val="00796781"/>
    <w:rsid w:val="007A2A72"/>
    <w:rsid w:val="007A417C"/>
    <w:rsid w:val="007A41F9"/>
    <w:rsid w:val="007B0190"/>
    <w:rsid w:val="007B7EAF"/>
    <w:rsid w:val="007C04CA"/>
    <w:rsid w:val="007C5E83"/>
    <w:rsid w:val="007D5461"/>
    <w:rsid w:val="007D72C6"/>
    <w:rsid w:val="007E08BF"/>
    <w:rsid w:val="007E30C7"/>
    <w:rsid w:val="007E6361"/>
    <w:rsid w:val="007F6A46"/>
    <w:rsid w:val="00800644"/>
    <w:rsid w:val="00800D22"/>
    <w:rsid w:val="00810879"/>
    <w:rsid w:val="00815D13"/>
    <w:rsid w:val="00826645"/>
    <w:rsid w:val="0082735F"/>
    <w:rsid w:val="008273DF"/>
    <w:rsid w:val="00841219"/>
    <w:rsid w:val="00841A58"/>
    <w:rsid w:val="008435B3"/>
    <w:rsid w:val="0084515E"/>
    <w:rsid w:val="0085069D"/>
    <w:rsid w:val="00854E51"/>
    <w:rsid w:val="00863546"/>
    <w:rsid w:val="00873E26"/>
    <w:rsid w:val="008800B8"/>
    <w:rsid w:val="008802BE"/>
    <w:rsid w:val="008865DD"/>
    <w:rsid w:val="008904CB"/>
    <w:rsid w:val="008A1CF5"/>
    <w:rsid w:val="008B0A56"/>
    <w:rsid w:val="008B3008"/>
    <w:rsid w:val="008C32F2"/>
    <w:rsid w:val="008D146D"/>
    <w:rsid w:val="008D2F40"/>
    <w:rsid w:val="008D39AE"/>
    <w:rsid w:val="008E0BF4"/>
    <w:rsid w:val="008E714C"/>
    <w:rsid w:val="008F080E"/>
    <w:rsid w:val="00913DCC"/>
    <w:rsid w:val="009144EE"/>
    <w:rsid w:val="00914A8E"/>
    <w:rsid w:val="00921B9D"/>
    <w:rsid w:val="00922400"/>
    <w:rsid w:val="00925842"/>
    <w:rsid w:val="00926902"/>
    <w:rsid w:val="009336E7"/>
    <w:rsid w:val="00943181"/>
    <w:rsid w:val="0094606A"/>
    <w:rsid w:val="009465B0"/>
    <w:rsid w:val="0094750B"/>
    <w:rsid w:val="00960E56"/>
    <w:rsid w:val="0096401D"/>
    <w:rsid w:val="0096546E"/>
    <w:rsid w:val="00975996"/>
    <w:rsid w:val="009801BE"/>
    <w:rsid w:val="009807B3"/>
    <w:rsid w:val="0098261A"/>
    <w:rsid w:val="009A6DE0"/>
    <w:rsid w:val="009B2F0E"/>
    <w:rsid w:val="009C2DF2"/>
    <w:rsid w:val="009C3952"/>
    <w:rsid w:val="009C6708"/>
    <w:rsid w:val="009D43C5"/>
    <w:rsid w:val="009E1740"/>
    <w:rsid w:val="009E241F"/>
    <w:rsid w:val="009E624A"/>
    <w:rsid w:val="009E7715"/>
    <w:rsid w:val="009F49A9"/>
    <w:rsid w:val="009F4DC4"/>
    <w:rsid w:val="009F4EF8"/>
    <w:rsid w:val="009F61C0"/>
    <w:rsid w:val="00A028A6"/>
    <w:rsid w:val="00A13D0A"/>
    <w:rsid w:val="00A22C05"/>
    <w:rsid w:val="00A241A0"/>
    <w:rsid w:val="00A25AA7"/>
    <w:rsid w:val="00A32786"/>
    <w:rsid w:val="00A424AE"/>
    <w:rsid w:val="00A4510A"/>
    <w:rsid w:val="00A532A7"/>
    <w:rsid w:val="00A57B0E"/>
    <w:rsid w:val="00A60B6F"/>
    <w:rsid w:val="00A6355A"/>
    <w:rsid w:val="00A63BD6"/>
    <w:rsid w:val="00A677F5"/>
    <w:rsid w:val="00A7007F"/>
    <w:rsid w:val="00A74C09"/>
    <w:rsid w:val="00A8448D"/>
    <w:rsid w:val="00A850F4"/>
    <w:rsid w:val="00A855E1"/>
    <w:rsid w:val="00A90F02"/>
    <w:rsid w:val="00AA2036"/>
    <w:rsid w:val="00AA7948"/>
    <w:rsid w:val="00AB02C1"/>
    <w:rsid w:val="00AB7CDB"/>
    <w:rsid w:val="00AC0B1F"/>
    <w:rsid w:val="00AC43D5"/>
    <w:rsid w:val="00AC55FA"/>
    <w:rsid w:val="00AC702B"/>
    <w:rsid w:val="00AD0350"/>
    <w:rsid w:val="00AD4E5E"/>
    <w:rsid w:val="00AD6FD3"/>
    <w:rsid w:val="00AE4877"/>
    <w:rsid w:val="00AE572C"/>
    <w:rsid w:val="00AF273F"/>
    <w:rsid w:val="00AF790A"/>
    <w:rsid w:val="00B04368"/>
    <w:rsid w:val="00B0603D"/>
    <w:rsid w:val="00B076ED"/>
    <w:rsid w:val="00B1391D"/>
    <w:rsid w:val="00B14456"/>
    <w:rsid w:val="00B202AF"/>
    <w:rsid w:val="00B2436B"/>
    <w:rsid w:val="00B31F47"/>
    <w:rsid w:val="00B520AD"/>
    <w:rsid w:val="00B6143F"/>
    <w:rsid w:val="00B6509E"/>
    <w:rsid w:val="00B738F7"/>
    <w:rsid w:val="00B751D4"/>
    <w:rsid w:val="00B823C6"/>
    <w:rsid w:val="00B91843"/>
    <w:rsid w:val="00B963FA"/>
    <w:rsid w:val="00BA1998"/>
    <w:rsid w:val="00BA6CD4"/>
    <w:rsid w:val="00BB0069"/>
    <w:rsid w:val="00BB14EE"/>
    <w:rsid w:val="00BB7367"/>
    <w:rsid w:val="00BC404B"/>
    <w:rsid w:val="00BD1BD4"/>
    <w:rsid w:val="00BD5500"/>
    <w:rsid w:val="00BD6705"/>
    <w:rsid w:val="00BE389A"/>
    <w:rsid w:val="00BE3AF4"/>
    <w:rsid w:val="00BE4EB0"/>
    <w:rsid w:val="00BE5D5D"/>
    <w:rsid w:val="00BE697B"/>
    <w:rsid w:val="00BE7DF4"/>
    <w:rsid w:val="00BF2585"/>
    <w:rsid w:val="00C05995"/>
    <w:rsid w:val="00C11878"/>
    <w:rsid w:val="00C16C8F"/>
    <w:rsid w:val="00C1792E"/>
    <w:rsid w:val="00C202D5"/>
    <w:rsid w:val="00C22F98"/>
    <w:rsid w:val="00C27C85"/>
    <w:rsid w:val="00C329C1"/>
    <w:rsid w:val="00C33843"/>
    <w:rsid w:val="00C47841"/>
    <w:rsid w:val="00C553C7"/>
    <w:rsid w:val="00C578B6"/>
    <w:rsid w:val="00C70EBB"/>
    <w:rsid w:val="00C73B6D"/>
    <w:rsid w:val="00C73C26"/>
    <w:rsid w:val="00C75F31"/>
    <w:rsid w:val="00C80D8D"/>
    <w:rsid w:val="00C8291F"/>
    <w:rsid w:val="00C84F38"/>
    <w:rsid w:val="00C85724"/>
    <w:rsid w:val="00C85AF0"/>
    <w:rsid w:val="00C9460B"/>
    <w:rsid w:val="00C9518C"/>
    <w:rsid w:val="00CA20F8"/>
    <w:rsid w:val="00CA2345"/>
    <w:rsid w:val="00CA2993"/>
    <w:rsid w:val="00CA6872"/>
    <w:rsid w:val="00CA7FA4"/>
    <w:rsid w:val="00CB2AC5"/>
    <w:rsid w:val="00CB7E18"/>
    <w:rsid w:val="00CC14BA"/>
    <w:rsid w:val="00CC3C42"/>
    <w:rsid w:val="00CD0C86"/>
    <w:rsid w:val="00CD2F4C"/>
    <w:rsid w:val="00CD4ADA"/>
    <w:rsid w:val="00CE0E85"/>
    <w:rsid w:val="00CE3AA8"/>
    <w:rsid w:val="00CE3D12"/>
    <w:rsid w:val="00CE4D4F"/>
    <w:rsid w:val="00CE74D7"/>
    <w:rsid w:val="00CF58F4"/>
    <w:rsid w:val="00D00BCE"/>
    <w:rsid w:val="00D03FC2"/>
    <w:rsid w:val="00D06AFE"/>
    <w:rsid w:val="00D12F13"/>
    <w:rsid w:val="00D23C1F"/>
    <w:rsid w:val="00D330B5"/>
    <w:rsid w:val="00D45AA9"/>
    <w:rsid w:val="00D514FA"/>
    <w:rsid w:val="00D52B18"/>
    <w:rsid w:val="00D5610D"/>
    <w:rsid w:val="00D57D65"/>
    <w:rsid w:val="00D607E9"/>
    <w:rsid w:val="00D636D2"/>
    <w:rsid w:val="00D726E6"/>
    <w:rsid w:val="00D72DC2"/>
    <w:rsid w:val="00D84500"/>
    <w:rsid w:val="00D94288"/>
    <w:rsid w:val="00D9754C"/>
    <w:rsid w:val="00D97FDE"/>
    <w:rsid w:val="00DA21D0"/>
    <w:rsid w:val="00DA406E"/>
    <w:rsid w:val="00DA4777"/>
    <w:rsid w:val="00DA481B"/>
    <w:rsid w:val="00DA63BE"/>
    <w:rsid w:val="00DA7016"/>
    <w:rsid w:val="00DB44DA"/>
    <w:rsid w:val="00DB50E8"/>
    <w:rsid w:val="00DC18C0"/>
    <w:rsid w:val="00DC6514"/>
    <w:rsid w:val="00DD175B"/>
    <w:rsid w:val="00DD4A81"/>
    <w:rsid w:val="00DE1861"/>
    <w:rsid w:val="00DF2753"/>
    <w:rsid w:val="00DF4282"/>
    <w:rsid w:val="00DF62F2"/>
    <w:rsid w:val="00DF6CF2"/>
    <w:rsid w:val="00E00D5D"/>
    <w:rsid w:val="00E022F0"/>
    <w:rsid w:val="00E023A8"/>
    <w:rsid w:val="00E02F73"/>
    <w:rsid w:val="00E045AF"/>
    <w:rsid w:val="00E07B5E"/>
    <w:rsid w:val="00E16060"/>
    <w:rsid w:val="00E22D1C"/>
    <w:rsid w:val="00E22F50"/>
    <w:rsid w:val="00E3151E"/>
    <w:rsid w:val="00E54C69"/>
    <w:rsid w:val="00E55524"/>
    <w:rsid w:val="00E60983"/>
    <w:rsid w:val="00E61F0F"/>
    <w:rsid w:val="00E84486"/>
    <w:rsid w:val="00E84530"/>
    <w:rsid w:val="00E90D1F"/>
    <w:rsid w:val="00EA00EB"/>
    <w:rsid w:val="00EB1E9C"/>
    <w:rsid w:val="00EB442B"/>
    <w:rsid w:val="00EB50E7"/>
    <w:rsid w:val="00EB74EF"/>
    <w:rsid w:val="00EC5F3C"/>
    <w:rsid w:val="00EC729F"/>
    <w:rsid w:val="00ED1BC0"/>
    <w:rsid w:val="00ED1BEB"/>
    <w:rsid w:val="00ED1C1A"/>
    <w:rsid w:val="00ED5E42"/>
    <w:rsid w:val="00EE18CD"/>
    <w:rsid w:val="00EE2045"/>
    <w:rsid w:val="00EE3050"/>
    <w:rsid w:val="00EE710A"/>
    <w:rsid w:val="00EF37CC"/>
    <w:rsid w:val="00EF63F5"/>
    <w:rsid w:val="00F00B2D"/>
    <w:rsid w:val="00F1660E"/>
    <w:rsid w:val="00F2276A"/>
    <w:rsid w:val="00F270C5"/>
    <w:rsid w:val="00F307AC"/>
    <w:rsid w:val="00F41FB5"/>
    <w:rsid w:val="00F54B69"/>
    <w:rsid w:val="00F5538F"/>
    <w:rsid w:val="00F608CC"/>
    <w:rsid w:val="00F60C64"/>
    <w:rsid w:val="00F643C7"/>
    <w:rsid w:val="00F77DA9"/>
    <w:rsid w:val="00F80D59"/>
    <w:rsid w:val="00F831E1"/>
    <w:rsid w:val="00F87A64"/>
    <w:rsid w:val="00F924D5"/>
    <w:rsid w:val="00F9361A"/>
    <w:rsid w:val="00F96C80"/>
    <w:rsid w:val="00FC3F4A"/>
    <w:rsid w:val="00FC5C5C"/>
    <w:rsid w:val="00FC72E0"/>
    <w:rsid w:val="00FD0BBA"/>
    <w:rsid w:val="00FD10D9"/>
    <w:rsid w:val="00FD1499"/>
    <w:rsid w:val="00FE0CF4"/>
    <w:rsid w:val="00FE3C81"/>
    <w:rsid w:val="00FE785B"/>
    <w:rsid w:val="00FF0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538E6"/>
  <w15:chartTrackingRefBased/>
  <w15:docId w15:val="{DD84D92D-8152-42A5-AC39-422D3B2D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ListNumber"/>
    <w:next w:val="Normal"/>
    <w:link w:val="Heading1Char"/>
    <w:qFormat/>
    <w:rsid w:val="008E714C"/>
    <w:pPr>
      <w:keepNext/>
      <w:spacing w:before="240" w:after="60"/>
      <w:outlineLvl w:val="0"/>
    </w:pPr>
    <w:rPr>
      <w:b/>
      <w:bCs/>
      <w:kern w:val="32"/>
      <w:sz w:val="28"/>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7520F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BodyText">
    <w:name w:val="Body Text"/>
    <w:basedOn w:val="Normal"/>
    <w:pPr>
      <w:jc w:val="both"/>
    </w:pPr>
  </w:style>
  <w:style w:type="character" w:styleId="PageNumber">
    <w:name w:val="page number"/>
    <w:basedOn w:val="DefaultParagraphFont"/>
  </w:style>
  <w:style w:type="paragraph" w:styleId="Footer">
    <w:name w:val="footer"/>
    <w:basedOn w:val="Normal"/>
    <w:pPr>
      <w:tabs>
        <w:tab w:val="center" w:pos="4252"/>
        <w:tab w:val="right" w:pos="8504"/>
      </w:tabs>
    </w:pPr>
    <w:rPr>
      <w:szCs w:val="20"/>
    </w:rPr>
  </w:style>
  <w:style w:type="paragraph" w:customStyle="1" w:styleId="Textedebulles1">
    <w:name w:val="Texte de bulles1"/>
    <w:basedOn w:val="Normal"/>
    <w:semiHidden/>
    <w:rPr>
      <w:rFonts w:ascii="Tahoma" w:hAnsi="Tahoma" w:cs="Tahoma"/>
      <w:sz w:val="16"/>
      <w:szCs w:val="16"/>
    </w:rPr>
  </w:style>
  <w:style w:type="paragraph" w:styleId="BodyTextIndent">
    <w:name w:val="Body Text Indent"/>
    <w:basedOn w:val="Normal"/>
    <w:pPr>
      <w:ind w:left="540" w:hanging="540"/>
      <w:jc w:val="both"/>
    </w:pPr>
  </w:style>
  <w:style w:type="paragraph" w:customStyle="1" w:styleId="Textedebulles2">
    <w:name w:val="Texte de bulles2"/>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1A5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B26DA0"/>
    <w:rPr>
      <w:sz w:val="16"/>
      <w:szCs w:val="16"/>
      <w:lang w:val="en-GB" w:eastAsia="en-GB"/>
    </w:rPr>
  </w:style>
  <w:style w:type="paragraph" w:styleId="CommentText">
    <w:name w:val="annotation text"/>
    <w:basedOn w:val="Normal"/>
    <w:link w:val="CommentTextChar"/>
    <w:uiPriority w:val="99"/>
    <w:rsid w:val="00B26DA0"/>
    <w:rPr>
      <w:sz w:val="20"/>
      <w:szCs w:val="20"/>
    </w:rPr>
  </w:style>
  <w:style w:type="character" w:customStyle="1" w:styleId="CommentTextChar">
    <w:name w:val="Comment Text Char"/>
    <w:link w:val="CommentText"/>
    <w:uiPriority w:val="99"/>
    <w:rsid w:val="00B26DA0"/>
    <w:rPr>
      <w:lang w:val="en-GB" w:eastAsia="en-GB"/>
    </w:rPr>
  </w:style>
  <w:style w:type="paragraph" w:styleId="CommentSubject">
    <w:name w:val="annotation subject"/>
    <w:basedOn w:val="CommentText"/>
    <w:next w:val="CommentText"/>
    <w:link w:val="CommentSubjectChar"/>
    <w:rsid w:val="00B26DA0"/>
    <w:rPr>
      <w:b/>
      <w:bCs/>
    </w:rPr>
  </w:style>
  <w:style w:type="character" w:customStyle="1" w:styleId="CommentSubjectChar">
    <w:name w:val="Comment Subject Char"/>
    <w:link w:val="CommentSubject"/>
    <w:rsid w:val="00B26DA0"/>
    <w:rPr>
      <w:b/>
      <w:bCs/>
      <w:lang w:val="en-GB" w:eastAsia="en-GB"/>
    </w:rPr>
  </w:style>
  <w:style w:type="paragraph" w:styleId="ListParagraph">
    <w:name w:val="List Paragraph"/>
    <w:basedOn w:val="Normal"/>
    <w:uiPriority w:val="34"/>
    <w:qFormat/>
    <w:rsid w:val="00A715DA"/>
    <w:pPr>
      <w:widowControl w:val="0"/>
      <w:spacing w:after="200" w:line="276" w:lineRule="auto"/>
      <w:ind w:left="720"/>
      <w:contextualSpacing/>
    </w:pPr>
    <w:rPr>
      <w:rFonts w:ascii="Calibri" w:eastAsia="Calibri" w:hAnsi="Calibri"/>
      <w:sz w:val="22"/>
      <w:szCs w:val="22"/>
    </w:rPr>
  </w:style>
  <w:style w:type="character" w:styleId="Hyperlink">
    <w:name w:val="Hyperlink"/>
    <w:rsid w:val="00B405A5"/>
    <w:rPr>
      <w:color w:val="0563C1"/>
      <w:u w:val="single"/>
      <w:lang w:val="en-GB" w:eastAsia="en-GB"/>
    </w:rPr>
  </w:style>
  <w:style w:type="paragraph" w:customStyle="1" w:styleId="Bulletpoint1">
    <w:name w:val="Bullet point 1"/>
    <w:basedOn w:val="Normal"/>
    <w:link w:val="Bulletpoint1Char"/>
    <w:qFormat/>
    <w:rsid w:val="00CA20F8"/>
    <w:pPr>
      <w:numPr>
        <w:numId w:val="10"/>
      </w:numPr>
      <w:spacing w:after="120"/>
      <w:jc w:val="both"/>
    </w:pPr>
    <w:rPr>
      <w:rFonts w:eastAsia="MS Minngs"/>
      <w:kern w:val="24"/>
      <w:lang w:val="en-US" w:eastAsia="en-US"/>
    </w:rPr>
  </w:style>
  <w:style w:type="paragraph" w:customStyle="1" w:styleId="bulletpoint2">
    <w:name w:val="bullet point 2"/>
    <w:basedOn w:val="ListParagraph"/>
    <w:link w:val="bulletpoint2Char"/>
    <w:qFormat/>
    <w:rsid w:val="00CA20F8"/>
    <w:pPr>
      <w:widowControl/>
      <w:numPr>
        <w:ilvl w:val="1"/>
        <w:numId w:val="11"/>
      </w:numPr>
      <w:spacing w:after="0" w:line="240" w:lineRule="auto"/>
      <w:ind w:left="992" w:hanging="425"/>
    </w:pPr>
    <w:rPr>
      <w:rFonts w:ascii="Times New Roman" w:eastAsia="Times New Roman" w:hAnsi="Times New Roman"/>
      <w:sz w:val="24"/>
      <w:szCs w:val="20"/>
      <w:lang w:eastAsia="en-US"/>
    </w:rPr>
  </w:style>
  <w:style w:type="character" w:customStyle="1" w:styleId="Bulletpoint1Char">
    <w:name w:val="Bullet point 1 Char"/>
    <w:link w:val="Bulletpoint1"/>
    <w:rsid w:val="00CA20F8"/>
    <w:rPr>
      <w:rFonts w:eastAsia="MS Minngs"/>
      <w:kern w:val="24"/>
      <w:sz w:val="24"/>
      <w:szCs w:val="24"/>
      <w:lang w:val="en-US" w:eastAsia="en-US"/>
    </w:rPr>
  </w:style>
  <w:style w:type="paragraph" w:customStyle="1" w:styleId="bulletpoint3">
    <w:name w:val="bullet point 3"/>
    <w:basedOn w:val="bulletpoint2"/>
    <w:qFormat/>
    <w:rsid w:val="00CA20F8"/>
    <w:pPr>
      <w:numPr>
        <w:ilvl w:val="2"/>
      </w:numPr>
      <w:ind w:left="1701" w:hanging="425"/>
    </w:pPr>
  </w:style>
  <w:style w:type="character" w:customStyle="1" w:styleId="bulletpoint2Char">
    <w:name w:val="bullet point 2 Char"/>
    <w:link w:val="bulletpoint2"/>
    <w:rsid w:val="00CA20F8"/>
    <w:rPr>
      <w:sz w:val="24"/>
      <w:lang w:val="en-GB" w:eastAsia="en-US"/>
    </w:rPr>
  </w:style>
  <w:style w:type="paragraph" w:customStyle="1" w:styleId="SBH2">
    <w:name w:val="SBH2"/>
    <w:basedOn w:val="Normal"/>
    <w:link w:val="SBH2Char"/>
    <w:qFormat/>
    <w:rsid w:val="00CA20F8"/>
    <w:pPr>
      <w:spacing w:after="120"/>
      <w:jc w:val="both"/>
    </w:pPr>
    <w:rPr>
      <w:b/>
      <w:i/>
      <w:szCs w:val="20"/>
      <w:lang w:val="en-US" w:eastAsia="en-US"/>
    </w:rPr>
  </w:style>
  <w:style w:type="character" w:customStyle="1" w:styleId="SBH2Char">
    <w:name w:val="SBH2 Char"/>
    <w:link w:val="SBH2"/>
    <w:rsid w:val="00CA20F8"/>
    <w:rPr>
      <w:b/>
      <w:i/>
      <w:sz w:val="24"/>
      <w:lang w:val="en-US" w:eastAsia="en-US"/>
    </w:rPr>
  </w:style>
  <w:style w:type="character" w:customStyle="1" w:styleId="Heading3Char">
    <w:name w:val="Heading 3 Char"/>
    <w:link w:val="Heading3"/>
    <w:semiHidden/>
    <w:rsid w:val="007520FE"/>
    <w:rPr>
      <w:rFonts w:ascii="Cambria" w:eastAsia="Times New Roman" w:hAnsi="Cambria" w:cs="Times New Roman"/>
      <w:b/>
      <w:bCs/>
      <w:sz w:val="26"/>
      <w:szCs w:val="26"/>
      <w:lang w:val="en-GB" w:eastAsia="en-GB"/>
    </w:rPr>
  </w:style>
  <w:style w:type="paragraph" w:styleId="NormalWeb">
    <w:name w:val="Normal (Web)"/>
    <w:basedOn w:val="Normal"/>
    <w:uiPriority w:val="99"/>
    <w:unhideWhenUsed/>
    <w:rsid w:val="007520FE"/>
    <w:pPr>
      <w:spacing w:before="100" w:beforeAutospacing="1" w:after="100" w:afterAutospacing="1"/>
    </w:pPr>
    <w:rPr>
      <w:lang w:val="en-AU" w:eastAsia="en-AU"/>
    </w:rPr>
  </w:style>
  <w:style w:type="paragraph" w:customStyle="1" w:styleId="DocumentText">
    <w:name w:val="Document Text"/>
    <w:basedOn w:val="Normal"/>
    <w:link w:val="DocumentTextChar"/>
    <w:rsid w:val="00AC55FA"/>
    <w:pPr>
      <w:spacing w:after="240" w:line="300" w:lineRule="auto"/>
    </w:pPr>
    <w:rPr>
      <w:rFonts w:eastAsia="MS Minngs"/>
      <w:kern w:val="24"/>
      <w:lang w:val="en-US" w:eastAsia="en-US"/>
    </w:rPr>
  </w:style>
  <w:style w:type="table" w:customStyle="1" w:styleId="TableGridLight1">
    <w:name w:val="Table Grid Light1"/>
    <w:basedOn w:val="TableNormal"/>
    <w:uiPriority w:val="40"/>
    <w:rsid w:val="0073466F"/>
    <w:rPr>
      <w:rFonts w:ascii="Cambria" w:eastAsia="Cambria" w:hAnsi="Cambria"/>
      <w:sz w:val="24"/>
      <w:szCs w:val="24"/>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TableNormal"/>
    <w:next w:val="TableGrid"/>
    <w:uiPriority w:val="59"/>
    <w:rsid w:val="0073466F"/>
    <w:rPr>
      <w:rFonts w:ascii="Cambria" w:eastAsia="Cambria"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TextChar">
    <w:name w:val="Document Text Char"/>
    <w:link w:val="DocumentText"/>
    <w:rsid w:val="00E023A8"/>
    <w:rPr>
      <w:rFonts w:eastAsia="MS Minngs"/>
      <w:kern w:val="24"/>
      <w:sz w:val="24"/>
      <w:szCs w:val="24"/>
      <w:lang w:val="en-US" w:eastAsia="en-US"/>
    </w:rPr>
  </w:style>
  <w:style w:type="paragraph" w:styleId="Revision">
    <w:name w:val="Revision"/>
    <w:hidden/>
    <w:uiPriority w:val="99"/>
    <w:semiHidden/>
    <w:rsid w:val="008B0A56"/>
    <w:rPr>
      <w:sz w:val="24"/>
      <w:szCs w:val="24"/>
      <w:lang w:val="en-GB" w:eastAsia="en-GB"/>
    </w:rPr>
  </w:style>
  <w:style w:type="paragraph" w:styleId="NoSpacing">
    <w:name w:val="No Spacing"/>
    <w:next w:val="Normal"/>
    <w:uiPriority w:val="1"/>
    <w:qFormat/>
    <w:rsid w:val="007D72C6"/>
    <w:pPr>
      <w:jc w:val="both"/>
    </w:pPr>
    <w:rPr>
      <w:rFonts w:ascii="Calibri" w:eastAsia="Calibri" w:hAnsi="Calibri"/>
      <w:sz w:val="22"/>
      <w:szCs w:val="22"/>
      <w:lang w:eastAsia="en-US"/>
    </w:rPr>
  </w:style>
  <w:style w:type="paragraph" w:customStyle="1" w:styleId="PIHeading1">
    <w:name w:val="PI Heading 1"/>
    <w:basedOn w:val="Heading1"/>
    <w:next w:val="ListNumber"/>
    <w:link w:val="PIHeading1Char"/>
    <w:qFormat/>
    <w:rsid w:val="008E714C"/>
    <w:pPr>
      <w:widowControl w:val="0"/>
      <w:suppressLineNumbers/>
      <w:tabs>
        <w:tab w:val="left" w:pos="567"/>
      </w:tabs>
      <w:spacing w:line="260" w:lineRule="exact"/>
    </w:pPr>
    <w:rPr>
      <w:caps/>
      <w:noProof/>
      <w:sz w:val="24"/>
      <w:szCs w:val="22"/>
      <w:lang w:eastAsia="en-US"/>
    </w:rPr>
  </w:style>
  <w:style w:type="character" w:customStyle="1" w:styleId="PIHeading1Char">
    <w:name w:val="PI Heading 1 Char"/>
    <w:link w:val="PIHeading1"/>
    <w:rsid w:val="008E714C"/>
    <w:rPr>
      <w:rFonts w:eastAsia="Times New Roman" w:cs="Times New Roman"/>
      <w:b/>
      <w:bCs/>
      <w:caps/>
      <w:noProof/>
      <w:kern w:val="32"/>
      <w:sz w:val="24"/>
      <w:szCs w:val="22"/>
      <w:lang w:val="en-GB" w:eastAsia="en-US"/>
    </w:rPr>
  </w:style>
  <w:style w:type="paragraph" w:customStyle="1" w:styleId="Default">
    <w:name w:val="Default"/>
    <w:rsid w:val="00EB74EF"/>
    <w:pPr>
      <w:autoSpaceDE w:val="0"/>
      <w:autoSpaceDN w:val="0"/>
      <w:adjustRightInd w:val="0"/>
    </w:pPr>
    <w:rPr>
      <w:color w:val="000000"/>
      <w:sz w:val="24"/>
      <w:szCs w:val="24"/>
    </w:rPr>
  </w:style>
  <w:style w:type="character" w:customStyle="1" w:styleId="Heading1Char">
    <w:name w:val="Heading 1 Char"/>
    <w:link w:val="Heading1"/>
    <w:rsid w:val="008E714C"/>
    <w:rPr>
      <w:rFonts w:eastAsia="Times New Roman" w:cs="Times New Roman"/>
      <w:b/>
      <w:bCs/>
      <w:kern w:val="32"/>
      <w:sz w:val="28"/>
      <w:szCs w:val="32"/>
      <w:lang w:val="en-GB" w:eastAsia="en-GB"/>
    </w:rPr>
  </w:style>
  <w:style w:type="paragraph" w:styleId="ListNumber">
    <w:name w:val="List Number"/>
    <w:basedOn w:val="Normal"/>
    <w:rsid w:val="008E714C"/>
    <w:pPr>
      <w:numPr>
        <w:numId w:val="15"/>
      </w:numPr>
      <w:contextualSpacing/>
    </w:pPr>
  </w:style>
  <w:style w:type="table" w:customStyle="1" w:styleId="TableGrid2">
    <w:name w:val="Table Grid2"/>
    <w:basedOn w:val="TableNormal"/>
    <w:next w:val="TableGrid"/>
    <w:uiPriority w:val="59"/>
    <w:rsid w:val="00B1391D"/>
    <w:rPr>
      <w:rFonts w:ascii="Cambria" w:eastAsia="Cambria" w:hAnsi="Cambria"/>
      <w:sz w:val="22"/>
      <w:szCs w:val="22"/>
      <w:lang w:eastAsia="en-US"/>
    </w:rPr>
    <w:tblPr>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6772">
      <w:bodyDiv w:val="1"/>
      <w:marLeft w:val="0"/>
      <w:marRight w:val="0"/>
      <w:marTop w:val="0"/>
      <w:marBottom w:val="0"/>
      <w:divBdr>
        <w:top w:val="none" w:sz="0" w:space="0" w:color="auto"/>
        <w:left w:val="none" w:sz="0" w:space="0" w:color="auto"/>
        <w:bottom w:val="none" w:sz="0" w:space="0" w:color="auto"/>
        <w:right w:val="none" w:sz="0" w:space="0" w:color="auto"/>
      </w:divBdr>
      <w:divsChild>
        <w:div w:id="2062440811">
          <w:marLeft w:val="0"/>
          <w:marRight w:val="0"/>
          <w:marTop w:val="0"/>
          <w:marBottom w:val="0"/>
          <w:divBdr>
            <w:top w:val="none" w:sz="0" w:space="0" w:color="auto"/>
            <w:left w:val="none" w:sz="0" w:space="0" w:color="auto"/>
            <w:bottom w:val="none" w:sz="0" w:space="0" w:color="auto"/>
            <w:right w:val="none" w:sz="0" w:space="0" w:color="auto"/>
          </w:divBdr>
        </w:div>
      </w:divsChild>
    </w:div>
    <w:div w:id="55346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tga.gov.au/reporting-problem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s/australian-register-therapeutic-goods-artg/product-information-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Smi92</b:Tag>
    <b:SourceType>JournalArticle</b:SourceType>
    <b:Guid>{8EE8F790-2F17-4314-9240-29D765895CD4}</b:Guid>
    <b:Title>The effect of gondatrophin-releasing hormone agonist in the folliculalr phase on in-vitro fertilization outcome in normo-ovulatory women</b:Title>
    <b:JournalName>Hum Reprod</b:JournalName>
    <b:Year>1992</b:Year>
    <b:Pages>1098-1102</b:Pages>
    <b:Volume>7</b:Volume>
    <b:Author>
      <b:Author>
        <b:NameList>
          <b:Person>
            <b:Last>Smitz</b:Last>
            <b:First>J</b:First>
          </b:Person>
          <b:Person>
            <b:Last>Van Den Abeel</b:Last>
            <b:First>E</b:First>
          </b:Person>
          <b:Person>
            <b:Last>Bollen</b:Last>
            <b:First>N</b:First>
          </b:Person>
        </b:NameList>
      </b:Author>
    </b:Author>
    <b:RefOrder>255</b:RefOrder>
  </b:Source>
  <b:Source>
    <b:Tag>Moc96</b:Tag>
    <b:SourceType>JournalArticle</b:SourceType>
    <b:Guid>{1A82BBBA-AE94-4A27-A1F5-E28CBAFDC8F4}</b:Guid>
    <b:Title>Progesterone alone versus progesterone combined with HCG as luteal support in GnRHa/HMG induced IVF cycles: a randomized clinical trial</b:Title>
    <b:JournalName>Hum Reprod</b:JournalName>
    <b:Year>1996</b:Year>
    <b:Pages>1602-5</b:Pages>
    <b:Volume>11</b:Volume>
    <b:Author>
      <b:Author>
        <b:NameList>
          <b:Person>
            <b:Last>Mochtar</b:Last>
            <b:First>MH</b:First>
          </b:Person>
          <b:Person>
            <b:Last>Hogerzeil</b:Last>
            <b:First>HV</b:First>
          </b:Person>
          <b:Person>
            <b:Last>Mol</b:Last>
            <b:First>BW</b:First>
          </b:Person>
        </b:NameList>
      </b:Author>
    </b:Author>
    <b:RefOrder>256</b:RefOrder>
  </b:Source>
  <b:Source>
    <b:Tag>Chi97</b:Tag>
    <b:SourceType>JournalArticle</b:SourceType>
    <b:Guid>{170EC0CA-B0EA-4AEB-9EF5-68CF54AF11C4}</b:Guid>
    <b:Title>Randomized study on the use of vaginal vs. intramuscular progesterone in ICSI</b:Title>
    <b:Year>1997</b:Year>
    <b:Author>
      <b:Author>
        <b:NameList>
          <b:Person>
            <b:Last>Chillik</b:Last>
            <b:First>C</b:First>
          </b:Person>
          <b:Person>
            <b:Last>Agolti</b:Last>
            <b:First>G</b:First>
          </b:Person>
          <b:Person>
            <b:Last>Borghi</b:Last>
            <b:First>M</b:First>
          </b:Person>
          <b:Person>
            <b:Last>Brugo</b:Last>
            <b:First>S</b:First>
          </b:Person>
          <b:Person>
            <b:Last>Estofan</b:Last>
            <b:First>D</b:First>
          </b:Person>
          <b:Person>
            <b:Last>Fiszbain</b:Last>
            <b:First>G</b:First>
          </b:Person>
          <b:Person>
            <b:Last>Garcea</b:Last>
            <b:First>M</b:First>
          </b:Person>
          <b:Person>
            <b:Last>Nodar</b:Last>
            <b:First>F</b:First>
          </b:Person>
          <b:Person>
            <b:Last>Papier</b:Last>
            <b:First>S</b:First>
          </b:Person>
          <b:Person>
            <b:Last>Ruhlmanny</b:Last>
            <b:First>C</b:First>
          </b:Person>
        </b:NameList>
      </b:Author>
    </b:Author>
    <b:RefOrder>257</b:RefOrder>
  </b:Source>
  <b:Source>
    <b:Tag>Fri99</b:Tag>
    <b:SourceType>JournalArticle</b:SourceType>
    <b:Guid>{CE90B91B-8EAD-4550-9F6A-592B6674ADCC}</b:Guid>
    <b:Title>Luteal support with micronized progesterone following in-vitro fertilization using a down-regulation protocol with gonadotrophin-releasing hormone agonist: a comparative study between vaginal and oral administration</b:Title>
    <b:JournalName>Hum Reprod</b:JournalName>
    <b:Year>1999</b:Year>
    <b:Pages>1944-48</b:Pages>
    <b:Volume>14</b:Volume>
    <b:Author>
      <b:Author>
        <b:NameList>
          <b:Person>
            <b:Last>Friedler</b:Last>
            <b:First>S</b:First>
          </b:Person>
          <b:Person>
            <b:Last>Raziel</b:Last>
            <b:First>A</b:First>
          </b:Person>
          <b:Person>
            <b:Last>Schachter</b:Last>
            <b:First>M</b:First>
          </b:Person>
          <b:Person>
            <b:Last>Strassburger</b:Last>
            <b:First>D</b:First>
          </b:Person>
          <b:Person>
            <b:Last>Bukovsky</b:Last>
            <b:First>I</b:First>
          </b:Person>
          <b:Person>
            <b:Last>Ron-El</b:Last>
            <b:First>R</b:First>
          </b:Person>
        </b:NameList>
      </b:Author>
    </b:Author>
    <b:RefOrder>258</b:RefOrder>
  </b:Source>
  <b:Source>
    <b:Tag>Lig99</b:Tag>
    <b:SourceType>JournalArticle</b:SourceType>
    <b:Guid>{A712A85B-FE7F-4E4F-9B16-B454FF88F026}</b:Guid>
    <b:Title>A prospective randomized study comparing intramuscular with intravaginal natural progesterone in programmed thaw cycles</b:Title>
    <b:JournalName>Hum Reprod</b:JournalName>
    <b:Year>1999</b:Year>
    <b:Pages>2596-99</b:Pages>
    <b:Volume>14</b:Volume>
    <b:Author>
      <b:Author>
        <b:NameList>
          <b:Person>
            <b:Last>Lightman</b:Last>
            <b:First>A</b:First>
          </b:Person>
          <b:Person>
            <b:Last>Kol</b:Last>
            <b:First>S</b:First>
          </b:Person>
          <b:Person>
            <b:Last>Itskovitz-Eldor</b:Last>
            <b:First>J</b:First>
          </b:Person>
        </b:NameList>
      </b:Author>
    </b:Author>
    <b:RefOrder>259</b:RefOrder>
  </b:Source>
  <b:Source>
    <b:Tag>Wil01</b:Tag>
    <b:SourceType>JournalArticle</b:SourceType>
    <b:Guid>{FDD2A889-1B10-4746-B396-CAEE3C7E8F6A}</b:Guid>
    <b:Title>Delaying the initiation of progesterone supplementation results in decreased pregnancy rates after in vitro fertilization: a randomized, prospective study</b:Title>
    <b:JournalName>Fertil Steril</b:JournalName>
    <b:Year>2001</b:Year>
    <b:Pages>1140-3</b:Pages>
    <b:Volume>76</b:Volume>
    <b:Author>
      <b:Author>
        <b:NameList>
          <b:Person>
            <b:Last>Williams</b:Last>
            <b:First>SC</b:First>
          </b:Person>
          <b:Person>
            <b:Last>Oehninger</b:Last>
            <b:First>S</b:First>
          </b:Person>
          <b:Person>
            <b:Last>Gibbons</b:Last>
            <b:First>WE</b:First>
          </b:Person>
          <b:Person>
            <b:Last>Van Cleave</b:Last>
            <b:First>WC</b:First>
          </b:Person>
          <b:Person>
            <b:Last>Muasher</b:Last>
            <b:First>SJ</b:First>
          </b:Person>
        </b:NameList>
      </b:Author>
    </b:Author>
    <b:RefOrder>260</b:RefOrder>
  </b:Source>
  <b:Source>
    <b:Tag>Lud02</b:Tag>
    <b:SourceType>JournalArticle</b:SourceType>
    <b:Guid>{B44DEEA6-63E7-4CB8-85F8-82E6E96A3D62}</b:Guid>
    <b:Title>Luteal phase support using either Crinone 8% or Utrogest: results of a prospective, randomized study.</b:Title>
    <b:JournalName>Eur J Obstet Gynecol Reprod Biol</b:JournalName>
    <b:Year>2002</b:Year>
    <b:Pages>48-52</b:Pages>
    <b:Volume>103</b:Volume>
    <b:Author>
      <b:Author>
        <b:NameList>
          <b:Person>
            <b:Last>Ludwig</b:Last>
            <b:First>M</b:First>
          </b:Person>
          <b:Person>
            <b:Last>Schwartz</b:Last>
            <b:First>P</b:First>
          </b:Person>
          <b:Person>
            <b:Last>Babahan</b:Last>
            <b:First>B</b:First>
          </b:Person>
        </b:NameList>
      </b:Author>
    </b:Author>
    <b:RefOrder>261</b:RefOrder>
  </b:Source>
  <b:Source>
    <b:Tag>Gor04</b:Tag>
    <b:SourceType>JournalArticle</b:SourceType>
    <b:Guid>{1C353698-9345-458F-B044-DFE8FA70E4B8}</b:Guid>
    <b:Title>Comparison of pregnancy outcomes of progesterone or progesterone + estradiol for luteal phase support in ICSI-ET cycles</b:Title>
    <b:JournalName>Gynecol Obstet Invest</b:JournalName>
    <b:Year>2004</b:Year>
    <b:Pages>140-4</b:Pages>
    <b:Volume>58</b:Volume>
    <b:Author>
      <b:Author>
        <b:NameList>
          <b:Person>
            <b:Last>Gorkemli</b:Last>
            <b:First>H</b:First>
          </b:Person>
          <b:Person>
            <b:Last>Ak</b:Last>
            <b:First>D</b:First>
          </b:Person>
          <b:Person>
            <b:Last>Akyurek</b:Last>
            <b:First>C</b:First>
          </b:Person>
          <b:Person>
            <b:Last>Aktan</b:Last>
            <b:First>M</b:First>
          </b:Person>
          <b:Person>
            <b:Last>Duman</b:Last>
            <b:First>S</b:First>
          </b:Person>
        </b:NameList>
      </b:Author>
    </b:Author>
    <b:RefOrder>262</b:RefOrder>
  </b:Source>
  <b:Source>
    <b:Tag>Kle05</b:Tag>
    <b:SourceType>JournalArticle</b:SourceType>
    <b:Guid>{FE1D48EA-C601-4EA1-A20C-317313B77287}</b:Guid>
    <b:Title>Efficacy and tolerability of vaginal progesterone capsules (Utrogest 200) compared with progesterone gel (Crinone 8%) for luteal phase support during assisted reproductive reproduction</b:Title>
    <b:JournalName>Fertil Steril</b:JournalName>
    <b:Year>2005</b:Year>
    <b:Pages>1641-49</b:Pages>
    <b:Author>
      <b:Author>
        <b:NameList>
          <b:Person>
            <b:Last>Kleinstein</b:Last>
            <b:First>J</b:First>
          </b:Person>
        </b:NameList>
      </b:Author>
    </b:Author>
    <b:Volume>83</b:Volume>
    <b:RefOrder>263</b:RefOrder>
  </b:Source>
  <b:Source>
    <b:Tag>Fat06</b:Tag>
    <b:SourceType>JournalArticle</b:SourceType>
    <b:Guid>{6C3B4B1D-52E7-4BF1-A0CE-2C9374ADE40F}</b:Guid>
    <b:Title>Addition of estradiol to progesterone for luteal supplementation in patients stimulated with GnRH antagonist/rFSH for IVF: a randomized controlled trial</b:Title>
    <b:JournalName>Hum Reprod</b:JournalName>
    <b:Year>2006</b:Year>
    <b:Pages>2628-32</b:Pages>
    <b:Volume>21</b:Volume>
    <b:Author>
      <b:Author>
        <b:NameList>
          <b:Person>
            <b:Last>Fatemi</b:Last>
            <b:First>HM</b:First>
          </b:Person>
          <b:Person>
            <b:Last>Kolibianakis</b:Last>
            <b:First>EM</b:First>
          </b:Person>
          <b:Person>
            <b:Last>Camus</b:Last>
            <b:First>M</b:First>
          </b:Person>
        </b:NameList>
      </b:Author>
    </b:Author>
    <b:RefOrder>264</b:RefOrder>
  </b:Source>
  <b:Source>
    <b:Tag>Sim072</b:Tag>
    <b:SourceType>JournalArticle</b:SourceType>
    <b:Guid>{9EF31705-DFB0-4761-86C3-52A5DA090844}</b:Guid>
    <b:Title>Comparative study of the efficacy and tolerability of two vaginal progesterone formulations, Crinone 8% gel and Utrogestan capsules, used for luteal support</b:Title>
    <b:JournalName>Fertil Steril</b:JournalName>
    <b:Year>2007</b:Year>
    <b:Pages>83-87</b:Pages>
    <b:Volume>87</b:Volume>
    <b:Author>
      <b:Author>
        <b:NameList>
          <b:Person>
            <b:Last>Simunic</b:Last>
            <b:First>V</b:First>
          </b:Person>
          <b:Person>
            <b:Last>Tomic</b:Last>
            <b:First>J</b:First>
          </b:Person>
          <b:Person>
            <b:Last>Nizic</b:Last>
            <b:First>D</b:First>
          </b:Person>
        </b:NameList>
      </b:Author>
    </b:Author>
    <b:RefOrder>265</b:RefOrder>
  </b:Source>
  <b:Source>
    <b:Tag>Geb07</b:Tag>
    <b:SourceType>JournalArticle</b:SourceType>
    <b:Guid>{A7CD46A7-F587-4DAF-8270-26402B3AC572}</b:Guid>
    <b:Title>Comparison between two forms of vaginally administered progesterone for luteal phase support in assisted reproduction cycles</b:Title>
    <b:JournalName>Reprod Biomed Online</b:JournalName>
    <b:Year>2007</b:Year>
    <b:Pages>155-8</b:Pages>
    <b:Volume>14</b:Volume>
    <b:Author>
      <b:Author>
        <b:NameList>
          <b:Person>
            <b:Last>Geber</b:Last>
            <b:First>S</b:First>
          </b:Person>
          <b:Person>
            <b:Last>Moreira</b:Last>
            <b:First>AC</b:First>
          </b:Person>
          <b:Person>
            <b:Last>de Paula</b:Last>
            <b:First>SO</b:First>
          </b:Person>
          <b:Person>
            <b:Last>Sampaio</b:Last>
            <b:First>M</b:First>
          </b:Person>
        </b:NameList>
      </b:Author>
    </b:Author>
    <b:RefOrder>266</b:RefOrder>
  </b:Source>
  <b:Source>
    <b:Tag>Mui08</b:Tag>
    <b:SourceType>JournalArticle</b:SourceType>
    <b:Guid>{C12233AE-2619-4480-B7CD-F6CFCDA7F3A6}</b:Guid>
    <b:Title>Effects of early luteal-phase vaginal progesterone supplementation on the outcome of in vitro fertilization</b:Title>
    <b:JournalName>Gynecol Endocrinol</b:JournalName>
    <b:Year>2008</b:Year>
    <b:Pages>674-80</b:Pages>
    <b:Volume>24</b:Volume>
    <b:Author>
      <b:Author>
        <b:NameList>
          <b:Person>
            <b:Last>Mui Lam</b:Last>
            <b:First>P</b:First>
          </b:Person>
          <b:Person>
            <b:Last>Chun Cheung</b:Last>
            <b:First>M</b:First>
          </b:Person>
          <b:Person>
            <b:Last>Ping Cheung</b:Last>
            <b:First>L</b:First>
          </b:Person>
          <b:Person>
            <b:Last>Ingrid Lok</b:Last>
            <b:First>H</b:First>
          </b:Person>
          <b:Person>
            <b:Last>John Haines</b:Last>
            <b:First>C</b:First>
          </b:Person>
        </b:NameList>
      </b:Author>
    </b:Author>
    <b:RefOrder>267</b:RefOrder>
  </b:Source>
  <b:Source>
    <b:Tag>Lan08</b:Tag>
    <b:SourceType>JournalArticle</b:SourceType>
    <b:Guid>{1C0D82E3-B476-4792-8888-8BBD0E3C3EF6}</b:Guid>
    <b:Title>Progesterone supplementation during cryopreserved embryo transfer cycles: efficacy and convenience of two vaginal formulations</b:Title>
    <b:JournalName>Reprod Biomed Online</b:JournalName>
    <b:Year>2008</b:Year>
    <b:Pages>318-323</b:Pages>
    <b:Volume>17</b:Volume>
    <b:Author>
      <b:Author>
        <b:NameList>
          <b:Person>
            <b:Last>Lan</b:Last>
            <b:First>VT</b:First>
          </b:Person>
          <b:Person>
            <b:Last>Tuan</b:Last>
            <b:First>PH</b:First>
          </b:Person>
          <b:Person>
            <b:Last>Canh</b:Last>
            <b:First>LT</b:First>
          </b:Person>
          <b:Person>
            <b:Last>Tuong</b:Last>
            <b:First>HM</b:First>
          </b:Person>
          <b:Person>
            <b:Last>Howles</b:Last>
            <b:First>CM</b:First>
          </b:Person>
        </b:NameList>
      </b:Author>
    </b:Author>
    <b:RefOrder>268</b:RefOrder>
  </b:Source>
  <b:Source>
    <b:Tag>Wan09</b:Tag>
    <b:SourceType>JournalArticle</b:SourceType>
    <b:Guid>{E5AE7ED3-DFFC-4B8D-96B0-4D626272D6A9}</b:Guid>
    <b:Title>Comparison of the efficacy of two vaginal progesterone formulations, Crinone 8% gel and Utrogestan capsules, used for luteal support in blastocyst stage embryo transfers</b:Title>
    <b:JournalName>Taiwan J Obstet Gynecol</b:JournalName>
    <b:Year>2009</b:Year>
    <b:Pages>375-9</b:Pages>
    <b:Volume>48</b:Volume>
    <b:Author>
      <b:Author>
        <b:NameList>
          <b:Person>
            <b:Last>Wang</b:Last>
            <b:First>LJ</b:First>
          </b:Person>
          <b:Person>
            <b:Last>Huang</b:Last>
            <b:First>FJ</b:First>
          </b:Person>
          <b:Person>
            <b:Last>Kung</b:Last>
            <b:First>FT</b:First>
          </b:Person>
          <b:Person>
            <b:Last>Lin</b:Last>
            <b:First>PY</b:First>
          </b:Person>
          <b:Person>
            <b:Last>Chang</b:Last>
            <b:First>SY</b:First>
          </b:Person>
          <b:Person>
            <b:Last>Lan</b:Last>
            <b:First>KC</b:First>
          </b:Person>
        </b:NameList>
      </b:Author>
    </b:Author>
    <b:RefOrder>269</b:RefOrder>
  </b:Source>
  <b:Source>
    <b:Tag>Cha11</b:Tag>
    <b:SourceType>JournalArticle</b:SourceType>
    <b:Guid>{4FEB1E9F-421E-4C77-9E63-6A6AFFDA0B01}</b:Guid>
    <b:Title>Use of the natural cycle and vitrification thawed blastocyst transfer results in better in-vitro fertilization outcomes: cycles regimens of vitrification thawed blastocyst transfer</b:Title>
    <b:JournalName>J Assist Reprod Genet</b:JournalName>
    <b:Year>2011</b:Year>
    <b:Pages>369-74</b:Pages>
    <b:Volume>28</b:Volume>
    <b:Author>
      <b:Author>
        <b:NameList>
          <b:Person>
            <b:Last>Chang</b:Last>
            <b:First>EM</b:First>
          </b:Person>
          <b:Person>
            <b:Last>Han</b:Last>
            <b:First>JE</b:First>
          </b:Person>
          <b:Person>
            <b:Last>Kim</b:Last>
            <b:First>YS</b:First>
          </b:Person>
          <b:Person>
            <b:Last>Lyu</b:Last>
            <b:First>SW</b:First>
          </b:Person>
          <b:Person>
            <b:Last>Lee</b:Last>
            <b:First>WS</b:First>
          </b:Person>
          <b:Person>
            <b:Last>Yoon</b:Last>
            <b:First>TK</b:First>
          </b:Person>
        </b:NameList>
      </b:Author>
    </b:Author>
    <b:RefOrder>270</b:RefOrder>
  </b:Source>
  <b:Source>
    <b:Tag>Bju11</b:Tag>
    <b:SourceType>JournalArticle</b:SourceType>
    <b:Guid>{194A5D76-2A78-4068-98B4-84A70B1F3855}</b:Guid>
    <b:Title>Luteal phase progesterone increases live birth rate after frozen embryo transfer</b:Title>
    <b:JournalName>Fertil Steril</b:JournalName>
    <b:Year>2011</b:Year>
    <b:Pages>534-7</b:Pages>
    <b:Volume>95</b:Volume>
    <b:Author>
      <b:Author>
        <b:NameList>
          <b:Person>
            <b:Last>Bjuresten</b:Last>
            <b:First>K</b:First>
          </b:Person>
          <b:Person>
            <b:Last>Landgren</b:Last>
            <b:First>BM</b:First>
          </b:Person>
          <b:Person>
            <b:Last>Hovatta</b:Last>
            <b:First>O</b:First>
          </b:Person>
          <b:Person>
            <b:Last>Stavreus-Evers</b:Last>
            <b:First>A</b:First>
          </b:Person>
        </b:NameList>
      </b:Author>
    </b:Author>
    <b:RefOrder>271</b:RefOrder>
  </b:Source>
  <b:Source>
    <b:Tag>Gan11</b:Tag>
    <b:SourceType>JournalArticle</b:SourceType>
    <b:Guid>{867E9C5C-6F7C-4E8A-A4E7-43CDD74F5DD4}</b:Guid>
    <b:Title>Comparison of oral dydrogesterone with progesterone gel and micronized progesterone for luteal support in 1373 women undergoing in vitro fertilization: a randomized clinical study</b:Title>
    <b:JournalName>Fertil Steril</b:JournalName>
    <b:Year>2011</b:Year>
    <b:Pages>1961-65</b:Pages>
    <b:Volume>95</b:Volume>
    <b:Author>
      <b:Author>
        <b:NameList>
          <b:Person>
            <b:Last>Ganesh</b:Last>
            <b:First>A</b:First>
          </b:Person>
          <b:Person>
            <b:Last>Chakravorty</b:Last>
            <b:First>N</b:First>
          </b:Person>
          <b:Person>
            <b:Last>Mukherjee</b:Last>
            <b:First>R</b:First>
          </b:Person>
          <b:Person>
            <b:Last>Goswami</b:Last>
            <b:First>S</b:First>
          </b:Person>
          <b:Person>
            <b:Last>Chaudhury</b:Last>
            <b:First>K</b:First>
          </b:Person>
          <b:Person>
            <b:Last>Chakravarty</b:Last>
            <b:First>B</b:First>
          </b:Person>
        </b:NameList>
      </b:Author>
    </b:Author>
    <b:RefOrder>272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CD4E65842D469A429474DC408262B134" ma:contentTypeVersion="8" ma:contentTypeDescription="Create a new document." ma:contentTypeScope="" ma:versionID="6b7fb314f7758ffa761ee1528ce3f93f">
  <xsd:schema xmlns:xsd="http://www.w3.org/2001/XMLSchema" xmlns:xs="http://www.w3.org/2001/XMLSchema" xmlns:p="http://schemas.microsoft.com/office/2006/metadata/properties" xmlns:ns2="89b15a63-38c8-4eea-9abd-342bc08182bf" xmlns:ns3="3e1aaea5-0fcd-4400-8b2f-fe3903c1dab1" targetNamespace="http://schemas.microsoft.com/office/2006/metadata/properties" ma:root="true" ma:fieldsID="77881f60641ccb7851f69812a007d5f2" ns2:_="" ns3:_="">
    <xsd:import namespace="89b15a63-38c8-4eea-9abd-342bc08182bf"/>
    <xsd:import namespace="3e1aaea5-0fcd-4400-8b2f-fe3903c1da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15a63-38c8-4eea-9abd-342bc0818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aaea5-0fcd-4400-8b2f-fe3903c1da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074B3-C413-4535-AB75-D0D4D154393B}">
  <ds:schemaRefs>
    <ds:schemaRef ds:uri="http://schemas.openxmlformats.org/officeDocument/2006/bibliography"/>
  </ds:schemaRefs>
</ds:datastoreItem>
</file>

<file path=customXml/itemProps2.xml><?xml version="1.0" encoding="utf-8"?>
<ds:datastoreItem xmlns:ds="http://schemas.openxmlformats.org/officeDocument/2006/customXml" ds:itemID="{17C6F807-DCA9-4B4B-BC31-379302C68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15a63-38c8-4eea-9abd-342bc08182bf"/>
    <ds:schemaRef ds:uri="3e1aaea5-0fcd-4400-8b2f-fe3903c1d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868DAD-7084-4130-B464-6B2E27208B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0849EA-86B6-482D-803C-A0FB59D7E1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6040</Words>
  <Characters>34640</Characters>
  <Application>Microsoft Office Word</Application>
  <DocSecurity>0</DocSecurity>
  <Lines>679</Lines>
  <Paragraphs>328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40352</CharactersWithSpaces>
  <SharedDoc>false</SharedDoc>
  <HLinks>
    <vt:vector size="6" baseType="variant">
      <vt:variant>
        <vt:i4>5570626</vt:i4>
      </vt:variant>
      <vt:variant>
        <vt:i4>0</vt:i4>
      </vt:variant>
      <vt:variant>
        <vt:i4>0</vt:i4>
      </vt:variant>
      <vt:variant>
        <vt:i4>5</vt:i4>
      </vt:variant>
      <vt:variant>
        <vt:lpwstr>https://www.tga.gov.au/reporting-problems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Utrogestan 200</dc:title>
  <dc:subject/>
  <dc:creator>RWS MTD</dc:creator>
  <cp:keywords/>
  <cp:lastModifiedBy>PITKIN, Brendan</cp:lastModifiedBy>
  <cp:revision>5</cp:revision>
  <cp:lastPrinted>2019-06-28T13:31:00Z</cp:lastPrinted>
  <dcterms:created xsi:type="dcterms:W3CDTF">2022-02-25T07:13:00Z</dcterms:created>
  <dcterms:modified xsi:type="dcterms:W3CDTF">2022-12-08T02:17:00Z</dcterms:modified>
</cp:coreProperties>
</file>