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D659" w14:textId="13AE1D78" w:rsidR="0025679D" w:rsidRDefault="0025679D" w:rsidP="0025679D">
      <w:pPr>
        <w:pStyle w:val="CLDNormal"/>
        <w:rPr>
          <w:rFonts w:eastAsiaTheme="minorHAnsi"/>
          <w:lang w:val="en-AU"/>
        </w:rPr>
      </w:pPr>
      <w:r w:rsidRPr="002F5236">
        <w:rPr>
          <w:rFonts w:asciiTheme="minorHAnsi" w:eastAsiaTheme="minorHAnsi" w:hAnsiTheme="minorHAnsi"/>
          <w:noProof/>
          <w:lang w:val="en-AU" w:eastAsia="en-AU"/>
        </w:rPr>
        <mc:AlternateContent>
          <mc:Choice Requires="wps">
            <w:drawing>
              <wp:inline distT="0" distB="0" distL="0" distR="0" wp14:anchorId="78ADCAA7" wp14:editId="3E445CF5">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38175" w14:textId="77777777" w:rsidR="0025679D" w:rsidRPr="00BE2A26" w:rsidRDefault="0025679D" w:rsidP="0025679D">
                            <w:pPr>
                              <w:spacing w:after="0"/>
                              <w:rPr>
                                <w:rFonts w:ascii="Wingdings 3" w:hAnsi="Wingdings 3" w:hint="eastAsia"/>
                              </w:rPr>
                            </w:pPr>
                            <w:r w:rsidRPr="00BE2A26">
                              <w:rPr>
                                <w:rFonts w:ascii="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8ADCAA7"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GZKlrvUBAADeAwAADgAAAAAAAAAAAAAAAAAuAgAAZHJzL2Uy&#10;b0RvYy54bWxQSwECLQAUAAYACAAAACEAY/VODNkAAAADAQAADwAAAAAAAAAAAAAAAABPBAAAZHJz&#10;L2Rvd25yZXYueG1sUEsFBgAAAAAEAAQA8wAAAFUFAAAAAA==&#10;" stroked="f">
                <v:textbox inset="0,0,0,0">
                  <w:txbxContent>
                    <w:p w14:paraId="71738175" w14:textId="77777777" w:rsidR="0025679D" w:rsidRPr="00BE2A26" w:rsidRDefault="0025679D" w:rsidP="0025679D">
                      <w:pPr>
                        <w:spacing w:after="0"/>
                        <w:rPr>
                          <w:rFonts w:ascii="Wingdings 3" w:hAnsi="Wingdings 3" w:hint="eastAsia"/>
                        </w:rPr>
                      </w:pPr>
                      <w:r w:rsidRPr="00BE2A26">
                        <w:rPr>
                          <w:rFonts w:ascii="SimSun" w:hAnsi="SimSun" w:cs="Arial" w:hint="eastAsia"/>
                          <w:sz w:val="40"/>
                        </w:rPr>
                        <w:t>▼</w:t>
                      </w:r>
                    </w:p>
                  </w:txbxContent>
                </v:textbox>
                <w10:anchorlock/>
              </v:shape>
            </w:pict>
          </mc:Fallback>
        </mc:AlternateContent>
      </w:r>
      <w:r w:rsidRPr="002F5236">
        <w:rPr>
          <w:rFonts w:eastAsiaTheme="minorHAnsi"/>
          <w:lang w:val="en-AU"/>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2F5236">
          <w:rPr>
            <w:rFonts w:eastAsiaTheme="minorHAnsi"/>
            <w:color w:val="0000FF" w:themeColor="hyperlink"/>
            <w:u w:val="single"/>
            <w:lang w:val="en-AU"/>
          </w:rPr>
          <w:t>www.tga.gov.au/reporting-problems</w:t>
        </w:r>
      </w:hyperlink>
      <w:r w:rsidRPr="002F5236">
        <w:rPr>
          <w:rFonts w:eastAsiaTheme="minorHAnsi"/>
          <w:lang w:val="en-AU"/>
        </w:rPr>
        <w:t>.</w:t>
      </w:r>
      <w:r w:rsidRPr="00D01328">
        <w:rPr>
          <w:rFonts w:eastAsiaTheme="minorHAnsi"/>
          <w:lang w:val="en-AU"/>
        </w:rPr>
        <w:t>&gt;</w:t>
      </w:r>
    </w:p>
    <w:p w14:paraId="48E1E4D3" w14:textId="255D2B10" w:rsidR="004F3539" w:rsidRPr="00281B9F" w:rsidRDefault="001B5F02" w:rsidP="00226236">
      <w:pPr>
        <w:pStyle w:val="Subtitle"/>
      </w:pPr>
      <w:r w:rsidRPr="00281B9F">
        <w:t xml:space="preserve">AUSTRALIAN </w:t>
      </w:r>
      <w:r w:rsidR="004F3539" w:rsidRPr="00281B9F">
        <w:t>PRODUCT INFORMATION</w:t>
      </w:r>
    </w:p>
    <w:p w14:paraId="1D144AD8" w14:textId="53E3A4C3" w:rsidR="00E51764" w:rsidRPr="00281B9F" w:rsidRDefault="008C3392" w:rsidP="00226236">
      <w:pPr>
        <w:pStyle w:val="Title"/>
        <w:rPr>
          <w:sz w:val="32"/>
          <w:szCs w:val="32"/>
        </w:rPr>
      </w:pPr>
      <w:r>
        <w:rPr>
          <w:sz w:val="32"/>
          <w:szCs w:val="32"/>
        </w:rPr>
        <w:t>NGENLA</w:t>
      </w:r>
      <w:r w:rsidR="004F3539" w:rsidRPr="00281B9F">
        <w:rPr>
          <w:sz w:val="32"/>
          <w:szCs w:val="32"/>
          <w:vertAlign w:val="superscript"/>
        </w:rPr>
        <w:sym w:font="Symbol" w:char="F0D2"/>
      </w:r>
      <w:r w:rsidR="004F3539" w:rsidRPr="00281B9F">
        <w:rPr>
          <w:sz w:val="32"/>
          <w:szCs w:val="32"/>
        </w:rPr>
        <w:t xml:space="preserve"> </w:t>
      </w:r>
      <w:r w:rsidR="00A34A0F">
        <w:rPr>
          <w:sz w:val="32"/>
          <w:szCs w:val="32"/>
        </w:rPr>
        <w:t xml:space="preserve">solution </w:t>
      </w:r>
      <w:r w:rsidR="00E51764" w:rsidRPr="00281B9F">
        <w:rPr>
          <w:sz w:val="32"/>
          <w:szCs w:val="32"/>
        </w:rPr>
        <w:t>for injection</w:t>
      </w:r>
    </w:p>
    <w:p w14:paraId="35328836" w14:textId="77777777" w:rsidR="004F3539" w:rsidRPr="00281B9F" w:rsidRDefault="001B5F02" w:rsidP="00B52D7C">
      <w:pPr>
        <w:pStyle w:val="CLDHeading1"/>
      </w:pPr>
      <w:r w:rsidRPr="00281B9F">
        <w:t xml:space="preserve">1. </w:t>
      </w:r>
      <w:r w:rsidR="004F3539" w:rsidRPr="00281B9F">
        <w:t>NAME</w:t>
      </w:r>
      <w:r w:rsidR="00390C02" w:rsidRPr="00281B9F">
        <w:t xml:space="preserve"> OF THE MEDICINE</w:t>
      </w:r>
    </w:p>
    <w:p w14:paraId="6EA04599" w14:textId="3B32D2A9" w:rsidR="004F3539" w:rsidRPr="00281B9F" w:rsidRDefault="004F3539" w:rsidP="00B52D7C">
      <w:pPr>
        <w:tabs>
          <w:tab w:val="left" w:pos="720"/>
          <w:tab w:val="left" w:pos="2275"/>
          <w:tab w:val="left" w:pos="3876"/>
          <w:tab w:val="left" w:pos="5616"/>
          <w:tab w:val="left" w:pos="6336"/>
        </w:tabs>
        <w:suppressAutoHyphens/>
        <w:rPr>
          <w:b/>
          <w:szCs w:val="24"/>
        </w:rPr>
      </w:pPr>
      <w:proofErr w:type="spellStart"/>
      <w:r w:rsidRPr="00281B9F">
        <w:rPr>
          <w:szCs w:val="24"/>
        </w:rPr>
        <w:t>Somatro</w:t>
      </w:r>
      <w:r w:rsidR="00283E69">
        <w:rPr>
          <w:szCs w:val="24"/>
        </w:rPr>
        <w:t>gon</w:t>
      </w:r>
      <w:proofErr w:type="spellEnd"/>
      <w:r w:rsidRPr="00281B9F">
        <w:rPr>
          <w:szCs w:val="24"/>
        </w:rPr>
        <w:t>.</w:t>
      </w:r>
    </w:p>
    <w:p w14:paraId="159AF173" w14:textId="77777777" w:rsidR="001B5F02" w:rsidRPr="00281B9F" w:rsidRDefault="001B5F02" w:rsidP="00226236">
      <w:pPr>
        <w:pStyle w:val="CLDHeading1"/>
      </w:pPr>
      <w:r w:rsidRPr="00281B9F">
        <w:t>2.</w:t>
      </w:r>
      <w:r w:rsidRPr="00281B9F">
        <w:tab/>
        <w:t>QUALITATIVE AND QUANTITATIVE COMPOSITION</w:t>
      </w:r>
    </w:p>
    <w:p w14:paraId="4610A023" w14:textId="6F700CAE" w:rsidR="001B5F02" w:rsidRPr="00BA01CD" w:rsidRDefault="00283E69" w:rsidP="00BA01CD">
      <w:pPr>
        <w:tabs>
          <w:tab w:val="left" w:pos="720"/>
          <w:tab w:val="left" w:pos="2275"/>
          <w:tab w:val="left" w:pos="3876"/>
          <w:tab w:val="left" w:pos="5616"/>
          <w:tab w:val="left" w:pos="6336"/>
        </w:tabs>
        <w:suppressAutoHyphens/>
        <w:rPr>
          <w:rFonts w:eastAsia="TimesNewRoman"/>
        </w:rPr>
      </w:pPr>
      <w:r>
        <w:rPr>
          <w:rFonts w:eastAsia="TimesNewRoman"/>
        </w:rPr>
        <w:t xml:space="preserve">Each prefilled pen </w:t>
      </w:r>
      <w:r w:rsidR="005F7EB5" w:rsidRPr="00281B9F">
        <w:rPr>
          <w:rFonts w:eastAsia="TimesNewRoman"/>
        </w:rPr>
        <w:t xml:space="preserve">contains </w:t>
      </w:r>
      <w:r>
        <w:rPr>
          <w:rFonts w:eastAsia="TimesNewRoman"/>
        </w:rPr>
        <w:t xml:space="preserve">24 mg or 60 mg </w:t>
      </w:r>
      <w:proofErr w:type="spellStart"/>
      <w:r>
        <w:rPr>
          <w:rFonts w:eastAsia="TimesNewRoman"/>
        </w:rPr>
        <w:t>somatrogon</w:t>
      </w:r>
      <w:proofErr w:type="spellEnd"/>
      <w:r w:rsidR="00711DF2" w:rsidRPr="00281B9F">
        <w:rPr>
          <w:rFonts w:eastAsia="TimesNewRoman"/>
        </w:rPr>
        <w:t>.</w:t>
      </w:r>
    </w:p>
    <w:p w14:paraId="06DC375C" w14:textId="14607B94" w:rsidR="001B5F02" w:rsidRPr="00281B9F" w:rsidRDefault="001B5F02" w:rsidP="00226236">
      <w:pPr>
        <w:tabs>
          <w:tab w:val="left" w:pos="720"/>
          <w:tab w:val="left" w:pos="2275"/>
          <w:tab w:val="left" w:pos="3876"/>
          <w:tab w:val="left" w:pos="5616"/>
          <w:tab w:val="left" w:pos="6336"/>
        </w:tabs>
        <w:suppressAutoHyphens/>
        <w:rPr>
          <w:spacing w:val="-2"/>
          <w:lang w:val="en-US"/>
        </w:rPr>
      </w:pPr>
      <w:r w:rsidRPr="00281B9F">
        <w:rPr>
          <w:rFonts w:eastAsia="TimesNewRoman"/>
        </w:rPr>
        <w:t xml:space="preserve">For the full list of excipients, see Section 6.1 </w:t>
      </w:r>
      <w:r w:rsidR="007C0682">
        <w:rPr>
          <w:rFonts w:eastAsia="TimesNewRoman"/>
        </w:rPr>
        <w:t>L</w:t>
      </w:r>
      <w:r w:rsidRPr="00281B9F">
        <w:rPr>
          <w:rFonts w:eastAsia="TimesNewRoman"/>
        </w:rPr>
        <w:t>ist of excipients.</w:t>
      </w:r>
    </w:p>
    <w:p w14:paraId="49447354" w14:textId="77777777" w:rsidR="001B5F02" w:rsidRPr="00281B9F" w:rsidRDefault="001B5F02" w:rsidP="00226236">
      <w:pPr>
        <w:pStyle w:val="CLDHeading1"/>
      </w:pPr>
      <w:r w:rsidRPr="00281B9F">
        <w:t>3.</w:t>
      </w:r>
      <w:r w:rsidRPr="00281B9F">
        <w:tab/>
        <w:t>PHARMACEUTICAL FORM</w:t>
      </w:r>
    </w:p>
    <w:p w14:paraId="166E9B61" w14:textId="75BD40BE" w:rsidR="007C0682" w:rsidRPr="007C0682" w:rsidRDefault="00116C24" w:rsidP="007C0682">
      <w:pPr>
        <w:tabs>
          <w:tab w:val="left" w:pos="720"/>
          <w:tab w:val="left" w:pos="2275"/>
          <w:tab w:val="left" w:pos="3876"/>
          <w:tab w:val="left" w:pos="5616"/>
          <w:tab w:val="left" w:pos="6336"/>
        </w:tabs>
        <w:suppressAutoHyphens/>
        <w:rPr>
          <w:rFonts w:eastAsia="TimesNewRoman"/>
        </w:rPr>
      </w:pPr>
      <w:r>
        <w:rPr>
          <w:rFonts w:eastAsia="TimesNewRoman"/>
        </w:rPr>
        <w:t>A</w:t>
      </w:r>
      <w:r w:rsidR="007C0682" w:rsidRPr="007C0682">
        <w:rPr>
          <w:rFonts w:eastAsia="TimesNewRoman"/>
        </w:rPr>
        <w:t xml:space="preserve"> colo</w:t>
      </w:r>
      <w:r w:rsidR="007C0682">
        <w:rPr>
          <w:rFonts w:eastAsia="TimesNewRoman"/>
        </w:rPr>
        <w:t>u</w:t>
      </w:r>
      <w:r w:rsidR="007C0682" w:rsidRPr="007C0682">
        <w:rPr>
          <w:rFonts w:eastAsia="TimesNewRoman"/>
        </w:rPr>
        <w:t xml:space="preserve">rless to slightly </w:t>
      </w:r>
      <w:r w:rsidR="00E84000" w:rsidRPr="007C0682">
        <w:rPr>
          <w:rFonts w:eastAsia="TimesNewRoman"/>
        </w:rPr>
        <w:t>light-yellow</w:t>
      </w:r>
      <w:r w:rsidR="007C0682" w:rsidRPr="007C0682">
        <w:rPr>
          <w:rFonts w:eastAsia="TimesNewRoman"/>
        </w:rPr>
        <w:t xml:space="preserve"> solution for injection available as:  </w:t>
      </w:r>
    </w:p>
    <w:p w14:paraId="2C4B9A8D" w14:textId="7869B8FF" w:rsidR="007C0682" w:rsidRPr="007C0682" w:rsidRDefault="007C0682" w:rsidP="00775C80">
      <w:pPr>
        <w:tabs>
          <w:tab w:val="left" w:pos="284"/>
          <w:tab w:val="left" w:pos="2275"/>
          <w:tab w:val="left" w:pos="3876"/>
          <w:tab w:val="left" w:pos="5616"/>
          <w:tab w:val="left" w:pos="6336"/>
        </w:tabs>
        <w:suppressAutoHyphens/>
        <w:spacing w:after="0"/>
        <w:ind w:left="142" w:hanging="142"/>
        <w:rPr>
          <w:rFonts w:eastAsia="TimesNewRoman"/>
        </w:rPr>
      </w:pPr>
      <w:r w:rsidRPr="007C0682">
        <w:rPr>
          <w:rFonts w:eastAsia="TimesNewRoman"/>
        </w:rPr>
        <w:t>•</w:t>
      </w:r>
      <w:r w:rsidRPr="007C0682">
        <w:rPr>
          <w:rFonts w:eastAsia="TimesNewRoman"/>
        </w:rPr>
        <w:tab/>
        <w:t>Single-patient-use disposable prefilled pen containing 24 mg/ 1.2 mL that delivers a dose in 0.2 mg increments</w:t>
      </w:r>
      <w:r w:rsidR="00116C24">
        <w:rPr>
          <w:rFonts w:eastAsia="TimesNewRoman"/>
        </w:rPr>
        <w:t>.</w:t>
      </w:r>
    </w:p>
    <w:p w14:paraId="7E4A40E8" w14:textId="0AEB1822" w:rsidR="007C0682" w:rsidRPr="007C0682" w:rsidRDefault="007C0682" w:rsidP="00A9604A">
      <w:pPr>
        <w:tabs>
          <w:tab w:val="left" w:pos="284"/>
          <w:tab w:val="left" w:pos="2275"/>
          <w:tab w:val="left" w:pos="3876"/>
          <w:tab w:val="left" w:pos="5616"/>
          <w:tab w:val="left" w:pos="6336"/>
        </w:tabs>
        <w:suppressAutoHyphens/>
        <w:ind w:left="142" w:hanging="142"/>
        <w:rPr>
          <w:rFonts w:eastAsia="TimesNewRoman"/>
        </w:rPr>
      </w:pPr>
      <w:r w:rsidRPr="007C0682">
        <w:rPr>
          <w:rFonts w:eastAsia="TimesNewRoman"/>
        </w:rPr>
        <w:t>•</w:t>
      </w:r>
      <w:r w:rsidR="00775C80">
        <w:rPr>
          <w:rFonts w:eastAsia="TimesNewRoman"/>
        </w:rPr>
        <w:t xml:space="preserve"> </w:t>
      </w:r>
      <w:r w:rsidRPr="007C0682">
        <w:rPr>
          <w:rFonts w:eastAsia="TimesNewRoman"/>
        </w:rPr>
        <w:t>Single-patient-use disposable prefilled pen containing 60 mg/ 1.2 mL that delivers a dose in 0.5 mg increments</w:t>
      </w:r>
      <w:r w:rsidR="00116C24">
        <w:rPr>
          <w:rFonts w:eastAsia="TimesNewRoman"/>
        </w:rPr>
        <w:t>.</w:t>
      </w:r>
    </w:p>
    <w:p w14:paraId="62092C1D" w14:textId="57D5EF7D" w:rsidR="001B5F02" w:rsidRDefault="007C0682" w:rsidP="007C0682">
      <w:pPr>
        <w:tabs>
          <w:tab w:val="left" w:pos="720"/>
          <w:tab w:val="left" w:pos="2275"/>
          <w:tab w:val="left" w:pos="3876"/>
          <w:tab w:val="left" w:pos="5616"/>
          <w:tab w:val="left" w:pos="6336"/>
        </w:tabs>
        <w:suppressAutoHyphens/>
        <w:rPr>
          <w:rFonts w:eastAsia="TimesNewRoman"/>
        </w:rPr>
      </w:pPr>
      <w:r w:rsidRPr="007C0682">
        <w:rPr>
          <w:rFonts w:eastAsia="TimesNewRoman"/>
        </w:rPr>
        <w:t>The prefilled pen is capable of setting and delivering a dose, which is variable, and is determined based on patient body weight.</w:t>
      </w:r>
    </w:p>
    <w:p w14:paraId="45517703" w14:textId="5F34AB19" w:rsidR="00E21918" w:rsidRPr="00281B9F" w:rsidRDefault="008C3392" w:rsidP="007C0682">
      <w:pPr>
        <w:tabs>
          <w:tab w:val="left" w:pos="720"/>
          <w:tab w:val="left" w:pos="2275"/>
          <w:tab w:val="left" w:pos="3876"/>
          <w:tab w:val="left" w:pos="5616"/>
          <w:tab w:val="left" w:pos="6336"/>
        </w:tabs>
        <w:suppressAutoHyphens/>
        <w:rPr>
          <w:rFonts w:eastAsia="TimesNewRoman"/>
        </w:rPr>
      </w:pPr>
      <w:bookmarkStart w:id="0" w:name="_Hlk75948979"/>
      <w:r>
        <w:t>NGENLA</w:t>
      </w:r>
      <w:bookmarkEnd w:id="0"/>
      <w:r w:rsidR="00E21918">
        <w:rPr>
          <w:rFonts w:eastAsia="TimesNewRoman"/>
        </w:rPr>
        <w:t xml:space="preserve"> has a pH of approximately 6.6.</w:t>
      </w:r>
    </w:p>
    <w:p w14:paraId="14EE4322" w14:textId="77777777" w:rsidR="001B5F02" w:rsidRPr="00281B9F" w:rsidRDefault="001B5F02" w:rsidP="00226236">
      <w:pPr>
        <w:pStyle w:val="CLDHeading1"/>
      </w:pPr>
      <w:r w:rsidRPr="00281B9F">
        <w:t>4.</w:t>
      </w:r>
      <w:r w:rsidRPr="00281B9F">
        <w:tab/>
        <w:t>CLINICAL PARTICULARS</w:t>
      </w:r>
    </w:p>
    <w:p w14:paraId="139226BA" w14:textId="77777777" w:rsidR="001B5F02" w:rsidRPr="00281B9F" w:rsidRDefault="001B5F02" w:rsidP="00226236">
      <w:pPr>
        <w:pStyle w:val="CLDHeading2"/>
      </w:pPr>
      <w:r w:rsidRPr="00281B9F">
        <w:t>4.1</w:t>
      </w:r>
      <w:r w:rsidRPr="00281B9F">
        <w:tab/>
        <w:t>Therapeutic indications</w:t>
      </w:r>
    </w:p>
    <w:p w14:paraId="68E469F6" w14:textId="56C9EFDE" w:rsidR="001B5F02" w:rsidRPr="00281B9F" w:rsidRDefault="008C3392" w:rsidP="00226236">
      <w:r>
        <w:t>NGENLA</w:t>
      </w:r>
      <w:r w:rsidR="00283E69">
        <w:t xml:space="preserve"> is indicated for the long</w:t>
      </w:r>
      <w:r w:rsidR="0099762D">
        <w:t>-</w:t>
      </w:r>
      <w:r w:rsidR="00283E69">
        <w:t xml:space="preserve">term treatment of paediatric patients with growth disturbance </w:t>
      </w:r>
      <w:r w:rsidR="001B5F02" w:rsidRPr="00281B9F">
        <w:t xml:space="preserve">due to </w:t>
      </w:r>
      <w:r w:rsidR="00283E69">
        <w:t xml:space="preserve">insufficient </w:t>
      </w:r>
      <w:r w:rsidR="001B5F02" w:rsidRPr="00281B9F">
        <w:t>secretion of growth hormone.</w:t>
      </w:r>
    </w:p>
    <w:p w14:paraId="59BFB6FB" w14:textId="77777777" w:rsidR="001B5F02" w:rsidRPr="00281B9F" w:rsidRDefault="001B5F02" w:rsidP="00226236">
      <w:pPr>
        <w:pStyle w:val="CLDHeading2"/>
      </w:pPr>
      <w:r w:rsidRPr="00281B9F">
        <w:t>4.2</w:t>
      </w:r>
      <w:r w:rsidRPr="00281B9F">
        <w:tab/>
        <w:t>Dose and method of administration</w:t>
      </w:r>
    </w:p>
    <w:p w14:paraId="16A52D21" w14:textId="77777777" w:rsidR="00A32B03" w:rsidRDefault="0080662A" w:rsidP="00226236">
      <w:r>
        <w:t xml:space="preserve">The recommended dose is 0.66 mg/kg body weight administered once weekly by </w:t>
      </w:r>
      <w:r w:rsidR="001B5F02" w:rsidRPr="00281B9F">
        <w:t xml:space="preserve">subcutaneous </w:t>
      </w:r>
      <w:r w:rsidR="00FA61F3">
        <w:t xml:space="preserve">(SC) </w:t>
      </w:r>
      <w:r w:rsidR="001B5F02" w:rsidRPr="00281B9F">
        <w:t xml:space="preserve">injection. </w:t>
      </w:r>
      <w:r w:rsidR="00B932D3" w:rsidRPr="00A0420B">
        <w:t>For patients switching from daily growth hormone products, weekly therapy with N</w:t>
      </w:r>
      <w:r w:rsidR="00B932D3">
        <w:t>GENLA</w:t>
      </w:r>
      <w:r w:rsidR="00B932D3" w:rsidRPr="00A0420B">
        <w:t xml:space="preserve"> may be initiated at a dose of 0.66 mg/kg/week on the day following their last daily injection. </w:t>
      </w:r>
    </w:p>
    <w:p w14:paraId="1BC88FDE" w14:textId="04B8C469" w:rsidR="00744D79" w:rsidRDefault="00B932D3" w:rsidP="00226236">
      <w:r w:rsidRPr="00A0420B">
        <w:rPr>
          <w:rFonts w:cs="Calibri"/>
        </w:rPr>
        <w:lastRenderedPageBreak/>
        <w:t>Regular monitoring of Insulin-like Growth Factor-1 (IGF-1) concentrations is recommended during treatment with N</w:t>
      </w:r>
      <w:r w:rsidR="00744D79">
        <w:rPr>
          <w:rFonts w:cs="Calibri"/>
        </w:rPr>
        <w:t>GENLA</w:t>
      </w:r>
      <w:r w:rsidRPr="00A0420B">
        <w:rPr>
          <w:rFonts w:cs="Calibri"/>
        </w:rPr>
        <w:t xml:space="preserve">. </w:t>
      </w:r>
      <w:r w:rsidR="00744D79">
        <w:t>When monitoring for IGF-1, samples should always be drawn 4 days after the prior dose. The target IGF-1 standard deviation score (SDS) should be the upper normal range not exceeding 2 SDS</w:t>
      </w:r>
      <w:r w:rsidR="00EC331F">
        <w:t>.</w:t>
      </w:r>
    </w:p>
    <w:p w14:paraId="77B5D3F4" w14:textId="7D9B74DC" w:rsidR="00744D79" w:rsidRDefault="004F01F3" w:rsidP="00744D79">
      <w:pPr>
        <w:tabs>
          <w:tab w:val="left" w:pos="-97"/>
          <w:tab w:val="left" w:pos="0"/>
          <w:tab w:val="left" w:pos="173"/>
          <w:tab w:val="left" w:pos="2880"/>
        </w:tabs>
        <w:spacing w:after="0"/>
        <w:rPr>
          <w:rFonts w:cs="Calibri"/>
          <w:szCs w:val="24"/>
        </w:rPr>
      </w:pPr>
      <w:r>
        <w:t>NGENLA dosage may be adjusted as necessary, based on growth velocity, body weight and serum insulin-like growth factor 1 (IGF-1) concentration.</w:t>
      </w:r>
      <w:r w:rsidR="00744D79">
        <w:t xml:space="preserve"> </w:t>
      </w:r>
      <w:r w:rsidR="00744D79" w:rsidRPr="00A0420B">
        <w:rPr>
          <w:rFonts w:cs="Calibri"/>
          <w:szCs w:val="24"/>
        </w:rPr>
        <w:t>In patients whose blood IGF-1 concentrations exceed the mean reference value for their age and sex by more than 2 SDS, the dose of N</w:t>
      </w:r>
      <w:r w:rsidR="00744D79">
        <w:rPr>
          <w:rFonts w:cs="Calibri"/>
          <w:szCs w:val="24"/>
        </w:rPr>
        <w:t>GENLA</w:t>
      </w:r>
      <w:r w:rsidR="00744D79" w:rsidRPr="00A0420B">
        <w:rPr>
          <w:rFonts w:cs="Calibri"/>
          <w:szCs w:val="24"/>
        </w:rPr>
        <w:t xml:space="preserve"> should be reduced by 15%. More than one dose reduction may be required in some patients.</w:t>
      </w:r>
    </w:p>
    <w:p w14:paraId="4FDF1FB8" w14:textId="3DD0C32A" w:rsidR="00744D79" w:rsidRDefault="00744D79" w:rsidP="00744D79">
      <w:pPr>
        <w:tabs>
          <w:tab w:val="left" w:pos="-97"/>
          <w:tab w:val="left" w:pos="0"/>
          <w:tab w:val="left" w:pos="173"/>
          <w:tab w:val="left" w:pos="2880"/>
        </w:tabs>
        <w:spacing w:after="0"/>
        <w:rPr>
          <w:rFonts w:cs="Calibri"/>
          <w:szCs w:val="24"/>
        </w:rPr>
      </w:pPr>
    </w:p>
    <w:p w14:paraId="6E773BD9" w14:textId="6DA4F6E5" w:rsidR="00744D79" w:rsidRPr="00A0420B" w:rsidRDefault="00744D79" w:rsidP="00744D79">
      <w:pPr>
        <w:tabs>
          <w:tab w:val="left" w:pos="-97"/>
          <w:tab w:val="left" w:pos="0"/>
          <w:tab w:val="left" w:pos="173"/>
          <w:tab w:val="left" w:pos="2880"/>
        </w:tabs>
        <w:spacing w:after="0"/>
        <w:rPr>
          <w:rFonts w:cs="Calibri"/>
          <w:szCs w:val="24"/>
        </w:rPr>
      </w:pPr>
      <w:r w:rsidRPr="00A0420B">
        <w:rPr>
          <w:rFonts w:cs="Calibri"/>
          <w:szCs w:val="24"/>
        </w:rPr>
        <w:t>Monitor growth rate closely during the first year of N</w:t>
      </w:r>
      <w:r>
        <w:rPr>
          <w:rFonts w:cs="Calibri"/>
          <w:szCs w:val="24"/>
        </w:rPr>
        <w:t>GENLA</w:t>
      </w:r>
      <w:r w:rsidRPr="00A0420B">
        <w:rPr>
          <w:rFonts w:cs="Calibri"/>
          <w:szCs w:val="24"/>
        </w:rPr>
        <w:t xml:space="preserve"> treatment. If a patient</w:t>
      </w:r>
      <w:r w:rsidR="00BE7EE9">
        <w:rPr>
          <w:rFonts w:cs="Calibri"/>
          <w:szCs w:val="24"/>
        </w:rPr>
        <w:t>’</w:t>
      </w:r>
      <w:r w:rsidRPr="00A0420B">
        <w:rPr>
          <w:rFonts w:cs="Calibri"/>
          <w:szCs w:val="24"/>
        </w:rPr>
        <w:t>s</w:t>
      </w:r>
      <w:r>
        <w:rPr>
          <w:rFonts w:cs="Calibri"/>
          <w:szCs w:val="24"/>
        </w:rPr>
        <w:t xml:space="preserve"> </w:t>
      </w:r>
      <w:r w:rsidRPr="00A0420B">
        <w:rPr>
          <w:rFonts w:cs="Calibri"/>
          <w:szCs w:val="24"/>
        </w:rPr>
        <w:t>growth rate fails to increase in the first year, assess for treatment adherence and other causes of growth failure (</w:t>
      </w:r>
      <w:proofErr w:type="gramStart"/>
      <w:r w:rsidRPr="00A0420B">
        <w:rPr>
          <w:rFonts w:cs="Calibri"/>
          <w:szCs w:val="24"/>
        </w:rPr>
        <w:t>e.g.</w:t>
      </w:r>
      <w:proofErr w:type="gramEnd"/>
      <w:r w:rsidRPr="00A0420B">
        <w:rPr>
          <w:rFonts w:cs="Calibri"/>
          <w:szCs w:val="24"/>
        </w:rPr>
        <w:t xml:space="preserve"> hypothyroidism, undernutrition, advanced bone age) and consider discontinuation of N</w:t>
      </w:r>
      <w:r>
        <w:rPr>
          <w:rFonts w:cs="Calibri"/>
          <w:szCs w:val="24"/>
        </w:rPr>
        <w:t>GENLA</w:t>
      </w:r>
      <w:r w:rsidRPr="00A0420B">
        <w:rPr>
          <w:rFonts w:cs="Calibri"/>
          <w:szCs w:val="24"/>
        </w:rPr>
        <w:t xml:space="preserve"> treatment.</w:t>
      </w:r>
    </w:p>
    <w:p w14:paraId="0CDBFCA0" w14:textId="6F3FD6BC" w:rsidR="00744D79" w:rsidRDefault="00744D79" w:rsidP="00744D79">
      <w:pPr>
        <w:tabs>
          <w:tab w:val="left" w:pos="-97"/>
          <w:tab w:val="left" w:pos="0"/>
          <w:tab w:val="left" w:pos="173"/>
          <w:tab w:val="left" w:pos="2880"/>
        </w:tabs>
        <w:spacing w:after="0"/>
        <w:rPr>
          <w:rFonts w:cs="Calibri"/>
          <w:szCs w:val="24"/>
        </w:rPr>
      </w:pPr>
    </w:p>
    <w:p w14:paraId="7F1DE181" w14:textId="321F3198" w:rsidR="00744D79" w:rsidRDefault="00744D79" w:rsidP="00744D79">
      <w:pPr>
        <w:tabs>
          <w:tab w:val="left" w:pos="-97"/>
          <w:tab w:val="left" w:pos="0"/>
          <w:tab w:val="left" w:pos="173"/>
          <w:tab w:val="left" w:pos="2880"/>
        </w:tabs>
        <w:spacing w:after="0"/>
        <w:rPr>
          <w:rFonts w:cs="Calibri"/>
          <w:szCs w:val="24"/>
        </w:rPr>
      </w:pPr>
      <w:r>
        <w:rPr>
          <w:rFonts w:cs="Calibri"/>
          <w:szCs w:val="24"/>
        </w:rPr>
        <w:t>Treatment should be discontinued when there is evidence of closure of the epiphyseal growth plates.</w:t>
      </w:r>
    </w:p>
    <w:p w14:paraId="71BE6810" w14:textId="30AB1178" w:rsidR="00744D79" w:rsidRDefault="00744D79" w:rsidP="00744D79">
      <w:pPr>
        <w:tabs>
          <w:tab w:val="left" w:pos="-97"/>
          <w:tab w:val="left" w:pos="0"/>
          <w:tab w:val="left" w:pos="173"/>
          <w:tab w:val="left" w:pos="2880"/>
        </w:tabs>
        <w:spacing w:after="0"/>
        <w:rPr>
          <w:rFonts w:cs="Calibri"/>
          <w:szCs w:val="24"/>
        </w:rPr>
      </w:pPr>
    </w:p>
    <w:p w14:paraId="2DC9F28D" w14:textId="618AA632" w:rsidR="00744D79" w:rsidRDefault="00744D79" w:rsidP="00744D79">
      <w:pPr>
        <w:tabs>
          <w:tab w:val="left" w:pos="-97"/>
          <w:tab w:val="left" w:pos="0"/>
          <w:tab w:val="left" w:pos="173"/>
          <w:tab w:val="left" w:pos="2880"/>
        </w:tabs>
        <w:spacing w:after="0"/>
        <w:rPr>
          <w:rFonts w:cs="Calibri"/>
          <w:szCs w:val="24"/>
        </w:rPr>
      </w:pPr>
      <w:r>
        <w:rPr>
          <w:rFonts w:cs="Calibri"/>
          <w:szCs w:val="24"/>
        </w:rPr>
        <w:t>There is no clinical trial experience with doses of NGENLA above a dose of 0.66 mg/kg/week.</w:t>
      </w:r>
    </w:p>
    <w:p w14:paraId="5CE2CD2D" w14:textId="77777777" w:rsidR="00A32B03" w:rsidRDefault="00A32B03" w:rsidP="00A32B03">
      <w:pPr>
        <w:spacing w:after="0"/>
      </w:pPr>
    </w:p>
    <w:p w14:paraId="747A6EC9" w14:textId="5EB83C01" w:rsidR="00744D79" w:rsidRDefault="00744D79" w:rsidP="00744D79">
      <w:r>
        <w:t>NGENLA</w:t>
      </w:r>
      <w:r w:rsidRPr="006523C4">
        <w:t xml:space="preserve"> </w:t>
      </w:r>
      <w:r>
        <w:t xml:space="preserve">must not be given by any other route of administration </w:t>
      </w:r>
      <w:r w:rsidRPr="006523C4">
        <w:t>in</w:t>
      </w:r>
      <w:r>
        <w:t xml:space="preserve">cluding intravenous (IV) or </w:t>
      </w:r>
      <w:r w:rsidRPr="006523C4">
        <w:t>intramuscular</w:t>
      </w:r>
      <w:r>
        <w:t xml:space="preserve"> (IM) injection.</w:t>
      </w:r>
    </w:p>
    <w:p w14:paraId="253A218A" w14:textId="22067BD5" w:rsidR="0080662A" w:rsidRDefault="008C3392" w:rsidP="00226236">
      <w:r>
        <w:t>NGENLA</w:t>
      </w:r>
      <w:r w:rsidR="0080662A" w:rsidRPr="00281B9F">
        <w:t xml:space="preserve"> </w:t>
      </w:r>
      <w:r w:rsidR="0080662A">
        <w:t xml:space="preserve">can be given in the abdomen, thighs, buttocks, or upper arms. </w:t>
      </w:r>
      <w:r w:rsidR="0080662A" w:rsidRPr="00281B9F">
        <w:t xml:space="preserve">The injection site should be </w:t>
      </w:r>
      <w:r w:rsidR="0080662A">
        <w:t>rotated weekly</w:t>
      </w:r>
      <w:r w:rsidR="0080662A" w:rsidRPr="00281B9F">
        <w:t>.</w:t>
      </w:r>
      <w:r w:rsidR="0080662A">
        <w:t xml:space="preserve"> If more than one injection is required to deliver a complete dose, each injection should be administered at a different injection site.</w:t>
      </w:r>
    </w:p>
    <w:p w14:paraId="73A77A92" w14:textId="4F93A435" w:rsidR="0080662A" w:rsidRDefault="0080662A" w:rsidP="00226236">
      <w:r>
        <w:t xml:space="preserve">Administer </w:t>
      </w:r>
      <w:r w:rsidR="008C3392">
        <w:t>NGENLA</w:t>
      </w:r>
      <w:r>
        <w:t xml:space="preserve"> once weekly, on the same day each week, at any time of the day. The day of weekly administration can be </w:t>
      </w:r>
      <w:proofErr w:type="gramStart"/>
      <w:r>
        <w:t>changed</w:t>
      </w:r>
      <w:proofErr w:type="gramEnd"/>
      <w:r>
        <w:t xml:space="preserve"> if </w:t>
      </w:r>
      <w:r w:rsidR="00E84000">
        <w:t>necessary,</w:t>
      </w:r>
      <w:r>
        <w:t xml:space="preserve"> as long as the time between the two doses is at least 3 days (&gt;72 hours).</w:t>
      </w:r>
    </w:p>
    <w:p w14:paraId="2E60E20F" w14:textId="778167DC" w:rsidR="0080662A" w:rsidRDefault="0080662A" w:rsidP="00226236">
      <w:r>
        <w:t xml:space="preserve">If a dose is missed, administer </w:t>
      </w:r>
      <w:r w:rsidR="008C3392">
        <w:t>NGENLA</w:t>
      </w:r>
      <w:r w:rsidR="00F744DB">
        <w:t xml:space="preserve"> as soon as possible within 3 days after the missed dose. If more than </w:t>
      </w:r>
      <w:r w:rsidR="00FA61F3">
        <w:t>4</w:t>
      </w:r>
      <w:r w:rsidR="00F744DB">
        <w:t xml:space="preserve"> days have passed, skip the missed </w:t>
      </w:r>
      <w:proofErr w:type="gramStart"/>
      <w:r w:rsidR="00F744DB">
        <w:t>dose</w:t>
      </w:r>
      <w:proofErr w:type="gramEnd"/>
      <w:r w:rsidR="00F744DB">
        <w:t xml:space="preserve"> and administer the next dose on the regularly scheduled day. In each case, patients can then resume their regular once weekly dosing schedule.</w:t>
      </w:r>
    </w:p>
    <w:p w14:paraId="27EDBC85" w14:textId="586A7650" w:rsidR="004147F9" w:rsidRDefault="004147F9" w:rsidP="00226236">
      <w:r>
        <w:t xml:space="preserve">Refer to the </w:t>
      </w:r>
      <w:r w:rsidR="0099762D">
        <w:t>Instructions for Use leaflet for complete administration instructions.</w:t>
      </w:r>
    </w:p>
    <w:p w14:paraId="02B51C70" w14:textId="77777777" w:rsidR="001B5F02" w:rsidRPr="00281B9F" w:rsidRDefault="001B5F02" w:rsidP="00226236">
      <w:pPr>
        <w:pStyle w:val="CLDHeading2"/>
      </w:pPr>
      <w:r w:rsidRPr="00281B9F">
        <w:t>4.3</w:t>
      </w:r>
      <w:r w:rsidRPr="00281B9F">
        <w:tab/>
        <w:t>Contraindications</w:t>
      </w:r>
    </w:p>
    <w:p w14:paraId="79109DF8" w14:textId="5F7AC4FC" w:rsidR="001B5F02" w:rsidRDefault="0099762D" w:rsidP="00226236">
      <w:r>
        <w:t xml:space="preserve">Based on experience with daily growth hormone products, </w:t>
      </w:r>
      <w:r w:rsidR="008C3392">
        <w:t>NGENLA</w:t>
      </w:r>
      <w:r>
        <w:rPr>
          <w:szCs w:val="24"/>
        </w:rPr>
        <w:t xml:space="preserve"> is contraindicated in patients with active malignancy. </w:t>
      </w:r>
      <w:r w:rsidR="001B5F02" w:rsidRPr="00281B9F">
        <w:t xml:space="preserve"> </w:t>
      </w:r>
    </w:p>
    <w:p w14:paraId="6DCAAD0A" w14:textId="03E3D1B1" w:rsidR="0099762D" w:rsidRPr="00860BE6" w:rsidRDefault="0099762D" w:rsidP="0099762D">
      <w:pPr>
        <w:pStyle w:val="ListParagraph"/>
        <w:ind w:left="0"/>
        <w:contextualSpacing w:val="0"/>
        <w:rPr>
          <w:rFonts w:ascii="Times New Roman" w:hAnsi="Times New Roman"/>
          <w:szCs w:val="24"/>
        </w:rPr>
      </w:pPr>
      <w:r w:rsidRPr="00860BE6">
        <w:rPr>
          <w:rFonts w:ascii="Times New Roman" w:hAnsi="Times New Roman"/>
          <w:szCs w:val="24"/>
        </w:rPr>
        <w:t xml:space="preserve">Based on experience with pharmacologic amounts of daily growth hormone products, </w:t>
      </w:r>
      <w:r w:rsidR="008C3392" w:rsidRPr="008C3392">
        <w:rPr>
          <w:rFonts w:ascii="Times New Roman" w:hAnsi="Times New Roman"/>
        </w:rPr>
        <w:t>NGENLA</w:t>
      </w:r>
      <w:r w:rsidRPr="00860BE6">
        <w:rPr>
          <w:rFonts w:ascii="Times New Roman" w:hAnsi="Times New Roman"/>
          <w:szCs w:val="24"/>
        </w:rPr>
        <w:t xml:space="preserve"> is contraindicated in patients with acute critical illness due to complications following open heart or abdominal surgery, multiple accidental </w:t>
      </w:r>
      <w:proofErr w:type="gramStart"/>
      <w:r w:rsidRPr="00860BE6">
        <w:rPr>
          <w:rFonts w:ascii="Times New Roman" w:hAnsi="Times New Roman"/>
          <w:szCs w:val="24"/>
        </w:rPr>
        <w:t>trauma</w:t>
      </w:r>
      <w:proofErr w:type="gramEnd"/>
      <w:r w:rsidRPr="00860BE6">
        <w:rPr>
          <w:rFonts w:ascii="Times New Roman" w:hAnsi="Times New Roman"/>
          <w:szCs w:val="24"/>
        </w:rPr>
        <w:t xml:space="preserve">, or acute respiratory failure </w:t>
      </w:r>
      <w:r>
        <w:rPr>
          <w:rFonts w:ascii="Times New Roman" w:hAnsi="Times New Roman"/>
          <w:szCs w:val="24"/>
        </w:rPr>
        <w:t>(</w:t>
      </w:r>
      <w:r w:rsidRPr="00662C54">
        <w:rPr>
          <w:rFonts w:ascii="Times New Roman" w:eastAsia="Times New Roman" w:hAnsi="Times New Roman"/>
          <w:szCs w:val="24"/>
        </w:rPr>
        <w:t>see section 4.4</w:t>
      </w:r>
      <w:r>
        <w:rPr>
          <w:rFonts w:ascii="Times New Roman" w:eastAsia="Times New Roman" w:hAnsi="Times New Roman"/>
          <w:szCs w:val="24"/>
        </w:rPr>
        <w:t>).</w:t>
      </w:r>
      <w:r w:rsidRPr="00860BE6">
        <w:rPr>
          <w:rFonts w:ascii="Times New Roman" w:hAnsi="Times New Roman"/>
          <w:szCs w:val="24"/>
        </w:rPr>
        <w:t xml:space="preserve"> </w:t>
      </w:r>
    </w:p>
    <w:p w14:paraId="135D437C" w14:textId="77777777" w:rsidR="0099762D" w:rsidRDefault="0099762D" w:rsidP="0099762D">
      <w:pPr>
        <w:pStyle w:val="ListParagraph"/>
        <w:ind w:left="0"/>
        <w:contextualSpacing w:val="0"/>
        <w:rPr>
          <w:rFonts w:ascii="Times New Roman" w:hAnsi="Times New Roman"/>
          <w:szCs w:val="24"/>
        </w:rPr>
      </w:pPr>
    </w:p>
    <w:p w14:paraId="7BF2A06B" w14:textId="55F0141E" w:rsidR="0099762D" w:rsidRPr="00554E83" w:rsidRDefault="008C3392" w:rsidP="0099762D">
      <w:pPr>
        <w:pStyle w:val="ListParagraph"/>
        <w:ind w:left="0"/>
        <w:rPr>
          <w:rFonts w:ascii="Times New Roman" w:hAnsi="Times New Roman"/>
          <w:szCs w:val="24"/>
        </w:rPr>
      </w:pPr>
      <w:r w:rsidRPr="008C3392">
        <w:rPr>
          <w:rFonts w:ascii="Times New Roman" w:hAnsi="Times New Roman"/>
          <w:szCs w:val="24"/>
        </w:rPr>
        <w:t>NGENLA</w:t>
      </w:r>
      <w:r w:rsidR="0099762D" w:rsidRPr="008C3392">
        <w:rPr>
          <w:rFonts w:cs="Arial"/>
          <w:szCs w:val="24"/>
        </w:rPr>
        <w:t xml:space="preserve"> </w:t>
      </w:r>
      <w:r w:rsidR="0099762D">
        <w:rPr>
          <w:rFonts w:ascii="Times New Roman" w:hAnsi="Times New Roman"/>
          <w:szCs w:val="24"/>
        </w:rPr>
        <w:t>is contraindicated in patients with known h</w:t>
      </w:r>
      <w:r w:rsidR="0099762D" w:rsidRPr="00554E83">
        <w:rPr>
          <w:rFonts w:ascii="Times New Roman" w:hAnsi="Times New Roman"/>
          <w:szCs w:val="24"/>
        </w:rPr>
        <w:t xml:space="preserve">ypersensitivity to </w:t>
      </w:r>
      <w:proofErr w:type="spellStart"/>
      <w:r w:rsidR="0099762D">
        <w:rPr>
          <w:rFonts w:ascii="Times New Roman" w:hAnsi="Times New Roman"/>
          <w:szCs w:val="24"/>
        </w:rPr>
        <w:t>somatrogon</w:t>
      </w:r>
      <w:proofErr w:type="spellEnd"/>
      <w:r w:rsidR="0099762D">
        <w:rPr>
          <w:rFonts w:ascii="Times New Roman" w:hAnsi="Times New Roman"/>
          <w:szCs w:val="24"/>
        </w:rPr>
        <w:t xml:space="preserve"> (see section 4.4) </w:t>
      </w:r>
      <w:r w:rsidR="0099762D" w:rsidRPr="00554E83">
        <w:rPr>
          <w:rFonts w:ascii="Times New Roman" w:hAnsi="Times New Roman"/>
          <w:szCs w:val="24"/>
        </w:rPr>
        <w:t>or any of its excipients</w:t>
      </w:r>
      <w:r w:rsidR="0099762D">
        <w:rPr>
          <w:rFonts w:ascii="Times New Roman" w:hAnsi="Times New Roman"/>
          <w:szCs w:val="24"/>
        </w:rPr>
        <w:t xml:space="preserve"> (see section 6.1). </w:t>
      </w:r>
    </w:p>
    <w:p w14:paraId="254F6F11" w14:textId="77777777" w:rsidR="001B5F02" w:rsidRPr="00281B9F" w:rsidRDefault="001B5F02" w:rsidP="00226236">
      <w:pPr>
        <w:pStyle w:val="CLDHeading2"/>
      </w:pPr>
      <w:r w:rsidRPr="00281B9F">
        <w:lastRenderedPageBreak/>
        <w:t>4.4</w:t>
      </w:r>
      <w:r w:rsidRPr="00281B9F">
        <w:tab/>
        <w:t>Special warnings and precautions for use</w:t>
      </w:r>
    </w:p>
    <w:p w14:paraId="656ADFFA" w14:textId="4AB567E0" w:rsidR="00CB6D32" w:rsidRPr="00281B9F" w:rsidRDefault="008C3392" w:rsidP="00CB6D32">
      <w:r>
        <w:t>NGENLA</w:t>
      </w:r>
      <w:r w:rsidR="00CB6D32" w:rsidRPr="00281B9F">
        <w:t xml:space="preserve"> should be administered by physicians who are experienced in the diagnosis and management of patients with growth hormone deficiency.</w:t>
      </w:r>
    </w:p>
    <w:p w14:paraId="7C1FC7BA" w14:textId="72AA9A6C" w:rsidR="0055227E" w:rsidRPr="002E3618" w:rsidRDefault="0055227E" w:rsidP="007C6490">
      <w:pPr>
        <w:pStyle w:val="ListParagraph"/>
        <w:spacing w:after="120"/>
        <w:ind w:left="0"/>
        <w:contextualSpacing w:val="0"/>
        <w:rPr>
          <w:rFonts w:ascii="Times New Roman" w:hAnsi="Times New Roman"/>
          <w:szCs w:val="24"/>
          <w:u w:val="single"/>
        </w:rPr>
      </w:pPr>
      <w:r w:rsidRPr="002E3618">
        <w:rPr>
          <w:rFonts w:ascii="Times New Roman" w:hAnsi="Times New Roman"/>
          <w:szCs w:val="24"/>
          <w:u w:val="single"/>
        </w:rPr>
        <w:t>Acute critical illness</w:t>
      </w:r>
    </w:p>
    <w:p w14:paraId="6AF3A298" w14:textId="2AFFEB59" w:rsidR="0055227E" w:rsidRPr="00430B51" w:rsidRDefault="0055227E" w:rsidP="0055227E">
      <w:pPr>
        <w:pStyle w:val="ListParagraph"/>
        <w:ind w:left="0"/>
        <w:contextualSpacing w:val="0"/>
        <w:rPr>
          <w:rFonts w:ascii="Times New Roman" w:hAnsi="Times New Roman"/>
          <w:szCs w:val="24"/>
        </w:rPr>
      </w:pPr>
      <w:r w:rsidRPr="00430B51">
        <w:rPr>
          <w:rFonts w:ascii="Times New Roman" w:hAnsi="Times New Roman"/>
          <w:szCs w:val="24"/>
        </w:rPr>
        <w:t xml:space="preserve">There is no clinical experience with </w:t>
      </w:r>
      <w:r w:rsidR="008C3392" w:rsidRPr="008C3392">
        <w:rPr>
          <w:rFonts w:ascii="Times New Roman" w:hAnsi="Times New Roman"/>
          <w:szCs w:val="24"/>
        </w:rPr>
        <w:t>NGENLA</w:t>
      </w:r>
      <w:r w:rsidRPr="00430B51">
        <w:rPr>
          <w:rFonts w:ascii="Times New Roman" w:hAnsi="Times New Roman"/>
          <w:szCs w:val="24"/>
        </w:rPr>
        <w:t xml:space="preserve"> in patients with acute critical illness.</w:t>
      </w:r>
    </w:p>
    <w:p w14:paraId="1FB181BB" w14:textId="77777777" w:rsidR="0055227E" w:rsidRPr="00430B51" w:rsidRDefault="0055227E" w:rsidP="0055227E">
      <w:pPr>
        <w:pStyle w:val="ListParagraph"/>
        <w:ind w:left="0"/>
        <w:contextualSpacing w:val="0"/>
        <w:rPr>
          <w:rFonts w:ascii="Times New Roman" w:hAnsi="Times New Roman"/>
          <w:szCs w:val="24"/>
        </w:rPr>
      </w:pPr>
    </w:p>
    <w:p w14:paraId="77CA949C" w14:textId="77777777" w:rsidR="0055227E" w:rsidRDefault="0055227E" w:rsidP="0055227E">
      <w:pPr>
        <w:pStyle w:val="ListParagraph"/>
        <w:ind w:left="0"/>
        <w:contextualSpacing w:val="0"/>
        <w:rPr>
          <w:rFonts w:ascii="Times New Roman" w:hAnsi="Times New Roman"/>
          <w:szCs w:val="24"/>
        </w:rPr>
      </w:pPr>
      <w:r w:rsidRPr="00430B51">
        <w:rPr>
          <w:rFonts w:ascii="Times New Roman" w:hAnsi="Times New Roman"/>
          <w:szCs w:val="24"/>
        </w:rPr>
        <w:t xml:space="preserve">Treatment with pharmacologic amounts of daily growth hormone </w:t>
      </w:r>
      <w:r>
        <w:rPr>
          <w:rFonts w:ascii="Times New Roman" w:hAnsi="Times New Roman"/>
          <w:szCs w:val="24"/>
        </w:rPr>
        <w:t xml:space="preserve">products </w:t>
      </w:r>
      <w:r w:rsidRPr="00430B51">
        <w:rPr>
          <w:rFonts w:ascii="Times New Roman" w:hAnsi="Times New Roman"/>
          <w:szCs w:val="24"/>
        </w:rPr>
        <w:t xml:space="preserve">has been associated with increased mortality in patients with acute critical illness due to complications following open heart surgery, abdominal surgery or multiple accidental </w:t>
      </w:r>
      <w:proofErr w:type="gramStart"/>
      <w:r w:rsidRPr="00430B51">
        <w:rPr>
          <w:rFonts w:ascii="Times New Roman" w:hAnsi="Times New Roman"/>
          <w:szCs w:val="24"/>
        </w:rPr>
        <w:t>trauma</w:t>
      </w:r>
      <w:proofErr w:type="gramEnd"/>
      <w:r w:rsidRPr="00430B51">
        <w:rPr>
          <w:rFonts w:ascii="Times New Roman" w:hAnsi="Times New Roman"/>
          <w:szCs w:val="24"/>
        </w:rPr>
        <w:t>, or those with acute respiratory failure</w:t>
      </w:r>
      <w:r>
        <w:rPr>
          <w:rFonts w:ascii="Times New Roman" w:hAnsi="Times New Roman"/>
          <w:szCs w:val="24"/>
        </w:rPr>
        <w:t xml:space="preserve"> </w:t>
      </w:r>
      <w:r w:rsidRPr="00537AA6">
        <w:rPr>
          <w:rFonts w:ascii="Times New Roman" w:hAnsi="Times New Roman"/>
          <w:szCs w:val="24"/>
        </w:rPr>
        <w:t xml:space="preserve">(see section </w:t>
      </w:r>
      <w:r w:rsidRPr="001C6793">
        <w:rPr>
          <w:rFonts w:ascii="Times New Roman" w:hAnsi="Times New Roman"/>
          <w:szCs w:val="24"/>
        </w:rPr>
        <w:t>4.3</w:t>
      </w:r>
      <w:r>
        <w:rPr>
          <w:rFonts w:ascii="Times New Roman" w:hAnsi="Times New Roman"/>
          <w:szCs w:val="24"/>
        </w:rPr>
        <w:t>)</w:t>
      </w:r>
      <w:r w:rsidRPr="00537AA6">
        <w:rPr>
          <w:rFonts w:ascii="Times New Roman" w:hAnsi="Times New Roman"/>
          <w:szCs w:val="24"/>
        </w:rPr>
        <w:t>.</w:t>
      </w:r>
    </w:p>
    <w:p w14:paraId="31B40EEC" w14:textId="77777777" w:rsidR="0055227E" w:rsidRDefault="0055227E" w:rsidP="0055227E">
      <w:pPr>
        <w:pStyle w:val="EquationFootnote"/>
        <w:rPr>
          <w:color w:val="000000"/>
          <w:szCs w:val="24"/>
        </w:rPr>
      </w:pPr>
    </w:p>
    <w:p w14:paraId="20EA6993" w14:textId="36F47300" w:rsidR="0055227E" w:rsidRDefault="0055227E" w:rsidP="0055227E">
      <w:pPr>
        <w:pStyle w:val="ListParagraph"/>
        <w:ind w:left="0"/>
        <w:contextualSpacing w:val="0"/>
        <w:rPr>
          <w:rFonts w:ascii="Times New Roman" w:hAnsi="Times New Roman"/>
          <w:szCs w:val="24"/>
        </w:rPr>
      </w:pPr>
      <w:r w:rsidRPr="00430B51">
        <w:rPr>
          <w:rFonts w:ascii="Times New Roman" w:hAnsi="Times New Roman"/>
          <w:szCs w:val="24"/>
        </w:rPr>
        <w:t>Based on experience with daily growth hormone</w:t>
      </w:r>
      <w:r>
        <w:rPr>
          <w:rFonts w:ascii="Times New Roman" w:hAnsi="Times New Roman"/>
          <w:szCs w:val="24"/>
        </w:rPr>
        <w:t xml:space="preserve"> products</w:t>
      </w:r>
      <w:r w:rsidRPr="00430B51">
        <w:rPr>
          <w:rFonts w:ascii="Times New Roman" w:hAnsi="Times New Roman"/>
          <w:szCs w:val="24"/>
        </w:rPr>
        <w:t xml:space="preserve">, if patients who are receiving </w:t>
      </w:r>
      <w:r w:rsidR="008C3392" w:rsidRPr="008C3392">
        <w:rPr>
          <w:rFonts w:ascii="Times New Roman" w:hAnsi="Times New Roman"/>
          <w:szCs w:val="24"/>
        </w:rPr>
        <w:t>NGENLA</w:t>
      </w:r>
      <w:r>
        <w:rPr>
          <w:rFonts w:ascii="Times New Roman" w:hAnsi="Times New Roman"/>
          <w:szCs w:val="24"/>
        </w:rPr>
        <w:t xml:space="preserve"> </w:t>
      </w:r>
      <w:r w:rsidRPr="00430B51">
        <w:rPr>
          <w:rFonts w:ascii="Times New Roman" w:hAnsi="Times New Roman"/>
          <w:szCs w:val="24"/>
        </w:rPr>
        <w:t>therapy become acutely critically ill, the potential benefit of continued treatment should be weighed against the potential risk</w:t>
      </w:r>
      <w:r>
        <w:rPr>
          <w:color w:val="000000"/>
          <w:szCs w:val="24"/>
        </w:rPr>
        <w:t xml:space="preserve"> </w:t>
      </w:r>
      <w:r w:rsidRPr="00537AA6">
        <w:rPr>
          <w:rFonts w:ascii="Times New Roman" w:hAnsi="Times New Roman"/>
          <w:szCs w:val="24"/>
        </w:rPr>
        <w:t xml:space="preserve">(see section </w:t>
      </w:r>
      <w:r w:rsidRPr="001C6793">
        <w:rPr>
          <w:rFonts w:ascii="Times New Roman" w:hAnsi="Times New Roman"/>
          <w:szCs w:val="24"/>
        </w:rPr>
        <w:t>4.3</w:t>
      </w:r>
      <w:r>
        <w:rPr>
          <w:rFonts w:ascii="Times New Roman" w:hAnsi="Times New Roman"/>
          <w:szCs w:val="24"/>
        </w:rPr>
        <w:t>).</w:t>
      </w:r>
      <w:r w:rsidRPr="001C6793">
        <w:rPr>
          <w:rFonts w:ascii="Times New Roman" w:hAnsi="Times New Roman"/>
          <w:szCs w:val="24"/>
        </w:rPr>
        <w:t xml:space="preserve"> </w:t>
      </w:r>
    </w:p>
    <w:p w14:paraId="5BE0E5CC" w14:textId="77777777" w:rsidR="0055227E" w:rsidRPr="001C6793" w:rsidRDefault="0055227E" w:rsidP="0055227E">
      <w:pPr>
        <w:pStyle w:val="ListParagraph"/>
        <w:ind w:left="0"/>
        <w:contextualSpacing w:val="0"/>
        <w:rPr>
          <w:rFonts w:ascii="Times New Roman" w:eastAsia="Times New Roman" w:hAnsi="Times New Roman"/>
          <w:b/>
          <w:bCs/>
          <w:szCs w:val="26"/>
          <w:lang w:eastAsia="en-US"/>
        </w:rPr>
      </w:pPr>
    </w:p>
    <w:p w14:paraId="5DDCA231" w14:textId="77777777" w:rsidR="0055227E" w:rsidRDefault="0055227E" w:rsidP="007C6490">
      <w:pPr>
        <w:pStyle w:val="ListParagraph"/>
        <w:spacing w:after="120"/>
        <w:ind w:left="0"/>
        <w:contextualSpacing w:val="0"/>
        <w:rPr>
          <w:rFonts w:ascii="Times New Roman" w:hAnsi="Times New Roman"/>
          <w:szCs w:val="24"/>
          <w:u w:val="single"/>
        </w:rPr>
      </w:pPr>
      <w:r w:rsidRPr="00537AA6">
        <w:rPr>
          <w:rFonts w:ascii="Times New Roman" w:hAnsi="Times New Roman"/>
          <w:szCs w:val="24"/>
          <w:u w:val="single"/>
        </w:rPr>
        <w:t xml:space="preserve">Glucose </w:t>
      </w:r>
      <w:r>
        <w:rPr>
          <w:rFonts w:ascii="Times New Roman" w:hAnsi="Times New Roman"/>
          <w:szCs w:val="24"/>
          <w:u w:val="single"/>
        </w:rPr>
        <w:t>m</w:t>
      </w:r>
      <w:r w:rsidRPr="00537AA6">
        <w:rPr>
          <w:rFonts w:ascii="Times New Roman" w:hAnsi="Times New Roman"/>
          <w:szCs w:val="24"/>
          <w:u w:val="single"/>
        </w:rPr>
        <w:t>etabolism</w:t>
      </w:r>
    </w:p>
    <w:p w14:paraId="7120313C" w14:textId="2077CFCA" w:rsidR="0055227E" w:rsidRDefault="0055227E" w:rsidP="0055227E">
      <w:pPr>
        <w:pStyle w:val="ListParagraph"/>
        <w:ind w:left="0"/>
        <w:contextualSpacing w:val="0"/>
        <w:rPr>
          <w:szCs w:val="24"/>
        </w:rPr>
      </w:pPr>
      <w:bookmarkStart w:id="1" w:name="_Hlk76395676"/>
      <w:r w:rsidRPr="001C6793">
        <w:rPr>
          <w:rFonts w:ascii="Times New Roman" w:hAnsi="Times New Roman"/>
          <w:szCs w:val="24"/>
        </w:rPr>
        <w:t>Treatment with daily growth hormone</w:t>
      </w:r>
      <w:r>
        <w:rPr>
          <w:rFonts w:ascii="Times New Roman" w:hAnsi="Times New Roman"/>
          <w:szCs w:val="24"/>
        </w:rPr>
        <w:t xml:space="preserve"> products</w:t>
      </w:r>
      <w:r w:rsidRPr="001C6793">
        <w:rPr>
          <w:rFonts w:ascii="Times New Roman" w:hAnsi="Times New Roman"/>
          <w:szCs w:val="24"/>
        </w:rPr>
        <w:t xml:space="preserve"> may induce a state of insulin resistance and hypergly</w:t>
      </w:r>
      <w:r>
        <w:rPr>
          <w:rFonts w:ascii="Times New Roman" w:hAnsi="Times New Roman"/>
          <w:szCs w:val="24"/>
        </w:rPr>
        <w:t>c</w:t>
      </w:r>
      <w:r w:rsidRPr="001C6793">
        <w:rPr>
          <w:rFonts w:ascii="Times New Roman" w:hAnsi="Times New Roman"/>
          <w:szCs w:val="24"/>
        </w:rPr>
        <w:t>emia.</w:t>
      </w:r>
      <w:bookmarkEnd w:id="1"/>
      <w:r w:rsidRPr="001C6793">
        <w:rPr>
          <w:rFonts w:ascii="Times New Roman" w:hAnsi="Times New Roman"/>
          <w:szCs w:val="24"/>
        </w:rPr>
        <w:t xml:space="preserve"> Additional monitoring should be considered in patients treated with </w:t>
      </w:r>
      <w:r w:rsidR="008C3392" w:rsidRPr="008C3392">
        <w:rPr>
          <w:rFonts w:ascii="Times New Roman" w:hAnsi="Times New Roman"/>
          <w:szCs w:val="24"/>
        </w:rPr>
        <w:t>NGENLA</w:t>
      </w:r>
      <w:r>
        <w:rPr>
          <w:rFonts w:ascii="Times New Roman" w:hAnsi="Times New Roman"/>
          <w:szCs w:val="24"/>
        </w:rPr>
        <w:t xml:space="preserve"> </w:t>
      </w:r>
      <w:r w:rsidRPr="001C6793">
        <w:rPr>
          <w:rFonts w:ascii="Times New Roman" w:hAnsi="Times New Roman"/>
          <w:szCs w:val="24"/>
        </w:rPr>
        <w:t>who have glucose intolerance, or additional risk factors for diabetes. In patients treated with</w:t>
      </w:r>
      <w:r>
        <w:rPr>
          <w:rFonts w:ascii="Times New Roman" w:hAnsi="Times New Roman"/>
          <w:szCs w:val="24"/>
        </w:rPr>
        <w:t xml:space="preserve"> </w:t>
      </w:r>
      <w:r w:rsidR="008C3392" w:rsidRPr="008C3392">
        <w:rPr>
          <w:rFonts w:ascii="Times New Roman" w:hAnsi="Times New Roman"/>
          <w:szCs w:val="24"/>
        </w:rPr>
        <w:t>NGENLA</w:t>
      </w:r>
      <w:r w:rsidRPr="001C6793">
        <w:rPr>
          <w:rFonts w:ascii="Times New Roman" w:hAnsi="Times New Roman"/>
          <w:szCs w:val="24"/>
        </w:rPr>
        <w:t xml:space="preserve"> who have diabetes mellitus, anti-diabetic therapy might require adjustment</w:t>
      </w:r>
      <w:r>
        <w:rPr>
          <w:rFonts w:ascii="Times New Roman" w:hAnsi="Times New Roman"/>
          <w:szCs w:val="24"/>
        </w:rPr>
        <w:t xml:space="preserve"> (see section 4.5)</w:t>
      </w:r>
      <w:r w:rsidRPr="001C6793">
        <w:rPr>
          <w:rFonts w:ascii="Times New Roman" w:hAnsi="Times New Roman"/>
          <w:szCs w:val="24"/>
        </w:rPr>
        <w:t>.</w:t>
      </w:r>
      <w:r>
        <w:rPr>
          <w:szCs w:val="24"/>
        </w:rPr>
        <w:t xml:space="preserve"> </w:t>
      </w:r>
    </w:p>
    <w:p w14:paraId="6012ACD7" w14:textId="77777777" w:rsidR="00A32B03" w:rsidRDefault="00A32B03" w:rsidP="0055227E">
      <w:pPr>
        <w:pStyle w:val="ListParagraph"/>
        <w:ind w:left="0"/>
        <w:contextualSpacing w:val="0"/>
        <w:rPr>
          <w:rFonts w:ascii="Times New Roman" w:hAnsi="Times New Roman"/>
          <w:szCs w:val="24"/>
        </w:rPr>
      </w:pPr>
    </w:p>
    <w:p w14:paraId="337D5C77" w14:textId="6DC956C5" w:rsidR="0067017D" w:rsidRDefault="0067017D" w:rsidP="0055227E">
      <w:pPr>
        <w:pStyle w:val="ListParagraph"/>
        <w:ind w:left="0"/>
        <w:contextualSpacing w:val="0"/>
        <w:rPr>
          <w:szCs w:val="24"/>
        </w:rPr>
      </w:pPr>
      <w:r w:rsidRPr="001C6793">
        <w:rPr>
          <w:rFonts w:ascii="Times New Roman" w:hAnsi="Times New Roman"/>
          <w:szCs w:val="24"/>
        </w:rPr>
        <w:t>No clinically meaningful changes in glucose metabolism, including insulin sensitivity</w:t>
      </w:r>
      <w:r>
        <w:rPr>
          <w:rFonts w:ascii="Times New Roman" w:hAnsi="Times New Roman"/>
          <w:szCs w:val="24"/>
        </w:rPr>
        <w:t>,</w:t>
      </w:r>
      <w:r w:rsidRPr="001C6793">
        <w:rPr>
          <w:rFonts w:ascii="Times New Roman" w:hAnsi="Times New Roman"/>
          <w:szCs w:val="24"/>
        </w:rPr>
        <w:t xml:space="preserve"> were observed in clinical trials with</w:t>
      </w:r>
      <w:r>
        <w:rPr>
          <w:rFonts w:ascii="Times New Roman" w:hAnsi="Times New Roman"/>
          <w:szCs w:val="24"/>
        </w:rPr>
        <w:t xml:space="preserve"> </w:t>
      </w:r>
      <w:r w:rsidRPr="008C3392">
        <w:rPr>
          <w:rFonts w:ascii="Times New Roman" w:hAnsi="Times New Roman"/>
          <w:szCs w:val="24"/>
        </w:rPr>
        <w:t>NGENLA</w:t>
      </w:r>
      <w:r>
        <w:rPr>
          <w:szCs w:val="24"/>
        </w:rPr>
        <w:t>.</w:t>
      </w:r>
    </w:p>
    <w:p w14:paraId="7B0DC886" w14:textId="77777777" w:rsidR="0055227E" w:rsidRDefault="0055227E" w:rsidP="0055227E">
      <w:pPr>
        <w:pStyle w:val="ListParagraph"/>
        <w:ind w:left="0"/>
        <w:contextualSpacing w:val="0"/>
        <w:rPr>
          <w:rFonts w:ascii="Times New Roman" w:hAnsi="Times New Roman"/>
          <w:szCs w:val="24"/>
          <w:u w:val="single"/>
        </w:rPr>
      </w:pPr>
    </w:p>
    <w:p w14:paraId="5AD2B517" w14:textId="77777777" w:rsidR="0055227E" w:rsidRPr="002E3618" w:rsidRDefault="0055227E" w:rsidP="007C6490">
      <w:pPr>
        <w:pStyle w:val="ListParagraph"/>
        <w:spacing w:after="120"/>
        <w:ind w:left="0"/>
        <w:contextualSpacing w:val="0"/>
        <w:rPr>
          <w:rFonts w:ascii="Times New Roman" w:hAnsi="Times New Roman"/>
          <w:szCs w:val="24"/>
          <w:u w:val="single"/>
        </w:rPr>
      </w:pPr>
      <w:r w:rsidRPr="002E3618">
        <w:rPr>
          <w:rFonts w:ascii="Times New Roman" w:hAnsi="Times New Roman"/>
          <w:szCs w:val="24"/>
          <w:u w:val="single"/>
        </w:rPr>
        <w:t>Benign intracranial hypertension</w:t>
      </w:r>
    </w:p>
    <w:p w14:paraId="1F944309" w14:textId="35677562" w:rsidR="0055227E" w:rsidRDefault="0055227E" w:rsidP="0055227E">
      <w:pPr>
        <w:pStyle w:val="ListParagraph"/>
        <w:ind w:left="0"/>
        <w:contextualSpacing w:val="0"/>
        <w:rPr>
          <w:rFonts w:ascii="Times New Roman" w:hAnsi="Times New Roman"/>
          <w:szCs w:val="24"/>
        </w:rPr>
      </w:pPr>
      <w:r>
        <w:rPr>
          <w:rFonts w:ascii="Times New Roman" w:hAnsi="Times New Roman"/>
          <w:szCs w:val="24"/>
        </w:rPr>
        <w:t xml:space="preserve">Intracranial hypertension (IH) </w:t>
      </w:r>
      <w:r w:rsidRPr="00430B51">
        <w:rPr>
          <w:rFonts w:ascii="Times New Roman" w:hAnsi="Times New Roman"/>
          <w:szCs w:val="24"/>
        </w:rPr>
        <w:t xml:space="preserve">with papilledema, visual changes, headache, nausea, and/or vomiting has been reported in a small number of patients treated with daily growth hormone products. Symptoms usually occurred within the first 8 weeks after the initiation of daily growth hormone therapy. In all reported cases, IH-associated signs and symptoms rapidly resolved after cessation of therapy or a reduction of the daily growth hormone dose. </w:t>
      </w:r>
      <w:r w:rsidR="008C3392" w:rsidRPr="008C3392">
        <w:rPr>
          <w:rFonts w:ascii="Times New Roman" w:hAnsi="Times New Roman"/>
          <w:szCs w:val="24"/>
        </w:rPr>
        <w:t>NGENLA</w:t>
      </w:r>
      <w:r w:rsidRPr="00430B51">
        <w:rPr>
          <w:rFonts w:ascii="Times New Roman" w:hAnsi="Times New Roman"/>
          <w:szCs w:val="24"/>
        </w:rPr>
        <w:t xml:space="preserve"> should be </w:t>
      </w:r>
      <w:r>
        <w:rPr>
          <w:rFonts w:ascii="Times New Roman" w:hAnsi="Times New Roman"/>
          <w:szCs w:val="24"/>
        </w:rPr>
        <w:t xml:space="preserve">temporarily </w:t>
      </w:r>
      <w:r w:rsidRPr="00430B51">
        <w:rPr>
          <w:rFonts w:ascii="Times New Roman" w:hAnsi="Times New Roman"/>
          <w:szCs w:val="24"/>
        </w:rPr>
        <w:t xml:space="preserve">discontinued in patients with clinical or fundoscopic evidence of </w:t>
      </w:r>
      <w:r>
        <w:rPr>
          <w:rFonts w:ascii="Times New Roman" w:hAnsi="Times New Roman"/>
          <w:szCs w:val="24"/>
        </w:rPr>
        <w:t>IH.</w:t>
      </w:r>
    </w:p>
    <w:p w14:paraId="37EC00E1" w14:textId="77777777" w:rsidR="00A32B03" w:rsidRDefault="00A32B03" w:rsidP="0067017D">
      <w:pPr>
        <w:pStyle w:val="ListParagraph"/>
        <w:ind w:left="0"/>
        <w:contextualSpacing w:val="0"/>
        <w:rPr>
          <w:rFonts w:ascii="Times New Roman" w:hAnsi="Times New Roman"/>
          <w:szCs w:val="24"/>
        </w:rPr>
      </w:pPr>
    </w:p>
    <w:p w14:paraId="25E51928" w14:textId="477D95E3" w:rsidR="0067017D" w:rsidRDefault="0067017D" w:rsidP="0067017D">
      <w:pPr>
        <w:pStyle w:val="ListParagraph"/>
        <w:ind w:left="0"/>
        <w:contextualSpacing w:val="0"/>
        <w:rPr>
          <w:rFonts w:ascii="Times New Roman" w:hAnsi="Times New Roman"/>
          <w:szCs w:val="24"/>
        </w:rPr>
      </w:pPr>
      <w:r w:rsidRPr="00430B51">
        <w:rPr>
          <w:rFonts w:ascii="Times New Roman" w:hAnsi="Times New Roman"/>
          <w:szCs w:val="24"/>
        </w:rPr>
        <w:t>No evidence of benign intracranial hypertension was reported in clinical</w:t>
      </w:r>
      <w:r>
        <w:rPr>
          <w:rFonts w:ascii="Times New Roman" w:hAnsi="Times New Roman"/>
          <w:szCs w:val="24"/>
        </w:rPr>
        <w:t xml:space="preserve"> trials </w:t>
      </w:r>
      <w:r w:rsidRPr="00430B51">
        <w:rPr>
          <w:rFonts w:ascii="Times New Roman" w:hAnsi="Times New Roman"/>
          <w:szCs w:val="24"/>
        </w:rPr>
        <w:t xml:space="preserve">with </w:t>
      </w:r>
      <w:r w:rsidRPr="008C3392">
        <w:rPr>
          <w:rFonts w:ascii="Times New Roman" w:hAnsi="Times New Roman"/>
          <w:szCs w:val="24"/>
        </w:rPr>
        <w:t>NGENLA</w:t>
      </w:r>
      <w:r w:rsidRPr="00430B51">
        <w:rPr>
          <w:rFonts w:ascii="Times New Roman" w:hAnsi="Times New Roman"/>
          <w:szCs w:val="24"/>
        </w:rPr>
        <w:t>.</w:t>
      </w:r>
    </w:p>
    <w:p w14:paraId="5D0F0FFC" w14:textId="77777777" w:rsidR="0067017D" w:rsidRDefault="0067017D" w:rsidP="0055227E">
      <w:pPr>
        <w:pStyle w:val="ListParagraph"/>
        <w:ind w:left="0"/>
        <w:contextualSpacing w:val="0"/>
        <w:rPr>
          <w:rFonts w:ascii="Times New Roman" w:hAnsi="Times New Roman"/>
          <w:szCs w:val="24"/>
        </w:rPr>
      </w:pPr>
    </w:p>
    <w:p w14:paraId="4D26E395" w14:textId="2E2BBA68" w:rsidR="0055227E" w:rsidRPr="0055227E" w:rsidRDefault="0055227E" w:rsidP="007C6490">
      <w:pPr>
        <w:pStyle w:val="ListParagraph"/>
        <w:spacing w:after="120"/>
        <w:ind w:left="0"/>
        <w:contextualSpacing w:val="0"/>
        <w:rPr>
          <w:rFonts w:ascii="Times New Roman" w:hAnsi="Times New Roman"/>
          <w:szCs w:val="24"/>
          <w:u w:val="single"/>
        </w:rPr>
      </w:pPr>
      <w:r w:rsidRPr="0055227E">
        <w:rPr>
          <w:rFonts w:ascii="Times New Roman" w:hAnsi="Times New Roman"/>
          <w:szCs w:val="24"/>
          <w:u w:val="single"/>
        </w:rPr>
        <w:t>Hypersensitivity</w:t>
      </w:r>
      <w:r w:rsidR="00FA61F3">
        <w:rPr>
          <w:rFonts w:ascii="Times New Roman" w:hAnsi="Times New Roman"/>
          <w:szCs w:val="24"/>
          <w:u w:val="single"/>
        </w:rPr>
        <w:t xml:space="preserve"> reactions</w:t>
      </w:r>
    </w:p>
    <w:p w14:paraId="54791EC4" w14:textId="37288501" w:rsidR="0055227E" w:rsidRDefault="0055227E" w:rsidP="0055227E">
      <w:pPr>
        <w:pStyle w:val="Default"/>
        <w:rPr>
          <w:sz w:val="23"/>
          <w:szCs w:val="23"/>
        </w:rPr>
      </w:pPr>
      <w:r w:rsidRPr="005723DD">
        <w:rPr>
          <w:sz w:val="23"/>
          <w:szCs w:val="23"/>
        </w:rPr>
        <w:t>Serious</w:t>
      </w:r>
      <w:r>
        <w:rPr>
          <w:sz w:val="23"/>
          <w:szCs w:val="23"/>
        </w:rPr>
        <w:t xml:space="preserve"> systemic</w:t>
      </w:r>
      <w:r w:rsidRPr="005723DD">
        <w:rPr>
          <w:sz w:val="23"/>
          <w:szCs w:val="23"/>
        </w:rPr>
        <w:t xml:space="preserve"> hypersensitivity reactions (e.g., anaphylaxis, angioedema) have been reported with daily growth hormone products. If a serious hypersensitivity reaction occurs, </w:t>
      </w:r>
      <w:r>
        <w:rPr>
          <w:sz w:val="23"/>
          <w:szCs w:val="23"/>
        </w:rPr>
        <w:t xml:space="preserve">immediately </w:t>
      </w:r>
      <w:r w:rsidRPr="005723DD">
        <w:rPr>
          <w:sz w:val="23"/>
          <w:szCs w:val="23"/>
        </w:rPr>
        <w:t xml:space="preserve">discontinue use of </w:t>
      </w:r>
      <w:r w:rsidR="008C3392" w:rsidRPr="008C3392">
        <w:t>NGENLA</w:t>
      </w:r>
      <w:r w:rsidRPr="005723DD">
        <w:rPr>
          <w:sz w:val="23"/>
          <w:szCs w:val="23"/>
        </w:rPr>
        <w:t xml:space="preserve">; treat promptly per standard of </w:t>
      </w:r>
      <w:r w:rsidR="00E84000" w:rsidRPr="005723DD">
        <w:rPr>
          <w:sz w:val="23"/>
          <w:szCs w:val="23"/>
        </w:rPr>
        <w:t>care and</w:t>
      </w:r>
      <w:r w:rsidRPr="005723DD">
        <w:rPr>
          <w:sz w:val="23"/>
          <w:szCs w:val="23"/>
        </w:rPr>
        <w:t xml:space="preserve"> monitor until signs and symptoms resolve. Do not use in patients with previous hypersensitivity to </w:t>
      </w:r>
      <w:r w:rsidR="008C3392" w:rsidRPr="008C3392">
        <w:t>NGENLA</w:t>
      </w:r>
      <w:r>
        <w:rPr>
          <w:i/>
          <w:sz w:val="23"/>
          <w:szCs w:val="23"/>
        </w:rPr>
        <w:t xml:space="preserve"> </w:t>
      </w:r>
      <w:r w:rsidRPr="00662C54">
        <w:rPr>
          <w:iCs/>
          <w:sz w:val="23"/>
          <w:szCs w:val="23"/>
        </w:rPr>
        <w:t>(see section 4.3)</w:t>
      </w:r>
    </w:p>
    <w:p w14:paraId="459E3047" w14:textId="77777777" w:rsidR="0055227E" w:rsidRPr="00537AA6" w:rsidRDefault="0055227E" w:rsidP="0055227E">
      <w:pPr>
        <w:pStyle w:val="ListParagraph"/>
        <w:ind w:left="0"/>
        <w:contextualSpacing w:val="0"/>
        <w:rPr>
          <w:rFonts w:ascii="Times New Roman" w:hAnsi="Times New Roman"/>
          <w:szCs w:val="24"/>
        </w:rPr>
      </w:pPr>
    </w:p>
    <w:p w14:paraId="60AEDCEC" w14:textId="77777777" w:rsidR="0055227E" w:rsidRDefault="0055227E" w:rsidP="007C6490">
      <w:pPr>
        <w:pStyle w:val="ListParagraph"/>
        <w:spacing w:after="120"/>
        <w:ind w:left="0"/>
        <w:contextualSpacing w:val="0"/>
        <w:rPr>
          <w:rFonts w:ascii="Times New Roman" w:hAnsi="Times New Roman"/>
          <w:szCs w:val="24"/>
          <w:u w:val="single"/>
        </w:rPr>
      </w:pPr>
      <w:r w:rsidRPr="00CA09E8">
        <w:rPr>
          <w:rFonts w:ascii="Times New Roman" w:hAnsi="Times New Roman"/>
          <w:szCs w:val="24"/>
          <w:u w:val="single"/>
        </w:rPr>
        <w:t>Adrenal cortical hypofunction</w:t>
      </w:r>
    </w:p>
    <w:p w14:paraId="5FE4E2AB" w14:textId="69032F25" w:rsidR="0055227E" w:rsidRDefault="0055227E" w:rsidP="0055227E">
      <w:pPr>
        <w:pStyle w:val="ListParagraph"/>
        <w:ind w:left="0"/>
        <w:contextualSpacing w:val="0"/>
        <w:rPr>
          <w:rFonts w:ascii="Times New Roman" w:hAnsi="Times New Roman"/>
          <w:szCs w:val="24"/>
        </w:rPr>
      </w:pPr>
      <w:r w:rsidRPr="001C6793">
        <w:rPr>
          <w:rFonts w:ascii="Times New Roman" w:hAnsi="Times New Roman"/>
          <w:szCs w:val="24"/>
        </w:rPr>
        <w:t>Based on published data</w:t>
      </w:r>
      <w:r>
        <w:rPr>
          <w:rFonts w:ascii="Times New Roman" w:hAnsi="Times New Roman"/>
          <w:szCs w:val="24"/>
        </w:rPr>
        <w:t>,</w:t>
      </w:r>
      <w:r w:rsidRPr="001C6793">
        <w:rPr>
          <w:rFonts w:ascii="Times New Roman" w:hAnsi="Times New Roman"/>
          <w:szCs w:val="24"/>
        </w:rPr>
        <w:t xml:space="preserve"> patients receiving daily growth hormone therapy who have or are at risk for pituitary hormone deficiency(s) may be at risk for reduced serum cortisol levels and/or unmasking of </w:t>
      </w:r>
      <w:r w:rsidRPr="001C6793">
        <w:rPr>
          <w:rFonts w:ascii="Times New Roman" w:hAnsi="Times New Roman"/>
          <w:szCs w:val="24"/>
        </w:rPr>
        <w:lastRenderedPageBreak/>
        <w:t xml:space="preserve">central (secondary) hypoadrenalism. In addition, patients treated with glucocorticoid replacement for previously diagnosed hypoadrenalism may require an increase in their maintenance or stress doses following initiation of </w:t>
      </w:r>
      <w:r w:rsidR="008C3392" w:rsidRPr="008C3392">
        <w:rPr>
          <w:rFonts w:ascii="Times New Roman" w:hAnsi="Times New Roman"/>
          <w:szCs w:val="24"/>
        </w:rPr>
        <w:t>NGENLA</w:t>
      </w:r>
      <w:r w:rsidRPr="001C6793">
        <w:rPr>
          <w:rFonts w:ascii="Times New Roman" w:hAnsi="Times New Roman"/>
          <w:szCs w:val="24"/>
        </w:rPr>
        <w:t xml:space="preserve"> treatment </w:t>
      </w:r>
      <w:r>
        <w:rPr>
          <w:rFonts w:ascii="Times New Roman" w:hAnsi="Times New Roman"/>
          <w:szCs w:val="24"/>
        </w:rPr>
        <w:t>(</w:t>
      </w:r>
      <w:r w:rsidRPr="001C6793">
        <w:rPr>
          <w:rFonts w:ascii="Times New Roman" w:hAnsi="Times New Roman"/>
          <w:szCs w:val="24"/>
        </w:rPr>
        <w:t>see</w:t>
      </w:r>
      <w:r>
        <w:rPr>
          <w:rFonts w:ascii="Times New Roman" w:hAnsi="Times New Roman"/>
          <w:szCs w:val="24"/>
        </w:rPr>
        <w:t xml:space="preserve"> section </w:t>
      </w:r>
      <w:r w:rsidRPr="002D3702">
        <w:rPr>
          <w:rFonts w:ascii="Times New Roman" w:hAnsi="Times New Roman"/>
          <w:szCs w:val="24"/>
        </w:rPr>
        <w:t>4.5)</w:t>
      </w:r>
      <w:r w:rsidRPr="001C6793">
        <w:rPr>
          <w:rFonts w:ascii="Times New Roman" w:hAnsi="Times New Roman"/>
          <w:szCs w:val="24"/>
        </w:rPr>
        <w:t>. Monitor patients for reduced serum cortisol levels and/or need for glucocorticoid dose increases in those with known hypoadrenalism</w:t>
      </w:r>
      <w:r>
        <w:rPr>
          <w:rFonts w:ascii="Times New Roman" w:hAnsi="Times New Roman"/>
          <w:szCs w:val="24"/>
        </w:rPr>
        <w:t xml:space="preserve"> (</w:t>
      </w:r>
      <w:r w:rsidRPr="00430B51">
        <w:rPr>
          <w:rFonts w:ascii="Times New Roman" w:hAnsi="Times New Roman"/>
          <w:szCs w:val="24"/>
        </w:rPr>
        <w:t>see</w:t>
      </w:r>
      <w:r>
        <w:rPr>
          <w:rFonts w:ascii="Times New Roman" w:hAnsi="Times New Roman"/>
          <w:szCs w:val="24"/>
        </w:rPr>
        <w:t xml:space="preserve"> section 4.5).</w:t>
      </w:r>
      <w:r w:rsidRPr="00430B51">
        <w:rPr>
          <w:rFonts w:ascii="Times New Roman" w:hAnsi="Times New Roman"/>
          <w:szCs w:val="24"/>
        </w:rPr>
        <w:t xml:space="preserve"> </w:t>
      </w:r>
    </w:p>
    <w:p w14:paraId="069546D3" w14:textId="77777777" w:rsidR="00A32B03" w:rsidRDefault="00A32B03" w:rsidP="0067017D">
      <w:pPr>
        <w:pStyle w:val="ListParagraph"/>
        <w:ind w:left="0"/>
        <w:contextualSpacing w:val="0"/>
        <w:rPr>
          <w:rFonts w:ascii="Times New Roman" w:hAnsi="Times New Roman"/>
          <w:szCs w:val="24"/>
        </w:rPr>
      </w:pPr>
    </w:p>
    <w:p w14:paraId="61FF4041" w14:textId="73EA824A" w:rsidR="0067017D" w:rsidRPr="001C6793" w:rsidRDefault="0067017D" w:rsidP="0067017D">
      <w:pPr>
        <w:pStyle w:val="ListParagraph"/>
        <w:ind w:left="0"/>
        <w:contextualSpacing w:val="0"/>
        <w:rPr>
          <w:rFonts w:ascii="Times New Roman" w:hAnsi="Times New Roman"/>
          <w:szCs w:val="24"/>
        </w:rPr>
      </w:pPr>
      <w:r w:rsidRPr="006E3F5A">
        <w:rPr>
          <w:rFonts w:ascii="Times New Roman" w:hAnsi="Times New Roman"/>
          <w:szCs w:val="24"/>
        </w:rPr>
        <w:t xml:space="preserve">There </w:t>
      </w:r>
      <w:r>
        <w:rPr>
          <w:rFonts w:ascii="Times New Roman" w:hAnsi="Times New Roman"/>
          <w:szCs w:val="24"/>
        </w:rPr>
        <w:t>was</w:t>
      </w:r>
      <w:r w:rsidRPr="006E3F5A">
        <w:rPr>
          <w:rFonts w:ascii="Times New Roman" w:hAnsi="Times New Roman"/>
          <w:szCs w:val="24"/>
        </w:rPr>
        <w:t xml:space="preserve"> no evidence to show adrenal cortical hypofunction </w:t>
      </w:r>
      <w:r>
        <w:rPr>
          <w:rFonts w:ascii="Times New Roman" w:hAnsi="Times New Roman"/>
          <w:szCs w:val="24"/>
        </w:rPr>
        <w:t xml:space="preserve">in clinical trials </w:t>
      </w:r>
      <w:r w:rsidRPr="006E3F5A">
        <w:rPr>
          <w:rFonts w:ascii="Times New Roman" w:hAnsi="Times New Roman"/>
          <w:szCs w:val="24"/>
        </w:rPr>
        <w:t xml:space="preserve">with </w:t>
      </w:r>
      <w:r w:rsidRPr="008C3392">
        <w:rPr>
          <w:rFonts w:ascii="Times New Roman" w:hAnsi="Times New Roman"/>
          <w:szCs w:val="24"/>
        </w:rPr>
        <w:t>NGENLA</w:t>
      </w:r>
      <w:r w:rsidRPr="006E3F5A">
        <w:rPr>
          <w:rFonts w:ascii="Times New Roman" w:hAnsi="Times New Roman"/>
          <w:szCs w:val="24"/>
        </w:rPr>
        <w:t>.</w:t>
      </w:r>
    </w:p>
    <w:p w14:paraId="729890FD" w14:textId="77777777" w:rsidR="0067017D" w:rsidRDefault="0067017D" w:rsidP="0055227E">
      <w:pPr>
        <w:pStyle w:val="ListParagraph"/>
        <w:ind w:left="0"/>
        <w:contextualSpacing w:val="0"/>
        <w:rPr>
          <w:rFonts w:ascii="Times New Roman" w:hAnsi="Times New Roman"/>
          <w:szCs w:val="24"/>
        </w:rPr>
      </w:pPr>
    </w:p>
    <w:p w14:paraId="5701A051" w14:textId="77777777" w:rsidR="0055227E" w:rsidRDefault="0055227E" w:rsidP="007C6490">
      <w:pPr>
        <w:pStyle w:val="ListParagraph"/>
        <w:spacing w:after="120"/>
        <w:ind w:left="0"/>
        <w:contextualSpacing w:val="0"/>
        <w:rPr>
          <w:rFonts w:ascii="Times New Roman" w:hAnsi="Times New Roman"/>
          <w:szCs w:val="24"/>
          <w:u w:val="single"/>
        </w:rPr>
      </w:pPr>
      <w:r w:rsidRPr="00537AA6">
        <w:rPr>
          <w:rFonts w:ascii="Times New Roman" w:hAnsi="Times New Roman"/>
          <w:szCs w:val="24"/>
          <w:u w:val="single"/>
        </w:rPr>
        <w:t>Thyroid function</w:t>
      </w:r>
    </w:p>
    <w:p w14:paraId="53F5122B" w14:textId="218546AC" w:rsidR="0055227E" w:rsidRDefault="0055227E" w:rsidP="0055227E">
      <w:pPr>
        <w:pStyle w:val="ListParagraph"/>
        <w:ind w:left="0"/>
        <w:contextualSpacing w:val="0"/>
        <w:rPr>
          <w:rFonts w:ascii="Times New Roman" w:hAnsi="Times New Roman"/>
          <w:szCs w:val="24"/>
        </w:rPr>
      </w:pPr>
      <w:r w:rsidRPr="00430B51">
        <w:rPr>
          <w:rFonts w:ascii="Times New Roman" w:hAnsi="Times New Roman"/>
          <w:szCs w:val="24"/>
        </w:rPr>
        <w:t xml:space="preserve">Based on experience with daily growth </w:t>
      </w:r>
      <w:r w:rsidR="00E84000" w:rsidRPr="00430B51">
        <w:rPr>
          <w:rFonts w:ascii="Times New Roman" w:hAnsi="Times New Roman"/>
          <w:szCs w:val="24"/>
        </w:rPr>
        <w:t xml:space="preserve">hormone </w:t>
      </w:r>
      <w:r w:rsidR="00E84000">
        <w:rPr>
          <w:rFonts w:ascii="Times New Roman" w:hAnsi="Times New Roman"/>
          <w:szCs w:val="24"/>
        </w:rPr>
        <w:t>products</w:t>
      </w:r>
      <w:r w:rsidRPr="00430B51">
        <w:rPr>
          <w:rFonts w:ascii="Times New Roman" w:hAnsi="Times New Roman"/>
          <w:szCs w:val="24"/>
        </w:rPr>
        <w:t xml:space="preserve">, undiagnosed/untreated hypothyroidism may prevent an optimal response to </w:t>
      </w:r>
      <w:r w:rsidR="008C3392" w:rsidRPr="008C3392">
        <w:rPr>
          <w:rFonts w:ascii="Times New Roman" w:hAnsi="Times New Roman"/>
          <w:szCs w:val="24"/>
        </w:rPr>
        <w:t>NGENLA</w:t>
      </w:r>
      <w:r w:rsidRPr="00430B51">
        <w:rPr>
          <w:rFonts w:ascii="Times New Roman" w:hAnsi="Times New Roman"/>
          <w:szCs w:val="24"/>
        </w:rPr>
        <w:t xml:space="preserve"> therapy. During </w:t>
      </w:r>
      <w:r w:rsidR="008C3392" w:rsidRPr="008C3392">
        <w:rPr>
          <w:rFonts w:ascii="Times New Roman" w:hAnsi="Times New Roman"/>
          <w:szCs w:val="24"/>
        </w:rPr>
        <w:t>NGENLA</w:t>
      </w:r>
      <w:r w:rsidRPr="00430B51">
        <w:rPr>
          <w:rFonts w:ascii="Times New Roman" w:hAnsi="Times New Roman"/>
          <w:szCs w:val="24"/>
        </w:rPr>
        <w:t xml:space="preserve"> therapy, thyroid function should be monitored </w:t>
      </w:r>
      <w:r w:rsidRPr="00F553F7">
        <w:rPr>
          <w:rFonts w:ascii="Times New Roman" w:hAnsi="Times New Roman"/>
          <w:szCs w:val="24"/>
        </w:rPr>
        <w:t>as indicated based on clinical evaluation</w:t>
      </w:r>
      <w:r w:rsidRPr="00430B51">
        <w:rPr>
          <w:rFonts w:ascii="Times New Roman" w:hAnsi="Times New Roman"/>
          <w:szCs w:val="24"/>
        </w:rPr>
        <w:t>.</w:t>
      </w:r>
    </w:p>
    <w:p w14:paraId="53EC702C" w14:textId="77777777" w:rsidR="006F3815" w:rsidRDefault="006F3815" w:rsidP="0055227E">
      <w:pPr>
        <w:pStyle w:val="ListParagraph"/>
        <w:ind w:left="0"/>
        <w:contextualSpacing w:val="0"/>
        <w:rPr>
          <w:rFonts w:ascii="Times New Roman" w:hAnsi="Times New Roman"/>
          <w:szCs w:val="24"/>
        </w:rPr>
      </w:pPr>
    </w:p>
    <w:p w14:paraId="4958659A" w14:textId="77777777" w:rsidR="0067017D" w:rsidRDefault="0067017D" w:rsidP="0067017D">
      <w:pPr>
        <w:pStyle w:val="ListParagraph"/>
        <w:ind w:left="0"/>
        <w:contextualSpacing w:val="0"/>
        <w:rPr>
          <w:rFonts w:ascii="Times New Roman" w:hAnsi="Times New Roman"/>
          <w:szCs w:val="24"/>
        </w:rPr>
      </w:pPr>
      <w:r w:rsidRPr="00430B51">
        <w:rPr>
          <w:rFonts w:ascii="Times New Roman" w:hAnsi="Times New Roman"/>
          <w:szCs w:val="24"/>
        </w:rPr>
        <w:t>Thyroid function impairment did not worsen over time in clinical trials with</w:t>
      </w:r>
      <w:r>
        <w:rPr>
          <w:rFonts w:ascii="Times New Roman" w:hAnsi="Times New Roman"/>
          <w:szCs w:val="24"/>
        </w:rPr>
        <w:t xml:space="preserve"> </w:t>
      </w:r>
      <w:r w:rsidRPr="008C3392">
        <w:rPr>
          <w:rFonts w:ascii="Times New Roman" w:hAnsi="Times New Roman"/>
          <w:szCs w:val="24"/>
        </w:rPr>
        <w:t>NGENLA</w:t>
      </w:r>
      <w:r>
        <w:rPr>
          <w:rFonts w:ascii="Times New Roman" w:hAnsi="Times New Roman"/>
          <w:szCs w:val="24"/>
        </w:rPr>
        <w:t>.</w:t>
      </w:r>
    </w:p>
    <w:p w14:paraId="660F3990" w14:textId="77777777" w:rsidR="0055227E" w:rsidRPr="00281B9F" w:rsidRDefault="0055227E" w:rsidP="0055227E">
      <w:pPr>
        <w:pStyle w:val="ListParagraph"/>
        <w:ind w:left="0"/>
        <w:contextualSpacing w:val="0"/>
      </w:pPr>
    </w:p>
    <w:p w14:paraId="415DA01C" w14:textId="77777777" w:rsidR="0055227E" w:rsidRPr="001C6793" w:rsidRDefault="0055227E" w:rsidP="007C6490">
      <w:pPr>
        <w:spacing w:after="120"/>
        <w:rPr>
          <w:color w:val="000000"/>
          <w:u w:val="single"/>
        </w:rPr>
      </w:pPr>
      <w:r w:rsidRPr="001C6793">
        <w:rPr>
          <w:color w:val="000000"/>
          <w:u w:val="single"/>
        </w:rPr>
        <w:t xml:space="preserve">Epiphyseal disorders </w:t>
      </w:r>
    </w:p>
    <w:p w14:paraId="3FD41E4D" w14:textId="3A51D29B" w:rsidR="0055227E" w:rsidRDefault="0055227E" w:rsidP="0055227E">
      <w:pPr>
        <w:rPr>
          <w:color w:val="000000"/>
        </w:rPr>
      </w:pPr>
      <w:r w:rsidRPr="00C5471F">
        <w:rPr>
          <w:color w:val="000000"/>
        </w:rPr>
        <w:t>Epiphyseal disorders, including slipped capital femoral epiphysis may occur more frequently in patients with endocrine disorders or in patients undergoing rapid growth. Any p</w:t>
      </w:r>
      <w:r w:rsidR="00FA61F3">
        <w:rPr>
          <w:color w:val="000000"/>
        </w:rPr>
        <w:t>a</w:t>
      </w:r>
      <w:r w:rsidRPr="00C5471F">
        <w:rPr>
          <w:color w:val="000000"/>
        </w:rPr>
        <w:t>ediatric patient with the onset of a limp or complaints of hip or knee pain during treatment should be carefully evaluated.</w:t>
      </w:r>
    </w:p>
    <w:p w14:paraId="39295F28" w14:textId="03344D96" w:rsidR="0067017D" w:rsidRPr="00C5471F" w:rsidRDefault="0067017D" w:rsidP="0055227E">
      <w:pPr>
        <w:rPr>
          <w:color w:val="000000"/>
        </w:rPr>
      </w:pPr>
      <w:r w:rsidRPr="00C5471F">
        <w:rPr>
          <w:color w:val="000000"/>
        </w:rPr>
        <w:t xml:space="preserve">No epiphyseal disorders were reported with the administration of </w:t>
      </w:r>
      <w:r w:rsidRPr="008C3392">
        <w:rPr>
          <w:szCs w:val="24"/>
        </w:rPr>
        <w:t>NGENLA</w:t>
      </w:r>
      <w:r w:rsidRPr="00C5471F">
        <w:rPr>
          <w:color w:val="000000"/>
        </w:rPr>
        <w:t xml:space="preserve"> in clinical</w:t>
      </w:r>
      <w:r>
        <w:rPr>
          <w:color w:val="000000"/>
        </w:rPr>
        <w:t xml:space="preserve"> trials</w:t>
      </w:r>
      <w:r w:rsidRPr="00C5471F">
        <w:rPr>
          <w:color w:val="000000"/>
        </w:rPr>
        <w:t>.</w:t>
      </w:r>
    </w:p>
    <w:p w14:paraId="48853F22" w14:textId="69293D6C" w:rsidR="00137B87" w:rsidRPr="003D722F" w:rsidRDefault="00137B87" w:rsidP="003D722F">
      <w:pPr>
        <w:pStyle w:val="Heading2"/>
        <w:spacing w:before="120" w:line="240" w:lineRule="auto"/>
        <w:rPr>
          <w:b w:val="0"/>
          <w:bCs/>
          <w:u w:val="single"/>
          <w:lang w:val="en-US"/>
        </w:rPr>
      </w:pPr>
      <w:r w:rsidRPr="003D722F">
        <w:rPr>
          <w:b w:val="0"/>
          <w:bCs/>
          <w:u w:val="single"/>
          <w:lang w:val="en-US"/>
        </w:rPr>
        <w:t>Immunogenicity</w:t>
      </w:r>
    </w:p>
    <w:p w14:paraId="1BCACAE4" w14:textId="71532F95" w:rsidR="00137B87" w:rsidRDefault="00137B87" w:rsidP="00137B87">
      <w:pPr>
        <w:shd w:val="clear" w:color="auto" w:fill="FFFFFF"/>
        <w:rPr>
          <w:szCs w:val="24"/>
        </w:rPr>
      </w:pPr>
      <w:r w:rsidRPr="00137B87">
        <w:rPr>
          <w:szCs w:val="24"/>
        </w:rPr>
        <w:t xml:space="preserve">Consistent with the potentially immunogenic properties of protein and peptide pharmaceuticals, patients treated with </w:t>
      </w:r>
      <w:r w:rsidR="008C3392" w:rsidRPr="008C3392">
        <w:rPr>
          <w:szCs w:val="24"/>
        </w:rPr>
        <w:t>NGENLA</w:t>
      </w:r>
      <w:r w:rsidRPr="00137B87">
        <w:rPr>
          <w:szCs w:val="24"/>
        </w:rPr>
        <w:t xml:space="preserve"> may develop antibodies to </w:t>
      </w:r>
      <w:proofErr w:type="spellStart"/>
      <w:r w:rsidRPr="00137B87">
        <w:rPr>
          <w:szCs w:val="24"/>
        </w:rPr>
        <w:t>somatrogon</w:t>
      </w:r>
      <w:proofErr w:type="spellEnd"/>
      <w:r w:rsidRPr="00137B87">
        <w:rPr>
          <w:szCs w:val="24"/>
        </w:rPr>
        <w:t xml:space="preserve">. </w:t>
      </w:r>
    </w:p>
    <w:p w14:paraId="76101081" w14:textId="2C9B8C30" w:rsidR="00137B87" w:rsidRDefault="00137B87" w:rsidP="00137B87">
      <w:pPr>
        <w:shd w:val="clear" w:color="auto" w:fill="FFFFFF"/>
        <w:rPr>
          <w:shd w:val="clear" w:color="auto" w:fill="FFFFFF"/>
        </w:rPr>
      </w:pPr>
      <w:r w:rsidRPr="00137B87">
        <w:rPr>
          <w:szCs w:val="24"/>
        </w:rPr>
        <w:t>T</w:t>
      </w:r>
      <w:r>
        <w:t xml:space="preserve">he detection of antibody formation is highly dependent on the sensitivity and specificity of the assay.  Additionally, the observed incidence of antibody (including neutralizing antibody) positivity in an assay may be influenced by several factors including assay methodology, sample handling, timing of sample collection, concomitant medications, and underlying disease.  For these reasons, comparison of the incidence of antibodies to </w:t>
      </w:r>
      <w:proofErr w:type="spellStart"/>
      <w:r>
        <w:t>somatrogon</w:t>
      </w:r>
      <w:proofErr w:type="spellEnd"/>
      <w:r>
        <w:t xml:space="preserve"> </w:t>
      </w:r>
      <w:r w:rsidR="00E11EC4" w:rsidRPr="00B53D50">
        <w:t xml:space="preserve">in </w:t>
      </w:r>
      <w:r w:rsidR="00B53D50">
        <w:t>the study described below</w:t>
      </w:r>
      <w:r w:rsidR="00B53D50" w:rsidRPr="00B53D50">
        <w:t xml:space="preserve"> </w:t>
      </w:r>
      <w:r>
        <w:t>with the incidence of antibodies in other studies or to other</w:t>
      </w:r>
      <w:r>
        <w:rPr>
          <w:iCs/>
        </w:rPr>
        <w:t xml:space="preserve"> </w:t>
      </w:r>
      <w:r>
        <w:t>products may be misleading</w:t>
      </w:r>
      <w:r>
        <w:rPr>
          <w:shd w:val="clear" w:color="auto" w:fill="FFFFFF"/>
        </w:rPr>
        <w:t xml:space="preserve">. </w:t>
      </w:r>
    </w:p>
    <w:p w14:paraId="1B2955BC" w14:textId="1F55586C" w:rsidR="00137B87" w:rsidRPr="00137B87" w:rsidRDefault="00137B87" w:rsidP="00137B87">
      <w:pPr>
        <w:shd w:val="clear" w:color="auto" w:fill="FFFFFF"/>
        <w:rPr>
          <w:lang w:val="en-US"/>
        </w:rPr>
      </w:pPr>
      <w:r>
        <w:t xml:space="preserve">In the definitive safety and efficacy study, among 109 subjects treated with </w:t>
      </w:r>
      <w:proofErr w:type="spellStart"/>
      <w:r>
        <w:t>somatrogon</w:t>
      </w:r>
      <w:proofErr w:type="spellEnd"/>
      <w:r>
        <w:t>, 84 (77%) tested positive for anti-drug antibodies (ADAs). There were no serious adverse drug reactions, or serious immune-related toxicities reported in patients with or without ADAs. In addition, efficacy was similar in patients with or without ADAs.</w:t>
      </w:r>
      <w:r w:rsidR="00E11EC4">
        <w:t xml:space="preserve"> In addition, annual height velocity, change in height SDS, height SDS, </w:t>
      </w:r>
      <w:r w:rsidR="00E11EC4" w:rsidRPr="00EF3EC5">
        <w:t>and IGF-1 response</w:t>
      </w:r>
      <w:r w:rsidR="00E11EC4" w:rsidRPr="00510F5C">
        <w:t xml:space="preserve"> </w:t>
      </w:r>
      <w:r w:rsidR="00E11EC4">
        <w:t>were similar in patients with or without treatment-emergent ADAs.</w:t>
      </w:r>
    </w:p>
    <w:p w14:paraId="5E8350D3" w14:textId="21BC2813" w:rsidR="004569C2" w:rsidRDefault="004569C2" w:rsidP="004569C2">
      <w:pPr>
        <w:pStyle w:val="Heading2"/>
        <w:spacing w:line="240" w:lineRule="auto"/>
        <w:rPr>
          <w:lang w:val="en-US"/>
        </w:rPr>
      </w:pPr>
      <w:r w:rsidRPr="00281B9F">
        <w:rPr>
          <w:lang w:val="en-US"/>
        </w:rPr>
        <w:t xml:space="preserve">Use in </w:t>
      </w:r>
      <w:r>
        <w:rPr>
          <w:lang w:val="en-US"/>
        </w:rPr>
        <w:t>hepatic impairment</w:t>
      </w:r>
    </w:p>
    <w:p w14:paraId="20996C83" w14:textId="72EF02D8" w:rsidR="00137B87" w:rsidRPr="00177859" w:rsidRDefault="008C3392" w:rsidP="00137B87">
      <w:r w:rsidRPr="008C3392">
        <w:rPr>
          <w:szCs w:val="24"/>
        </w:rPr>
        <w:t>NGENLA</w:t>
      </w:r>
      <w:r w:rsidR="00137B87" w:rsidRPr="00903703">
        <w:t xml:space="preserve"> has not been studied in patients with hepatic</w:t>
      </w:r>
      <w:r w:rsidR="00137B87">
        <w:t xml:space="preserve"> </w:t>
      </w:r>
      <w:r w:rsidR="00137B87" w:rsidRPr="00903703">
        <w:t>impairment</w:t>
      </w:r>
      <w:r w:rsidR="00137B87">
        <w:t>.</w:t>
      </w:r>
    </w:p>
    <w:p w14:paraId="4E4CF81F" w14:textId="1F6D386A" w:rsidR="006E233B" w:rsidRDefault="006E233B" w:rsidP="006E233B">
      <w:pPr>
        <w:pStyle w:val="Heading2"/>
        <w:spacing w:line="240" w:lineRule="auto"/>
        <w:rPr>
          <w:lang w:val="en-US"/>
        </w:rPr>
      </w:pPr>
      <w:r w:rsidRPr="00281B9F">
        <w:rPr>
          <w:lang w:val="en-US"/>
        </w:rPr>
        <w:t xml:space="preserve">Use in </w:t>
      </w:r>
      <w:r>
        <w:rPr>
          <w:lang w:val="en-US"/>
        </w:rPr>
        <w:t>renal impairment</w:t>
      </w:r>
    </w:p>
    <w:p w14:paraId="172EE363" w14:textId="74E6DF1F" w:rsidR="00137B87" w:rsidRPr="00177859" w:rsidRDefault="008C3392" w:rsidP="00137B87">
      <w:r w:rsidRPr="008C3392">
        <w:rPr>
          <w:szCs w:val="24"/>
        </w:rPr>
        <w:t>NGENLA</w:t>
      </w:r>
      <w:r w:rsidR="00137B87" w:rsidRPr="00903703">
        <w:t xml:space="preserve"> has not been studied in patients with renal impairment</w:t>
      </w:r>
      <w:r w:rsidR="00137B87">
        <w:t>.</w:t>
      </w:r>
    </w:p>
    <w:p w14:paraId="46773E90" w14:textId="249B3594" w:rsidR="00AB36E9" w:rsidRPr="00281B9F" w:rsidRDefault="00AB36E9" w:rsidP="00226236">
      <w:pPr>
        <w:pStyle w:val="Heading2"/>
        <w:spacing w:line="240" w:lineRule="auto"/>
        <w:rPr>
          <w:lang w:val="en-US"/>
        </w:rPr>
      </w:pPr>
      <w:r w:rsidRPr="00281B9F">
        <w:rPr>
          <w:lang w:val="en-US"/>
        </w:rPr>
        <w:lastRenderedPageBreak/>
        <w:t xml:space="preserve">Use in the </w:t>
      </w:r>
      <w:r w:rsidR="004569C2">
        <w:rPr>
          <w:lang w:val="en-US"/>
        </w:rPr>
        <w:t>e</w:t>
      </w:r>
      <w:r w:rsidRPr="00281B9F">
        <w:rPr>
          <w:lang w:val="en-US"/>
        </w:rPr>
        <w:t>lderly</w:t>
      </w:r>
    </w:p>
    <w:p w14:paraId="67A7EAB5" w14:textId="08135D6D" w:rsidR="00AB36E9" w:rsidRPr="00281B9F" w:rsidRDefault="00AB36E9" w:rsidP="00226236">
      <w:pPr>
        <w:tabs>
          <w:tab w:val="left" w:pos="864"/>
          <w:tab w:val="left" w:pos="5184"/>
          <w:tab w:val="left" w:pos="5904"/>
        </w:tabs>
        <w:suppressAutoHyphens/>
        <w:rPr>
          <w:spacing w:val="-2"/>
          <w:lang w:val="en-US"/>
        </w:rPr>
      </w:pPr>
      <w:r w:rsidRPr="00281B9F">
        <w:rPr>
          <w:spacing w:val="-2"/>
          <w:lang w:val="en-US"/>
        </w:rPr>
        <w:t>No data available.</w:t>
      </w:r>
    </w:p>
    <w:p w14:paraId="2FE41E23" w14:textId="52153C88" w:rsidR="00AB36E9" w:rsidRPr="00281B9F" w:rsidRDefault="00AB36E9" w:rsidP="00226236">
      <w:pPr>
        <w:pStyle w:val="Heading2"/>
        <w:spacing w:before="120" w:line="240" w:lineRule="auto"/>
      </w:pPr>
      <w:r w:rsidRPr="00281B9F">
        <w:t xml:space="preserve">Paediatric </w:t>
      </w:r>
      <w:r w:rsidR="006E233B">
        <w:t>u</w:t>
      </w:r>
      <w:r w:rsidRPr="00281B9F">
        <w:t>se</w:t>
      </w:r>
    </w:p>
    <w:p w14:paraId="5D64EC45" w14:textId="3208AE24" w:rsidR="00AB36E9" w:rsidRDefault="00E25A2E" w:rsidP="00226236">
      <w:r w:rsidRPr="00E25A2E">
        <w:t xml:space="preserve">Currently </w:t>
      </w:r>
      <w:r w:rsidR="00AB36E9" w:rsidRPr="00E25A2E">
        <w:t>available</w:t>
      </w:r>
      <w:r w:rsidRPr="00E25A2E">
        <w:t xml:space="preserve"> data are described in sections 4.8, 5.1 and 5.2</w:t>
      </w:r>
      <w:r w:rsidR="00AB36E9" w:rsidRPr="00E25A2E">
        <w:t>.</w:t>
      </w:r>
      <w:r>
        <w:t xml:space="preserve"> The recommended dose is 0.66 mg/kg body weight administered once weekly by </w:t>
      </w:r>
      <w:r w:rsidRPr="00281B9F">
        <w:t xml:space="preserve">subcutaneous </w:t>
      </w:r>
      <w:r>
        <w:t xml:space="preserve">(SC) </w:t>
      </w:r>
      <w:r w:rsidRPr="00281B9F">
        <w:t>injection</w:t>
      </w:r>
      <w:r>
        <w:t xml:space="preserve"> (see section 4.2)</w:t>
      </w:r>
      <w:r w:rsidRPr="00281B9F">
        <w:t xml:space="preserve">.  </w:t>
      </w:r>
    </w:p>
    <w:p w14:paraId="120D70A6" w14:textId="565E9CFC" w:rsidR="0067017D" w:rsidRPr="00281B9F" w:rsidRDefault="0067017D" w:rsidP="00226236">
      <w:r w:rsidRPr="0067017D">
        <w:t>The efficacy and safety of N</w:t>
      </w:r>
      <w:r>
        <w:t>GENLA</w:t>
      </w:r>
      <w:r w:rsidRPr="0067017D">
        <w:t xml:space="preserve"> in p</w:t>
      </w:r>
      <w:r w:rsidR="00AC6E07">
        <w:t>a</w:t>
      </w:r>
      <w:r w:rsidRPr="0067017D">
        <w:t>ediatric patients 3 to 11 years of age with growth failure due to growth hormone deficiency have been established in clinical trials. The efficacy and safety of N</w:t>
      </w:r>
      <w:r>
        <w:t>GENLA</w:t>
      </w:r>
      <w:r w:rsidRPr="0067017D">
        <w:t xml:space="preserve"> have not been established in patients under 3 years of age. Data on the efficacy and safety of N</w:t>
      </w:r>
      <w:r>
        <w:t>GENLA</w:t>
      </w:r>
      <w:r w:rsidRPr="0067017D">
        <w:t xml:space="preserve"> in patients 12 to under 18 years of age are limited. P</w:t>
      </w:r>
      <w:r>
        <w:t>a</w:t>
      </w:r>
      <w:r w:rsidRPr="0067017D">
        <w:t>ediatric patients with growth failure due to acquired growth hormone deficiency caused by a malignancy were not studied in clinical trials</w:t>
      </w:r>
      <w:r w:rsidR="00A32B03">
        <w:t>.</w:t>
      </w:r>
      <w:r w:rsidR="0071791F">
        <w:t xml:space="preserve"> </w:t>
      </w:r>
      <w:r w:rsidRPr="0067017D">
        <w:t xml:space="preserve"> </w:t>
      </w:r>
    </w:p>
    <w:p w14:paraId="03C8FED1" w14:textId="1BF597E4" w:rsidR="00AB36E9" w:rsidRPr="00281B9F" w:rsidRDefault="00AB36E9" w:rsidP="00226236">
      <w:pPr>
        <w:pStyle w:val="Heading2"/>
        <w:spacing w:line="240" w:lineRule="auto"/>
        <w:rPr>
          <w:lang w:val="en-US"/>
        </w:rPr>
      </w:pPr>
      <w:r w:rsidRPr="00281B9F">
        <w:rPr>
          <w:lang w:val="en-US"/>
        </w:rPr>
        <w:t xml:space="preserve">Effects on </w:t>
      </w:r>
      <w:r w:rsidR="006E233B">
        <w:rPr>
          <w:lang w:val="en-US"/>
        </w:rPr>
        <w:t>l</w:t>
      </w:r>
      <w:r w:rsidRPr="00281B9F">
        <w:rPr>
          <w:lang w:val="en-US"/>
        </w:rPr>
        <w:t xml:space="preserve">aboratory </w:t>
      </w:r>
      <w:r w:rsidR="006E233B">
        <w:rPr>
          <w:lang w:val="en-US"/>
        </w:rPr>
        <w:t>t</w:t>
      </w:r>
      <w:r w:rsidRPr="00281B9F">
        <w:rPr>
          <w:lang w:val="en-US"/>
        </w:rPr>
        <w:t>ests</w:t>
      </w:r>
    </w:p>
    <w:p w14:paraId="50E4530B" w14:textId="4857B2EC" w:rsidR="00AB36E9" w:rsidRDefault="00AB36E9" w:rsidP="00226236">
      <w:r w:rsidRPr="00281B9F">
        <w:t>No data available.</w:t>
      </w:r>
    </w:p>
    <w:p w14:paraId="6252B2E6" w14:textId="77777777" w:rsidR="00AB36E9" w:rsidRPr="00281B9F" w:rsidRDefault="00AB36E9" w:rsidP="00226236">
      <w:pPr>
        <w:pStyle w:val="CLDHeading2"/>
      </w:pPr>
      <w:r w:rsidRPr="00281B9F">
        <w:t>4.5</w:t>
      </w:r>
      <w:r w:rsidRPr="00281B9F">
        <w:tab/>
        <w:t>Interactions with other medicines and other forms of interactions</w:t>
      </w:r>
    </w:p>
    <w:p w14:paraId="4190232B" w14:textId="46237073" w:rsidR="008530C5" w:rsidRDefault="008530C5" w:rsidP="007C6490">
      <w:pPr>
        <w:pStyle w:val="PIHeading2"/>
        <w:keepNext w:val="0"/>
        <w:keepLines w:val="0"/>
        <w:shd w:val="clear" w:color="auto" w:fill="FFFFFF"/>
        <w:tabs>
          <w:tab w:val="left" w:pos="540"/>
        </w:tabs>
        <w:spacing w:before="0"/>
        <w:rPr>
          <w:rFonts w:ascii="Times New Roman" w:hAnsi="Times New Roman"/>
          <w:b w:val="0"/>
          <w:bCs/>
          <w:szCs w:val="24"/>
          <w:u w:val="single"/>
        </w:rPr>
      </w:pPr>
      <w:r>
        <w:rPr>
          <w:rFonts w:ascii="Times New Roman" w:hAnsi="Times New Roman"/>
          <w:b w:val="0"/>
          <w:bCs/>
          <w:szCs w:val="24"/>
          <w:u w:val="single"/>
        </w:rPr>
        <w:t>Drugs metabolised by CYP3A4</w:t>
      </w:r>
    </w:p>
    <w:p w14:paraId="589DB787" w14:textId="07EF4969" w:rsidR="008530C5" w:rsidRPr="00C050BC" w:rsidRDefault="008530C5" w:rsidP="007C6490">
      <w:pPr>
        <w:pStyle w:val="PIHeading2"/>
        <w:keepNext w:val="0"/>
        <w:keepLines w:val="0"/>
        <w:shd w:val="clear" w:color="auto" w:fill="FFFFFF"/>
        <w:tabs>
          <w:tab w:val="left" w:pos="540"/>
        </w:tabs>
        <w:spacing w:before="0"/>
        <w:rPr>
          <w:rFonts w:ascii="Times New Roman" w:hAnsi="Times New Roman"/>
          <w:b w:val="0"/>
          <w:bCs/>
          <w:szCs w:val="24"/>
        </w:rPr>
      </w:pPr>
      <w:r w:rsidRPr="00C050BC">
        <w:rPr>
          <w:rFonts w:ascii="Times New Roman" w:hAnsi="Times New Roman"/>
          <w:b w:val="0"/>
          <w:bCs/>
          <w:i/>
          <w:iCs/>
          <w:szCs w:val="24"/>
        </w:rPr>
        <w:t xml:space="preserve">In vitro </w:t>
      </w:r>
      <w:r w:rsidRPr="00C050BC">
        <w:rPr>
          <w:rFonts w:ascii="Times New Roman" w:hAnsi="Times New Roman"/>
          <w:b w:val="0"/>
          <w:bCs/>
          <w:szCs w:val="24"/>
        </w:rPr>
        <w:t xml:space="preserve">data showing weak induction of CYP3A4 in cultured human hepatocytes by </w:t>
      </w:r>
      <w:proofErr w:type="spellStart"/>
      <w:r w:rsidRPr="00C050BC">
        <w:rPr>
          <w:rFonts w:ascii="Times New Roman" w:hAnsi="Times New Roman"/>
          <w:b w:val="0"/>
          <w:bCs/>
          <w:szCs w:val="24"/>
        </w:rPr>
        <w:t>somatrogon</w:t>
      </w:r>
      <w:proofErr w:type="spellEnd"/>
      <w:r w:rsidRPr="00C050BC">
        <w:rPr>
          <w:rFonts w:ascii="Times New Roman" w:hAnsi="Times New Roman"/>
          <w:b w:val="0"/>
          <w:bCs/>
          <w:szCs w:val="24"/>
        </w:rPr>
        <w:t xml:space="preserve"> suggest that treatment with NGENLA has the potential to increase clearance and reduce plasma level of concomitantly administered medications that are substrates for CYP3A4 (e.g.</w:t>
      </w:r>
      <w:r w:rsidR="00772714" w:rsidRPr="00C050BC">
        <w:rPr>
          <w:rFonts w:ascii="Times New Roman" w:hAnsi="Times New Roman"/>
          <w:b w:val="0"/>
          <w:bCs/>
          <w:szCs w:val="24"/>
        </w:rPr>
        <w:t>,</w:t>
      </w:r>
      <w:r w:rsidRPr="00C050BC">
        <w:rPr>
          <w:rFonts w:ascii="Times New Roman" w:hAnsi="Times New Roman"/>
          <w:b w:val="0"/>
          <w:bCs/>
          <w:szCs w:val="24"/>
        </w:rPr>
        <w:t xml:space="preserve"> sex st</w:t>
      </w:r>
      <w:r w:rsidR="00772714" w:rsidRPr="00C050BC">
        <w:rPr>
          <w:rFonts w:ascii="Times New Roman" w:hAnsi="Times New Roman"/>
          <w:b w:val="0"/>
          <w:bCs/>
          <w:szCs w:val="24"/>
        </w:rPr>
        <w:t>e</w:t>
      </w:r>
      <w:r w:rsidRPr="00C050BC">
        <w:rPr>
          <w:rFonts w:ascii="Times New Roman" w:hAnsi="Times New Roman"/>
          <w:b w:val="0"/>
          <w:bCs/>
          <w:szCs w:val="24"/>
        </w:rPr>
        <w:t xml:space="preserve">roids, corticosteroids, anticonvulsants and ciclosporin). </w:t>
      </w:r>
      <w:r w:rsidRPr="00C050BC">
        <w:rPr>
          <w:rFonts w:ascii="Times New Roman" w:hAnsi="Times New Roman"/>
          <w:b w:val="0"/>
          <w:bCs/>
          <w:i/>
          <w:iCs/>
          <w:szCs w:val="24"/>
        </w:rPr>
        <w:t xml:space="preserve">In vivo </w:t>
      </w:r>
      <w:r w:rsidRPr="00C050BC">
        <w:rPr>
          <w:rFonts w:ascii="Times New Roman" w:hAnsi="Times New Roman"/>
          <w:b w:val="0"/>
          <w:bCs/>
          <w:szCs w:val="24"/>
        </w:rPr>
        <w:t xml:space="preserve">interaction studies </w:t>
      </w:r>
      <w:r w:rsidR="007D4A52" w:rsidRPr="00C050BC">
        <w:rPr>
          <w:rFonts w:ascii="Times New Roman" w:hAnsi="Times New Roman"/>
          <w:b w:val="0"/>
          <w:bCs/>
          <w:szCs w:val="24"/>
        </w:rPr>
        <w:t>have not been performed.</w:t>
      </w:r>
    </w:p>
    <w:p w14:paraId="3208B025" w14:textId="3209EB2E" w:rsidR="0055227E" w:rsidRPr="002D3702" w:rsidRDefault="0055227E" w:rsidP="007C6490">
      <w:pPr>
        <w:pStyle w:val="PIHeading2"/>
        <w:keepNext w:val="0"/>
        <w:keepLines w:val="0"/>
        <w:shd w:val="clear" w:color="auto" w:fill="FFFFFF"/>
        <w:tabs>
          <w:tab w:val="left" w:pos="540"/>
        </w:tabs>
        <w:spacing w:before="0"/>
        <w:rPr>
          <w:rFonts w:ascii="Times New Roman" w:hAnsi="Times New Roman"/>
          <w:b w:val="0"/>
          <w:bCs/>
          <w:szCs w:val="24"/>
          <w:u w:val="single"/>
        </w:rPr>
      </w:pPr>
      <w:r w:rsidRPr="002D3702">
        <w:rPr>
          <w:rFonts w:ascii="Times New Roman" w:hAnsi="Times New Roman"/>
          <w:b w:val="0"/>
          <w:bCs/>
          <w:szCs w:val="24"/>
          <w:u w:val="single"/>
        </w:rPr>
        <w:t>Glucocorticoids</w:t>
      </w:r>
    </w:p>
    <w:p w14:paraId="2CDD0FF8" w14:textId="4BC8291A" w:rsidR="0055227E" w:rsidRDefault="0055227E" w:rsidP="0055227E">
      <w:pPr>
        <w:pStyle w:val="PIHeading2"/>
        <w:keepNext w:val="0"/>
        <w:keepLines w:val="0"/>
        <w:shd w:val="clear" w:color="auto" w:fill="FFFFFF"/>
        <w:tabs>
          <w:tab w:val="left" w:pos="540"/>
        </w:tabs>
        <w:spacing w:before="0" w:after="0"/>
        <w:rPr>
          <w:rFonts w:ascii="Times New Roman" w:hAnsi="Times New Roman"/>
          <w:b w:val="0"/>
        </w:rPr>
      </w:pPr>
      <w:r>
        <w:rPr>
          <w:rFonts w:ascii="Times New Roman" w:hAnsi="Times New Roman"/>
          <w:b w:val="0"/>
        </w:rPr>
        <w:t xml:space="preserve">In patients receiving concomitant </w:t>
      </w:r>
      <w:r w:rsidR="008C3392" w:rsidRPr="008C3392">
        <w:rPr>
          <w:rFonts w:ascii="Times New Roman" w:hAnsi="Times New Roman"/>
          <w:b w:val="0"/>
        </w:rPr>
        <w:t>NGENLA</w:t>
      </w:r>
      <w:r>
        <w:rPr>
          <w:rFonts w:ascii="Times New Roman" w:hAnsi="Times New Roman"/>
          <w:b w:val="0"/>
        </w:rPr>
        <w:t xml:space="preserve"> and glucocorticoid treatments, glucocorticoid dosing should be carefully </w:t>
      </w:r>
      <w:r w:rsidRPr="002D3702">
        <w:rPr>
          <w:rFonts w:ascii="Times New Roman" w:hAnsi="Times New Roman"/>
          <w:b w:val="0"/>
        </w:rPr>
        <w:t>monitored</w:t>
      </w:r>
      <w:r>
        <w:rPr>
          <w:rFonts w:ascii="Times New Roman" w:hAnsi="Times New Roman"/>
          <w:b w:val="0"/>
        </w:rPr>
        <w:t xml:space="preserve"> to avoid both hypoadrenalism and an inhibitory effect on growth.</w:t>
      </w:r>
      <w:r w:rsidRPr="002D3702">
        <w:rPr>
          <w:rFonts w:ascii="Times New Roman" w:hAnsi="Times New Roman"/>
          <w:b w:val="0"/>
        </w:rPr>
        <w:t xml:space="preserve"> </w:t>
      </w:r>
    </w:p>
    <w:p w14:paraId="0572741E" w14:textId="77777777" w:rsidR="0055227E" w:rsidRDefault="0055227E" w:rsidP="0055227E">
      <w:pPr>
        <w:pStyle w:val="PIHeading2"/>
        <w:keepNext w:val="0"/>
        <w:keepLines w:val="0"/>
        <w:shd w:val="clear" w:color="auto" w:fill="FFFFFF"/>
        <w:tabs>
          <w:tab w:val="left" w:pos="540"/>
        </w:tabs>
        <w:spacing w:before="0" w:after="0"/>
        <w:rPr>
          <w:rFonts w:ascii="Times New Roman" w:hAnsi="Times New Roman"/>
          <w:b w:val="0"/>
        </w:rPr>
      </w:pPr>
    </w:p>
    <w:p w14:paraId="06CAC800" w14:textId="3B42289D" w:rsidR="0055227E" w:rsidRDefault="0055227E" w:rsidP="0055227E">
      <w:pPr>
        <w:rPr>
          <w:rFonts w:eastAsia="TimesNewRomanPSMT"/>
        </w:rPr>
      </w:pPr>
      <w:r>
        <w:rPr>
          <w:rFonts w:eastAsia="TimesNewRomanPSMT"/>
        </w:rPr>
        <w:t xml:space="preserve">The microsomal enzyme </w:t>
      </w:r>
      <w:r w:rsidRPr="001C6793">
        <w:t>11β-hydroxysteroid dehydrogenase type 1(</w:t>
      </w:r>
      <w:r>
        <w:rPr>
          <w:rFonts w:eastAsia="TimesNewRomanPSMT"/>
        </w:rPr>
        <w:t xml:space="preserve">11βHSD-1) is required for conversion of cortisone to its active metabolite, cortisol, in hepatic and adipose tissue. </w:t>
      </w:r>
    </w:p>
    <w:p w14:paraId="156F1A83" w14:textId="72F691A1" w:rsidR="0055227E" w:rsidRPr="009C73BA" w:rsidRDefault="0055227E" w:rsidP="0055227E">
      <w:pPr>
        <w:rPr>
          <w:rFonts w:eastAsia="TimesNewRomanPSMT"/>
        </w:rPr>
      </w:pPr>
      <w:r>
        <w:rPr>
          <w:rFonts w:eastAsia="TimesNewRomanPSMT"/>
        </w:rPr>
        <w:t>T</w:t>
      </w:r>
      <w:r w:rsidRPr="00D679F5">
        <w:rPr>
          <w:rFonts w:eastAsia="TimesNewRomanPSMT"/>
        </w:rPr>
        <w:t xml:space="preserve">reatment </w:t>
      </w:r>
      <w:r>
        <w:rPr>
          <w:rFonts w:eastAsia="TimesNewRomanPSMT"/>
        </w:rPr>
        <w:t xml:space="preserve">with daily growth hormone products </w:t>
      </w:r>
      <w:r w:rsidRPr="00D679F5">
        <w:rPr>
          <w:rFonts w:eastAsia="TimesNewRomanPSMT"/>
        </w:rPr>
        <w:t>inhibits 11βHSD-1, reducing serum cortisol concentrations, which ma</w:t>
      </w:r>
      <w:r w:rsidRPr="00D679F5">
        <w:rPr>
          <w:noProof/>
        </w:rPr>
        <w:t xml:space="preserve">y unmask previously </w:t>
      </w:r>
      <w:r>
        <w:rPr>
          <w:noProof/>
        </w:rPr>
        <w:t xml:space="preserve">undiagnosed </w:t>
      </w:r>
      <w:r w:rsidRPr="00D679F5">
        <w:rPr>
          <w:noProof/>
        </w:rPr>
        <w:t xml:space="preserve"> central </w:t>
      </w:r>
      <w:r w:rsidR="00FA61F3">
        <w:rPr>
          <w:noProof/>
        </w:rPr>
        <w:t xml:space="preserve">(secondary) </w:t>
      </w:r>
      <w:r w:rsidRPr="00D679F5">
        <w:rPr>
          <w:noProof/>
        </w:rPr>
        <w:t>hypoadrenalism or render low</w:t>
      </w:r>
      <w:r>
        <w:rPr>
          <w:noProof/>
        </w:rPr>
        <w:t xml:space="preserve"> </w:t>
      </w:r>
      <w:r w:rsidRPr="00D679F5">
        <w:rPr>
          <w:noProof/>
        </w:rPr>
        <w:t xml:space="preserve">glucocorticoid replacement doses ineffective </w:t>
      </w:r>
      <w:r w:rsidRPr="00D679F5">
        <w:t>(see</w:t>
      </w:r>
      <w:r>
        <w:t xml:space="preserve"> section 4.4</w:t>
      </w:r>
      <w:r w:rsidRPr="00D679F5">
        <w:t>).</w:t>
      </w:r>
      <w:r>
        <w:t xml:space="preserve"> </w:t>
      </w:r>
    </w:p>
    <w:p w14:paraId="029A6BB2" w14:textId="5A8EBE3C" w:rsidR="0055227E" w:rsidRDefault="0055227E" w:rsidP="0055227E">
      <w:pPr>
        <w:pStyle w:val="PIHeading2"/>
        <w:keepNext w:val="0"/>
        <w:keepLines w:val="0"/>
        <w:shd w:val="clear" w:color="auto" w:fill="FFFFFF"/>
        <w:tabs>
          <w:tab w:val="left" w:pos="540"/>
        </w:tabs>
        <w:spacing w:before="0" w:after="0"/>
        <w:rPr>
          <w:rFonts w:eastAsia="TimesNewRomanPSMT"/>
          <w:szCs w:val="24"/>
        </w:rPr>
      </w:pPr>
      <w:r>
        <w:rPr>
          <w:rFonts w:ascii="Times New Roman" w:hAnsi="Times New Roman"/>
          <w:b w:val="0"/>
          <w:bCs/>
          <w:szCs w:val="24"/>
        </w:rPr>
        <w:t>Patients treated with cortisone acetate and prednisone may be affected more than others because conversion of these drugs to their biologically active metabolites is dependent on the activity of 11βHSD-1</w:t>
      </w:r>
      <w:r>
        <w:rPr>
          <w:rFonts w:eastAsia="TimesNewRomanPSMT"/>
          <w:szCs w:val="24"/>
        </w:rPr>
        <w:t>.</w:t>
      </w:r>
    </w:p>
    <w:p w14:paraId="3124E8F4" w14:textId="77777777" w:rsidR="0055227E" w:rsidRDefault="0055227E" w:rsidP="0055227E">
      <w:pPr>
        <w:pStyle w:val="PIHeading2"/>
        <w:keepNext w:val="0"/>
        <w:keepLines w:val="0"/>
        <w:shd w:val="clear" w:color="auto" w:fill="FFFFFF"/>
        <w:tabs>
          <w:tab w:val="left" w:pos="540"/>
        </w:tabs>
        <w:spacing w:before="0" w:after="0"/>
        <w:rPr>
          <w:rFonts w:eastAsia="TimesNewRomanPSMT"/>
          <w:szCs w:val="24"/>
        </w:rPr>
      </w:pPr>
    </w:p>
    <w:p w14:paraId="796BB4F2" w14:textId="36F70B6D" w:rsidR="0055227E" w:rsidRPr="001F3602" w:rsidRDefault="0055227E" w:rsidP="007C6490">
      <w:pPr>
        <w:spacing w:after="120"/>
        <w:rPr>
          <w:bCs/>
          <w:u w:val="single"/>
        </w:rPr>
      </w:pPr>
      <w:r w:rsidRPr="001F3602">
        <w:rPr>
          <w:bCs/>
          <w:u w:val="single"/>
        </w:rPr>
        <w:t xml:space="preserve">Insulin and/or oral/injectable </w:t>
      </w:r>
      <w:r w:rsidR="00E84000" w:rsidRPr="001F3602">
        <w:rPr>
          <w:bCs/>
          <w:u w:val="single"/>
        </w:rPr>
        <w:t>hypoglycaemic</w:t>
      </w:r>
      <w:r w:rsidRPr="001F3602">
        <w:rPr>
          <w:bCs/>
          <w:u w:val="single"/>
        </w:rPr>
        <w:t xml:space="preserve"> agents</w:t>
      </w:r>
    </w:p>
    <w:p w14:paraId="70D9C033" w14:textId="67A7502D" w:rsidR="0055227E" w:rsidRDefault="0055227E" w:rsidP="0055227E">
      <w:r>
        <w:t xml:space="preserve">In patients with diabetes mellitus requiring drug therapy, the dose of insulin and/or oral/injectable agent may require adjustment when </w:t>
      </w:r>
      <w:r w:rsidR="008C3392" w:rsidRPr="008C3392">
        <w:rPr>
          <w:szCs w:val="24"/>
        </w:rPr>
        <w:t>NGENLA</w:t>
      </w:r>
      <w:r>
        <w:t xml:space="preserve"> therapy is initiated (see section 4.4).</w:t>
      </w:r>
    </w:p>
    <w:p w14:paraId="0AAE0C04" w14:textId="77777777" w:rsidR="00AB36E9" w:rsidRPr="00281B9F" w:rsidRDefault="00AB36E9" w:rsidP="00226236">
      <w:pPr>
        <w:pStyle w:val="CLDHeading2"/>
      </w:pPr>
      <w:r w:rsidRPr="00281B9F">
        <w:lastRenderedPageBreak/>
        <w:t>4.6</w:t>
      </w:r>
      <w:r w:rsidRPr="00281B9F">
        <w:tab/>
        <w:t xml:space="preserve">Fertility, </w:t>
      </w:r>
      <w:proofErr w:type="gramStart"/>
      <w:r w:rsidRPr="00281B9F">
        <w:t>pregnancy</w:t>
      </w:r>
      <w:proofErr w:type="gramEnd"/>
      <w:r w:rsidRPr="00281B9F">
        <w:t xml:space="preserve"> and lactation</w:t>
      </w:r>
    </w:p>
    <w:p w14:paraId="520FA794" w14:textId="507828AC" w:rsidR="00B70B65" w:rsidRPr="00226236" w:rsidRDefault="00B70B65" w:rsidP="00226236">
      <w:pPr>
        <w:pStyle w:val="Heading2"/>
        <w:spacing w:line="240" w:lineRule="auto"/>
        <w:rPr>
          <w:lang w:val="en-US"/>
        </w:rPr>
      </w:pPr>
      <w:r w:rsidRPr="00226236">
        <w:rPr>
          <w:lang w:val="en-US"/>
        </w:rPr>
        <w:t xml:space="preserve">Effects on </w:t>
      </w:r>
      <w:r w:rsidR="006E233B">
        <w:rPr>
          <w:lang w:val="en-US"/>
        </w:rPr>
        <w:t>f</w:t>
      </w:r>
      <w:r w:rsidRPr="00226236">
        <w:rPr>
          <w:lang w:val="en-US"/>
        </w:rPr>
        <w:t>ertility</w:t>
      </w:r>
    </w:p>
    <w:p w14:paraId="403B2B5C" w14:textId="43574781" w:rsidR="0055227E" w:rsidRDefault="0055227E" w:rsidP="00F0530C">
      <w:pPr>
        <w:rPr>
          <w:szCs w:val="24"/>
        </w:rPr>
      </w:pPr>
      <w:bookmarkStart w:id="2" w:name="_Hlk82077536"/>
      <w:r w:rsidRPr="001C6793">
        <w:rPr>
          <w:rFonts w:eastAsia="TimesNewRoman"/>
        </w:rPr>
        <w:t xml:space="preserve">The risk of infertility in </w:t>
      </w:r>
      <w:r>
        <w:rPr>
          <w:rFonts w:eastAsia="TimesNewRoman"/>
        </w:rPr>
        <w:t xml:space="preserve">males and females </w:t>
      </w:r>
      <w:r w:rsidRPr="001C6793">
        <w:rPr>
          <w:rFonts w:eastAsia="TimesNewRoman"/>
        </w:rPr>
        <w:t xml:space="preserve">of reproductive potential has not been studied in humans. </w:t>
      </w:r>
    </w:p>
    <w:p w14:paraId="12ED1340" w14:textId="30BEE44B" w:rsidR="00F0530C" w:rsidRDefault="00F0530C" w:rsidP="00F0530C">
      <w:r>
        <w:rPr>
          <w:szCs w:val="24"/>
        </w:rPr>
        <w:t xml:space="preserve">Male and </w:t>
      </w:r>
      <w:r w:rsidR="00A96945">
        <w:rPr>
          <w:szCs w:val="24"/>
        </w:rPr>
        <w:t xml:space="preserve">female fertility indices were unaffected in rats treated with </w:t>
      </w:r>
      <w:proofErr w:type="spellStart"/>
      <w:r w:rsidR="00A96945">
        <w:rPr>
          <w:szCs w:val="24"/>
        </w:rPr>
        <w:t>somatrogon</w:t>
      </w:r>
      <w:proofErr w:type="spellEnd"/>
      <w:r w:rsidR="00A96945">
        <w:rPr>
          <w:szCs w:val="24"/>
        </w:rPr>
        <w:t xml:space="preserve"> at subcutaneous doses up to 30 mg/kg once every 2 days, yielding approximately 50 times the exposure in patients at the recommended human dose. Effects on ovulation (increase</w:t>
      </w:r>
      <w:r w:rsidR="00C24EA3">
        <w:rPr>
          <w:szCs w:val="24"/>
        </w:rPr>
        <w:t>d</w:t>
      </w:r>
      <w:r w:rsidR="00A96945">
        <w:rPr>
          <w:szCs w:val="24"/>
        </w:rPr>
        <w:t xml:space="preserve"> oestrous </w:t>
      </w:r>
      <w:r w:rsidR="00380DE0">
        <w:rPr>
          <w:szCs w:val="24"/>
        </w:rPr>
        <w:t>c</w:t>
      </w:r>
      <w:r w:rsidR="00A96945">
        <w:rPr>
          <w:szCs w:val="24"/>
        </w:rPr>
        <w:t xml:space="preserve">ycle length and the number of corpora lutea) were observed in treated female </w:t>
      </w:r>
      <w:proofErr w:type="gramStart"/>
      <w:r w:rsidR="00A96945">
        <w:rPr>
          <w:szCs w:val="24"/>
        </w:rPr>
        <w:t>rats, but</w:t>
      </w:r>
      <w:proofErr w:type="gramEnd"/>
      <w:r w:rsidR="00A96945">
        <w:rPr>
          <w:szCs w:val="24"/>
        </w:rPr>
        <w:t xml:space="preserve"> did not affect the incidence of pregnancy or the number of viable embryos per dam.</w:t>
      </w:r>
    </w:p>
    <w:bookmarkEnd w:id="2"/>
    <w:p w14:paraId="427673B6" w14:textId="023B05D6" w:rsidR="00B70B65" w:rsidRPr="00281B9F" w:rsidRDefault="00B70B65" w:rsidP="00226236">
      <w:pPr>
        <w:pStyle w:val="Heading2"/>
        <w:spacing w:line="240" w:lineRule="auto"/>
      </w:pPr>
      <w:r w:rsidRPr="00281B9F">
        <w:t xml:space="preserve">Use in </w:t>
      </w:r>
      <w:r w:rsidR="006E233B">
        <w:t>p</w:t>
      </w:r>
      <w:r w:rsidRPr="00281B9F">
        <w:t xml:space="preserve">regnancy – Pregnancy Category </w:t>
      </w:r>
      <w:r w:rsidR="00A96945">
        <w:t>B1</w:t>
      </w:r>
    </w:p>
    <w:p w14:paraId="5572446B" w14:textId="4CA20D0E" w:rsidR="003338DB" w:rsidRDefault="0055227E" w:rsidP="0055227E">
      <w:pPr>
        <w:shd w:val="clear" w:color="auto" w:fill="FFFFFF"/>
      </w:pPr>
      <w:bookmarkStart w:id="3" w:name="_Hlk46128145"/>
      <w:bookmarkStart w:id="4" w:name="_Hlk82077695"/>
      <w:r w:rsidRPr="001345E4">
        <w:t>There are no studies in pregnant women</w:t>
      </w:r>
      <w:bookmarkEnd w:id="3"/>
      <w:r w:rsidRPr="001345E4">
        <w:t xml:space="preserve">. </w:t>
      </w:r>
      <w:r w:rsidR="003338DB">
        <w:t>No adverse effects</w:t>
      </w:r>
      <w:r w:rsidR="00A96945">
        <w:t xml:space="preserve"> </w:t>
      </w:r>
      <w:r w:rsidR="003338DB">
        <w:t xml:space="preserve">on embryofetal development were observed with </w:t>
      </w:r>
      <w:proofErr w:type="spellStart"/>
      <w:r w:rsidR="003338DB">
        <w:t>somatrogon</w:t>
      </w:r>
      <w:proofErr w:type="spellEnd"/>
      <w:r w:rsidR="003338DB">
        <w:t xml:space="preserve"> in rats at subcutaneous doses up to 30 mg/kg once </w:t>
      </w:r>
      <w:r w:rsidR="00C24EA3">
        <w:t>every</w:t>
      </w:r>
      <w:r w:rsidR="003338DB">
        <w:t xml:space="preserve"> 2 days (yielding </w:t>
      </w:r>
      <w:r w:rsidR="00A96945">
        <w:t xml:space="preserve">approximately 50 times the exposure in patients at the maximum recommended human dose, based on serum AUC). While birth weight was unaffected, postnatal body weight was increased in rats with maternal treatment at ≥10 mg/kg once </w:t>
      </w:r>
      <w:r w:rsidR="00C24EA3">
        <w:t>e</w:t>
      </w:r>
      <w:r w:rsidR="00A96945">
        <w:t>very 2 days during gestation and lactation. At 30 mg/kg once every 2 days</w:t>
      </w:r>
      <w:r w:rsidR="00C24EA3">
        <w:t>, o</w:t>
      </w:r>
      <w:r w:rsidR="00A96945">
        <w:t xml:space="preserve">estrous cycle length </w:t>
      </w:r>
      <w:r w:rsidR="00C24EA3">
        <w:t>w</w:t>
      </w:r>
      <w:r w:rsidR="00A96945">
        <w:t>as increased in the offspring of treated rats, but with no impact on the fertility index.</w:t>
      </w:r>
    </w:p>
    <w:bookmarkEnd w:id="4"/>
    <w:p w14:paraId="25E729D4" w14:textId="612EA4B9" w:rsidR="0055227E" w:rsidRPr="001345E4" w:rsidRDefault="0055227E" w:rsidP="0055227E">
      <w:pPr>
        <w:shd w:val="clear" w:color="auto" w:fill="FFFFFF"/>
        <w:rPr>
          <w:shd w:val="clear" w:color="auto" w:fill="FFFFCC"/>
        </w:rPr>
      </w:pPr>
      <w:r w:rsidRPr="001345E4">
        <w:t xml:space="preserve">Because animal reproduction studies are not always predictive of human response, </w:t>
      </w:r>
      <w:r w:rsidR="008C3392" w:rsidRPr="008C3392">
        <w:rPr>
          <w:szCs w:val="24"/>
        </w:rPr>
        <w:t>NGENLA</w:t>
      </w:r>
      <w:r>
        <w:t xml:space="preserve"> </w:t>
      </w:r>
      <w:r w:rsidRPr="001345E4">
        <w:t>should be used during pregnancy only if clearly needed.</w:t>
      </w:r>
      <w:r w:rsidRPr="001345E4">
        <w:rPr>
          <w:shd w:val="clear" w:color="auto" w:fill="FFFFCC"/>
        </w:rPr>
        <w:t xml:space="preserve"> </w:t>
      </w:r>
    </w:p>
    <w:p w14:paraId="1A56945B" w14:textId="77777777" w:rsidR="0055227E" w:rsidRPr="001C6793" w:rsidRDefault="0055227E" w:rsidP="0055227E">
      <w:pPr>
        <w:shd w:val="clear" w:color="auto" w:fill="FFFFFF"/>
        <w:spacing w:before="20" w:after="20"/>
        <w:rPr>
          <w:rFonts w:eastAsia="TimesNewRoman"/>
        </w:rPr>
      </w:pPr>
      <w:proofErr w:type="spellStart"/>
      <w:r w:rsidRPr="001C6793">
        <w:rPr>
          <w:rFonts w:eastAsia="TimesNewRoman"/>
        </w:rPr>
        <w:t>Somatrogon</w:t>
      </w:r>
      <w:proofErr w:type="spellEnd"/>
      <w:r w:rsidRPr="001C6793">
        <w:rPr>
          <w:rFonts w:eastAsia="TimesNewRoman"/>
        </w:rPr>
        <w:t xml:space="preserve"> has been shown not to interfere with blood or urine pregnancy tests.</w:t>
      </w:r>
    </w:p>
    <w:p w14:paraId="7E7D6D05" w14:textId="70FA1BBA" w:rsidR="00B70B65" w:rsidRPr="00281B9F" w:rsidRDefault="00B70B65" w:rsidP="00226236">
      <w:pPr>
        <w:pStyle w:val="Heading2"/>
        <w:spacing w:line="240" w:lineRule="auto"/>
      </w:pPr>
      <w:r w:rsidRPr="00281B9F">
        <w:t xml:space="preserve">Use in </w:t>
      </w:r>
      <w:r w:rsidR="006E233B">
        <w:t>l</w:t>
      </w:r>
      <w:r w:rsidRPr="00281B9F">
        <w:t>actation</w:t>
      </w:r>
    </w:p>
    <w:p w14:paraId="6F8BDA73" w14:textId="3E2A369A" w:rsidR="0055227E" w:rsidRDefault="0055227E" w:rsidP="0055227E">
      <w:pPr>
        <w:pStyle w:val="Paragraph"/>
        <w:spacing w:after="0"/>
      </w:pPr>
      <w:r w:rsidRPr="00537AA6">
        <w:t xml:space="preserve">Lactation studies have not been conducted with </w:t>
      </w:r>
      <w:proofErr w:type="spellStart"/>
      <w:r w:rsidRPr="00537AA6">
        <w:t>somatrogon</w:t>
      </w:r>
      <w:proofErr w:type="spellEnd"/>
      <w:r w:rsidRPr="00537AA6">
        <w:t xml:space="preserve">. It is not known whether </w:t>
      </w:r>
      <w:proofErr w:type="spellStart"/>
      <w:r w:rsidRPr="00537AA6">
        <w:t>somatrogon</w:t>
      </w:r>
      <w:proofErr w:type="spellEnd"/>
      <w:r w:rsidRPr="00537AA6">
        <w:t xml:space="preserve"> is excreted in human milk. </w:t>
      </w:r>
      <w:r w:rsidR="003338DB">
        <w:t xml:space="preserve">Due to the potential risk to the infant, </w:t>
      </w:r>
      <w:r w:rsidR="008C3392" w:rsidRPr="008C3392">
        <w:t>NGENLA</w:t>
      </w:r>
      <w:r w:rsidRPr="00537AA6">
        <w:t xml:space="preserve"> should be </w:t>
      </w:r>
      <w:r w:rsidR="003338DB">
        <w:t>used during breas</w:t>
      </w:r>
      <w:r w:rsidR="00A96945">
        <w:t>t</w:t>
      </w:r>
      <w:r w:rsidR="003338DB">
        <w:t>feeding</w:t>
      </w:r>
      <w:r w:rsidRPr="00537AA6">
        <w:t xml:space="preserve"> only if clearly</w:t>
      </w:r>
      <w:r>
        <w:t xml:space="preserve"> needed</w:t>
      </w:r>
      <w:r w:rsidRPr="00537AA6">
        <w:t>.</w:t>
      </w:r>
    </w:p>
    <w:p w14:paraId="38405264" w14:textId="77777777" w:rsidR="00B70B65" w:rsidRPr="00281B9F" w:rsidRDefault="00B70B65" w:rsidP="00226236">
      <w:pPr>
        <w:pStyle w:val="CLDHeading2"/>
      </w:pPr>
      <w:r w:rsidRPr="00281B9F">
        <w:t>4.7</w:t>
      </w:r>
      <w:r w:rsidRPr="00281B9F">
        <w:tab/>
        <w:t>Effects on ability to drive and use machines</w:t>
      </w:r>
    </w:p>
    <w:p w14:paraId="16A5899E" w14:textId="595B0901" w:rsidR="00B70B65" w:rsidRPr="00281B9F" w:rsidRDefault="0055227E" w:rsidP="00226236">
      <w:pPr>
        <w:rPr>
          <w:bCs/>
        </w:rPr>
      </w:pPr>
      <w:r>
        <w:t xml:space="preserve">No </w:t>
      </w:r>
      <w:r w:rsidR="00B70B65" w:rsidRPr="00281B9F">
        <w:t xml:space="preserve">effects on </w:t>
      </w:r>
      <w:r>
        <w:t xml:space="preserve">the </w:t>
      </w:r>
      <w:r w:rsidR="00B70B65" w:rsidRPr="00281B9F">
        <w:t xml:space="preserve">ability to drive and use machines </w:t>
      </w:r>
      <w:r>
        <w:t>have been observed.</w:t>
      </w:r>
    </w:p>
    <w:p w14:paraId="679D2A38" w14:textId="77777777" w:rsidR="00B70B65" w:rsidRPr="00281B9F" w:rsidRDefault="00B70B65" w:rsidP="00226236">
      <w:pPr>
        <w:pStyle w:val="CLDHeading2"/>
      </w:pPr>
      <w:r w:rsidRPr="00281B9F">
        <w:t>4.8</w:t>
      </w:r>
      <w:r w:rsidRPr="00281B9F">
        <w:tab/>
        <w:t>Adverse effects (undesirable effects)</w:t>
      </w:r>
    </w:p>
    <w:p w14:paraId="53AEB08C" w14:textId="7CB26302" w:rsidR="00366774" w:rsidRDefault="00366774" w:rsidP="00366774">
      <w:pPr>
        <w:pStyle w:val="paragraph0"/>
        <w:spacing w:before="0" w:beforeAutospacing="0" w:after="0" w:afterAutospacing="0"/>
        <w:textAlignment w:val="baseline"/>
        <w:rPr>
          <w:rStyle w:val="eop"/>
          <w:color w:val="000000"/>
          <w:sz w:val="23"/>
          <w:szCs w:val="23"/>
        </w:rPr>
      </w:pPr>
      <w:r>
        <w:rPr>
          <w:rStyle w:val="normaltextrun"/>
          <w:sz w:val="23"/>
          <w:szCs w:val="23"/>
        </w:rPr>
        <w:t>Safety data are derived from </w:t>
      </w:r>
      <w:r w:rsidRPr="001C6793">
        <w:rPr>
          <w:rStyle w:val="normaltextrun"/>
          <w:sz w:val="23"/>
          <w:szCs w:val="23"/>
        </w:rPr>
        <w:t>a definitive </w:t>
      </w:r>
      <w:r>
        <w:rPr>
          <w:rStyle w:val="normaltextrun"/>
          <w:sz w:val="23"/>
          <w:szCs w:val="23"/>
        </w:rPr>
        <w:t>safety </w:t>
      </w:r>
      <w:r w:rsidRPr="001C6793">
        <w:rPr>
          <w:rStyle w:val="normaltextrun"/>
          <w:sz w:val="23"/>
          <w:szCs w:val="23"/>
        </w:rPr>
        <w:t>and efficacy</w:t>
      </w:r>
      <w:r w:rsidRPr="00662C54">
        <w:rPr>
          <w:rStyle w:val="normaltextrun"/>
          <w:sz w:val="23"/>
          <w:szCs w:val="23"/>
        </w:rPr>
        <w:t> </w:t>
      </w:r>
      <w:r>
        <w:rPr>
          <w:rStyle w:val="normaltextrun"/>
          <w:sz w:val="23"/>
          <w:szCs w:val="23"/>
        </w:rPr>
        <w:t xml:space="preserve">study in </w:t>
      </w:r>
      <w:proofErr w:type="spellStart"/>
      <w:r>
        <w:rPr>
          <w:rStyle w:val="normaltextrun"/>
          <w:sz w:val="23"/>
          <w:szCs w:val="23"/>
        </w:rPr>
        <w:t>p</w:t>
      </w:r>
      <w:r w:rsidR="00466A78">
        <w:rPr>
          <w:rStyle w:val="normaltextrun"/>
          <w:sz w:val="23"/>
          <w:szCs w:val="23"/>
        </w:rPr>
        <w:t>a</w:t>
      </w:r>
      <w:r>
        <w:rPr>
          <w:rStyle w:val="normaltextrun"/>
          <w:sz w:val="23"/>
          <w:szCs w:val="23"/>
        </w:rPr>
        <w:t>ediatric</w:t>
      </w:r>
      <w:proofErr w:type="spellEnd"/>
      <w:r>
        <w:rPr>
          <w:rStyle w:val="normaltextrun"/>
          <w:sz w:val="23"/>
          <w:szCs w:val="23"/>
        </w:rPr>
        <w:t xml:space="preserve"> patients with growth hormone deficiency (GHD) (</w:t>
      </w:r>
      <w:r w:rsidRPr="001C6793">
        <w:rPr>
          <w:rStyle w:val="normaltextrun"/>
          <w:sz w:val="23"/>
          <w:szCs w:val="23"/>
        </w:rPr>
        <w:t>see section 5.1</w:t>
      </w:r>
      <w:r>
        <w:rPr>
          <w:rStyle w:val="normaltextrun"/>
          <w:sz w:val="23"/>
          <w:szCs w:val="23"/>
        </w:rPr>
        <w:t>)</w:t>
      </w:r>
      <w:r>
        <w:rPr>
          <w:rStyle w:val="normaltextrun"/>
          <w:i/>
          <w:iCs/>
          <w:sz w:val="23"/>
          <w:szCs w:val="23"/>
        </w:rPr>
        <w:t>.</w:t>
      </w:r>
      <w:r>
        <w:rPr>
          <w:rStyle w:val="normaltextrun"/>
          <w:sz w:val="23"/>
          <w:szCs w:val="23"/>
        </w:rPr>
        <w:t xml:space="preserve"> The data reflect exposure of 109 patients to </w:t>
      </w:r>
      <w:r w:rsidR="008C3392" w:rsidRPr="008C3392">
        <w:t>NGENLA</w:t>
      </w:r>
      <w:r>
        <w:rPr>
          <w:rStyle w:val="normaltextrun"/>
          <w:sz w:val="23"/>
          <w:szCs w:val="23"/>
        </w:rPr>
        <w:t xml:space="preserve"> administered once weekly (0.66 mg/kg/</w:t>
      </w:r>
      <w:proofErr w:type="spellStart"/>
      <w:r>
        <w:rPr>
          <w:rStyle w:val="normaltextrun"/>
          <w:sz w:val="23"/>
          <w:szCs w:val="23"/>
        </w:rPr>
        <w:t>wk</w:t>
      </w:r>
      <w:proofErr w:type="spellEnd"/>
      <w:r>
        <w:rPr>
          <w:rStyle w:val="normaltextrun"/>
          <w:sz w:val="23"/>
          <w:szCs w:val="23"/>
        </w:rPr>
        <w:t>) and 115 patients to somatropin (Genotropin</w:t>
      </w:r>
      <w:r w:rsidRPr="005723DD">
        <w:rPr>
          <w:rFonts w:eastAsia="TimesNewRoman"/>
          <w:vertAlign w:val="superscript"/>
        </w:rPr>
        <w:t>®</w:t>
      </w:r>
      <w:r>
        <w:rPr>
          <w:rStyle w:val="normaltextrun"/>
          <w:sz w:val="23"/>
          <w:szCs w:val="23"/>
        </w:rPr>
        <w:t>) administered once daily (0.034 mg/kg/day) for 12 months. </w:t>
      </w:r>
      <w:r>
        <w:rPr>
          <w:rStyle w:val="eop"/>
          <w:color w:val="000000"/>
          <w:sz w:val="23"/>
          <w:szCs w:val="23"/>
        </w:rPr>
        <w:t> </w:t>
      </w:r>
    </w:p>
    <w:p w14:paraId="3C5FB5AE" w14:textId="77777777" w:rsidR="00366774" w:rsidRDefault="00366774" w:rsidP="00366774">
      <w:pPr>
        <w:pStyle w:val="paragraph0"/>
        <w:spacing w:before="0" w:beforeAutospacing="0" w:after="0" w:afterAutospacing="0"/>
        <w:textAlignment w:val="baseline"/>
        <w:rPr>
          <w:rFonts w:ascii="Segoe UI" w:hAnsi="Segoe UI" w:cs="Segoe UI"/>
          <w:color w:val="000000"/>
          <w:sz w:val="18"/>
          <w:szCs w:val="18"/>
        </w:rPr>
      </w:pPr>
    </w:p>
    <w:p w14:paraId="1E4E25FA" w14:textId="0F47404E" w:rsidR="001C7965" w:rsidRDefault="007A30D4" w:rsidP="00226236">
      <w:pPr>
        <w:widowControl w:val="0"/>
      </w:pPr>
      <w:r>
        <w:t>Adverse drug reactions</w:t>
      </w:r>
      <w:r w:rsidR="001C7965" w:rsidRPr="00281B9F">
        <w:t xml:space="preserve"> </w:t>
      </w:r>
      <w:r>
        <w:t>(</w:t>
      </w:r>
      <w:r w:rsidR="007C4C7B">
        <w:t>ADR</w:t>
      </w:r>
      <w:r>
        <w:t>s)</w:t>
      </w:r>
      <w:r w:rsidR="001C7965" w:rsidRPr="00281B9F">
        <w:t xml:space="preserve"> for </w:t>
      </w:r>
      <w:r w:rsidR="008C3392" w:rsidRPr="008C3392">
        <w:rPr>
          <w:szCs w:val="24"/>
        </w:rPr>
        <w:t>NGENLA</w:t>
      </w:r>
      <w:r w:rsidR="007C4C7B">
        <w:t xml:space="preserve"> </w:t>
      </w:r>
      <w:r w:rsidR="00466A78">
        <w:t>identified during the definitive safety and efficacy study</w:t>
      </w:r>
      <w:r>
        <w:t xml:space="preserve"> are presented in Table 1 </w:t>
      </w:r>
      <w:r w:rsidR="007C4C7B">
        <w:t xml:space="preserve">within the </w:t>
      </w:r>
      <w:r w:rsidR="001C7965" w:rsidRPr="00281B9F">
        <w:t xml:space="preserve">system organ class </w:t>
      </w:r>
      <w:r w:rsidR="007C4C7B">
        <w:t xml:space="preserve">(SOC) </w:t>
      </w:r>
      <w:r w:rsidR="001C7965" w:rsidRPr="00281B9F">
        <w:t xml:space="preserve">and </w:t>
      </w:r>
      <w:r w:rsidR="005917BD">
        <w:t xml:space="preserve">CIOMS </w:t>
      </w:r>
      <w:r w:rsidR="001C7965" w:rsidRPr="00281B9F">
        <w:t xml:space="preserve">frequency using the following convention: </w:t>
      </w:r>
      <w:r w:rsidR="00EC3D01">
        <w:t>very common (</w:t>
      </w:r>
      <w:r w:rsidR="007874A1">
        <w:t>≥</w:t>
      </w:r>
      <w:r w:rsidR="00EC3D01">
        <w:t xml:space="preserve">1/10), </w:t>
      </w:r>
      <w:r w:rsidR="001C7965" w:rsidRPr="00281B9F">
        <w:t>common (≥1/100 to &lt;1/10), uncommon (≥1/1,000 to &lt;1/100), rare (≥1/10,000 to &lt;1/1,000), very rare (&lt;1/10,000)</w:t>
      </w:r>
      <w:r w:rsidR="007E3B57">
        <w:t>,</w:t>
      </w:r>
      <w:r w:rsidR="00D366EB" w:rsidRPr="00D366EB">
        <w:t xml:space="preserve"> not known (cannot be estimated from the available data)</w:t>
      </w:r>
      <w:r w:rsidR="001C7965" w:rsidRPr="00281B9F">
        <w:t>.</w:t>
      </w:r>
    </w:p>
    <w:p w14:paraId="75C6A665" w14:textId="65615FAC" w:rsidR="00B5284F" w:rsidRPr="00281B9F" w:rsidRDefault="007C4C7B" w:rsidP="00226236">
      <w:pPr>
        <w:widowControl w:val="0"/>
      </w:pPr>
      <w:r>
        <w:rPr>
          <w:b/>
        </w:rPr>
        <w:lastRenderedPageBreak/>
        <w:t xml:space="preserve">Table 1: </w:t>
      </w:r>
      <w:r w:rsidR="005917BD">
        <w:rPr>
          <w:b/>
        </w:rPr>
        <w:t>Adverse Drug Reactions (</w:t>
      </w:r>
      <w:r w:rsidR="00B5284F" w:rsidRPr="007B00ED">
        <w:rPr>
          <w:b/>
        </w:rPr>
        <w:t>ADRs</w:t>
      </w:r>
      <w:r w:rsidR="005917BD">
        <w:rPr>
          <w:b/>
        </w:rPr>
        <w:t>)</w:t>
      </w:r>
      <w:r w:rsidR="00B5284F" w:rsidRPr="007B00ED">
        <w:rPr>
          <w:b/>
        </w:rPr>
        <w:t xml:space="preserve"> by SOC and CIOMS frequency category listed in order of decreasing medical seriousness or clinical importance within each frequency category and SOC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305"/>
        <w:gridCol w:w="1276"/>
        <w:gridCol w:w="1417"/>
        <w:gridCol w:w="1276"/>
        <w:gridCol w:w="1276"/>
        <w:gridCol w:w="1417"/>
      </w:tblGrid>
      <w:tr w:rsidR="00EC3D01" w:rsidRPr="00315532" w14:paraId="002F12F6" w14:textId="2DA270F5" w:rsidTr="001E0568">
        <w:trPr>
          <w:tblHeader/>
        </w:trPr>
        <w:tc>
          <w:tcPr>
            <w:tcW w:w="1809" w:type="dxa"/>
          </w:tcPr>
          <w:p w14:paraId="3713ADF4" w14:textId="163232E3" w:rsidR="00EC3D01" w:rsidRPr="00315532" w:rsidRDefault="00EC3D01" w:rsidP="00226236">
            <w:pPr>
              <w:pStyle w:val="TableText"/>
              <w:widowControl w:val="0"/>
              <w:rPr>
                <w:color w:val="auto"/>
                <w:sz w:val="22"/>
                <w:szCs w:val="22"/>
              </w:rPr>
            </w:pPr>
          </w:p>
        </w:tc>
        <w:tc>
          <w:tcPr>
            <w:tcW w:w="1305" w:type="dxa"/>
          </w:tcPr>
          <w:p w14:paraId="43000A0E" w14:textId="7503ED3E" w:rsidR="00EC3D01" w:rsidRPr="00315532" w:rsidRDefault="00EC3D01" w:rsidP="00EC3D01">
            <w:pPr>
              <w:pStyle w:val="TableText"/>
              <w:widowControl w:val="0"/>
              <w:rPr>
                <w:b/>
                <w:bCs/>
                <w:color w:val="auto"/>
                <w:sz w:val="22"/>
                <w:szCs w:val="22"/>
              </w:rPr>
            </w:pPr>
            <w:r w:rsidRPr="00315532">
              <w:rPr>
                <w:b/>
                <w:bCs/>
                <w:color w:val="auto"/>
                <w:sz w:val="22"/>
                <w:szCs w:val="22"/>
              </w:rPr>
              <w:t>Very Common</w:t>
            </w:r>
          </w:p>
          <w:p w14:paraId="3830F123" w14:textId="1BDA48AC" w:rsidR="00EC3D01" w:rsidRPr="00315532" w:rsidRDefault="007874A1" w:rsidP="00EC3D01">
            <w:pPr>
              <w:pStyle w:val="TableText"/>
              <w:widowControl w:val="0"/>
              <w:rPr>
                <w:b/>
                <w:bCs/>
                <w:color w:val="auto"/>
                <w:sz w:val="22"/>
                <w:szCs w:val="22"/>
              </w:rPr>
            </w:pPr>
            <w:r w:rsidRPr="00315532">
              <w:rPr>
                <w:b/>
                <w:bCs/>
                <w:color w:val="auto"/>
                <w:sz w:val="22"/>
                <w:szCs w:val="22"/>
              </w:rPr>
              <w:t>≥</w:t>
            </w:r>
            <w:r w:rsidR="00EC3D01" w:rsidRPr="00315532">
              <w:rPr>
                <w:b/>
                <w:bCs/>
                <w:color w:val="auto"/>
                <w:sz w:val="22"/>
                <w:szCs w:val="22"/>
              </w:rPr>
              <w:t>1/10</w:t>
            </w:r>
          </w:p>
        </w:tc>
        <w:tc>
          <w:tcPr>
            <w:tcW w:w="1276" w:type="dxa"/>
          </w:tcPr>
          <w:p w14:paraId="09054415" w14:textId="03AA52A3" w:rsidR="00EC3D01" w:rsidRPr="00315532" w:rsidRDefault="00EC3D01" w:rsidP="00226236">
            <w:pPr>
              <w:pStyle w:val="TableText"/>
              <w:widowControl w:val="0"/>
              <w:rPr>
                <w:b/>
                <w:bCs/>
                <w:color w:val="auto"/>
                <w:sz w:val="22"/>
                <w:szCs w:val="22"/>
              </w:rPr>
            </w:pPr>
            <w:r w:rsidRPr="00315532">
              <w:rPr>
                <w:b/>
                <w:bCs/>
                <w:color w:val="auto"/>
                <w:sz w:val="22"/>
                <w:szCs w:val="22"/>
              </w:rPr>
              <w:t>Common</w:t>
            </w:r>
          </w:p>
          <w:p w14:paraId="2A119653" w14:textId="77777777" w:rsidR="00EC3D01" w:rsidRPr="00315532" w:rsidRDefault="00EC3D01" w:rsidP="00226236">
            <w:pPr>
              <w:pStyle w:val="TableText"/>
              <w:widowControl w:val="0"/>
              <w:rPr>
                <w:b/>
                <w:bCs/>
                <w:color w:val="auto"/>
                <w:sz w:val="22"/>
                <w:szCs w:val="22"/>
              </w:rPr>
            </w:pPr>
            <w:r w:rsidRPr="00315532">
              <w:rPr>
                <w:b/>
                <w:bCs/>
                <w:color w:val="auto"/>
                <w:sz w:val="22"/>
                <w:szCs w:val="22"/>
              </w:rPr>
              <w:t>&gt;1/100, &lt;1/10</w:t>
            </w:r>
          </w:p>
        </w:tc>
        <w:tc>
          <w:tcPr>
            <w:tcW w:w="1417" w:type="dxa"/>
          </w:tcPr>
          <w:p w14:paraId="7FC0A692" w14:textId="77777777" w:rsidR="00EC3D01" w:rsidRPr="00315532" w:rsidRDefault="00EC3D01" w:rsidP="00226236">
            <w:pPr>
              <w:pStyle w:val="TableText"/>
              <w:widowControl w:val="0"/>
              <w:rPr>
                <w:b/>
                <w:bCs/>
                <w:color w:val="auto"/>
                <w:sz w:val="22"/>
                <w:szCs w:val="22"/>
              </w:rPr>
            </w:pPr>
            <w:r w:rsidRPr="00315532">
              <w:rPr>
                <w:b/>
                <w:bCs/>
                <w:color w:val="auto"/>
                <w:sz w:val="22"/>
                <w:szCs w:val="22"/>
              </w:rPr>
              <w:t>Uncommon</w:t>
            </w:r>
          </w:p>
          <w:p w14:paraId="1CC326A1" w14:textId="77777777" w:rsidR="00EC3D01" w:rsidRPr="00315532" w:rsidRDefault="00EC3D01" w:rsidP="00226236">
            <w:pPr>
              <w:pStyle w:val="TableText"/>
              <w:widowControl w:val="0"/>
              <w:rPr>
                <w:b/>
                <w:bCs/>
                <w:color w:val="auto"/>
                <w:sz w:val="22"/>
                <w:szCs w:val="22"/>
              </w:rPr>
            </w:pPr>
            <w:r w:rsidRPr="00315532">
              <w:rPr>
                <w:b/>
                <w:bCs/>
                <w:color w:val="auto"/>
                <w:sz w:val="22"/>
                <w:szCs w:val="22"/>
              </w:rPr>
              <w:t>&gt;1/1000, &lt;1/100</w:t>
            </w:r>
          </w:p>
        </w:tc>
        <w:tc>
          <w:tcPr>
            <w:tcW w:w="1276" w:type="dxa"/>
          </w:tcPr>
          <w:p w14:paraId="05AD9E12" w14:textId="77777777" w:rsidR="00EC3D01" w:rsidRPr="00315532" w:rsidRDefault="00EC3D01" w:rsidP="00226236">
            <w:pPr>
              <w:pStyle w:val="TableText"/>
              <w:widowControl w:val="0"/>
              <w:rPr>
                <w:b/>
                <w:bCs/>
                <w:color w:val="auto"/>
                <w:sz w:val="22"/>
                <w:szCs w:val="22"/>
              </w:rPr>
            </w:pPr>
            <w:r w:rsidRPr="00315532">
              <w:rPr>
                <w:b/>
                <w:bCs/>
                <w:color w:val="auto"/>
                <w:sz w:val="22"/>
                <w:szCs w:val="22"/>
              </w:rPr>
              <w:t>Rare</w:t>
            </w:r>
          </w:p>
          <w:p w14:paraId="7095D920" w14:textId="77777777" w:rsidR="00EC3D01" w:rsidRPr="00315532" w:rsidRDefault="00EC3D01" w:rsidP="00226236">
            <w:pPr>
              <w:pStyle w:val="TableText"/>
              <w:widowControl w:val="0"/>
              <w:rPr>
                <w:b/>
                <w:bCs/>
                <w:color w:val="auto"/>
                <w:sz w:val="22"/>
                <w:szCs w:val="22"/>
              </w:rPr>
            </w:pPr>
            <w:r w:rsidRPr="00315532">
              <w:rPr>
                <w:b/>
                <w:bCs/>
                <w:color w:val="auto"/>
                <w:sz w:val="22"/>
                <w:szCs w:val="22"/>
              </w:rPr>
              <w:t>&gt;1/10,000, &lt;1/1000</w:t>
            </w:r>
          </w:p>
        </w:tc>
        <w:tc>
          <w:tcPr>
            <w:tcW w:w="1276" w:type="dxa"/>
          </w:tcPr>
          <w:p w14:paraId="1EFAE4DC" w14:textId="1A2A8731" w:rsidR="00EC3D01" w:rsidRPr="00315532" w:rsidRDefault="00EC3D01" w:rsidP="00226236">
            <w:pPr>
              <w:pStyle w:val="TableText"/>
              <w:widowControl w:val="0"/>
              <w:rPr>
                <w:b/>
                <w:bCs/>
                <w:color w:val="auto"/>
                <w:sz w:val="22"/>
                <w:szCs w:val="22"/>
              </w:rPr>
            </w:pPr>
            <w:r w:rsidRPr="00315532">
              <w:rPr>
                <w:b/>
                <w:bCs/>
                <w:color w:val="auto"/>
                <w:sz w:val="22"/>
                <w:szCs w:val="22"/>
              </w:rPr>
              <w:t>Very Rare</w:t>
            </w:r>
          </w:p>
          <w:p w14:paraId="3FB7907E" w14:textId="7EBC75AA" w:rsidR="00EC3D01" w:rsidRPr="00315532" w:rsidRDefault="00EC3D01" w:rsidP="00226236">
            <w:pPr>
              <w:pStyle w:val="TableText"/>
              <w:widowControl w:val="0"/>
              <w:rPr>
                <w:b/>
                <w:bCs/>
                <w:color w:val="auto"/>
                <w:sz w:val="22"/>
                <w:szCs w:val="22"/>
              </w:rPr>
            </w:pPr>
            <w:r w:rsidRPr="00315532">
              <w:rPr>
                <w:b/>
                <w:bCs/>
                <w:color w:val="auto"/>
                <w:sz w:val="22"/>
                <w:szCs w:val="22"/>
              </w:rPr>
              <w:t>&lt;1/10,000</w:t>
            </w:r>
          </w:p>
        </w:tc>
        <w:tc>
          <w:tcPr>
            <w:tcW w:w="1417" w:type="dxa"/>
          </w:tcPr>
          <w:p w14:paraId="07E73684" w14:textId="77777777" w:rsidR="00EC3D01" w:rsidRPr="00315532" w:rsidRDefault="00EC3D01" w:rsidP="00226236">
            <w:pPr>
              <w:pStyle w:val="TableText0"/>
              <w:widowControl w:val="0"/>
              <w:rPr>
                <w:rFonts w:cs="Times New Roman"/>
                <w:b/>
                <w:sz w:val="22"/>
                <w:szCs w:val="22"/>
              </w:rPr>
            </w:pPr>
            <w:r w:rsidRPr="00315532">
              <w:rPr>
                <w:rFonts w:cs="Times New Roman"/>
                <w:b/>
                <w:sz w:val="22"/>
                <w:szCs w:val="22"/>
              </w:rPr>
              <w:t>Frequency Not Known</w:t>
            </w:r>
          </w:p>
          <w:p w14:paraId="4BD438C0" w14:textId="4C231A54" w:rsidR="00EC3D01" w:rsidRPr="00315532" w:rsidRDefault="00EC3D01" w:rsidP="00226236">
            <w:pPr>
              <w:pStyle w:val="TableText"/>
              <w:widowControl w:val="0"/>
              <w:rPr>
                <w:b/>
                <w:bCs/>
                <w:color w:val="auto"/>
                <w:sz w:val="22"/>
                <w:szCs w:val="22"/>
              </w:rPr>
            </w:pPr>
            <w:r w:rsidRPr="00315532">
              <w:rPr>
                <w:b/>
                <w:sz w:val="22"/>
                <w:szCs w:val="22"/>
              </w:rPr>
              <w:t>(Cannot be estimated from the available data)</w:t>
            </w:r>
          </w:p>
        </w:tc>
      </w:tr>
      <w:tr w:rsidR="00EC3D01" w:rsidRPr="00315532" w14:paraId="4BD2143B" w14:textId="17385988" w:rsidTr="001E0568">
        <w:tc>
          <w:tcPr>
            <w:tcW w:w="1809" w:type="dxa"/>
          </w:tcPr>
          <w:p w14:paraId="2D46C9A1" w14:textId="7944C47F" w:rsidR="00EC3D01" w:rsidRPr="00315532" w:rsidRDefault="00EC3D01" w:rsidP="00226236">
            <w:pPr>
              <w:pStyle w:val="TableText"/>
              <w:keepNext/>
              <w:keepLines/>
              <w:widowControl w:val="0"/>
              <w:rPr>
                <w:b/>
                <w:bCs/>
                <w:color w:val="auto"/>
                <w:sz w:val="22"/>
                <w:szCs w:val="22"/>
              </w:rPr>
            </w:pPr>
            <w:r w:rsidRPr="00315532">
              <w:rPr>
                <w:b/>
                <w:bCs/>
                <w:color w:val="auto"/>
                <w:sz w:val="22"/>
                <w:szCs w:val="22"/>
              </w:rPr>
              <w:t>General disorders and administration site conditions</w:t>
            </w:r>
          </w:p>
        </w:tc>
        <w:tc>
          <w:tcPr>
            <w:tcW w:w="1305" w:type="dxa"/>
          </w:tcPr>
          <w:p w14:paraId="720BF01A" w14:textId="315A9242" w:rsidR="00EC3D01" w:rsidRPr="00466A78" w:rsidRDefault="001C2EAA" w:rsidP="00EC3D01">
            <w:pPr>
              <w:pStyle w:val="TableText"/>
              <w:widowControl w:val="0"/>
              <w:rPr>
                <w:bCs/>
                <w:iCs/>
                <w:color w:val="auto"/>
                <w:sz w:val="22"/>
                <w:szCs w:val="22"/>
              </w:rPr>
            </w:pPr>
            <w:r w:rsidRPr="002C2676">
              <w:rPr>
                <w:bCs/>
                <w:iCs/>
                <w:color w:val="auto"/>
                <w:sz w:val="22"/>
                <w:szCs w:val="22"/>
              </w:rPr>
              <w:t xml:space="preserve">Injection site </w:t>
            </w:r>
            <w:proofErr w:type="spellStart"/>
            <w:r w:rsidRPr="002C2676">
              <w:rPr>
                <w:bCs/>
                <w:iCs/>
                <w:color w:val="auto"/>
                <w:sz w:val="22"/>
                <w:szCs w:val="22"/>
              </w:rPr>
              <w:t>reactions</w:t>
            </w:r>
            <w:r w:rsidR="00466A78">
              <w:rPr>
                <w:bCs/>
                <w:iCs/>
                <w:color w:val="auto"/>
                <w:sz w:val="22"/>
                <w:szCs w:val="22"/>
                <w:vertAlign w:val="superscript"/>
              </w:rPr>
              <w:t>a</w:t>
            </w:r>
            <w:proofErr w:type="spellEnd"/>
          </w:p>
        </w:tc>
        <w:tc>
          <w:tcPr>
            <w:tcW w:w="1276" w:type="dxa"/>
          </w:tcPr>
          <w:p w14:paraId="380DA8AD" w14:textId="34BCF4CA" w:rsidR="00EC3D01" w:rsidRPr="00315532" w:rsidRDefault="00EC3D01" w:rsidP="00226236">
            <w:pPr>
              <w:pStyle w:val="TableText"/>
              <w:widowControl w:val="0"/>
              <w:rPr>
                <w:color w:val="auto"/>
                <w:sz w:val="22"/>
                <w:szCs w:val="22"/>
              </w:rPr>
            </w:pPr>
          </w:p>
        </w:tc>
        <w:tc>
          <w:tcPr>
            <w:tcW w:w="1417" w:type="dxa"/>
          </w:tcPr>
          <w:p w14:paraId="26656A03" w14:textId="781F69EB" w:rsidR="00EC3D01" w:rsidRPr="00315532" w:rsidRDefault="00EC3D01" w:rsidP="00226236">
            <w:pPr>
              <w:pStyle w:val="TableText"/>
              <w:widowControl w:val="0"/>
              <w:rPr>
                <w:color w:val="auto"/>
                <w:sz w:val="22"/>
                <w:szCs w:val="22"/>
              </w:rPr>
            </w:pPr>
          </w:p>
        </w:tc>
        <w:tc>
          <w:tcPr>
            <w:tcW w:w="1276" w:type="dxa"/>
          </w:tcPr>
          <w:p w14:paraId="1BA0BE26" w14:textId="77777777" w:rsidR="00EC3D01" w:rsidRPr="00315532" w:rsidRDefault="00EC3D01" w:rsidP="00226236">
            <w:pPr>
              <w:pStyle w:val="TableText"/>
              <w:widowControl w:val="0"/>
              <w:rPr>
                <w:color w:val="auto"/>
                <w:sz w:val="22"/>
                <w:szCs w:val="22"/>
              </w:rPr>
            </w:pPr>
          </w:p>
        </w:tc>
        <w:tc>
          <w:tcPr>
            <w:tcW w:w="1276" w:type="dxa"/>
          </w:tcPr>
          <w:p w14:paraId="00AB6F1B" w14:textId="28BBCAE8" w:rsidR="00EC3D01" w:rsidRPr="00315532" w:rsidRDefault="00EC3D01" w:rsidP="00226236">
            <w:pPr>
              <w:pStyle w:val="TableText"/>
              <w:widowControl w:val="0"/>
              <w:rPr>
                <w:color w:val="auto"/>
                <w:sz w:val="22"/>
                <w:szCs w:val="22"/>
              </w:rPr>
            </w:pPr>
          </w:p>
        </w:tc>
        <w:tc>
          <w:tcPr>
            <w:tcW w:w="1417" w:type="dxa"/>
          </w:tcPr>
          <w:p w14:paraId="67CF659C" w14:textId="22A6E802" w:rsidR="00EC3D01" w:rsidRPr="00315532" w:rsidRDefault="00EC3D01" w:rsidP="00226236">
            <w:pPr>
              <w:pStyle w:val="TableText"/>
              <w:widowControl w:val="0"/>
              <w:rPr>
                <w:b/>
                <w:i/>
                <w:color w:val="auto"/>
                <w:sz w:val="22"/>
                <w:szCs w:val="22"/>
              </w:rPr>
            </w:pPr>
          </w:p>
        </w:tc>
      </w:tr>
    </w:tbl>
    <w:p w14:paraId="7D34CDE3" w14:textId="31FFD2B3" w:rsidR="00B5284F" w:rsidRDefault="00B5284F" w:rsidP="00B5284F">
      <w:pPr>
        <w:rPr>
          <w:sz w:val="18"/>
          <w:szCs w:val="18"/>
        </w:rPr>
      </w:pPr>
      <w:proofErr w:type="spellStart"/>
      <w:r w:rsidRPr="00B5284F">
        <w:rPr>
          <w:sz w:val="18"/>
          <w:szCs w:val="18"/>
          <w:vertAlign w:val="superscript"/>
        </w:rPr>
        <w:t>a</w:t>
      </w:r>
      <w:proofErr w:type="spellEnd"/>
      <w:r>
        <w:rPr>
          <w:sz w:val="18"/>
          <w:szCs w:val="18"/>
        </w:rPr>
        <w:t xml:space="preserve"> </w:t>
      </w:r>
      <w:proofErr w:type="gramStart"/>
      <w:r w:rsidR="00B65246">
        <w:rPr>
          <w:sz w:val="18"/>
          <w:szCs w:val="18"/>
        </w:rPr>
        <w:t>The</w:t>
      </w:r>
      <w:proofErr w:type="gramEnd"/>
      <w:r w:rsidR="00B65246">
        <w:rPr>
          <w:sz w:val="18"/>
          <w:szCs w:val="18"/>
        </w:rPr>
        <w:t xml:space="preserve"> term Injection site reactions was selected as the cluster term for the following PTs: Injection site bruising, Injection site deformation, Injection site erythema, Injection site haemorrhage, Injection site hypertrophy, Injection site induration, Injection site inflammation, Injection site pain, Injection site pruritus, Injection site swelling, Injection site urticaria and Injection site warmth.</w:t>
      </w:r>
    </w:p>
    <w:p w14:paraId="4ABA6917" w14:textId="77777777" w:rsidR="004B793B" w:rsidRPr="00B3144F" w:rsidRDefault="004B793B" w:rsidP="004B793B">
      <w:pPr>
        <w:pStyle w:val="ListBullet2"/>
        <w:numPr>
          <w:ilvl w:val="0"/>
          <w:numId w:val="0"/>
        </w:numPr>
        <w:spacing w:after="0"/>
        <w:rPr>
          <w:color w:val="000000"/>
        </w:rPr>
      </w:pPr>
      <w:r>
        <w:rPr>
          <w:rStyle w:val="eop"/>
          <w:color w:val="000000"/>
        </w:rPr>
        <w:t>T</w:t>
      </w:r>
      <w:r w:rsidRPr="00ADAB41">
        <w:t xml:space="preserve">he most frequently reported </w:t>
      </w:r>
      <w:r>
        <w:t xml:space="preserve">all-causality </w:t>
      </w:r>
      <w:r w:rsidRPr="00ADAB41">
        <w:t>adverse events</w:t>
      </w:r>
      <w:r>
        <w:t xml:space="preserve"> </w:t>
      </w:r>
      <w:r w:rsidRPr="00ADAB41">
        <w:t>that occurred in ≥</w:t>
      </w:r>
      <w:r>
        <w:t>5</w:t>
      </w:r>
      <w:r w:rsidRPr="00ADAB41">
        <w:t xml:space="preserve">% of subjects in any treatment group were injection site </w:t>
      </w:r>
      <w:r>
        <w:t>pain,</w:t>
      </w:r>
      <w:r w:rsidRPr="00720B94">
        <w:t xml:space="preserve"> </w:t>
      </w:r>
      <w:r w:rsidRPr="00ADAB41">
        <w:t xml:space="preserve">nasopharyngitis, headache, pyrexia, cough, </w:t>
      </w:r>
      <w:r>
        <w:t xml:space="preserve">injection site erythema, </w:t>
      </w:r>
      <w:r w:rsidRPr="00ADAB41">
        <w:t>vomiting, bronchitis, arthralgia, blood creatinine phosphokinase increased, an</w:t>
      </w:r>
      <w:r>
        <w:t>a</w:t>
      </w:r>
      <w:r w:rsidRPr="00ADAB41">
        <w:t xml:space="preserve">emia, pharyngitis, hypothyroidism, otitis media, ear pain, oropharyngeal pain, rhinitis, arthropod bite, </w:t>
      </w:r>
      <w:r>
        <w:t xml:space="preserve">injection site pruritus, </w:t>
      </w:r>
      <w:r w:rsidRPr="00ADAB41">
        <w:t>abdominal pain upper, and tonsillitis.</w:t>
      </w:r>
    </w:p>
    <w:p w14:paraId="464A6D8E" w14:textId="795BDB56" w:rsidR="00366774" w:rsidRPr="00366774" w:rsidRDefault="00366774" w:rsidP="00226236">
      <w:pPr>
        <w:pStyle w:val="Heading2"/>
        <w:spacing w:line="240" w:lineRule="auto"/>
        <w:rPr>
          <w:b w:val="0"/>
          <w:bCs/>
          <w:u w:val="single"/>
        </w:rPr>
      </w:pPr>
      <w:r w:rsidRPr="00366774">
        <w:rPr>
          <w:b w:val="0"/>
          <w:bCs/>
          <w:u w:val="single"/>
        </w:rPr>
        <w:t>Long-term exposure</w:t>
      </w:r>
    </w:p>
    <w:p w14:paraId="2F0C54F4" w14:textId="77777777" w:rsidR="00366774" w:rsidRPr="00756A88" w:rsidRDefault="00366774" w:rsidP="00366774">
      <w:pPr>
        <w:tabs>
          <w:tab w:val="left" w:pos="0"/>
        </w:tabs>
        <w:rPr>
          <w:rFonts w:eastAsia="Yu Mincho"/>
        </w:rPr>
      </w:pPr>
      <w:r w:rsidRPr="00756A88">
        <w:rPr>
          <w:rFonts w:eastAsia="Yu Mincho"/>
        </w:rPr>
        <w:t xml:space="preserve">In an open label extension (OLE) of a safety and dose-finding </w:t>
      </w:r>
      <w:r>
        <w:rPr>
          <w:rFonts w:eastAsia="Yu Mincho"/>
        </w:rPr>
        <w:t xml:space="preserve">study </w:t>
      </w:r>
      <w:r>
        <w:rPr>
          <w:rStyle w:val="normaltextrun"/>
        </w:rPr>
        <w:t>(see section 5.1)</w:t>
      </w:r>
      <w:r w:rsidRPr="00756A88">
        <w:rPr>
          <w:rFonts w:eastAsia="Yu Mincho"/>
        </w:rPr>
        <w:t xml:space="preserve">, 37 patients received treatment with </w:t>
      </w:r>
      <w:proofErr w:type="spellStart"/>
      <w:r w:rsidRPr="00756A88">
        <w:rPr>
          <w:rFonts w:eastAsia="Yu Mincho"/>
        </w:rPr>
        <w:t>somatrogon</w:t>
      </w:r>
      <w:proofErr w:type="spellEnd"/>
      <w:r w:rsidRPr="00756A88">
        <w:rPr>
          <w:rFonts w:eastAsia="Yu Mincho"/>
        </w:rPr>
        <w:t xml:space="preserve"> for at least 5 years. </w:t>
      </w:r>
      <w:bookmarkStart w:id="5" w:name="_Hlk45215611"/>
      <w:r w:rsidRPr="00756A88">
        <w:rPr>
          <w:rFonts w:eastAsia="Yu Mincho"/>
        </w:rPr>
        <w:t xml:space="preserve">No additional safety findings were reported. </w:t>
      </w:r>
      <w:r w:rsidRPr="00756A88">
        <w:t xml:space="preserve">  </w:t>
      </w:r>
    </w:p>
    <w:bookmarkEnd w:id="5"/>
    <w:p w14:paraId="17CD0AB6" w14:textId="57893887" w:rsidR="001C7965" w:rsidRPr="00C06380" w:rsidRDefault="001C7965" w:rsidP="00226236">
      <w:pPr>
        <w:pStyle w:val="Heading2"/>
        <w:spacing w:line="240" w:lineRule="auto"/>
      </w:pPr>
      <w:r w:rsidRPr="00C06380">
        <w:t xml:space="preserve">Reporting </w:t>
      </w:r>
      <w:r w:rsidR="00226236" w:rsidRPr="00C06380">
        <w:t>S</w:t>
      </w:r>
      <w:r w:rsidRPr="00C06380">
        <w:t xml:space="preserve">uspected </w:t>
      </w:r>
      <w:r w:rsidR="00226236" w:rsidRPr="00C06380">
        <w:t>A</w:t>
      </w:r>
      <w:r w:rsidRPr="00C06380">
        <w:t xml:space="preserve">dverse </w:t>
      </w:r>
      <w:r w:rsidR="00226236" w:rsidRPr="00C06380">
        <w:t>E</w:t>
      </w:r>
      <w:r w:rsidRPr="00C06380">
        <w:t>ffects</w:t>
      </w:r>
    </w:p>
    <w:p w14:paraId="3020B7EB" w14:textId="77777777" w:rsidR="001C7965" w:rsidRPr="00281B9F" w:rsidRDefault="001C7965" w:rsidP="00226236">
      <w:pPr>
        <w:pStyle w:val="CLDNormal"/>
      </w:pPr>
      <w:r w:rsidRPr="00281B9F">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281B9F">
          <w:rPr>
            <w:rStyle w:val="Hyperlink"/>
          </w:rPr>
          <w:t>www.tga.gov.au/reporting-problems</w:t>
        </w:r>
      </w:hyperlink>
      <w:r w:rsidRPr="00281B9F">
        <w:t>.</w:t>
      </w:r>
    </w:p>
    <w:p w14:paraId="723C7701" w14:textId="77777777" w:rsidR="001C7965" w:rsidRPr="00281B9F" w:rsidRDefault="001C7965" w:rsidP="00226236">
      <w:pPr>
        <w:pStyle w:val="CLDHeading2"/>
      </w:pPr>
      <w:r w:rsidRPr="00281B9F">
        <w:t>4.9</w:t>
      </w:r>
      <w:r w:rsidRPr="00281B9F">
        <w:tab/>
        <w:t>Overdose</w:t>
      </w:r>
    </w:p>
    <w:p w14:paraId="43BE28D3" w14:textId="7E1690B9" w:rsidR="0096338D" w:rsidRPr="001C6793" w:rsidRDefault="0096338D" w:rsidP="0096338D">
      <w:r w:rsidRPr="001C6793">
        <w:t xml:space="preserve">Single doses of </w:t>
      </w:r>
      <w:r w:rsidR="008C3392" w:rsidRPr="008C3392">
        <w:rPr>
          <w:szCs w:val="24"/>
        </w:rPr>
        <w:t>NGENLA</w:t>
      </w:r>
      <w:r w:rsidRPr="001C6793">
        <w:t xml:space="preserve"> higher than 0.66 mg/kg/</w:t>
      </w:r>
      <w:proofErr w:type="spellStart"/>
      <w:r w:rsidRPr="001C6793">
        <w:t>w</w:t>
      </w:r>
      <w:r>
        <w:t>k</w:t>
      </w:r>
      <w:proofErr w:type="spellEnd"/>
      <w:r w:rsidRPr="001C6793">
        <w:t xml:space="preserve"> have not been</w:t>
      </w:r>
      <w:r>
        <w:t xml:space="preserve"> studied</w:t>
      </w:r>
      <w:r w:rsidRPr="001C6793">
        <w:t xml:space="preserve">. </w:t>
      </w:r>
    </w:p>
    <w:p w14:paraId="7F0C7D87" w14:textId="1B4393D6" w:rsidR="0096338D" w:rsidRPr="001C6793" w:rsidRDefault="0096338D" w:rsidP="0096338D">
      <w:pPr>
        <w:rPr>
          <w:color w:val="FF0000"/>
        </w:rPr>
      </w:pPr>
      <w:r w:rsidRPr="001C6793">
        <w:t xml:space="preserve">Based on experience with daily </w:t>
      </w:r>
      <w:r>
        <w:t>growth hormone</w:t>
      </w:r>
      <w:r w:rsidRPr="001C6793">
        <w:t xml:space="preserve"> products, short-term overdosage could lead initially to </w:t>
      </w:r>
      <w:r w:rsidRPr="001345E4">
        <w:t>hypoglyc</w:t>
      </w:r>
      <w:r w:rsidR="00B95409">
        <w:t>a</w:t>
      </w:r>
      <w:r w:rsidRPr="001345E4">
        <w:t>emia</w:t>
      </w:r>
      <w:r w:rsidRPr="001C6793">
        <w:t xml:space="preserve"> and subsequently to </w:t>
      </w:r>
      <w:r w:rsidRPr="001345E4">
        <w:t>hyperglyc</w:t>
      </w:r>
      <w:r w:rsidR="00B95409">
        <w:t>a</w:t>
      </w:r>
      <w:r w:rsidRPr="001345E4">
        <w:t>emia</w:t>
      </w:r>
      <w:r w:rsidRPr="001C6793">
        <w:t xml:space="preserve">. Long-term overdosage could result in signs and symptoms </w:t>
      </w:r>
      <w:r w:rsidRPr="00262122">
        <w:t xml:space="preserve">of gigantism and/or acromegaly </w:t>
      </w:r>
      <w:r w:rsidRPr="001C6793">
        <w:t>consistent with the effects of growth hormone excess.</w:t>
      </w:r>
      <w:r w:rsidRPr="001C6793">
        <w:rPr>
          <w:color w:val="FF0000"/>
        </w:rPr>
        <w:t xml:space="preserve"> </w:t>
      </w:r>
    </w:p>
    <w:p w14:paraId="231E3E53" w14:textId="6249E47A" w:rsidR="0096338D" w:rsidRPr="00D8639B" w:rsidRDefault="0096338D" w:rsidP="0096338D">
      <w:pPr>
        <w:rPr>
          <w:color w:val="1F497D"/>
          <w:sz w:val="22"/>
          <w:szCs w:val="22"/>
        </w:rPr>
      </w:pPr>
      <w:r>
        <w:t xml:space="preserve">There is no experience of overdose with </w:t>
      </w:r>
      <w:r w:rsidR="008C3392" w:rsidRPr="008C3392">
        <w:rPr>
          <w:szCs w:val="24"/>
        </w:rPr>
        <w:t>NGENLA</w:t>
      </w:r>
      <w:r>
        <w:t xml:space="preserve">. </w:t>
      </w:r>
      <w:r w:rsidRPr="001C6793">
        <w:t xml:space="preserve">Treatment of overdose with </w:t>
      </w:r>
      <w:r w:rsidR="008C3392" w:rsidRPr="008C3392">
        <w:rPr>
          <w:szCs w:val="24"/>
        </w:rPr>
        <w:t>NGENLA</w:t>
      </w:r>
      <w:r w:rsidRPr="001C6793">
        <w:t xml:space="preserve"> should consist of general supportive measures. </w:t>
      </w:r>
    </w:p>
    <w:p w14:paraId="135B846C" w14:textId="60CE466B" w:rsidR="001C7965" w:rsidRPr="00281B9F" w:rsidRDefault="00C513B9" w:rsidP="00226236">
      <w:r w:rsidRPr="00281B9F">
        <w:rPr>
          <w:spacing w:val="-2"/>
          <w:lang w:val="en-US"/>
        </w:rPr>
        <w:t>For information on the management of overdose, contact the Poisons Information Centre on 131126 (Australia).</w:t>
      </w:r>
    </w:p>
    <w:p w14:paraId="38F3D8F5" w14:textId="77777777" w:rsidR="00C513B9" w:rsidRPr="00281B9F" w:rsidRDefault="00C513B9" w:rsidP="00226236">
      <w:pPr>
        <w:pStyle w:val="CLDHeading1"/>
      </w:pPr>
      <w:r w:rsidRPr="00281B9F">
        <w:lastRenderedPageBreak/>
        <w:t>5.</w:t>
      </w:r>
      <w:r w:rsidRPr="00281B9F">
        <w:tab/>
        <w:t>PHARMACOLOGICAL PROPERTIES</w:t>
      </w:r>
    </w:p>
    <w:p w14:paraId="7DD711E8" w14:textId="77777777" w:rsidR="00C513B9" w:rsidRPr="00281B9F" w:rsidRDefault="00C513B9" w:rsidP="00226236">
      <w:pPr>
        <w:pStyle w:val="CLDHeading2"/>
      </w:pPr>
      <w:r w:rsidRPr="00281B9F">
        <w:t>5.1</w:t>
      </w:r>
      <w:r w:rsidRPr="00281B9F">
        <w:tab/>
        <w:t>Pharmacodynamic properties</w:t>
      </w:r>
    </w:p>
    <w:p w14:paraId="3ED6E87E" w14:textId="5CE04595" w:rsidR="00C513B9" w:rsidRPr="00281B9F" w:rsidRDefault="00C513B9" w:rsidP="00226236">
      <w:pPr>
        <w:pStyle w:val="Heading2"/>
        <w:spacing w:line="240" w:lineRule="auto"/>
      </w:pPr>
      <w:r w:rsidRPr="00281B9F">
        <w:t xml:space="preserve">Mechanism of </w:t>
      </w:r>
      <w:r w:rsidR="00226236">
        <w:t>A</w:t>
      </w:r>
      <w:r w:rsidRPr="00281B9F">
        <w:t>ction</w:t>
      </w:r>
    </w:p>
    <w:p w14:paraId="2D303815" w14:textId="3215A49B" w:rsidR="00366774" w:rsidRDefault="00366774" w:rsidP="00226236">
      <w:pPr>
        <w:rPr>
          <w:color w:val="000000"/>
        </w:rPr>
      </w:pPr>
      <w:proofErr w:type="spellStart"/>
      <w:r w:rsidRPr="12162744">
        <w:t>Somatrogon</w:t>
      </w:r>
      <w:proofErr w:type="spellEnd"/>
      <w:r w:rsidRPr="12162744">
        <w:t xml:space="preserve"> is a glycoprotein produced</w:t>
      </w:r>
      <w:r>
        <w:t xml:space="preserve"> </w:t>
      </w:r>
      <w:r w:rsidRPr="00EA4130">
        <w:rPr>
          <w:color w:val="000000"/>
        </w:rPr>
        <w:t>in Chinese Hamster Ovary</w:t>
      </w:r>
      <w:r w:rsidRPr="12162744">
        <w:t xml:space="preserve"> (</w:t>
      </w:r>
      <w:r w:rsidRPr="00EA4130">
        <w:rPr>
          <w:color w:val="000000"/>
        </w:rPr>
        <w:t>CHO) cells</w:t>
      </w:r>
      <w:r w:rsidRPr="12162744">
        <w:t xml:space="preserve"> by recombinant DNA technology. </w:t>
      </w:r>
      <w:r w:rsidRPr="00EF6E2B">
        <w:rPr>
          <w:color w:val="000000"/>
        </w:rPr>
        <w:t xml:space="preserve"> It is comprised of the amino acid </w:t>
      </w:r>
      <w:r>
        <w:rPr>
          <w:color w:val="000000"/>
        </w:rPr>
        <w:t xml:space="preserve">sequence </w:t>
      </w:r>
      <w:r w:rsidRPr="00EF6E2B">
        <w:rPr>
          <w:color w:val="000000"/>
        </w:rPr>
        <w:t>of human growth hormone (</w:t>
      </w:r>
      <w:proofErr w:type="spellStart"/>
      <w:r w:rsidRPr="12162744">
        <w:t>hGH</w:t>
      </w:r>
      <w:proofErr w:type="spellEnd"/>
      <w:r w:rsidRPr="12162744">
        <w:t xml:space="preserve">) </w:t>
      </w:r>
      <w:r>
        <w:t xml:space="preserve">with </w:t>
      </w:r>
      <w:r w:rsidRPr="12162744">
        <w:t>one copy of the of C-terminal peptide (CTP) from the beta chain of human chorionic gonadotropin (</w:t>
      </w:r>
      <w:proofErr w:type="spellStart"/>
      <w:r w:rsidRPr="12162744">
        <w:t>hCG</w:t>
      </w:r>
      <w:proofErr w:type="spellEnd"/>
      <w:r w:rsidRPr="12162744">
        <w:t>) at the N-terminus and two copies</w:t>
      </w:r>
      <w:r>
        <w:t xml:space="preserve"> of CTP</w:t>
      </w:r>
      <w:r w:rsidRPr="12162744">
        <w:t xml:space="preserve"> (in tandem) at the C-terminus.  </w:t>
      </w:r>
      <w:r w:rsidRPr="00EA4130">
        <w:t>The glycosylation and CTP domains account for the</w:t>
      </w:r>
      <w:r>
        <w:t xml:space="preserve"> </w:t>
      </w:r>
      <w:r w:rsidRPr="00EA4130">
        <w:t xml:space="preserve">half-life of </w:t>
      </w:r>
      <w:proofErr w:type="spellStart"/>
      <w:r w:rsidRPr="00EA4130">
        <w:t>somatrogon</w:t>
      </w:r>
      <w:proofErr w:type="spellEnd"/>
      <w:r w:rsidRPr="00EA4130">
        <w:t xml:space="preserve">, which allows for </w:t>
      </w:r>
      <w:r w:rsidRPr="00EA4130">
        <w:rPr>
          <w:color w:val="000000"/>
        </w:rPr>
        <w:t>weekly dosing</w:t>
      </w:r>
      <w:r>
        <w:rPr>
          <w:color w:val="000000"/>
        </w:rPr>
        <w:t>.</w:t>
      </w:r>
    </w:p>
    <w:p w14:paraId="16293D66" w14:textId="067207EB" w:rsidR="00366774" w:rsidRPr="00F64B21" w:rsidRDefault="00366774" w:rsidP="00366774">
      <w:pPr>
        <w:shd w:val="clear" w:color="auto" w:fill="FFFFFF"/>
      </w:pPr>
      <w:proofErr w:type="spellStart"/>
      <w:r w:rsidRPr="000673B6">
        <w:t>Somatrogon</w:t>
      </w:r>
      <w:proofErr w:type="spellEnd"/>
      <w:r w:rsidRPr="000673B6">
        <w:t xml:space="preserve"> binds to the growth hormone (GH) receptor and initiates a signal transduction cascade culminating in changes in growth and metabolism. Consistent with GH </w:t>
      </w:r>
      <w:r w:rsidR="00E84000" w:rsidRPr="000673B6">
        <w:t>signalling</w:t>
      </w:r>
      <w:r w:rsidRPr="000673B6">
        <w:t xml:space="preserve">, </w:t>
      </w:r>
      <w:proofErr w:type="spellStart"/>
      <w:r w:rsidRPr="00F64B21">
        <w:t>s</w:t>
      </w:r>
      <w:r w:rsidRPr="000673B6">
        <w:t>omatrogon</w:t>
      </w:r>
      <w:proofErr w:type="spellEnd"/>
      <w:r w:rsidRPr="000673B6">
        <w:t xml:space="preserve"> binding leads to activation of the STAT5b </w:t>
      </w:r>
      <w:r w:rsidR="00E84000" w:rsidRPr="000673B6">
        <w:t>signalling</w:t>
      </w:r>
      <w:r w:rsidRPr="000673B6">
        <w:t xml:space="preserve"> pathway and increases the serum concentration of Insulin-like Growth Factor (IGF-1). IGF-1 was found to increase in a dose-dependent manner during treatment with </w:t>
      </w:r>
      <w:proofErr w:type="spellStart"/>
      <w:r w:rsidRPr="00F64B21">
        <w:t>s</w:t>
      </w:r>
      <w:r w:rsidRPr="000673B6">
        <w:t>omatrogon</w:t>
      </w:r>
      <w:proofErr w:type="spellEnd"/>
      <w:r w:rsidRPr="000673B6">
        <w:t xml:space="preserve"> partially mediating the clinical effect. </w:t>
      </w:r>
      <w:r w:rsidRPr="00F64B21">
        <w:t>As a result, GH and IGF-1 stimulate metabolic changes, linear growth, and enhance growth velocity in p</w:t>
      </w:r>
      <w:r w:rsidR="00466A78">
        <w:t>a</w:t>
      </w:r>
      <w:r w:rsidRPr="00F64B21">
        <w:t xml:space="preserve">ediatric patients with GHD. </w:t>
      </w:r>
    </w:p>
    <w:p w14:paraId="6DCA1676" w14:textId="77777777" w:rsidR="004F3539" w:rsidRPr="00281B9F" w:rsidRDefault="004F3539" w:rsidP="00226236">
      <w:pPr>
        <w:pStyle w:val="Heading2"/>
        <w:spacing w:line="240" w:lineRule="auto"/>
        <w:rPr>
          <w:bCs/>
        </w:rPr>
      </w:pPr>
      <w:r w:rsidRPr="00281B9F">
        <w:rPr>
          <w:bCs/>
        </w:rPr>
        <w:t>Pharmacodynamics</w:t>
      </w:r>
    </w:p>
    <w:p w14:paraId="21FBAF37" w14:textId="73858D06" w:rsidR="00366774" w:rsidRDefault="00366774" w:rsidP="00226236">
      <w:proofErr w:type="spellStart"/>
      <w:r w:rsidRPr="001C6793">
        <w:t>Somatrogon</w:t>
      </w:r>
      <w:proofErr w:type="spellEnd"/>
      <w:r w:rsidRPr="001C6793">
        <w:t xml:space="preserve"> increases IGF-1.  Pharmacodynamic evaluations were performed approximately 96 hours after dose administration </w:t>
      </w:r>
      <w:proofErr w:type="gramStart"/>
      <w:r w:rsidRPr="001C6793">
        <w:t>in order to</w:t>
      </w:r>
      <w:proofErr w:type="gramEnd"/>
      <w:r w:rsidRPr="001C6793">
        <w:t xml:space="preserve"> assess the mean IGF-1 </w:t>
      </w:r>
      <w:r w:rsidR="00466A78">
        <w:t>standard deviation score (</w:t>
      </w:r>
      <w:r w:rsidRPr="001C6793">
        <w:t>SDS</w:t>
      </w:r>
      <w:r w:rsidR="00466A78">
        <w:t>)</w:t>
      </w:r>
      <w:r w:rsidRPr="001C6793">
        <w:t xml:space="preserve"> over the dosing interval (see Figure 1).</w:t>
      </w:r>
    </w:p>
    <w:p w14:paraId="0E828DB1" w14:textId="0F18CDD8" w:rsidR="00366774" w:rsidRDefault="00366774" w:rsidP="00226236">
      <w:pPr>
        <w:rPr>
          <w:b/>
          <w:bCs/>
        </w:rPr>
      </w:pPr>
      <w:r w:rsidRPr="00860BE6">
        <w:rPr>
          <w:b/>
          <w:bCs/>
        </w:rPr>
        <w:t xml:space="preserve">Figure 1.  </w:t>
      </w:r>
      <w:r>
        <w:rPr>
          <w:b/>
          <w:bCs/>
        </w:rPr>
        <w:t>Model</w:t>
      </w:r>
      <w:r w:rsidR="00B331E2">
        <w:rPr>
          <w:b/>
          <w:bCs/>
        </w:rPr>
        <w:t>l</w:t>
      </w:r>
      <w:r>
        <w:rPr>
          <w:b/>
          <w:bCs/>
        </w:rPr>
        <w:t xml:space="preserve">ed </w:t>
      </w:r>
      <w:r w:rsidRPr="00860BE6">
        <w:rPr>
          <w:b/>
          <w:bCs/>
        </w:rPr>
        <w:t>IGF-1 SDS profiles in p</w:t>
      </w:r>
      <w:r w:rsidR="00466A78">
        <w:rPr>
          <w:b/>
          <w:bCs/>
        </w:rPr>
        <w:t>a</w:t>
      </w:r>
      <w:r w:rsidRPr="00860BE6">
        <w:rPr>
          <w:b/>
          <w:bCs/>
        </w:rPr>
        <w:t xml:space="preserve">ediatric patients with </w:t>
      </w:r>
      <w:r w:rsidR="00466A78">
        <w:rPr>
          <w:b/>
          <w:bCs/>
        </w:rPr>
        <w:t>GHD</w:t>
      </w:r>
      <w:r w:rsidRPr="00860BE6">
        <w:rPr>
          <w:b/>
          <w:bCs/>
        </w:rPr>
        <w:t xml:space="preserve"> during 12 months of treatment with </w:t>
      </w:r>
      <w:proofErr w:type="spellStart"/>
      <w:r w:rsidRPr="00860BE6">
        <w:rPr>
          <w:b/>
          <w:bCs/>
        </w:rPr>
        <w:t>somatrogon</w:t>
      </w:r>
      <w:proofErr w:type="spellEnd"/>
      <w:r w:rsidRPr="00860BE6">
        <w:rPr>
          <w:b/>
          <w:bCs/>
        </w:rPr>
        <w:t>.</w:t>
      </w:r>
    </w:p>
    <w:p w14:paraId="324D8760" w14:textId="77777777" w:rsidR="00517366" w:rsidRDefault="00517366" w:rsidP="00226236"/>
    <w:p w14:paraId="5DF84683" w14:textId="1A6A7460" w:rsidR="00366774" w:rsidRDefault="00366774" w:rsidP="00226236">
      <w:r>
        <w:rPr>
          <w:noProof/>
        </w:rPr>
        <w:drawing>
          <wp:inline distT="0" distB="0" distL="0" distR="0" wp14:anchorId="18B60B00" wp14:editId="07E9C5E7">
            <wp:extent cx="4115435" cy="2920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5435" cy="2920365"/>
                    </a:xfrm>
                    <a:prstGeom prst="rect">
                      <a:avLst/>
                    </a:prstGeom>
                    <a:noFill/>
                  </pic:spPr>
                </pic:pic>
              </a:graphicData>
            </a:graphic>
          </wp:inline>
        </w:drawing>
      </w:r>
    </w:p>
    <w:p w14:paraId="4EB74FB9" w14:textId="333CD4A9" w:rsidR="005958EC" w:rsidRDefault="005958EC" w:rsidP="00226236">
      <w:pPr>
        <w:pStyle w:val="Heading2"/>
        <w:spacing w:line="240" w:lineRule="auto"/>
      </w:pPr>
      <w:r w:rsidRPr="00281B9F">
        <w:lastRenderedPageBreak/>
        <w:t xml:space="preserve">Clinical </w:t>
      </w:r>
      <w:r w:rsidR="006E233B">
        <w:t>t</w:t>
      </w:r>
      <w:r w:rsidRPr="00281B9F">
        <w:t>rials</w:t>
      </w:r>
      <w:r w:rsidR="00517366">
        <w:t xml:space="preserve"> </w:t>
      </w:r>
    </w:p>
    <w:p w14:paraId="6D8D4B6C" w14:textId="01F809A0" w:rsidR="00517366" w:rsidRDefault="00517366" w:rsidP="00517366">
      <w:pPr>
        <w:pStyle w:val="ListParagraph"/>
        <w:ind w:left="0"/>
        <w:rPr>
          <w:rFonts w:ascii="Times New Roman" w:eastAsia="TimesNewRoman" w:hAnsi="Times New Roman"/>
          <w:szCs w:val="24"/>
          <w:lang w:eastAsia="en-US"/>
        </w:rPr>
      </w:pPr>
      <w:r w:rsidRPr="001C6793">
        <w:rPr>
          <w:rFonts w:ascii="Times New Roman" w:eastAsia="TimesNewRoman" w:hAnsi="Times New Roman"/>
          <w:szCs w:val="24"/>
          <w:lang w:eastAsia="en-US"/>
        </w:rPr>
        <w:t xml:space="preserve">The safety and efficacy of </w:t>
      </w:r>
      <w:r w:rsidR="008C3392" w:rsidRPr="008C3392">
        <w:rPr>
          <w:rFonts w:ascii="Times New Roman" w:hAnsi="Times New Roman"/>
          <w:szCs w:val="24"/>
        </w:rPr>
        <w:t>NGENLA</w:t>
      </w:r>
      <w:r w:rsidRPr="001C6793">
        <w:rPr>
          <w:rFonts w:ascii="Times New Roman" w:eastAsia="TimesNewRoman" w:hAnsi="Times New Roman"/>
          <w:szCs w:val="24"/>
          <w:lang w:eastAsia="en-US"/>
        </w:rPr>
        <w:t xml:space="preserve"> </w:t>
      </w:r>
      <w:r>
        <w:rPr>
          <w:rFonts w:ascii="Times New Roman" w:eastAsia="TimesNewRoman" w:hAnsi="Times New Roman"/>
          <w:szCs w:val="24"/>
          <w:lang w:eastAsia="en-US"/>
        </w:rPr>
        <w:t xml:space="preserve">for </w:t>
      </w:r>
      <w:r w:rsidRPr="001C6793">
        <w:rPr>
          <w:rFonts w:ascii="Times New Roman" w:eastAsia="TimesNewRoman" w:hAnsi="Times New Roman"/>
          <w:szCs w:val="24"/>
          <w:lang w:eastAsia="en-US"/>
        </w:rPr>
        <w:t xml:space="preserve">the treatment of </w:t>
      </w:r>
      <w:proofErr w:type="spellStart"/>
      <w:r w:rsidRPr="001C6793">
        <w:rPr>
          <w:rFonts w:ascii="Times New Roman" w:eastAsia="TimesNewRoman" w:hAnsi="Times New Roman"/>
          <w:szCs w:val="24"/>
          <w:lang w:eastAsia="en-US"/>
        </w:rPr>
        <w:t>p</w:t>
      </w:r>
      <w:r>
        <w:rPr>
          <w:rFonts w:ascii="Times New Roman" w:eastAsia="TimesNewRoman" w:hAnsi="Times New Roman"/>
          <w:szCs w:val="24"/>
          <w:lang w:eastAsia="en-US"/>
        </w:rPr>
        <w:t>a</w:t>
      </w:r>
      <w:r w:rsidRPr="001C6793">
        <w:rPr>
          <w:rFonts w:ascii="Times New Roman" w:eastAsia="TimesNewRoman" w:hAnsi="Times New Roman"/>
          <w:szCs w:val="24"/>
          <w:lang w:eastAsia="en-US"/>
        </w:rPr>
        <w:t>ediatric</w:t>
      </w:r>
      <w:proofErr w:type="spellEnd"/>
      <w:r w:rsidRPr="001C6793">
        <w:rPr>
          <w:rFonts w:ascii="Times New Roman" w:eastAsia="TimesNewRoman" w:hAnsi="Times New Roman"/>
          <w:szCs w:val="24"/>
          <w:lang w:eastAsia="en-US"/>
        </w:rPr>
        <w:t xml:space="preserve"> patients with GHD were evaluated in two randomized, </w:t>
      </w:r>
      <w:r w:rsidR="00E84000" w:rsidRPr="001C6793">
        <w:rPr>
          <w:rFonts w:ascii="Times New Roman" w:eastAsia="TimesNewRoman" w:hAnsi="Times New Roman"/>
          <w:szCs w:val="24"/>
          <w:lang w:eastAsia="en-US"/>
        </w:rPr>
        <w:t>open label</w:t>
      </w:r>
      <w:r w:rsidRPr="001C6793">
        <w:rPr>
          <w:rFonts w:ascii="Times New Roman" w:eastAsia="TimesNewRoman" w:hAnsi="Times New Roman"/>
          <w:szCs w:val="24"/>
          <w:lang w:eastAsia="en-US"/>
        </w:rPr>
        <w:t xml:space="preserve"> controlled clinical</w:t>
      </w:r>
      <w:r>
        <w:rPr>
          <w:rFonts w:ascii="Times New Roman" w:eastAsia="TimesNewRoman" w:hAnsi="Times New Roman"/>
          <w:szCs w:val="24"/>
          <w:lang w:eastAsia="en-US"/>
        </w:rPr>
        <w:t xml:space="preserve"> studies</w:t>
      </w:r>
      <w:r w:rsidRPr="001C6793">
        <w:rPr>
          <w:rFonts w:ascii="Times New Roman" w:eastAsia="TimesNewRoman" w:hAnsi="Times New Roman"/>
          <w:szCs w:val="24"/>
          <w:lang w:eastAsia="en-US"/>
        </w:rPr>
        <w:t xml:space="preserve">. Both </w:t>
      </w:r>
      <w:r>
        <w:rPr>
          <w:rFonts w:ascii="Times New Roman" w:eastAsia="TimesNewRoman" w:hAnsi="Times New Roman"/>
          <w:szCs w:val="24"/>
          <w:lang w:eastAsia="en-US"/>
        </w:rPr>
        <w:t xml:space="preserve">studies </w:t>
      </w:r>
      <w:r w:rsidRPr="001C6793">
        <w:rPr>
          <w:rFonts w:ascii="Times New Roman" w:eastAsia="TimesNewRoman" w:hAnsi="Times New Roman"/>
          <w:szCs w:val="24"/>
          <w:lang w:eastAsia="en-US"/>
        </w:rPr>
        <w:t xml:space="preserve">included a 12-month main study period that compared once weekly </w:t>
      </w:r>
      <w:r w:rsidR="008C3392" w:rsidRPr="008C3392">
        <w:rPr>
          <w:rFonts w:ascii="Times New Roman" w:hAnsi="Times New Roman"/>
          <w:szCs w:val="24"/>
        </w:rPr>
        <w:t>NGENLA</w:t>
      </w:r>
      <w:r w:rsidRPr="001C6793">
        <w:rPr>
          <w:rFonts w:ascii="Times New Roman" w:eastAsia="TimesNewRoman" w:hAnsi="Times New Roman"/>
          <w:szCs w:val="24"/>
          <w:lang w:eastAsia="en-US"/>
        </w:rPr>
        <w:t xml:space="preserve"> to </w:t>
      </w:r>
      <w:r>
        <w:rPr>
          <w:rFonts w:ascii="Times New Roman" w:eastAsia="TimesNewRoman" w:hAnsi="Times New Roman"/>
          <w:szCs w:val="24"/>
          <w:lang w:eastAsia="en-US"/>
        </w:rPr>
        <w:t>Genotropin</w:t>
      </w:r>
      <w:r w:rsidRPr="001C6793">
        <w:rPr>
          <w:rFonts w:ascii="Times New Roman" w:eastAsia="TimesNewRoman" w:hAnsi="Times New Roman"/>
          <w:szCs w:val="24"/>
          <w:lang w:eastAsia="en-US"/>
        </w:rPr>
        <w:t xml:space="preserve"> administered once daily</w:t>
      </w:r>
      <w:r>
        <w:rPr>
          <w:rFonts w:ascii="Times New Roman" w:eastAsia="TimesNewRoman" w:hAnsi="Times New Roman"/>
          <w:szCs w:val="24"/>
          <w:lang w:eastAsia="en-US"/>
        </w:rPr>
        <w:t xml:space="preserve"> f</w:t>
      </w:r>
      <w:r w:rsidRPr="001C6793">
        <w:rPr>
          <w:rFonts w:ascii="Times New Roman" w:eastAsia="TimesNewRoman" w:hAnsi="Times New Roman"/>
          <w:szCs w:val="24"/>
          <w:lang w:eastAsia="en-US"/>
        </w:rPr>
        <w:t xml:space="preserve">ollowed by a single arm open-label extension (OLE) period during which all patients were administered </w:t>
      </w:r>
      <w:r w:rsidR="008C3392" w:rsidRPr="008C3392">
        <w:rPr>
          <w:rFonts w:ascii="Times New Roman" w:hAnsi="Times New Roman"/>
          <w:szCs w:val="24"/>
        </w:rPr>
        <w:t>NGENLA</w:t>
      </w:r>
      <w:r w:rsidRPr="001C6793">
        <w:rPr>
          <w:rFonts w:ascii="Times New Roman" w:eastAsia="TimesNewRoman" w:hAnsi="Times New Roman"/>
          <w:szCs w:val="24"/>
          <w:lang w:eastAsia="en-US"/>
        </w:rPr>
        <w:t xml:space="preserve"> once weekly. The primary efficacy endpoint for both studies was annualized height velocity (HV) following 12</w:t>
      </w:r>
      <w:r>
        <w:rPr>
          <w:rFonts w:ascii="Times New Roman" w:eastAsia="TimesNewRoman" w:hAnsi="Times New Roman"/>
          <w:szCs w:val="24"/>
          <w:lang w:eastAsia="en-US"/>
        </w:rPr>
        <w:t> </w:t>
      </w:r>
      <w:r w:rsidRPr="001C6793">
        <w:rPr>
          <w:rFonts w:ascii="Times New Roman" w:eastAsia="TimesNewRoman" w:hAnsi="Times New Roman"/>
          <w:szCs w:val="24"/>
          <w:lang w:eastAsia="en-US"/>
        </w:rPr>
        <w:t>months of treatment.</w:t>
      </w:r>
      <w:r>
        <w:rPr>
          <w:rFonts w:ascii="Times New Roman" w:eastAsia="TimesNewRoman" w:hAnsi="Times New Roman"/>
          <w:szCs w:val="24"/>
          <w:lang w:eastAsia="en-US"/>
        </w:rPr>
        <w:t xml:space="preserve"> </w:t>
      </w:r>
      <w:r w:rsidRPr="001C6793">
        <w:rPr>
          <w:rFonts w:ascii="Times New Roman" w:eastAsia="TimesNewRoman" w:hAnsi="Times New Roman"/>
          <w:szCs w:val="24"/>
          <w:lang w:eastAsia="en-US"/>
        </w:rPr>
        <w:t xml:space="preserve">Other endpoints reflective of catch-up growth such as </w:t>
      </w:r>
      <w:r>
        <w:rPr>
          <w:rFonts w:ascii="Times New Roman" w:eastAsia="TimesNewRoman" w:hAnsi="Times New Roman"/>
          <w:szCs w:val="24"/>
          <w:lang w:eastAsia="en-US"/>
        </w:rPr>
        <w:t>c</w:t>
      </w:r>
      <w:r w:rsidRPr="001C6793">
        <w:rPr>
          <w:rFonts w:ascii="Times New Roman" w:eastAsia="TimesNewRoman" w:hAnsi="Times New Roman"/>
          <w:szCs w:val="24"/>
          <w:lang w:eastAsia="en-US"/>
        </w:rPr>
        <w:t xml:space="preserve">hange in </w:t>
      </w:r>
      <w:r>
        <w:rPr>
          <w:rFonts w:ascii="Times New Roman" w:eastAsia="TimesNewRoman" w:hAnsi="Times New Roman"/>
          <w:szCs w:val="24"/>
          <w:lang w:eastAsia="en-US"/>
        </w:rPr>
        <w:t>h</w:t>
      </w:r>
      <w:r w:rsidRPr="001C6793">
        <w:rPr>
          <w:rFonts w:ascii="Times New Roman" w:eastAsia="TimesNewRoman" w:hAnsi="Times New Roman"/>
          <w:szCs w:val="24"/>
          <w:lang w:eastAsia="en-US"/>
        </w:rPr>
        <w:t>eight</w:t>
      </w:r>
      <w:r>
        <w:rPr>
          <w:rFonts w:ascii="Times New Roman" w:eastAsia="TimesNewRoman" w:hAnsi="Times New Roman"/>
          <w:szCs w:val="24"/>
          <w:lang w:eastAsia="en-US"/>
        </w:rPr>
        <w:t xml:space="preserve"> </w:t>
      </w:r>
      <w:r w:rsidRPr="001C6793">
        <w:rPr>
          <w:rFonts w:ascii="Times New Roman" w:eastAsia="TimesNewRoman" w:hAnsi="Times New Roman"/>
          <w:szCs w:val="24"/>
          <w:lang w:eastAsia="en-US"/>
        </w:rPr>
        <w:t xml:space="preserve">SDS from baseline and </w:t>
      </w:r>
      <w:r>
        <w:rPr>
          <w:rFonts w:ascii="Times New Roman" w:eastAsia="TimesNewRoman" w:hAnsi="Times New Roman"/>
          <w:szCs w:val="24"/>
          <w:lang w:eastAsia="en-US"/>
        </w:rPr>
        <w:t>h</w:t>
      </w:r>
      <w:r w:rsidRPr="001C6793">
        <w:rPr>
          <w:rFonts w:ascii="Times New Roman" w:eastAsia="TimesNewRoman" w:hAnsi="Times New Roman"/>
          <w:szCs w:val="24"/>
          <w:lang w:eastAsia="en-US"/>
        </w:rPr>
        <w:t>eight SDS were also evaluated in both studies</w:t>
      </w:r>
      <w:r>
        <w:rPr>
          <w:rFonts w:ascii="Times New Roman" w:eastAsia="TimesNewRoman" w:hAnsi="Times New Roman"/>
          <w:szCs w:val="24"/>
          <w:lang w:eastAsia="en-US"/>
        </w:rPr>
        <w:t>.</w:t>
      </w:r>
    </w:p>
    <w:p w14:paraId="0DFBAA2C" w14:textId="77777777" w:rsidR="00517366" w:rsidRDefault="00517366" w:rsidP="00517366">
      <w:pPr>
        <w:pStyle w:val="ListParagraph"/>
        <w:ind w:left="0"/>
        <w:rPr>
          <w:rFonts w:ascii="Times New Roman" w:eastAsia="TimesNewRoman" w:hAnsi="Times New Roman"/>
          <w:szCs w:val="24"/>
          <w:lang w:eastAsia="en-US"/>
        </w:rPr>
      </w:pPr>
    </w:p>
    <w:p w14:paraId="789CC0F6" w14:textId="076A68CD" w:rsidR="000318DD" w:rsidRDefault="00517366" w:rsidP="00517366">
      <w:pPr>
        <w:rPr>
          <w:rFonts w:eastAsia="TimesNewRoman"/>
        </w:rPr>
      </w:pPr>
      <w:r w:rsidRPr="00430B51">
        <w:rPr>
          <w:rFonts w:eastAsia="TimesNewRoman"/>
        </w:rPr>
        <w:t>In an initial safety and dose-finding</w:t>
      </w:r>
      <w:r>
        <w:rPr>
          <w:rFonts w:eastAsia="TimesNewRoman"/>
        </w:rPr>
        <w:t xml:space="preserve"> study</w:t>
      </w:r>
      <w:r w:rsidRPr="00430B51">
        <w:rPr>
          <w:rFonts w:eastAsia="TimesNewRoman"/>
        </w:rPr>
        <w:t>, 53 p</w:t>
      </w:r>
      <w:r w:rsidR="000318DD">
        <w:rPr>
          <w:rFonts w:eastAsia="TimesNewRoman"/>
        </w:rPr>
        <w:t>a</w:t>
      </w:r>
      <w:r w:rsidRPr="00430B51">
        <w:rPr>
          <w:rFonts w:eastAsia="TimesNewRoman"/>
        </w:rPr>
        <w:t xml:space="preserve">ediatric patients with </w:t>
      </w:r>
      <w:r>
        <w:rPr>
          <w:rFonts w:eastAsia="TimesNewRoman"/>
        </w:rPr>
        <w:t>GHD</w:t>
      </w:r>
      <w:r w:rsidRPr="00430B51">
        <w:rPr>
          <w:rFonts w:eastAsia="TimesNewRoman"/>
        </w:rPr>
        <w:t xml:space="preserve"> were randomized and treated with one of </w:t>
      </w:r>
      <w:r>
        <w:rPr>
          <w:rFonts w:eastAsia="TimesNewRoman"/>
        </w:rPr>
        <w:t>3</w:t>
      </w:r>
      <w:r w:rsidRPr="00430B51">
        <w:rPr>
          <w:rFonts w:eastAsia="TimesNewRoman"/>
        </w:rPr>
        <w:t xml:space="preserve"> doses of once weekly </w:t>
      </w:r>
      <w:r w:rsidR="008C3392" w:rsidRPr="008C3392">
        <w:rPr>
          <w:szCs w:val="24"/>
        </w:rPr>
        <w:t>NGENLA</w:t>
      </w:r>
      <w:r w:rsidRPr="00430B51">
        <w:rPr>
          <w:rFonts w:eastAsia="TimesNewRoman"/>
        </w:rPr>
        <w:t xml:space="preserve"> </w:t>
      </w:r>
      <w:r>
        <w:rPr>
          <w:rFonts w:eastAsia="TimesNewRoman"/>
        </w:rPr>
        <w:t>[0</w:t>
      </w:r>
      <w:r w:rsidRPr="00430B51">
        <w:rPr>
          <w:rFonts w:eastAsia="TimesNewRoman"/>
        </w:rPr>
        <w:t>.25</w:t>
      </w:r>
      <w:r>
        <w:rPr>
          <w:rFonts w:eastAsia="TimesNewRoman"/>
        </w:rPr>
        <w:t> </w:t>
      </w:r>
      <w:r w:rsidRPr="00430B51">
        <w:rPr>
          <w:rFonts w:eastAsia="TimesNewRoman"/>
        </w:rPr>
        <w:t>mg/kg/</w:t>
      </w:r>
      <w:proofErr w:type="spellStart"/>
      <w:r w:rsidRPr="00430B51">
        <w:rPr>
          <w:rFonts w:eastAsia="TimesNewRoman"/>
        </w:rPr>
        <w:t>wk</w:t>
      </w:r>
      <w:proofErr w:type="spellEnd"/>
      <w:r w:rsidRPr="00430B51">
        <w:rPr>
          <w:rFonts w:eastAsia="TimesNewRoman"/>
        </w:rPr>
        <w:t xml:space="preserve"> (</w:t>
      </w:r>
      <w:r w:rsidR="00B331E2">
        <w:rPr>
          <w:rFonts w:eastAsia="TimesNewRoman"/>
        </w:rPr>
        <w:t>n</w:t>
      </w:r>
      <w:r w:rsidRPr="00430B51">
        <w:rPr>
          <w:rFonts w:eastAsia="TimesNewRoman"/>
        </w:rPr>
        <w:t>=13), 0.48</w:t>
      </w:r>
      <w:r>
        <w:rPr>
          <w:rFonts w:eastAsia="TimesNewRoman"/>
        </w:rPr>
        <w:t> </w:t>
      </w:r>
      <w:r w:rsidRPr="00430B51">
        <w:rPr>
          <w:rFonts w:eastAsia="TimesNewRoman"/>
        </w:rPr>
        <w:t>mg/kg/</w:t>
      </w:r>
      <w:proofErr w:type="spellStart"/>
      <w:r w:rsidRPr="00430B51">
        <w:rPr>
          <w:rFonts w:eastAsia="TimesNewRoman"/>
        </w:rPr>
        <w:t>wk</w:t>
      </w:r>
      <w:proofErr w:type="spellEnd"/>
      <w:r w:rsidRPr="00430B51">
        <w:rPr>
          <w:rFonts w:eastAsia="TimesNewRoman"/>
        </w:rPr>
        <w:t xml:space="preserve"> (</w:t>
      </w:r>
      <w:r w:rsidR="00B331E2">
        <w:rPr>
          <w:rFonts w:eastAsia="TimesNewRoman"/>
        </w:rPr>
        <w:t>n</w:t>
      </w:r>
      <w:r w:rsidRPr="00430B51">
        <w:rPr>
          <w:rFonts w:eastAsia="TimesNewRoman"/>
        </w:rPr>
        <w:t>=15), 0.66</w:t>
      </w:r>
      <w:r>
        <w:rPr>
          <w:rFonts w:eastAsia="TimesNewRoman"/>
        </w:rPr>
        <w:t> </w:t>
      </w:r>
      <w:r w:rsidRPr="00430B51">
        <w:rPr>
          <w:rFonts w:eastAsia="TimesNewRoman"/>
        </w:rPr>
        <w:t>mg/kg/</w:t>
      </w:r>
      <w:proofErr w:type="spellStart"/>
      <w:r w:rsidRPr="00430B51">
        <w:rPr>
          <w:rFonts w:eastAsia="TimesNewRoman"/>
        </w:rPr>
        <w:t>wk</w:t>
      </w:r>
      <w:proofErr w:type="spellEnd"/>
      <w:r w:rsidRPr="00430B51">
        <w:rPr>
          <w:rFonts w:eastAsia="TimesNewRoman"/>
        </w:rPr>
        <w:t xml:space="preserve"> (</w:t>
      </w:r>
      <w:r w:rsidR="00B331E2">
        <w:rPr>
          <w:rFonts w:eastAsia="TimesNewRoman"/>
        </w:rPr>
        <w:t>n</w:t>
      </w:r>
      <w:r w:rsidRPr="00430B51">
        <w:rPr>
          <w:rFonts w:eastAsia="TimesNewRoman"/>
        </w:rPr>
        <w:t>=14)</w:t>
      </w:r>
      <w:r>
        <w:rPr>
          <w:rFonts w:eastAsia="TimesNewRoman"/>
        </w:rPr>
        <w:t>]</w:t>
      </w:r>
      <w:r w:rsidRPr="00430B51">
        <w:rPr>
          <w:rFonts w:eastAsia="TimesNewRoman"/>
        </w:rPr>
        <w:t xml:space="preserve"> or </w:t>
      </w:r>
      <w:r>
        <w:rPr>
          <w:rFonts w:eastAsia="TimesNewRoman"/>
        </w:rPr>
        <w:t>Genotropin administered once daily</w:t>
      </w:r>
      <w:r w:rsidRPr="00430B51">
        <w:rPr>
          <w:rFonts w:eastAsia="TimesNewRoman"/>
        </w:rPr>
        <w:t xml:space="preserve"> </w:t>
      </w:r>
      <w:r>
        <w:rPr>
          <w:rFonts w:eastAsia="TimesNewRoman"/>
        </w:rPr>
        <w:t>[</w:t>
      </w:r>
      <w:r w:rsidRPr="00430B51">
        <w:rPr>
          <w:rFonts w:eastAsia="TimesNewRoman"/>
        </w:rPr>
        <w:t>0.034</w:t>
      </w:r>
      <w:r>
        <w:rPr>
          <w:rFonts w:eastAsia="TimesNewRoman"/>
        </w:rPr>
        <w:t> </w:t>
      </w:r>
      <w:r w:rsidRPr="00430B51">
        <w:rPr>
          <w:rFonts w:eastAsia="TimesNewRoman"/>
        </w:rPr>
        <w:t>mg/kg</w:t>
      </w:r>
      <w:r>
        <w:rPr>
          <w:rFonts w:eastAsia="TimesNewRoman"/>
        </w:rPr>
        <w:t>/day</w:t>
      </w:r>
      <w:r w:rsidRPr="00430B51">
        <w:rPr>
          <w:rFonts w:eastAsia="TimesNewRoman"/>
        </w:rPr>
        <w:t xml:space="preserve"> (</w:t>
      </w:r>
      <w:r w:rsidR="00B331E2">
        <w:rPr>
          <w:rFonts w:eastAsia="TimesNewRoman"/>
        </w:rPr>
        <w:t>n</w:t>
      </w:r>
      <w:r w:rsidRPr="00430B51">
        <w:rPr>
          <w:rFonts w:eastAsia="TimesNewRoman"/>
        </w:rPr>
        <w:t>=11)</w:t>
      </w:r>
      <w:r>
        <w:rPr>
          <w:rFonts w:eastAsia="TimesNewRoman"/>
        </w:rPr>
        <w:t>]</w:t>
      </w:r>
      <w:r w:rsidRPr="00430B51">
        <w:rPr>
          <w:rFonts w:eastAsia="TimesNewRoman"/>
        </w:rPr>
        <w:t>.</w:t>
      </w:r>
      <w:r>
        <w:rPr>
          <w:rFonts w:eastAsia="TimesNewRoman"/>
        </w:rPr>
        <w:t xml:space="preserve"> The annual HV </w:t>
      </w:r>
      <w:r w:rsidR="004B793B">
        <w:rPr>
          <w:rFonts w:eastAsia="TimesNewRoman"/>
        </w:rPr>
        <w:t>in patients treated with</w:t>
      </w:r>
      <w:r>
        <w:rPr>
          <w:rFonts w:eastAsia="TimesNewRoman"/>
        </w:rPr>
        <w:t xml:space="preserve"> 0.66 mg/kg/</w:t>
      </w:r>
      <w:proofErr w:type="spellStart"/>
      <w:r>
        <w:rPr>
          <w:rFonts w:eastAsia="TimesNewRoman"/>
        </w:rPr>
        <w:t>wk</w:t>
      </w:r>
      <w:proofErr w:type="spellEnd"/>
      <w:r>
        <w:rPr>
          <w:rFonts w:eastAsia="TimesNewRoman"/>
        </w:rPr>
        <w:t xml:space="preserve"> of </w:t>
      </w:r>
      <w:r w:rsidR="008C3392" w:rsidRPr="008C3392">
        <w:rPr>
          <w:szCs w:val="24"/>
        </w:rPr>
        <w:t>NGENLA</w:t>
      </w:r>
      <w:r>
        <w:rPr>
          <w:rFonts w:eastAsia="TimesNewRoman"/>
        </w:rPr>
        <w:t xml:space="preserve"> was comparable to Genotropin administered once daily after 12 months of treatment (11.4 cm/</w:t>
      </w:r>
      <w:proofErr w:type="spellStart"/>
      <w:r>
        <w:rPr>
          <w:rFonts w:eastAsia="TimesNewRoman"/>
        </w:rPr>
        <w:t>yr</w:t>
      </w:r>
      <w:proofErr w:type="spellEnd"/>
      <w:r>
        <w:rPr>
          <w:rFonts w:eastAsia="TimesNewRoman"/>
        </w:rPr>
        <w:t xml:space="preserve"> [95% CI: 9.2, 13.7]); (12.5 cm/</w:t>
      </w:r>
      <w:proofErr w:type="spellStart"/>
      <w:r>
        <w:rPr>
          <w:rFonts w:eastAsia="TimesNewRoman"/>
        </w:rPr>
        <w:t>yr</w:t>
      </w:r>
      <w:proofErr w:type="spellEnd"/>
      <w:r>
        <w:rPr>
          <w:rFonts w:eastAsia="TimesNewRoman"/>
        </w:rPr>
        <w:t xml:space="preserve"> [95% CI: 11.0, 13.9]), respectively. During the OLE, 37 patients received 0.66 mg/kg/</w:t>
      </w:r>
      <w:proofErr w:type="spellStart"/>
      <w:r>
        <w:rPr>
          <w:rFonts w:eastAsia="TimesNewRoman"/>
        </w:rPr>
        <w:t>wk</w:t>
      </w:r>
      <w:proofErr w:type="spellEnd"/>
      <w:r>
        <w:rPr>
          <w:rFonts w:eastAsia="TimesNewRoman"/>
        </w:rPr>
        <w:t xml:space="preserve"> of </w:t>
      </w:r>
      <w:r w:rsidR="008C3392" w:rsidRPr="008C3392">
        <w:rPr>
          <w:szCs w:val="24"/>
        </w:rPr>
        <w:t>NGENLA</w:t>
      </w:r>
      <w:r>
        <w:rPr>
          <w:rFonts w:eastAsia="TimesNewRoman"/>
        </w:rPr>
        <w:t xml:space="preserve"> for at least 5 years. A progressive gain in height SDS from baseline was observed at 5</w:t>
      </w:r>
      <w:r w:rsidR="00B95409">
        <w:rPr>
          <w:rFonts w:eastAsia="TimesNewRoman"/>
        </w:rPr>
        <w:t xml:space="preserve"> </w:t>
      </w:r>
      <w:r>
        <w:rPr>
          <w:rFonts w:eastAsia="TimesNewRoman"/>
        </w:rPr>
        <w:t>years (cumulative change in height SDS mean (SD)=3.11 (1.18), median=2.86).</w:t>
      </w:r>
    </w:p>
    <w:p w14:paraId="588ED697" w14:textId="62BA1F24" w:rsidR="00B3144F" w:rsidRDefault="006D4149" w:rsidP="006D4149">
      <w:pPr>
        <w:rPr>
          <w:rFonts w:eastAsia="TimesNewRoman"/>
        </w:rPr>
      </w:pPr>
      <w:r>
        <w:rPr>
          <w:rFonts w:eastAsia="TimesNewRoman"/>
        </w:rPr>
        <w:t>The 0.66 mg/kg/</w:t>
      </w:r>
      <w:proofErr w:type="spellStart"/>
      <w:r>
        <w:rPr>
          <w:rFonts w:eastAsia="TimesNewRoman"/>
        </w:rPr>
        <w:t>wk</w:t>
      </w:r>
      <w:proofErr w:type="spellEnd"/>
      <w:r>
        <w:rPr>
          <w:rFonts w:eastAsia="TimesNewRoman"/>
        </w:rPr>
        <w:t xml:space="preserve"> dose of </w:t>
      </w:r>
      <w:r w:rsidR="008C3392" w:rsidRPr="008C3392">
        <w:rPr>
          <w:szCs w:val="24"/>
        </w:rPr>
        <w:t>NGENLA</w:t>
      </w:r>
      <w:r>
        <w:rPr>
          <w:rFonts w:eastAsia="TimesNewRoman"/>
        </w:rPr>
        <w:t xml:space="preserve"> was further evaluated in a definitive safety and efficacy study in 224 pre-pubertal p</w:t>
      </w:r>
      <w:r w:rsidR="00B95409">
        <w:rPr>
          <w:rFonts w:eastAsia="TimesNewRoman"/>
        </w:rPr>
        <w:t>a</w:t>
      </w:r>
      <w:r>
        <w:rPr>
          <w:rFonts w:eastAsia="TimesNewRoman"/>
        </w:rPr>
        <w:t xml:space="preserve">ediatric patients with GHD. Patients were </w:t>
      </w:r>
      <w:r w:rsidRPr="008C6ADF">
        <w:rPr>
          <w:rFonts w:eastAsia="TimesNewRoman"/>
        </w:rPr>
        <w:t xml:space="preserve">randomized and treated with once weekly </w:t>
      </w:r>
      <w:r w:rsidR="008C3392" w:rsidRPr="008C3392">
        <w:rPr>
          <w:szCs w:val="24"/>
        </w:rPr>
        <w:t>NGENLA</w:t>
      </w:r>
      <w:r w:rsidRPr="008C6ADF">
        <w:rPr>
          <w:rFonts w:eastAsia="TimesNewRoman"/>
        </w:rPr>
        <w:t xml:space="preserve"> </w:t>
      </w:r>
      <w:r>
        <w:rPr>
          <w:rFonts w:eastAsia="TimesNewRoman"/>
        </w:rPr>
        <w:t>(</w:t>
      </w:r>
      <w:r w:rsidR="00B331E2">
        <w:rPr>
          <w:rFonts w:eastAsia="TimesNewRoman"/>
        </w:rPr>
        <w:t>n</w:t>
      </w:r>
      <w:r>
        <w:rPr>
          <w:rFonts w:eastAsia="TimesNewRoman"/>
        </w:rPr>
        <w:t>=109) or Genotropin administered once daily (</w:t>
      </w:r>
      <w:r w:rsidR="00B331E2">
        <w:rPr>
          <w:rFonts w:eastAsia="TimesNewRoman"/>
        </w:rPr>
        <w:t>n</w:t>
      </w:r>
      <w:r>
        <w:rPr>
          <w:rFonts w:eastAsia="TimesNewRoman"/>
        </w:rPr>
        <w:t xml:space="preserve">=115) at a dose of 0.034 mg/kg/day. </w:t>
      </w:r>
      <w:r w:rsidR="0016075F">
        <w:rPr>
          <w:rStyle w:val="normaltextrun"/>
          <w:color w:val="000000"/>
        </w:rPr>
        <w:t>T</w:t>
      </w:r>
      <w:r w:rsidR="0016075F" w:rsidRPr="003B0847">
        <w:rPr>
          <w:rStyle w:val="normaltextrun"/>
          <w:color w:val="000000"/>
        </w:rPr>
        <w:t xml:space="preserve">he mean age across the treatment groups was 7.7 years (min 3.01, max 11.96), 40.2% of patients were &gt;3 years to ≤7 years, 59.8% were &gt;7 years. 71.9% of patients were male and 28.1% were female. In this study 74.6% </w:t>
      </w:r>
      <w:r w:rsidR="0016075F">
        <w:rPr>
          <w:rStyle w:val="normaltextrun"/>
          <w:color w:val="000000"/>
        </w:rPr>
        <w:t xml:space="preserve">of patients </w:t>
      </w:r>
      <w:r w:rsidR="0016075F" w:rsidRPr="003B0847">
        <w:rPr>
          <w:rStyle w:val="normaltextrun"/>
          <w:color w:val="000000"/>
        </w:rPr>
        <w:t xml:space="preserve">were </w:t>
      </w:r>
      <w:r w:rsidR="0016075F">
        <w:rPr>
          <w:rStyle w:val="normaltextrun"/>
          <w:color w:val="000000"/>
        </w:rPr>
        <w:t>W</w:t>
      </w:r>
      <w:r w:rsidR="0016075F" w:rsidRPr="003B0847">
        <w:rPr>
          <w:rStyle w:val="normaltextrun"/>
          <w:color w:val="000000"/>
        </w:rPr>
        <w:t xml:space="preserve">hite, 20.1% were </w:t>
      </w:r>
      <w:r w:rsidR="0016075F">
        <w:rPr>
          <w:rStyle w:val="normaltextrun"/>
          <w:color w:val="000000"/>
        </w:rPr>
        <w:t>A</w:t>
      </w:r>
      <w:r w:rsidR="0016075F" w:rsidRPr="003B0847">
        <w:rPr>
          <w:rStyle w:val="normaltextrun"/>
          <w:color w:val="000000"/>
        </w:rPr>
        <w:t xml:space="preserve">sian; 0.9% were </w:t>
      </w:r>
      <w:r w:rsidR="0016075F">
        <w:rPr>
          <w:rStyle w:val="normaltextrun"/>
          <w:color w:val="000000"/>
        </w:rPr>
        <w:t>B</w:t>
      </w:r>
      <w:r w:rsidR="0016075F" w:rsidRPr="003B0847">
        <w:rPr>
          <w:rStyle w:val="normaltextrun"/>
          <w:color w:val="000000"/>
        </w:rPr>
        <w:t>lack. Baseline disease characteristics were balanced across both treatment groups. Approximately</w:t>
      </w:r>
      <w:r w:rsidR="0016075F">
        <w:rPr>
          <w:rStyle w:val="normaltextrun"/>
          <w:color w:val="000000"/>
        </w:rPr>
        <w:t xml:space="preserve"> 68% of patients had peak plasma growth hormone (GH) levels of ≤7 ng/mL, and the mean height was below 2 standard deviation score (SDS). The pubertal stage at baseline was Tanner I. </w:t>
      </w:r>
      <w:r w:rsidRPr="00E72EDD">
        <w:rPr>
          <w:rFonts w:eastAsia="TimesNewRoman"/>
        </w:rPr>
        <w:t xml:space="preserve">Once weekly </w:t>
      </w:r>
      <w:r w:rsidR="008C3392" w:rsidRPr="008C3392">
        <w:rPr>
          <w:szCs w:val="24"/>
        </w:rPr>
        <w:t>NGENLA</w:t>
      </w:r>
      <w:r w:rsidRPr="00E72EDD">
        <w:rPr>
          <w:rFonts w:eastAsia="TimesNewRoman"/>
        </w:rPr>
        <w:t xml:space="preserve"> resulted in a non-inferior HV </w:t>
      </w:r>
      <w:r>
        <w:rPr>
          <w:rFonts w:eastAsia="TimesNewRoman"/>
        </w:rPr>
        <w:t xml:space="preserve">at 12 months </w:t>
      </w:r>
      <w:r w:rsidRPr="00E72EDD">
        <w:rPr>
          <w:rFonts w:eastAsia="TimesNewRoman"/>
        </w:rPr>
        <w:t>compared to</w:t>
      </w:r>
      <w:r>
        <w:rPr>
          <w:rFonts w:eastAsia="TimesNewRoman"/>
        </w:rPr>
        <w:t xml:space="preserve"> Genotropin administered once daily</w:t>
      </w:r>
      <w:r w:rsidRPr="00E72EDD">
        <w:rPr>
          <w:rFonts w:eastAsia="TimesNewRoman"/>
        </w:rPr>
        <w:t>.</w:t>
      </w:r>
      <w:r>
        <w:rPr>
          <w:rFonts w:eastAsia="TimesNewRoman"/>
        </w:rPr>
        <w:t xml:space="preserve"> Catch-up growth as reflected by c</w:t>
      </w:r>
      <w:r w:rsidRPr="002B3E19">
        <w:rPr>
          <w:rFonts w:eastAsia="TimesNewRoman"/>
        </w:rPr>
        <w:t xml:space="preserve">hange in </w:t>
      </w:r>
      <w:r>
        <w:rPr>
          <w:rFonts w:eastAsia="TimesNewRoman"/>
        </w:rPr>
        <w:t>h</w:t>
      </w:r>
      <w:r w:rsidRPr="002B3E19">
        <w:rPr>
          <w:rFonts w:eastAsia="TimesNewRoman"/>
        </w:rPr>
        <w:t>eight SDS</w:t>
      </w:r>
      <w:r>
        <w:rPr>
          <w:rFonts w:eastAsia="TimesNewRoman"/>
        </w:rPr>
        <w:t xml:space="preserve"> from baseline was numerically higher for </w:t>
      </w:r>
      <w:r w:rsidR="008C3392" w:rsidRPr="008C3392">
        <w:rPr>
          <w:szCs w:val="24"/>
        </w:rPr>
        <w:t>NGENLA</w:t>
      </w:r>
      <w:r>
        <w:rPr>
          <w:rFonts w:eastAsia="TimesNewRoman"/>
        </w:rPr>
        <w:t xml:space="preserve"> (see Table 2). </w:t>
      </w:r>
      <w:r w:rsidRPr="002B3E19">
        <w:rPr>
          <w:rFonts w:eastAsia="TimesNewRoman"/>
        </w:rPr>
        <w:t xml:space="preserve">Once weekly </w:t>
      </w:r>
      <w:r w:rsidR="008C3392" w:rsidRPr="008C3392">
        <w:rPr>
          <w:szCs w:val="24"/>
        </w:rPr>
        <w:t>NGENLA</w:t>
      </w:r>
      <w:r w:rsidRPr="002B3E19">
        <w:rPr>
          <w:rFonts w:eastAsia="TimesNewRoman"/>
        </w:rPr>
        <w:t xml:space="preserve"> also produced an increase in </w:t>
      </w:r>
      <w:r>
        <w:rPr>
          <w:rFonts w:eastAsia="TimesNewRoman"/>
        </w:rPr>
        <w:t>IGF</w:t>
      </w:r>
      <w:r w:rsidRPr="002B3E19">
        <w:rPr>
          <w:rFonts w:eastAsia="TimesNewRoman"/>
        </w:rPr>
        <w:t xml:space="preserve">-1 </w:t>
      </w:r>
      <w:r>
        <w:rPr>
          <w:rFonts w:eastAsia="TimesNewRoman"/>
        </w:rPr>
        <w:t xml:space="preserve">SDS </w:t>
      </w:r>
      <w:r w:rsidRPr="002B3E19">
        <w:rPr>
          <w:rFonts w:eastAsia="TimesNewRoman"/>
        </w:rPr>
        <w:t>values</w:t>
      </w:r>
      <w:r>
        <w:rPr>
          <w:rFonts w:eastAsia="TimesNewRoman"/>
        </w:rPr>
        <w:t>, from a mean of -1.95 at baseline to a mean of 0.65 at 12 months.</w:t>
      </w:r>
    </w:p>
    <w:p w14:paraId="7ACB3B17" w14:textId="39E2B586" w:rsidR="00B3144F" w:rsidRDefault="00B3144F" w:rsidP="00B3144F">
      <w:pPr>
        <w:rPr>
          <w:b/>
          <w:bCs/>
        </w:rPr>
      </w:pPr>
      <w:r w:rsidRPr="008717E6">
        <w:rPr>
          <w:b/>
          <w:bCs/>
        </w:rPr>
        <w:t xml:space="preserve">Table 2. Efficacy of </w:t>
      </w:r>
      <w:r w:rsidR="008C3392" w:rsidRPr="008C3392">
        <w:rPr>
          <w:b/>
          <w:bCs/>
        </w:rPr>
        <w:t>NGENLA</w:t>
      </w:r>
      <w:r w:rsidRPr="008717E6">
        <w:rPr>
          <w:b/>
          <w:bCs/>
        </w:rPr>
        <w:t xml:space="preserve"> compared to Genotropin in p</w:t>
      </w:r>
      <w:r>
        <w:rPr>
          <w:b/>
          <w:bCs/>
        </w:rPr>
        <w:t>a</w:t>
      </w:r>
      <w:r w:rsidRPr="008717E6">
        <w:rPr>
          <w:b/>
          <w:bCs/>
        </w:rPr>
        <w:t xml:space="preserve">ediatric patients with GHD at Month 12 </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68"/>
        <w:gridCol w:w="2193"/>
        <w:gridCol w:w="2657"/>
      </w:tblGrid>
      <w:tr w:rsidR="00B3144F" w:rsidRPr="00EA4130" w14:paraId="7FAEC438" w14:textId="77777777" w:rsidTr="002B5B29">
        <w:trPr>
          <w:trHeight w:val="20"/>
          <w:jc w:val="center"/>
        </w:trPr>
        <w:tc>
          <w:tcPr>
            <w:tcW w:w="2830" w:type="dxa"/>
            <w:vMerge w:val="restart"/>
            <w:shd w:val="clear" w:color="auto" w:fill="auto"/>
          </w:tcPr>
          <w:p w14:paraId="61A6D232" w14:textId="77777777" w:rsidR="00B3144F" w:rsidRPr="008313ED" w:rsidRDefault="00B3144F" w:rsidP="00BD06CF">
            <w:pPr>
              <w:jc w:val="center"/>
              <w:rPr>
                <w:b/>
              </w:rPr>
            </w:pPr>
          </w:p>
          <w:p w14:paraId="57DAB748" w14:textId="77777777" w:rsidR="00B3144F" w:rsidRPr="008313ED" w:rsidRDefault="00B3144F" w:rsidP="002B5B29">
            <w:pPr>
              <w:spacing w:after="0"/>
              <w:jc w:val="center"/>
              <w:rPr>
                <w:u w:val="single"/>
              </w:rPr>
            </w:pPr>
            <w:r w:rsidRPr="008313ED">
              <w:rPr>
                <w:b/>
              </w:rPr>
              <w:t>Treatment Parameter</w:t>
            </w:r>
          </w:p>
        </w:tc>
        <w:tc>
          <w:tcPr>
            <w:tcW w:w="4161" w:type="dxa"/>
            <w:gridSpan w:val="2"/>
            <w:shd w:val="clear" w:color="auto" w:fill="auto"/>
          </w:tcPr>
          <w:p w14:paraId="73F4F59B" w14:textId="20BD24FC" w:rsidR="00B3144F" w:rsidRPr="008313ED" w:rsidRDefault="00B3144F" w:rsidP="002B5B29">
            <w:pPr>
              <w:spacing w:after="0"/>
              <w:jc w:val="center"/>
            </w:pPr>
            <w:r w:rsidRPr="008313ED">
              <w:rPr>
                <w:b/>
                <w:bCs/>
              </w:rPr>
              <w:t>Treatment Group</w:t>
            </w:r>
          </w:p>
        </w:tc>
        <w:tc>
          <w:tcPr>
            <w:tcW w:w="2657" w:type="dxa"/>
            <w:vMerge w:val="restart"/>
            <w:shd w:val="clear" w:color="auto" w:fill="auto"/>
            <w:vAlign w:val="center"/>
          </w:tcPr>
          <w:p w14:paraId="177F2748" w14:textId="77777777" w:rsidR="00B3144F" w:rsidRPr="008313ED" w:rsidRDefault="00B3144F" w:rsidP="00BD06CF">
            <w:pPr>
              <w:jc w:val="center"/>
              <w:rPr>
                <w:b/>
                <w:bCs/>
              </w:rPr>
            </w:pPr>
          </w:p>
          <w:p w14:paraId="0412C542" w14:textId="77777777" w:rsidR="00B3144F" w:rsidRDefault="00B3144F" w:rsidP="002B5B29">
            <w:pPr>
              <w:spacing w:after="0"/>
              <w:jc w:val="center"/>
              <w:rPr>
                <w:b/>
                <w:bCs/>
              </w:rPr>
            </w:pPr>
            <w:r w:rsidRPr="008313ED">
              <w:rPr>
                <w:b/>
                <w:bCs/>
              </w:rPr>
              <w:t>LSM Difference</w:t>
            </w:r>
          </w:p>
          <w:p w14:paraId="5F262F1F" w14:textId="77777777" w:rsidR="00B3144F" w:rsidRPr="008313ED" w:rsidRDefault="00B3144F" w:rsidP="002B5B29">
            <w:pPr>
              <w:spacing w:after="0"/>
              <w:jc w:val="center"/>
              <w:rPr>
                <w:b/>
                <w:bCs/>
              </w:rPr>
            </w:pPr>
            <w:r w:rsidRPr="008313ED">
              <w:rPr>
                <w:b/>
                <w:bCs/>
              </w:rPr>
              <w:t>(95% CI)</w:t>
            </w:r>
          </w:p>
          <w:p w14:paraId="56EA904D" w14:textId="77777777" w:rsidR="00B3144F" w:rsidRPr="008313ED" w:rsidRDefault="00B3144F" w:rsidP="00BD06CF">
            <w:pPr>
              <w:jc w:val="center"/>
              <w:rPr>
                <w:b/>
                <w:bCs/>
              </w:rPr>
            </w:pPr>
          </w:p>
        </w:tc>
      </w:tr>
      <w:tr w:rsidR="00B3144F" w:rsidRPr="00EA4130" w14:paraId="4693232C" w14:textId="77777777" w:rsidTr="002B5B29">
        <w:trPr>
          <w:trHeight w:val="20"/>
          <w:jc w:val="center"/>
        </w:trPr>
        <w:tc>
          <w:tcPr>
            <w:tcW w:w="2830" w:type="dxa"/>
            <w:vMerge/>
            <w:shd w:val="clear" w:color="auto" w:fill="auto"/>
          </w:tcPr>
          <w:p w14:paraId="6EAA87E9" w14:textId="77777777" w:rsidR="00B3144F" w:rsidRPr="008313ED" w:rsidRDefault="00B3144F" w:rsidP="00BD06CF">
            <w:pPr>
              <w:jc w:val="center"/>
            </w:pPr>
          </w:p>
        </w:tc>
        <w:tc>
          <w:tcPr>
            <w:tcW w:w="1968" w:type="dxa"/>
            <w:shd w:val="clear" w:color="auto" w:fill="auto"/>
            <w:vAlign w:val="center"/>
          </w:tcPr>
          <w:p w14:paraId="1F2CE152" w14:textId="2FC6F891" w:rsidR="00B3144F" w:rsidRPr="00BA4CC2" w:rsidRDefault="008C3392" w:rsidP="002B5B29">
            <w:pPr>
              <w:spacing w:after="0"/>
              <w:jc w:val="center"/>
              <w:rPr>
                <w:b/>
                <w:bCs/>
              </w:rPr>
            </w:pPr>
            <w:r w:rsidRPr="008C3392">
              <w:rPr>
                <w:b/>
                <w:bCs/>
              </w:rPr>
              <w:t>NGENLA</w:t>
            </w:r>
            <w:r w:rsidR="00B3144F" w:rsidRPr="00BA4CC2">
              <w:rPr>
                <w:b/>
                <w:bCs/>
              </w:rPr>
              <w:t xml:space="preserve"> (</w:t>
            </w:r>
            <w:r w:rsidR="00B331E2">
              <w:rPr>
                <w:b/>
                <w:bCs/>
              </w:rPr>
              <w:t>n</w:t>
            </w:r>
            <w:r w:rsidR="00B3144F" w:rsidRPr="00BA4CC2">
              <w:rPr>
                <w:b/>
                <w:bCs/>
              </w:rPr>
              <w:t>=109)</w:t>
            </w:r>
          </w:p>
        </w:tc>
        <w:tc>
          <w:tcPr>
            <w:tcW w:w="2193" w:type="dxa"/>
            <w:shd w:val="clear" w:color="auto" w:fill="auto"/>
            <w:vAlign w:val="center"/>
          </w:tcPr>
          <w:p w14:paraId="17CCBB04" w14:textId="3EF0F081" w:rsidR="00B3144F" w:rsidRPr="00BA4CC2" w:rsidRDefault="00B3144F" w:rsidP="002B5B29">
            <w:pPr>
              <w:spacing w:after="0"/>
              <w:jc w:val="center"/>
              <w:rPr>
                <w:b/>
                <w:bCs/>
              </w:rPr>
            </w:pPr>
            <w:r w:rsidRPr="00BA4CC2">
              <w:rPr>
                <w:b/>
                <w:bCs/>
              </w:rPr>
              <w:t>Genotropin (</w:t>
            </w:r>
            <w:r w:rsidR="00B331E2">
              <w:rPr>
                <w:b/>
                <w:bCs/>
              </w:rPr>
              <w:t>n</w:t>
            </w:r>
            <w:r w:rsidRPr="00BA4CC2">
              <w:rPr>
                <w:b/>
                <w:bCs/>
              </w:rPr>
              <w:t>=115)</w:t>
            </w:r>
          </w:p>
        </w:tc>
        <w:tc>
          <w:tcPr>
            <w:tcW w:w="2657" w:type="dxa"/>
            <w:vMerge/>
            <w:shd w:val="clear" w:color="auto" w:fill="auto"/>
          </w:tcPr>
          <w:p w14:paraId="242F5315" w14:textId="77777777" w:rsidR="00B3144F" w:rsidRPr="008313ED" w:rsidRDefault="00B3144F" w:rsidP="00BD06CF"/>
        </w:tc>
      </w:tr>
      <w:tr w:rsidR="00B3144F" w:rsidRPr="00902268" w14:paraId="6FD3324A" w14:textId="77777777" w:rsidTr="002B5B29">
        <w:trPr>
          <w:trHeight w:val="20"/>
          <w:jc w:val="center"/>
        </w:trPr>
        <w:tc>
          <w:tcPr>
            <w:tcW w:w="2830" w:type="dxa"/>
            <w:vMerge/>
            <w:shd w:val="clear" w:color="auto" w:fill="auto"/>
          </w:tcPr>
          <w:p w14:paraId="15B920F5" w14:textId="77777777" w:rsidR="00B3144F" w:rsidRPr="008313ED" w:rsidRDefault="00B3144F" w:rsidP="00BD06CF">
            <w:pPr>
              <w:jc w:val="center"/>
              <w:rPr>
                <w:b/>
              </w:rPr>
            </w:pPr>
          </w:p>
        </w:tc>
        <w:tc>
          <w:tcPr>
            <w:tcW w:w="1968" w:type="dxa"/>
            <w:shd w:val="clear" w:color="auto" w:fill="auto"/>
            <w:vAlign w:val="center"/>
          </w:tcPr>
          <w:p w14:paraId="7A3225E6" w14:textId="77777777" w:rsidR="00B3144F" w:rsidRPr="008313ED" w:rsidRDefault="00B3144F" w:rsidP="002B5B29">
            <w:pPr>
              <w:spacing w:after="0"/>
              <w:jc w:val="center"/>
              <w:rPr>
                <w:b/>
              </w:rPr>
            </w:pPr>
            <w:r w:rsidRPr="008313ED">
              <w:rPr>
                <w:b/>
              </w:rPr>
              <w:t>LS</w:t>
            </w:r>
            <w:r>
              <w:rPr>
                <w:b/>
              </w:rPr>
              <w:t>M</w:t>
            </w:r>
            <w:r w:rsidRPr="008313ED">
              <w:rPr>
                <w:b/>
              </w:rPr>
              <w:t xml:space="preserve"> </w:t>
            </w:r>
            <w:r>
              <w:rPr>
                <w:b/>
              </w:rPr>
              <w:t>E</w:t>
            </w:r>
            <w:r w:rsidRPr="008313ED">
              <w:rPr>
                <w:b/>
              </w:rPr>
              <w:t>stimate</w:t>
            </w:r>
          </w:p>
        </w:tc>
        <w:tc>
          <w:tcPr>
            <w:tcW w:w="2193" w:type="dxa"/>
            <w:shd w:val="clear" w:color="auto" w:fill="auto"/>
            <w:vAlign w:val="center"/>
          </w:tcPr>
          <w:p w14:paraId="70E4F305" w14:textId="77777777" w:rsidR="00B3144F" w:rsidRPr="00E71E58" w:rsidRDefault="00B3144F" w:rsidP="002B5B29">
            <w:pPr>
              <w:spacing w:after="0"/>
              <w:jc w:val="center"/>
              <w:rPr>
                <w:b/>
                <w:color w:val="538135"/>
                <w:highlight w:val="darkBlue"/>
              </w:rPr>
            </w:pPr>
            <w:r w:rsidRPr="008313ED">
              <w:rPr>
                <w:b/>
              </w:rPr>
              <w:t>LS</w:t>
            </w:r>
            <w:r>
              <w:rPr>
                <w:b/>
              </w:rPr>
              <w:t>M E</w:t>
            </w:r>
            <w:r w:rsidRPr="008313ED">
              <w:rPr>
                <w:b/>
              </w:rPr>
              <w:t>stimate</w:t>
            </w:r>
          </w:p>
        </w:tc>
        <w:tc>
          <w:tcPr>
            <w:tcW w:w="2657" w:type="dxa"/>
            <w:vMerge/>
            <w:shd w:val="clear" w:color="auto" w:fill="auto"/>
          </w:tcPr>
          <w:p w14:paraId="1A4BFA6F" w14:textId="77777777" w:rsidR="00B3144F" w:rsidRPr="008313ED" w:rsidRDefault="00B3144F" w:rsidP="00BD06CF">
            <w:pPr>
              <w:jc w:val="center"/>
              <w:rPr>
                <w:b/>
              </w:rPr>
            </w:pPr>
          </w:p>
        </w:tc>
      </w:tr>
      <w:tr w:rsidR="00B3144F" w:rsidRPr="00902268" w14:paraId="2DED9119" w14:textId="77777777" w:rsidTr="002B5B29">
        <w:trPr>
          <w:trHeight w:val="20"/>
          <w:jc w:val="center"/>
        </w:trPr>
        <w:tc>
          <w:tcPr>
            <w:tcW w:w="2830" w:type="dxa"/>
            <w:shd w:val="clear" w:color="auto" w:fill="auto"/>
          </w:tcPr>
          <w:p w14:paraId="143D230B" w14:textId="3736DEF2" w:rsidR="00B3144F" w:rsidRPr="008313ED" w:rsidRDefault="00B3144F" w:rsidP="002B5B29">
            <w:pPr>
              <w:tabs>
                <w:tab w:val="left" w:pos="0"/>
              </w:tabs>
              <w:spacing w:after="0"/>
              <w:ind w:right="1026"/>
              <w:jc w:val="left"/>
            </w:pPr>
            <w:r w:rsidRPr="008313ED">
              <w:t>Height</w:t>
            </w:r>
            <w:r w:rsidR="002B5B29">
              <w:t xml:space="preserve"> </w:t>
            </w:r>
            <w:r w:rsidRPr="008313ED">
              <w:t xml:space="preserve">Velocity </w:t>
            </w:r>
            <w:r w:rsidR="002B5B29">
              <w:t>(</w:t>
            </w:r>
            <w:r w:rsidRPr="008313ED">
              <w:t>cm/</w:t>
            </w:r>
            <w:proofErr w:type="spellStart"/>
            <w:r w:rsidRPr="008313ED">
              <w:t>yr</w:t>
            </w:r>
            <w:proofErr w:type="spellEnd"/>
            <w:r w:rsidRPr="008313ED">
              <w:t>)</w:t>
            </w:r>
          </w:p>
        </w:tc>
        <w:tc>
          <w:tcPr>
            <w:tcW w:w="1968" w:type="dxa"/>
            <w:shd w:val="clear" w:color="auto" w:fill="auto"/>
          </w:tcPr>
          <w:p w14:paraId="08760EAD" w14:textId="77777777" w:rsidR="00B3144F" w:rsidRPr="008313ED" w:rsidRDefault="00B3144F" w:rsidP="00BD06CF">
            <w:pPr>
              <w:jc w:val="center"/>
            </w:pPr>
            <w:r w:rsidRPr="008313ED">
              <w:t>10.10</w:t>
            </w:r>
          </w:p>
        </w:tc>
        <w:tc>
          <w:tcPr>
            <w:tcW w:w="2193" w:type="dxa"/>
            <w:shd w:val="clear" w:color="auto" w:fill="auto"/>
          </w:tcPr>
          <w:p w14:paraId="341DC6BC" w14:textId="77777777" w:rsidR="00B3144F" w:rsidRPr="008313ED" w:rsidRDefault="00B3144F" w:rsidP="00BD06CF">
            <w:pPr>
              <w:jc w:val="center"/>
            </w:pPr>
            <w:r w:rsidRPr="008313ED">
              <w:t>9.78</w:t>
            </w:r>
          </w:p>
        </w:tc>
        <w:tc>
          <w:tcPr>
            <w:tcW w:w="2657" w:type="dxa"/>
            <w:shd w:val="clear" w:color="auto" w:fill="auto"/>
          </w:tcPr>
          <w:p w14:paraId="755DE380" w14:textId="77777777" w:rsidR="00B3144F" w:rsidRPr="008313ED" w:rsidRDefault="00B3144F" w:rsidP="00BD06CF">
            <w:pPr>
              <w:jc w:val="center"/>
            </w:pPr>
            <w:r w:rsidRPr="008313ED">
              <w:t>0.33 (-0.24, 0.89)</w:t>
            </w:r>
          </w:p>
        </w:tc>
      </w:tr>
      <w:tr w:rsidR="00B3144F" w:rsidRPr="00902268" w14:paraId="0DE40C5A" w14:textId="77777777" w:rsidTr="002B5B29">
        <w:trPr>
          <w:trHeight w:val="605"/>
          <w:jc w:val="center"/>
        </w:trPr>
        <w:tc>
          <w:tcPr>
            <w:tcW w:w="2830" w:type="dxa"/>
            <w:shd w:val="clear" w:color="auto" w:fill="auto"/>
          </w:tcPr>
          <w:p w14:paraId="0869CB46" w14:textId="73931865" w:rsidR="00B3144F" w:rsidRPr="008313ED" w:rsidRDefault="00B3144F" w:rsidP="002B5B29">
            <w:pPr>
              <w:spacing w:after="0"/>
            </w:pPr>
            <w:r>
              <w:t>Height Standard Deviation Score</w:t>
            </w:r>
          </w:p>
        </w:tc>
        <w:tc>
          <w:tcPr>
            <w:tcW w:w="1968" w:type="dxa"/>
            <w:shd w:val="clear" w:color="auto" w:fill="auto"/>
          </w:tcPr>
          <w:p w14:paraId="5DA7F05A" w14:textId="77777777" w:rsidR="00B3144F" w:rsidRPr="008313ED" w:rsidRDefault="00B3144F" w:rsidP="00BD06CF">
            <w:pPr>
              <w:jc w:val="center"/>
            </w:pPr>
            <w:r w:rsidRPr="008313ED">
              <w:t>-</w:t>
            </w:r>
            <w:r>
              <w:t>1.94</w:t>
            </w:r>
          </w:p>
        </w:tc>
        <w:tc>
          <w:tcPr>
            <w:tcW w:w="2193" w:type="dxa"/>
            <w:shd w:val="clear" w:color="auto" w:fill="auto"/>
          </w:tcPr>
          <w:p w14:paraId="0EBCA82E" w14:textId="77777777" w:rsidR="00B3144F" w:rsidRPr="008313ED" w:rsidRDefault="00B3144F" w:rsidP="00BD06CF">
            <w:pPr>
              <w:jc w:val="center"/>
            </w:pPr>
            <w:r w:rsidRPr="008313ED">
              <w:t>-1.9</w:t>
            </w:r>
            <w:r>
              <w:t>9</w:t>
            </w:r>
          </w:p>
        </w:tc>
        <w:tc>
          <w:tcPr>
            <w:tcW w:w="2657" w:type="dxa"/>
            <w:shd w:val="clear" w:color="auto" w:fill="auto"/>
          </w:tcPr>
          <w:p w14:paraId="768CAD5F" w14:textId="77777777" w:rsidR="00B3144F" w:rsidRPr="008313ED" w:rsidRDefault="00B3144F" w:rsidP="00BD06CF">
            <w:pPr>
              <w:jc w:val="center"/>
            </w:pPr>
            <w:r>
              <w:t>0.05 (-0.06, 0.16)</w:t>
            </w:r>
          </w:p>
        </w:tc>
      </w:tr>
      <w:tr w:rsidR="00B3144F" w:rsidRPr="00902268" w14:paraId="27E4B301" w14:textId="77777777" w:rsidTr="002B5B29">
        <w:trPr>
          <w:trHeight w:val="20"/>
          <w:jc w:val="center"/>
        </w:trPr>
        <w:tc>
          <w:tcPr>
            <w:tcW w:w="2830" w:type="dxa"/>
            <w:shd w:val="clear" w:color="auto" w:fill="auto"/>
          </w:tcPr>
          <w:p w14:paraId="00BA8F79" w14:textId="055C2692" w:rsidR="00B3144F" w:rsidRPr="008313ED" w:rsidRDefault="00B3144F" w:rsidP="002B5B29">
            <w:pPr>
              <w:spacing w:after="0"/>
              <w:jc w:val="left"/>
            </w:pPr>
            <w:r>
              <w:lastRenderedPageBreak/>
              <w:t>Change in Height Standard Deviation Score from baseline</w:t>
            </w:r>
          </w:p>
        </w:tc>
        <w:tc>
          <w:tcPr>
            <w:tcW w:w="1968" w:type="dxa"/>
            <w:shd w:val="clear" w:color="auto" w:fill="auto"/>
          </w:tcPr>
          <w:p w14:paraId="101EBFF8" w14:textId="77777777" w:rsidR="00B3144F" w:rsidRPr="008313ED" w:rsidRDefault="00B3144F" w:rsidP="00BD06CF">
            <w:pPr>
              <w:jc w:val="center"/>
            </w:pPr>
            <w:r w:rsidRPr="008313ED">
              <w:t>0.92</w:t>
            </w:r>
          </w:p>
        </w:tc>
        <w:tc>
          <w:tcPr>
            <w:tcW w:w="2193" w:type="dxa"/>
            <w:shd w:val="clear" w:color="auto" w:fill="auto"/>
          </w:tcPr>
          <w:p w14:paraId="06B74A9D" w14:textId="77777777" w:rsidR="00B3144F" w:rsidRPr="008313ED" w:rsidRDefault="00B3144F" w:rsidP="00BD06CF">
            <w:pPr>
              <w:jc w:val="center"/>
            </w:pPr>
            <w:r w:rsidRPr="008313ED">
              <w:t>0.87</w:t>
            </w:r>
          </w:p>
        </w:tc>
        <w:tc>
          <w:tcPr>
            <w:tcW w:w="2657" w:type="dxa"/>
            <w:shd w:val="clear" w:color="auto" w:fill="auto"/>
          </w:tcPr>
          <w:p w14:paraId="40B62CE2" w14:textId="77777777" w:rsidR="00B3144F" w:rsidRPr="008313ED" w:rsidRDefault="00B3144F" w:rsidP="00BD06CF">
            <w:pPr>
              <w:jc w:val="center"/>
            </w:pPr>
            <w:r w:rsidRPr="008313ED">
              <w:t>0.05 (-0.06, 0.16)</w:t>
            </w:r>
          </w:p>
        </w:tc>
      </w:tr>
    </w:tbl>
    <w:p w14:paraId="0BB407E1" w14:textId="0BD01EB3" w:rsidR="00B3144F" w:rsidRPr="001C6793" w:rsidRDefault="00B3144F" w:rsidP="00685895">
      <w:pPr>
        <w:pStyle w:val="ListParagraph"/>
        <w:keepLines/>
        <w:spacing w:after="120"/>
        <w:ind w:left="0"/>
        <w:rPr>
          <w:rFonts w:ascii="Times New Roman" w:eastAsia="Times New Roman" w:hAnsi="Times New Roman"/>
          <w:sz w:val="20"/>
          <w:lang w:eastAsia="en-US"/>
        </w:rPr>
      </w:pPr>
      <w:r w:rsidRPr="001C6793">
        <w:rPr>
          <w:rFonts w:ascii="Times New Roman" w:eastAsia="Times New Roman" w:hAnsi="Times New Roman"/>
          <w:sz w:val="20"/>
          <w:lang w:eastAsia="en-US"/>
        </w:rPr>
        <w:t xml:space="preserve">Abbreviations: CI=confidence interval; GHD=growth hormone deficiency; LSM=least square mean; </w:t>
      </w:r>
      <w:r w:rsidR="00980945">
        <w:rPr>
          <w:rFonts w:ascii="Times New Roman" w:eastAsia="Times New Roman" w:hAnsi="Times New Roman"/>
          <w:sz w:val="20"/>
          <w:lang w:eastAsia="en-US"/>
        </w:rPr>
        <w:t>n</w:t>
      </w:r>
      <w:r w:rsidRPr="001C6793">
        <w:rPr>
          <w:rFonts w:ascii="Times New Roman" w:eastAsia="Times New Roman" w:hAnsi="Times New Roman"/>
          <w:sz w:val="20"/>
          <w:lang w:eastAsia="en-US"/>
        </w:rPr>
        <w:t>=number of patients randomized and treated</w:t>
      </w:r>
      <w:r>
        <w:rPr>
          <w:rFonts w:ascii="Times New Roman" w:eastAsia="Times New Roman" w:hAnsi="Times New Roman"/>
          <w:sz w:val="20"/>
          <w:lang w:eastAsia="en-US"/>
        </w:rPr>
        <w:t>.</w:t>
      </w:r>
    </w:p>
    <w:p w14:paraId="58AF404F" w14:textId="365FCB25" w:rsidR="00B3144F" w:rsidRDefault="00B3144F" w:rsidP="00685895">
      <w:pPr>
        <w:rPr>
          <w:rStyle w:val="normaltextrun"/>
          <w:color w:val="000000"/>
        </w:rPr>
      </w:pPr>
      <w:bookmarkStart w:id="6" w:name="_Hlk48146727"/>
    </w:p>
    <w:p w14:paraId="7CB81DEC" w14:textId="23F991DD" w:rsidR="004B793B" w:rsidRDefault="004B793B" w:rsidP="00685895">
      <w:pPr>
        <w:rPr>
          <w:rStyle w:val="normaltextrun"/>
          <w:color w:val="000000"/>
        </w:rPr>
      </w:pPr>
      <w:r>
        <w:rPr>
          <w:rStyle w:val="normaltextrun"/>
          <w:color w:val="000000"/>
        </w:rPr>
        <w:t xml:space="preserve">There have been no clinical trials with NGENLA in children with Turner Syndrome, Prader Willi Syndrome </w:t>
      </w:r>
      <w:r w:rsidR="00EC331F">
        <w:rPr>
          <w:rStyle w:val="normaltextrun"/>
          <w:color w:val="000000"/>
        </w:rPr>
        <w:t>or</w:t>
      </w:r>
      <w:r>
        <w:rPr>
          <w:rStyle w:val="normaltextrun"/>
          <w:color w:val="000000"/>
        </w:rPr>
        <w:t xml:space="preserve"> SGA.</w:t>
      </w:r>
    </w:p>
    <w:bookmarkEnd w:id="6"/>
    <w:p w14:paraId="70F96439" w14:textId="77777777" w:rsidR="00515811" w:rsidRPr="00281B9F" w:rsidRDefault="00515811" w:rsidP="00226236">
      <w:pPr>
        <w:pStyle w:val="CLDHeading2"/>
      </w:pPr>
      <w:r w:rsidRPr="00281B9F">
        <w:t>5.2</w:t>
      </w:r>
      <w:r w:rsidRPr="00281B9F">
        <w:tab/>
        <w:t>Pharmacokinetic properties</w:t>
      </w:r>
    </w:p>
    <w:p w14:paraId="7EFFACFD" w14:textId="262A90B4" w:rsidR="00260069" w:rsidRDefault="00260069" w:rsidP="00260069">
      <w:pPr>
        <w:shd w:val="clear" w:color="auto" w:fill="FFFFFF"/>
        <w:spacing w:before="20" w:after="20"/>
      </w:pPr>
      <w:bookmarkStart w:id="7" w:name="_Hlk45216109"/>
      <w:proofErr w:type="spellStart"/>
      <w:r w:rsidRPr="00262122">
        <w:t>Somatrogon</w:t>
      </w:r>
      <w:proofErr w:type="spellEnd"/>
      <w:r w:rsidRPr="00262122">
        <w:t xml:space="preserve"> pharmacokinetics (</w:t>
      </w:r>
      <w:proofErr w:type="spellStart"/>
      <w:r>
        <w:t>p</w:t>
      </w:r>
      <w:r w:rsidRPr="00262122">
        <w:t>K</w:t>
      </w:r>
      <w:proofErr w:type="spellEnd"/>
      <w:r w:rsidRPr="00262122">
        <w:t xml:space="preserve">) was assessed using a population </w:t>
      </w:r>
      <w:proofErr w:type="spellStart"/>
      <w:r>
        <w:t>p</w:t>
      </w:r>
      <w:r w:rsidRPr="00262122">
        <w:t>K</w:t>
      </w:r>
      <w:proofErr w:type="spellEnd"/>
      <w:r w:rsidRPr="00262122">
        <w:t xml:space="preserve"> approach for </w:t>
      </w:r>
      <w:r w:rsidR="004729B3" w:rsidRPr="008C3392">
        <w:rPr>
          <w:szCs w:val="24"/>
        </w:rPr>
        <w:t>NGENLA</w:t>
      </w:r>
      <w:r w:rsidRPr="00262122">
        <w:t xml:space="preserve"> in 42 p</w:t>
      </w:r>
      <w:r>
        <w:t>a</w:t>
      </w:r>
      <w:r w:rsidRPr="00262122">
        <w:t>ediatric patients with GHD.</w:t>
      </w:r>
    </w:p>
    <w:p w14:paraId="317AD5D9" w14:textId="01620646" w:rsidR="00260069" w:rsidRDefault="00260069" w:rsidP="00260069">
      <w:pPr>
        <w:shd w:val="clear" w:color="auto" w:fill="FFFFFF"/>
        <w:spacing w:before="20" w:after="20"/>
      </w:pPr>
    </w:p>
    <w:p w14:paraId="161A3450" w14:textId="77777777" w:rsidR="00260069" w:rsidRPr="006E233B" w:rsidRDefault="00260069" w:rsidP="00260069">
      <w:pPr>
        <w:pStyle w:val="ListParagraph"/>
        <w:ind w:left="0"/>
        <w:contextualSpacing w:val="0"/>
        <w:rPr>
          <w:rFonts w:ascii="Times New Roman" w:hAnsi="Times New Roman"/>
          <w:b/>
          <w:szCs w:val="24"/>
        </w:rPr>
      </w:pPr>
      <w:r w:rsidRPr="006E233B">
        <w:rPr>
          <w:rFonts w:ascii="Times New Roman" w:hAnsi="Times New Roman"/>
          <w:b/>
          <w:szCs w:val="24"/>
        </w:rPr>
        <w:t>Absorption</w:t>
      </w:r>
    </w:p>
    <w:p w14:paraId="1B27CFB5" w14:textId="37C909D0" w:rsidR="00260069" w:rsidRDefault="00260069" w:rsidP="00260069">
      <w:pPr>
        <w:outlineLvl w:val="3"/>
      </w:pPr>
      <w:r w:rsidRPr="00836F94">
        <w:t xml:space="preserve">Following </w:t>
      </w:r>
      <w:r>
        <w:t xml:space="preserve">SC </w:t>
      </w:r>
      <w:r w:rsidRPr="00836F94">
        <w:t xml:space="preserve">injection, serum concentrations increased slowly, peaking </w:t>
      </w:r>
      <w:r>
        <w:t xml:space="preserve">6 to 18 </w:t>
      </w:r>
      <w:r w:rsidRPr="00836F94">
        <w:t>hours after dosing</w:t>
      </w:r>
      <w:r>
        <w:t>.</w:t>
      </w:r>
    </w:p>
    <w:p w14:paraId="289753D1" w14:textId="50833A56" w:rsidR="00260069" w:rsidRDefault="00260069" w:rsidP="00260069">
      <w:pPr>
        <w:shd w:val="clear" w:color="auto" w:fill="FFFFFF"/>
        <w:spacing w:before="20" w:after="20"/>
      </w:pPr>
      <w:r>
        <w:t xml:space="preserve">In paediatric patients with GHD, </w:t>
      </w:r>
      <w:proofErr w:type="spellStart"/>
      <w:r>
        <w:t>somatrogon</w:t>
      </w:r>
      <w:proofErr w:type="spellEnd"/>
      <w:r>
        <w:t xml:space="preserve"> exposure increases in a dose-proportional manner for doses of 0.25 mg/kg/</w:t>
      </w:r>
      <w:proofErr w:type="spellStart"/>
      <w:r>
        <w:t>wk</w:t>
      </w:r>
      <w:proofErr w:type="spellEnd"/>
      <w:r>
        <w:t>, 0.48 mg/kg/</w:t>
      </w:r>
      <w:proofErr w:type="spellStart"/>
      <w:r>
        <w:t>wk</w:t>
      </w:r>
      <w:proofErr w:type="spellEnd"/>
      <w:r>
        <w:t xml:space="preserve"> and 0.66 mg/kg/wk.  There is no accumulation of </w:t>
      </w:r>
      <w:proofErr w:type="spellStart"/>
      <w:r>
        <w:t>somatrogon</w:t>
      </w:r>
      <w:proofErr w:type="spellEnd"/>
      <w:r>
        <w:t xml:space="preserve"> after once-weekly administration.  In paediatric patients with GHD, the mean population</w:t>
      </w:r>
      <w:r w:rsidR="003D722F">
        <w:t xml:space="preserve"> </w:t>
      </w:r>
      <w:proofErr w:type="spellStart"/>
      <w:r w:rsidR="003D722F">
        <w:t>p</w:t>
      </w:r>
      <w:r>
        <w:t>K</w:t>
      </w:r>
      <w:proofErr w:type="spellEnd"/>
      <w:r>
        <w:t xml:space="preserve"> estimated steady-state peak concentrations following 0.66 mg/kg/</w:t>
      </w:r>
      <w:proofErr w:type="spellStart"/>
      <w:r>
        <w:t>wk</w:t>
      </w:r>
      <w:proofErr w:type="spellEnd"/>
      <w:r>
        <w:t xml:space="preserve"> was 690 ng/</w:t>
      </w:r>
      <w:proofErr w:type="spellStart"/>
      <w:r>
        <w:t>mL</w:t>
      </w:r>
      <w:r w:rsidR="0096338D">
        <w:t>.</w:t>
      </w:r>
      <w:proofErr w:type="spellEnd"/>
    </w:p>
    <w:p w14:paraId="3953F6D9" w14:textId="77777777" w:rsidR="0096338D" w:rsidRDefault="0096338D" w:rsidP="00260069">
      <w:pPr>
        <w:shd w:val="clear" w:color="auto" w:fill="FFFFFF"/>
        <w:spacing w:before="20" w:after="20"/>
      </w:pPr>
    </w:p>
    <w:p w14:paraId="3E77E7F4" w14:textId="77777777" w:rsidR="0096338D" w:rsidRPr="006E233B" w:rsidRDefault="0096338D" w:rsidP="0096338D">
      <w:pPr>
        <w:shd w:val="clear" w:color="auto" w:fill="FFFFFF"/>
        <w:spacing w:before="20" w:after="20"/>
        <w:rPr>
          <w:b/>
          <w:bCs/>
        </w:rPr>
      </w:pPr>
      <w:r w:rsidRPr="006E233B">
        <w:rPr>
          <w:b/>
          <w:bCs/>
        </w:rPr>
        <w:t>Distribution</w:t>
      </w:r>
    </w:p>
    <w:p w14:paraId="3D5BBB94" w14:textId="7D150D22" w:rsidR="0096338D" w:rsidRDefault="0096338D" w:rsidP="0096338D">
      <w:pPr>
        <w:shd w:val="clear" w:color="auto" w:fill="FFFFFF"/>
        <w:spacing w:before="20" w:after="20"/>
      </w:pPr>
      <w:r>
        <w:t>In paediatric patients with GHD, the mean population</w:t>
      </w:r>
      <w:r w:rsidR="003D722F">
        <w:t xml:space="preserve"> </w:t>
      </w:r>
      <w:proofErr w:type="spellStart"/>
      <w:r w:rsidR="003D722F">
        <w:t>p</w:t>
      </w:r>
      <w:r>
        <w:t>K</w:t>
      </w:r>
      <w:proofErr w:type="spellEnd"/>
      <w:r>
        <w:t xml:space="preserve"> estimated apparent central volume of distribution was 0.812 L/kg and </w:t>
      </w:r>
      <w:r w:rsidR="003D722F">
        <w:t xml:space="preserve">the </w:t>
      </w:r>
      <w:r>
        <w:t>apparent peripheral volume of distribution was 0.169 L/kg.</w:t>
      </w:r>
    </w:p>
    <w:p w14:paraId="3C5FCF5A" w14:textId="0672A591" w:rsidR="0096338D" w:rsidRDefault="0096338D" w:rsidP="0096338D">
      <w:pPr>
        <w:shd w:val="clear" w:color="auto" w:fill="FFFFFF"/>
        <w:spacing w:before="20" w:after="20"/>
      </w:pPr>
    </w:p>
    <w:p w14:paraId="75BFDE47" w14:textId="77777777" w:rsidR="0096338D" w:rsidRPr="006E233B" w:rsidRDefault="0096338D" w:rsidP="0096338D">
      <w:pPr>
        <w:pStyle w:val="ListParagraph"/>
        <w:ind w:left="0"/>
        <w:contextualSpacing w:val="0"/>
        <w:rPr>
          <w:rFonts w:ascii="Times New Roman" w:hAnsi="Times New Roman"/>
          <w:b/>
          <w:szCs w:val="24"/>
        </w:rPr>
      </w:pPr>
      <w:r w:rsidRPr="006E233B">
        <w:rPr>
          <w:rFonts w:ascii="Times New Roman" w:hAnsi="Times New Roman"/>
          <w:b/>
          <w:szCs w:val="24"/>
        </w:rPr>
        <w:t>Metabolism</w:t>
      </w:r>
    </w:p>
    <w:p w14:paraId="77466152" w14:textId="787E5591" w:rsidR="0096338D" w:rsidRDefault="0096338D" w:rsidP="0096338D">
      <w:pPr>
        <w:shd w:val="clear" w:color="auto" w:fill="FFFFFF"/>
        <w:spacing w:before="20" w:after="20"/>
        <w:rPr>
          <w:szCs w:val="24"/>
        </w:rPr>
      </w:pPr>
      <w:r w:rsidRPr="001C6793">
        <w:rPr>
          <w:szCs w:val="24"/>
        </w:rPr>
        <w:t xml:space="preserve">The metabolic fate of </w:t>
      </w:r>
      <w:proofErr w:type="spellStart"/>
      <w:r w:rsidRPr="001C6793">
        <w:rPr>
          <w:szCs w:val="24"/>
        </w:rPr>
        <w:t>somatrogon</w:t>
      </w:r>
      <w:proofErr w:type="spellEnd"/>
      <w:r w:rsidRPr="001C6793">
        <w:rPr>
          <w:szCs w:val="24"/>
        </w:rPr>
        <w:t xml:space="preserve"> is believed to be classical protein catabolism, with subsequent reclamation of the amino acids and return to the systemic circulation.</w:t>
      </w:r>
    </w:p>
    <w:p w14:paraId="21A581A8" w14:textId="3245F585" w:rsidR="0096338D" w:rsidRDefault="0096338D" w:rsidP="0096338D">
      <w:pPr>
        <w:shd w:val="clear" w:color="auto" w:fill="FFFFFF"/>
        <w:spacing w:before="20" w:after="20"/>
        <w:rPr>
          <w:szCs w:val="24"/>
        </w:rPr>
      </w:pPr>
    </w:p>
    <w:p w14:paraId="6DF19D8C" w14:textId="0EA81FB5" w:rsidR="00052075" w:rsidRDefault="00052075" w:rsidP="0096338D">
      <w:pPr>
        <w:shd w:val="clear" w:color="auto" w:fill="FFFFFF"/>
        <w:spacing w:before="20" w:after="20"/>
        <w:rPr>
          <w:b/>
          <w:bCs/>
          <w:iCs/>
        </w:rPr>
      </w:pPr>
      <w:r>
        <w:rPr>
          <w:b/>
          <w:bCs/>
          <w:iCs/>
        </w:rPr>
        <w:t>Elimination</w:t>
      </w:r>
    </w:p>
    <w:p w14:paraId="23A19898" w14:textId="574CFDF5" w:rsidR="00052075" w:rsidRPr="00903703" w:rsidRDefault="00052075" w:rsidP="00052075">
      <w:pPr>
        <w:shd w:val="clear" w:color="auto" w:fill="FFFFFF"/>
        <w:spacing w:before="20" w:after="20"/>
        <w:rPr>
          <w:iCs/>
          <w:shd w:val="clear" w:color="auto" w:fill="FFFFCC"/>
        </w:rPr>
      </w:pPr>
      <w:r>
        <w:t xml:space="preserve">In paediatric patients with GHD, the mean population </w:t>
      </w:r>
      <w:proofErr w:type="spellStart"/>
      <w:r>
        <w:t>pK</w:t>
      </w:r>
      <w:proofErr w:type="spellEnd"/>
      <w:r>
        <w:t xml:space="preserve"> estimated apparent clearance was 0.0336 L/h/kg. With a mean population </w:t>
      </w:r>
      <w:proofErr w:type="spellStart"/>
      <w:r>
        <w:t>pK</w:t>
      </w:r>
      <w:proofErr w:type="spellEnd"/>
      <w:r>
        <w:t xml:space="preserve"> estimated effective half-life of 28.3 hours, </w:t>
      </w:r>
      <w:proofErr w:type="spellStart"/>
      <w:r>
        <w:t>somatrogon</w:t>
      </w:r>
      <w:proofErr w:type="spellEnd"/>
      <w:r>
        <w:t xml:space="preserve"> will be present in the circulation for about 6 days after the last dose. </w:t>
      </w:r>
    </w:p>
    <w:p w14:paraId="219FE886" w14:textId="77777777" w:rsidR="00052075" w:rsidRDefault="00052075" w:rsidP="0096338D">
      <w:pPr>
        <w:shd w:val="clear" w:color="auto" w:fill="FFFFFF"/>
        <w:spacing w:before="20" w:after="20"/>
        <w:rPr>
          <w:b/>
          <w:bCs/>
          <w:iCs/>
        </w:rPr>
      </w:pPr>
    </w:p>
    <w:p w14:paraId="459EFBFB" w14:textId="59BE207F" w:rsidR="0096338D" w:rsidRPr="006E233B" w:rsidRDefault="0096338D" w:rsidP="0096338D">
      <w:pPr>
        <w:shd w:val="clear" w:color="auto" w:fill="FFFFFF"/>
        <w:spacing w:before="20" w:after="20"/>
        <w:rPr>
          <w:b/>
          <w:bCs/>
          <w:iCs/>
          <w:shd w:val="clear" w:color="auto" w:fill="FFFFCC"/>
        </w:rPr>
      </w:pPr>
      <w:r w:rsidRPr="006E233B">
        <w:rPr>
          <w:b/>
          <w:bCs/>
          <w:iCs/>
        </w:rPr>
        <w:t>Excretion</w:t>
      </w:r>
    </w:p>
    <w:p w14:paraId="7F35A3D9" w14:textId="5A0D92E9" w:rsidR="0096338D" w:rsidRDefault="0096338D" w:rsidP="0096338D">
      <w:pPr>
        <w:shd w:val="clear" w:color="auto" w:fill="FFFFFF"/>
        <w:spacing w:before="20" w:after="20"/>
      </w:pPr>
      <w:r w:rsidRPr="005723DD">
        <w:t>Excretion was not evaluated in clinical studies.</w:t>
      </w:r>
    </w:p>
    <w:p w14:paraId="3CBE5F0E" w14:textId="77777777" w:rsidR="003963F8" w:rsidRDefault="003963F8" w:rsidP="003963F8">
      <w:pPr>
        <w:pStyle w:val="ListParagraph"/>
        <w:keepNext/>
        <w:ind w:left="0"/>
        <w:contextualSpacing w:val="0"/>
        <w:rPr>
          <w:rFonts w:ascii="Times New Roman" w:hAnsi="Times New Roman"/>
          <w:bCs/>
          <w:szCs w:val="24"/>
          <w:u w:val="single"/>
        </w:rPr>
      </w:pPr>
    </w:p>
    <w:p w14:paraId="6173EE51" w14:textId="7B4FBACE" w:rsidR="003963F8" w:rsidRPr="00860BE6" w:rsidRDefault="003963F8" w:rsidP="003963F8">
      <w:pPr>
        <w:pStyle w:val="ListParagraph"/>
        <w:keepNext/>
        <w:ind w:left="0"/>
        <w:contextualSpacing w:val="0"/>
        <w:rPr>
          <w:rFonts w:ascii="Times New Roman" w:hAnsi="Times New Roman"/>
          <w:bCs/>
          <w:szCs w:val="24"/>
          <w:u w:val="single"/>
        </w:rPr>
      </w:pPr>
      <w:r w:rsidRPr="00860BE6">
        <w:rPr>
          <w:rFonts w:ascii="Times New Roman" w:hAnsi="Times New Roman"/>
          <w:bCs/>
          <w:szCs w:val="24"/>
          <w:u w:val="single"/>
        </w:rPr>
        <w:t>Special Populations</w:t>
      </w:r>
    </w:p>
    <w:p w14:paraId="378A73CA" w14:textId="77777777" w:rsidR="003963F8" w:rsidRDefault="003963F8" w:rsidP="003963F8">
      <w:pPr>
        <w:pStyle w:val="ListParagraph"/>
        <w:keepNext/>
        <w:ind w:left="0"/>
        <w:contextualSpacing w:val="0"/>
        <w:rPr>
          <w:rFonts w:ascii="Times New Roman" w:hAnsi="Times New Roman"/>
          <w:b/>
          <w:szCs w:val="24"/>
        </w:rPr>
      </w:pPr>
    </w:p>
    <w:p w14:paraId="5588E878" w14:textId="77777777" w:rsidR="003963F8" w:rsidRDefault="003963F8" w:rsidP="00DA5DB1">
      <w:pPr>
        <w:pStyle w:val="ListParagraph"/>
        <w:keepNext/>
        <w:spacing w:after="120"/>
        <w:ind w:left="0"/>
        <w:contextualSpacing w:val="0"/>
        <w:rPr>
          <w:rFonts w:ascii="Times New Roman" w:hAnsi="Times New Roman"/>
          <w:bCs/>
          <w:i/>
          <w:iCs/>
          <w:szCs w:val="24"/>
        </w:rPr>
      </w:pPr>
      <w:r w:rsidRPr="00860BE6">
        <w:rPr>
          <w:rFonts w:ascii="Times New Roman" w:hAnsi="Times New Roman"/>
          <w:bCs/>
          <w:i/>
          <w:iCs/>
          <w:szCs w:val="24"/>
        </w:rPr>
        <w:t>Age, race, gender, body weight</w:t>
      </w:r>
    </w:p>
    <w:p w14:paraId="21911E5F" w14:textId="2BA5C771" w:rsidR="00565C61" w:rsidRPr="00565C61" w:rsidRDefault="003963F8" w:rsidP="003963F8">
      <w:pPr>
        <w:pStyle w:val="Heading5"/>
        <w:keepNext w:val="0"/>
        <w:spacing w:after="0"/>
        <w:rPr>
          <w:color w:val="000000"/>
          <w:sz w:val="24"/>
          <w:szCs w:val="24"/>
          <w:u w:val="none"/>
        </w:rPr>
      </w:pPr>
      <w:r w:rsidRPr="00565C61">
        <w:rPr>
          <w:color w:val="000000"/>
          <w:sz w:val="24"/>
          <w:szCs w:val="24"/>
          <w:u w:val="none"/>
        </w:rPr>
        <w:t xml:space="preserve">Based on population </w:t>
      </w:r>
      <w:proofErr w:type="spellStart"/>
      <w:r w:rsidR="006E233B" w:rsidRPr="00565C61">
        <w:rPr>
          <w:color w:val="000000"/>
          <w:sz w:val="24"/>
          <w:szCs w:val="24"/>
          <w:u w:val="none"/>
        </w:rPr>
        <w:t>p</w:t>
      </w:r>
      <w:r w:rsidRPr="00565C61">
        <w:rPr>
          <w:color w:val="000000"/>
          <w:sz w:val="24"/>
          <w:szCs w:val="24"/>
          <w:u w:val="none"/>
        </w:rPr>
        <w:t>K</w:t>
      </w:r>
      <w:proofErr w:type="spellEnd"/>
      <w:r w:rsidRPr="00565C61">
        <w:rPr>
          <w:color w:val="000000"/>
          <w:sz w:val="24"/>
          <w:szCs w:val="24"/>
          <w:u w:val="none"/>
        </w:rPr>
        <w:t xml:space="preserve"> analyses, age, sex, race, and ethnicity do not have a clinically meaningful effect on the pharmacokinetics of </w:t>
      </w:r>
      <w:proofErr w:type="spellStart"/>
      <w:r w:rsidRPr="00565C61">
        <w:rPr>
          <w:color w:val="000000"/>
          <w:sz w:val="24"/>
          <w:szCs w:val="24"/>
          <w:u w:val="none"/>
        </w:rPr>
        <w:t>somatrogon</w:t>
      </w:r>
      <w:proofErr w:type="spellEnd"/>
      <w:r w:rsidRPr="00565C61">
        <w:rPr>
          <w:color w:val="000000"/>
          <w:sz w:val="24"/>
          <w:szCs w:val="24"/>
          <w:u w:val="none"/>
        </w:rPr>
        <w:t xml:space="preserve"> in p</w:t>
      </w:r>
      <w:r w:rsidR="003D722F">
        <w:rPr>
          <w:color w:val="000000"/>
          <w:sz w:val="24"/>
          <w:szCs w:val="24"/>
          <w:u w:val="none"/>
        </w:rPr>
        <w:t>a</w:t>
      </w:r>
      <w:r w:rsidRPr="00565C61">
        <w:rPr>
          <w:color w:val="000000"/>
          <w:sz w:val="24"/>
          <w:szCs w:val="24"/>
          <w:u w:val="none"/>
        </w:rPr>
        <w:t xml:space="preserve">ediatric patients with </w:t>
      </w:r>
      <w:r w:rsidRPr="00565C61">
        <w:rPr>
          <w:iCs/>
          <w:color w:val="000000"/>
          <w:sz w:val="24"/>
          <w:szCs w:val="24"/>
          <w:u w:val="none"/>
        </w:rPr>
        <w:t>GHD</w:t>
      </w:r>
      <w:r w:rsidRPr="00565C61">
        <w:rPr>
          <w:color w:val="000000"/>
          <w:sz w:val="24"/>
          <w:szCs w:val="24"/>
          <w:u w:val="none"/>
        </w:rPr>
        <w:t xml:space="preserve">.  </w:t>
      </w:r>
    </w:p>
    <w:p w14:paraId="53B17AE6" w14:textId="77777777" w:rsidR="00565C61" w:rsidRPr="00565C61" w:rsidRDefault="00565C61" w:rsidP="003963F8">
      <w:pPr>
        <w:pStyle w:val="Heading5"/>
        <w:keepNext w:val="0"/>
        <w:spacing w:after="0"/>
        <w:rPr>
          <w:color w:val="000000"/>
          <w:sz w:val="24"/>
          <w:szCs w:val="24"/>
          <w:u w:val="none"/>
        </w:rPr>
      </w:pPr>
    </w:p>
    <w:p w14:paraId="5E10CD59" w14:textId="5ADAD1F7" w:rsidR="003963F8" w:rsidRPr="00565C61" w:rsidRDefault="003963F8" w:rsidP="003963F8">
      <w:pPr>
        <w:pStyle w:val="Heading5"/>
        <w:keepNext w:val="0"/>
        <w:spacing w:after="0"/>
        <w:rPr>
          <w:i/>
          <w:sz w:val="24"/>
          <w:szCs w:val="24"/>
          <w:u w:val="none"/>
        </w:rPr>
      </w:pPr>
      <w:r w:rsidRPr="00565C61">
        <w:rPr>
          <w:color w:val="000000"/>
          <w:sz w:val="24"/>
          <w:szCs w:val="24"/>
          <w:u w:val="none"/>
        </w:rPr>
        <w:lastRenderedPageBreak/>
        <w:t xml:space="preserve">The exposure of </w:t>
      </w:r>
      <w:proofErr w:type="spellStart"/>
      <w:r w:rsidRPr="00565C61">
        <w:rPr>
          <w:color w:val="000000"/>
          <w:sz w:val="24"/>
          <w:szCs w:val="24"/>
          <w:u w:val="none"/>
        </w:rPr>
        <w:t>somatrogon</w:t>
      </w:r>
      <w:proofErr w:type="spellEnd"/>
      <w:r w:rsidRPr="00565C61">
        <w:rPr>
          <w:color w:val="000000"/>
          <w:sz w:val="24"/>
          <w:szCs w:val="24"/>
          <w:u w:val="none"/>
        </w:rPr>
        <w:t xml:space="preserve"> decreases with an increase in body weight. </w:t>
      </w:r>
      <w:proofErr w:type="gramStart"/>
      <w:r w:rsidRPr="00565C61">
        <w:rPr>
          <w:color w:val="000000"/>
          <w:sz w:val="24"/>
          <w:szCs w:val="24"/>
          <w:u w:val="none"/>
        </w:rPr>
        <w:t>However</w:t>
      </w:r>
      <w:proofErr w:type="gramEnd"/>
      <w:r w:rsidRPr="00565C61">
        <w:rPr>
          <w:color w:val="000000"/>
          <w:sz w:val="24"/>
          <w:szCs w:val="24"/>
          <w:u w:val="none"/>
        </w:rPr>
        <w:t xml:space="preserve"> </w:t>
      </w:r>
      <w:r w:rsidR="00565C61">
        <w:rPr>
          <w:color w:val="000000"/>
          <w:sz w:val="24"/>
          <w:szCs w:val="24"/>
          <w:u w:val="none"/>
        </w:rPr>
        <w:t xml:space="preserve">the </w:t>
      </w:r>
      <w:proofErr w:type="spellStart"/>
      <w:r w:rsidRPr="00565C61">
        <w:rPr>
          <w:color w:val="000000"/>
          <w:sz w:val="24"/>
          <w:szCs w:val="24"/>
          <w:u w:val="none"/>
        </w:rPr>
        <w:t>somatrogon</w:t>
      </w:r>
      <w:proofErr w:type="spellEnd"/>
      <w:r w:rsidRPr="00565C61">
        <w:rPr>
          <w:color w:val="000000"/>
          <w:sz w:val="24"/>
          <w:szCs w:val="24"/>
          <w:u w:val="none"/>
        </w:rPr>
        <w:t xml:space="preserve"> dos</w:t>
      </w:r>
      <w:r w:rsidR="00565C61">
        <w:rPr>
          <w:color w:val="000000"/>
          <w:sz w:val="24"/>
          <w:szCs w:val="24"/>
          <w:u w:val="none"/>
        </w:rPr>
        <w:t>ing regimen</w:t>
      </w:r>
      <w:r w:rsidRPr="00565C61">
        <w:rPr>
          <w:color w:val="000000"/>
          <w:sz w:val="24"/>
          <w:szCs w:val="24"/>
          <w:u w:val="none"/>
        </w:rPr>
        <w:t xml:space="preserve"> of 0.66 mg/kg/</w:t>
      </w:r>
      <w:proofErr w:type="spellStart"/>
      <w:r w:rsidRPr="00565C61">
        <w:rPr>
          <w:color w:val="000000"/>
          <w:sz w:val="24"/>
          <w:szCs w:val="24"/>
          <w:u w:val="none"/>
        </w:rPr>
        <w:t>wk</w:t>
      </w:r>
      <w:proofErr w:type="spellEnd"/>
      <w:r w:rsidRPr="00565C61">
        <w:rPr>
          <w:color w:val="000000"/>
          <w:sz w:val="24"/>
          <w:szCs w:val="24"/>
          <w:u w:val="none"/>
        </w:rPr>
        <w:t xml:space="preserve"> provide</w:t>
      </w:r>
      <w:r w:rsidR="00565C61">
        <w:rPr>
          <w:color w:val="000000"/>
          <w:sz w:val="24"/>
          <w:szCs w:val="24"/>
          <w:u w:val="none"/>
        </w:rPr>
        <w:t>s</w:t>
      </w:r>
      <w:r w:rsidRPr="00565C61">
        <w:rPr>
          <w:color w:val="000000"/>
          <w:sz w:val="24"/>
          <w:szCs w:val="24"/>
          <w:u w:val="none"/>
        </w:rPr>
        <w:t xml:space="preserve"> adequate systemic exposure over the body weight range of 10</w:t>
      </w:r>
      <w:r w:rsidR="00565C61">
        <w:rPr>
          <w:color w:val="000000"/>
          <w:sz w:val="24"/>
          <w:szCs w:val="24"/>
          <w:u w:val="none"/>
        </w:rPr>
        <w:t xml:space="preserve"> to </w:t>
      </w:r>
      <w:r w:rsidRPr="00565C61">
        <w:rPr>
          <w:color w:val="000000"/>
          <w:sz w:val="24"/>
          <w:szCs w:val="24"/>
          <w:u w:val="none"/>
        </w:rPr>
        <w:t xml:space="preserve">54 kg evaluated in the clinical studies.  The effects of </w:t>
      </w:r>
      <w:r w:rsidR="003D722F">
        <w:rPr>
          <w:color w:val="000000"/>
          <w:sz w:val="24"/>
          <w:szCs w:val="24"/>
          <w:u w:val="none"/>
        </w:rPr>
        <w:t xml:space="preserve">individual </w:t>
      </w:r>
      <w:r w:rsidRPr="00565C61">
        <w:rPr>
          <w:color w:val="000000"/>
          <w:sz w:val="24"/>
          <w:szCs w:val="24"/>
          <w:u w:val="none"/>
        </w:rPr>
        <w:t xml:space="preserve">intrinsic factors on the pharmacokinetics of </w:t>
      </w:r>
      <w:proofErr w:type="spellStart"/>
      <w:r w:rsidRPr="00565C61">
        <w:rPr>
          <w:color w:val="000000"/>
          <w:sz w:val="24"/>
          <w:szCs w:val="24"/>
          <w:u w:val="none"/>
        </w:rPr>
        <w:t>somatrogon</w:t>
      </w:r>
      <w:proofErr w:type="spellEnd"/>
      <w:r w:rsidRPr="00565C61">
        <w:rPr>
          <w:color w:val="000000"/>
          <w:sz w:val="24"/>
          <w:szCs w:val="24"/>
          <w:u w:val="none"/>
        </w:rPr>
        <w:t xml:space="preserve"> are shown in Figure 2.</w:t>
      </w:r>
    </w:p>
    <w:p w14:paraId="1B7DDFCB" w14:textId="77777777" w:rsidR="003D722F" w:rsidRDefault="003D722F" w:rsidP="003D722F">
      <w:pPr>
        <w:pStyle w:val="Figure"/>
        <w:keepNext/>
        <w:spacing w:after="0"/>
        <w:rPr>
          <w:b/>
          <w:bCs/>
          <w:szCs w:val="24"/>
          <w:lang w:eastAsia="zh-CN"/>
        </w:rPr>
      </w:pPr>
      <w:r w:rsidRPr="00B70B75">
        <w:rPr>
          <w:b/>
          <w:bCs/>
          <w:szCs w:val="24"/>
        </w:rPr>
        <w:t>Figure 2</w:t>
      </w:r>
      <w:r>
        <w:rPr>
          <w:b/>
          <w:bCs/>
          <w:szCs w:val="24"/>
        </w:rPr>
        <w:t>.</w:t>
      </w:r>
      <w:r w:rsidRPr="00B70B75">
        <w:rPr>
          <w:b/>
          <w:bCs/>
          <w:szCs w:val="24"/>
        </w:rPr>
        <w:t xml:space="preserve"> </w:t>
      </w:r>
      <w:r w:rsidRPr="00B70B75">
        <w:rPr>
          <w:b/>
          <w:bCs/>
          <w:szCs w:val="24"/>
          <w:lang w:eastAsia="zh-CN"/>
        </w:rPr>
        <w:t xml:space="preserve">Impact of </w:t>
      </w:r>
      <w:r>
        <w:rPr>
          <w:b/>
          <w:bCs/>
          <w:szCs w:val="24"/>
          <w:lang w:eastAsia="zh-CN"/>
        </w:rPr>
        <w:t>i</w:t>
      </w:r>
      <w:r w:rsidRPr="00B70B75">
        <w:rPr>
          <w:b/>
          <w:bCs/>
          <w:szCs w:val="24"/>
          <w:lang w:eastAsia="zh-CN"/>
        </w:rPr>
        <w:t xml:space="preserve">ndividual </w:t>
      </w:r>
      <w:r>
        <w:rPr>
          <w:b/>
          <w:bCs/>
          <w:szCs w:val="24"/>
          <w:lang w:eastAsia="zh-CN"/>
        </w:rPr>
        <w:t>i</w:t>
      </w:r>
      <w:r w:rsidRPr="00B70B75">
        <w:rPr>
          <w:b/>
          <w:bCs/>
          <w:szCs w:val="24"/>
          <w:lang w:eastAsia="zh-CN"/>
        </w:rPr>
        <w:t xml:space="preserve">ntrinsic </w:t>
      </w:r>
      <w:r>
        <w:rPr>
          <w:b/>
          <w:bCs/>
          <w:szCs w:val="24"/>
          <w:lang w:eastAsia="zh-CN"/>
        </w:rPr>
        <w:t>f</w:t>
      </w:r>
      <w:r w:rsidRPr="00B70B75">
        <w:rPr>
          <w:b/>
          <w:bCs/>
          <w:szCs w:val="24"/>
          <w:lang w:eastAsia="zh-CN"/>
        </w:rPr>
        <w:t xml:space="preserve">actor on </w:t>
      </w:r>
      <w:proofErr w:type="spellStart"/>
      <w:r>
        <w:rPr>
          <w:b/>
          <w:bCs/>
          <w:szCs w:val="24"/>
          <w:lang w:eastAsia="zh-CN"/>
        </w:rPr>
        <w:t>s</w:t>
      </w:r>
      <w:r w:rsidRPr="00B70B75">
        <w:rPr>
          <w:b/>
          <w:bCs/>
          <w:szCs w:val="24"/>
          <w:lang w:eastAsia="zh-CN"/>
        </w:rPr>
        <w:t>omatrogon</w:t>
      </w:r>
      <w:proofErr w:type="spellEnd"/>
      <w:r w:rsidRPr="00B70B75">
        <w:rPr>
          <w:b/>
          <w:bCs/>
          <w:szCs w:val="24"/>
          <w:lang w:eastAsia="zh-CN"/>
        </w:rPr>
        <w:t xml:space="preserve"> </w:t>
      </w:r>
      <w:r>
        <w:rPr>
          <w:b/>
          <w:bCs/>
          <w:szCs w:val="24"/>
          <w:lang w:eastAsia="zh-CN"/>
        </w:rPr>
        <w:t>e</w:t>
      </w:r>
      <w:r w:rsidRPr="00B70B75">
        <w:rPr>
          <w:b/>
          <w:bCs/>
          <w:szCs w:val="24"/>
          <w:lang w:eastAsia="zh-CN"/>
        </w:rPr>
        <w:t>xposure</w:t>
      </w:r>
    </w:p>
    <w:p w14:paraId="12C8F278" w14:textId="77777777" w:rsidR="003D722F" w:rsidRDefault="003D722F" w:rsidP="003D722F">
      <w:pPr>
        <w:pStyle w:val="Figure"/>
        <w:keepNext/>
        <w:spacing w:after="0"/>
        <w:rPr>
          <w:b/>
          <w:bCs/>
          <w:szCs w:val="24"/>
          <w:lang w:eastAsia="zh-CN"/>
        </w:rPr>
      </w:pPr>
      <w:r>
        <w:rPr>
          <w:noProof/>
        </w:rPr>
        <w:drawing>
          <wp:inline distT="0" distB="0" distL="0" distR="0" wp14:anchorId="6E23A0ED" wp14:editId="4D92515B">
            <wp:extent cx="396621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6210" cy="2857500"/>
                    </a:xfrm>
                    <a:prstGeom prst="rect">
                      <a:avLst/>
                    </a:prstGeom>
                    <a:noFill/>
                    <a:ln>
                      <a:noFill/>
                    </a:ln>
                  </pic:spPr>
                </pic:pic>
              </a:graphicData>
            </a:graphic>
          </wp:inline>
        </w:drawing>
      </w:r>
    </w:p>
    <w:p w14:paraId="444E6F1B" w14:textId="74356B54" w:rsidR="003D722F" w:rsidRDefault="003D722F" w:rsidP="003D722F">
      <w:pPr>
        <w:rPr>
          <w:lang w:eastAsia="zh-CN"/>
        </w:rPr>
      </w:pPr>
      <w:r>
        <w:rPr>
          <w:lang w:eastAsia="zh-CN"/>
        </w:rPr>
        <w:t>Abbreviations: ADAS=ADA status, 0=negative, 1=positive</w:t>
      </w:r>
    </w:p>
    <w:p w14:paraId="5A1DC3B5" w14:textId="77777777" w:rsidR="00DA5DB1" w:rsidRPr="00DA5DB1" w:rsidRDefault="00DA5DB1" w:rsidP="00DA5DB1">
      <w:pPr>
        <w:spacing w:after="120"/>
        <w:rPr>
          <w:i/>
          <w:iCs/>
        </w:rPr>
      </w:pPr>
      <w:r w:rsidRPr="00DA5DB1">
        <w:rPr>
          <w:i/>
          <w:iCs/>
        </w:rPr>
        <w:t>Patients with renal impairment</w:t>
      </w:r>
    </w:p>
    <w:p w14:paraId="232178C9" w14:textId="6810007D" w:rsidR="00DA5DB1" w:rsidRDefault="004729B3" w:rsidP="00DA5DB1">
      <w:r w:rsidRPr="008C3392">
        <w:rPr>
          <w:szCs w:val="24"/>
        </w:rPr>
        <w:t>NGENLA</w:t>
      </w:r>
      <w:r w:rsidR="00DA5DB1">
        <w:t xml:space="preserve"> has not been studied in patients with renal impairment.</w:t>
      </w:r>
    </w:p>
    <w:p w14:paraId="27E19A00" w14:textId="77777777" w:rsidR="00DA5DB1" w:rsidRPr="00DA5DB1" w:rsidRDefault="00DA5DB1" w:rsidP="00DA5DB1">
      <w:pPr>
        <w:spacing w:after="120"/>
        <w:rPr>
          <w:i/>
          <w:iCs/>
        </w:rPr>
      </w:pPr>
      <w:r w:rsidRPr="00DA5DB1">
        <w:rPr>
          <w:i/>
          <w:iCs/>
        </w:rPr>
        <w:t>Patients with hepatic impairment</w:t>
      </w:r>
    </w:p>
    <w:p w14:paraId="40637B0A" w14:textId="34BCA4AB" w:rsidR="003D722F" w:rsidRDefault="004729B3" w:rsidP="00DA5DB1">
      <w:r w:rsidRPr="008C3392">
        <w:rPr>
          <w:szCs w:val="24"/>
        </w:rPr>
        <w:t>NGENLA</w:t>
      </w:r>
      <w:r w:rsidR="00DA5DB1">
        <w:t xml:space="preserve"> has not been studied in patients with hepatic impairment.</w:t>
      </w:r>
    </w:p>
    <w:bookmarkEnd w:id="7"/>
    <w:p w14:paraId="4BA30E43" w14:textId="77777777" w:rsidR="004C337D" w:rsidRPr="00281B9F" w:rsidRDefault="004C337D" w:rsidP="00226236">
      <w:pPr>
        <w:pStyle w:val="CLDHeading2"/>
      </w:pPr>
      <w:r w:rsidRPr="00281B9F">
        <w:t>5.3</w:t>
      </w:r>
      <w:r w:rsidRPr="00281B9F">
        <w:tab/>
        <w:t>Preclinical safety data</w:t>
      </w:r>
    </w:p>
    <w:p w14:paraId="49670F88" w14:textId="19665DB0" w:rsidR="004C337D" w:rsidRPr="00281B9F" w:rsidRDefault="00611FCE" w:rsidP="00226236">
      <w:pPr>
        <w:pStyle w:val="Heading2"/>
        <w:spacing w:line="240" w:lineRule="auto"/>
      </w:pPr>
      <w:r>
        <w:t>Genotoxicity</w:t>
      </w:r>
    </w:p>
    <w:p w14:paraId="11CBC387" w14:textId="73394079" w:rsidR="004C337D" w:rsidRDefault="00611FCE" w:rsidP="000B0947">
      <w:r w:rsidRPr="001C6793">
        <w:t xml:space="preserve">Genotoxicity studies have not been performed. </w:t>
      </w:r>
      <w:r w:rsidR="00F0530C">
        <w:t>A</w:t>
      </w:r>
      <w:r w:rsidR="003338DB">
        <w:t>s</w:t>
      </w:r>
      <w:r w:rsidR="00F0530C">
        <w:t xml:space="preserve"> a large protein molecule, </w:t>
      </w:r>
      <w:proofErr w:type="spellStart"/>
      <w:r w:rsidR="00F0530C">
        <w:t>somatrogon</w:t>
      </w:r>
      <w:proofErr w:type="spellEnd"/>
      <w:r w:rsidR="00F0530C">
        <w:t xml:space="preserve"> is not expected to in</w:t>
      </w:r>
      <w:r w:rsidR="003338DB">
        <w:t>teract with DNA or other chromosomal material.</w:t>
      </w:r>
    </w:p>
    <w:p w14:paraId="1EBDA00B" w14:textId="7E4A29C0" w:rsidR="00F0530C" w:rsidRDefault="00F0530C" w:rsidP="000B0947">
      <w:pPr>
        <w:pStyle w:val="Heading2"/>
      </w:pPr>
      <w:r w:rsidRPr="003338DB">
        <w:t>Carcinogenicity</w:t>
      </w:r>
    </w:p>
    <w:p w14:paraId="7E309D63" w14:textId="23533B97" w:rsidR="003338DB" w:rsidRDefault="003338DB" w:rsidP="00226236">
      <w:pPr>
        <w:rPr>
          <w:b/>
          <w:bCs/>
        </w:rPr>
      </w:pPr>
      <w:r>
        <w:t>Carcinogen</w:t>
      </w:r>
      <w:r w:rsidRPr="001C6793">
        <w:t>icity studies have not been performed</w:t>
      </w:r>
      <w:r>
        <w:t xml:space="preserve">. </w:t>
      </w:r>
      <w:proofErr w:type="spellStart"/>
      <w:r>
        <w:t>Somatrogon</w:t>
      </w:r>
      <w:proofErr w:type="spellEnd"/>
      <w:r>
        <w:t xml:space="preserve"> raises serum levels of IGF-1. Associations between elevated serum IGF-1 concentrations and risks of certain cancers have been reported in epidemiological studies. Causality has not been demonstrated. The clinical significance of these associations, especially for subjects treated with </w:t>
      </w:r>
      <w:proofErr w:type="spellStart"/>
      <w:r>
        <w:t>somatrogon</w:t>
      </w:r>
      <w:proofErr w:type="spellEnd"/>
      <w:r>
        <w:t xml:space="preserve"> who do not have growth hormone deficiency and who are treated for prolonged periods, is not known.</w:t>
      </w:r>
    </w:p>
    <w:p w14:paraId="5118D3D4" w14:textId="77777777" w:rsidR="004C337D" w:rsidRPr="00281B9F" w:rsidRDefault="004C337D" w:rsidP="00226236">
      <w:pPr>
        <w:pStyle w:val="CLDHeading1"/>
      </w:pPr>
      <w:r w:rsidRPr="00281B9F">
        <w:lastRenderedPageBreak/>
        <w:t>6.</w:t>
      </w:r>
      <w:r w:rsidRPr="00281B9F">
        <w:tab/>
        <w:t>PHARMACEUTICAL PARTICULARS</w:t>
      </w:r>
    </w:p>
    <w:p w14:paraId="4083584A" w14:textId="77777777" w:rsidR="004C337D" w:rsidRPr="00281B9F" w:rsidRDefault="004C337D" w:rsidP="00226236">
      <w:pPr>
        <w:pStyle w:val="CLDHeading2"/>
      </w:pPr>
      <w:r w:rsidRPr="00281B9F">
        <w:t>6.1</w:t>
      </w:r>
      <w:r w:rsidRPr="00281B9F">
        <w:tab/>
        <w:t>List of excipients</w:t>
      </w:r>
    </w:p>
    <w:p w14:paraId="4487D5ED" w14:textId="4B2FF5A9" w:rsidR="00C8464A" w:rsidRPr="00281B9F" w:rsidRDefault="00F83660" w:rsidP="00F83660">
      <w:pPr>
        <w:pStyle w:val="ListBullet"/>
        <w:numPr>
          <w:ilvl w:val="0"/>
          <w:numId w:val="0"/>
        </w:numPr>
        <w:spacing w:after="120"/>
        <w:jc w:val="left"/>
      </w:pPr>
      <w:r>
        <w:t>Citric acid monohydrate</w:t>
      </w:r>
    </w:p>
    <w:p w14:paraId="2A26C2C2" w14:textId="351BED17" w:rsidR="00C8464A" w:rsidRPr="00281B9F" w:rsidRDefault="00F83660" w:rsidP="00F83660">
      <w:pPr>
        <w:pStyle w:val="ListBullet"/>
        <w:numPr>
          <w:ilvl w:val="0"/>
          <w:numId w:val="0"/>
        </w:numPr>
        <w:spacing w:after="120"/>
      </w:pPr>
      <w:r>
        <w:t>Histidine</w:t>
      </w:r>
    </w:p>
    <w:p w14:paraId="361E70A1" w14:textId="3D9984AB" w:rsidR="00C8464A" w:rsidRDefault="00046BFC" w:rsidP="00F83660">
      <w:pPr>
        <w:pStyle w:val="ListBullet"/>
        <w:numPr>
          <w:ilvl w:val="0"/>
          <w:numId w:val="0"/>
        </w:numPr>
        <w:spacing w:after="120"/>
      </w:pPr>
      <w:proofErr w:type="spellStart"/>
      <w:r>
        <w:t>M</w:t>
      </w:r>
      <w:r w:rsidR="00C8464A" w:rsidRPr="00281B9F">
        <w:t>eta</w:t>
      </w:r>
      <w:r w:rsidR="00FD5317">
        <w:t>c</w:t>
      </w:r>
      <w:r w:rsidR="00C8464A" w:rsidRPr="00281B9F">
        <w:t>resol</w:t>
      </w:r>
      <w:proofErr w:type="spellEnd"/>
      <w:r w:rsidR="00C8464A" w:rsidRPr="00281B9F">
        <w:t xml:space="preserve"> </w:t>
      </w:r>
    </w:p>
    <w:p w14:paraId="6414B1DA" w14:textId="785C2D47" w:rsidR="00951692" w:rsidRDefault="00951692" w:rsidP="00F83660">
      <w:pPr>
        <w:pStyle w:val="ListBullet"/>
        <w:numPr>
          <w:ilvl w:val="0"/>
          <w:numId w:val="0"/>
        </w:numPr>
        <w:spacing w:after="120"/>
      </w:pPr>
      <w:r>
        <w:t>Pol</w:t>
      </w:r>
      <w:r w:rsidR="007D4B28">
        <w:t>oxamer</w:t>
      </w:r>
    </w:p>
    <w:p w14:paraId="1341C8F3" w14:textId="662A6C84" w:rsidR="00F83660" w:rsidRDefault="007D4B28" w:rsidP="00F83660">
      <w:pPr>
        <w:pStyle w:val="ListBullet"/>
        <w:numPr>
          <w:ilvl w:val="0"/>
          <w:numId w:val="0"/>
        </w:numPr>
        <w:spacing w:after="120"/>
      </w:pPr>
      <w:r>
        <w:t>S</w:t>
      </w:r>
      <w:r w:rsidR="00F83660">
        <w:t>odium citrate dihydrate</w:t>
      </w:r>
    </w:p>
    <w:p w14:paraId="220E9027" w14:textId="58FB3A7E" w:rsidR="00F83660" w:rsidRPr="00281B9F" w:rsidRDefault="00F83660" w:rsidP="00F83660">
      <w:pPr>
        <w:pStyle w:val="ListBullet"/>
        <w:numPr>
          <w:ilvl w:val="0"/>
          <w:numId w:val="0"/>
        </w:numPr>
        <w:spacing w:after="120"/>
      </w:pPr>
      <w:r>
        <w:t>Sodium chloride</w:t>
      </w:r>
    </w:p>
    <w:p w14:paraId="48D3A874" w14:textId="3A15A656" w:rsidR="00C8464A" w:rsidRPr="00281B9F" w:rsidRDefault="00F83660" w:rsidP="00F83660">
      <w:pPr>
        <w:pStyle w:val="ListBullet"/>
        <w:numPr>
          <w:ilvl w:val="0"/>
          <w:numId w:val="0"/>
        </w:numPr>
        <w:spacing w:after="120"/>
      </w:pPr>
      <w:r>
        <w:t>W</w:t>
      </w:r>
      <w:r w:rsidR="00C8464A" w:rsidRPr="00281B9F">
        <w:t>ater for injection</w:t>
      </w:r>
      <w:r w:rsidR="004729B3">
        <w:t>s</w:t>
      </w:r>
    </w:p>
    <w:p w14:paraId="26DFDF17" w14:textId="77777777" w:rsidR="00C92BAE" w:rsidRPr="00281B9F" w:rsidRDefault="00C92BAE" w:rsidP="00226236">
      <w:pPr>
        <w:pStyle w:val="CLDHeading2"/>
      </w:pPr>
      <w:r w:rsidRPr="00281B9F">
        <w:t>6.2</w:t>
      </w:r>
      <w:r w:rsidRPr="00281B9F">
        <w:tab/>
        <w:t>Incompatibilities</w:t>
      </w:r>
    </w:p>
    <w:p w14:paraId="757E3484" w14:textId="7956C2F8" w:rsidR="005958EC" w:rsidRPr="00281B9F" w:rsidRDefault="00F83660" w:rsidP="00226236">
      <w:pPr>
        <w:rPr>
          <w:szCs w:val="24"/>
        </w:rPr>
      </w:pPr>
      <w:r>
        <w:t xml:space="preserve">In the absence of </w:t>
      </w:r>
      <w:r w:rsidR="00734FE6" w:rsidRPr="00281B9F">
        <w:t xml:space="preserve">compatibilities </w:t>
      </w:r>
      <w:r>
        <w:t xml:space="preserve">studies, this medicinal product must not be mixed with other </w:t>
      </w:r>
      <w:r w:rsidR="00734FE6" w:rsidRPr="00281B9F">
        <w:t>medicin</w:t>
      </w:r>
      <w:r>
        <w:t>al products</w:t>
      </w:r>
      <w:r w:rsidR="00734FE6" w:rsidRPr="00281B9F">
        <w:t>.</w:t>
      </w:r>
    </w:p>
    <w:p w14:paraId="05B1B0E1" w14:textId="77777777" w:rsidR="00734FE6" w:rsidRPr="00281B9F" w:rsidRDefault="00734FE6" w:rsidP="00226236">
      <w:pPr>
        <w:pStyle w:val="CLDHeading2"/>
      </w:pPr>
      <w:r w:rsidRPr="00281B9F">
        <w:t>6.3</w:t>
      </w:r>
      <w:r w:rsidRPr="00281B9F">
        <w:tab/>
        <w:t>Shelf life</w:t>
      </w:r>
    </w:p>
    <w:p w14:paraId="0CDB6435" w14:textId="7CD4A34B" w:rsidR="00734FE6" w:rsidRDefault="00734FE6" w:rsidP="00226236">
      <w:pPr>
        <w:pStyle w:val="CLDNormal"/>
      </w:pPr>
      <w:r w:rsidRPr="00281B9F">
        <w:t xml:space="preserve">In Australia, information on the shelf life can be found on the public summary of the Australian Register of Therapeutic Goods (ARTG). </w:t>
      </w:r>
      <w:r w:rsidR="009D071C">
        <w:t xml:space="preserve"> </w:t>
      </w:r>
      <w:r w:rsidRPr="00281B9F">
        <w:t>The expiry date can be found on the packaging.</w:t>
      </w:r>
    </w:p>
    <w:p w14:paraId="0489756D" w14:textId="0B636725" w:rsidR="004A0ADA" w:rsidRPr="00281B9F" w:rsidRDefault="004A0ADA" w:rsidP="00226236">
      <w:pPr>
        <w:pStyle w:val="CLDNormal"/>
      </w:pPr>
      <w:r>
        <w:t>Chemical and physical i</w:t>
      </w:r>
      <w:r w:rsidRPr="00281B9F">
        <w:t>n</w:t>
      </w:r>
      <w:r>
        <w:t>-</w:t>
      </w:r>
      <w:r w:rsidRPr="00281B9F">
        <w:t xml:space="preserve">use </w:t>
      </w:r>
      <w:r>
        <w:t xml:space="preserve">stability has been demonstrated </w:t>
      </w:r>
      <w:r w:rsidR="0012073F">
        <w:t>for</w:t>
      </w:r>
      <w:r>
        <w:t xml:space="preserve"> </w:t>
      </w:r>
      <w:r w:rsidRPr="00281B9F">
        <w:t>28 days</w:t>
      </w:r>
      <w:r>
        <w:t xml:space="preserve"> from the date of first use of the prefilled pen, when the prefilled pen has been stored at </w:t>
      </w:r>
      <w:r w:rsidRPr="00281B9F">
        <w:t xml:space="preserve">2°C </w:t>
      </w:r>
      <w:r>
        <w:t>to</w:t>
      </w:r>
      <w:r w:rsidRPr="00281B9F">
        <w:t xml:space="preserve"> 8°C</w:t>
      </w:r>
      <w:r>
        <w:t xml:space="preserve"> in between each use.</w:t>
      </w:r>
    </w:p>
    <w:p w14:paraId="57A00F22" w14:textId="77777777" w:rsidR="00734FE6" w:rsidRPr="00281B9F" w:rsidRDefault="00734FE6" w:rsidP="00226236">
      <w:pPr>
        <w:pStyle w:val="CLDHeading2"/>
      </w:pPr>
      <w:r w:rsidRPr="00281B9F">
        <w:t>6.4</w:t>
      </w:r>
      <w:r w:rsidRPr="00281B9F">
        <w:tab/>
        <w:t>Special precautions for storage</w:t>
      </w:r>
    </w:p>
    <w:p w14:paraId="43D39402" w14:textId="228353CA" w:rsidR="00734FE6" w:rsidRDefault="00112DE5" w:rsidP="00226236">
      <w:r>
        <w:t>Before first use s</w:t>
      </w:r>
      <w:r w:rsidR="00734FE6" w:rsidRPr="00281B9F">
        <w:t xml:space="preserve">tore </w:t>
      </w:r>
      <w:r w:rsidR="004729B3" w:rsidRPr="008C3392">
        <w:rPr>
          <w:szCs w:val="24"/>
        </w:rPr>
        <w:t>NGENLA</w:t>
      </w:r>
      <w:r w:rsidRPr="00281B9F">
        <w:t xml:space="preserve"> </w:t>
      </w:r>
      <w:r w:rsidR="00734FE6" w:rsidRPr="00281B9F">
        <w:t>at 2</w:t>
      </w:r>
      <w:r w:rsidR="00F83660" w:rsidRPr="00281B9F">
        <w:t xml:space="preserve">°C </w:t>
      </w:r>
      <w:r w:rsidR="004A0ADA">
        <w:t>to</w:t>
      </w:r>
      <w:r w:rsidR="00734FE6" w:rsidRPr="00281B9F">
        <w:t xml:space="preserve"> 8°C (refrigerate, do not freeze).  </w:t>
      </w:r>
      <w:r w:rsidR="004A0ADA" w:rsidRPr="00430B51">
        <w:rPr>
          <w:rStyle w:val="normaltextrun1"/>
        </w:rPr>
        <w:t>Store in the original carton and away from direct sunlight.  Do not freeze</w:t>
      </w:r>
      <w:r w:rsidR="004A0ADA" w:rsidRPr="00430B51">
        <w:rPr>
          <w:rStyle w:val="normaltextrun1"/>
          <w:b/>
          <w:bCs/>
          <w:sz w:val="22"/>
          <w:szCs w:val="22"/>
        </w:rPr>
        <w:t xml:space="preserve"> </w:t>
      </w:r>
      <w:r w:rsidR="004729B3" w:rsidRPr="008C3392">
        <w:rPr>
          <w:szCs w:val="24"/>
        </w:rPr>
        <w:t>NGENLA</w:t>
      </w:r>
      <w:r w:rsidR="004A0ADA" w:rsidRPr="00430B51">
        <w:rPr>
          <w:rStyle w:val="normaltextrun1"/>
        </w:rPr>
        <w:t xml:space="preserve"> or expose</w:t>
      </w:r>
      <w:r w:rsidR="004A0ADA" w:rsidRPr="00430B51">
        <w:rPr>
          <w:rStyle w:val="normaltextrun1"/>
          <w:b/>
          <w:bCs/>
          <w:sz w:val="22"/>
          <w:szCs w:val="22"/>
        </w:rPr>
        <w:t xml:space="preserve"> </w:t>
      </w:r>
      <w:r w:rsidR="004729B3" w:rsidRPr="008C3392">
        <w:rPr>
          <w:szCs w:val="24"/>
        </w:rPr>
        <w:t>NGENLA</w:t>
      </w:r>
      <w:r w:rsidR="004A0ADA" w:rsidRPr="00430B51">
        <w:rPr>
          <w:rStyle w:val="normaltextrun1"/>
        </w:rPr>
        <w:t xml:space="preserve"> to heat.</w:t>
      </w:r>
      <w:r w:rsidR="004A0ADA" w:rsidRPr="00430B51">
        <w:rPr>
          <w:rStyle w:val="normaltextrun1"/>
          <w:b/>
          <w:bCs/>
          <w:sz w:val="22"/>
          <w:szCs w:val="22"/>
        </w:rPr>
        <w:t xml:space="preserve">  </w:t>
      </w:r>
      <w:r w:rsidR="004A0ADA" w:rsidRPr="00430B51">
        <w:rPr>
          <w:rStyle w:val="normaltextrun1"/>
        </w:rPr>
        <w:t>D</w:t>
      </w:r>
      <w:r w:rsidR="004A0ADA" w:rsidRPr="00430B51">
        <w:rPr>
          <w:rStyle w:val="normaltextrun1"/>
          <w:sz w:val="23"/>
          <w:szCs w:val="23"/>
        </w:rPr>
        <w:t xml:space="preserve">o not use </w:t>
      </w:r>
      <w:r w:rsidR="004729B3" w:rsidRPr="008C3392">
        <w:rPr>
          <w:szCs w:val="24"/>
        </w:rPr>
        <w:t>NGENLA</w:t>
      </w:r>
      <w:r w:rsidR="004A0ADA" w:rsidRPr="00430B51">
        <w:rPr>
          <w:rStyle w:val="normaltextrun1"/>
          <w:sz w:val="23"/>
          <w:szCs w:val="23"/>
        </w:rPr>
        <w:t xml:space="preserve"> if it has been frozen. </w:t>
      </w:r>
      <w:r w:rsidR="004A0ADA" w:rsidRPr="00430B51">
        <w:rPr>
          <w:rStyle w:val="normaltextrun1"/>
        </w:rPr>
        <w:t>Unused</w:t>
      </w:r>
      <w:r w:rsidR="004A0ADA">
        <w:rPr>
          <w:rStyle w:val="normaltextrun1"/>
        </w:rPr>
        <w:t xml:space="preserve"> prefilled</w:t>
      </w:r>
      <w:r w:rsidR="004A0ADA" w:rsidRPr="00430B51">
        <w:rPr>
          <w:rStyle w:val="normaltextrun1"/>
        </w:rPr>
        <w:t xml:space="preserve"> pens may be used until the expiration date printed on the</w:t>
      </w:r>
      <w:r w:rsidR="004A0ADA" w:rsidRPr="00CC516C">
        <w:rPr>
          <w:rStyle w:val="normaltextrun1"/>
        </w:rPr>
        <w:t xml:space="preserve"> </w:t>
      </w:r>
      <w:r w:rsidR="004A0ADA">
        <w:rPr>
          <w:rStyle w:val="normaltextrun1"/>
        </w:rPr>
        <w:t>carton</w:t>
      </w:r>
      <w:r w:rsidR="004A0ADA" w:rsidRPr="00CC516C">
        <w:rPr>
          <w:rStyle w:val="normaltextrun1"/>
        </w:rPr>
        <w:t>, only if the pen has been kept in the refrigerator. </w:t>
      </w:r>
    </w:p>
    <w:p w14:paraId="4A02379E" w14:textId="7F78BD78" w:rsidR="004A0ADA" w:rsidRDefault="004A0ADA" w:rsidP="00226236">
      <w:r w:rsidRPr="004A0ADA">
        <w:t xml:space="preserve">After first use of </w:t>
      </w:r>
      <w:r w:rsidR="004729B3" w:rsidRPr="008C3392">
        <w:rPr>
          <w:szCs w:val="24"/>
        </w:rPr>
        <w:t>NGENLA</w:t>
      </w:r>
      <w:r w:rsidRPr="004A0ADA">
        <w:t xml:space="preserve">, the pen can be stored for up to 28 days of use in a refrigerator (2°C to 8°C). Store away from direct sunlight.  Always remove and safely discard the needle after each injection and store the </w:t>
      </w:r>
      <w:r w:rsidR="004729B3" w:rsidRPr="008C3392">
        <w:rPr>
          <w:szCs w:val="24"/>
        </w:rPr>
        <w:t>NGENLA</w:t>
      </w:r>
      <w:r w:rsidRPr="004A0ADA">
        <w:t xml:space="preserve"> </w:t>
      </w:r>
      <w:r w:rsidR="00484706">
        <w:t>p</w:t>
      </w:r>
      <w:r w:rsidRPr="004A0ADA">
        <w:t xml:space="preserve">refilled pen without an injection needle attached.  Always use a new needle for each injection. Replace the cap on </w:t>
      </w:r>
      <w:r w:rsidR="008F03AB">
        <w:t xml:space="preserve">the </w:t>
      </w:r>
      <w:r w:rsidRPr="004A0ADA">
        <w:t xml:space="preserve">prefilled pen when it is not in use.  </w:t>
      </w:r>
      <w:r w:rsidR="0012073F" w:rsidRPr="004A0ADA">
        <w:t>Store the prefilled pen at 2°C to 8°C in between each use.</w:t>
      </w:r>
      <w:r w:rsidR="0012073F">
        <w:t xml:space="preserve"> </w:t>
      </w:r>
      <w:r w:rsidR="009A167F">
        <w:t xml:space="preserve">Do not expose the </w:t>
      </w:r>
      <w:r w:rsidR="00E130E3">
        <w:t>NGENLA</w:t>
      </w:r>
      <w:r w:rsidR="009A167F">
        <w:t xml:space="preserve"> to temperatures above 32</w:t>
      </w:r>
      <w:r w:rsidR="009A167F" w:rsidRPr="00281B9F">
        <w:t>°</w:t>
      </w:r>
      <w:proofErr w:type="gramStart"/>
      <w:r w:rsidR="009A167F" w:rsidRPr="00281B9F">
        <w:t>C</w:t>
      </w:r>
      <w:r w:rsidR="008B3EC8">
        <w:t>,</w:t>
      </w:r>
      <w:r w:rsidR="0012073F">
        <w:t xml:space="preserve"> or</w:t>
      </w:r>
      <w:proofErr w:type="gramEnd"/>
      <w:r w:rsidR="0012073F">
        <w:t xml:space="preserve"> </w:t>
      </w:r>
      <w:r w:rsidR="00E130E3">
        <w:t xml:space="preserve">leave it at </w:t>
      </w:r>
      <w:r w:rsidR="0012073F">
        <w:t>r</w:t>
      </w:r>
      <w:r w:rsidR="00E130E3">
        <w:t>oom temperature</w:t>
      </w:r>
      <w:r w:rsidR="0012073F">
        <w:t xml:space="preserve"> </w:t>
      </w:r>
      <w:r w:rsidR="009A167F">
        <w:t>for more than two hours with each use.</w:t>
      </w:r>
      <w:r w:rsidRPr="004A0ADA">
        <w:t xml:space="preserve">  The prefilled pen should not be used more than 28 days after first use and should not be used beyond the expiration date</w:t>
      </w:r>
      <w:r w:rsidR="0029387D">
        <w:t xml:space="preserve">. The same prefilled pen should not be used more than 5 times. </w:t>
      </w:r>
    </w:p>
    <w:p w14:paraId="253FB473" w14:textId="7AD754A2" w:rsidR="0029387D" w:rsidRPr="00281B9F" w:rsidRDefault="0029387D" w:rsidP="00226236">
      <w:r>
        <w:lastRenderedPageBreak/>
        <w:t xml:space="preserve">The </w:t>
      </w:r>
      <w:r w:rsidR="00E130E3">
        <w:t xml:space="preserve">NGENLA </w:t>
      </w:r>
      <w:r>
        <w:t xml:space="preserve">pen should be </w:t>
      </w:r>
      <w:r w:rsidR="00B247A2">
        <w:t xml:space="preserve">discarded if </w:t>
      </w:r>
      <w:r w:rsidR="009A167F">
        <w:t xml:space="preserve">it has been </w:t>
      </w:r>
      <w:r w:rsidR="0012073F">
        <w:t xml:space="preserve">more than 28 days after first use or it has been </w:t>
      </w:r>
      <w:r w:rsidR="009A167F">
        <w:t>used 5 times</w:t>
      </w:r>
      <w:r w:rsidR="0012073F">
        <w:t>,</w:t>
      </w:r>
      <w:r w:rsidR="009A167F">
        <w:t xml:space="preserve"> or if it has been exposed to temperatures </w:t>
      </w:r>
      <w:r w:rsidR="0012073F">
        <w:t>above</w:t>
      </w:r>
      <w:r w:rsidR="009A167F">
        <w:t xml:space="preserve"> 32</w:t>
      </w:r>
      <w:r w:rsidR="009A167F" w:rsidRPr="00281B9F">
        <w:t>°</w:t>
      </w:r>
      <w:proofErr w:type="gramStart"/>
      <w:r w:rsidR="009A167F" w:rsidRPr="00281B9F">
        <w:t>C</w:t>
      </w:r>
      <w:r w:rsidR="0012073F">
        <w:t>, or</w:t>
      </w:r>
      <w:proofErr w:type="gramEnd"/>
      <w:r w:rsidR="0012073F">
        <w:t xml:space="preserve"> left out of the refrigerator </w:t>
      </w:r>
      <w:r w:rsidR="009A167F">
        <w:t>for more than two hours with each use.</w:t>
      </w:r>
    </w:p>
    <w:p w14:paraId="10A8B328" w14:textId="62A078A7" w:rsidR="00734FE6" w:rsidRPr="00281B9F" w:rsidRDefault="00734FE6" w:rsidP="00226236">
      <w:pPr>
        <w:pStyle w:val="CLDHeading2"/>
      </w:pPr>
      <w:r w:rsidRPr="00281B9F">
        <w:t>6.5</w:t>
      </w:r>
      <w:r w:rsidRPr="00281B9F">
        <w:tab/>
        <w:t>Nature and contents of container</w:t>
      </w:r>
    </w:p>
    <w:p w14:paraId="63B8308E" w14:textId="10733143" w:rsidR="00F83660" w:rsidRDefault="00F23F9E" w:rsidP="00226236">
      <w:pPr>
        <w:spacing w:after="120"/>
      </w:pPr>
      <w:r>
        <w:t xml:space="preserve">Cartridge with </w:t>
      </w:r>
      <w:r w:rsidR="004147F9">
        <w:t xml:space="preserve">1.2 mL </w:t>
      </w:r>
      <w:r w:rsidR="00112DE5">
        <w:t xml:space="preserve">preserved </w:t>
      </w:r>
      <w:r w:rsidR="00F83660">
        <w:t>solution for injection</w:t>
      </w:r>
      <w:r>
        <w:t xml:space="preserve"> contained in a single-patient-use disposable prefilled pen</w:t>
      </w:r>
      <w:r w:rsidR="00F83660">
        <w:t>: 1s</w:t>
      </w:r>
    </w:p>
    <w:p w14:paraId="04901C72" w14:textId="4F711536" w:rsidR="00112DE5" w:rsidRDefault="00112DE5" w:rsidP="00226236">
      <w:pPr>
        <w:spacing w:after="120"/>
      </w:pPr>
      <w:r>
        <w:t>The medicinal product, the primary container (cartridge, bilayer disc seal, plunger stopper) and the prefilled pen are not made with natural rubber latex.</w:t>
      </w:r>
    </w:p>
    <w:p w14:paraId="06AA663B" w14:textId="1E8F37D4" w:rsidR="0001104E" w:rsidRDefault="004729B3" w:rsidP="00226236">
      <w:pPr>
        <w:spacing w:after="120"/>
      </w:pPr>
      <w:r w:rsidRPr="008C3392">
        <w:rPr>
          <w:szCs w:val="24"/>
        </w:rPr>
        <w:t>NGENLA</w:t>
      </w:r>
      <w:r w:rsidR="0001104E" w:rsidRPr="0001104E">
        <w:t xml:space="preserve"> prefilled pen is available in the following packages: </w:t>
      </w:r>
    </w:p>
    <w:tbl>
      <w:tblPr>
        <w:tblpPr w:leftFromText="180" w:rightFromText="180" w:vertAnchor="text" w:horzAnchor="margin" w:tblpY="70"/>
        <w:tblW w:w="48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07"/>
        <w:gridCol w:w="3442"/>
        <w:gridCol w:w="3490"/>
      </w:tblGrid>
      <w:tr w:rsidR="0001104E" w14:paraId="7B436FDE" w14:textId="77777777" w:rsidTr="00A5155D">
        <w:trPr>
          <w:cantSplit/>
          <w:tblHeader/>
        </w:trPr>
        <w:tc>
          <w:tcPr>
            <w:tcW w:w="2467" w:type="dxa"/>
            <w:shd w:val="clear" w:color="auto" w:fill="auto"/>
          </w:tcPr>
          <w:p w14:paraId="4FC0CE71" w14:textId="6287EDFB" w:rsidR="0001104E" w:rsidRPr="00A5155D" w:rsidRDefault="0001104E" w:rsidP="00A5155D">
            <w:pPr>
              <w:pStyle w:val="TableTextColHead"/>
              <w:keepNext/>
              <w:keepLines/>
              <w:rPr>
                <w:sz w:val="24"/>
                <w:szCs w:val="24"/>
              </w:rPr>
            </w:pPr>
          </w:p>
        </w:tc>
        <w:tc>
          <w:tcPr>
            <w:tcW w:w="3387" w:type="dxa"/>
            <w:shd w:val="clear" w:color="auto" w:fill="auto"/>
          </w:tcPr>
          <w:p w14:paraId="32BC996C" w14:textId="77777777" w:rsidR="0001104E" w:rsidRPr="00A5155D" w:rsidRDefault="0001104E" w:rsidP="00A5155D">
            <w:pPr>
              <w:pStyle w:val="TableTextColHead"/>
              <w:keepNext/>
              <w:keepLines/>
              <w:rPr>
                <w:sz w:val="24"/>
                <w:szCs w:val="24"/>
              </w:rPr>
            </w:pPr>
            <w:r w:rsidRPr="00A5155D">
              <w:rPr>
                <w:sz w:val="24"/>
                <w:szCs w:val="24"/>
              </w:rPr>
              <w:t>24 mg Prefilled Pen</w:t>
            </w:r>
          </w:p>
        </w:tc>
        <w:tc>
          <w:tcPr>
            <w:tcW w:w="3435" w:type="dxa"/>
            <w:shd w:val="clear" w:color="auto" w:fill="auto"/>
          </w:tcPr>
          <w:p w14:paraId="08568BF2" w14:textId="77777777" w:rsidR="0001104E" w:rsidRPr="00A5155D" w:rsidRDefault="0001104E" w:rsidP="00A5155D">
            <w:pPr>
              <w:pStyle w:val="TableTextColHead"/>
              <w:keepNext/>
              <w:keepLines/>
              <w:rPr>
                <w:sz w:val="24"/>
                <w:szCs w:val="24"/>
              </w:rPr>
            </w:pPr>
            <w:r w:rsidRPr="00A5155D">
              <w:rPr>
                <w:sz w:val="24"/>
                <w:szCs w:val="24"/>
              </w:rPr>
              <w:t>60 mg Prefilled Pen</w:t>
            </w:r>
          </w:p>
        </w:tc>
      </w:tr>
      <w:tr w:rsidR="0001104E" w14:paraId="73276B20" w14:textId="77777777" w:rsidTr="00A5155D">
        <w:trPr>
          <w:cantSplit/>
        </w:trPr>
        <w:tc>
          <w:tcPr>
            <w:tcW w:w="2467" w:type="dxa"/>
            <w:shd w:val="clear" w:color="auto" w:fill="auto"/>
          </w:tcPr>
          <w:p w14:paraId="65279740" w14:textId="77777777" w:rsidR="0001104E" w:rsidRPr="00A5155D" w:rsidRDefault="0001104E" w:rsidP="00A5155D">
            <w:pPr>
              <w:pStyle w:val="TableText0"/>
              <w:keepNext/>
              <w:keepLines/>
              <w:rPr>
                <w:sz w:val="24"/>
                <w:szCs w:val="24"/>
              </w:rPr>
            </w:pPr>
            <w:proofErr w:type="spellStart"/>
            <w:r w:rsidRPr="00A5155D">
              <w:rPr>
                <w:rFonts w:cs="Times New Roman"/>
                <w:bCs/>
                <w:sz w:val="24"/>
                <w:szCs w:val="24"/>
              </w:rPr>
              <w:t>Somatrogon</w:t>
            </w:r>
            <w:proofErr w:type="spellEnd"/>
            <w:r w:rsidRPr="00A5155D">
              <w:rPr>
                <w:rFonts w:cs="Times New Roman"/>
                <w:bCs/>
                <w:sz w:val="24"/>
                <w:szCs w:val="24"/>
              </w:rPr>
              <w:t xml:space="preserve"> solution concentration</w:t>
            </w:r>
          </w:p>
        </w:tc>
        <w:tc>
          <w:tcPr>
            <w:tcW w:w="3387" w:type="dxa"/>
            <w:shd w:val="clear" w:color="auto" w:fill="auto"/>
          </w:tcPr>
          <w:p w14:paraId="3AE258FA" w14:textId="77777777" w:rsidR="0001104E" w:rsidRPr="00A5155D" w:rsidRDefault="0001104E" w:rsidP="00A5155D">
            <w:pPr>
              <w:pStyle w:val="TableText0"/>
              <w:keepNext/>
              <w:keepLines/>
              <w:rPr>
                <w:sz w:val="24"/>
                <w:szCs w:val="24"/>
              </w:rPr>
            </w:pPr>
            <w:r w:rsidRPr="00A5155D">
              <w:rPr>
                <w:sz w:val="24"/>
                <w:szCs w:val="24"/>
              </w:rPr>
              <w:t xml:space="preserve">20 mg/mL </w:t>
            </w:r>
          </w:p>
        </w:tc>
        <w:tc>
          <w:tcPr>
            <w:tcW w:w="3435" w:type="dxa"/>
            <w:shd w:val="clear" w:color="auto" w:fill="auto"/>
          </w:tcPr>
          <w:p w14:paraId="187C49C9" w14:textId="77777777" w:rsidR="0001104E" w:rsidRPr="00A5155D" w:rsidRDefault="0001104E" w:rsidP="00A5155D">
            <w:pPr>
              <w:pStyle w:val="TableText0"/>
              <w:keepNext/>
              <w:keepLines/>
              <w:rPr>
                <w:sz w:val="24"/>
                <w:szCs w:val="24"/>
              </w:rPr>
            </w:pPr>
            <w:r w:rsidRPr="00A5155D">
              <w:rPr>
                <w:sz w:val="24"/>
                <w:szCs w:val="24"/>
              </w:rPr>
              <w:t xml:space="preserve">50 mg/mL </w:t>
            </w:r>
          </w:p>
        </w:tc>
      </w:tr>
      <w:tr w:rsidR="0001104E" w14:paraId="57A3410F" w14:textId="77777777" w:rsidTr="00A5155D">
        <w:trPr>
          <w:cantSplit/>
        </w:trPr>
        <w:tc>
          <w:tcPr>
            <w:tcW w:w="2467" w:type="dxa"/>
            <w:shd w:val="clear" w:color="auto" w:fill="auto"/>
          </w:tcPr>
          <w:p w14:paraId="4A4592ED" w14:textId="77777777" w:rsidR="0001104E" w:rsidRPr="00A5155D" w:rsidRDefault="0001104E" w:rsidP="00A5155D">
            <w:pPr>
              <w:pStyle w:val="TableText0"/>
              <w:keepNext/>
              <w:keepLines/>
              <w:rPr>
                <w:sz w:val="24"/>
                <w:szCs w:val="24"/>
              </w:rPr>
            </w:pPr>
            <w:r w:rsidRPr="00A5155D">
              <w:rPr>
                <w:sz w:val="24"/>
                <w:szCs w:val="24"/>
              </w:rPr>
              <w:t>Volume</w:t>
            </w:r>
          </w:p>
        </w:tc>
        <w:tc>
          <w:tcPr>
            <w:tcW w:w="3387" w:type="dxa"/>
            <w:shd w:val="clear" w:color="auto" w:fill="auto"/>
          </w:tcPr>
          <w:p w14:paraId="6A2261F1" w14:textId="77777777" w:rsidR="0001104E" w:rsidRPr="00A5155D" w:rsidRDefault="0001104E" w:rsidP="00A5155D">
            <w:pPr>
              <w:pStyle w:val="TableText0"/>
              <w:keepNext/>
              <w:keepLines/>
              <w:rPr>
                <w:sz w:val="24"/>
                <w:szCs w:val="24"/>
              </w:rPr>
            </w:pPr>
            <w:r w:rsidRPr="00A5155D">
              <w:rPr>
                <w:sz w:val="24"/>
                <w:szCs w:val="24"/>
              </w:rPr>
              <w:t>1.2 mL</w:t>
            </w:r>
          </w:p>
        </w:tc>
        <w:tc>
          <w:tcPr>
            <w:tcW w:w="3435" w:type="dxa"/>
            <w:shd w:val="clear" w:color="auto" w:fill="auto"/>
          </w:tcPr>
          <w:p w14:paraId="44143E35" w14:textId="77777777" w:rsidR="0001104E" w:rsidRPr="00A5155D" w:rsidRDefault="0001104E" w:rsidP="00A5155D">
            <w:pPr>
              <w:pStyle w:val="TableText0"/>
              <w:keepNext/>
              <w:keepLines/>
              <w:rPr>
                <w:sz w:val="24"/>
                <w:szCs w:val="24"/>
              </w:rPr>
            </w:pPr>
            <w:r w:rsidRPr="00A5155D">
              <w:rPr>
                <w:sz w:val="24"/>
                <w:szCs w:val="24"/>
              </w:rPr>
              <w:t>1.2 mL</w:t>
            </w:r>
          </w:p>
        </w:tc>
      </w:tr>
      <w:tr w:rsidR="0001104E" w14:paraId="46D62254" w14:textId="77777777" w:rsidTr="00A5155D">
        <w:trPr>
          <w:cantSplit/>
        </w:trPr>
        <w:tc>
          <w:tcPr>
            <w:tcW w:w="2467" w:type="dxa"/>
            <w:shd w:val="clear" w:color="auto" w:fill="auto"/>
          </w:tcPr>
          <w:p w14:paraId="2D03B311" w14:textId="77777777" w:rsidR="0001104E" w:rsidRPr="00A5155D" w:rsidRDefault="0001104E" w:rsidP="00A5155D">
            <w:pPr>
              <w:pStyle w:val="TableText0"/>
              <w:keepNext/>
              <w:keepLines/>
              <w:rPr>
                <w:sz w:val="24"/>
                <w:szCs w:val="24"/>
              </w:rPr>
            </w:pPr>
            <w:r w:rsidRPr="00A5155D">
              <w:rPr>
                <w:sz w:val="24"/>
                <w:szCs w:val="24"/>
              </w:rPr>
              <w:t xml:space="preserve">Color </w:t>
            </w:r>
          </w:p>
        </w:tc>
        <w:tc>
          <w:tcPr>
            <w:tcW w:w="3387" w:type="dxa"/>
            <w:shd w:val="clear" w:color="auto" w:fill="auto"/>
          </w:tcPr>
          <w:p w14:paraId="01F96C1F" w14:textId="77777777" w:rsidR="0001104E" w:rsidRPr="00A5155D" w:rsidRDefault="0001104E" w:rsidP="00A5155D">
            <w:pPr>
              <w:pStyle w:val="TableText0"/>
              <w:keepNext/>
              <w:keepLines/>
              <w:rPr>
                <w:sz w:val="24"/>
                <w:szCs w:val="24"/>
              </w:rPr>
            </w:pPr>
            <w:r w:rsidRPr="00A5155D">
              <w:rPr>
                <w:rFonts w:cs="Times New Roman"/>
                <w:bCs/>
                <w:sz w:val="24"/>
                <w:szCs w:val="24"/>
              </w:rPr>
              <w:t xml:space="preserve">Lilac pen cap, </w:t>
            </w:r>
            <w:r>
              <w:rPr>
                <w:rFonts w:cs="Times New Roman"/>
                <w:bCs/>
                <w:sz w:val="24"/>
                <w:szCs w:val="24"/>
              </w:rPr>
              <w:t xml:space="preserve">injection </w:t>
            </w:r>
            <w:r w:rsidRPr="00A5155D">
              <w:rPr>
                <w:rFonts w:cs="Times New Roman"/>
                <w:bCs/>
                <w:sz w:val="24"/>
                <w:szCs w:val="24"/>
              </w:rPr>
              <w:t>button, and label</w:t>
            </w:r>
          </w:p>
        </w:tc>
        <w:tc>
          <w:tcPr>
            <w:tcW w:w="3435" w:type="dxa"/>
            <w:shd w:val="clear" w:color="auto" w:fill="auto"/>
          </w:tcPr>
          <w:p w14:paraId="58B585AD" w14:textId="77777777" w:rsidR="0001104E" w:rsidRPr="00A5155D" w:rsidRDefault="0001104E" w:rsidP="00A5155D">
            <w:pPr>
              <w:pStyle w:val="TableText0"/>
              <w:keepNext/>
              <w:keepLines/>
              <w:rPr>
                <w:sz w:val="24"/>
                <w:szCs w:val="24"/>
              </w:rPr>
            </w:pPr>
            <w:r w:rsidRPr="00A5155D">
              <w:rPr>
                <w:rFonts w:cs="Times New Roman"/>
                <w:bCs/>
                <w:sz w:val="24"/>
                <w:szCs w:val="24"/>
              </w:rPr>
              <w:t xml:space="preserve">Blue pen cap, </w:t>
            </w:r>
            <w:r>
              <w:rPr>
                <w:rFonts w:cs="Times New Roman"/>
                <w:bCs/>
                <w:sz w:val="24"/>
                <w:szCs w:val="24"/>
              </w:rPr>
              <w:t>injection</w:t>
            </w:r>
            <w:r w:rsidRPr="00A5155D">
              <w:rPr>
                <w:rFonts w:cs="Times New Roman"/>
                <w:bCs/>
                <w:sz w:val="24"/>
                <w:szCs w:val="24"/>
              </w:rPr>
              <w:t xml:space="preserve"> button, and label</w:t>
            </w:r>
          </w:p>
        </w:tc>
      </w:tr>
      <w:tr w:rsidR="0001104E" w14:paraId="08611A09" w14:textId="77777777" w:rsidTr="00A5155D">
        <w:trPr>
          <w:cantSplit/>
        </w:trPr>
        <w:tc>
          <w:tcPr>
            <w:tcW w:w="2467" w:type="dxa"/>
            <w:shd w:val="clear" w:color="auto" w:fill="auto"/>
          </w:tcPr>
          <w:p w14:paraId="1FEFD140" w14:textId="77777777" w:rsidR="0001104E" w:rsidRPr="00A5155D" w:rsidRDefault="0001104E" w:rsidP="00A5155D">
            <w:pPr>
              <w:pStyle w:val="TableText0"/>
              <w:keepNext/>
              <w:keepLines/>
              <w:rPr>
                <w:sz w:val="24"/>
                <w:szCs w:val="24"/>
              </w:rPr>
            </w:pPr>
            <w:r w:rsidRPr="00A5155D">
              <w:rPr>
                <w:sz w:val="24"/>
                <w:szCs w:val="24"/>
              </w:rPr>
              <w:t>Dose increments</w:t>
            </w:r>
          </w:p>
        </w:tc>
        <w:tc>
          <w:tcPr>
            <w:tcW w:w="3387" w:type="dxa"/>
            <w:shd w:val="clear" w:color="auto" w:fill="auto"/>
          </w:tcPr>
          <w:p w14:paraId="4E3B4AD5" w14:textId="77777777" w:rsidR="0001104E" w:rsidRPr="00A5155D" w:rsidRDefault="0001104E" w:rsidP="00A5155D">
            <w:pPr>
              <w:pStyle w:val="TableText0"/>
              <w:keepNext/>
              <w:keepLines/>
              <w:rPr>
                <w:sz w:val="24"/>
                <w:szCs w:val="24"/>
              </w:rPr>
            </w:pPr>
            <w:r w:rsidRPr="00A5155D">
              <w:rPr>
                <w:sz w:val="24"/>
                <w:szCs w:val="24"/>
              </w:rPr>
              <w:t>0.2 mg/ 0.01 mL</w:t>
            </w:r>
          </w:p>
        </w:tc>
        <w:tc>
          <w:tcPr>
            <w:tcW w:w="3435" w:type="dxa"/>
            <w:shd w:val="clear" w:color="auto" w:fill="auto"/>
          </w:tcPr>
          <w:p w14:paraId="53B2AB43" w14:textId="77777777" w:rsidR="0001104E" w:rsidRPr="00A5155D" w:rsidRDefault="0001104E" w:rsidP="00A5155D">
            <w:pPr>
              <w:pStyle w:val="TableText0"/>
              <w:keepNext/>
              <w:keepLines/>
              <w:rPr>
                <w:sz w:val="24"/>
                <w:szCs w:val="24"/>
              </w:rPr>
            </w:pPr>
            <w:r w:rsidRPr="00A5155D">
              <w:rPr>
                <w:sz w:val="24"/>
                <w:szCs w:val="24"/>
              </w:rPr>
              <w:t>0.5 mg/</w:t>
            </w:r>
            <w:r>
              <w:rPr>
                <w:sz w:val="24"/>
                <w:szCs w:val="24"/>
              </w:rPr>
              <w:t xml:space="preserve"> </w:t>
            </w:r>
            <w:r w:rsidRPr="00A5155D">
              <w:rPr>
                <w:sz w:val="24"/>
                <w:szCs w:val="24"/>
              </w:rPr>
              <w:t>0.01 mL</w:t>
            </w:r>
          </w:p>
        </w:tc>
      </w:tr>
      <w:tr w:rsidR="0001104E" w14:paraId="323000CC" w14:textId="77777777" w:rsidTr="00A5155D">
        <w:trPr>
          <w:cantSplit/>
        </w:trPr>
        <w:tc>
          <w:tcPr>
            <w:tcW w:w="2467" w:type="dxa"/>
            <w:shd w:val="clear" w:color="auto" w:fill="auto"/>
          </w:tcPr>
          <w:p w14:paraId="103085F1" w14:textId="77777777" w:rsidR="0001104E" w:rsidRPr="00A5155D" w:rsidRDefault="0001104E" w:rsidP="00A5155D">
            <w:pPr>
              <w:pStyle w:val="TableText0"/>
              <w:keepNext/>
              <w:keepLines/>
              <w:rPr>
                <w:sz w:val="24"/>
                <w:szCs w:val="24"/>
              </w:rPr>
            </w:pPr>
            <w:r w:rsidRPr="00A5155D">
              <w:rPr>
                <w:sz w:val="24"/>
                <w:szCs w:val="24"/>
              </w:rPr>
              <w:t>Maximum single-dose</w:t>
            </w:r>
          </w:p>
        </w:tc>
        <w:tc>
          <w:tcPr>
            <w:tcW w:w="3387" w:type="dxa"/>
            <w:shd w:val="clear" w:color="auto" w:fill="auto"/>
          </w:tcPr>
          <w:p w14:paraId="308F2AA5" w14:textId="77777777" w:rsidR="0001104E" w:rsidRPr="00A5155D" w:rsidRDefault="0001104E" w:rsidP="00A5155D">
            <w:pPr>
              <w:pStyle w:val="TableText0"/>
              <w:keepNext/>
              <w:keepLines/>
              <w:rPr>
                <w:sz w:val="24"/>
                <w:szCs w:val="24"/>
              </w:rPr>
            </w:pPr>
            <w:r w:rsidRPr="00A5155D">
              <w:rPr>
                <w:sz w:val="24"/>
                <w:szCs w:val="24"/>
              </w:rPr>
              <w:t>12 mg (0.6 mL)</w:t>
            </w:r>
          </w:p>
        </w:tc>
        <w:tc>
          <w:tcPr>
            <w:tcW w:w="3435" w:type="dxa"/>
            <w:shd w:val="clear" w:color="auto" w:fill="auto"/>
          </w:tcPr>
          <w:p w14:paraId="7F63C957" w14:textId="77777777" w:rsidR="0001104E" w:rsidRPr="00A5155D" w:rsidRDefault="0001104E" w:rsidP="00A5155D">
            <w:pPr>
              <w:pStyle w:val="TableText0"/>
              <w:keepNext/>
              <w:keepLines/>
              <w:rPr>
                <w:sz w:val="24"/>
                <w:szCs w:val="24"/>
              </w:rPr>
            </w:pPr>
            <w:r w:rsidRPr="00A5155D">
              <w:rPr>
                <w:sz w:val="24"/>
                <w:szCs w:val="24"/>
              </w:rPr>
              <w:t>30 mg (0.6 mL)</w:t>
            </w:r>
          </w:p>
        </w:tc>
      </w:tr>
      <w:tr w:rsidR="0001104E" w14:paraId="4280A6D9" w14:textId="77777777" w:rsidTr="00A5155D">
        <w:trPr>
          <w:cantSplit/>
        </w:trPr>
        <w:tc>
          <w:tcPr>
            <w:tcW w:w="9289" w:type="dxa"/>
            <w:gridSpan w:val="3"/>
            <w:tcBorders>
              <w:left w:val="nil"/>
              <w:bottom w:val="nil"/>
              <w:right w:val="nil"/>
            </w:tcBorders>
            <w:shd w:val="clear" w:color="auto" w:fill="auto"/>
          </w:tcPr>
          <w:p w14:paraId="769B650D" w14:textId="77777777" w:rsidR="0001104E" w:rsidRPr="00F7132F" w:rsidRDefault="0001104E" w:rsidP="00A5155D">
            <w:pPr>
              <w:pStyle w:val="TableText0"/>
              <w:keepNext/>
              <w:keepLines/>
              <w:rPr>
                <w:vanish/>
                <w:color w:val="008000"/>
                <w:highlight w:val="yellow"/>
              </w:rPr>
            </w:pPr>
            <w:r>
              <w:fldChar w:fldCharType="begin"/>
            </w:r>
            <w:r>
              <w:instrText xml:space="preserve">  SET _DV19827104918 "VD:{Pen colour schemes as stated in Table 3.2.P.1-1}VS:{http://gdms.pfizer.com/gdms/drl/objectId/090177e18f230279 }DC:{Somatrogon Prefilled Pen Commercial Colours Approval memo INX100254054 V2.0 http://gdms.pfizer.com/gdms/drl/objectId/090177e18f230279}VT:{2}DL:{D}VO:{Harvey, Dalna}DV:{Erdenechimeg, Selenge (ERDENS01)|07-Aug-19 14:18:05}VC:{}DI:{19722164243}" \* MERGEFORMAT </w:instrText>
            </w:r>
            <w:r>
              <w:fldChar w:fldCharType="separate"/>
            </w:r>
            <w:r>
              <w:rPr>
                <w:noProof/>
              </w:rPr>
              <w:t>VD:{Pen colour schemes as stated in Table 3.2.P.1-1}VS:{http://gdms.pfizer.com/gdms/drl/objectId/090177e18f230279 }DC:{Somatrogon Prefilled Pen Commercial Colours Approval memo INX100254054 V2.0 http://gdms.pfizer.com/gdms/drl/objectId/090177e18f230279}VT:{2}DL:{D}VO:{Harvey, Dalna}DV:{Erdenechimeg, Selenge (ERDENS01)|07-Aug-19 14:18:05}VC:{}DI:{19722164243}</w:t>
            </w:r>
            <w:r>
              <w:fldChar w:fldCharType="end"/>
            </w:r>
            <w:r w:rsidRPr="00F7132F">
              <w:rPr>
                <w:vanish/>
                <w:color w:val="008000"/>
                <w:highlight w:val="yellow"/>
              </w:rPr>
              <w:t xml:space="preserve">  </w:t>
            </w:r>
          </w:p>
        </w:tc>
      </w:tr>
    </w:tbl>
    <w:p w14:paraId="416E1C6F" w14:textId="2790C5C0" w:rsidR="0001104E" w:rsidRPr="00DE355F" w:rsidRDefault="0001104E" w:rsidP="0001104E">
      <w:pPr>
        <w:pStyle w:val="Paragraph"/>
      </w:pPr>
      <w:r>
        <w:t xml:space="preserve">Sterile needles are </w:t>
      </w:r>
      <w:r>
        <w:rPr>
          <w:szCs w:val="22"/>
        </w:rPr>
        <w:t xml:space="preserve">required for administration but </w:t>
      </w:r>
      <w:r w:rsidR="009E3DDF">
        <w:rPr>
          <w:szCs w:val="22"/>
        </w:rPr>
        <w:t xml:space="preserve">are </w:t>
      </w:r>
      <w:r>
        <w:t xml:space="preserve">not included.  Consult the Instruction for Use </w:t>
      </w:r>
      <w:r w:rsidR="00112DE5">
        <w:t xml:space="preserve">leaflet </w:t>
      </w:r>
      <w:r>
        <w:t>for needles that can be used.</w:t>
      </w:r>
    </w:p>
    <w:p w14:paraId="7452B13D" w14:textId="4D22BAE8" w:rsidR="00734FE6" w:rsidRPr="00281B9F" w:rsidRDefault="00734FE6" w:rsidP="00226236">
      <w:pPr>
        <w:pStyle w:val="CLDHeading2"/>
      </w:pPr>
      <w:r w:rsidRPr="00281B9F">
        <w:t>6.6</w:t>
      </w:r>
      <w:r w:rsidRPr="00281B9F">
        <w:tab/>
        <w:t>Special precautions for disposal</w:t>
      </w:r>
      <w:r w:rsidR="0001104E">
        <w:t xml:space="preserve"> and other handling</w:t>
      </w:r>
    </w:p>
    <w:p w14:paraId="7243404C" w14:textId="19E3350D" w:rsidR="0001104E" w:rsidRDefault="0001104E" w:rsidP="0001104E">
      <w:pPr>
        <w:pStyle w:val="Paragraph"/>
      </w:pPr>
      <w:r w:rsidRPr="00132365">
        <w:t xml:space="preserve">Each </w:t>
      </w:r>
      <w:r w:rsidR="004729B3" w:rsidRPr="008C3392">
        <w:t>NGENLA</w:t>
      </w:r>
      <w:r>
        <w:t xml:space="preserve"> prefilled</w:t>
      </w:r>
      <w:r w:rsidRPr="00132365">
        <w:t xml:space="preserve"> pen is for use by a single patient. </w:t>
      </w:r>
      <w:r>
        <w:t xml:space="preserve"> </w:t>
      </w:r>
      <w:r w:rsidRPr="00132365">
        <w:t xml:space="preserve">A </w:t>
      </w:r>
      <w:r w:rsidR="004729B3" w:rsidRPr="008C3392">
        <w:t>NGENLA</w:t>
      </w:r>
      <w:r>
        <w:t xml:space="preserve"> prefilled</w:t>
      </w:r>
      <w:r w:rsidRPr="00132365">
        <w:t xml:space="preserve"> pen must never be shared between patients, even if the needle is changed</w:t>
      </w:r>
      <w:r>
        <w:t>.</w:t>
      </w:r>
    </w:p>
    <w:p w14:paraId="1906A444" w14:textId="77777777" w:rsidR="0001104E" w:rsidRPr="00132365" w:rsidRDefault="0001104E" w:rsidP="0001104E">
      <w:pPr>
        <w:pStyle w:val="Paragraph"/>
      </w:pPr>
      <w:r>
        <w:t>Do not inject the medicine if it is cloudy or dark yellow.</w:t>
      </w:r>
      <w:r w:rsidRPr="00B20726">
        <w:t xml:space="preserve"> </w:t>
      </w:r>
      <w:r w:rsidRPr="00DE355F">
        <w:t>Do not shak</w:t>
      </w:r>
      <w:r>
        <w:t>e,</w:t>
      </w:r>
      <w:r w:rsidRPr="00AC22BF">
        <w:t xml:space="preserve"> </w:t>
      </w:r>
      <w:r>
        <w:t>shaking can damage the medicine</w:t>
      </w:r>
      <w:r w:rsidRPr="00DE355F">
        <w:t>.</w:t>
      </w:r>
      <w:r>
        <w:t xml:space="preserve">  </w:t>
      </w:r>
    </w:p>
    <w:p w14:paraId="40D51667" w14:textId="77777777" w:rsidR="0001104E" w:rsidRDefault="0001104E" w:rsidP="009E3DDF">
      <w:pPr>
        <w:spacing w:after="120"/>
        <w:rPr>
          <w:u w:val="single"/>
        </w:rPr>
      </w:pPr>
      <w:r w:rsidRPr="00DE355F">
        <w:rPr>
          <w:u w:val="single"/>
        </w:rPr>
        <w:t>Dose Preparation</w:t>
      </w:r>
    </w:p>
    <w:p w14:paraId="49C939C5" w14:textId="0BF7FB8F" w:rsidR="0001104E" w:rsidRPr="00DE355F" w:rsidRDefault="0001104E" w:rsidP="0001104E">
      <w:r>
        <w:t>The pen may be used straight from the refrigerator. For a more comfortable injection, a</w:t>
      </w:r>
      <w:r w:rsidRPr="00DE355F">
        <w:t>llow the</w:t>
      </w:r>
      <w:r>
        <w:t xml:space="preserve"> prefilled</w:t>
      </w:r>
      <w:r w:rsidRPr="00DE355F">
        <w:t xml:space="preserve"> </w:t>
      </w:r>
      <w:r>
        <w:t>pen</w:t>
      </w:r>
      <w:r w:rsidRPr="00DE355F">
        <w:t xml:space="preserve"> containing the sterile solution of </w:t>
      </w:r>
      <w:proofErr w:type="spellStart"/>
      <w:r w:rsidRPr="00DE355F">
        <w:t>somatrogon</w:t>
      </w:r>
      <w:proofErr w:type="spellEnd"/>
      <w:r w:rsidRPr="00DE355F">
        <w:t xml:space="preserve"> to reach room temperature (20°C</w:t>
      </w:r>
      <w:r>
        <w:t xml:space="preserve"> to </w:t>
      </w:r>
      <w:r w:rsidRPr="00DE355F">
        <w:t xml:space="preserve">25°C) for </w:t>
      </w:r>
      <w:r>
        <w:t>up to</w:t>
      </w:r>
      <w:r w:rsidRPr="00DE355F">
        <w:t xml:space="preserve"> </w:t>
      </w:r>
      <w:r>
        <w:t>30 minutes</w:t>
      </w:r>
      <w:r w:rsidRPr="00DE355F">
        <w:t xml:space="preserve">. Inspect the solution in the </w:t>
      </w:r>
      <w:r>
        <w:t>pen</w:t>
      </w:r>
      <w:r w:rsidRPr="00DE355F">
        <w:t xml:space="preserve"> for </w:t>
      </w:r>
      <w:r w:rsidR="00BB18FB">
        <w:t xml:space="preserve">flakes, </w:t>
      </w:r>
      <w:proofErr w:type="gramStart"/>
      <w:r w:rsidRPr="00DE355F">
        <w:t>particles</w:t>
      </w:r>
      <w:proofErr w:type="gramEnd"/>
      <w:r w:rsidRPr="00DE355F">
        <w:t xml:space="preserve"> and colo</w:t>
      </w:r>
      <w:r w:rsidR="00BB18FB">
        <w:t>u</w:t>
      </w:r>
      <w:r w:rsidRPr="00DE355F">
        <w:t xml:space="preserve">ration. </w:t>
      </w:r>
      <w:r w:rsidR="00BB18FB">
        <w:t xml:space="preserve">Do not shake. </w:t>
      </w:r>
      <w:r w:rsidRPr="00DE355F">
        <w:t xml:space="preserve">If </w:t>
      </w:r>
      <w:r w:rsidR="00BB18FB">
        <w:t xml:space="preserve">flakes, </w:t>
      </w:r>
      <w:proofErr w:type="gramStart"/>
      <w:r w:rsidRPr="00DE355F">
        <w:t>particulates</w:t>
      </w:r>
      <w:proofErr w:type="gramEnd"/>
      <w:r w:rsidRPr="00DE355F">
        <w:t xml:space="preserve"> or discolo</w:t>
      </w:r>
      <w:r w:rsidR="00BB18FB">
        <w:t>u</w:t>
      </w:r>
      <w:r w:rsidRPr="00DE355F">
        <w:t xml:space="preserve">ration are observed, do not use the </w:t>
      </w:r>
      <w:r>
        <w:t xml:space="preserve">pen. </w:t>
      </w:r>
    </w:p>
    <w:p w14:paraId="0884CB65" w14:textId="77777777" w:rsidR="0001104E" w:rsidRPr="00DE355F" w:rsidRDefault="0001104E" w:rsidP="009E3DDF">
      <w:pPr>
        <w:spacing w:after="120"/>
        <w:rPr>
          <w:u w:val="single"/>
        </w:rPr>
      </w:pPr>
      <w:r w:rsidRPr="00DE355F">
        <w:rPr>
          <w:u w:val="single"/>
        </w:rPr>
        <w:t>Administration</w:t>
      </w:r>
    </w:p>
    <w:p w14:paraId="697B9B29" w14:textId="4740BE0E" w:rsidR="0001104E" w:rsidRDefault="0001104E" w:rsidP="0001104E">
      <w:r w:rsidRPr="00DE355F">
        <w:t xml:space="preserve">Prepare the designated injection site as instructed </w:t>
      </w:r>
      <w:r>
        <w:t>in the Instructions for Use</w:t>
      </w:r>
      <w:r w:rsidR="00112DE5">
        <w:t xml:space="preserve"> leaflet</w:t>
      </w:r>
      <w:r w:rsidRPr="00DE355F">
        <w:t>.</w:t>
      </w:r>
      <w:r>
        <w:t xml:space="preserve"> </w:t>
      </w:r>
      <w:r w:rsidRPr="00DE355F">
        <w:t xml:space="preserve">It is recommended to rotate the injection site at each administration. </w:t>
      </w:r>
      <w:r w:rsidR="00D50F8F">
        <w:t xml:space="preserve">Rotate the site of injection weekly. </w:t>
      </w:r>
      <w:r w:rsidRPr="001C6793">
        <w:t>Always use a new sterile needle for each injection.</w:t>
      </w:r>
      <w:r w:rsidR="00153F29">
        <w:t xml:space="preserve"> </w:t>
      </w:r>
      <w:r w:rsidR="008F15DD">
        <w:t xml:space="preserve">If there </w:t>
      </w:r>
      <w:r w:rsidR="008F15DD" w:rsidRPr="00696E12">
        <w:rPr>
          <w:szCs w:val="21"/>
        </w:rPr>
        <w:t xml:space="preserve">is medicine left in </w:t>
      </w:r>
      <w:r w:rsidR="00582D07">
        <w:rPr>
          <w:szCs w:val="21"/>
        </w:rPr>
        <w:t>the</w:t>
      </w:r>
      <w:r w:rsidR="008F15DD" w:rsidRPr="00696E12">
        <w:rPr>
          <w:szCs w:val="21"/>
        </w:rPr>
        <w:t xml:space="preserve"> pen</w:t>
      </w:r>
      <w:r w:rsidR="008F15DD">
        <w:rPr>
          <w:szCs w:val="21"/>
        </w:rPr>
        <w:t xml:space="preserve"> a</w:t>
      </w:r>
      <w:r w:rsidR="00153F29">
        <w:t xml:space="preserve">fter </w:t>
      </w:r>
      <w:r w:rsidR="008F15DD">
        <w:t>the injection has been administered, return the pen to the refrigerator for storage (see Section 6.4).</w:t>
      </w:r>
    </w:p>
    <w:p w14:paraId="706ACDA9" w14:textId="77777777" w:rsidR="0001104E" w:rsidRPr="00DE355F" w:rsidRDefault="0001104E" w:rsidP="009E3DDF">
      <w:pPr>
        <w:spacing w:after="120"/>
        <w:rPr>
          <w:u w:val="single"/>
        </w:rPr>
      </w:pPr>
      <w:r w:rsidRPr="00DE355F">
        <w:rPr>
          <w:u w:val="single"/>
        </w:rPr>
        <w:t>Disposal</w:t>
      </w:r>
    </w:p>
    <w:p w14:paraId="4C60B153" w14:textId="7FF57DFD" w:rsidR="0001104E" w:rsidRDefault="0001104E" w:rsidP="0001104E">
      <w:r w:rsidRPr="00DE355F">
        <w:lastRenderedPageBreak/>
        <w:t xml:space="preserve">Any unused </w:t>
      </w:r>
      <w:r>
        <w:t>medicine</w:t>
      </w:r>
      <w:r w:rsidRPr="00DE355F">
        <w:t xml:space="preserve"> or waste material should be disposed of in accordance with local requirements. </w:t>
      </w:r>
      <w:r>
        <w:t xml:space="preserve">If your </w:t>
      </w:r>
      <w:r w:rsidR="00E130E3">
        <w:t>NGENLA</w:t>
      </w:r>
      <w:r>
        <w:t xml:space="preserve"> pen is empty</w:t>
      </w:r>
      <w:r w:rsidR="0012073F">
        <w:t>,</w:t>
      </w:r>
      <w:r>
        <w:t xml:space="preserve"> or it has been more than 28 days after </w:t>
      </w:r>
      <w:r>
        <w:softHyphen/>
        <w:t>first use</w:t>
      </w:r>
      <w:r w:rsidR="00E130E3">
        <w:t xml:space="preserve">, </w:t>
      </w:r>
      <w:r w:rsidR="0012073F">
        <w:t>or it has been used 5 times</w:t>
      </w:r>
      <w:r>
        <w:t xml:space="preserve">, </w:t>
      </w:r>
      <w:r w:rsidR="0012073F">
        <w:t>or if it has been exposed to temperatures above 32</w:t>
      </w:r>
      <w:r w:rsidR="0012073F" w:rsidRPr="00281B9F">
        <w:t>°</w:t>
      </w:r>
      <w:proofErr w:type="gramStart"/>
      <w:r w:rsidR="0012073F" w:rsidRPr="00281B9F">
        <w:t>C</w:t>
      </w:r>
      <w:r w:rsidR="008B3EC8">
        <w:t>,</w:t>
      </w:r>
      <w:r w:rsidR="0012073F">
        <w:t xml:space="preserve"> or</w:t>
      </w:r>
      <w:proofErr w:type="gramEnd"/>
      <w:r w:rsidR="0012073F">
        <w:t xml:space="preserve"> left out of the refrigerator for more than two hours with each use,</w:t>
      </w:r>
      <w:r w:rsidR="00484487">
        <w:t xml:space="preserve"> </w:t>
      </w:r>
      <w:r>
        <w:t xml:space="preserve">throw it away even if it contains unused medicine. </w:t>
      </w:r>
    </w:p>
    <w:p w14:paraId="2ABBFE42" w14:textId="4FC4D677" w:rsidR="00734FE6" w:rsidRPr="00281B9F" w:rsidRDefault="00734FE6" w:rsidP="00226236">
      <w:pPr>
        <w:pStyle w:val="CLDHeading2"/>
      </w:pPr>
      <w:r w:rsidRPr="00281B9F">
        <w:t>6.7</w:t>
      </w:r>
      <w:r w:rsidRPr="00281B9F">
        <w:tab/>
        <w:t>Physicochemical properties</w:t>
      </w:r>
    </w:p>
    <w:p w14:paraId="0915EADE" w14:textId="0A238C91" w:rsidR="00734FE6" w:rsidRDefault="00734FE6" w:rsidP="00226236">
      <w:pPr>
        <w:pStyle w:val="CLDHeading3"/>
        <w:spacing w:after="120"/>
        <w:ind w:left="425" w:hanging="425"/>
      </w:pPr>
      <w:r w:rsidRPr="00226236">
        <w:t xml:space="preserve">Chemical </w:t>
      </w:r>
      <w:r w:rsidR="00226236" w:rsidRPr="00226236">
        <w:t>S</w:t>
      </w:r>
      <w:r w:rsidRPr="00226236">
        <w:t>tructure</w:t>
      </w:r>
    </w:p>
    <w:p w14:paraId="0386DB75" w14:textId="77777777" w:rsidR="0025679D" w:rsidRDefault="006525B7" w:rsidP="0025679D">
      <w:proofErr w:type="spellStart"/>
      <w:r w:rsidRPr="00FA3740">
        <w:t>Somatrogon</w:t>
      </w:r>
      <w:proofErr w:type="spellEnd"/>
      <w:r w:rsidRPr="00FA3740">
        <w:t xml:space="preserve"> is a glycoprotein produced in Chinese Hamster Ovary (CHO) cells by recombinant DNA technology.  It is comprised of the amino acid sequence of human growth hormone (</w:t>
      </w:r>
      <w:proofErr w:type="spellStart"/>
      <w:r w:rsidRPr="00FA3740">
        <w:t>hGH</w:t>
      </w:r>
      <w:proofErr w:type="spellEnd"/>
      <w:r w:rsidRPr="00FA3740">
        <w:t>) with one copy of the C-terminal peptide (CTP) from the beta chain of human chorionic gonadotropin (</w:t>
      </w:r>
      <w:proofErr w:type="spellStart"/>
      <w:r w:rsidRPr="00FA3740">
        <w:t>hCG</w:t>
      </w:r>
      <w:proofErr w:type="spellEnd"/>
      <w:r w:rsidRPr="00FA3740">
        <w:t>) at the N-terminus and two copies of CTP (in tandem) at the C</w:t>
      </w:r>
      <w:r w:rsidRPr="00FA3740">
        <w:noBreakHyphen/>
        <w:t xml:space="preserve">terminus.  Each CTP includes multiple O-linked glycosylation sites.  The glycosylation and CTP domains account for the </w:t>
      </w:r>
      <w:proofErr w:type="spellStart"/>
      <w:r w:rsidRPr="00FA3740">
        <w:t>half life</w:t>
      </w:r>
      <w:proofErr w:type="spellEnd"/>
      <w:r w:rsidRPr="00FA3740">
        <w:t xml:space="preserve"> of </w:t>
      </w:r>
      <w:proofErr w:type="spellStart"/>
      <w:r w:rsidRPr="00FA3740">
        <w:t>somatrogon</w:t>
      </w:r>
      <w:proofErr w:type="spellEnd"/>
      <w:r w:rsidRPr="00FA3740">
        <w:t xml:space="preserve"> which allows for weekly dosing.  The O-glycan occupancy ranges from 9 to 20 moieties per intact </w:t>
      </w:r>
      <w:proofErr w:type="spellStart"/>
      <w:r w:rsidRPr="00FA3740">
        <w:t>somatrogon</w:t>
      </w:r>
      <w:proofErr w:type="spellEnd"/>
      <w:r w:rsidRPr="00FA3740">
        <w:t xml:space="preserve"> molecule.  The predominant </w:t>
      </w:r>
      <w:proofErr w:type="spellStart"/>
      <w:r w:rsidRPr="00FA3740">
        <w:t>somatrogon</w:t>
      </w:r>
      <w:proofErr w:type="spellEnd"/>
      <w:r w:rsidRPr="00FA3740">
        <w:t xml:space="preserve"> </w:t>
      </w:r>
      <w:proofErr w:type="spellStart"/>
      <w:r w:rsidRPr="00FA3740">
        <w:t>glycoforms</w:t>
      </w:r>
      <w:proofErr w:type="spellEnd"/>
      <w:r w:rsidRPr="00FA3740">
        <w:t xml:space="preserve"> include the molecule with 15 </w:t>
      </w:r>
      <w:proofErr w:type="spellStart"/>
      <w:r w:rsidRPr="00FA3740">
        <w:t>monosialylated</w:t>
      </w:r>
      <w:proofErr w:type="spellEnd"/>
      <w:r w:rsidRPr="00FA3740">
        <w:t>, core-1 O</w:t>
      </w:r>
      <w:r w:rsidRPr="00FA3740">
        <w:noBreakHyphen/>
        <w:t xml:space="preserve">glycans or 16 </w:t>
      </w:r>
      <w:proofErr w:type="spellStart"/>
      <w:r w:rsidRPr="00FA3740">
        <w:t>monosialylated</w:t>
      </w:r>
      <w:proofErr w:type="spellEnd"/>
      <w:r w:rsidRPr="00FA3740">
        <w:t xml:space="preserve">, core-1 O-glycans.  Additionally, each CTP region contains hydroxyproline residues, which range from 0-5 hydroxy additions per intact </w:t>
      </w:r>
      <w:proofErr w:type="spellStart"/>
      <w:r w:rsidRPr="00FA3740">
        <w:t>somatrogon</w:t>
      </w:r>
      <w:proofErr w:type="spellEnd"/>
      <w:r w:rsidRPr="00FA3740">
        <w:t xml:space="preserve"> molecule.  The complete, confirmed amino acid sequence of </w:t>
      </w:r>
      <w:proofErr w:type="spellStart"/>
      <w:r w:rsidRPr="00FA3740">
        <w:t>somatrogon</w:t>
      </w:r>
      <w:proofErr w:type="spellEnd"/>
      <w:r w:rsidRPr="00FA3740">
        <w:t xml:space="preserve"> is shown in</w:t>
      </w:r>
      <w:r>
        <w:t xml:space="preserve"> Figure 3.</w:t>
      </w:r>
    </w:p>
    <w:p w14:paraId="4E86E2E1" w14:textId="5938AB83" w:rsidR="00D9101A" w:rsidRPr="00F420CC" w:rsidRDefault="0025679D" w:rsidP="0025679D">
      <w:pPr>
        <w:rPr>
          <w:b/>
          <w:bCs/>
        </w:rPr>
      </w:pPr>
      <w:r w:rsidRPr="00F420CC">
        <w:rPr>
          <w:b/>
          <w:bCs/>
        </w:rPr>
        <w:t xml:space="preserve"> </w:t>
      </w:r>
      <w:r w:rsidR="00D9101A" w:rsidRPr="00F420CC">
        <w:rPr>
          <w:b/>
          <w:bCs/>
        </w:rPr>
        <w:t xml:space="preserve">Figure </w:t>
      </w:r>
      <w:r w:rsidR="00F420CC" w:rsidRPr="00F420CC">
        <w:rPr>
          <w:b/>
          <w:bCs/>
        </w:rPr>
        <w:t>3</w:t>
      </w:r>
      <w:r w:rsidR="00D9101A" w:rsidRPr="00F420CC">
        <w:rPr>
          <w:b/>
          <w:bCs/>
        </w:rPr>
        <w:t>.</w:t>
      </w:r>
      <w:r w:rsidR="00D9101A" w:rsidRPr="00F420CC">
        <w:rPr>
          <w:b/>
          <w:bCs/>
        </w:rPr>
        <w:tab/>
      </w:r>
      <w:proofErr w:type="spellStart"/>
      <w:r w:rsidR="00D9101A" w:rsidRPr="00F420CC">
        <w:rPr>
          <w:b/>
          <w:bCs/>
        </w:rPr>
        <w:t>Somatrogon</w:t>
      </w:r>
      <w:proofErr w:type="spellEnd"/>
      <w:r w:rsidR="00D9101A" w:rsidRPr="00F420CC">
        <w:rPr>
          <w:b/>
          <w:bCs/>
        </w:rPr>
        <w:t xml:space="preserve"> Primary Structure (Amino Acid Sequence)</w:t>
      </w:r>
    </w:p>
    <w:p w14:paraId="3DC87077" w14:textId="79433CCE" w:rsidR="004A468F" w:rsidRDefault="004A468F" w:rsidP="0025679D">
      <w:pPr>
        <w:pStyle w:val="Paragraph"/>
        <w:spacing w:after="0"/>
      </w:pPr>
      <w:r>
        <w:rPr>
          <w:noProof/>
        </w:rPr>
        <w:drawing>
          <wp:inline distT="0" distB="0" distL="0" distR="0" wp14:anchorId="7C35FA18" wp14:editId="14B68E92">
            <wp:extent cx="5703570" cy="19926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3570" cy="1992630"/>
                    </a:xfrm>
                    <a:prstGeom prst="rect">
                      <a:avLst/>
                    </a:prstGeom>
                    <a:noFill/>
                    <a:ln>
                      <a:noFill/>
                    </a:ln>
                  </pic:spPr>
                </pic:pic>
              </a:graphicData>
            </a:graphic>
          </wp:inline>
        </w:drawing>
      </w:r>
      <w:r>
        <w:t xml:space="preserve"> </w:t>
      </w:r>
    </w:p>
    <w:p w14:paraId="4D8F67E9" w14:textId="77777777" w:rsidR="004A468F" w:rsidRPr="004A468F" w:rsidRDefault="004A468F" w:rsidP="004A468F">
      <w:pPr>
        <w:pStyle w:val="FigureFootnote"/>
        <w:rPr>
          <w:sz w:val="22"/>
          <w:szCs w:val="22"/>
        </w:rPr>
      </w:pPr>
      <w:proofErr w:type="spellStart"/>
      <w:r w:rsidRPr="004A468F">
        <w:rPr>
          <w:bCs/>
          <w:sz w:val="22"/>
          <w:szCs w:val="22"/>
        </w:rPr>
        <w:t>Somatrogon</w:t>
      </w:r>
      <w:proofErr w:type="spellEnd"/>
      <w:r w:rsidRPr="004A468F">
        <w:rPr>
          <w:bCs/>
          <w:sz w:val="22"/>
          <w:szCs w:val="22"/>
        </w:rPr>
        <w:t xml:space="preserve"> </w:t>
      </w:r>
      <w:r w:rsidRPr="004A468F">
        <w:rPr>
          <w:sz w:val="22"/>
          <w:szCs w:val="22"/>
        </w:rPr>
        <w:t xml:space="preserve">amino acid sequence; residues are numbered sequentially starting with the N terminus.  The confirmed </w:t>
      </w:r>
      <w:proofErr w:type="spellStart"/>
      <w:r w:rsidRPr="004A468F">
        <w:rPr>
          <w:sz w:val="22"/>
          <w:szCs w:val="22"/>
        </w:rPr>
        <w:t>disulfide</w:t>
      </w:r>
      <w:proofErr w:type="spellEnd"/>
      <w:r w:rsidRPr="004A468F">
        <w:rPr>
          <w:sz w:val="22"/>
          <w:szCs w:val="22"/>
        </w:rPr>
        <w:t xml:space="preserve"> bonds are illustrated with connecting lines.  The functional, intact molecule is composed of recombinant </w:t>
      </w:r>
      <w:proofErr w:type="spellStart"/>
      <w:r w:rsidRPr="004A468F">
        <w:rPr>
          <w:sz w:val="22"/>
          <w:szCs w:val="22"/>
        </w:rPr>
        <w:t>hGH</w:t>
      </w:r>
      <w:proofErr w:type="spellEnd"/>
      <w:r w:rsidRPr="004A468F">
        <w:rPr>
          <w:sz w:val="22"/>
          <w:szCs w:val="22"/>
        </w:rPr>
        <w:t xml:space="preserve"> and one copy of CTP from the beta chain of </w:t>
      </w:r>
      <w:proofErr w:type="spellStart"/>
      <w:r w:rsidRPr="004A468F">
        <w:rPr>
          <w:sz w:val="22"/>
          <w:szCs w:val="22"/>
        </w:rPr>
        <w:t>hCG</w:t>
      </w:r>
      <w:proofErr w:type="spellEnd"/>
      <w:r w:rsidRPr="004A468F">
        <w:rPr>
          <w:sz w:val="22"/>
          <w:szCs w:val="22"/>
        </w:rPr>
        <w:t xml:space="preserve"> at the N-terminus (bold amino acids [1-28]) and two copies of CTP (in tandem) at the C-terminus (bold amino acids [220-247], and [248-275]).</w:t>
      </w:r>
    </w:p>
    <w:p w14:paraId="6D93F1A5" w14:textId="203F72CC" w:rsidR="00734FE6" w:rsidRPr="00281B9F" w:rsidRDefault="00734FE6" w:rsidP="00226236">
      <w:pPr>
        <w:pStyle w:val="CLDHeading3"/>
        <w:spacing w:after="120"/>
        <w:ind w:left="425" w:hanging="425"/>
      </w:pPr>
      <w:r w:rsidRPr="00281B9F">
        <w:t xml:space="preserve">CAS </w:t>
      </w:r>
      <w:r w:rsidR="00226236">
        <w:t>N</w:t>
      </w:r>
      <w:r w:rsidRPr="00281B9F">
        <w:t>umber</w:t>
      </w:r>
    </w:p>
    <w:p w14:paraId="5FAA4438" w14:textId="1A9FCC00" w:rsidR="005958EC" w:rsidRPr="00281B9F" w:rsidRDefault="00F80F0A" w:rsidP="00226236">
      <w:pPr>
        <w:rPr>
          <w:szCs w:val="24"/>
        </w:rPr>
      </w:pPr>
      <w:r>
        <w:rPr>
          <w:szCs w:val="24"/>
        </w:rPr>
        <w:t>1663481-09-1</w:t>
      </w:r>
    </w:p>
    <w:p w14:paraId="22080D29" w14:textId="77777777" w:rsidR="00DA1EBD" w:rsidRPr="00281B9F" w:rsidRDefault="00DA1EBD" w:rsidP="00226236">
      <w:pPr>
        <w:pStyle w:val="CLDHeading1"/>
      </w:pPr>
      <w:r w:rsidRPr="00281B9F">
        <w:t>7.</w:t>
      </w:r>
      <w:r w:rsidRPr="00281B9F">
        <w:tab/>
        <w:t>MEDICINE SCHEDULE (POISONS STANDARD)</w:t>
      </w:r>
    </w:p>
    <w:p w14:paraId="29ED9831" w14:textId="34ECEE29" w:rsidR="00DA1EBD" w:rsidRPr="00281B9F" w:rsidRDefault="00DA1EBD" w:rsidP="00226236">
      <w:pPr>
        <w:rPr>
          <w:bCs/>
        </w:rPr>
      </w:pPr>
      <w:r w:rsidRPr="00281B9F">
        <w:rPr>
          <w:bCs/>
        </w:rPr>
        <w:t xml:space="preserve">Schedule 4 </w:t>
      </w:r>
      <w:r w:rsidR="009D071C">
        <w:rPr>
          <w:bCs/>
        </w:rPr>
        <w:t xml:space="preserve">- </w:t>
      </w:r>
      <w:r w:rsidRPr="00281B9F">
        <w:rPr>
          <w:bCs/>
        </w:rPr>
        <w:t>Prescription Only Medicine.</w:t>
      </w:r>
    </w:p>
    <w:p w14:paraId="1AF44F6B" w14:textId="77777777" w:rsidR="00DA1EBD" w:rsidRPr="00281B9F" w:rsidRDefault="00DA1EBD" w:rsidP="00226236">
      <w:pPr>
        <w:pStyle w:val="CLDHeading1"/>
      </w:pPr>
      <w:r w:rsidRPr="00281B9F">
        <w:lastRenderedPageBreak/>
        <w:t>8.</w:t>
      </w:r>
      <w:r w:rsidRPr="00281B9F">
        <w:tab/>
        <w:t>SPONSOR</w:t>
      </w:r>
    </w:p>
    <w:p w14:paraId="49383F3D" w14:textId="77777777" w:rsidR="005D6DD5" w:rsidRDefault="004F3539" w:rsidP="00226236">
      <w:pPr>
        <w:spacing w:after="0"/>
        <w:jc w:val="left"/>
      </w:pPr>
      <w:r w:rsidRPr="00281B9F">
        <w:t>Pfizer Australia Pty Ltd</w:t>
      </w:r>
    </w:p>
    <w:p w14:paraId="32D0CCE9" w14:textId="587912B8" w:rsidR="003A148B" w:rsidRPr="00281B9F" w:rsidRDefault="003A148B" w:rsidP="00226236">
      <w:pPr>
        <w:spacing w:after="0"/>
        <w:jc w:val="left"/>
      </w:pPr>
      <w:r w:rsidRPr="00281B9F">
        <w:t>Level 17</w:t>
      </w:r>
      <w:r w:rsidR="00B12621" w:rsidRPr="00281B9F">
        <w:t>, 151 Clarence Street</w:t>
      </w:r>
    </w:p>
    <w:p w14:paraId="37CFFA94" w14:textId="1919B3E3" w:rsidR="00B12621" w:rsidRPr="00281B9F" w:rsidRDefault="00B12621" w:rsidP="00226236">
      <w:pPr>
        <w:spacing w:after="0"/>
      </w:pPr>
      <w:r w:rsidRPr="00281B9F">
        <w:t>Sydney NSW 2000</w:t>
      </w:r>
    </w:p>
    <w:p w14:paraId="0F51C4D7" w14:textId="43C7E524" w:rsidR="00DA1EBD" w:rsidRPr="00C06D85" w:rsidRDefault="00DA1EBD" w:rsidP="00226236">
      <w:pPr>
        <w:tabs>
          <w:tab w:val="left" w:pos="0"/>
          <w:tab w:val="left" w:pos="864"/>
          <w:tab w:val="left" w:pos="5184"/>
          <w:tab w:val="left" w:pos="5904"/>
        </w:tabs>
        <w:suppressAutoHyphens/>
        <w:spacing w:after="0"/>
      </w:pPr>
      <w:r w:rsidRPr="00281B9F">
        <w:t>Toll Free Number: 1800 675 229</w:t>
      </w:r>
    </w:p>
    <w:p w14:paraId="4EF91670" w14:textId="097A3784" w:rsidR="00DA1EBD" w:rsidRPr="00281B9F" w:rsidRDefault="00DA1EBD" w:rsidP="00226236">
      <w:pPr>
        <w:pStyle w:val="CLDNormal"/>
      </w:pPr>
      <w:r w:rsidRPr="00281B9F">
        <w:t>www.pfizer</w:t>
      </w:r>
      <w:r w:rsidR="00077973">
        <w:t>medinfo</w:t>
      </w:r>
      <w:r w:rsidRPr="00281B9F">
        <w:t>.com.au</w:t>
      </w:r>
    </w:p>
    <w:p w14:paraId="44DEB894" w14:textId="77777777" w:rsidR="00DA1EBD" w:rsidRPr="00281B9F" w:rsidRDefault="00DA1EBD" w:rsidP="00226236">
      <w:pPr>
        <w:pStyle w:val="CLDHeading1"/>
      </w:pPr>
      <w:r w:rsidRPr="00281B9F">
        <w:t>9.</w:t>
      </w:r>
      <w:r w:rsidRPr="00281B9F">
        <w:tab/>
        <w:t>DATE OF FIRST APPROVAL</w:t>
      </w:r>
    </w:p>
    <w:p w14:paraId="70DF1C74" w14:textId="643B9C79" w:rsidR="00B87C6F" w:rsidRPr="00281B9F" w:rsidRDefault="00B87C6F" w:rsidP="00B87C6F">
      <w:r>
        <w:t xml:space="preserve">30 November 2021 </w:t>
      </w:r>
    </w:p>
    <w:p w14:paraId="732808C5" w14:textId="70F0F02A" w:rsidR="00DA1EBD" w:rsidRPr="00281B9F" w:rsidRDefault="00DA1EBD" w:rsidP="00226236">
      <w:pPr>
        <w:pStyle w:val="CLDHeading1"/>
      </w:pPr>
      <w:r w:rsidRPr="00281B9F">
        <w:t>10.</w:t>
      </w:r>
      <w:r w:rsidRPr="00281B9F">
        <w:tab/>
        <w:t>DATE OF REVISION</w:t>
      </w:r>
    </w:p>
    <w:p w14:paraId="61E56753" w14:textId="335B3F34" w:rsidR="004C5BAD" w:rsidRPr="00281B9F" w:rsidRDefault="004147F9" w:rsidP="00226236">
      <w:r>
        <w:t>Not applicable.</w:t>
      </w:r>
    </w:p>
    <w:p w14:paraId="48587AD3" w14:textId="77777777" w:rsidR="004F3539" w:rsidRPr="00281B9F" w:rsidRDefault="002E2A04" w:rsidP="00226236">
      <w:r w:rsidRPr="00281B9F">
        <w:t xml:space="preserve">® Registered </w:t>
      </w:r>
      <w:r w:rsidR="009773DF" w:rsidRPr="00281B9F">
        <w:t>t</w:t>
      </w:r>
      <w:r w:rsidRPr="00281B9F">
        <w:t>rademark</w:t>
      </w:r>
    </w:p>
    <w:p w14:paraId="2CF79676" w14:textId="77777777" w:rsidR="00F8713C" w:rsidRPr="00281B9F" w:rsidRDefault="00F8713C" w:rsidP="00226236"/>
    <w:sectPr w:rsidR="00F8713C" w:rsidRPr="00281B9F">
      <w:headerReference w:type="default" r:id="rId16"/>
      <w:footerReference w:type="default" r:id="rId17"/>
      <w:type w:val="continuous"/>
      <w:pgSz w:w="11907" w:h="16840" w:code="9"/>
      <w:pgMar w:top="1134" w:right="1009" w:bottom="1009" w:left="1151" w:header="0" w:footer="289"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8639" w14:textId="77777777" w:rsidR="00283E69" w:rsidRDefault="00283E69">
      <w:r>
        <w:separator/>
      </w:r>
    </w:p>
  </w:endnote>
  <w:endnote w:type="continuationSeparator" w:id="0">
    <w:p w14:paraId="24EF6E71" w14:textId="77777777" w:rsidR="00283E69" w:rsidRDefault="0028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NewRoman">
    <w:altName w:val="Klee One"/>
    <w:panose1 w:val="00000000000000000000"/>
    <w:charset w:val="00"/>
    <w:family w:val="auto"/>
    <w:notTrueType/>
    <w:pitch w:val="default"/>
    <w:sig w:usb0="00000003" w:usb1="00000000" w:usb2="00000000" w:usb3="00000000" w:csb0="00000001" w:csb1="00000000"/>
  </w:font>
  <w:font w:name="TimesNewRomanPSMT">
    <w:altName w:val="MV Bol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D2A6" w14:textId="40F3BD8F" w:rsidR="00283E69" w:rsidRDefault="00283E69" w:rsidP="00E662A5">
    <w:pPr>
      <w:pStyle w:val="Footer"/>
      <w:tabs>
        <w:tab w:val="clear" w:pos="9923"/>
        <w:tab w:val="right" w:pos="9743"/>
      </w:tabs>
      <w:spacing w:line="240" w:lineRule="auto"/>
    </w:pPr>
    <w:r>
      <w:t>Version: pfp</w:t>
    </w:r>
    <w:r w:rsidR="0012073F">
      <w:t>ngeni</w:t>
    </w:r>
    <w:r w:rsidR="00C36BD4">
      <w:t>11121</w:t>
    </w:r>
    <w:r>
      <w:tab/>
      <w:t xml:space="preserve">Supersedes: </w:t>
    </w:r>
    <w:r w:rsidR="004147F9">
      <w:t>n/a</w:t>
    </w:r>
  </w:p>
  <w:p w14:paraId="166B1F0C" w14:textId="77777777" w:rsidR="00283E69" w:rsidRDefault="00283E69" w:rsidP="00E662A5">
    <w:pPr>
      <w:pStyle w:val="Footer"/>
      <w:tabs>
        <w:tab w:val="clear" w:pos="9923"/>
        <w:tab w:val="right" w:pos="9743"/>
      </w:tabs>
      <w:spacing w:line="240" w:lineRule="auto"/>
    </w:pP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18</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BBA5" w14:textId="77777777" w:rsidR="00283E69" w:rsidRDefault="00283E69">
      <w:r>
        <w:separator/>
      </w:r>
    </w:p>
  </w:footnote>
  <w:footnote w:type="continuationSeparator" w:id="0">
    <w:p w14:paraId="2C82DAD5" w14:textId="77777777" w:rsidR="00283E69" w:rsidRDefault="00283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69BC" w14:textId="0F1D8D75" w:rsidR="00D64C25" w:rsidRPr="00D64C25" w:rsidRDefault="00D64C25" w:rsidP="00D64C25">
    <w:pPr>
      <w:spacing w:before="120" w:after="180" w:line="240" w:lineRule="atLeast"/>
      <w:jc w:val="left"/>
      <w:rPr>
        <w:rFonts w:ascii="Cambria" w:eastAsia="Cambria" w:hAnsi="Cambria"/>
        <w:sz w:val="22"/>
        <w:szCs w:val="22"/>
      </w:rPr>
    </w:pPr>
  </w:p>
  <w:tbl>
    <w:tblPr>
      <w:tblStyle w:val="TableGrid1"/>
      <w:tblW w:w="0" w:type="auto"/>
      <w:tblInd w:w="0" w:type="dxa"/>
      <w:shd w:val="clear" w:color="auto" w:fill="E4F2E0"/>
      <w:tblLook w:val="04A0" w:firstRow="1" w:lastRow="0" w:firstColumn="1" w:lastColumn="0" w:noHBand="0" w:noVBand="1"/>
    </w:tblPr>
    <w:tblGrid>
      <w:gridCol w:w="8720"/>
    </w:tblGrid>
    <w:tr w:rsidR="00D64C25" w:rsidRPr="00D64C25" w14:paraId="0AD10297" w14:textId="77777777" w:rsidTr="00D64C25">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252B57B8" w14:textId="0DE6D6D3" w:rsidR="00D64C25" w:rsidRPr="00D64C25" w:rsidRDefault="00D64C25" w:rsidP="00D64C25">
          <w:pPr>
            <w:spacing w:before="180" w:after="180" w:line="240" w:lineRule="atLeast"/>
            <w:jc w:val="left"/>
            <w:rPr>
              <w:sz w:val="18"/>
              <w:szCs w:val="18"/>
            </w:rPr>
          </w:pPr>
          <w:r w:rsidRPr="00D64C25">
            <w:rPr>
              <w:b/>
              <w:sz w:val="18"/>
              <w:szCs w:val="18"/>
            </w:rPr>
            <w:t xml:space="preserve">Attachment 1: Product information for </w:t>
          </w:r>
          <w:proofErr w:type="spellStart"/>
          <w:r w:rsidRPr="00D64C25">
            <w:rPr>
              <w:b/>
              <w:sz w:val="18"/>
              <w:szCs w:val="18"/>
            </w:rPr>
            <w:t>AusPAR</w:t>
          </w:r>
          <w:proofErr w:type="spellEnd"/>
          <w:r w:rsidRPr="00D64C25">
            <w:rPr>
              <w:b/>
              <w:sz w:val="18"/>
              <w:szCs w:val="18"/>
            </w:rPr>
            <w:t xml:space="preserve"> - </w:t>
          </w:r>
          <w:proofErr w:type="spellStart"/>
          <w:r w:rsidRPr="00D64C25">
            <w:rPr>
              <w:b/>
              <w:sz w:val="18"/>
              <w:szCs w:val="18"/>
            </w:rPr>
            <w:t>Ngenla</w:t>
          </w:r>
          <w:proofErr w:type="spellEnd"/>
          <w:r w:rsidRPr="00D64C25">
            <w:rPr>
              <w:b/>
              <w:sz w:val="18"/>
              <w:szCs w:val="18"/>
            </w:rPr>
            <w:t xml:space="preserve"> - </w:t>
          </w:r>
          <w:proofErr w:type="spellStart"/>
          <w:r w:rsidRPr="00D64C25">
            <w:rPr>
              <w:b/>
              <w:sz w:val="18"/>
              <w:szCs w:val="18"/>
            </w:rPr>
            <w:t>somatrogon</w:t>
          </w:r>
          <w:proofErr w:type="spellEnd"/>
          <w:r w:rsidRPr="00D64C25">
            <w:rPr>
              <w:b/>
              <w:sz w:val="18"/>
              <w:szCs w:val="18"/>
            </w:rPr>
            <w:t xml:space="preserve"> - Pfizer Australia Pty Ltd - PM-2020-05916-1-5 FINAL 13 January 2023. This is the Product Information that was approved with the submission described in this </w:t>
          </w:r>
          <w:proofErr w:type="spellStart"/>
          <w:r w:rsidRPr="00D64C25">
            <w:rPr>
              <w:b/>
              <w:sz w:val="18"/>
              <w:szCs w:val="18"/>
            </w:rPr>
            <w:t>AusPAR</w:t>
          </w:r>
          <w:proofErr w:type="spellEnd"/>
          <w:r w:rsidRPr="00D64C25">
            <w:rPr>
              <w:b/>
              <w:sz w:val="18"/>
              <w:szCs w:val="18"/>
            </w:rPr>
            <w:t>. It may have been superseded. For the most recent PI, please refer to the TGA website at &lt;</w:t>
          </w:r>
          <w:hyperlink r:id="rId1" w:history="1">
            <w:r w:rsidRPr="00D64C25">
              <w:rPr>
                <w:b/>
                <w:color w:val="0000FF"/>
                <w:sz w:val="18"/>
                <w:szCs w:val="18"/>
                <w:u w:val="single"/>
              </w:rPr>
              <w:t>https://www.tga.gov.au/products/australian-register-therapeutic-goods-artg/product-information-one</w:t>
            </w:r>
          </w:hyperlink>
          <w:r>
            <w:rPr>
              <w:b/>
              <w:sz w:val="18"/>
              <w:szCs w:val="18"/>
            </w:rPr>
            <w:t>&gt;</w:t>
          </w:r>
        </w:p>
      </w:tc>
    </w:tr>
  </w:tbl>
  <w:p w14:paraId="4ABD05A1" w14:textId="7B033BEE" w:rsidR="00D64C25" w:rsidRDefault="00D64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201D3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7FA18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FEEC4B5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EE299A"/>
    <w:multiLevelType w:val="hybridMultilevel"/>
    <w:tmpl w:val="80BC3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5" w15:restartNumberingAfterBreak="0">
    <w:nsid w:val="234C5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715E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8EA506D"/>
    <w:multiLevelType w:val="hybridMultilevel"/>
    <w:tmpl w:val="1BB2EEA6"/>
    <w:lvl w:ilvl="0" w:tplc="BDAC27AC">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EC2D94"/>
    <w:multiLevelType w:val="hybridMultilevel"/>
    <w:tmpl w:val="7F7E78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042AF"/>
    <w:multiLevelType w:val="hybridMultilevel"/>
    <w:tmpl w:val="0858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E587D"/>
    <w:multiLevelType w:val="singleLevel"/>
    <w:tmpl w:val="E1EEF03C"/>
    <w:lvl w:ilvl="0">
      <w:start w:val="4"/>
      <w:numFmt w:val="bullet"/>
      <w:lvlText w:val="-"/>
      <w:lvlJc w:val="left"/>
      <w:pPr>
        <w:tabs>
          <w:tab w:val="num" w:pos="360"/>
        </w:tabs>
        <w:ind w:left="360" w:hanging="360"/>
      </w:pPr>
      <w:rPr>
        <w:rFonts w:hint="default"/>
      </w:rPr>
    </w:lvl>
  </w:abstractNum>
  <w:abstractNum w:abstractNumId="11" w15:restartNumberingAfterBreak="0">
    <w:nsid w:val="3EE17A70"/>
    <w:multiLevelType w:val="hybridMultilevel"/>
    <w:tmpl w:val="BEE6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A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8E6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46A3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1A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4B6D6B"/>
    <w:multiLevelType w:val="singleLevel"/>
    <w:tmpl w:val="EBC45FB8"/>
    <w:lvl w:ilvl="0">
      <w:start w:val="4"/>
      <w:numFmt w:val="bullet"/>
      <w:lvlText w:val="-"/>
      <w:lvlJc w:val="left"/>
      <w:pPr>
        <w:tabs>
          <w:tab w:val="num" w:pos="360"/>
        </w:tabs>
        <w:ind w:left="360" w:hanging="360"/>
      </w:pPr>
      <w:rPr>
        <w:rFonts w:hint="default"/>
      </w:rPr>
    </w:lvl>
  </w:abstractNum>
  <w:abstractNum w:abstractNumId="17" w15:restartNumberingAfterBreak="0">
    <w:nsid w:val="67AB6702"/>
    <w:multiLevelType w:val="hybridMultilevel"/>
    <w:tmpl w:val="0794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7815DC"/>
    <w:multiLevelType w:val="hybridMultilevel"/>
    <w:tmpl w:val="83E4241A"/>
    <w:lvl w:ilvl="0" w:tplc="CB40F7E8">
      <w:start w:val="1"/>
      <w:numFmt w:val="bullet"/>
      <w:lvlText w:val=""/>
      <w:lvlJc w:val="left"/>
      <w:pPr>
        <w:tabs>
          <w:tab w:val="num" w:pos="284"/>
        </w:tabs>
        <w:ind w:left="284"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5"/>
  </w:num>
  <w:num w:numId="4">
    <w:abstractNumId w:val="14"/>
  </w:num>
  <w:num w:numId="5">
    <w:abstractNumId w:val="12"/>
  </w:num>
  <w:num w:numId="6">
    <w:abstractNumId w:val="10"/>
  </w:num>
  <w:num w:numId="7">
    <w:abstractNumId w:val="16"/>
  </w:num>
  <w:num w:numId="8">
    <w:abstractNumId w:val="13"/>
  </w:num>
  <w:num w:numId="9">
    <w:abstractNumId w:val="3"/>
  </w:num>
  <w:num w:numId="10">
    <w:abstractNumId w:val="2"/>
  </w:num>
  <w:num w:numId="11">
    <w:abstractNumId w:val="2"/>
  </w:num>
  <w:num w:numId="12">
    <w:abstractNumId w:val="1"/>
  </w:num>
  <w:num w:numId="13">
    <w:abstractNumId w:val="7"/>
  </w:num>
  <w:num w:numId="14">
    <w:abstractNumId w:val="18"/>
  </w:num>
  <w:num w:numId="15">
    <w:abstractNumId w:val="8"/>
  </w:num>
  <w:num w:numId="16">
    <w:abstractNumId w:val="2"/>
  </w:num>
  <w:num w:numId="17">
    <w:abstractNumId w:val="9"/>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1"/>
  </w:num>
  <w:num w:numId="36">
    <w:abstractNumId w:val="17"/>
  </w:num>
  <w:num w:numId="37">
    <w:abstractNumId w:val="0"/>
  </w:num>
  <w:num w:numId="38">
    <w:abstractNumId w:val="4"/>
  </w:num>
  <w:num w:numId="3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7F"/>
    <w:rsid w:val="00001001"/>
    <w:rsid w:val="0001104E"/>
    <w:rsid w:val="00011C51"/>
    <w:rsid w:val="00012E70"/>
    <w:rsid w:val="00014C65"/>
    <w:rsid w:val="00016571"/>
    <w:rsid w:val="000318DD"/>
    <w:rsid w:val="00044E6C"/>
    <w:rsid w:val="00046BFC"/>
    <w:rsid w:val="00052075"/>
    <w:rsid w:val="00060603"/>
    <w:rsid w:val="00074380"/>
    <w:rsid w:val="00077973"/>
    <w:rsid w:val="000869F4"/>
    <w:rsid w:val="000901D7"/>
    <w:rsid w:val="000920CB"/>
    <w:rsid w:val="000A6B93"/>
    <w:rsid w:val="000B0947"/>
    <w:rsid w:val="000C790D"/>
    <w:rsid w:val="000C7A50"/>
    <w:rsid w:val="000D45D0"/>
    <w:rsid w:val="000D5FA0"/>
    <w:rsid w:val="000D73D5"/>
    <w:rsid w:val="000E59CD"/>
    <w:rsid w:val="000F0F98"/>
    <w:rsid w:val="00102960"/>
    <w:rsid w:val="00104858"/>
    <w:rsid w:val="00112DE5"/>
    <w:rsid w:val="001132E9"/>
    <w:rsid w:val="0011357F"/>
    <w:rsid w:val="00113F7B"/>
    <w:rsid w:val="00116C24"/>
    <w:rsid w:val="0012073F"/>
    <w:rsid w:val="00125444"/>
    <w:rsid w:val="00125E49"/>
    <w:rsid w:val="00127447"/>
    <w:rsid w:val="001310DE"/>
    <w:rsid w:val="001364CB"/>
    <w:rsid w:val="00136E97"/>
    <w:rsid w:val="00137257"/>
    <w:rsid w:val="00137B87"/>
    <w:rsid w:val="00144153"/>
    <w:rsid w:val="00153723"/>
    <w:rsid w:val="00153F29"/>
    <w:rsid w:val="0016075F"/>
    <w:rsid w:val="001644BA"/>
    <w:rsid w:val="001660A7"/>
    <w:rsid w:val="001826C8"/>
    <w:rsid w:val="0018362B"/>
    <w:rsid w:val="00193692"/>
    <w:rsid w:val="001A44EE"/>
    <w:rsid w:val="001A56E0"/>
    <w:rsid w:val="001B5F02"/>
    <w:rsid w:val="001C2EAA"/>
    <w:rsid w:val="001C7965"/>
    <w:rsid w:val="001D1E36"/>
    <w:rsid w:val="001D7775"/>
    <w:rsid w:val="001D7B17"/>
    <w:rsid w:val="001D7C7A"/>
    <w:rsid w:val="001E0568"/>
    <w:rsid w:val="001E2790"/>
    <w:rsid w:val="001E334A"/>
    <w:rsid w:val="001E47B4"/>
    <w:rsid w:val="001F581B"/>
    <w:rsid w:val="001F5983"/>
    <w:rsid w:val="00205037"/>
    <w:rsid w:val="00216570"/>
    <w:rsid w:val="002227D5"/>
    <w:rsid w:val="00224A4F"/>
    <w:rsid w:val="00226111"/>
    <w:rsid w:val="00226236"/>
    <w:rsid w:val="00230599"/>
    <w:rsid w:val="00233C62"/>
    <w:rsid w:val="0025679D"/>
    <w:rsid w:val="00260069"/>
    <w:rsid w:val="0026710D"/>
    <w:rsid w:val="00271C64"/>
    <w:rsid w:val="00277EBE"/>
    <w:rsid w:val="00280086"/>
    <w:rsid w:val="00281B9F"/>
    <w:rsid w:val="00283780"/>
    <w:rsid w:val="00283DD5"/>
    <w:rsid w:val="00283E69"/>
    <w:rsid w:val="0028403E"/>
    <w:rsid w:val="00284AFC"/>
    <w:rsid w:val="00286E55"/>
    <w:rsid w:val="0029387D"/>
    <w:rsid w:val="0029709B"/>
    <w:rsid w:val="002A40F3"/>
    <w:rsid w:val="002A4F46"/>
    <w:rsid w:val="002B5B29"/>
    <w:rsid w:val="002C2676"/>
    <w:rsid w:val="002C4EC4"/>
    <w:rsid w:val="002E08C0"/>
    <w:rsid w:val="002E2A04"/>
    <w:rsid w:val="002E7640"/>
    <w:rsid w:val="002F2088"/>
    <w:rsid w:val="002F4758"/>
    <w:rsid w:val="002F7B9D"/>
    <w:rsid w:val="00303C8E"/>
    <w:rsid w:val="0030436D"/>
    <w:rsid w:val="00306C27"/>
    <w:rsid w:val="00315532"/>
    <w:rsid w:val="00316ED4"/>
    <w:rsid w:val="00326169"/>
    <w:rsid w:val="003338DB"/>
    <w:rsid w:val="003515C6"/>
    <w:rsid w:val="00366774"/>
    <w:rsid w:val="00373BE9"/>
    <w:rsid w:val="003779D2"/>
    <w:rsid w:val="0038005B"/>
    <w:rsid w:val="00380DE0"/>
    <w:rsid w:val="00390C02"/>
    <w:rsid w:val="00395A04"/>
    <w:rsid w:val="003963F8"/>
    <w:rsid w:val="003A148B"/>
    <w:rsid w:val="003A59CD"/>
    <w:rsid w:val="003B67FB"/>
    <w:rsid w:val="003B7299"/>
    <w:rsid w:val="003B7800"/>
    <w:rsid w:val="003C3C60"/>
    <w:rsid w:val="003C5B41"/>
    <w:rsid w:val="003D2B23"/>
    <w:rsid w:val="003D350B"/>
    <w:rsid w:val="003D4EE1"/>
    <w:rsid w:val="003D5343"/>
    <w:rsid w:val="003D722F"/>
    <w:rsid w:val="003E61B2"/>
    <w:rsid w:val="003E7671"/>
    <w:rsid w:val="003F2A65"/>
    <w:rsid w:val="003F3FD6"/>
    <w:rsid w:val="0040165B"/>
    <w:rsid w:val="004147F9"/>
    <w:rsid w:val="00420036"/>
    <w:rsid w:val="0043127F"/>
    <w:rsid w:val="0045368F"/>
    <w:rsid w:val="004569C2"/>
    <w:rsid w:val="00466A78"/>
    <w:rsid w:val="004729B3"/>
    <w:rsid w:val="00476AC8"/>
    <w:rsid w:val="00476BAF"/>
    <w:rsid w:val="004808D1"/>
    <w:rsid w:val="004828F8"/>
    <w:rsid w:val="00484487"/>
    <w:rsid w:val="00484706"/>
    <w:rsid w:val="0048563D"/>
    <w:rsid w:val="00490079"/>
    <w:rsid w:val="0049309E"/>
    <w:rsid w:val="004A0ADA"/>
    <w:rsid w:val="004A1BFA"/>
    <w:rsid w:val="004A2BE2"/>
    <w:rsid w:val="004A3973"/>
    <w:rsid w:val="004A468F"/>
    <w:rsid w:val="004A7D8E"/>
    <w:rsid w:val="004B1DB2"/>
    <w:rsid w:val="004B5CC5"/>
    <w:rsid w:val="004B793B"/>
    <w:rsid w:val="004C2651"/>
    <w:rsid w:val="004C337D"/>
    <w:rsid w:val="004C5BAD"/>
    <w:rsid w:val="004D19EF"/>
    <w:rsid w:val="004E094C"/>
    <w:rsid w:val="004E5E9A"/>
    <w:rsid w:val="004F01F3"/>
    <w:rsid w:val="004F2EC3"/>
    <w:rsid w:val="004F3539"/>
    <w:rsid w:val="0050003B"/>
    <w:rsid w:val="005009D2"/>
    <w:rsid w:val="00502B63"/>
    <w:rsid w:val="00507E64"/>
    <w:rsid w:val="00510224"/>
    <w:rsid w:val="00515811"/>
    <w:rsid w:val="00517366"/>
    <w:rsid w:val="005207A8"/>
    <w:rsid w:val="00521865"/>
    <w:rsid w:val="005258F4"/>
    <w:rsid w:val="005302A4"/>
    <w:rsid w:val="00534477"/>
    <w:rsid w:val="005464AA"/>
    <w:rsid w:val="0055227E"/>
    <w:rsid w:val="005525AA"/>
    <w:rsid w:val="00552D2A"/>
    <w:rsid w:val="00563F04"/>
    <w:rsid w:val="00565C61"/>
    <w:rsid w:val="00570014"/>
    <w:rsid w:val="005724ED"/>
    <w:rsid w:val="00574BAB"/>
    <w:rsid w:val="00577BE2"/>
    <w:rsid w:val="00582D07"/>
    <w:rsid w:val="005866C1"/>
    <w:rsid w:val="005917BD"/>
    <w:rsid w:val="005958EC"/>
    <w:rsid w:val="00595C24"/>
    <w:rsid w:val="005A0566"/>
    <w:rsid w:val="005A4484"/>
    <w:rsid w:val="005A44B8"/>
    <w:rsid w:val="005C06FB"/>
    <w:rsid w:val="005C7EC9"/>
    <w:rsid w:val="005D1790"/>
    <w:rsid w:val="005D1FE5"/>
    <w:rsid w:val="005D3228"/>
    <w:rsid w:val="005D6DD5"/>
    <w:rsid w:val="005F2104"/>
    <w:rsid w:val="005F7DC1"/>
    <w:rsid w:val="005F7EB5"/>
    <w:rsid w:val="00601DB0"/>
    <w:rsid w:val="00610F06"/>
    <w:rsid w:val="00611E2F"/>
    <w:rsid w:val="00611FCE"/>
    <w:rsid w:val="00612A81"/>
    <w:rsid w:val="006160CC"/>
    <w:rsid w:val="00616385"/>
    <w:rsid w:val="006176EC"/>
    <w:rsid w:val="00621C90"/>
    <w:rsid w:val="00630296"/>
    <w:rsid w:val="00634FED"/>
    <w:rsid w:val="00640EC3"/>
    <w:rsid w:val="0064461B"/>
    <w:rsid w:val="006450A0"/>
    <w:rsid w:val="006523C4"/>
    <w:rsid w:val="006525B7"/>
    <w:rsid w:val="00652765"/>
    <w:rsid w:val="006600D8"/>
    <w:rsid w:val="00662A35"/>
    <w:rsid w:val="00663905"/>
    <w:rsid w:val="00663E36"/>
    <w:rsid w:val="00667263"/>
    <w:rsid w:val="0067017D"/>
    <w:rsid w:val="006762C4"/>
    <w:rsid w:val="00685895"/>
    <w:rsid w:val="006861EE"/>
    <w:rsid w:val="00693161"/>
    <w:rsid w:val="0069377A"/>
    <w:rsid w:val="00694378"/>
    <w:rsid w:val="006A75F7"/>
    <w:rsid w:val="006B0737"/>
    <w:rsid w:val="006C26E3"/>
    <w:rsid w:val="006C480C"/>
    <w:rsid w:val="006C57AD"/>
    <w:rsid w:val="006D4149"/>
    <w:rsid w:val="006D50D2"/>
    <w:rsid w:val="006E233B"/>
    <w:rsid w:val="006E3592"/>
    <w:rsid w:val="006E6480"/>
    <w:rsid w:val="006E79CD"/>
    <w:rsid w:val="006F2FCC"/>
    <w:rsid w:val="006F3815"/>
    <w:rsid w:val="006F4A7E"/>
    <w:rsid w:val="0070193B"/>
    <w:rsid w:val="00704D92"/>
    <w:rsid w:val="00711DF2"/>
    <w:rsid w:val="00713D69"/>
    <w:rsid w:val="0071791F"/>
    <w:rsid w:val="0073191E"/>
    <w:rsid w:val="00734FE6"/>
    <w:rsid w:val="00737353"/>
    <w:rsid w:val="0074193A"/>
    <w:rsid w:val="00744D79"/>
    <w:rsid w:val="00746E09"/>
    <w:rsid w:val="00757977"/>
    <w:rsid w:val="00762713"/>
    <w:rsid w:val="00772714"/>
    <w:rsid w:val="00773647"/>
    <w:rsid w:val="00775C80"/>
    <w:rsid w:val="007816E1"/>
    <w:rsid w:val="00781CA9"/>
    <w:rsid w:val="007874A1"/>
    <w:rsid w:val="00795033"/>
    <w:rsid w:val="00797810"/>
    <w:rsid w:val="007979C8"/>
    <w:rsid w:val="007A0CDB"/>
    <w:rsid w:val="007A2F7E"/>
    <w:rsid w:val="007A30D4"/>
    <w:rsid w:val="007C0682"/>
    <w:rsid w:val="007C0F8C"/>
    <w:rsid w:val="007C2D08"/>
    <w:rsid w:val="007C4C7B"/>
    <w:rsid w:val="007C6490"/>
    <w:rsid w:val="007D40A5"/>
    <w:rsid w:val="007D4A52"/>
    <w:rsid w:val="007D4B28"/>
    <w:rsid w:val="007D68D5"/>
    <w:rsid w:val="007E3B57"/>
    <w:rsid w:val="007E4B8B"/>
    <w:rsid w:val="007F151E"/>
    <w:rsid w:val="007F1613"/>
    <w:rsid w:val="007F2A88"/>
    <w:rsid w:val="007F4A63"/>
    <w:rsid w:val="0080662A"/>
    <w:rsid w:val="00810EC9"/>
    <w:rsid w:val="0081289A"/>
    <w:rsid w:val="00816C08"/>
    <w:rsid w:val="00816EE5"/>
    <w:rsid w:val="00826069"/>
    <w:rsid w:val="0083745D"/>
    <w:rsid w:val="00842849"/>
    <w:rsid w:val="00846D22"/>
    <w:rsid w:val="008530C5"/>
    <w:rsid w:val="008655C5"/>
    <w:rsid w:val="00866452"/>
    <w:rsid w:val="00875FFE"/>
    <w:rsid w:val="00877521"/>
    <w:rsid w:val="0089321B"/>
    <w:rsid w:val="008964E2"/>
    <w:rsid w:val="008A1A0D"/>
    <w:rsid w:val="008A5425"/>
    <w:rsid w:val="008B3EC8"/>
    <w:rsid w:val="008B50B5"/>
    <w:rsid w:val="008B58A9"/>
    <w:rsid w:val="008C0E42"/>
    <w:rsid w:val="008C3233"/>
    <w:rsid w:val="008C3392"/>
    <w:rsid w:val="008C3A0F"/>
    <w:rsid w:val="008C645D"/>
    <w:rsid w:val="008D1949"/>
    <w:rsid w:val="008D2C0D"/>
    <w:rsid w:val="008D2EB9"/>
    <w:rsid w:val="008D3F9E"/>
    <w:rsid w:val="008D560A"/>
    <w:rsid w:val="008E2C7A"/>
    <w:rsid w:val="008F03AB"/>
    <w:rsid w:val="008F15DD"/>
    <w:rsid w:val="00905811"/>
    <w:rsid w:val="0091248C"/>
    <w:rsid w:val="0091301E"/>
    <w:rsid w:val="00922F45"/>
    <w:rsid w:val="00936D64"/>
    <w:rsid w:val="00946989"/>
    <w:rsid w:val="0094741F"/>
    <w:rsid w:val="00951692"/>
    <w:rsid w:val="00951AF7"/>
    <w:rsid w:val="0096197A"/>
    <w:rsid w:val="0096338D"/>
    <w:rsid w:val="00966B91"/>
    <w:rsid w:val="009763BD"/>
    <w:rsid w:val="009773DF"/>
    <w:rsid w:val="00980945"/>
    <w:rsid w:val="0098334B"/>
    <w:rsid w:val="00987669"/>
    <w:rsid w:val="0099046D"/>
    <w:rsid w:val="00990494"/>
    <w:rsid w:val="0099762D"/>
    <w:rsid w:val="009A167F"/>
    <w:rsid w:val="009A6454"/>
    <w:rsid w:val="009B3918"/>
    <w:rsid w:val="009D071C"/>
    <w:rsid w:val="009E0530"/>
    <w:rsid w:val="009E19E3"/>
    <w:rsid w:val="009E3DDF"/>
    <w:rsid w:val="009E6B17"/>
    <w:rsid w:val="00A012D7"/>
    <w:rsid w:val="00A065D6"/>
    <w:rsid w:val="00A134E7"/>
    <w:rsid w:val="00A2416B"/>
    <w:rsid w:val="00A24247"/>
    <w:rsid w:val="00A32B03"/>
    <w:rsid w:val="00A3458F"/>
    <w:rsid w:val="00A34A0F"/>
    <w:rsid w:val="00A6241A"/>
    <w:rsid w:val="00A70E33"/>
    <w:rsid w:val="00A72329"/>
    <w:rsid w:val="00A74242"/>
    <w:rsid w:val="00A77144"/>
    <w:rsid w:val="00A8328E"/>
    <w:rsid w:val="00A86838"/>
    <w:rsid w:val="00A959B9"/>
    <w:rsid w:val="00A9604A"/>
    <w:rsid w:val="00A960F6"/>
    <w:rsid w:val="00A964B9"/>
    <w:rsid w:val="00A96945"/>
    <w:rsid w:val="00AA423E"/>
    <w:rsid w:val="00AB36E9"/>
    <w:rsid w:val="00AB3BA5"/>
    <w:rsid w:val="00AB5B6A"/>
    <w:rsid w:val="00AB7480"/>
    <w:rsid w:val="00AB7A7A"/>
    <w:rsid w:val="00AC5095"/>
    <w:rsid w:val="00AC6E07"/>
    <w:rsid w:val="00AD29AC"/>
    <w:rsid w:val="00AD631B"/>
    <w:rsid w:val="00B12621"/>
    <w:rsid w:val="00B247A2"/>
    <w:rsid w:val="00B26739"/>
    <w:rsid w:val="00B268BE"/>
    <w:rsid w:val="00B3144F"/>
    <w:rsid w:val="00B331E2"/>
    <w:rsid w:val="00B42A02"/>
    <w:rsid w:val="00B5284F"/>
    <w:rsid w:val="00B5291E"/>
    <w:rsid w:val="00B52D7C"/>
    <w:rsid w:val="00B53D50"/>
    <w:rsid w:val="00B55496"/>
    <w:rsid w:val="00B5573D"/>
    <w:rsid w:val="00B64D11"/>
    <w:rsid w:val="00B65246"/>
    <w:rsid w:val="00B70B65"/>
    <w:rsid w:val="00B74F27"/>
    <w:rsid w:val="00B76618"/>
    <w:rsid w:val="00B81EDC"/>
    <w:rsid w:val="00B86030"/>
    <w:rsid w:val="00B877D7"/>
    <w:rsid w:val="00B87C6F"/>
    <w:rsid w:val="00B932D3"/>
    <w:rsid w:val="00B95409"/>
    <w:rsid w:val="00B976A4"/>
    <w:rsid w:val="00BA01CD"/>
    <w:rsid w:val="00BA5788"/>
    <w:rsid w:val="00BA5B29"/>
    <w:rsid w:val="00BB09FE"/>
    <w:rsid w:val="00BB18FB"/>
    <w:rsid w:val="00BB1B99"/>
    <w:rsid w:val="00BB6DB0"/>
    <w:rsid w:val="00BC4B63"/>
    <w:rsid w:val="00BC6584"/>
    <w:rsid w:val="00BD2685"/>
    <w:rsid w:val="00BE42FB"/>
    <w:rsid w:val="00BE50F4"/>
    <w:rsid w:val="00BE7EE9"/>
    <w:rsid w:val="00BF4CC8"/>
    <w:rsid w:val="00C050BC"/>
    <w:rsid w:val="00C06380"/>
    <w:rsid w:val="00C06BE0"/>
    <w:rsid w:val="00C06D85"/>
    <w:rsid w:val="00C200F3"/>
    <w:rsid w:val="00C24B79"/>
    <w:rsid w:val="00C24EA3"/>
    <w:rsid w:val="00C32B31"/>
    <w:rsid w:val="00C36BD4"/>
    <w:rsid w:val="00C470D3"/>
    <w:rsid w:val="00C513B9"/>
    <w:rsid w:val="00C63895"/>
    <w:rsid w:val="00C65C63"/>
    <w:rsid w:val="00C72CE4"/>
    <w:rsid w:val="00C7436B"/>
    <w:rsid w:val="00C762FD"/>
    <w:rsid w:val="00C8464A"/>
    <w:rsid w:val="00C8595F"/>
    <w:rsid w:val="00C91E08"/>
    <w:rsid w:val="00C92BAE"/>
    <w:rsid w:val="00CB6D2E"/>
    <w:rsid w:val="00CB6D32"/>
    <w:rsid w:val="00CD1F55"/>
    <w:rsid w:val="00CD4EF5"/>
    <w:rsid w:val="00CD7E4A"/>
    <w:rsid w:val="00CE3F76"/>
    <w:rsid w:val="00CE44CD"/>
    <w:rsid w:val="00CE5C18"/>
    <w:rsid w:val="00CF3E71"/>
    <w:rsid w:val="00CF589E"/>
    <w:rsid w:val="00D02ED0"/>
    <w:rsid w:val="00D1729D"/>
    <w:rsid w:val="00D17447"/>
    <w:rsid w:val="00D178CE"/>
    <w:rsid w:val="00D33E6D"/>
    <w:rsid w:val="00D366EB"/>
    <w:rsid w:val="00D40851"/>
    <w:rsid w:val="00D50F8F"/>
    <w:rsid w:val="00D51FC7"/>
    <w:rsid w:val="00D553E1"/>
    <w:rsid w:val="00D63428"/>
    <w:rsid w:val="00D638A3"/>
    <w:rsid w:val="00D64C25"/>
    <w:rsid w:val="00D73FCC"/>
    <w:rsid w:val="00D877A1"/>
    <w:rsid w:val="00D9101A"/>
    <w:rsid w:val="00D91D4F"/>
    <w:rsid w:val="00DA0416"/>
    <w:rsid w:val="00DA1EBD"/>
    <w:rsid w:val="00DA35F0"/>
    <w:rsid w:val="00DA44C8"/>
    <w:rsid w:val="00DA5DB1"/>
    <w:rsid w:val="00DB192F"/>
    <w:rsid w:val="00DC38E2"/>
    <w:rsid w:val="00DC40C9"/>
    <w:rsid w:val="00DC5B37"/>
    <w:rsid w:val="00DC69B7"/>
    <w:rsid w:val="00DE6031"/>
    <w:rsid w:val="00E03EF2"/>
    <w:rsid w:val="00E0786A"/>
    <w:rsid w:val="00E11EC4"/>
    <w:rsid w:val="00E12473"/>
    <w:rsid w:val="00E1292B"/>
    <w:rsid w:val="00E130E3"/>
    <w:rsid w:val="00E1791F"/>
    <w:rsid w:val="00E21918"/>
    <w:rsid w:val="00E22357"/>
    <w:rsid w:val="00E25A2E"/>
    <w:rsid w:val="00E25D8D"/>
    <w:rsid w:val="00E32E55"/>
    <w:rsid w:val="00E40A8A"/>
    <w:rsid w:val="00E43A04"/>
    <w:rsid w:val="00E4705E"/>
    <w:rsid w:val="00E50774"/>
    <w:rsid w:val="00E51764"/>
    <w:rsid w:val="00E62C2B"/>
    <w:rsid w:val="00E662A5"/>
    <w:rsid w:val="00E84000"/>
    <w:rsid w:val="00E86194"/>
    <w:rsid w:val="00EB1077"/>
    <w:rsid w:val="00EB29AD"/>
    <w:rsid w:val="00EB7134"/>
    <w:rsid w:val="00EC331F"/>
    <w:rsid w:val="00EC3D01"/>
    <w:rsid w:val="00ED283C"/>
    <w:rsid w:val="00ED2F51"/>
    <w:rsid w:val="00EE072A"/>
    <w:rsid w:val="00EF72A5"/>
    <w:rsid w:val="00F0530C"/>
    <w:rsid w:val="00F15111"/>
    <w:rsid w:val="00F15A8E"/>
    <w:rsid w:val="00F21857"/>
    <w:rsid w:val="00F22BED"/>
    <w:rsid w:val="00F23F9E"/>
    <w:rsid w:val="00F27616"/>
    <w:rsid w:val="00F37C2F"/>
    <w:rsid w:val="00F420CC"/>
    <w:rsid w:val="00F57AAB"/>
    <w:rsid w:val="00F62C0C"/>
    <w:rsid w:val="00F724D3"/>
    <w:rsid w:val="00F744DB"/>
    <w:rsid w:val="00F80F0A"/>
    <w:rsid w:val="00F835D4"/>
    <w:rsid w:val="00F83660"/>
    <w:rsid w:val="00F8713C"/>
    <w:rsid w:val="00F9609F"/>
    <w:rsid w:val="00F970E9"/>
    <w:rsid w:val="00F977C4"/>
    <w:rsid w:val="00FA0BF8"/>
    <w:rsid w:val="00FA2AAF"/>
    <w:rsid w:val="00FA61F3"/>
    <w:rsid w:val="00FA7D5D"/>
    <w:rsid w:val="00FD338C"/>
    <w:rsid w:val="00FD5317"/>
    <w:rsid w:val="00FD65A7"/>
    <w:rsid w:val="00FE671C"/>
    <w:rsid w:val="00FE77F5"/>
    <w:rsid w:val="00FF2A4E"/>
    <w:rsid w:val="00FF32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A681190"/>
  <w15:docId w15:val="{41D68AAC-59AD-4CE1-A3F4-DD475416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AU" w:eastAsia="en-US"/>
    </w:rPr>
  </w:style>
  <w:style w:type="paragraph" w:styleId="Heading1">
    <w:name w:val="heading 1"/>
    <w:basedOn w:val="Normal"/>
    <w:next w:val="Normal"/>
    <w:qFormat/>
    <w:pPr>
      <w:keepNext/>
      <w:spacing w:before="360" w:line="280" w:lineRule="exact"/>
      <w:outlineLvl w:val="0"/>
    </w:pPr>
    <w:rPr>
      <w:b/>
      <w:caps/>
      <w:kern w:val="28"/>
      <w:sz w:val="28"/>
    </w:rPr>
  </w:style>
  <w:style w:type="paragraph" w:styleId="Heading2">
    <w:name w:val="heading 2"/>
    <w:basedOn w:val="Normal"/>
    <w:next w:val="Normal"/>
    <w:qFormat/>
    <w:pPr>
      <w:keepNext/>
      <w:spacing w:before="240" w:after="120" w:line="280" w:lineRule="exact"/>
      <w:outlineLvl w:val="1"/>
    </w:pPr>
    <w:rPr>
      <w:b/>
    </w:rPr>
  </w:style>
  <w:style w:type="paragraph" w:styleId="Heading3">
    <w:name w:val="heading 3"/>
    <w:basedOn w:val="Normal"/>
    <w:next w:val="Normal"/>
    <w:qFormat/>
    <w:pPr>
      <w:keepNext/>
      <w:spacing w:before="120" w:after="120"/>
      <w:outlineLvl w:val="2"/>
    </w:pPr>
    <w:rPr>
      <w:b/>
      <w:i/>
      <w:i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outlineLvl w:val="5"/>
    </w:pPr>
    <w:rPr>
      <w:rFonts w:ascii="Times" w:hAnsi="Times"/>
      <w:b/>
      <w:color w:val="3366FF"/>
      <w:sz w:val="22"/>
      <w:u w:val="double"/>
    </w:rPr>
  </w:style>
  <w:style w:type="paragraph" w:styleId="Heading7">
    <w:name w:val="heading 7"/>
    <w:basedOn w:val="Normal"/>
    <w:next w:val="Normal"/>
    <w:qFormat/>
    <w:pPr>
      <w:keepNext/>
      <w:outlineLvl w:val="6"/>
    </w:pPr>
    <w:rPr>
      <w:rFonts w:ascii="Times" w:hAnsi="Times"/>
      <w:bCs/>
      <w:color w:val="3366FF"/>
      <w:sz w:val="22"/>
      <w:u w:val="double"/>
    </w:rPr>
  </w:style>
  <w:style w:type="paragraph" w:styleId="Heading8">
    <w:name w:val="heading 8"/>
    <w:basedOn w:val="Normal"/>
    <w:next w:val="Normal"/>
    <w:qFormat/>
    <w:pPr>
      <w:keepNext/>
      <w:outlineLvl w:val="7"/>
    </w:pPr>
    <w:rPr>
      <w:b/>
      <w:color w:val="0000FF"/>
      <w:sz w:val="22"/>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pPr>
      <w:spacing w:before="240" w:after="360"/>
    </w:pPr>
    <w:rPr>
      <w:color w:val="000000"/>
    </w:rPr>
  </w:style>
  <w:style w:type="paragraph" w:customStyle="1" w:styleId="FigureFootnote">
    <w:name w:val="Figure Footnote"/>
    <w:basedOn w:val="Normal"/>
    <w:next w:val="Normal"/>
    <w:pPr>
      <w:spacing w:before="240" w:after="360"/>
    </w:pPr>
    <w:rPr>
      <w:color w:val="000000"/>
    </w:rPr>
  </w:style>
  <w:style w:type="paragraph" w:customStyle="1" w:styleId="FigureTitle">
    <w:name w:val="Figure Title"/>
    <w:basedOn w:val="Normal"/>
    <w:next w:val="Figure"/>
    <w:pPr>
      <w:keepNext/>
      <w:spacing w:before="360"/>
    </w:pPr>
    <w:rPr>
      <w:b/>
      <w:color w:val="000000"/>
    </w:rPr>
  </w:style>
  <w:style w:type="paragraph" w:styleId="Footer">
    <w:name w:val="footer"/>
    <w:basedOn w:val="Normal"/>
    <w:pPr>
      <w:pBdr>
        <w:top w:val="single" w:sz="6" w:space="1" w:color="auto"/>
      </w:pBdr>
      <w:tabs>
        <w:tab w:val="left" w:pos="9923"/>
      </w:tabs>
      <w:spacing w:after="0" w:line="280" w:lineRule="exact"/>
      <w:jc w:val="left"/>
    </w:pPr>
    <w:rPr>
      <w:sz w:val="20"/>
    </w:rPr>
  </w:style>
  <w:style w:type="character" w:styleId="FootnoteReference">
    <w:name w:val="footnote reference"/>
    <w:semiHidden/>
    <w:rPr>
      <w:sz w:val="24"/>
      <w:vertAlign w:val="superscript"/>
    </w:rPr>
  </w:style>
  <w:style w:type="paragraph" w:styleId="Header">
    <w:name w:val="header"/>
    <w:basedOn w:val="Normal"/>
    <w:pPr>
      <w:tabs>
        <w:tab w:val="center" w:pos="4153"/>
        <w:tab w:val="right" w:pos="8306"/>
      </w:tabs>
    </w:pPr>
  </w:style>
  <w:style w:type="character" w:styleId="Hyperlink">
    <w:name w:val="Hyperlink"/>
    <w:rPr>
      <w:color w:val="auto"/>
      <w:u w:val="none"/>
    </w:rPr>
  </w:style>
  <w:style w:type="paragraph" w:styleId="ListBullet">
    <w:name w:val="List Bullet"/>
    <w:basedOn w:val="Normal"/>
    <w:uiPriority w:val="99"/>
    <w:qFormat/>
    <w:pPr>
      <w:numPr>
        <w:numId w:val="11"/>
      </w:numPr>
    </w:pPr>
  </w:style>
  <w:style w:type="paragraph" w:styleId="ListNumber">
    <w:name w:val="List Number"/>
    <w:basedOn w:val="Normal"/>
    <w:pPr>
      <w:numPr>
        <w:numId w:val="13"/>
      </w:numPr>
      <w:tabs>
        <w:tab w:val="left" w:pos="357"/>
      </w:tabs>
    </w:pPr>
  </w:style>
  <w:style w:type="paragraph" w:styleId="Subtitle">
    <w:name w:val="Subtitle"/>
    <w:basedOn w:val="Normal"/>
    <w:qFormat/>
    <w:pPr>
      <w:spacing w:after="60"/>
      <w:outlineLvl w:val="1"/>
    </w:pPr>
    <w:rPr>
      <w:b/>
      <w:sz w:val="32"/>
    </w:rPr>
  </w:style>
  <w:style w:type="paragraph" w:customStyle="1" w:styleId="TableFootnote">
    <w:name w:val="Table Footnote"/>
    <w:basedOn w:val="FigureFootnote"/>
    <w:next w:val="Normal"/>
    <w:pPr>
      <w:spacing w:before="0" w:after="0"/>
      <w:jc w:val="left"/>
    </w:pPr>
    <w:rPr>
      <w:sz w:val="20"/>
      <w:szCs w:val="24"/>
    </w:rPr>
  </w:style>
  <w:style w:type="paragraph" w:customStyle="1" w:styleId="TableText">
    <w:name w:val="Table Text"/>
    <w:basedOn w:val="Figure"/>
    <w:pPr>
      <w:spacing w:before="0" w:after="0"/>
      <w:jc w:val="left"/>
    </w:pPr>
    <w:rPr>
      <w:snapToGrid w:val="0"/>
      <w:szCs w:val="24"/>
    </w:rPr>
  </w:style>
  <w:style w:type="paragraph" w:customStyle="1" w:styleId="TableHeading">
    <w:name w:val="Table Heading"/>
    <w:basedOn w:val="TableText"/>
    <w:pPr>
      <w:keepNext/>
    </w:pPr>
    <w:rPr>
      <w:b/>
      <w:bCs/>
    </w:rPr>
  </w:style>
  <w:style w:type="paragraph" w:customStyle="1" w:styleId="TableSpace">
    <w:name w:val="Table Space"/>
    <w:basedOn w:val="Figure"/>
    <w:next w:val="Normal"/>
    <w:pPr>
      <w:spacing w:before="0" w:after="480"/>
      <w:jc w:val="left"/>
    </w:pPr>
    <w:rPr>
      <w:szCs w:val="24"/>
    </w:rPr>
  </w:style>
  <w:style w:type="paragraph" w:customStyle="1" w:styleId="TableTitle">
    <w:name w:val="Table Title"/>
    <w:basedOn w:val="FigureTitle"/>
    <w:next w:val="TableText"/>
    <w:pPr>
      <w:spacing w:after="0"/>
      <w:jc w:val="left"/>
    </w:pPr>
    <w:rPr>
      <w:szCs w:val="24"/>
    </w:rPr>
  </w:style>
  <w:style w:type="paragraph" w:customStyle="1" w:styleId="TableTitleCont">
    <w:name w:val="Table Title Cont"/>
    <w:basedOn w:val="TableTitle"/>
    <w:next w:val="TableText"/>
    <w:pPr>
      <w:spacing w:before="0"/>
    </w:pPr>
    <w:rPr>
      <w:b w:val="0"/>
    </w:rPr>
  </w:style>
  <w:style w:type="paragraph" w:styleId="Title">
    <w:name w:val="Title"/>
    <w:basedOn w:val="Normal"/>
    <w:qFormat/>
    <w:pPr>
      <w:spacing w:before="240" w:after="60"/>
      <w:outlineLvl w:val="0"/>
    </w:pPr>
    <w:rPr>
      <w:b/>
      <w:kern w:val="28"/>
      <w:sz w:val="40"/>
    </w:rPr>
  </w:style>
  <w:style w:type="paragraph" w:styleId="BodyText">
    <w:name w:val="Body Text"/>
    <w:basedOn w:val="Normal"/>
    <w:rPr>
      <w:sz w:val="22"/>
    </w:rPr>
  </w:style>
  <w:style w:type="paragraph" w:styleId="BodyText2">
    <w:name w:val="Body Text 2"/>
    <w:basedOn w:val="Normal"/>
    <w:rPr>
      <w:sz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BalloonText">
    <w:name w:val="Balloon Text"/>
    <w:basedOn w:val="Normal"/>
    <w:semiHidden/>
    <w:rsid w:val="001A56E0"/>
    <w:rPr>
      <w:rFonts w:ascii="Tahoma" w:hAnsi="Tahoma" w:cs="Tahoma"/>
      <w:sz w:val="16"/>
      <w:szCs w:val="16"/>
    </w:rPr>
  </w:style>
  <w:style w:type="character" w:styleId="FollowedHyperlink">
    <w:name w:val="FollowedHyperlink"/>
    <w:rsid w:val="00634FED"/>
    <w:rPr>
      <w:color w:val="606420"/>
      <w:u w:val="single"/>
    </w:rPr>
  </w:style>
  <w:style w:type="table" w:styleId="TableGrid">
    <w:name w:val="Table Grid"/>
    <w:basedOn w:val="TableNormal"/>
    <w:rsid w:val="0056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Normal">
    <w:name w:val="PI Normal"/>
    <w:basedOn w:val="Normal"/>
    <w:uiPriority w:val="6"/>
    <w:qFormat/>
    <w:rsid w:val="000A6B93"/>
  </w:style>
  <w:style w:type="paragraph" w:customStyle="1" w:styleId="PIHeading1">
    <w:name w:val="PI Heading 1"/>
    <w:basedOn w:val="Heading1"/>
    <w:uiPriority w:val="2"/>
    <w:qFormat/>
    <w:rsid w:val="000A6B93"/>
  </w:style>
  <w:style w:type="paragraph" w:styleId="CommentSubject">
    <w:name w:val="annotation subject"/>
    <w:basedOn w:val="CommentText"/>
    <w:next w:val="CommentText"/>
    <w:link w:val="CommentSubjectChar"/>
    <w:rsid w:val="00FE671C"/>
    <w:rPr>
      <w:b/>
      <w:bCs/>
    </w:rPr>
  </w:style>
  <w:style w:type="character" w:customStyle="1" w:styleId="CommentTextChar">
    <w:name w:val="Comment Text Char"/>
    <w:link w:val="CommentText"/>
    <w:semiHidden/>
    <w:rsid w:val="00FE671C"/>
    <w:rPr>
      <w:lang w:val="en-AU" w:eastAsia="en-US"/>
    </w:rPr>
  </w:style>
  <w:style w:type="character" w:customStyle="1" w:styleId="CommentSubjectChar">
    <w:name w:val="Comment Subject Char"/>
    <w:basedOn w:val="CommentTextChar"/>
    <w:link w:val="CommentSubject"/>
    <w:rsid w:val="00FE671C"/>
    <w:rPr>
      <w:lang w:val="en-AU" w:eastAsia="en-US"/>
    </w:rPr>
  </w:style>
  <w:style w:type="paragraph" w:styleId="Revision">
    <w:name w:val="Revision"/>
    <w:hidden/>
    <w:uiPriority w:val="99"/>
    <w:semiHidden/>
    <w:rsid w:val="007D68D5"/>
    <w:rPr>
      <w:sz w:val="24"/>
      <w:lang w:val="en-AU" w:eastAsia="en-US"/>
    </w:rPr>
  </w:style>
  <w:style w:type="paragraph" w:customStyle="1" w:styleId="CLDHeading1">
    <w:name w:val="CLD Heading 1"/>
    <w:basedOn w:val="Heading1"/>
    <w:uiPriority w:val="2"/>
    <w:qFormat/>
    <w:rsid w:val="001B5F02"/>
    <w:pPr>
      <w:spacing w:line="240" w:lineRule="auto"/>
      <w:ind w:left="426" w:hanging="426"/>
    </w:pPr>
    <w:rPr>
      <w:lang w:val="en-GB"/>
    </w:rPr>
  </w:style>
  <w:style w:type="paragraph" w:customStyle="1" w:styleId="CLDHeading2">
    <w:name w:val="CLD Heading 2"/>
    <w:basedOn w:val="Heading2"/>
    <w:uiPriority w:val="3"/>
    <w:qFormat/>
    <w:rsid w:val="001B5F02"/>
    <w:pPr>
      <w:spacing w:before="360" w:after="240" w:line="240" w:lineRule="auto"/>
      <w:ind w:left="426" w:hanging="426"/>
    </w:pPr>
    <w:rPr>
      <w:rFonts w:ascii="Times New Roman Bold" w:hAnsi="Times New Roman Bold"/>
      <w:sz w:val="28"/>
      <w:szCs w:val="28"/>
      <w:lang w:val="en-GB"/>
    </w:rPr>
  </w:style>
  <w:style w:type="paragraph" w:customStyle="1" w:styleId="CLDHeading3">
    <w:name w:val="CLD Heading 3"/>
    <w:basedOn w:val="Normal"/>
    <w:uiPriority w:val="4"/>
    <w:qFormat/>
    <w:rsid w:val="001C7965"/>
    <w:pPr>
      <w:keepNext/>
      <w:spacing w:before="240"/>
      <w:ind w:left="426" w:hanging="426"/>
      <w:outlineLvl w:val="1"/>
    </w:pPr>
    <w:rPr>
      <w:rFonts w:ascii="Times New Roman Bold" w:hAnsi="Times New Roman Bold"/>
      <w:b/>
      <w:szCs w:val="28"/>
      <w:lang w:val="en-GB"/>
    </w:rPr>
  </w:style>
  <w:style w:type="paragraph" w:customStyle="1" w:styleId="CLDNormal">
    <w:name w:val="CLD Normal"/>
    <w:basedOn w:val="Normal"/>
    <w:uiPriority w:val="6"/>
    <w:qFormat/>
    <w:rsid w:val="001C7965"/>
    <w:rPr>
      <w:lang w:val="en-GB"/>
    </w:rPr>
  </w:style>
  <w:style w:type="paragraph" w:customStyle="1" w:styleId="Paragraph">
    <w:name w:val="Paragraph"/>
    <w:link w:val="ParagraphChar"/>
    <w:rsid w:val="00D91D4F"/>
    <w:pPr>
      <w:spacing w:after="240"/>
    </w:pPr>
    <w:rPr>
      <w:sz w:val="24"/>
      <w:szCs w:val="24"/>
      <w:lang w:val="en-US" w:eastAsia="en-US"/>
    </w:rPr>
  </w:style>
  <w:style w:type="character" w:customStyle="1" w:styleId="ParagraphChar">
    <w:name w:val="Paragraph Char"/>
    <w:link w:val="Paragraph"/>
    <w:rsid w:val="00D91D4F"/>
    <w:rPr>
      <w:sz w:val="24"/>
      <w:szCs w:val="24"/>
      <w:lang w:val="en-US" w:eastAsia="en-US"/>
    </w:rPr>
  </w:style>
  <w:style w:type="paragraph" w:styleId="EndnoteText">
    <w:name w:val="endnote text"/>
    <w:link w:val="EndnoteTextChar"/>
    <w:semiHidden/>
    <w:rsid w:val="00C8595F"/>
    <w:pPr>
      <w:spacing w:after="240"/>
      <w:ind w:left="461" w:right="1440" w:hanging="461"/>
    </w:pPr>
    <w:rPr>
      <w:sz w:val="24"/>
      <w:lang w:val="en-US" w:eastAsia="en-US"/>
    </w:rPr>
  </w:style>
  <w:style w:type="character" w:customStyle="1" w:styleId="EndnoteTextChar">
    <w:name w:val="Endnote Text Char"/>
    <w:basedOn w:val="DefaultParagraphFont"/>
    <w:link w:val="EndnoteText"/>
    <w:semiHidden/>
    <w:rsid w:val="00C8595F"/>
    <w:rPr>
      <w:sz w:val="24"/>
      <w:lang w:val="en-US" w:eastAsia="en-US"/>
    </w:rPr>
  </w:style>
  <w:style w:type="paragraph" w:customStyle="1" w:styleId="TableText0">
    <w:name w:val="TableText"/>
    <w:link w:val="TableTextChar"/>
    <w:qFormat/>
    <w:rsid w:val="00C8595F"/>
    <w:rPr>
      <w:rFonts w:cs="Arial"/>
      <w:lang w:val="en-US" w:eastAsia="en-US"/>
    </w:rPr>
  </w:style>
  <w:style w:type="character" w:customStyle="1" w:styleId="TableTextChar">
    <w:name w:val="TableText Char"/>
    <w:link w:val="TableText0"/>
    <w:rsid w:val="00C8595F"/>
    <w:rPr>
      <w:rFonts w:cs="Arial"/>
      <w:lang w:val="en-US" w:eastAsia="en-US"/>
    </w:rPr>
  </w:style>
  <w:style w:type="character" w:customStyle="1" w:styleId="normaltextrun1">
    <w:name w:val="normaltextrun1"/>
    <w:rsid w:val="004A0ADA"/>
  </w:style>
  <w:style w:type="paragraph" w:customStyle="1" w:styleId="TableTextColHead">
    <w:name w:val="TableText Col Head"/>
    <w:next w:val="Normal"/>
    <w:link w:val="TableTextColHeadChar"/>
    <w:rsid w:val="0001104E"/>
    <w:pPr>
      <w:jc w:val="center"/>
    </w:pPr>
    <w:rPr>
      <w:rFonts w:ascii="Times New Roman Bold" w:eastAsia="Times New Roman" w:hAnsi="Times New Roman Bold"/>
      <w:b/>
      <w:lang w:val="en-US" w:eastAsia="en-US"/>
    </w:rPr>
  </w:style>
  <w:style w:type="character" w:customStyle="1" w:styleId="TableTextColHeadChar">
    <w:name w:val="TableText Col Head Char"/>
    <w:link w:val="TableTextColHead"/>
    <w:rsid w:val="0001104E"/>
    <w:rPr>
      <w:rFonts w:ascii="Times New Roman Bold" w:eastAsia="Times New Roman" w:hAnsi="Times New Roman Bold"/>
      <w:b/>
      <w:lang w:val="en-US" w:eastAsia="en-US"/>
    </w:rPr>
  </w:style>
  <w:style w:type="paragraph" w:styleId="ListParagraph">
    <w:name w:val="List Paragraph"/>
    <w:basedOn w:val="Normal"/>
    <w:uiPriority w:val="34"/>
    <w:qFormat/>
    <w:rsid w:val="00260069"/>
    <w:pPr>
      <w:spacing w:after="0"/>
      <w:ind w:left="720"/>
      <w:contextualSpacing/>
      <w:jc w:val="left"/>
    </w:pPr>
    <w:rPr>
      <w:rFonts w:ascii="Arial" w:eastAsia="MS Mincho" w:hAnsi="Arial"/>
      <w:lang w:val="en-US" w:eastAsia="ja-JP"/>
    </w:rPr>
  </w:style>
  <w:style w:type="paragraph" w:customStyle="1" w:styleId="EquationFootnote">
    <w:name w:val="Equation Footnote"/>
    <w:next w:val="Normal"/>
    <w:rsid w:val="0055227E"/>
    <w:rPr>
      <w:rFonts w:eastAsia="Times New Roman"/>
      <w:sz w:val="24"/>
      <w:lang w:val="en-US" w:eastAsia="en-US"/>
    </w:rPr>
  </w:style>
  <w:style w:type="paragraph" w:customStyle="1" w:styleId="Default">
    <w:name w:val="Default"/>
    <w:rsid w:val="0055227E"/>
    <w:pPr>
      <w:autoSpaceDE w:val="0"/>
      <w:autoSpaceDN w:val="0"/>
      <w:adjustRightInd w:val="0"/>
    </w:pPr>
    <w:rPr>
      <w:rFonts w:eastAsia="Times New Roman"/>
      <w:color w:val="000000"/>
      <w:sz w:val="24"/>
      <w:szCs w:val="24"/>
      <w:lang w:val="en-US" w:eastAsia="en-US"/>
    </w:rPr>
  </w:style>
  <w:style w:type="character" w:customStyle="1" w:styleId="PIHeading2Char">
    <w:name w:val="PI Heading 2 Char"/>
    <w:link w:val="PIHeading2"/>
    <w:locked/>
    <w:rsid w:val="0055227E"/>
    <w:rPr>
      <w:rFonts w:ascii="Arial" w:hAnsi="Arial" w:cs="Arial"/>
      <w:b/>
      <w:sz w:val="24"/>
    </w:rPr>
  </w:style>
  <w:style w:type="paragraph" w:customStyle="1" w:styleId="PIHeading2">
    <w:name w:val="PI Heading 2"/>
    <w:basedOn w:val="PIHeading1"/>
    <w:link w:val="PIHeading2Char"/>
    <w:rsid w:val="0055227E"/>
    <w:pPr>
      <w:keepLines/>
      <w:spacing w:after="120" w:line="240" w:lineRule="auto"/>
      <w:jc w:val="left"/>
      <w:outlineLvl w:val="1"/>
    </w:pPr>
    <w:rPr>
      <w:rFonts w:ascii="Arial" w:hAnsi="Arial" w:cs="Arial"/>
      <w:caps w:val="0"/>
      <w:kern w:val="0"/>
      <w:sz w:val="24"/>
      <w:lang w:val="en-GB" w:eastAsia="en-GB"/>
    </w:rPr>
  </w:style>
  <w:style w:type="paragraph" w:customStyle="1" w:styleId="paragraph0">
    <w:name w:val="paragraph"/>
    <w:basedOn w:val="Normal"/>
    <w:rsid w:val="00366774"/>
    <w:pPr>
      <w:spacing w:before="100" w:beforeAutospacing="1" w:after="100" w:afterAutospacing="1"/>
      <w:jc w:val="left"/>
    </w:pPr>
    <w:rPr>
      <w:rFonts w:eastAsia="Times New Roman"/>
      <w:szCs w:val="24"/>
      <w:lang w:val="en-US"/>
    </w:rPr>
  </w:style>
  <w:style w:type="character" w:customStyle="1" w:styleId="eop">
    <w:name w:val="eop"/>
    <w:rsid w:val="00366774"/>
  </w:style>
  <w:style w:type="character" w:customStyle="1" w:styleId="normaltextrun">
    <w:name w:val="normaltextrun"/>
    <w:rsid w:val="00366774"/>
  </w:style>
  <w:style w:type="paragraph" w:styleId="ListBullet2">
    <w:name w:val="List Bullet 2"/>
    <w:basedOn w:val="Normal"/>
    <w:uiPriority w:val="99"/>
    <w:semiHidden/>
    <w:unhideWhenUsed/>
    <w:qFormat/>
    <w:rsid w:val="00517366"/>
    <w:pPr>
      <w:numPr>
        <w:numId w:val="37"/>
      </w:numPr>
      <w:contextualSpacing/>
    </w:pPr>
  </w:style>
  <w:style w:type="character" w:customStyle="1" w:styleId="Instructions">
    <w:name w:val="Instructions"/>
    <w:rsid w:val="0091301E"/>
    <w:rPr>
      <w:i/>
      <w:iCs/>
      <w:color w:val="008000"/>
    </w:rPr>
  </w:style>
  <w:style w:type="paragraph" w:styleId="ListBullet3">
    <w:name w:val="List Bullet 3"/>
    <w:basedOn w:val="Normal"/>
    <w:uiPriority w:val="99"/>
    <w:semiHidden/>
    <w:unhideWhenUsed/>
    <w:qFormat/>
    <w:rsid w:val="00D64C25"/>
    <w:pPr>
      <w:spacing w:before="120" w:after="180" w:line="240" w:lineRule="atLeast"/>
      <w:ind w:left="1080" w:hanging="360"/>
      <w:jc w:val="left"/>
    </w:pPr>
    <w:rPr>
      <w:rFonts w:ascii="Cambria" w:eastAsia="Cambria" w:hAnsi="Cambria"/>
      <w:sz w:val="22"/>
      <w:szCs w:val="22"/>
    </w:rPr>
  </w:style>
  <w:style w:type="table" w:customStyle="1" w:styleId="TableGrid1">
    <w:name w:val="Table Grid1"/>
    <w:basedOn w:val="TableNormal"/>
    <w:next w:val="TableGrid"/>
    <w:uiPriority w:val="59"/>
    <w:rsid w:val="00D64C25"/>
    <w:rPr>
      <w:rFonts w:ascii="Cambria" w:eastAsia="Cambria" w:hAnsi="Cambria"/>
      <w:sz w:val="22"/>
      <w:szCs w:val="22"/>
      <w:lang w:val="en-AU" w:eastAsia="en-US"/>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numbering" w:customStyle="1" w:styleId="ListBullets">
    <w:name w:val="ListBullets"/>
    <w:uiPriority w:val="99"/>
    <w:rsid w:val="00D64C2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7214">
      <w:bodyDiv w:val="1"/>
      <w:marLeft w:val="0"/>
      <w:marRight w:val="0"/>
      <w:marTop w:val="0"/>
      <w:marBottom w:val="0"/>
      <w:divBdr>
        <w:top w:val="none" w:sz="0" w:space="0" w:color="auto"/>
        <w:left w:val="none" w:sz="0" w:space="0" w:color="auto"/>
        <w:bottom w:val="none" w:sz="0" w:space="0" w:color="auto"/>
        <w:right w:val="none" w:sz="0" w:space="0" w:color="auto"/>
      </w:divBdr>
    </w:div>
    <w:div w:id="1368141721">
      <w:bodyDiv w:val="1"/>
      <w:marLeft w:val="0"/>
      <w:marRight w:val="0"/>
      <w:marTop w:val="0"/>
      <w:marBottom w:val="0"/>
      <w:divBdr>
        <w:top w:val="none" w:sz="0" w:space="0" w:color="auto"/>
        <w:left w:val="none" w:sz="0" w:space="0" w:color="auto"/>
        <w:bottom w:val="none" w:sz="0" w:space="0" w:color="auto"/>
        <w:right w:val="none" w:sz="0" w:space="0" w:color="auto"/>
      </w:divBdr>
    </w:div>
    <w:div w:id="1663578551">
      <w:bodyDiv w:val="1"/>
      <w:marLeft w:val="0"/>
      <w:marRight w:val="0"/>
      <w:marTop w:val="0"/>
      <w:marBottom w:val="0"/>
      <w:divBdr>
        <w:top w:val="none" w:sz="0" w:space="0" w:color="auto"/>
        <w:left w:val="none" w:sz="0" w:space="0" w:color="auto"/>
        <w:bottom w:val="none" w:sz="0" w:space="0" w:color="auto"/>
        <w:right w:val="none" w:sz="0" w:space="0" w:color="auto"/>
      </w:divBdr>
    </w:div>
    <w:div w:id="18278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5B14C0931976C47822EA326BF973543" ma:contentTypeVersion="13" ma:contentTypeDescription="Create a new document." ma:contentTypeScope="" ma:versionID="e31fe08bcb9a30d96659b89c70c3c34b">
  <xsd:schema xmlns:xsd="http://www.w3.org/2001/XMLSchema" xmlns:xs="http://www.w3.org/2001/XMLSchema" xmlns:p="http://schemas.microsoft.com/office/2006/metadata/properties" xmlns:ns3="7c680d6a-3bae-448e-afbc-dd3a8dd20ee7" xmlns:ns4="3f6099b0-b593-4483-85a6-973a5c68977c" targetNamespace="http://schemas.microsoft.com/office/2006/metadata/properties" ma:root="true" ma:fieldsID="bfa285564e3da1a3e28f13eebde60988" ns3:_="" ns4:_="">
    <xsd:import namespace="7c680d6a-3bae-448e-afbc-dd3a8dd20ee7"/>
    <xsd:import namespace="3f6099b0-b593-4483-85a6-973a5c6897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80d6a-3bae-448e-afbc-dd3a8dd20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099b0-b593-4483-85a6-973a5c6897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34FC8-ACAD-4EF3-9F3D-BA3AE57BFF8E}">
  <ds:schemaRefs>
    <ds:schemaRef ds:uri="http://schemas.microsoft.com/sharepoint/v3/contenttype/forms"/>
  </ds:schemaRefs>
</ds:datastoreItem>
</file>

<file path=customXml/itemProps2.xml><?xml version="1.0" encoding="utf-8"?>
<ds:datastoreItem xmlns:ds="http://schemas.openxmlformats.org/officeDocument/2006/customXml" ds:itemID="{4154EEE3-5A64-4D33-ACE2-1CAA0C3D8314}">
  <ds:schemaRefs>
    <ds:schemaRef ds:uri="http://schemas.microsoft.com/office/2006/metadata/properties"/>
    <ds:schemaRef ds:uri="http://schemas.microsoft.com/office/2006/documentManagement/types"/>
    <ds:schemaRef ds:uri="http://schemas.openxmlformats.org/package/2006/metadata/core-properties"/>
    <ds:schemaRef ds:uri="3f6099b0-b593-4483-85a6-973a5c68977c"/>
    <ds:schemaRef ds:uri="7c680d6a-3bae-448e-afbc-dd3a8dd20ee7"/>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C8D30559-DF9C-4A1C-8393-9E01DFCA726E}">
  <ds:schemaRefs>
    <ds:schemaRef ds:uri="http://schemas.openxmlformats.org/officeDocument/2006/bibliography"/>
  </ds:schemaRefs>
</ds:datastoreItem>
</file>

<file path=customXml/itemProps4.xml><?xml version="1.0" encoding="utf-8"?>
<ds:datastoreItem xmlns:ds="http://schemas.openxmlformats.org/officeDocument/2006/customXml" ds:itemID="{3107A468-8A71-46CD-8AD4-A0F33FD68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80d6a-3bae-448e-afbc-dd3a8dd20ee7"/>
    <ds:schemaRef ds:uri="3f6099b0-b593-4483-85a6-973a5c68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4649</Words>
  <Characters>27333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GT020</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Ngenla</dc:title>
  <dc:subject/>
  <dc:creator>Jane K Freeman</dc:creator>
  <cp:lastModifiedBy>PITKIN, Brendan</cp:lastModifiedBy>
  <cp:revision>3</cp:revision>
  <cp:lastPrinted>2009-11-04T08:23:00Z</cp:lastPrinted>
  <dcterms:created xsi:type="dcterms:W3CDTF">2023-01-12T23:09:00Z</dcterms:created>
  <dcterms:modified xsi:type="dcterms:W3CDTF">2023-01-31T00:02:00Z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0x01010065B14C0931976C47822EA326BF973543</vt:lpwstr>
  </property>
</Properties>
</file>