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AD19" w14:textId="77777777" w:rsidR="00C66833" w:rsidRDefault="00C66833"/>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35B0910" w14:textId="77777777" w:rsidTr="00BF1190">
        <w:trPr>
          <w:trHeight w:val="1863"/>
        </w:trPr>
        <w:tc>
          <w:tcPr>
            <w:tcW w:w="3652" w:type="dxa"/>
            <w:tcBorders>
              <w:top w:val="nil"/>
              <w:left w:val="nil"/>
              <w:bottom w:val="nil"/>
              <w:right w:val="nil"/>
            </w:tcBorders>
          </w:tcPr>
          <w:p w14:paraId="4BF8D047" w14:textId="4EB6F594" w:rsidR="008E7846" w:rsidRPr="00096AA7" w:rsidRDefault="009B3E57" w:rsidP="00096AA7">
            <w:pPr>
              <w:rPr>
                <w:rFonts w:ascii="Arial" w:hAnsi="Arial" w:cs="Arial"/>
                <w:b/>
                <w:color w:val="002C47"/>
                <w:sz w:val="36"/>
                <w:szCs w:val="36"/>
              </w:rPr>
            </w:pPr>
            <w:r>
              <w:rPr>
                <w:rFonts w:ascii="Arial" w:hAnsi="Arial" w:cs="Arial"/>
                <w:b/>
                <w:color w:val="002C47"/>
                <w:sz w:val="36"/>
                <w:szCs w:val="36"/>
              </w:rPr>
              <w:t xml:space="preserve">January </w:t>
            </w:r>
            <w:r w:rsidR="00F16654">
              <w:rPr>
                <w:rFonts w:ascii="Arial" w:hAnsi="Arial" w:cs="Arial"/>
                <w:b/>
                <w:color w:val="002C47"/>
                <w:sz w:val="36"/>
                <w:szCs w:val="36"/>
              </w:rPr>
              <w:t>202</w:t>
            </w:r>
            <w:r>
              <w:rPr>
                <w:rFonts w:ascii="Arial" w:hAnsi="Arial" w:cs="Arial"/>
                <w:b/>
                <w:color w:val="002C47"/>
                <w:sz w:val="36"/>
                <w:szCs w:val="36"/>
              </w:rPr>
              <w:t>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0799FBD" w14:textId="77777777" w:rsidTr="0032583B">
        <w:trPr>
          <w:trHeight w:val="868"/>
        </w:trPr>
        <w:tc>
          <w:tcPr>
            <w:tcW w:w="9079" w:type="dxa"/>
          </w:tcPr>
          <w:p w14:paraId="76777969" w14:textId="3D1C7BBA"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D62A14" w:rsidRPr="00D62A14">
              <w:rPr>
                <w:color w:val="FFFFFF" w:themeColor="background1"/>
              </w:rPr>
              <w:t>Ngenla</w:t>
            </w:r>
          </w:p>
        </w:tc>
      </w:tr>
      <w:tr w:rsidR="0032583B" w:rsidRPr="00B64760" w14:paraId="41134C72" w14:textId="77777777" w:rsidTr="0032583B">
        <w:tc>
          <w:tcPr>
            <w:tcW w:w="9079" w:type="dxa"/>
          </w:tcPr>
          <w:p w14:paraId="34F1F365" w14:textId="61B253CA" w:rsidR="0032583B" w:rsidRPr="008E7846" w:rsidRDefault="00D62A14" w:rsidP="00460036">
            <w:pPr>
              <w:pStyle w:val="Subtitle"/>
              <w:rPr>
                <w:color w:val="FFFFFF" w:themeColor="background1"/>
              </w:rPr>
            </w:pPr>
            <w:r w:rsidRPr="00D62A14">
              <w:rPr>
                <w:color w:val="FFFFFF" w:themeColor="background1"/>
              </w:rPr>
              <w:t>Active ingredient</w:t>
            </w:r>
            <w:r w:rsidR="0032583B" w:rsidRPr="008E7846">
              <w:rPr>
                <w:color w:val="FFFFFF" w:themeColor="background1"/>
              </w:rPr>
              <w:t xml:space="preserve">: </w:t>
            </w:r>
            <w:r w:rsidRPr="00D62A14">
              <w:rPr>
                <w:color w:val="FFFFFF" w:themeColor="background1"/>
              </w:rPr>
              <w:t>Somatrogon</w:t>
            </w:r>
          </w:p>
        </w:tc>
      </w:tr>
      <w:tr w:rsidR="0032583B" w:rsidRPr="00B64760" w14:paraId="740333A4" w14:textId="77777777" w:rsidTr="0032583B">
        <w:trPr>
          <w:trHeight w:val="486"/>
        </w:trPr>
        <w:tc>
          <w:tcPr>
            <w:tcW w:w="9079" w:type="dxa"/>
          </w:tcPr>
          <w:p w14:paraId="1C689AB1" w14:textId="3BC14573" w:rsidR="0032583B" w:rsidRPr="008E7846" w:rsidRDefault="00460036" w:rsidP="0032583B">
            <w:pPr>
              <w:pStyle w:val="Subtitle"/>
              <w:rPr>
                <w:color w:val="FFFFFF" w:themeColor="background1"/>
              </w:rPr>
            </w:pPr>
            <w:r>
              <w:rPr>
                <w:color w:val="FFFFFF" w:themeColor="background1"/>
              </w:rPr>
              <w:t xml:space="preserve">Sponsor: </w:t>
            </w:r>
            <w:r w:rsidR="000C65DA" w:rsidRPr="000C65DA">
              <w:rPr>
                <w:color w:val="FFFFFF" w:themeColor="background1"/>
              </w:rPr>
              <w:t>Pfizer Australia Pty Ltd</w:t>
            </w:r>
          </w:p>
        </w:tc>
      </w:tr>
    </w:tbl>
    <w:p w14:paraId="39E11563" w14:textId="77777777" w:rsidR="008E7846" w:rsidRPr="0085156D" w:rsidRDefault="008E7846" w:rsidP="0085156D">
      <w:r w:rsidRPr="0085156D">
        <w:br w:type="page"/>
      </w:r>
    </w:p>
    <w:p w14:paraId="0AFE45B8" w14:textId="77777777" w:rsidR="008E7846" w:rsidRPr="001F6CBA" w:rsidRDefault="008E7846" w:rsidP="008E7846">
      <w:pPr>
        <w:pStyle w:val="NonTOCHeading2"/>
      </w:pPr>
      <w:r w:rsidRPr="001F6CBA">
        <w:lastRenderedPageBreak/>
        <w:t>About the Therapeutic Goods Administration (TGA)</w:t>
      </w:r>
    </w:p>
    <w:p w14:paraId="57C553A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826DCC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15F1619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83AA64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D095D90" w14:textId="1F1C5CE5"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B573580" w14:textId="77777777" w:rsidR="008E7846" w:rsidRDefault="008E7846" w:rsidP="00875A6B">
      <w:pPr>
        <w:pStyle w:val="NonTOCHeading2"/>
      </w:pPr>
      <w:r>
        <w:t xml:space="preserve">About </w:t>
      </w:r>
      <w:proofErr w:type="spellStart"/>
      <w:r>
        <w:t>AusPARs</w:t>
      </w:r>
      <w:proofErr w:type="spellEnd"/>
    </w:p>
    <w:p w14:paraId="3BAC67B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0128BE6"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428DE2E7"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5846846B"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452E82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BA197A9" w14:textId="77777777" w:rsidR="00924482" w:rsidRPr="00DF1D7F" w:rsidRDefault="00924482" w:rsidP="00F54B65">
      <w:pPr>
        <w:pStyle w:val="LegalSubheading"/>
        <w:spacing w:before="3120"/>
      </w:pPr>
      <w:r w:rsidRPr="00DF1D7F">
        <w:t>Copyright</w:t>
      </w:r>
    </w:p>
    <w:p w14:paraId="2143E04D" w14:textId="1E248A12"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9B3E57">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44009C66"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67CD842" w14:textId="77777777" w:rsidR="0089635C" w:rsidRPr="0089635C" w:rsidRDefault="0089635C" w:rsidP="0010788A">
          <w:pPr>
            <w:pStyle w:val="Contents"/>
          </w:pPr>
          <w:r w:rsidRPr="0010788A">
            <w:t>Contents</w:t>
          </w:r>
        </w:p>
        <w:p w14:paraId="5C44D378" w14:textId="67E1969F" w:rsidR="003735CC"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4495258" w:history="1">
            <w:r w:rsidR="003735CC" w:rsidRPr="0079023E">
              <w:rPr>
                <w:rStyle w:val="Hyperlink"/>
                <w:noProof/>
              </w:rPr>
              <w:t>List of abbreviations</w:t>
            </w:r>
            <w:r w:rsidR="003735CC">
              <w:rPr>
                <w:noProof/>
                <w:webHidden/>
              </w:rPr>
              <w:tab/>
            </w:r>
            <w:r w:rsidR="003735CC">
              <w:rPr>
                <w:noProof/>
                <w:webHidden/>
              </w:rPr>
              <w:fldChar w:fldCharType="begin"/>
            </w:r>
            <w:r w:rsidR="003735CC">
              <w:rPr>
                <w:noProof/>
                <w:webHidden/>
              </w:rPr>
              <w:instrText xml:space="preserve"> PAGEREF _Toc124495258 \h </w:instrText>
            </w:r>
            <w:r w:rsidR="003735CC">
              <w:rPr>
                <w:noProof/>
                <w:webHidden/>
              </w:rPr>
            </w:r>
            <w:r w:rsidR="003735CC">
              <w:rPr>
                <w:noProof/>
                <w:webHidden/>
              </w:rPr>
              <w:fldChar w:fldCharType="separate"/>
            </w:r>
            <w:r w:rsidR="00FD6617">
              <w:rPr>
                <w:noProof/>
                <w:webHidden/>
              </w:rPr>
              <w:t>4</w:t>
            </w:r>
            <w:r w:rsidR="003735CC">
              <w:rPr>
                <w:noProof/>
                <w:webHidden/>
              </w:rPr>
              <w:fldChar w:fldCharType="end"/>
            </w:r>
          </w:hyperlink>
        </w:p>
        <w:p w14:paraId="57717C95" w14:textId="02D04D67" w:rsidR="003735CC" w:rsidRDefault="00B22E7C">
          <w:pPr>
            <w:pStyle w:val="TOC1"/>
            <w:rPr>
              <w:rFonts w:asciiTheme="minorHAnsi" w:eastAsiaTheme="minorEastAsia" w:hAnsiTheme="minorHAnsi" w:cstheme="minorBidi"/>
              <w:b w:val="0"/>
              <w:noProof/>
              <w:sz w:val="22"/>
              <w:lang w:eastAsia="en-AU"/>
            </w:rPr>
          </w:pPr>
          <w:hyperlink w:anchor="_Toc124495259" w:history="1">
            <w:r w:rsidR="003735CC" w:rsidRPr="0079023E">
              <w:rPr>
                <w:rStyle w:val="Hyperlink"/>
                <w:noProof/>
              </w:rPr>
              <w:t>I. Introduction to product submission</w:t>
            </w:r>
            <w:r w:rsidR="003735CC">
              <w:rPr>
                <w:noProof/>
                <w:webHidden/>
              </w:rPr>
              <w:tab/>
            </w:r>
            <w:r w:rsidR="003735CC">
              <w:rPr>
                <w:noProof/>
                <w:webHidden/>
              </w:rPr>
              <w:fldChar w:fldCharType="begin"/>
            </w:r>
            <w:r w:rsidR="003735CC">
              <w:rPr>
                <w:noProof/>
                <w:webHidden/>
              </w:rPr>
              <w:instrText xml:space="preserve"> PAGEREF _Toc124495259 \h </w:instrText>
            </w:r>
            <w:r w:rsidR="003735CC">
              <w:rPr>
                <w:noProof/>
                <w:webHidden/>
              </w:rPr>
            </w:r>
            <w:r w:rsidR="003735CC">
              <w:rPr>
                <w:noProof/>
                <w:webHidden/>
              </w:rPr>
              <w:fldChar w:fldCharType="separate"/>
            </w:r>
            <w:r w:rsidR="00FD6617">
              <w:rPr>
                <w:noProof/>
                <w:webHidden/>
              </w:rPr>
              <w:t>6</w:t>
            </w:r>
            <w:r w:rsidR="003735CC">
              <w:rPr>
                <w:noProof/>
                <w:webHidden/>
              </w:rPr>
              <w:fldChar w:fldCharType="end"/>
            </w:r>
          </w:hyperlink>
        </w:p>
        <w:p w14:paraId="37C53FBD" w14:textId="27C39BAC" w:rsidR="003735CC" w:rsidRDefault="00B22E7C">
          <w:pPr>
            <w:pStyle w:val="TOC2"/>
            <w:rPr>
              <w:rFonts w:asciiTheme="minorHAnsi" w:eastAsiaTheme="minorEastAsia" w:hAnsiTheme="minorHAnsi" w:cstheme="minorBidi"/>
              <w:b w:val="0"/>
              <w:noProof/>
              <w:sz w:val="22"/>
              <w:lang w:eastAsia="en-AU"/>
            </w:rPr>
          </w:pPr>
          <w:hyperlink w:anchor="_Toc124495260" w:history="1">
            <w:r w:rsidR="003735CC" w:rsidRPr="0079023E">
              <w:rPr>
                <w:rStyle w:val="Hyperlink"/>
                <w:noProof/>
                <w:lang w:eastAsia="en-AU"/>
              </w:rPr>
              <w:t>Submission details</w:t>
            </w:r>
            <w:r w:rsidR="003735CC">
              <w:rPr>
                <w:noProof/>
                <w:webHidden/>
              </w:rPr>
              <w:tab/>
            </w:r>
            <w:r w:rsidR="003735CC">
              <w:rPr>
                <w:noProof/>
                <w:webHidden/>
              </w:rPr>
              <w:fldChar w:fldCharType="begin"/>
            </w:r>
            <w:r w:rsidR="003735CC">
              <w:rPr>
                <w:noProof/>
                <w:webHidden/>
              </w:rPr>
              <w:instrText xml:space="preserve"> PAGEREF _Toc124495260 \h </w:instrText>
            </w:r>
            <w:r w:rsidR="003735CC">
              <w:rPr>
                <w:noProof/>
                <w:webHidden/>
              </w:rPr>
            </w:r>
            <w:r w:rsidR="003735CC">
              <w:rPr>
                <w:noProof/>
                <w:webHidden/>
              </w:rPr>
              <w:fldChar w:fldCharType="separate"/>
            </w:r>
            <w:r w:rsidR="00FD6617">
              <w:rPr>
                <w:noProof/>
                <w:webHidden/>
              </w:rPr>
              <w:t>6</w:t>
            </w:r>
            <w:r w:rsidR="003735CC">
              <w:rPr>
                <w:noProof/>
                <w:webHidden/>
              </w:rPr>
              <w:fldChar w:fldCharType="end"/>
            </w:r>
          </w:hyperlink>
        </w:p>
        <w:p w14:paraId="252B06CF" w14:textId="34796578" w:rsidR="003735CC" w:rsidRDefault="00B22E7C">
          <w:pPr>
            <w:pStyle w:val="TOC2"/>
            <w:rPr>
              <w:rFonts w:asciiTheme="minorHAnsi" w:eastAsiaTheme="minorEastAsia" w:hAnsiTheme="minorHAnsi" w:cstheme="minorBidi"/>
              <w:b w:val="0"/>
              <w:noProof/>
              <w:sz w:val="22"/>
              <w:lang w:eastAsia="en-AU"/>
            </w:rPr>
          </w:pPr>
          <w:hyperlink w:anchor="_Toc124495261" w:history="1">
            <w:r w:rsidR="003735CC" w:rsidRPr="0079023E">
              <w:rPr>
                <w:rStyle w:val="Hyperlink"/>
                <w:noProof/>
              </w:rPr>
              <w:t>Product background</w:t>
            </w:r>
            <w:r w:rsidR="003735CC">
              <w:rPr>
                <w:noProof/>
                <w:webHidden/>
              </w:rPr>
              <w:tab/>
            </w:r>
            <w:r w:rsidR="003735CC">
              <w:rPr>
                <w:noProof/>
                <w:webHidden/>
              </w:rPr>
              <w:fldChar w:fldCharType="begin"/>
            </w:r>
            <w:r w:rsidR="003735CC">
              <w:rPr>
                <w:noProof/>
                <w:webHidden/>
              </w:rPr>
              <w:instrText xml:space="preserve"> PAGEREF _Toc124495261 \h </w:instrText>
            </w:r>
            <w:r w:rsidR="003735CC">
              <w:rPr>
                <w:noProof/>
                <w:webHidden/>
              </w:rPr>
            </w:r>
            <w:r w:rsidR="003735CC">
              <w:rPr>
                <w:noProof/>
                <w:webHidden/>
              </w:rPr>
              <w:fldChar w:fldCharType="separate"/>
            </w:r>
            <w:r w:rsidR="00FD6617">
              <w:rPr>
                <w:noProof/>
                <w:webHidden/>
              </w:rPr>
              <w:t>8</w:t>
            </w:r>
            <w:r w:rsidR="003735CC">
              <w:rPr>
                <w:noProof/>
                <w:webHidden/>
              </w:rPr>
              <w:fldChar w:fldCharType="end"/>
            </w:r>
          </w:hyperlink>
        </w:p>
        <w:p w14:paraId="7EB1022C" w14:textId="5BE85C26" w:rsidR="003735CC" w:rsidRDefault="00B22E7C">
          <w:pPr>
            <w:pStyle w:val="TOC2"/>
            <w:rPr>
              <w:rFonts w:asciiTheme="minorHAnsi" w:eastAsiaTheme="minorEastAsia" w:hAnsiTheme="minorHAnsi" w:cstheme="minorBidi"/>
              <w:b w:val="0"/>
              <w:noProof/>
              <w:sz w:val="22"/>
              <w:lang w:eastAsia="en-AU"/>
            </w:rPr>
          </w:pPr>
          <w:hyperlink w:anchor="_Toc124495262" w:history="1">
            <w:r w:rsidR="003735CC" w:rsidRPr="0079023E">
              <w:rPr>
                <w:rStyle w:val="Hyperlink"/>
                <w:noProof/>
              </w:rPr>
              <w:t>Regulatory status</w:t>
            </w:r>
            <w:r w:rsidR="003735CC">
              <w:rPr>
                <w:noProof/>
                <w:webHidden/>
              </w:rPr>
              <w:tab/>
            </w:r>
            <w:r w:rsidR="003735CC">
              <w:rPr>
                <w:noProof/>
                <w:webHidden/>
              </w:rPr>
              <w:fldChar w:fldCharType="begin"/>
            </w:r>
            <w:r w:rsidR="003735CC">
              <w:rPr>
                <w:noProof/>
                <w:webHidden/>
              </w:rPr>
              <w:instrText xml:space="preserve"> PAGEREF _Toc124495262 \h </w:instrText>
            </w:r>
            <w:r w:rsidR="003735CC">
              <w:rPr>
                <w:noProof/>
                <w:webHidden/>
              </w:rPr>
            </w:r>
            <w:r w:rsidR="003735CC">
              <w:rPr>
                <w:noProof/>
                <w:webHidden/>
              </w:rPr>
              <w:fldChar w:fldCharType="separate"/>
            </w:r>
            <w:r w:rsidR="00FD6617">
              <w:rPr>
                <w:noProof/>
                <w:webHidden/>
              </w:rPr>
              <w:t>9</w:t>
            </w:r>
            <w:r w:rsidR="003735CC">
              <w:rPr>
                <w:noProof/>
                <w:webHidden/>
              </w:rPr>
              <w:fldChar w:fldCharType="end"/>
            </w:r>
          </w:hyperlink>
        </w:p>
        <w:p w14:paraId="67AD3D0E" w14:textId="5C340517" w:rsidR="003735CC" w:rsidRDefault="00B22E7C">
          <w:pPr>
            <w:pStyle w:val="TOC2"/>
            <w:rPr>
              <w:rFonts w:asciiTheme="minorHAnsi" w:eastAsiaTheme="minorEastAsia" w:hAnsiTheme="minorHAnsi" w:cstheme="minorBidi"/>
              <w:b w:val="0"/>
              <w:noProof/>
              <w:sz w:val="22"/>
              <w:lang w:eastAsia="en-AU"/>
            </w:rPr>
          </w:pPr>
          <w:hyperlink w:anchor="_Toc124495263" w:history="1">
            <w:r w:rsidR="003735CC" w:rsidRPr="0079023E">
              <w:rPr>
                <w:rStyle w:val="Hyperlink"/>
                <w:noProof/>
              </w:rPr>
              <w:t>Product Information</w:t>
            </w:r>
            <w:r w:rsidR="003735CC">
              <w:rPr>
                <w:noProof/>
                <w:webHidden/>
              </w:rPr>
              <w:tab/>
            </w:r>
            <w:r w:rsidR="003735CC">
              <w:rPr>
                <w:noProof/>
                <w:webHidden/>
              </w:rPr>
              <w:fldChar w:fldCharType="begin"/>
            </w:r>
            <w:r w:rsidR="003735CC">
              <w:rPr>
                <w:noProof/>
                <w:webHidden/>
              </w:rPr>
              <w:instrText xml:space="preserve"> PAGEREF _Toc124495263 \h </w:instrText>
            </w:r>
            <w:r w:rsidR="003735CC">
              <w:rPr>
                <w:noProof/>
                <w:webHidden/>
              </w:rPr>
            </w:r>
            <w:r w:rsidR="003735CC">
              <w:rPr>
                <w:noProof/>
                <w:webHidden/>
              </w:rPr>
              <w:fldChar w:fldCharType="separate"/>
            </w:r>
            <w:r w:rsidR="00FD6617">
              <w:rPr>
                <w:noProof/>
                <w:webHidden/>
              </w:rPr>
              <w:t>10</w:t>
            </w:r>
            <w:r w:rsidR="003735CC">
              <w:rPr>
                <w:noProof/>
                <w:webHidden/>
              </w:rPr>
              <w:fldChar w:fldCharType="end"/>
            </w:r>
          </w:hyperlink>
        </w:p>
        <w:p w14:paraId="7C0C31A7" w14:textId="358D76D2" w:rsidR="003735CC" w:rsidRDefault="00B22E7C">
          <w:pPr>
            <w:pStyle w:val="TOC1"/>
            <w:rPr>
              <w:rFonts w:asciiTheme="minorHAnsi" w:eastAsiaTheme="minorEastAsia" w:hAnsiTheme="minorHAnsi" w:cstheme="minorBidi"/>
              <w:b w:val="0"/>
              <w:noProof/>
              <w:sz w:val="22"/>
              <w:lang w:eastAsia="en-AU"/>
            </w:rPr>
          </w:pPr>
          <w:hyperlink w:anchor="_Toc124495264" w:history="1">
            <w:r w:rsidR="003735CC" w:rsidRPr="0079023E">
              <w:rPr>
                <w:rStyle w:val="Hyperlink"/>
                <w:noProof/>
              </w:rPr>
              <w:t>II. Registration timeline</w:t>
            </w:r>
            <w:r w:rsidR="003735CC">
              <w:rPr>
                <w:noProof/>
                <w:webHidden/>
              </w:rPr>
              <w:tab/>
            </w:r>
            <w:r w:rsidR="003735CC">
              <w:rPr>
                <w:noProof/>
                <w:webHidden/>
              </w:rPr>
              <w:fldChar w:fldCharType="begin"/>
            </w:r>
            <w:r w:rsidR="003735CC">
              <w:rPr>
                <w:noProof/>
                <w:webHidden/>
              </w:rPr>
              <w:instrText xml:space="preserve"> PAGEREF _Toc124495264 \h </w:instrText>
            </w:r>
            <w:r w:rsidR="003735CC">
              <w:rPr>
                <w:noProof/>
                <w:webHidden/>
              </w:rPr>
            </w:r>
            <w:r w:rsidR="003735CC">
              <w:rPr>
                <w:noProof/>
                <w:webHidden/>
              </w:rPr>
              <w:fldChar w:fldCharType="separate"/>
            </w:r>
            <w:r w:rsidR="00FD6617">
              <w:rPr>
                <w:noProof/>
                <w:webHidden/>
              </w:rPr>
              <w:t>10</w:t>
            </w:r>
            <w:r w:rsidR="003735CC">
              <w:rPr>
                <w:noProof/>
                <w:webHidden/>
              </w:rPr>
              <w:fldChar w:fldCharType="end"/>
            </w:r>
          </w:hyperlink>
        </w:p>
        <w:p w14:paraId="7AD9BF43" w14:textId="301ED916" w:rsidR="003735CC" w:rsidRDefault="00B22E7C">
          <w:pPr>
            <w:pStyle w:val="TOC1"/>
            <w:rPr>
              <w:rFonts w:asciiTheme="minorHAnsi" w:eastAsiaTheme="minorEastAsia" w:hAnsiTheme="minorHAnsi" w:cstheme="minorBidi"/>
              <w:b w:val="0"/>
              <w:noProof/>
              <w:sz w:val="22"/>
              <w:lang w:eastAsia="en-AU"/>
            </w:rPr>
          </w:pPr>
          <w:hyperlink w:anchor="_Toc124495265" w:history="1">
            <w:r w:rsidR="003735CC" w:rsidRPr="0079023E">
              <w:rPr>
                <w:rStyle w:val="Hyperlink"/>
                <w:noProof/>
              </w:rPr>
              <w:t>III. Submission overview and risk/benefit assessment</w:t>
            </w:r>
            <w:r w:rsidR="003735CC">
              <w:rPr>
                <w:noProof/>
                <w:webHidden/>
              </w:rPr>
              <w:tab/>
            </w:r>
            <w:r w:rsidR="003735CC">
              <w:rPr>
                <w:noProof/>
                <w:webHidden/>
              </w:rPr>
              <w:fldChar w:fldCharType="begin"/>
            </w:r>
            <w:r w:rsidR="003735CC">
              <w:rPr>
                <w:noProof/>
                <w:webHidden/>
              </w:rPr>
              <w:instrText xml:space="preserve"> PAGEREF _Toc124495265 \h </w:instrText>
            </w:r>
            <w:r w:rsidR="003735CC">
              <w:rPr>
                <w:noProof/>
                <w:webHidden/>
              </w:rPr>
            </w:r>
            <w:r w:rsidR="003735CC">
              <w:rPr>
                <w:noProof/>
                <w:webHidden/>
              </w:rPr>
              <w:fldChar w:fldCharType="separate"/>
            </w:r>
            <w:r w:rsidR="00FD6617">
              <w:rPr>
                <w:noProof/>
                <w:webHidden/>
              </w:rPr>
              <w:t>11</w:t>
            </w:r>
            <w:r w:rsidR="003735CC">
              <w:rPr>
                <w:noProof/>
                <w:webHidden/>
              </w:rPr>
              <w:fldChar w:fldCharType="end"/>
            </w:r>
          </w:hyperlink>
        </w:p>
        <w:p w14:paraId="0E8B6740" w14:textId="72C4B4A0" w:rsidR="003735CC" w:rsidRDefault="00B22E7C">
          <w:pPr>
            <w:pStyle w:val="TOC2"/>
            <w:rPr>
              <w:rFonts w:asciiTheme="minorHAnsi" w:eastAsiaTheme="minorEastAsia" w:hAnsiTheme="minorHAnsi" w:cstheme="minorBidi"/>
              <w:b w:val="0"/>
              <w:noProof/>
              <w:sz w:val="22"/>
              <w:lang w:eastAsia="en-AU"/>
            </w:rPr>
          </w:pPr>
          <w:hyperlink w:anchor="_Toc124495266" w:history="1">
            <w:r w:rsidR="003735CC" w:rsidRPr="0079023E">
              <w:rPr>
                <w:rStyle w:val="Hyperlink"/>
                <w:noProof/>
              </w:rPr>
              <w:t>Quality</w:t>
            </w:r>
            <w:r w:rsidR="003735CC">
              <w:rPr>
                <w:noProof/>
                <w:webHidden/>
              </w:rPr>
              <w:tab/>
            </w:r>
            <w:r w:rsidR="003735CC">
              <w:rPr>
                <w:noProof/>
                <w:webHidden/>
              </w:rPr>
              <w:fldChar w:fldCharType="begin"/>
            </w:r>
            <w:r w:rsidR="003735CC">
              <w:rPr>
                <w:noProof/>
                <w:webHidden/>
              </w:rPr>
              <w:instrText xml:space="preserve"> PAGEREF _Toc124495266 \h </w:instrText>
            </w:r>
            <w:r w:rsidR="003735CC">
              <w:rPr>
                <w:noProof/>
                <w:webHidden/>
              </w:rPr>
            </w:r>
            <w:r w:rsidR="003735CC">
              <w:rPr>
                <w:noProof/>
                <w:webHidden/>
              </w:rPr>
              <w:fldChar w:fldCharType="separate"/>
            </w:r>
            <w:r w:rsidR="00FD6617">
              <w:rPr>
                <w:noProof/>
                <w:webHidden/>
              </w:rPr>
              <w:t>11</w:t>
            </w:r>
            <w:r w:rsidR="003735CC">
              <w:rPr>
                <w:noProof/>
                <w:webHidden/>
              </w:rPr>
              <w:fldChar w:fldCharType="end"/>
            </w:r>
          </w:hyperlink>
        </w:p>
        <w:p w14:paraId="1504CA1C" w14:textId="2B942F4F" w:rsidR="003735CC" w:rsidRDefault="00B22E7C">
          <w:pPr>
            <w:pStyle w:val="TOC2"/>
            <w:rPr>
              <w:rFonts w:asciiTheme="minorHAnsi" w:eastAsiaTheme="minorEastAsia" w:hAnsiTheme="minorHAnsi" w:cstheme="minorBidi"/>
              <w:b w:val="0"/>
              <w:noProof/>
              <w:sz w:val="22"/>
              <w:lang w:eastAsia="en-AU"/>
            </w:rPr>
          </w:pPr>
          <w:hyperlink w:anchor="_Toc124495267" w:history="1">
            <w:r w:rsidR="003735CC" w:rsidRPr="0079023E">
              <w:rPr>
                <w:rStyle w:val="Hyperlink"/>
                <w:noProof/>
              </w:rPr>
              <w:t>Nonclinical</w:t>
            </w:r>
            <w:r w:rsidR="003735CC">
              <w:rPr>
                <w:noProof/>
                <w:webHidden/>
              </w:rPr>
              <w:tab/>
            </w:r>
            <w:r w:rsidR="003735CC">
              <w:rPr>
                <w:noProof/>
                <w:webHidden/>
              </w:rPr>
              <w:fldChar w:fldCharType="begin"/>
            </w:r>
            <w:r w:rsidR="003735CC">
              <w:rPr>
                <w:noProof/>
                <w:webHidden/>
              </w:rPr>
              <w:instrText xml:space="preserve"> PAGEREF _Toc124495267 \h </w:instrText>
            </w:r>
            <w:r w:rsidR="003735CC">
              <w:rPr>
                <w:noProof/>
                <w:webHidden/>
              </w:rPr>
            </w:r>
            <w:r w:rsidR="003735CC">
              <w:rPr>
                <w:noProof/>
                <w:webHidden/>
              </w:rPr>
              <w:fldChar w:fldCharType="separate"/>
            </w:r>
            <w:r w:rsidR="00FD6617">
              <w:rPr>
                <w:noProof/>
                <w:webHidden/>
              </w:rPr>
              <w:t>13</w:t>
            </w:r>
            <w:r w:rsidR="003735CC">
              <w:rPr>
                <w:noProof/>
                <w:webHidden/>
              </w:rPr>
              <w:fldChar w:fldCharType="end"/>
            </w:r>
          </w:hyperlink>
        </w:p>
        <w:p w14:paraId="73CA4F10" w14:textId="58E131BD" w:rsidR="003735CC" w:rsidRDefault="00B22E7C">
          <w:pPr>
            <w:pStyle w:val="TOC2"/>
            <w:rPr>
              <w:rFonts w:asciiTheme="minorHAnsi" w:eastAsiaTheme="minorEastAsia" w:hAnsiTheme="minorHAnsi" w:cstheme="minorBidi"/>
              <w:b w:val="0"/>
              <w:noProof/>
              <w:sz w:val="22"/>
              <w:lang w:eastAsia="en-AU"/>
            </w:rPr>
          </w:pPr>
          <w:hyperlink w:anchor="_Toc124495268" w:history="1">
            <w:r w:rsidR="003735CC" w:rsidRPr="0079023E">
              <w:rPr>
                <w:rStyle w:val="Hyperlink"/>
                <w:noProof/>
              </w:rPr>
              <w:t>Clinical</w:t>
            </w:r>
            <w:r w:rsidR="003735CC">
              <w:rPr>
                <w:noProof/>
                <w:webHidden/>
              </w:rPr>
              <w:tab/>
            </w:r>
            <w:r w:rsidR="003735CC">
              <w:rPr>
                <w:noProof/>
                <w:webHidden/>
              </w:rPr>
              <w:fldChar w:fldCharType="begin"/>
            </w:r>
            <w:r w:rsidR="003735CC">
              <w:rPr>
                <w:noProof/>
                <w:webHidden/>
              </w:rPr>
              <w:instrText xml:space="preserve"> PAGEREF _Toc124495268 \h </w:instrText>
            </w:r>
            <w:r w:rsidR="003735CC">
              <w:rPr>
                <w:noProof/>
                <w:webHidden/>
              </w:rPr>
            </w:r>
            <w:r w:rsidR="003735CC">
              <w:rPr>
                <w:noProof/>
                <w:webHidden/>
              </w:rPr>
              <w:fldChar w:fldCharType="separate"/>
            </w:r>
            <w:r w:rsidR="00FD6617">
              <w:rPr>
                <w:noProof/>
                <w:webHidden/>
              </w:rPr>
              <w:t>15</w:t>
            </w:r>
            <w:r w:rsidR="003735CC">
              <w:rPr>
                <w:noProof/>
                <w:webHidden/>
              </w:rPr>
              <w:fldChar w:fldCharType="end"/>
            </w:r>
          </w:hyperlink>
        </w:p>
        <w:p w14:paraId="3348102D" w14:textId="0338966E" w:rsidR="003735CC" w:rsidRDefault="00B22E7C">
          <w:pPr>
            <w:pStyle w:val="TOC2"/>
            <w:rPr>
              <w:rFonts w:asciiTheme="minorHAnsi" w:eastAsiaTheme="minorEastAsia" w:hAnsiTheme="minorHAnsi" w:cstheme="minorBidi"/>
              <w:b w:val="0"/>
              <w:noProof/>
              <w:sz w:val="22"/>
              <w:lang w:eastAsia="en-AU"/>
            </w:rPr>
          </w:pPr>
          <w:hyperlink w:anchor="_Toc124495269" w:history="1">
            <w:r w:rsidR="003735CC" w:rsidRPr="0079023E">
              <w:rPr>
                <w:rStyle w:val="Hyperlink"/>
                <w:noProof/>
                <w:lang w:eastAsia="en-AU"/>
              </w:rPr>
              <w:t>Risk management plan</w:t>
            </w:r>
            <w:r w:rsidR="003735CC">
              <w:rPr>
                <w:noProof/>
                <w:webHidden/>
              </w:rPr>
              <w:tab/>
            </w:r>
            <w:r w:rsidR="003735CC">
              <w:rPr>
                <w:noProof/>
                <w:webHidden/>
              </w:rPr>
              <w:fldChar w:fldCharType="begin"/>
            </w:r>
            <w:r w:rsidR="003735CC">
              <w:rPr>
                <w:noProof/>
                <w:webHidden/>
              </w:rPr>
              <w:instrText xml:space="preserve"> PAGEREF _Toc124495269 \h </w:instrText>
            </w:r>
            <w:r w:rsidR="003735CC">
              <w:rPr>
                <w:noProof/>
                <w:webHidden/>
              </w:rPr>
            </w:r>
            <w:r w:rsidR="003735CC">
              <w:rPr>
                <w:noProof/>
                <w:webHidden/>
              </w:rPr>
              <w:fldChar w:fldCharType="separate"/>
            </w:r>
            <w:r w:rsidR="00FD6617">
              <w:rPr>
                <w:noProof/>
                <w:webHidden/>
              </w:rPr>
              <w:t>27</w:t>
            </w:r>
            <w:r w:rsidR="003735CC">
              <w:rPr>
                <w:noProof/>
                <w:webHidden/>
              </w:rPr>
              <w:fldChar w:fldCharType="end"/>
            </w:r>
          </w:hyperlink>
        </w:p>
        <w:p w14:paraId="6EA14F75" w14:textId="554FCFFE" w:rsidR="003735CC" w:rsidRDefault="00B22E7C">
          <w:pPr>
            <w:pStyle w:val="TOC2"/>
            <w:rPr>
              <w:rFonts w:asciiTheme="minorHAnsi" w:eastAsiaTheme="minorEastAsia" w:hAnsiTheme="minorHAnsi" w:cstheme="minorBidi"/>
              <w:b w:val="0"/>
              <w:noProof/>
              <w:sz w:val="22"/>
              <w:lang w:eastAsia="en-AU"/>
            </w:rPr>
          </w:pPr>
          <w:hyperlink w:anchor="_Toc124495270" w:history="1">
            <w:r w:rsidR="003735CC" w:rsidRPr="0079023E">
              <w:rPr>
                <w:rStyle w:val="Hyperlink"/>
                <w:noProof/>
              </w:rPr>
              <w:t>Risk-benefit analysis</w:t>
            </w:r>
            <w:r w:rsidR="003735CC">
              <w:rPr>
                <w:noProof/>
                <w:webHidden/>
              </w:rPr>
              <w:tab/>
            </w:r>
            <w:r w:rsidR="003735CC">
              <w:rPr>
                <w:noProof/>
                <w:webHidden/>
              </w:rPr>
              <w:fldChar w:fldCharType="begin"/>
            </w:r>
            <w:r w:rsidR="003735CC">
              <w:rPr>
                <w:noProof/>
                <w:webHidden/>
              </w:rPr>
              <w:instrText xml:space="preserve"> PAGEREF _Toc124495270 \h </w:instrText>
            </w:r>
            <w:r w:rsidR="003735CC">
              <w:rPr>
                <w:noProof/>
                <w:webHidden/>
              </w:rPr>
            </w:r>
            <w:r w:rsidR="003735CC">
              <w:rPr>
                <w:noProof/>
                <w:webHidden/>
              </w:rPr>
              <w:fldChar w:fldCharType="separate"/>
            </w:r>
            <w:r w:rsidR="00FD6617">
              <w:rPr>
                <w:noProof/>
                <w:webHidden/>
              </w:rPr>
              <w:t>28</w:t>
            </w:r>
            <w:r w:rsidR="003735CC">
              <w:rPr>
                <w:noProof/>
                <w:webHidden/>
              </w:rPr>
              <w:fldChar w:fldCharType="end"/>
            </w:r>
          </w:hyperlink>
        </w:p>
        <w:p w14:paraId="3D7235CA" w14:textId="4C928BED" w:rsidR="003735CC" w:rsidRDefault="00B22E7C">
          <w:pPr>
            <w:pStyle w:val="TOC2"/>
            <w:rPr>
              <w:rFonts w:asciiTheme="minorHAnsi" w:eastAsiaTheme="minorEastAsia" w:hAnsiTheme="minorHAnsi" w:cstheme="minorBidi"/>
              <w:b w:val="0"/>
              <w:noProof/>
              <w:sz w:val="22"/>
              <w:lang w:eastAsia="en-AU"/>
            </w:rPr>
          </w:pPr>
          <w:hyperlink w:anchor="_Toc124495271" w:history="1">
            <w:r w:rsidR="003735CC" w:rsidRPr="0079023E">
              <w:rPr>
                <w:rStyle w:val="Hyperlink"/>
                <w:noProof/>
              </w:rPr>
              <w:t>Outcome</w:t>
            </w:r>
            <w:r w:rsidR="003735CC">
              <w:rPr>
                <w:noProof/>
                <w:webHidden/>
              </w:rPr>
              <w:tab/>
            </w:r>
            <w:r w:rsidR="003735CC">
              <w:rPr>
                <w:noProof/>
                <w:webHidden/>
              </w:rPr>
              <w:fldChar w:fldCharType="begin"/>
            </w:r>
            <w:r w:rsidR="003735CC">
              <w:rPr>
                <w:noProof/>
                <w:webHidden/>
              </w:rPr>
              <w:instrText xml:space="preserve"> PAGEREF _Toc124495271 \h </w:instrText>
            </w:r>
            <w:r w:rsidR="003735CC">
              <w:rPr>
                <w:noProof/>
                <w:webHidden/>
              </w:rPr>
            </w:r>
            <w:r w:rsidR="003735CC">
              <w:rPr>
                <w:noProof/>
                <w:webHidden/>
              </w:rPr>
              <w:fldChar w:fldCharType="separate"/>
            </w:r>
            <w:r w:rsidR="00FD6617">
              <w:rPr>
                <w:noProof/>
                <w:webHidden/>
              </w:rPr>
              <w:t>31</w:t>
            </w:r>
            <w:r w:rsidR="003735CC">
              <w:rPr>
                <w:noProof/>
                <w:webHidden/>
              </w:rPr>
              <w:fldChar w:fldCharType="end"/>
            </w:r>
          </w:hyperlink>
        </w:p>
        <w:p w14:paraId="61864AA4" w14:textId="3A9A1A8C" w:rsidR="003735CC" w:rsidRDefault="00B22E7C">
          <w:pPr>
            <w:pStyle w:val="TOC1"/>
            <w:rPr>
              <w:rFonts w:asciiTheme="minorHAnsi" w:eastAsiaTheme="minorEastAsia" w:hAnsiTheme="minorHAnsi" w:cstheme="minorBidi"/>
              <w:b w:val="0"/>
              <w:noProof/>
              <w:sz w:val="22"/>
              <w:lang w:eastAsia="en-AU"/>
            </w:rPr>
          </w:pPr>
          <w:hyperlink w:anchor="_Toc124495272" w:history="1">
            <w:r w:rsidR="003735CC" w:rsidRPr="0079023E">
              <w:rPr>
                <w:rStyle w:val="Hyperlink"/>
                <w:noProof/>
              </w:rPr>
              <w:t>Attachment 1. Product Information</w:t>
            </w:r>
            <w:r w:rsidR="003735CC">
              <w:rPr>
                <w:noProof/>
                <w:webHidden/>
              </w:rPr>
              <w:tab/>
            </w:r>
            <w:r w:rsidR="003735CC">
              <w:rPr>
                <w:noProof/>
                <w:webHidden/>
              </w:rPr>
              <w:fldChar w:fldCharType="begin"/>
            </w:r>
            <w:r w:rsidR="003735CC">
              <w:rPr>
                <w:noProof/>
                <w:webHidden/>
              </w:rPr>
              <w:instrText xml:space="preserve"> PAGEREF _Toc124495272 \h </w:instrText>
            </w:r>
            <w:r w:rsidR="003735CC">
              <w:rPr>
                <w:noProof/>
                <w:webHidden/>
              </w:rPr>
            </w:r>
            <w:r w:rsidR="003735CC">
              <w:rPr>
                <w:noProof/>
                <w:webHidden/>
              </w:rPr>
              <w:fldChar w:fldCharType="separate"/>
            </w:r>
            <w:r w:rsidR="00FD6617">
              <w:rPr>
                <w:noProof/>
                <w:webHidden/>
              </w:rPr>
              <w:t>32</w:t>
            </w:r>
            <w:r w:rsidR="003735CC">
              <w:rPr>
                <w:noProof/>
                <w:webHidden/>
              </w:rPr>
              <w:fldChar w:fldCharType="end"/>
            </w:r>
          </w:hyperlink>
        </w:p>
        <w:p w14:paraId="6C035570" w14:textId="77EA619F" w:rsidR="003A7F6C" w:rsidRPr="00B811C6" w:rsidRDefault="00C525A2" w:rsidP="00B811C6">
          <w:pPr>
            <w:pStyle w:val="TOC2"/>
          </w:pPr>
          <w:r>
            <w:fldChar w:fldCharType="end"/>
          </w:r>
        </w:p>
      </w:sdtContent>
    </w:sdt>
    <w:bookmarkStart w:id="2" w:name="_Toc314842482" w:displacedByCustomXml="prev"/>
    <w:p w14:paraId="56F1AD8F" w14:textId="77777777" w:rsidR="00FD119B" w:rsidRDefault="00FD119B">
      <w:pPr>
        <w:spacing w:before="0" w:after="200" w:line="0" w:lineRule="auto"/>
      </w:pPr>
      <w:r>
        <w:br w:type="page"/>
      </w:r>
    </w:p>
    <w:p w14:paraId="109C3B2B" w14:textId="77777777" w:rsidR="00FD119B" w:rsidRDefault="00324E45" w:rsidP="004F0C4A">
      <w:pPr>
        <w:pStyle w:val="Heading2"/>
      </w:pPr>
      <w:bookmarkStart w:id="3" w:name="_Toc351716269"/>
      <w:bookmarkStart w:id="4" w:name="_Toc351718881"/>
      <w:bookmarkStart w:id="5" w:name="_Toc355338616"/>
      <w:bookmarkStart w:id="6" w:name="_Toc356306144"/>
      <w:bookmarkStart w:id="7" w:name="_Toc124495258"/>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FD119B" w14:paraId="0C647B80" w14:textId="77777777" w:rsidTr="00B37DEF">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2E2706FD" w14:textId="77777777" w:rsidR="00FD119B" w:rsidRPr="00B37DEF" w:rsidRDefault="00FD119B" w:rsidP="00B37DEF">
            <w:bookmarkStart w:id="8" w:name="_Hlk101882548"/>
            <w:r w:rsidRPr="00B37DEF">
              <w:t>Abbreviation</w:t>
            </w:r>
          </w:p>
        </w:tc>
        <w:tc>
          <w:tcPr>
            <w:tcW w:w="6604" w:type="dxa"/>
            <w:tcBorders>
              <w:top w:val="single" w:sz="4" w:space="0" w:color="auto"/>
              <w:left w:val="single" w:sz="4" w:space="0" w:color="auto"/>
              <w:bottom w:val="single" w:sz="4" w:space="0" w:color="auto"/>
              <w:right w:val="single" w:sz="4" w:space="0" w:color="auto"/>
            </w:tcBorders>
          </w:tcPr>
          <w:p w14:paraId="2A43F6EC" w14:textId="77777777" w:rsidR="00FD119B" w:rsidRPr="00B37DEF" w:rsidRDefault="00FD119B" w:rsidP="00B37DEF">
            <w:r w:rsidRPr="00B37DEF">
              <w:t>Meaning</w:t>
            </w:r>
          </w:p>
        </w:tc>
      </w:tr>
      <w:tr w:rsidR="00B37DEF" w:rsidRPr="00FD119B" w14:paraId="2456DE00" w14:textId="77777777" w:rsidTr="00B37DEF">
        <w:tc>
          <w:tcPr>
            <w:tcW w:w="1890" w:type="dxa"/>
          </w:tcPr>
          <w:p w14:paraId="77DBCC4C" w14:textId="02288C79" w:rsidR="00B37DEF" w:rsidRPr="00B37DEF" w:rsidRDefault="00B37DEF" w:rsidP="00B37DEF">
            <w:r w:rsidRPr="00B37DEF">
              <w:t>ACM</w:t>
            </w:r>
          </w:p>
        </w:tc>
        <w:tc>
          <w:tcPr>
            <w:tcW w:w="6604" w:type="dxa"/>
          </w:tcPr>
          <w:p w14:paraId="46396EA7" w14:textId="68A1B660" w:rsidR="00B37DEF" w:rsidRPr="00B37DEF" w:rsidRDefault="00B37DEF" w:rsidP="00B37DEF">
            <w:r w:rsidRPr="00B37DEF">
              <w:t>Advisory Committee on Medicines</w:t>
            </w:r>
          </w:p>
        </w:tc>
      </w:tr>
      <w:tr w:rsidR="00B37DEF" w:rsidRPr="00FD119B" w14:paraId="60AE2AD7" w14:textId="77777777" w:rsidTr="00B37DEF">
        <w:tc>
          <w:tcPr>
            <w:tcW w:w="1890" w:type="dxa"/>
          </w:tcPr>
          <w:p w14:paraId="03909074" w14:textId="14AE5C90" w:rsidR="00B37DEF" w:rsidRPr="00B37DEF" w:rsidRDefault="00B37DEF" w:rsidP="00B37DEF">
            <w:r w:rsidRPr="00B37DEF">
              <w:t>ADA</w:t>
            </w:r>
          </w:p>
        </w:tc>
        <w:tc>
          <w:tcPr>
            <w:tcW w:w="6604" w:type="dxa"/>
          </w:tcPr>
          <w:p w14:paraId="5C02561B" w14:textId="3F5AA712" w:rsidR="00B37DEF" w:rsidRPr="00B37DEF" w:rsidRDefault="00B37DEF" w:rsidP="00B37DEF">
            <w:r w:rsidRPr="00B37DEF">
              <w:t>Anti-drug antibody</w:t>
            </w:r>
          </w:p>
        </w:tc>
      </w:tr>
      <w:tr w:rsidR="00B37DEF" w:rsidRPr="00FD119B" w14:paraId="48EF5764" w14:textId="77777777" w:rsidTr="00B37DEF">
        <w:tc>
          <w:tcPr>
            <w:tcW w:w="1890" w:type="dxa"/>
          </w:tcPr>
          <w:p w14:paraId="47EE0317" w14:textId="20F86721" w:rsidR="00B37DEF" w:rsidRPr="00B37DEF" w:rsidRDefault="00B37DEF" w:rsidP="00B37DEF">
            <w:r w:rsidRPr="00B37DEF">
              <w:t>AE</w:t>
            </w:r>
          </w:p>
        </w:tc>
        <w:tc>
          <w:tcPr>
            <w:tcW w:w="6604" w:type="dxa"/>
          </w:tcPr>
          <w:p w14:paraId="10F9599B" w14:textId="053A7C4F" w:rsidR="00B37DEF" w:rsidRPr="00B37DEF" w:rsidRDefault="00B37DEF" w:rsidP="00B37DEF">
            <w:r w:rsidRPr="00B37DEF">
              <w:t>Adverse event</w:t>
            </w:r>
          </w:p>
        </w:tc>
      </w:tr>
      <w:tr w:rsidR="00B37DEF" w:rsidRPr="00FD119B" w14:paraId="65CFC0F3" w14:textId="77777777" w:rsidTr="00B37DEF">
        <w:tc>
          <w:tcPr>
            <w:tcW w:w="1890" w:type="dxa"/>
          </w:tcPr>
          <w:p w14:paraId="4B63243A" w14:textId="6E2A0E9B" w:rsidR="00B37DEF" w:rsidRPr="00B37DEF" w:rsidRDefault="00B37DEF" w:rsidP="00B37DEF">
            <w:r w:rsidRPr="00B37DEF">
              <w:t>ANCOVA</w:t>
            </w:r>
          </w:p>
        </w:tc>
        <w:tc>
          <w:tcPr>
            <w:tcW w:w="6604" w:type="dxa"/>
          </w:tcPr>
          <w:p w14:paraId="3571B23E" w14:textId="4820A22F" w:rsidR="00B37DEF" w:rsidRPr="00B37DEF" w:rsidRDefault="00B37DEF" w:rsidP="00B37DEF">
            <w:r w:rsidRPr="00B37DEF">
              <w:t>Analysis of covariance</w:t>
            </w:r>
          </w:p>
        </w:tc>
      </w:tr>
      <w:tr w:rsidR="00B37DEF" w:rsidRPr="00FD119B" w14:paraId="79769389" w14:textId="77777777" w:rsidTr="00B37DEF">
        <w:tc>
          <w:tcPr>
            <w:tcW w:w="1890" w:type="dxa"/>
          </w:tcPr>
          <w:p w14:paraId="578C58A1" w14:textId="5506DCEA" w:rsidR="00B37DEF" w:rsidRPr="00B37DEF" w:rsidRDefault="00B37DEF" w:rsidP="00B37DEF">
            <w:r w:rsidRPr="00B37DEF">
              <w:t>ARGPM</w:t>
            </w:r>
          </w:p>
        </w:tc>
        <w:tc>
          <w:tcPr>
            <w:tcW w:w="6604" w:type="dxa"/>
          </w:tcPr>
          <w:p w14:paraId="3E310416" w14:textId="56B4A46F" w:rsidR="00B37DEF" w:rsidRPr="00B37DEF" w:rsidRDefault="00B37DEF" w:rsidP="00B37DEF">
            <w:r w:rsidRPr="00B37DEF">
              <w:t>Australian Regulatory Guidelines for Prescription Medicines</w:t>
            </w:r>
          </w:p>
        </w:tc>
      </w:tr>
      <w:tr w:rsidR="00B37DEF" w:rsidRPr="00FD119B" w14:paraId="614B4F26" w14:textId="77777777" w:rsidTr="00B37DEF">
        <w:tc>
          <w:tcPr>
            <w:tcW w:w="1890" w:type="dxa"/>
          </w:tcPr>
          <w:p w14:paraId="51F17776" w14:textId="212854AD" w:rsidR="00B37DEF" w:rsidRPr="00B37DEF" w:rsidRDefault="00B37DEF" w:rsidP="00B37DEF">
            <w:r w:rsidRPr="00B37DEF">
              <w:t>ASA</w:t>
            </w:r>
          </w:p>
        </w:tc>
        <w:tc>
          <w:tcPr>
            <w:tcW w:w="6604" w:type="dxa"/>
          </w:tcPr>
          <w:p w14:paraId="3780BFD0" w14:textId="76CC2F83" w:rsidR="00B37DEF" w:rsidRPr="00B37DEF" w:rsidRDefault="00B37DEF" w:rsidP="00B37DEF">
            <w:r w:rsidRPr="00B37DEF">
              <w:t>Australia specific annex</w:t>
            </w:r>
          </w:p>
        </w:tc>
      </w:tr>
      <w:tr w:rsidR="00B37DEF" w:rsidRPr="00FD119B" w14:paraId="7D34E3C4" w14:textId="77777777" w:rsidTr="00B37DEF">
        <w:tc>
          <w:tcPr>
            <w:tcW w:w="1890" w:type="dxa"/>
          </w:tcPr>
          <w:p w14:paraId="1F3B2CE4" w14:textId="7112D355" w:rsidR="00B37DEF" w:rsidRPr="00B37DEF" w:rsidRDefault="00B37DEF" w:rsidP="00B37DEF">
            <w:r w:rsidRPr="00B37DEF">
              <w:t>ARTG</w:t>
            </w:r>
          </w:p>
        </w:tc>
        <w:tc>
          <w:tcPr>
            <w:tcW w:w="6604" w:type="dxa"/>
          </w:tcPr>
          <w:p w14:paraId="3C35F641" w14:textId="7A424AE7" w:rsidR="00B37DEF" w:rsidRPr="00B37DEF" w:rsidRDefault="00B37DEF" w:rsidP="00B37DEF">
            <w:r w:rsidRPr="00B37DEF">
              <w:t>Australian Register of Therapeutic Goods</w:t>
            </w:r>
          </w:p>
        </w:tc>
      </w:tr>
      <w:tr w:rsidR="00B37DEF" w:rsidRPr="00FD119B" w14:paraId="2D4D5F75" w14:textId="77777777" w:rsidTr="00B37DEF">
        <w:tc>
          <w:tcPr>
            <w:tcW w:w="1890" w:type="dxa"/>
          </w:tcPr>
          <w:p w14:paraId="2B189DA5" w14:textId="0C53C4AD" w:rsidR="00B37DEF" w:rsidRPr="00B37DEF" w:rsidRDefault="00B37DEF" w:rsidP="00B37DEF">
            <w:r w:rsidRPr="00B37DEF">
              <w:t>AUC</w:t>
            </w:r>
          </w:p>
        </w:tc>
        <w:tc>
          <w:tcPr>
            <w:tcW w:w="6604" w:type="dxa"/>
          </w:tcPr>
          <w:p w14:paraId="6A6484F3" w14:textId="45522DEA" w:rsidR="00B37DEF" w:rsidRPr="00B37DEF" w:rsidRDefault="00B37DEF" w:rsidP="00B37DEF">
            <w:r w:rsidRPr="00B37DEF">
              <w:t>Area under the concentration-time curve</w:t>
            </w:r>
          </w:p>
        </w:tc>
      </w:tr>
      <w:tr w:rsidR="00B37DEF" w:rsidRPr="00FD119B" w14:paraId="31BCAA7F" w14:textId="77777777" w:rsidTr="00B37DEF">
        <w:tc>
          <w:tcPr>
            <w:tcW w:w="1890" w:type="dxa"/>
          </w:tcPr>
          <w:p w14:paraId="3F2A26A9" w14:textId="2DE5A327" w:rsidR="00B37DEF" w:rsidRPr="00B37DEF" w:rsidRDefault="00B37DEF" w:rsidP="00B37DEF">
            <w:r w:rsidRPr="00B37DEF">
              <w:t>BMI</w:t>
            </w:r>
          </w:p>
        </w:tc>
        <w:tc>
          <w:tcPr>
            <w:tcW w:w="6604" w:type="dxa"/>
          </w:tcPr>
          <w:p w14:paraId="4F19F444" w14:textId="431598C1" w:rsidR="00B37DEF" w:rsidRPr="00B37DEF" w:rsidRDefault="00B37DEF" w:rsidP="00B37DEF">
            <w:r w:rsidRPr="00B37DEF">
              <w:t>Body mass index</w:t>
            </w:r>
          </w:p>
        </w:tc>
      </w:tr>
      <w:tr w:rsidR="001F3474" w:rsidRPr="00FD119B" w14:paraId="4D83E6B7" w14:textId="77777777" w:rsidTr="00B37DEF">
        <w:tc>
          <w:tcPr>
            <w:tcW w:w="1890" w:type="dxa"/>
          </w:tcPr>
          <w:p w14:paraId="49979531" w14:textId="4A70CC63" w:rsidR="001F3474" w:rsidRPr="00B37DEF" w:rsidRDefault="001F3474" w:rsidP="00B37DEF">
            <w:r w:rsidRPr="00041159">
              <w:t>BP3</w:t>
            </w:r>
          </w:p>
        </w:tc>
        <w:tc>
          <w:tcPr>
            <w:tcW w:w="6604" w:type="dxa"/>
          </w:tcPr>
          <w:p w14:paraId="57435795" w14:textId="3E096F95" w:rsidR="001F3474" w:rsidRPr="00B37DEF" w:rsidRDefault="001F3474" w:rsidP="00B37DEF">
            <w:r>
              <w:t>B</w:t>
            </w:r>
            <w:r w:rsidRPr="001F3474">
              <w:t xml:space="preserve">inding protein </w:t>
            </w:r>
            <w:r>
              <w:t>3</w:t>
            </w:r>
          </w:p>
        </w:tc>
      </w:tr>
      <w:tr w:rsidR="00B37DEF" w:rsidRPr="00FD119B" w14:paraId="5B78E9F6" w14:textId="77777777" w:rsidTr="00B37DEF">
        <w:tc>
          <w:tcPr>
            <w:tcW w:w="1890" w:type="dxa"/>
          </w:tcPr>
          <w:p w14:paraId="211F82BE" w14:textId="48B458C2" w:rsidR="00B37DEF" w:rsidRPr="00B37DEF" w:rsidRDefault="00B37DEF" w:rsidP="00B37DEF">
            <w:r w:rsidRPr="00B37DEF">
              <w:t>CHMP</w:t>
            </w:r>
          </w:p>
        </w:tc>
        <w:tc>
          <w:tcPr>
            <w:tcW w:w="6604" w:type="dxa"/>
          </w:tcPr>
          <w:p w14:paraId="50E77B7A" w14:textId="7557F9C2" w:rsidR="00B37DEF" w:rsidRPr="00B37DEF" w:rsidRDefault="00B37DEF" w:rsidP="00B37DEF">
            <w:r w:rsidRPr="00B37DEF">
              <w:t xml:space="preserve">Committee for </w:t>
            </w:r>
            <w:r w:rsidR="009B3E57">
              <w:t>M</w:t>
            </w:r>
            <w:r w:rsidRPr="00B37DEF">
              <w:t xml:space="preserve">edicinal </w:t>
            </w:r>
            <w:r w:rsidR="009B3E57">
              <w:t>P</w:t>
            </w:r>
            <w:r w:rsidRPr="00B37DEF">
              <w:t xml:space="preserve">roducts for </w:t>
            </w:r>
            <w:r w:rsidR="009B3E57">
              <w:t>H</w:t>
            </w:r>
            <w:r w:rsidRPr="00B37DEF">
              <w:t xml:space="preserve">uman </w:t>
            </w:r>
            <w:r w:rsidR="009B3E57">
              <w:t>U</w:t>
            </w:r>
            <w:r w:rsidRPr="00B37DEF">
              <w:t>se (</w:t>
            </w:r>
            <w:r w:rsidR="009B3E57">
              <w:t xml:space="preserve">European Medicines Agency, </w:t>
            </w:r>
            <w:r w:rsidRPr="00B37DEF">
              <w:t>European Union)</w:t>
            </w:r>
          </w:p>
        </w:tc>
      </w:tr>
      <w:tr w:rsidR="00B37DEF" w:rsidRPr="00FD119B" w14:paraId="56299251" w14:textId="77777777" w:rsidTr="00B37DEF">
        <w:tc>
          <w:tcPr>
            <w:tcW w:w="1890" w:type="dxa"/>
          </w:tcPr>
          <w:p w14:paraId="74E635FE" w14:textId="13DF064B" w:rsidR="00B37DEF" w:rsidRPr="00B37DEF" w:rsidRDefault="00B37DEF" w:rsidP="00B37DEF">
            <w:r w:rsidRPr="00B37DEF">
              <w:t>CI</w:t>
            </w:r>
          </w:p>
        </w:tc>
        <w:tc>
          <w:tcPr>
            <w:tcW w:w="6604" w:type="dxa"/>
          </w:tcPr>
          <w:p w14:paraId="3EB23860" w14:textId="33B6B512" w:rsidR="00B37DEF" w:rsidRPr="00B37DEF" w:rsidRDefault="00B37DEF" w:rsidP="00B37DEF">
            <w:r w:rsidRPr="00B37DEF">
              <w:t>Confidence interval</w:t>
            </w:r>
          </w:p>
        </w:tc>
      </w:tr>
      <w:tr w:rsidR="00B37DEF" w:rsidRPr="00FD119B" w14:paraId="08CDFBA0" w14:textId="77777777" w:rsidTr="00B37DEF">
        <w:tc>
          <w:tcPr>
            <w:tcW w:w="1890" w:type="dxa"/>
          </w:tcPr>
          <w:p w14:paraId="29AAA96B" w14:textId="613ACDC3" w:rsidR="00B37DEF" w:rsidRPr="00B37DEF" w:rsidRDefault="00B37DEF" w:rsidP="00B37DEF">
            <w:r w:rsidRPr="00B37DEF">
              <w:t>C</w:t>
            </w:r>
            <w:r w:rsidRPr="00B37DEF">
              <w:rPr>
                <w:vertAlign w:val="subscript"/>
              </w:rPr>
              <w:t>max</w:t>
            </w:r>
          </w:p>
        </w:tc>
        <w:tc>
          <w:tcPr>
            <w:tcW w:w="6604" w:type="dxa"/>
          </w:tcPr>
          <w:p w14:paraId="13323954" w14:textId="44CFB43E" w:rsidR="00B37DEF" w:rsidRPr="00B37DEF" w:rsidRDefault="00B37DEF" w:rsidP="00B37DEF">
            <w:r w:rsidRPr="00B37DEF">
              <w:t>Maximum concentration</w:t>
            </w:r>
          </w:p>
        </w:tc>
      </w:tr>
      <w:tr w:rsidR="00B37DEF" w:rsidRPr="00FD119B" w14:paraId="7C51E87B" w14:textId="77777777" w:rsidTr="00B37DEF">
        <w:tc>
          <w:tcPr>
            <w:tcW w:w="1890" w:type="dxa"/>
          </w:tcPr>
          <w:p w14:paraId="5FFDCB83" w14:textId="6D50ADAB" w:rsidR="00B37DEF" w:rsidRPr="00B37DEF" w:rsidRDefault="00B37DEF" w:rsidP="00B37DEF">
            <w:r w:rsidRPr="00B37DEF">
              <w:t>CMI</w:t>
            </w:r>
          </w:p>
        </w:tc>
        <w:tc>
          <w:tcPr>
            <w:tcW w:w="6604" w:type="dxa"/>
          </w:tcPr>
          <w:p w14:paraId="267547D8" w14:textId="6820A858" w:rsidR="00B37DEF" w:rsidRPr="00B37DEF" w:rsidRDefault="00B37DEF" w:rsidP="00B37DEF">
            <w:r w:rsidRPr="00B37DEF">
              <w:t>Consumer Medicines Information</w:t>
            </w:r>
          </w:p>
        </w:tc>
      </w:tr>
      <w:tr w:rsidR="00B37DEF" w:rsidRPr="00FD119B" w14:paraId="38E4D8C9" w14:textId="77777777" w:rsidTr="00B37DEF">
        <w:tc>
          <w:tcPr>
            <w:tcW w:w="1890" w:type="dxa"/>
          </w:tcPr>
          <w:p w14:paraId="2DADE287" w14:textId="3E5D6865" w:rsidR="00B37DEF" w:rsidRPr="00B37DEF" w:rsidRDefault="00B37DEF" w:rsidP="00B37DEF">
            <w:r w:rsidRPr="00B37DEF">
              <w:t>CPD</w:t>
            </w:r>
          </w:p>
        </w:tc>
        <w:tc>
          <w:tcPr>
            <w:tcW w:w="6604" w:type="dxa"/>
          </w:tcPr>
          <w:p w14:paraId="02D823DF" w14:textId="5B589FEF" w:rsidR="00B37DEF" w:rsidRPr="00B37DEF" w:rsidRDefault="00B37DEF" w:rsidP="00B37DEF">
            <w:r w:rsidRPr="00B37DEF">
              <w:t>Certified Product Details</w:t>
            </w:r>
          </w:p>
        </w:tc>
      </w:tr>
      <w:tr w:rsidR="00B37DEF" w:rsidRPr="00FD119B" w14:paraId="1F6B388E" w14:textId="77777777" w:rsidTr="00B37DEF">
        <w:tc>
          <w:tcPr>
            <w:tcW w:w="1890" w:type="dxa"/>
          </w:tcPr>
          <w:p w14:paraId="540B13DC" w14:textId="6F656E8F" w:rsidR="00B37DEF" w:rsidRPr="00B37DEF" w:rsidRDefault="00B37DEF" w:rsidP="00B37DEF">
            <w:r w:rsidRPr="00B37DEF">
              <w:t>CTP</w:t>
            </w:r>
          </w:p>
        </w:tc>
        <w:tc>
          <w:tcPr>
            <w:tcW w:w="6604" w:type="dxa"/>
          </w:tcPr>
          <w:p w14:paraId="4805BE88" w14:textId="146342E5" w:rsidR="00B37DEF" w:rsidRPr="00B37DEF" w:rsidRDefault="00B37DEF" w:rsidP="00B37DEF">
            <w:r w:rsidRPr="00B37DEF">
              <w:t>C-terminal peptide</w:t>
            </w:r>
          </w:p>
        </w:tc>
      </w:tr>
      <w:tr w:rsidR="00B37DEF" w:rsidRPr="00FD119B" w14:paraId="40E574DD" w14:textId="77777777" w:rsidTr="00B37DEF">
        <w:tc>
          <w:tcPr>
            <w:tcW w:w="1890" w:type="dxa"/>
          </w:tcPr>
          <w:p w14:paraId="2F53B913" w14:textId="3DC11767" w:rsidR="00B37DEF" w:rsidRPr="00B37DEF" w:rsidRDefault="00B37DEF" w:rsidP="00B37DEF">
            <w:r w:rsidRPr="00B37DEF">
              <w:t>CYP3A4</w:t>
            </w:r>
          </w:p>
        </w:tc>
        <w:tc>
          <w:tcPr>
            <w:tcW w:w="6604" w:type="dxa"/>
          </w:tcPr>
          <w:p w14:paraId="39EFD5AF" w14:textId="09EDF386" w:rsidR="00B37DEF" w:rsidRPr="00B37DEF" w:rsidRDefault="00B37DEF" w:rsidP="00B37DEF">
            <w:r w:rsidRPr="00B37DEF">
              <w:t xml:space="preserve">Cytochrome P450 </w:t>
            </w:r>
            <w:r w:rsidR="009B3E57">
              <w:t xml:space="preserve">isozyme </w:t>
            </w:r>
            <w:r w:rsidRPr="00B37DEF">
              <w:t>3A4</w:t>
            </w:r>
          </w:p>
        </w:tc>
      </w:tr>
      <w:tr w:rsidR="00B37DEF" w:rsidRPr="00FD119B" w14:paraId="6D0D7DA3" w14:textId="77777777" w:rsidTr="00B37DEF">
        <w:tc>
          <w:tcPr>
            <w:tcW w:w="1890" w:type="dxa"/>
          </w:tcPr>
          <w:p w14:paraId="2FB82494" w14:textId="3999CDE0" w:rsidR="00B37DEF" w:rsidRPr="00B37DEF" w:rsidRDefault="00B37DEF" w:rsidP="00B37DEF">
            <w:r w:rsidRPr="00B37DEF">
              <w:t>DLP</w:t>
            </w:r>
          </w:p>
        </w:tc>
        <w:tc>
          <w:tcPr>
            <w:tcW w:w="6604" w:type="dxa"/>
          </w:tcPr>
          <w:p w14:paraId="46600786" w14:textId="5C882D25" w:rsidR="00B37DEF" w:rsidRPr="00B37DEF" w:rsidRDefault="00B37DEF" w:rsidP="00B37DEF">
            <w:r w:rsidRPr="00B37DEF">
              <w:t>Data lock point</w:t>
            </w:r>
          </w:p>
        </w:tc>
      </w:tr>
      <w:tr w:rsidR="00B37DEF" w:rsidRPr="00FD119B" w14:paraId="6CCF99FE" w14:textId="77777777" w:rsidTr="00B37DEF">
        <w:tc>
          <w:tcPr>
            <w:tcW w:w="1890" w:type="dxa"/>
          </w:tcPr>
          <w:p w14:paraId="26BDD131" w14:textId="7353881A" w:rsidR="00B37DEF" w:rsidRPr="00B37DEF" w:rsidRDefault="00B37DEF" w:rsidP="00B37DEF">
            <w:r w:rsidRPr="00B37DEF">
              <w:t>DNA</w:t>
            </w:r>
          </w:p>
        </w:tc>
        <w:tc>
          <w:tcPr>
            <w:tcW w:w="6604" w:type="dxa"/>
          </w:tcPr>
          <w:p w14:paraId="5B0F1619" w14:textId="66993DC3" w:rsidR="00B37DEF" w:rsidRPr="00B37DEF" w:rsidRDefault="00B37DEF" w:rsidP="00B37DEF">
            <w:r w:rsidRPr="00B37DEF">
              <w:t>Deoxyribonucleic acid</w:t>
            </w:r>
          </w:p>
        </w:tc>
      </w:tr>
      <w:tr w:rsidR="00B37DEF" w:rsidRPr="00FD119B" w14:paraId="667FDD73" w14:textId="77777777" w:rsidTr="00B37DEF">
        <w:tc>
          <w:tcPr>
            <w:tcW w:w="1890" w:type="dxa"/>
          </w:tcPr>
          <w:p w14:paraId="0B73C0D9" w14:textId="525F8461" w:rsidR="00B37DEF" w:rsidRPr="00B37DEF" w:rsidRDefault="00B37DEF" w:rsidP="00B37DEF">
            <w:r w:rsidRPr="00B37DEF">
              <w:t>EMA</w:t>
            </w:r>
          </w:p>
        </w:tc>
        <w:tc>
          <w:tcPr>
            <w:tcW w:w="6604" w:type="dxa"/>
          </w:tcPr>
          <w:p w14:paraId="72BA0C89" w14:textId="356663E4" w:rsidR="00B37DEF" w:rsidRPr="00B37DEF" w:rsidRDefault="00B37DEF" w:rsidP="00B37DEF">
            <w:r w:rsidRPr="00B37DEF">
              <w:t>European Medicines Agency (European Union)</w:t>
            </w:r>
          </w:p>
        </w:tc>
      </w:tr>
      <w:tr w:rsidR="00B37DEF" w:rsidRPr="00FD119B" w14:paraId="14F3F386" w14:textId="77777777" w:rsidTr="00B37DEF">
        <w:tc>
          <w:tcPr>
            <w:tcW w:w="1890" w:type="dxa"/>
          </w:tcPr>
          <w:p w14:paraId="3EAA21AA" w14:textId="6DD2239C" w:rsidR="00B37DEF" w:rsidRPr="00B37DEF" w:rsidRDefault="00B37DEF" w:rsidP="00B37DEF">
            <w:r w:rsidRPr="00B37DEF">
              <w:t>EU</w:t>
            </w:r>
          </w:p>
        </w:tc>
        <w:tc>
          <w:tcPr>
            <w:tcW w:w="6604" w:type="dxa"/>
          </w:tcPr>
          <w:p w14:paraId="1FDA4E20" w14:textId="31ACFFE6" w:rsidR="00B37DEF" w:rsidRPr="00B37DEF" w:rsidRDefault="00B37DEF" w:rsidP="00B37DEF">
            <w:r w:rsidRPr="00B37DEF">
              <w:t>European Union</w:t>
            </w:r>
          </w:p>
        </w:tc>
      </w:tr>
      <w:tr w:rsidR="00B37DEF" w:rsidRPr="00FD119B" w14:paraId="1933A490" w14:textId="77777777" w:rsidTr="00B37DEF">
        <w:tc>
          <w:tcPr>
            <w:tcW w:w="1890" w:type="dxa"/>
          </w:tcPr>
          <w:p w14:paraId="05B7DBFC" w14:textId="6D3CD87D" w:rsidR="00B37DEF" w:rsidRPr="00B37DEF" w:rsidRDefault="00B37DEF" w:rsidP="00B37DEF">
            <w:r w:rsidRPr="00B37DEF">
              <w:t>FDA</w:t>
            </w:r>
          </w:p>
        </w:tc>
        <w:tc>
          <w:tcPr>
            <w:tcW w:w="6604" w:type="dxa"/>
          </w:tcPr>
          <w:p w14:paraId="797F06C5" w14:textId="524A2BBF" w:rsidR="00B37DEF" w:rsidRPr="00B37DEF" w:rsidRDefault="00B37DEF" w:rsidP="00B37DEF">
            <w:r w:rsidRPr="00B37DEF">
              <w:t>Food and Drug Administration (United States of America)</w:t>
            </w:r>
          </w:p>
        </w:tc>
      </w:tr>
      <w:tr w:rsidR="00B37DEF" w:rsidRPr="00FD119B" w14:paraId="5A6DBF36" w14:textId="77777777" w:rsidTr="00B37DEF">
        <w:tc>
          <w:tcPr>
            <w:tcW w:w="1890" w:type="dxa"/>
          </w:tcPr>
          <w:p w14:paraId="5299D429" w14:textId="3F4D54C2" w:rsidR="00B37DEF" w:rsidRPr="00B37DEF" w:rsidRDefault="00B37DEF" w:rsidP="00B37DEF">
            <w:r w:rsidRPr="00B37DEF">
              <w:t>GLP</w:t>
            </w:r>
          </w:p>
        </w:tc>
        <w:tc>
          <w:tcPr>
            <w:tcW w:w="6604" w:type="dxa"/>
          </w:tcPr>
          <w:p w14:paraId="726CFE89" w14:textId="14B95DA9" w:rsidR="00B37DEF" w:rsidRPr="00B37DEF" w:rsidRDefault="00B37DEF" w:rsidP="00B37DEF">
            <w:r w:rsidRPr="00B37DEF">
              <w:t>Good Laboratory Practice(s)</w:t>
            </w:r>
          </w:p>
        </w:tc>
      </w:tr>
      <w:tr w:rsidR="00B37DEF" w:rsidRPr="00FD119B" w14:paraId="381B584A" w14:textId="77777777" w:rsidTr="00B37DEF">
        <w:tc>
          <w:tcPr>
            <w:tcW w:w="1890" w:type="dxa"/>
          </w:tcPr>
          <w:p w14:paraId="4714B2B1" w14:textId="0C16E9B3" w:rsidR="00B37DEF" w:rsidRPr="00B37DEF" w:rsidRDefault="00B37DEF" w:rsidP="00B37DEF">
            <w:r w:rsidRPr="00B37DEF">
              <w:t>GVP</w:t>
            </w:r>
          </w:p>
        </w:tc>
        <w:tc>
          <w:tcPr>
            <w:tcW w:w="6604" w:type="dxa"/>
          </w:tcPr>
          <w:p w14:paraId="00181CF3" w14:textId="66103ED5" w:rsidR="00B37DEF" w:rsidRPr="00B37DEF" w:rsidRDefault="00B37DEF" w:rsidP="00B37DEF">
            <w:r w:rsidRPr="00B37DEF">
              <w:t>Good Pharmacovigilance Practice(s)</w:t>
            </w:r>
          </w:p>
        </w:tc>
      </w:tr>
      <w:tr w:rsidR="00B37DEF" w:rsidRPr="00FD119B" w14:paraId="0404654C" w14:textId="77777777" w:rsidTr="00B37DEF">
        <w:tc>
          <w:tcPr>
            <w:tcW w:w="1890" w:type="dxa"/>
          </w:tcPr>
          <w:p w14:paraId="30B6B16F" w14:textId="37AEBFB2" w:rsidR="00B37DEF" w:rsidRPr="00B37DEF" w:rsidRDefault="00B37DEF" w:rsidP="00B37DEF">
            <w:proofErr w:type="spellStart"/>
            <w:r w:rsidRPr="00B37DEF">
              <w:lastRenderedPageBreak/>
              <w:t>hGH</w:t>
            </w:r>
            <w:proofErr w:type="spellEnd"/>
          </w:p>
        </w:tc>
        <w:tc>
          <w:tcPr>
            <w:tcW w:w="6604" w:type="dxa"/>
          </w:tcPr>
          <w:p w14:paraId="6BC1C736" w14:textId="71A60245" w:rsidR="00B37DEF" w:rsidRPr="00B37DEF" w:rsidRDefault="00B37DEF" w:rsidP="00B37DEF">
            <w:bookmarkStart w:id="9" w:name="_Hlk120107977"/>
            <w:r w:rsidRPr="00B37DEF">
              <w:t>Human growth hormone</w:t>
            </w:r>
            <w:bookmarkEnd w:id="9"/>
          </w:p>
        </w:tc>
      </w:tr>
      <w:tr w:rsidR="00B37DEF" w:rsidRPr="00FD119B" w14:paraId="40D340F7" w14:textId="77777777" w:rsidTr="00B37DEF">
        <w:tc>
          <w:tcPr>
            <w:tcW w:w="1890" w:type="dxa"/>
          </w:tcPr>
          <w:p w14:paraId="1FE84955" w14:textId="037023B8" w:rsidR="00B37DEF" w:rsidRPr="00B37DEF" w:rsidRDefault="00B37DEF" w:rsidP="00B37DEF">
            <w:r w:rsidRPr="00B37DEF">
              <w:t>rhGH</w:t>
            </w:r>
          </w:p>
        </w:tc>
        <w:tc>
          <w:tcPr>
            <w:tcW w:w="6604" w:type="dxa"/>
          </w:tcPr>
          <w:p w14:paraId="2D5213ED" w14:textId="310B644D" w:rsidR="00B37DEF" w:rsidRPr="00B37DEF" w:rsidRDefault="00B37DEF" w:rsidP="00B37DEF">
            <w:r w:rsidRPr="00B37DEF">
              <w:t>Recombinant human growth hormone</w:t>
            </w:r>
          </w:p>
        </w:tc>
      </w:tr>
      <w:tr w:rsidR="00B37DEF" w:rsidRPr="00FD119B" w14:paraId="3CEC42C6" w14:textId="77777777" w:rsidTr="00B37DEF">
        <w:tc>
          <w:tcPr>
            <w:tcW w:w="1890" w:type="dxa"/>
          </w:tcPr>
          <w:p w14:paraId="55873ACE" w14:textId="4ECA8A8F" w:rsidR="00B37DEF" w:rsidRPr="00B37DEF" w:rsidRDefault="00B37DEF" w:rsidP="00B37DEF">
            <w:r w:rsidRPr="00B37DEF">
              <w:t>IGF-1</w:t>
            </w:r>
          </w:p>
        </w:tc>
        <w:tc>
          <w:tcPr>
            <w:tcW w:w="6604" w:type="dxa"/>
          </w:tcPr>
          <w:p w14:paraId="3FE7DBE9" w14:textId="4B32679D" w:rsidR="00B37DEF" w:rsidRPr="00B37DEF" w:rsidRDefault="00B37DEF" w:rsidP="00B37DEF">
            <w:r w:rsidRPr="00B37DEF">
              <w:t>Insulin-like growth factor 1</w:t>
            </w:r>
          </w:p>
        </w:tc>
      </w:tr>
      <w:tr w:rsidR="00B37DEF" w:rsidRPr="00FD119B" w14:paraId="7E7188AB" w14:textId="77777777" w:rsidTr="00B37DEF">
        <w:tc>
          <w:tcPr>
            <w:tcW w:w="1890" w:type="dxa"/>
          </w:tcPr>
          <w:p w14:paraId="7AA806A9" w14:textId="64950241" w:rsidR="00B37DEF" w:rsidRPr="00B37DEF" w:rsidRDefault="00B37DEF" w:rsidP="00B37DEF">
            <w:r w:rsidRPr="00B37DEF">
              <w:t>IFU</w:t>
            </w:r>
          </w:p>
        </w:tc>
        <w:tc>
          <w:tcPr>
            <w:tcW w:w="6604" w:type="dxa"/>
          </w:tcPr>
          <w:p w14:paraId="1B148CFD" w14:textId="262A0338" w:rsidR="00B37DEF" w:rsidRPr="00B37DEF" w:rsidRDefault="00B37DEF" w:rsidP="00B37DEF">
            <w:r w:rsidRPr="00B37DEF">
              <w:t>Instructions for Use</w:t>
            </w:r>
          </w:p>
        </w:tc>
      </w:tr>
      <w:tr w:rsidR="00532D85" w:rsidRPr="00FD119B" w14:paraId="0E73E336" w14:textId="77777777" w:rsidTr="00B37DEF">
        <w:tc>
          <w:tcPr>
            <w:tcW w:w="1890" w:type="dxa"/>
          </w:tcPr>
          <w:p w14:paraId="7B7A0E62" w14:textId="6B48E6A1" w:rsidR="00532D85" w:rsidRPr="00B37DEF" w:rsidRDefault="00532D85" w:rsidP="00B37DEF">
            <w:r w:rsidRPr="00532D85">
              <w:t>LT</w:t>
            </w:r>
          </w:p>
        </w:tc>
        <w:tc>
          <w:tcPr>
            <w:tcW w:w="6604" w:type="dxa"/>
          </w:tcPr>
          <w:p w14:paraId="1486B253" w14:textId="3BAE32EB" w:rsidR="00532D85" w:rsidRPr="00B37DEF" w:rsidRDefault="00532D85" w:rsidP="00B37DEF">
            <w:r w:rsidRPr="00532D85">
              <w:t>Long</w:t>
            </w:r>
            <w:r w:rsidR="00AB45C2">
              <w:t>-</w:t>
            </w:r>
            <w:r w:rsidRPr="00532D85">
              <w:t>term</w:t>
            </w:r>
          </w:p>
        </w:tc>
      </w:tr>
      <w:tr w:rsidR="00B37DEF" w:rsidRPr="00FD119B" w14:paraId="2B7F01A8" w14:textId="77777777" w:rsidTr="00B37DEF">
        <w:tc>
          <w:tcPr>
            <w:tcW w:w="1890" w:type="dxa"/>
          </w:tcPr>
          <w:p w14:paraId="1DEDFAFB" w14:textId="426F42C1" w:rsidR="00B37DEF" w:rsidRPr="00B37DEF" w:rsidRDefault="00B37DEF" w:rsidP="00B37DEF">
            <w:r w:rsidRPr="00B37DEF">
              <w:t>OLE</w:t>
            </w:r>
          </w:p>
        </w:tc>
        <w:tc>
          <w:tcPr>
            <w:tcW w:w="6604" w:type="dxa"/>
          </w:tcPr>
          <w:p w14:paraId="4DC22129" w14:textId="13E7CD22" w:rsidR="00B37DEF" w:rsidRPr="00B37DEF" w:rsidRDefault="00B37DEF" w:rsidP="00B37DEF">
            <w:r w:rsidRPr="00B37DEF">
              <w:t>Open label extension</w:t>
            </w:r>
          </w:p>
        </w:tc>
      </w:tr>
      <w:tr w:rsidR="00B37DEF" w:rsidRPr="00FD119B" w14:paraId="193B81A1" w14:textId="77777777" w:rsidTr="00B37DEF">
        <w:tc>
          <w:tcPr>
            <w:tcW w:w="1890" w:type="dxa"/>
          </w:tcPr>
          <w:p w14:paraId="774A5B50" w14:textId="15E297F8" w:rsidR="00B37DEF" w:rsidRPr="00B37DEF" w:rsidRDefault="00B37DEF" w:rsidP="00B37DEF">
            <w:r w:rsidRPr="00B37DEF">
              <w:t>PD</w:t>
            </w:r>
          </w:p>
        </w:tc>
        <w:tc>
          <w:tcPr>
            <w:tcW w:w="6604" w:type="dxa"/>
          </w:tcPr>
          <w:p w14:paraId="7A9DF7E2" w14:textId="45A8482C" w:rsidR="00B37DEF" w:rsidRPr="00B37DEF" w:rsidRDefault="00B37DEF" w:rsidP="00B37DEF">
            <w:r w:rsidRPr="00B37DEF">
              <w:t>Pharmacodynamic(s)</w:t>
            </w:r>
          </w:p>
        </w:tc>
      </w:tr>
      <w:tr w:rsidR="00B37DEF" w:rsidRPr="00FD119B" w14:paraId="3EE034C1" w14:textId="77777777" w:rsidTr="00B37DEF">
        <w:tc>
          <w:tcPr>
            <w:tcW w:w="1890" w:type="dxa"/>
          </w:tcPr>
          <w:p w14:paraId="101FB7AA" w14:textId="3A549FB0" w:rsidR="00B37DEF" w:rsidRPr="00B37DEF" w:rsidRDefault="00B37DEF" w:rsidP="00B37DEF">
            <w:r w:rsidRPr="00B37DEF">
              <w:t>PDF</w:t>
            </w:r>
          </w:p>
        </w:tc>
        <w:tc>
          <w:tcPr>
            <w:tcW w:w="6604" w:type="dxa"/>
          </w:tcPr>
          <w:p w14:paraId="2BD5A9CF" w14:textId="5B7EF907" w:rsidR="00B37DEF" w:rsidRPr="00B37DEF" w:rsidRDefault="00B37DEF" w:rsidP="00B37DEF">
            <w:r w:rsidRPr="00B37DEF">
              <w:t>Portable document format</w:t>
            </w:r>
          </w:p>
        </w:tc>
      </w:tr>
      <w:tr w:rsidR="00B37DEF" w:rsidRPr="00FD119B" w14:paraId="05D70BEB" w14:textId="77777777" w:rsidTr="00B37DEF">
        <w:tc>
          <w:tcPr>
            <w:tcW w:w="1890" w:type="dxa"/>
          </w:tcPr>
          <w:p w14:paraId="5C40F959" w14:textId="25F0DFF5" w:rsidR="00B37DEF" w:rsidRPr="00B37DEF" w:rsidRDefault="00B37DEF" w:rsidP="00B37DEF">
            <w:r w:rsidRPr="00B37DEF">
              <w:t>PI</w:t>
            </w:r>
          </w:p>
        </w:tc>
        <w:tc>
          <w:tcPr>
            <w:tcW w:w="6604" w:type="dxa"/>
          </w:tcPr>
          <w:p w14:paraId="43AAADB7" w14:textId="75C7C413" w:rsidR="00B37DEF" w:rsidRPr="00B37DEF" w:rsidRDefault="00B37DEF" w:rsidP="00B37DEF">
            <w:r w:rsidRPr="00B37DEF">
              <w:t>Product Information</w:t>
            </w:r>
          </w:p>
        </w:tc>
      </w:tr>
      <w:tr w:rsidR="00B37DEF" w:rsidRPr="00FD119B" w14:paraId="1164258E" w14:textId="77777777" w:rsidTr="00B37DEF">
        <w:tc>
          <w:tcPr>
            <w:tcW w:w="1890" w:type="dxa"/>
          </w:tcPr>
          <w:p w14:paraId="1CCA7B27" w14:textId="4A016581" w:rsidR="00B37DEF" w:rsidRPr="00B37DEF" w:rsidRDefault="00B37DEF" w:rsidP="00B37DEF">
            <w:r w:rsidRPr="00B37DEF">
              <w:t>PK</w:t>
            </w:r>
          </w:p>
        </w:tc>
        <w:tc>
          <w:tcPr>
            <w:tcW w:w="6604" w:type="dxa"/>
          </w:tcPr>
          <w:p w14:paraId="1EE34F41" w14:textId="5798FBD5" w:rsidR="00B37DEF" w:rsidRPr="00B37DEF" w:rsidRDefault="00B37DEF" w:rsidP="00B37DEF">
            <w:r w:rsidRPr="00B37DEF">
              <w:t>Pharmacokinetic(s)</w:t>
            </w:r>
          </w:p>
        </w:tc>
      </w:tr>
      <w:tr w:rsidR="00B37DEF" w:rsidRPr="00FD119B" w14:paraId="63CC53FA" w14:textId="77777777" w:rsidTr="00B37DEF">
        <w:tc>
          <w:tcPr>
            <w:tcW w:w="1890" w:type="dxa"/>
          </w:tcPr>
          <w:p w14:paraId="1B218FEC" w14:textId="30BE818D" w:rsidR="00B37DEF" w:rsidRPr="00B37DEF" w:rsidRDefault="00B37DEF" w:rsidP="00B37DEF">
            <w:r w:rsidRPr="00B37DEF">
              <w:t>PopPK</w:t>
            </w:r>
          </w:p>
        </w:tc>
        <w:tc>
          <w:tcPr>
            <w:tcW w:w="6604" w:type="dxa"/>
          </w:tcPr>
          <w:p w14:paraId="719B099A" w14:textId="1E3C2BEC" w:rsidR="00B37DEF" w:rsidRPr="00B37DEF" w:rsidRDefault="00B37DEF" w:rsidP="00B37DEF">
            <w:r w:rsidRPr="00B37DEF">
              <w:t>Population pharmacokinetic</w:t>
            </w:r>
          </w:p>
        </w:tc>
      </w:tr>
      <w:tr w:rsidR="00B37DEF" w:rsidRPr="00FD119B" w14:paraId="7D261C22" w14:textId="77777777" w:rsidTr="00B37DEF">
        <w:tc>
          <w:tcPr>
            <w:tcW w:w="1890" w:type="dxa"/>
          </w:tcPr>
          <w:p w14:paraId="1A880B61" w14:textId="3A124F32" w:rsidR="00B37DEF" w:rsidRPr="00B37DEF" w:rsidRDefault="00B37DEF" w:rsidP="00B37DEF">
            <w:r w:rsidRPr="00B37DEF">
              <w:t>PSUR</w:t>
            </w:r>
          </w:p>
        </w:tc>
        <w:tc>
          <w:tcPr>
            <w:tcW w:w="6604" w:type="dxa"/>
          </w:tcPr>
          <w:p w14:paraId="7029581C" w14:textId="31201A8C" w:rsidR="00B37DEF" w:rsidRPr="00B37DEF" w:rsidRDefault="00B37DEF" w:rsidP="00B37DEF">
            <w:r w:rsidRPr="00B37DEF">
              <w:t>Periodic safety update report</w:t>
            </w:r>
          </w:p>
        </w:tc>
      </w:tr>
      <w:tr w:rsidR="00B37DEF" w:rsidRPr="00FD119B" w14:paraId="06706B41" w14:textId="77777777" w:rsidTr="00B37DEF">
        <w:tc>
          <w:tcPr>
            <w:tcW w:w="1890" w:type="dxa"/>
          </w:tcPr>
          <w:p w14:paraId="3C172F3B" w14:textId="21CF46BA" w:rsidR="00B37DEF" w:rsidRPr="00B37DEF" w:rsidRDefault="00B37DEF" w:rsidP="00B37DEF">
            <w:r w:rsidRPr="00B37DEF">
              <w:t>RMP</w:t>
            </w:r>
          </w:p>
        </w:tc>
        <w:tc>
          <w:tcPr>
            <w:tcW w:w="6604" w:type="dxa"/>
          </w:tcPr>
          <w:p w14:paraId="607BBF8D" w14:textId="3F1EA9A7" w:rsidR="00B37DEF" w:rsidRPr="00B37DEF" w:rsidRDefault="00B37DEF" w:rsidP="00B37DEF">
            <w:r w:rsidRPr="00B37DEF">
              <w:t>Risk management plan</w:t>
            </w:r>
          </w:p>
        </w:tc>
      </w:tr>
      <w:tr w:rsidR="00B37DEF" w:rsidRPr="00FD119B" w14:paraId="40FB76ED" w14:textId="77777777" w:rsidTr="00B37DEF">
        <w:tc>
          <w:tcPr>
            <w:tcW w:w="1890" w:type="dxa"/>
          </w:tcPr>
          <w:p w14:paraId="1DA4C95A" w14:textId="0A0E3CB1" w:rsidR="00B37DEF" w:rsidRPr="00B37DEF" w:rsidRDefault="00B37DEF" w:rsidP="00B37DEF">
            <w:r w:rsidRPr="00B37DEF">
              <w:t>SD</w:t>
            </w:r>
          </w:p>
        </w:tc>
        <w:tc>
          <w:tcPr>
            <w:tcW w:w="6604" w:type="dxa"/>
          </w:tcPr>
          <w:p w14:paraId="55CD5324" w14:textId="5D231E9E" w:rsidR="00B37DEF" w:rsidRPr="00B37DEF" w:rsidRDefault="00B37DEF" w:rsidP="00B37DEF">
            <w:r w:rsidRPr="00B37DEF">
              <w:t>Standard deviation</w:t>
            </w:r>
          </w:p>
        </w:tc>
      </w:tr>
      <w:tr w:rsidR="00B37DEF" w:rsidRPr="00FD119B" w14:paraId="46F917E1" w14:textId="77777777" w:rsidTr="00B37DEF">
        <w:tc>
          <w:tcPr>
            <w:tcW w:w="1890" w:type="dxa"/>
          </w:tcPr>
          <w:p w14:paraId="4859377A" w14:textId="5D15F39E" w:rsidR="00B37DEF" w:rsidRPr="00B37DEF" w:rsidRDefault="00B37DEF" w:rsidP="00B37DEF">
            <w:r w:rsidRPr="00B37DEF">
              <w:t>SDS</w:t>
            </w:r>
          </w:p>
        </w:tc>
        <w:tc>
          <w:tcPr>
            <w:tcW w:w="6604" w:type="dxa"/>
          </w:tcPr>
          <w:p w14:paraId="21B20F13" w14:textId="5411E3D7" w:rsidR="00B37DEF" w:rsidRPr="00B37DEF" w:rsidRDefault="00B37DEF" w:rsidP="00B37DEF">
            <w:r w:rsidRPr="00B37DEF">
              <w:t>Standard deviation score</w:t>
            </w:r>
          </w:p>
        </w:tc>
      </w:tr>
      <w:tr w:rsidR="00B37DEF" w:rsidRPr="00FD119B" w14:paraId="7A41A4DE" w14:textId="77777777" w:rsidTr="00B37DEF">
        <w:tc>
          <w:tcPr>
            <w:tcW w:w="1890" w:type="dxa"/>
          </w:tcPr>
          <w:p w14:paraId="1CF9145D" w14:textId="435ECA9D" w:rsidR="00B37DEF" w:rsidRPr="00B37DEF" w:rsidRDefault="00B37DEF" w:rsidP="00B37DEF">
            <w:r w:rsidRPr="00B37DEF">
              <w:t>SHOX</w:t>
            </w:r>
          </w:p>
        </w:tc>
        <w:tc>
          <w:tcPr>
            <w:tcW w:w="6604" w:type="dxa"/>
          </w:tcPr>
          <w:p w14:paraId="1A8EFB0B" w14:textId="64F4870F" w:rsidR="00B37DEF" w:rsidRPr="00B37DEF" w:rsidRDefault="00B37DEF" w:rsidP="00B37DEF">
            <w:r w:rsidRPr="00B37DEF">
              <w:t>Short stature homeobox containing</w:t>
            </w:r>
          </w:p>
        </w:tc>
      </w:tr>
      <w:bookmarkEnd w:id="8"/>
    </w:tbl>
    <w:p w14:paraId="06617062" w14:textId="77777777" w:rsidR="00FD119B" w:rsidRDefault="00FD119B" w:rsidP="00FD119B"/>
    <w:p w14:paraId="63211FF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D1D70C5" w14:textId="77777777" w:rsidR="008E7846" w:rsidRDefault="00F53C07" w:rsidP="008E7846">
      <w:pPr>
        <w:pStyle w:val="Heading2"/>
      </w:pPr>
      <w:bookmarkStart w:id="10" w:name="_Toc124495259"/>
      <w:r>
        <w:lastRenderedPageBreak/>
        <w:t>I.</w:t>
      </w:r>
      <w:r w:rsidR="008E7846">
        <w:t xml:space="preserve"> Introduction to product submission</w:t>
      </w:r>
      <w:bookmarkEnd w:id="10"/>
      <w:bookmarkEnd w:id="2"/>
      <w:bookmarkEnd w:id="0"/>
    </w:p>
    <w:p w14:paraId="7D7C1DDD" w14:textId="77777777" w:rsidR="008E7846" w:rsidRDefault="008E7846" w:rsidP="008E7846">
      <w:pPr>
        <w:pStyle w:val="Heading3"/>
        <w:rPr>
          <w:lang w:eastAsia="en-AU"/>
        </w:rPr>
      </w:pPr>
      <w:bookmarkStart w:id="11" w:name="_Toc247691502"/>
      <w:bookmarkStart w:id="12" w:name="_Toc314842483"/>
      <w:bookmarkStart w:id="13" w:name="_Toc124495260"/>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14:paraId="44E61FA3" w14:textId="77777777" w:rsidTr="003735BC">
        <w:tc>
          <w:tcPr>
            <w:tcW w:w="2907" w:type="dxa"/>
          </w:tcPr>
          <w:p w14:paraId="1D92A17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D4A4281" w14:textId="73F8E7F8" w:rsidR="008E7846" w:rsidRPr="003D1E62" w:rsidRDefault="000C65DA" w:rsidP="001B5C90">
            <w:r w:rsidRPr="007F5EB6">
              <w:t>New biological entity</w:t>
            </w:r>
          </w:p>
        </w:tc>
      </w:tr>
      <w:tr w:rsidR="00460036" w:rsidRPr="003D1E62" w14:paraId="6BC2BE94" w14:textId="77777777" w:rsidTr="003735BC">
        <w:tc>
          <w:tcPr>
            <w:tcW w:w="2907" w:type="dxa"/>
          </w:tcPr>
          <w:p w14:paraId="4B5882B6" w14:textId="6A38376E" w:rsidR="00460036" w:rsidRPr="003D1E62" w:rsidRDefault="00460036" w:rsidP="003D1E62">
            <w:pPr>
              <w:rPr>
                <w:i/>
              </w:rPr>
            </w:pPr>
            <w:r w:rsidRPr="00460036">
              <w:rPr>
                <w:i/>
              </w:rPr>
              <w:t>Product name:</w:t>
            </w:r>
          </w:p>
        </w:tc>
        <w:tc>
          <w:tcPr>
            <w:tcW w:w="6307" w:type="dxa"/>
          </w:tcPr>
          <w:p w14:paraId="1D9B596F" w14:textId="4B6524B7" w:rsidR="00460036" w:rsidRPr="003D1E62" w:rsidRDefault="00CB682A" w:rsidP="001B5C90">
            <w:r>
              <w:t>Ngenla</w:t>
            </w:r>
          </w:p>
        </w:tc>
      </w:tr>
      <w:tr w:rsidR="00460036" w:rsidRPr="003D1E62" w14:paraId="501A2EE0" w14:textId="77777777" w:rsidTr="003735BC">
        <w:tc>
          <w:tcPr>
            <w:tcW w:w="2907" w:type="dxa"/>
          </w:tcPr>
          <w:p w14:paraId="29162A01" w14:textId="1AF2F9EF" w:rsidR="00460036" w:rsidRPr="003D1E62" w:rsidRDefault="00460036" w:rsidP="003D1E62">
            <w:pPr>
              <w:rPr>
                <w:i/>
              </w:rPr>
            </w:pPr>
            <w:r w:rsidRPr="00460036">
              <w:rPr>
                <w:i/>
              </w:rPr>
              <w:t>Active ingredient:</w:t>
            </w:r>
          </w:p>
        </w:tc>
        <w:tc>
          <w:tcPr>
            <w:tcW w:w="6307" w:type="dxa"/>
          </w:tcPr>
          <w:p w14:paraId="5256341D" w14:textId="4ECCFCFD" w:rsidR="00460036" w:rsidRPr="003D1E62" w:rsidRDefault="000C65DA" w:rsidP="001B5C90">
            <w:r w:rsidRPr="000C65DA">
              <w:t>Somatrogon</w:t>
            </w:r>
          </w:p>
        </w:tc>
      </w:tr>
      <w:tr w:rsidR="008E7846" w:rsidRPr="003D1E62" w14:paraId="6FC51DC7" w14:textId="77777777" w:rsidTr="003735BC">
        <w:tc>
          <w:tcPr>
            <w:tcW w:w="2907" w:type="dxa"/>
          </w:tcPr>
          <w:p w14:paraId="17852843" w14:textId="77777777" w:rsidR="008E7846" w:rsidRPr="003D1E62" w:rsidRDefault="008E7846" w:rsidP="003D1E62">
            <w:r w:rsidRPr="003D1E62">
              <w:rPr>
                <w:i/>
              </w:rPr>
              <w:t>Decision</w:t>
            </w:r>
            <w:r w:rsidRPr="003D1E62">
              <w:t>:</w:t>
            </w:r>
          </w:p>
        </w:tc>
        <w:tc>
          <w:tcPr>
            <w:tcW w:w="6307" w:type="dxa"/>
          </w:tcPr>
          <w:p w14:paraId="6A66407E" w14:textId="76400E71" w:rsidR="008E7846" w:rsidRPr="003D1E62" w:rsidRDefault="00460036" w:rsidP="001B5C90">
            <w:r w:rsidRPr="00460036">
              <w:t>Approved</w:t>
            </w:r>
          </w:p>
        </w:tc>
      </w:tr>
      <w:tr w:rsidR="008E7846" w:rsidRPr="003D1E62" w14:paraId="07F469F3" w14:textId="77777777" w:rsidTr="003735BC">
        <w:tc>
          <w:tcPr>
            <w:tcW w:w="2907" w:type="dxa"/>
          </w:tcPr>
          <w:p w14:paraId="78144CB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DD0A270" w14:textId="228BD56F" w:rsidR="008E7846" w:rsidRPr="003D1E62" w:rsidRDefault="000C65DA" w:rsidP="001B5C90">
            <w:r w:rsidRPr="007F5EB6">
              <w:t>23 November 2021</w:t>
            </w:r>
          </w:p>
        </w:tc>
      </w:tr>
      <w:tr w:rsidR="00ED2922" w:rsidRPr="003D1E62" w14:paraId="44946FF3" w14:textId="77777777" w:rsidTr="003735BC">
        <w:tc>
          <w:tcPr>
            <w:tcW w:w="2907" w:type="dxa"/>
          </w:tcPr>
          <w:p w14:paraId="469138CA" w14:textId="77777777" w:rsidR="00ED2922" w:rsidRPr="00441C3F" w:rsidRDefault="00ED2922" w:rsidP="001B5C90">
            <w:pPr>
              <w:rPr>
                <w:i/>
              </w:rPr>
            </w:pPr>
            <w:r w:rsidRPr="00441C3F">
              <w:rPr>
                <w:i/>
              </w:rPr>
              <w:t>Date of entry onto ARTG</w:t>
            </w:r>
            <w:r w:rsidR="00500337">
              <w:rPr>
                <w:i/>
              </w:rPr>
              <w:t>:</w:t>
            </w:r>
          </w:p>
        </w:tc>
        <w:tc>
          <w:tcPr>
            <w:tcW w:w="6307" w:type="dxa"/>
          </w:tcPr>
          <w:p w14:paraId="4C3C68FC" w14:textId="1C6BF031" w:rsidR="00ED2922" w:rsidRPr="00441C3F" w:rsidRDefault="000C65DA" w:rsidP="00D153D8">
            <w:pPr>
              <w:rPr>
                <w:i/>
              </w:rPr>
            </w:pPr>
            <w:r w:rsidRPr="00515F49">
              <w:t>30</w:t>
            </w:r>
            <w:r>
              <w:t xml:space="preserve"> November </w:t>
            </w:r>
            <w:r w:rsidRPr="00515F49">
              <w:t>2021</w:t>
            </w:r>
          </w:p>
        </w:tc>
      </w:tr>
      <w:tr w:rsidR="00500337" w:rsidRPr="003D1E62" w14:paraId="21E9BB20" w14:textId="77777777" w:rsidTr="003735BC">
        <w:tc>
          <w:tcPr>
            <w:tcW w:w="2907" w:type="dxa"/>
          </w:tcPr>
          <w:p w14:paraId="0D97A668" w14:textId="1144C24C" w:rsidR="00500337" w:rsidRPr="00441C3F" w:rsidRDefault="00500337" w:rsidP="001B5C90">
            <w:pPr>
              <w:rPr>
                <w:i/>
              </w:rPr>
            </w:pPr>
            <w:r>
              <w:rPr>
                <w:i/>
              </w:rPr>
              <w:t>ARTG numbers:</w:t>
            </w:r>
          </w:p>
        </w:tc>
        <w:tc>
          <w:tcPr>
            <w:tcW w:w="6307" w:type="dxa"/>
          </w:tcPr>
          <w:p w14:paraId="0DD79131" w14:textId="2C2F8CEE" w:rsidR="00500337" w:rsidRPr="00441C3F" w:rsidRDefault="000C65DA" w:rsidP="00EC463D">
            <w:r w:rsidRPr="007F5EB6">
              <w:t>349990</w:t>
            </w:r>
            <w:r>
              <w:t xml:space="preserve"> and </w:t>
            </w:r>
            <w:r w:rsidRPr="00515F49">
              <w:t>350035</w:t>
            </w:r>
          </w:p>
        </w:tc>
      </w:tr>
      <w:tr w:rsidR="003735BC" w:rsidRPr="003D1E62" w14:paraId="77573D0C" w14:textId="77777777" w:rsidTr="003735BC">
        <w:tc>
          <w:tcPr>
            <w:tcW w:w="2907" w:type="dxa"/>
          </w:tcPr>
          <w:p w14:paraId="1EBC888E"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0A9DF247" w14:textId="77777777" w:rsidR="000C65DA" w:rsidRDefault="003735BC" w:rsidP="003735BC">
            <w:r>
              <w:t>Yes</w:t>
            </w:r>
            <w:r w:rsidR="000C65DA">
              <w:t>.</w:t>
            </w:r>
          </w:p>
          <w:p w14:paraId="6C7FA12D" w14:textId="60B75218" w:rsidR="003735BC" w:rsidRPr="00487162" w:rsidRDefault="003735BC" w:rsidP="003735BC">
            <w:r>
              <w:t xml:space="preserve">This product will remain in the scheme for 5 years, starting on the date the product is first supplied in </w:t>
            </w:r>
            <w:r w:rsidRPr="00D453FA">
              <w:t>Australia</w:t>
            </w:r>
            <w:r w:rsidR="000C65DA">
              <w:t>.</w:t>
            </w:r>
          </w:p>
        </w:tc>
      </w:tr>
      <w:tr w:rsidR="008E7846" w:rsidRPr="00487162" w14:paraId="0DC5354A" w14:textId="77777777" w:rsidTr="00BF1190">
        <w:tc>
          <w:tcPr>
            <w:tcW w:w="2907" w:type="dxa"/>
          </w:tcPr>
          <w:p w14:paraId="3CFF8D5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B25FDD5" w14:textId="77777777" w:rsidR="008E7846" w:rsidRDefault="000C65DA" w:rsidP="00E45619">
            <w:pPr>
              <w:rPr>
                <w:lang w:val="es-ES"/>
              </w:rPr>
            </w:pPr>
            <w:r w:rsidRPr="007F5EB6">
              <w:rPr>
                <w:lang w:val="es-ES"/>
              </w:rPr>
              <w:t xml:space="preserve">Pfizer Australia </w:t>
            </w:r>
            <w:proofErr w:type="spellStart"/>
            <w:r w:rsidRPr="007F5EB6">
              <w:rPr>
                <w:lang w:val="es-ES"/>
              </w:rPr>
              <w:t>Pty</w:t>
            </w:r>
            <w:proofErr w:type="spellEnd"/>
            <w:r w:rsidRPr="007F5EB6">
              <w:rPr>
                <w:lang w:val="es-ES"/>
              </w:rPr>
              <w:t xml:space="preserve"> </w:t>
            </w:r>
            <w:proofErr w:type="spellStart"/>
            <w:r w:rsidRPr="007F5EB6">
              <w:rPr>
                <w:lang w:val="es-ES"/>
              </w:rPr>
              <w:t>Ltd</w:t>
            </w:r>
            <w:proofErr w:type="spellEnd"/>
          </w:p>
          <w:p w14:paraId="0B87B1BE" w14:textId="77777777" w:rsidR="000C65DA" w:rsidRPr="007F5EB6" w:rsidRDefault="000C65DA" w:rsidP="000C65DA">
            <w:pPr>
              <w:rPr>
                <w:lang w:val="es-ES"/>
              </w:rPr>
            </w:pPr>
            <w:proofErr w:type="spellStart"/>
            <w:r w:rsidRPr="007F5EB6">
              <w:rPr>
                <w:lang w:val="es-ES"/>
              </w:rPr>
              <w:t>Level</w:t>
            </w:r>
            <w:proofErr w:type="spellEnd"/>
            <w:r w:rsidRPr="007F5EB6">
              <w:rPr>
                <w:lang w:val="es-ES"/>
              </w:rPr>
              <w:t xml:space="preserve"> 17, 151 </w:t>
            </w:r>
            <w:proofErr w:type="spellStart"/>
            <w:r w:rsidRPr="007F5EB6">
              <w:rPr>
                <w:lang w:val="es-ES"/>
              </w:rPr>
              <w:t>Clarence</w:t>
            </w:r>
            <w:proofErr w:type="spellEnd"/>
            <w:r w:rsidRPr="007F5EB6">
              <w:rPr>
                <w:lang w:val="es-ES"/>
              </w:rPr>
              <w:t xml:space="preserve"> Street</w:t>
            </w:r>
          </w:p>
          <w:p w14:paraId="32DE1B2C" w14:textId="6FBA85EF" w:rsidR="000C65DA" w:rsidRPr="00487162" w:rsidRDefault="000C65DA" w:rsidP="000C65DA">
            <w:r w:rsidRPr="007F5EB6">
              <w:rPr>
                <w:lang w:val="es-ES"/>
              </w:rPr>
              <w:t>Sydney NSW 2000</w:t>
            </w:r>
          </w:p>
        </w:tc>
      </w:tr>
      <w:tr w:rsidR="008E7846" w:rsidRPr="00487162" w14:paraId="0BAD1880" w14:textId="77777777" w:rsidTr="00BF1190">
        <w:tc>
          <w:tcPr>
            <w:tcW w:w="2907" w:type="dxa"/>
          </w:tcPr>
          <w:p w14:paraId="619A043D" w14:textId="135ED801" w:rsidR="008E7846" w:rsidRPr="00487162" w:rsidRDefault="001B5C90" w:rsidP="00E45619">
            <w:pPr>
              <w:rPr>
                <w:i/>
              </w:rPr>
            </w:pPr>
            <w:r>
              <w:rPr>
                <w:i/>
              </w:rPr>
              <w:t>Dose form:</w:t>
            </w:r>
          </w:p>
        </w:tc>
        <w:tc>
          <w:tcPr>
            <w:tcW w:w="6307" w:type="dxa"/>
          </w:tcPr>
          <w:p w14:paraId="6CA18661" w14:textId="3604B46F" w:rsidR="008E7846" w:rsidRPr="00487162" w:rsidRDefault="000C65DA" w:rsidP="00E45619">
            <w:r w:rsidRPr="007F5EB6">
              <w:t>Solution for injection</w:t>
            </w:r>
          </w:p>
        </w:tc>
      </w:tr>
      <w:tr w:rsidR="008E7846" w:rsidRPr="00487162" w14:paraId="6C7208D8" w14:textId="77777777" w:rsidTr="00BF1190">
        <w:tc>
          <w:tcPr>
            <w:tcW w:w="2907" w:type="dxa"/>
          </w:tcPr>
          <w:p w14:paraId="0A91914A" w14:textId="39AA1A87" w:rsidR="008E7846" w:rsidRPr="00487162" w:rsidRDefault="00324E45" w:rsidP="00E45619">
            <w:pPr>
              <w:rPr>
                <w:i/>
              </w:rPr>
            </w:pPr>
            <w:r>
              <w:rPr>
                <w:i/>
              </w:rPr>
              <w:t>Strengths:</w:t>
            </w:r>
          </w:p>
        </w:tc>
        <w:tc>
          <w:tcPr>
            <w:tcW w:w="6307" w:type="dxa"/>
          </w:tcPr>
          <w:p w14:paraId="0D7F6C7F" w14:textId="45901277" w:rsidR="008E7846" w:rsidRPr="00487162" w:rsidRDefault="000C65DA" w:rsidP="00E45619">
            <w:r w:rsidRPr="007F5EB6">
              <w:t>24 mg and 60 mg</w:t>
            </w:r>
          </w:p>
        </w:tc>
      </w:tr>
      <w:tr w:rsidR="008E7846" w:rsidRPr="00487162" w14:paraId="66D0C860" w14:textId="77777777" w:rsidTr="00BF1190">
        <w:tc>
          <w:tcPr>
            <w:tcW w:w="2907" w:type="dxa"/>
          </w:tcPr>
          <w:p w14:paraId="6DCA35F6" w14:textId="550D3A86" w:rsidR="008E7846" w:rsidRPr="00487162" w:rsidRDefault="008E7846" w:rsidP="00E45619">
            <w:pPr>
              <w:rPr>
                <w:i/>
              </w:rPr>
            </w:pPr>
            <w:r w:rsidRPr="00487162">
              <w:rPr>
                <w:i/>
              </w:rPr>
              <w:t>Container:</w:t>
            </w:r>
          </w:p>
        </w:tc>
        <w:tc>
          <w:tcPr>
            <w:tcW w:w="6307" w:type="dxa"/>
          </w:tcPr>
          <w:p w14:paraId="01850300" w14:textId="2AFED417" w:rsidR="008E7846" w:rsidRPr="00487162" w:rsidRDefault="000C65DA" w:rsidP="00E45619">
            <w:r w:rsidRPr="000C65DA">
              <w:t>Cartridge (prefilled pen)</w:t>
            </w:r>
          </w:p>
        </w:tc>
      </w:tr>
      <w:tr w:rsidR="008E7846" w:rsidRPr="00487162" w14:paraId="365D86AB" w14:textId="77777777" w:rsidTr="00BF1190">
        <w:tc>
          <w:tcPr>
            <w:tcW w:w="2907" w:type="dxa"/>
          </w:tcPr>
          <w:p w14:paraId="72A3FF9D" w14:textId="2FD6A646" w:rsidR="008E7846" w:rsidRPr="00487162" w:rsidRDefault="008E7846" w:rsidP="00E45619">
            <w:pPr>
              <w:rPr>
                <w:i/>
              </w:rPr>
            </w:pPr>
            <w:r w:rsidRPr="00487162">
              <w:rPr>
                <w:i/>
              </w:rPr>
              <w:t>Pack size:</w:t>
            </w:r>
          </w:p>
        </w:tc>
        <w:tc>
          <w:tcPr>
            <w:tcW w:w="6307" w:type="dxa"/>
          </w:tcPr>
          <w:p w14:paraId="18920F31" w14:textId="20A895A7" w:rsidR="008E7846" w:rsidRPr="00487162" w:rsidRDefault="000C65DA" w:rsidP="00E45619">
            <w:r>
              <w:t>One</w:t>
            </w:r>
          </w:p>
        </w:tc>
      </w:tr>
      <w:tr w:rsidR="008E7846" w:rsidRPr="00487162" w14:paraId="4A9041B2" w14:textId="77777777" w:rsidTr="00BF1190">
        <w:tc>
          <w:tcPr>
            <w:tcW w:w="2907" w:type="dxa"/>
          </w:tcPr>
          <w:p w14:paraId="3D042CF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43E715F" w14:textId="099880AD" w:rsidR="008E7846" w:rsidRPr="000C65DA" w:rsidRDefault="00CB682A" w:rsidP="00E45619">
            <w:pPr>
              <w:rPr>
                <w:i/>
                <w:iCs/>
              </w:rPr>
            </w:pPr>
            <w:r w:rsidRPr="00D63211">
              <w:rPr>
                <w:i/>
                <w:iCs/>
              </w:rPr>
              <w:t>Ngenla</w:t>
            </w:r>
            <w:r w:rsidR="000C65DA" w:rsidRPr="007F5EB6">
              <w:rPr>
                <w:i/>
                <w:iCs/>
              </w:rPr>
              <w:t xml:space="preserve"> is indicated for the long-term treatment of paediatric patients with</w:t>
            </w:r>
            <w:r w:rsidR="000C65DA">
              <w:rPr>
                <w:i/>
                <w:iCs/>
              </w:rPr>
              <w:t xml:space="preserve"> </w:t>
            </w:r>
            <w:r w:rsidR="000C65DA" w:rsidRPr="007F5EB6">
              <w:rPr>
                <w:i/>
                <w:iCs/>
              </w:rPr>
              <w:t>growth disturbance due to insufficient secretion of growth hormone.</w:t>
            </w:r>
          </w:p>
        </w:tc>
      </w:tr>
      <w:tr w:rsidR="008E7846" w:rsidRPr="00487162" w14:paraId="79851E7A" w14:textId="77777777" w:rsidTr="00BF1190">
        <w:tc>
          <w:tcPr>
            <w:tcW w:w="2907" w:type="dxa"/>
          </w:tcPr>
          <w:p w14:paraId="1B3530FE" w14:textId="58C3DBD7" w:rsidR="008E7846" w:rsidRPr="00487162" w:rsidRDefault="008E7846" w:rsidP="00E45619">
            <w:pPr>
              <w:rPr>
                <w:i/>
              </w:rPr>
            </w:pPr>
            <w:r w:rsidRPr="00487162">
              <w:rPr>
                <w:i/>
              </w:rPr>
              <w:t>Route of administration:</w:t>
            </w:r>
          </w:p>
        </w:tc>
        <w:tc>
          <w:tcPr>
            <w:tcW w:w="6307" w:type="dxa"/>
          </w:tcPr>
          <w:p w14:paraId="62A54641" w14:textId="6352846D" w:rsidR="008E7846" w:rsidRPr="00487162" w:rsidRDefault="000C65DA" w:rsidP="00E45619">
            <w:r w:rsidRPr="007F5EB6">
              <w:t>Subcutaneous</w:t>
            </w:r>
          </w:p>
        </w:tc>
      </w:tr>
      <w:tr w:rsidR="008E7846" w:rsidRPr="00487162" w14:paraId="497882A6" w14:textId="77777777" w:rsidTr="00BF1190">
        <w:tc>
          <w:tcPr>
            <w:tcW w:w="2907" w:type="dxa"/>
          </w:tcPr>
          <w:p w14:paraId="02EF199F" w14:textId="77777777" w:rsidR="008E7846" w:rsidRPr="00487162" w:rsidRDefault="008E7846" w:rsidP="00E45619">
            <w:pPr>
              <w:rPr>
                <w:i/>
              </w:rPr>
            </w:pPr>
            <w:r w:rsidRPr="00487162">
              <w:rPr>
                <w:i/>
              </w:rPr>
              <w:t>Dosage:</w:t>
            </w:r>
          </w:p>
        </w:tc>
        <w:tc>
          <w:tcPr>
            <w:tcW w:w="6307" w:type="dxa"/>
          </w:tcPr>
          <w:p w14:paraId="746BAF5C" w14:textId="77777777" w:rsidR="00AA13BE" w:rsidRDefault="00AA13BE" w:rsidP="000C65DA">
            <w:r>
              <w:t>Ngenla is presented as a single-patient-use disposable prefilled pen containing either:</w:t>
            </w:r>
          </w:p>
          <w:p w14:paraId="6271F739" w14:textId="404EEF38" w:rsidR="00AA13BE" w:rsidRDefault="00AA13BE" w:rsidP="00C66833">
            <w:pPr>
              <w:pStyle w:val="ListBullet"/>
            </w:pPr>
            <w:r>
              <w:t xml:space="preserve">somatrogon 24 mg/1.2 mL that delivers a dose in 0.2 mg </w:t>
            </w:r>
            <w:proofErr w:type="gramStart"/>
            <w:r>
              <w:t>increments;</w:t>
            </w:r>
            <w:proofErr w:type="gramEnd"/>
            <w:r>
              <w:t xml:space="preserve"> or</w:t>
            </w:r>
          </w:p>
          <w:p w14:paraId="22D8745C" w14:textId="1478BF1D" w:rsidR="00AA13BE" w:rsidRDefault="00AA13BE" w:rsidP="00C66833">
            <w:pPr>
              <w:pStyle w:val="ListBullet"/>
            </w:pPr>
            <w:r>
              <w:t>somatrogon 60 mg/1.2 mL that delivers a dose in 0.5 mg increments.</w:t>
            </w:r>
          </w:p>
          <w:p w14:paraId="3DAF06C0" w14:textId="33441497" w:rsidR="00AA13BE" w:rsidRDefault="00AA13BE" w:rsidP="000C65DA">
            <w:r>
              <w:lastRenderedPageBreak/>
              <w:t>The prefilled pen is capable of setting and delivering a dose, which is variable, and is determined based on patient body weight.</w:t>
            </w:r>
          </w:p>
          <w:p w14:paraId="7C86FF44" w14:textId="2B357AA6" w:rsidR="000C65DA" w:rsidRPr="00BB701C" w:rsidRDefault="000C65DA" w:rsidP="000C65DA">
            <w:r>
              <w:t xml:space="preserve">The recommended dose is 0.66 mg/kg body weight </w:t>
            </w:r>
            <w:r w:rsidRPr="00BB701C">
              <w:t>administered once weekly by subcutaneous injection.</w:t>
            </w:r>
          </w:p>
          <w:p w14:paraId="66531CE9" w14:textId="5094B32A" w:rsidR="00AA13BE" w:rsidRDefault="00AA13BE" w:rsidP="000C65DA">
            <w:r>
              <w:t>For patients switching from daily growth hormone products, weekly therapy with Ngenla may be initiated at a dose of 0.66 mg/kg/week on the day following their last daily injection.</w:t>
            </w:r>
          </w:p>
          <w:p w14:paraId="1C24CEB4" w14:textId="6D3761B5" w:rsidR="00AA13BE" w:rsidRDefault="00AA13BE" w:rsidP="000C65DA">
            <w:r>
              <w:t>Regular monitoring of insulin-like growth factor-1 (IGF-1) concentrations is recommended during treatment with Ngenla. When monitoring for IGF-1, samples should always be drawn 4 days after the prior dose. The target IGF-1 standard deviation score (SDS) should be the upper normal range not exceeding 2 SDS.</w:t>
            </w:r>
          </w:p>
          <w:p w14:paraId="20B316B6" w14:textId="77777777" w:rsidR="00AA13BE" w:rsidRDefault="00AA13BE" w:rsidP="000C65DA">
            <w:r>
              <w:t>Ngenla dosage may be adjusted as necessary, based on growth velocity, body weight and serum IGF-1 concentration. In patients whose blood IGF-1 concentrations exceed the mean reference value for their age and sex by more than 2 SDS, the dose of Ngenla should be reduced by 15%. More than one dose reduction may be required in some patients. Monitor growth rate closely during the first year of Ngenla treatment. If a patient’s growth rate fails to increase in the first year, assess for treatment adherence and other causes of growth failure (for example, hypothyroidism, undernutrition, advanced bone age) and consider discontinuation of Ngenla treatment.</w:t>
            </w:r>
          </w:p>
          <w:p w14:paraId="4374C218" w14:textId="77777777" w:rsidR="00F87D39" w:rsidRDefault="00AA13BE" w:rsidP="000C65DA">
            <w:r>
              <w:t>Treatment should be discontinued when there is evidence of closure o</w:t>
            </w:r>
            <w:r w:rsidR="00F87D39">
              <w:t>f the epiphyseal growth plates.</w:t>
            </w:r>
          </w:p>
          <w:p w14:paraId="73E0F77B" w14:textId="46F516B4" w:rsidR="00F87D39" w:rsidRDefault="00AA13BE" w:rsidP="000C65DA">
            <w:r>
              <w:t xml:space="preserve">There is no clinical trial experience with doses of </w:t>
            </w:r>
            <w:r w:rsidR="00F87D39">
              <w:t>Ngenla above a dose of 0.66 mg/kg/week.</w:t>
            </w:r>
          </w:p>
          <w:p w14:paraId="4F0DA4BB" w14:textId="77777777" w:rsidR="00F87D39" w:rsidRDefault="00F87D39" w:rsidP="000C65DA">
            <w:r>
              <w:t xml:space="preserve">Ngenla </w:t>
            </w:r>
            <w:r w:rsidR="00AA13BE">
              <w:t>must not be given by any other route of administration including intravenous (IV) o</w:t>
            </w:r>
            <w:r>
              <w:t>r intramuscular (IM) injection.</w:t>
            </w:r>
          </w:p>
          <w:p w14:paraId="16FB65AA" w14:textId="77777777" w:rsidR="00F87D39" w:rsidRDefault="00F87D39" w:rsidP="000C65DA">
            <w:r>
              <w:t xml:space="preserve">Ngenla </w:t>
            </w:r>
            <w:r w:rsidR="00AA13BE">
              <w:t xml:space="preserve">can be given </w:t>
            </w:r>
            <w:r>
              <w:t xml:space="preserve">via subcutaneous injection </w:t>
            </w:r>
            <w:r w:rsidR="00AA13BE">
              <w:t>in the abdomen, thighs, buttocks, or upper arms. The injection site should be rotated weekly. If more than one injection is required to deliver a complete dose, each injection should be administered</w:t>
            </w:r>
            <w:r>
              <w:t xml:space="preserve"> at a different injection site.</w:t>
            </w:r>
          </w:p>
          <w:p w14:paraId="37648605" w14:textId="77777777" w:rsidR="00F87D39" w:rsidRDefault="00AA13BE" w:rsidP="000C65DA">
            <w:r>
              <w:t xml:space="preserve">Administer </w:t>
            </w:r>
            <w:r w:rsidR="00F87D39">
              <w:t xml:space="preserve">Ngenla </w:t>
            </w:r>
            <w:r>
              <w:t xml:space="preserve">once weekly, on the same day each week, at any time of the day. The day of weekly administration can be </w:t>
            </w:r>
            <w:proofErr w:type="gramStart"/>
            <w:r>
              <w:t>changed</w:t>
            </w:r>
            <w:proofErr w:type="gramEnd"/>
            <w:r>
              <w:t xml:space="preserve"> if necessary, as long as the time between the</w:t>
            </w:r>
            <w:r w:rsidR="00F87D39">
              <w:t xml:space="preserve"> two doses is at least 3 days (72 hours).</w:t>
            </w:r>
          </w:p>
          <w:p w14:paraId="00AC5E4F" w14:textId="4FF2DF87" w:rsidR="00AA13BE" w:rsidRDefault="00AA13BE" w:rsidP="000C65DA">
            <w:pPr>
              <w:rPr>
                <w:lang w:eastAsia="en-AU"/>
              </w:rPr>
            </w:pPr>
            <w:r>
              <w:t xml:space="preserve">If a dose is missed, administer </w:t>
            </w:r>
            <w:r w:rsidR="00F87D39">
              <w:t xml:space="preserve">Ngenla </w:t>
            </w:r>
            <w:r>
              <w:t xml:space="preserve">as soon as possible within 3 days after the missed dose. If more than 4 days have passed, skip the missed </w:t>
            </w:r>
            <w:proofErr w:type="gramStart"/>
            <w:r>
              <w:t>dose</w:t>
            </w:r>
            <w:proofErr w:type="gramEnd"/>
            <w:r>
              <w:t xml:space="preserve"> and administer the next dose on the regularly scheduled day. In each case, patients can then resume their regular once weekly dosing schedule.</w:t>
            </w:r>
          </w:p>
          <w:p w14:paraId="5793E672" w14:textId="77777777" w:rsidR="00460036" w:rsidRDefault="00460036" w:rsidP="00E45619">
            <w:r w:rsidRPr="00460036">
              <w:t>For further information regarding dosage, refer to the Product Information.</w:t>
            </w:r>
          </w:p>
          <w:p w14:paraId="5E359A97" w14:textId="307D723A" w:rsidR="00F87D39" w:rsidRPr="00487162" w:rsidRDefault="00F87D39" w:rsidP="00E45619"/>
        </w:tc>
      </w:tr>
      <w:tr w:rsidR="00460036" w:rsidRPr="00487162" w14:paraId="4E4CF07A" w14:textId="77777777" w:rsidTr="00BF1190">
        <w:tc>
          <w:tcPr>
            <w:tcW w:w="2907" w:type="dxa"/>
          </w:tcPr>
          <w:p w14:paraId="2F38F472" w14:textId="77777777" w:rsidR="00460036" w:rsidRPr="00487162" w:rsidRDefault="00460036" w:rsidP="00E45619">
            <w:pPr>
              <w:rPr>
                <w:i/>
              </w:rPr>
            </w:pPr>
            <w:r w:rsidRPr="00460036">
              <w:rPr>
                <w:i/>
              </w:rPr>
              <w:lastRenderedPageBreak/>
              <w:t>Pregnancy category</w:t>
            </w:r>
            <w:r>
              <w:rPr>
                <w:i/>
              </w:rPr>
              <w:t>:</w:t>
            </w:r>
          </w:p>
        </w:tc>
        <w:tc>
          <w:tcPr>
            <w:tcW w:w="6307" w:type="dxa"/>
          </w:tcPr>
          <w:p w14:paraId="7473EFCA" w14:textId="77777777" w:rsidR="000C65DA" w:rsidRPr="007F5EB6" w:rsidRDefault="000C65DA" w:rsidP="000C65DA">
            <w:r w:rsidRPr="007F5EB6">
              <w:t>B1</w:t>
            </w:r>
          </w:p>
          <w:p w14:paraId="1EC302DC" w14:textId="77777777" w:rsidR="000C65DA" w:rsidRDefault="000C65DA" w:rsidP="000C65DA">
            <w:r w:rsidRPr="007F5EB6">
              <w:t>Drugs which have been taken by only a limited number of pregnant women and women of childbearing age, without an increase in the frequency of malformation or other direct or indirect harmful effects on the human fetus having been observed.</w:t>
            </w:r>
          </w:p>
          <w:p w14:paraId="3A5169BE" w14:textId="77777777" w:rsidR="000C65DA" w:rsidRPr="007F5EB6" w:rsidRDefault="000C65DA" w:rsidP="000C65DA">
            <w:r w:rsidRPr="007F5EB6">
              <w:t>Studies in animals have not shown evidence of an increased occurrence of fetal damage.</w:t>
            </w:r>
          </w:p>
          <w:p w14:paraId="602032E2" w14:textId="002BAB49"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8B25321" w14:textId="77777777" w:rsidR="008E7846" w:rsidRDefault="008E7846" w:rsidP="008E7846">
      <w:pPr>
        <w:pStyle w:val="Heading3"/>
      </w:pPr>
      <w:bookmarkStart w:id="14" w:name="_Toc247691503"/>
      <w:bookmarkStart w:id="15" w:name="_Toc314842484"/>
      <w:bookmarkStart w:id="16" w:name="_Toc124495261"/>
      <w:r>
        <w:t>Product background</w:t>
      </w:r>
      <w:bookmarkEnd w:id="14"/>
      <w:bookmarkEnd w:id="15"/>
      <w:bookmarkEnd w:id="16"/>
    </w:p>
    <w:p w14:paraId="6C2C1EE2" w14:textId="34755A41" w:rsidR="008E7846" w:rsidRDefault="00250271" w:rsidP="00940A89">
      <w:r w:rsidRPr="00250271">
        <w:t xml:space="preserve">This AusPAR describes the application by </w:t>
      </w:r>
      <w:r w:rsidR="000C65DA" w:rsidRPr="000C65DA">
        <w:t xml:space="preserve">Pfizer Australia Pty Ltd </w:t>
      </w:r>
      <w:r w:rsidRPr="00250271">
        <w:t xml:space="preserve">(the sponsor) to register </w:t>
      </w:r>
      <w:r w:rsidR="00CB682A">
        <w:t>Ngenla</w:t>
      </w:r>
      <w:r w:rsidRPr="00250271">
        <w:t xml:space="preserve"> (</w:t>
      </w:r>
      <w:r w:rsidR="000C65DA">
        <w:t>s</w:t>
      </w:r>
      <w:r w:rsidR="000C65DA" w:rsidRPr="000C65DA">
        <w:t>omatrogon</w:t>
      </w:r>
      <w:r w:rsidRPr="00250271">
        <w:t xml:space="preserve">) </w:t>
      </w:r>
      <w:r w:rsidR="000C65DA" w:rsidRPr="000C65DA">
        <w:t>24 mg and 60 mg</w:t>
      </w:r>
      <w:r w:rsidRPr="00250271">
        <w:t xml:space="preserve">, </w:t>
      </w:r>
      <w:r w:rsidR="000C65DA">
        <w:t>s</w:t>
      </w:r>
      <w:r w:rsidR="000C65DA" w:rsidRPr="000C65DA">
        <w:t xml:space="preserve">olution for </w:t>
      </w:r>
      <w:r w:rsidR="009D1703">
        <w:t xml:space="preserve">subcutaneous </w:t>
      </w:r>
      <w:r w:rsidR="000C65DA" w:rsidRPr="000C65DA">
        <w:t>injection</w:t>
      </w:r>
      <w:r w:rsidR="009D1703">
        <w:t xml:space="preserve"> via single</w:t>
      </w:r>
      <w:r w:rsidR="009D1703">
        <w:noBreakHyphen/>
        <w:t>patient-use disposable prefilled pens</w:t>
      </w:r>
      <w:r w:rsidRPr="00250271">
        <w:t xml:space="preserve"> for the following proposed indication</w:t>
      </w:r>
      <w:r w:rsidR="00CF5DAD">
        <w:t>:</w:t>
      </w:r>
    </w:p>
    <w:p w14:paraId="3DC80764" w14:textId="06D4200C" w:rsidR="002378A7" w:rsidRPr="002378A7" w:rsidRDefault="00CB682A" w:rsidP="002378A7">
      <w:pPr>
        <w:ind w:left="720"/>
        <w:rPr>
          <w:i/>
          <w:iCs/>
        </w:rPr>
      </w:pPr>
      <w:r w:rsidRPr="00D63211">
        <w:rPr>
          <w:i/>
          <w:iCs/>
        </w:rPr>
        <w:t>Ngenla</w:t>
      </w:r>
      <w:r w:rsidR="002378A7" w:rsidRPr="002378A7">
        <w:rPr>
          <w:i/>
          <w:iCs/>
        </w:rPr>
        <w:t xml:space="preserve"> is indicated for the </w:t>
      </w:r>
      <w:proofErr w:type="gramStart"/>
      <w:r w:rsidR="002378A7" w:rsidRPr="002378A7">
        <w:rPr>
          <w:i/>
          <w:iCs/>
        </w:rPr>
        <w:t>long term</w:t>
      </w:r>
      <w:proofErr w:type="gramEnd"/>
      <w:r w:rsidR="002378A7" w:rsidRPr="002378A7">
        <w:rPr>
          <w:i/>
          <w:iCs/>
        </w:rPr>
        <w:t xml:space="preserve"> treatment of paediatric patients with growth disturbance due to insufficient secretion of growth hormone.</w:t>
      </w:r>
    </w:p>
    <w:p w14:paraId="5D62D95E" w14:textId="0EA004D8" w:rsidR="00F87D39" w:rsidRDefault="002378A7" w:rsidP="002378A7">
      <w:r w:rsidRPr="002378A7">
        <w:t>Growth hormone (somatropin)</w:t>
      </w:r>
      <w:r w:rsidR="00F87D39">
        <w:t xml:space="preserve"> </w:t>
      </w:r>
      <w:r w:rsidR="00F87D39" w:rsidRPr="00F87D39">
        <w:t>is a pe</w:t>
      </w:r>
      <w:r w:rsidR="00F87D39">
        <w:t>ptide hormone that is synthesis</w:t>
      </w:r>
      <w:r w:rsidR="00F87D39" w:rsidRPr="00F87D39">
        <w:t xml:space="preserve">ed </w:t>
      </w:r>
      <w:r w:rsidR="00F87D39">
        <w:t>and secreted by the somatotropic cells</w:t>
      </w:r>
      <w:r w:rsidR="00F87D39" w:rsidRPr="00F87D39">
        <w:t xml:space="preserve"> of the anterior pituitary gland. The main action of </w:t>
      </w:r>
      <w:r w:rsidR="00F87D39">
        <w:t>growth hormone</w:t>
      </w:r>
      <w:r w:rsidR="00F87D39" w:rsidRPr="00F87D39">
        <w:t xml:space="preserve"> is to stimulate linear growth in children; however, it also fosters a healthy body composition by increasing muscle and reducing fat mass, maintains normal blood glucose levels, and promotes a favourable</w:t>
      </w:r>
      <w:r w:rsidR="00F87D39">
        <w:t xml:space="preserve"> lipid profile.</w:t>
      </w:r>
      <w:r w:rsidR="00F87D39">
        <w:rPr>
          <w:rStyle w:val="FootnoteReference"/>
        </w:rPr>
        <w:footnoteReference w:id="3"/>
      </w:r>
    </w:p>
    <w:p w14:paraId="17149822" w14:textId="0990BB07" w:rsidR="002378A7" w:rsidRPr="002378A7" w:rsidRDefault="00F87D39" w:rsidP="002378A7">
      <w:r>
        <w:t xml:space="preserve">Growth hormone (somatropin) </w:t>
      </w:r>
      <w:r w:rsidR="002378A7" w:rsidRPr="002378A7">
        <w:t xml:space="preserve">is used in children and adults with established growth hormone deficiency to restore growth and metabolic function. Somatropin is also used in </w:t>
      </w:r>
      <w:proofErr w:type="gramStart"/>
      <w:r w:rsidR="002378A7" w:rsidRPr="002378A7">
        <w:t>a number of</w:t>
      </w:r>
      <w:proofErr w:type="gramEnd"/>
      <w:r w:rsidR="002378A7" w:rsidRPr="002378A7">
        <w:t xml:space="preserve"> other conditions associated with growth failure as clinical studies have shown benefits in these conditions. Somatropin is also used in Prader Willi syndrome to improve growth reverse body composition abnormalities. There are </w:t>
      </w:r>
      <w:proofErr w:type="gramStart"/>
      <w:r w:rsidR="002378A7" w:rsidRPr="002378A7">
        <w:t>a number of</w:t>
      </w:r>
      <w:proofErr w:type="gramEnd"/>
      <w:r w:rsidR="002378A7" w:rsidRPr="002378A7">
        <w:t xml:space="preserve"> different brands of somatropin</w:t>
      </w:r>
      <w:r w:rsidR="009D1703">
        <w:t xml:space="preserve"> registered in Australia</w:t>
      </w:r>
      <w:r w:rsidR="002378A7" w:rsidRPr="002378A7">
        <w:t>. These have been registered as new formulations.</w:t>
      </w:r>
    </w:p>
    <w:p w14:paraId="7742E3E8" w14:textId="1B899437" w:rsidR="00CD7293" w:rsidRDefault="009D1703" w:rsidP="00AF04FE">
      <w:r>
        <w:t>Via the Pharmaceutical Benefit Scheme (PBS) t</w:t>
      </w:r>
      <w:r w:rsidR="002378A7" w:rsidRPr="002378A7">
        <w:t>he Australian Government funds treatment with growth hormone in children and adults that fulfil strict criteria.</w:t>
      </w:r>
      <w:bookmarkStart w:id="17" w:name="_Ref124413998"/>
      <w:r w:rsidR="00AF04FE">
        <w:rPr>
          <w:rStyle w:val="FootnoteReference"/>
        </w:rPr>
        <w:footnoteReference w:id="4"/>
      </w:r>
      <w:bookmarkEnd w:id="17"/>
      <w:r w:rsidR="00AF04FE">
        <w:t xml:space="preserve"> </w:t>
      </w:r>
      <w:r w:rsidR="002378A7" w:rsidRPr="002378A7">
        <w:t xml:space="preserve">Growth </w:t>
      </w:r>
      <w:r>
        <w:t>h</w:t>
      </w:r>
      <w:r w:rsidR="002378A7" w:rsidRPr="002378A7">
        <w:t xml:space="preserve">ormone is generally prescribed by </w:t>
      </w:r>
      <w:r>
        <w:t xml:space="preserve">specialist </w:t>
      </w:r>
      <w:r w:rsidR="002378A7" w:rsidRPr="002378A7">
        <w:t xml:space="preserve">adult or paediatric endocrinologists. Replacement </w:t>
      </w:r>
      <w:r w:rsidR="00AF04FE">
        <w:t>g</w:t>
      </w:r>
      <w:r w:rsidR="00AF04FE" w:rsidRPr="00AF04FE">
        <w:t>rowth hormone</w:t>
      </w:r>
      <w:r>
        <w:t xml:space="preserve"> therapy</w:t>
      </w:r>
      <w:r w:rsidR="002378A7" w:rsidRPr="002378A7">
        <w:t xml:space="preserve"> has been used for over 30 years in</w:t>
      </w:r>
      <w:r>
        <w:t xml:space="preserve"> the treatment</w:t>
      </w:r>
      <w:r w:rsidR="002378A7" w:rsidRPr="002378A7">
        <w:t xml:space="preserve"> paediatric </w:t>
      </w:r>
      <w:r w:rsidR="00AF04FE">
        <w:t>growth hormone</w:t>
      </w:r>
      <w:r w:rsidR="002378A7" w:rsidRPr="002378A7">
        <w:t xml:space="preserve"> deficiency.</w:t>
      </w:r>
    </w:p>
    <w:p w14:paraId="63D62ADB" w14:textId="2067EC01" w:rsidR="00AF04FE" w:rsidRPr="002378A7" w:rsidRDefault="002378A7" w:rsidP="00AF04FE">
      <w:r w:rsidRPr="002378A7">
        <w:lastRenderedPageBreak/>
        <w:t xml:space="preserve">According to a report from </w:t>
      </w:r>
      <w:r w:rsidR="003856B1">
        <w:t xml:space="preserve">the </w:t>
      </w:r>
      <w:r w:rsidR="003856B1" w:rsidRPr="003856B1">
        <w:t xml:space="preserve">national growth-hormone database </w:t>
      </w:r>
      <w:r w:rsidR="003856B1">
        <w:t>(</w:t>
      </w:r>
      <w:r w:rsidRPr="002378A7">
        <w:t>OZGROW</w:t>
      </w:r>
      <w:r w:rsidR="003856B1">
        <w:t>)</w:t>
      </w:r>
      <w:r w:rsidR="00CD7293">
        <w:t>;</w:t>
      </w:r>
      <w:r w:rsidR="00CD7293">
        <w:rPr>
          <w:rStyle w:val="FootnoteReference"/>
        </w:rPr>
        <w:footnoteReference w:id="5"/>
      </w:r>
      <w:r w:rsidRPr="002378A7">
        <w:t xml:space="preserve"> in 2011, 1730</w:t>
      </w:r>
      <w:r w:rsidR="00AF04FE">
        <w:t> </w:t>
      </w:r>
      <w:r w:rsidRPr="002378A7">
        <w:t xml:space="preserve">children were receiving </w:t>
      </w:r>
      <w:r w:rsidR="00AF04FE">
        <w:t>growth hormone</w:t>
      </w:r>
      <w:r w:rsidRPr="002378A7">
        <w:t xml:space="preserve"> treatment in Australia.</w:t>
      </w:r>
      <w:r w:rsidR="003856B1">
        <w:rPr>
          <w:rStyle w:val="FootnoteReference"/>
        </w:rPr>
        <w:footnoteReference w:id="6"/>
      </w:r>
      <w:r w:rsidRPr="002378A7">
        <w:t xml:space="preserve"> Of these, 49.1% were receiving subsidised </w:t>
      </w:r>
      <w:r w:rsidR="00AF04FE">
        <w:t>growth hormone</w:t>
      </w:r>
      <w:r w:rsidRPr="002378A7">
        <w:t xml:space="preserve"> treatment for short stature and slow growth, 20.6% were receiving </w:t>
      </w:r>
      <w:r w:rsidR="00AF04FE">
        <w:t>growth hormone</w:t>
      </w:r>
      <w:r w:rsidRPr="002378A7">
        <w:t xml:space="preserve"> treatment for biochemical </w:t>
      </w:r>
      <w:r w:rsidR="00AF04FE">
        <w:t>growth hormone</w:t>
      </w:r>
      <w:r w:rsidRPr="002378A7">
        <w:t xml:space="preserve"> deficiency.</w:t>
      </w:r>
      <w:r w:rsidR="00AF04FE">
        <w:t xml:space="preserve"> </w:t>
      </w:r>
      <w:r w:rsidR="00AF04FE" w:rsidRPr="002378A7">
        <w:t xml:space="preserve">In Australia, growth hormone is dosed in </w:t>
      </w:r>
      <w:r w:rsidR="00CD7293">
        <w:t>milligrams</w:t>
      </w:r>
      <w:r w:rsidR="00AF04FE" w:rsidRPr="002378A7">
        <w:t xml:space="preserve"> per body surface area</w:t>
      </w:r>
      <w:r w:rsidR="00CD7293">
        <w:t xml:space="preserve"> (mg/m</w:t>
      </w:r>
      <w:r w:rsidR="00CD7293">
        <w:rPr>
          <w:vertAlign w:val="superscript"/>
        </w:rPr>
        <w:t>2</w:t>
      </w:r>
      <w:r w:rsidR="00CD7293">
        <w:t>)</w:t>
      </w:r>
      <w:r w:rsidR="00AF04FE" w:rsidRPr="002378A7">
        <w:t xml:space="preserve">. Internationally, endocrinologist use </w:t>
      </w:r>
      <w:r w:rsidR="00CD7293">
        <w:t xml:space="preserve">milligrams </w:t>
      </w:r>
      <w:r w:rsidR="00AF04FE">
        <w:t xml:space="preserve">per </w:t>
      </w:r>
      <w:r w:rsidR="00AF04FE" w:rsidRPr="002378A7">
        <w:t>k</w:t>
      </w:r>
      <w:r w:rsidR="00CD7293">
        <w:t>ilogram bodyweight</w:t>
      </w:r>
      <w:r w:rsidR="00AF04FE" w:rsidRPr="002378A7">
        <w:t xml:space="preserve"> dosing</w:t>
      </w:r>
      <w:r w:rsidR="00CD7293">
        <w:t xml:space="preserve"> (mg/kg)</w:t>
      </w:r>
      <w:r w:rsidR="00AF04FE" w:rsidRPr="002378A7">
        <w:t>.</w:t>
      </w:r>
    </w:p>
    <w:p w14:paraId="4A2240BF" w14:textId="0E15A3DF" w:rsidR="00EB76DE" w:rsidRDefault="00EB76DE" w:rsidP="00EB76DE">
      <w:r>
        <w:t>The c</w:t>
      </w:r>
      <w:r w:rsidR="002378A7" w:rsidRPr="002378A7">
        <w:t>urrent treatment options of somatropin preparations</w:t>
      </w:r>
      <w:r>
        <w:t xml:space="preserve"> includes </w:t>
      </w:r>
      <w:r w:rsidR="00CB682A">
        <w:t>Genotropin</w:t>
      </w:r>
      <w:r>
        <w:t xml:space="preserve"> (</w:t>
      </w:r>
      <w:r w:rsidR="003856B1">
        <w:t xml:space="preserve">by </w:t>
      </w:r>
      <w:r w:rsidR="003856B1" w:rsidRPr="003856B1">
        <w:t>Pfizer Australia Pty Ltd</w:t>
      </w:r>
      <w:r>
        <w:t>)</w:t>
      </w:r>
      <w:r w:rsidR="003856B1">
        <w:t>,</w:t>
      </w:r>
      <w:r w:rsidR="003856B1">
        <w:rPr>
          <w:rStyle w:val="FootnoteReference"/>
        </w:rPr>
        <w:footnoteReference w:id="7"/>
      </w:r>
      <w:r w:rsidR="003856B1">
        <w:t xml:space="preserve"> </w:t>
      </w:r>
      <w:proofErr w:type="spellStart"/>
      <w:r>
        <w:t>Omnitrope</w:t>
      </w:r>
      <w:proofErr w:type="spellEnd"/>
      <w:r>
        <w:t xml:space="preserve"> (</w:t>
      </w:r>
      <w:r w:rsidR="00F41CA3">
        <w:t xml:space="preserve">by </w:t>
      </w:r>
      <w:r w:rsidR="003856B1" w:rsidRPr="003856B1">
        <w:t>Sandoz Pty Ltd</w:t>
      </w:r>
      <w:r>
        <w:t>)</w:t>
      </w:r>
      <w:r w:rsidR="003856B1">
        <w:t>,</w:t>
      </w:r>
      <w:r w:rsidR="003856B1">
        <w:rPr>
          <w:rStyle w:val="FootnoteReference"/>
        </w:rPr>
        <w:footnoteReference w:id="8"/>
      </w:r>
      <w:r>
        <w:t xml:space="preserve"> </w:t>
      </w:r>
      <w:proofErr w:type="spellStart"/>
      <w:r>
        <w:t>Norditropin</w:t>
      </w:r>
      <w:proofErr w:type="spellEnd"/>
      <w:r>
        <w:t xml:space="preserve"> (</w:t>
      </w:r>
      <w:r w:rsidR="0019713A">
        <w:t xml:space="preserve">by </w:t>
      </w:r>
      <w:r w:rsidR="003856B1" w:rsidRPr="003856B1">
        <w:t>Novo Nordisk Pharmaceuticals Pty Ltd</w:t>
      </w:r>
      <w:r w:rsidR="003856B1">
        <w:t>)</w:t>
      </w:r>
      <w:r>
        <w:t>,</w:t>
      </w:r>
      <w:r w:rsidR="003856B1">
        <w:rPr>
          <w:rStyle w:val="FootnoteReference"/>
        </w:rPr>
        <w:footnoteReference w:id="9"/>
      </w:r>
      <w:r w:rsidR="003856B1">
        <w:t xml:space="preserve"> </w:t>
      </w:r>
      <w:proofErr w:type="spellStart"/>
      <w:r>
        <w:t>Humatrope</w:t>
      </w:r>
      <w:proofErr w:type="spellEnd"/>
      <w:r>
        <w:t xml:space="preserve"> (</w:t>
      </w:r>
      <w:r w:rsidR="0019713A">
        <w:t xml:space="preserve">by </w:t>
      </w:r>
      <w:r w:rsidR="00F767ED" w:rsidRPr="00F767ED">
        <w:t>Eli Lilly Australia Pty Ltd</w:t>
      </w:r>
      <w:r>
        <w:t>)</w:t>
      </w:r>
      <w:r w:rsidR="00F767ED">
        <w:t>,</w:t>
      </w:r>
      <w:r w:rsidR="00F767ED">
        <w:rPr>
          <w:rStyle w:val="FootnoteReference"/>
        </w:rPr>
        <w:footnoteReference w:id="10"/>
      </w:r>
      <w:r>
        <w:t xml:space="preserve"> </w:t>
      </w:r>
      <w:proofErr w:type="spellStart"/>
      <w:r>
        <w:t>Saizen</w:t>
      </w:r>
      <w:proofErr w:type="spellEnd"/>
      <w:r>
        <w:t xml:space="preserve"> (</w:t>
      </w:r>
      <w:r w:rsidR="0019713A">
        <w:t xml:space="preserve">by </w:t>
      </w:r>
      <w:r w:rsidR="00F767ED" w:rsidRPr="00F767ED">
        <w:t>Merck Healthcare Pty Ltd</w:t>
      </w:r>
      <w:r>
        <w:t>),</w:t>
      </w:r>
      <w:r w:rsidR="00F767ED">
        <w:rPr>
          <w:rStyle w:val="FootnoteReference"/>
        </w:rPr>
        <w:footnoteReference w:id="11"/>
      </w:r>
      <w:r w:rsidR="00F767ED">
        <w:t xml:space="preserve"> </w:t>
      </w:r>
      <w:proofErr w:type="spellStart"/>
      <w:r>
        <w:t>Nutropin</w:t>
      </w:r>
      <w:proofErr w:type="spellEnd"/>
      <w:r>
        <w:t xml:space="preserve"> (</w:t>
      </w:r>
      <w:r w:rsidR="0019713A">
        <w:t xml:space="preserve">by </w:t>
      </w:r>
      <w:r w:rsidR="0019713A" w:rsidRPr="0019713A">
        <w:t>Ipsen Pty Ltd</w:t>
      </w:r>
      <w:r>
        <w:t>)</w:t>
      </w:r>
      <w:r w:rsidR="00F767ED">
        <w:t>,</w:t>
      </w:r>
      <w:r w:rsidR="00F767ED">
        <w:rPr>
          <w:rStyle w:val="FootnoteReference"/>
        </w:rPr>
        <w:footnoteReference w:id="12"/>
      </w:r>
      <w:r>
        <w:t xml:space="preserve"> and </w:t>
      </w:r>
      <w:proofErr w:type="spellStart"/>
      <w:r>
        <w:t>SciTropin</w:t>
      </w:r>
      <w:proofErr w:type="spellEnd"/>
      <w:r>
        <w:t xml:space="preserve"> A (</w:t>
      </w:r>
      <w:r w:rsidR="0019713A">
        <w:t xml:space="preserve">by </w:t>
      </w:r>
      <w:proofErr w:type="spellStart"/>
      <w:r w:rsidR="0019713A" w:rsidRPr="0019713A">
        <w:t>SciGen</w:t>
      </w:r>
      <w:proofErr w:type="spellEnd"/>
      <w:r w:rsidR="0019713A" w:rsidRPr="0019713A">
        <w:t xml:space="preserve"> Australia Pty Ltd</w:t>
      </w:r>
      <w:r>
        <w:t>).</w:t>
      </w:r>
      <w:r w:rsidR="00F767ED">
        <w:rPr>
          <w:rStyle w:val="FootnoteReference"/>
        </w:rPr>
        <w:footnoteReference w:id="13"/>
      </w:r>
    </w:p>
    <w:p w14:paraId="7F8F6646" w14:textId="77777777" w:rsidR="001F3474" w:rsidRDefault="00AF04FE" w:rsidP="002378A7">
      <w:r w:rsidRPr="002378A7">
        <w:t>The sponsor’s rationale for developing this formulation was to improve compliance with treatment.</w:t>
      </w:r>
    </w:p>
    <w:p w14:paraId="3AF6FC8A" w14:textId="79E5954D" w:rsidR="002378A7" w:rsidRPr="00BB701C" w:rsidRDefault="002378A7" w:rsidP="002378A7">
      <w:r w:rsidRPr="00BB701C">
        <w:t xml:space="preserve">Somatrogon is a glycoprotein produced in Chinese </w:t>
      </w:r>
      <w:r w:rsidR="00AF04FE" w:rsidRPr="00BB701C">
        <w:t>hamster ovary ce</w:t>
      </w:r>
      <w:r w:rsidRPr="00BB701C">
        <w:t xml:space="preserve">lls by recombinant </w:t>
      </w:r>
      <w:r w:rsidR="00AF04FE" w:rsidRPr="00BB701C">
        <w:t xml:space="preserve">deoxyribonucleic </w:t>
      </w:r>
      <w:r w:rsidR="00BB701C" w:rsidRPr="00BB701C">
        <w:t xml:space="preserve">acid </w:t>
      </w:r>
      <w:r w:rsidR="00AF04FE" w:rsidRPr="00BB701C">
        <w:t>(</w:t>
      </w:r>
      <w:r w:rsidRPr="00BB701C">
        <w:t>DNA</w:t>
      </w:r>
      <w:r w:rsidR="00AF04FE" w:rsidRPr="00BB701C">
        <w:t>)</w:t>
      </w:r>
      <w:r w:rsidRPr="00BB701C">
        <w:t xml:space="preserve"> technology. It is comprised of the amino acid sequence of human growth hormone (</w:t>
      </w:r>
      <w:proofErr w:type="spellStart"/>
      <w:r w:rsidRPr="00BB701C">
        <w:t>hGH</w:t>
      </w:r>
      <w:proofErr w:type="spellEnd"/>
      <w:r w:rsidRPr="00BB701C">
        <w:t xml:space="preserve">) with one copy of the of C-terminal peptide (CTP) from the beta chain of human chorionic gonadotropin </w:t>
      </w:r>
      <w:r w:rsidR="00CD7293">
        <w:t>(</w:t>
      </w:r>
      <w:proofErr w:type="spellStart"/>
      <w:r w:rsidR="00CD7293">
        <w:t>hCG</w:t>
      </w:r>
      <w:proofErr w:type="spellEnd"/>
      <w:r w:rsidR="00CD7293">
        <w:t xml:space="preserve">) </w:t>
      </w:r>
      <w:r w:rsidRPr="00BB701C">
        <w:t xml:space="preserve">at the N-terminus and two copies of CTP (in tandem) at the C-terminus. The glycosylation and CTP domains account for the </w:t>
      </w:r>
      <w:r w:rsidR="00DD05C1" w:rsidRPr="00BB701C">
        <w:t>half-life</w:t>
      </w:r>
      <w:r w:rsidRPr="00BB701C">
        <w:t xml:space="preserve"> of somatrogon, which allows for weekly dosing.</w:t>
      </w:r>
    </w:p>
    <w:p w14:paraId="2F347F24" w14:textId="6ADB05B0" w:rsidR="00D62A14" w:rsidRPr="00BB701C" w:rsidRDefault="00D62A14" w:rsidP="002378A7">
      <w:r w:rsidRPr="000A4A42">
        <w:t xml:space="preserve">This </w:t>
      </w:r>
      <w:r>
        <w:t>submission</w:t>
      </w:r>
      <w:r w:rsidRPr="000A4A42">
        <w:t xml:space="preserve"> was evaluated as part of the </w:t>
      </w:r>
      <w:hyperlink r:id="rId16" w:history="1">
        <w:r>
          <w:rPr>
            <w:rStyle w:val="Hyperlink"/>
          </w:rPr>
          <w:t>Australia-Canada-Singapore-Switzerland-United Kingdom (ACCESS) Consortium</w:t>
        </w:r>
      </w:hyperlink>
      <w:r w:rsidRPr="000A4A42">
        <w:t xml:space="preserve"> with </w:t>
      </w:r>
      <w:r w:rsidRPr="00D62A14">
        <w:t>work-sharing between the TGA and Health Canada. Each regulator made independent decisions regarding approval (market authorisation) of the new medicine.</w:t>
      </w:r>
    </w:p>
    <w:p w14:paraId="260F7BB4" w14:textId="77777777" w:rsidR="008E7846" w:rsidRPr="003F31A2" w:rsidRDefault="00386150" w:rsidP="008E7846">
      <w:pPr>
        <w:pStyle w:val="Heading3"/>
      </w:pPr>
      <w:bookmarkStart w:id="18" w:name="_Toc314842485"/>
      <w:bookmarkStart w:id="19" w:name="_Toc247691504"/>
      <w:bookmarkStart w:id="20" w:name="_Toc124495262"/>
      <w:r w:rsidRPr="00BB701C">
        <w:t>Regulatory s</w:t>
      </w:r>
      <w:r w:rsidR="008E7846" w:rsidRPr="00BB701C">
        <w:t>tatus</w:t>
      </w:r>
      <w:bookmarkEnd w:id="18"/>
      <w:bookmarkEnd w:id="19"/>
      <w:bookmarkEnd w:id="20"/>
    </w:p>
    <w:p w14:paraId="3B097E7C" w14:textId="3A561C17" w:rsidR="00940A89" w:rsidRDefault="00006FAB" w:rsidP="00940A89">
      <w:bookmarkStart w:id="21" w:name="_Toc247691505"/>
      <w:bookmarkStart w:id="22" w:name="_Toc314842486"/>
      <w:r w:rsidRPr="00006FAB">
        <w:t>This product is considered a new biological entity for Australian regulatory purposes.</w:t>
      </w:r>
    </w:p>
    <w:p w14:paraId="47F62D5D" w14:textId="5ECEA03C" w:rsidR="00006FAB" w:rsidRDefault="00006FAB" w:rsidP="00006FAB">
      <w:r>
        <w:t xml:space="preserve">At the time the TGA considered this application, a similar application had been approved </w:t>
      </w:r>
      <w:r w:rsidR="0048617C">
        <w:t>in Canada on</w:t>
      </w:r>
      <w:r w:rsidR="00EA7444">
        <w:t xml:space="preserve"> </w:t>
      </w:r>
      <w:r w:rsidR="000C079A">
        <w:t>26</w:t>
      </w:r>
      <w:r w:rsidR="00EA7444">
        <w:t xml:space="preserve"> October 2021</w:t>
      </w:r>
      <w:r w:rsidR="00E94D6C">
        <w:t xml:space="preserve"> and in the European Union (EU) on 14 February 2022</w:t>
      </w:r>
      <w:r w:rsidR="00B86575">
        <w:t>.</w:t>
      </w:r>
      <w:r w:rsidR="0048617C">
        <w:t xml:space="preserve"> Similar applications were </w:t>
      </w:r>
      <w:r>
        <w:t xml:space="preserve">under consideration in </w:t>
      </w:r>
      <w:r w:rsidR="0048617C">
        <w:t xml:space="preserve">the </w:t>
      </w:r>
      <w:r w:rsidR="00AF04FE">
        <w:t xml:space="preserve">United States of America </w:t>
      </w:r>
      <w:r>
        <w:t>(</w:t>
      </w:r>
      <w:r w:rsidR="0048617C">
        <w:t>submitted on 22 October 2020</w:t>
      </w:r>
      <w:r>
        <w:t>)</w:t>
      </w:r>
      <w:r w:rsidR="0048617C">
        <w:t xml:space="preserve">, </w:t>
      </w:r>
      <w:r w:rsidR="00DD05C1">
        <w:t>and</w:t>
      </w:r>
      <w:r w:rsidR="00813EF3">
        <w:t xml:space="preserve"> </w:t>
      </w:r>
      <w:r w:rsidR="0048617C" w:rsidRPr="009114FD">
        <w:t>Switzerland (submitted on 1 March 2021).</w:t>
      </w:r>
    </w:p>
    <w:p w14:paraId="103194A2" w14:textId="6B06571E" w:rsidR="009845BB" w:rsidRPr="009114FD" w:rsidRDefault="009845BB" w:rsidP="00006FAB">
      <w:r w:rsidRPr="009845BB">
        <w:t>The following table summarises these submissions and provides the indications where approved.</w:t>
      </w:r>
    </w:p>
    <w:p w14:paraId="3DBCE261" w14:textId="407A8109" w:rsidR="00324E45" w:rsidRPr="00972F0B" w:rsidRDefault="00324E45" w:rsidP="00972F0B">
      <w:pPr>
        <w:pStyle w:val="TableTitle"/>
      </w:pPr>
      <w:r w:rsidRPr="00972F0B">
        <w:lastRenderedPageBreak/>
        <w:t xml:space="preserve">Table </w:t>
      </w:r>
      <w:r>
        <w:fldChar w:fldCharType="begin"/>
      </w:r>
      <w:r>
        <w:instrText>SEQ Table \* ARABIC</w:instrText>
      </w:r>
      <w:r>
        <w:fldChar w:fldCharType="separate"/>
      </w:r>
      <w:r w:rsidR="003735CC">
        <w:rPr>
          <w:noProof/>
        </w:rPr>
        <w:t>1</w:t>
      </w:r>
      <w:r>
        <w:fldChar w:fldCharType="end"/>
      </w:r>
      <w:r w:rsidRPr="00972F0B">
        <w:t>: International regulatory status</w:t>
      </w:r>
    </w:p>
    <w:tbl>
      <w:tblPr>
        <w:tblStyle w:val="TableTGAblue"/>
        <w:tblW w:w="0" w:type="auto"/>
        <w:tblLook w:val="04A0" w:firstRow="1" w:lastRow="0" w:firstColumn="1" w:lastColumn="0" w:noHBand="0" w:noVBand="1"/>
      </w:tblPr>
      <w:tblGrid>
        <w:gridCol w:w="1779"/>
        <w:gridCol w:w="1965"/>
        <w:gridCol w:w="2101"/>
        <w:gridCol w:w="2649"/>
      </w:tblGrid>
      <w:tr w:rsidR="0048617C" w:rsidRPr="009114FD" w14:paraId="738D87BC" w14:textId="77777777" w:rsidTr="00C66833">
        <w:trPr>
          <w:cnfStyle w:val="100000000000" w:firstRow="1" w:lastRow="0" w:firstColumn="0" w:lastColumn="0" w:oddVBand="0" w:evenVBand="0" w:oddHBand="0" w:evenHBand="0" w:firstRowFirstColumn="0" w:firstRowLastColumn="0" w:lastRowFirstColumn="0" w:lastRowLastColumn="0"/>
        </w:trPr>
        <w:tc>
          <w:tcPr>
            <w:tcW w:w="1779" w:type="dxa"/>
            <w:tcBorders>
              <w:top w:val="single" w:sz="4" w:space="0" w:color="auto"/>
              <w:left w:val="single" w:sz="4" w:space="0" w:color="auto"/>
              <w:bottom w:val="single" w:sz="4" w:space="0" w:color="auto"/>
              <w:right w:val="single" w:sz="4" w:space="0" w:color="auto"/>
            </w:tcBorders>
          </w:tcPr>
          <w:p w14:paraId="124572AA" w14:textId="77777777" w:rsidR="00006FAB" w:rsidRPr="009114FD" w:rsidRDefault="00006FAB" w:rsidP="00006FAB">
            <w:pPr>
              <w:ind w:left="0" w:right="0"/>
            </w:pPr>
            <w:r w:rsidRPr="009114FD">
              <w:t>Region</w:t>
            </w:r>
          </w:p>
        </w:tc>
        <w:tc>
          <w:tcPr>
            <w:tcW w:w="1965" w:type="dxa"/>
            <w:tcBorders>
              <w:top w:val="single" w:sz="4" w:space="0" w:color="auto"/>
              <w:left w:val="single" w:sz="4" w:space="0" w:color="auto"/>
              <w:bottom w:val="single" w:sz="4" w:space="0" w:color="auto"/>
              <w:right w:val="single" w:sz="4" w:space="0" w:color="auto"/>
            </w:tcBorders>
          </w:tcPr>
          <w:p w14:paraId="0D4CABEB" w14:textId="77777777" w:rsidR="00006FAB" w:rsidRPr="009114FD" w:rsidRDefault="00006FAB" w:rsidP="00006FAB">
            <w:pPr>
              <w:ind w:left="0" w:right="0"/>
            </w:pPr>
            <w:r w:rsidRPr="009114FD">
              <w:t>Submission date</w:t>
            </w:r>
          </w:p>
        </w:tc>
        <w:tc>
          <w:tcPr>
            <w:tcW w:w="2101" w:type="dxa"/>
            <w:tcBorders>
              <w:top w:val="single" w:sz="4" w:space="0" w:color="auto"/>
              <w:left w:val="single" w:sz="4" w:space="0" w:color="auto"/>
              <w:bottom w:val="single" w:sz="4" w:space="0" w:color="auto"/>
              <w:right w:val="single" w:sz="4" w:space="0" w:color="auto"/>
            </w:tcBorders>
          </w:tcPr>
          <w:p w14:paraId="516C06C6" w14:textId="77777777" w:rsidR="00006FAB" w:rsidRPr="009114FD" w:rsidRDefault="00006FAB" w:rsidP="00006FAB">
            <w:pPr>
              <w:ind w:left="0" w:right="0"/>
            </w:pPr>
            <w:r w:rsidRPr="009114FD">
              <w:t>Status</w:t>
            </w:r>
          </w:p>
        </w:tc>
        <w:tc>
          <w:tcPr>
            <w:tcW w:w="2649" w:type="dxa"/>
            <w:tcBorders>
              <w:top w:val="single" w:sz="4" w:space="0" w:color="auto"/>
              <w:left w:val="single" w:sz="4" w:space="0" w:color="auto"/>
              <w:bottom w:val="single" w:sz="4" w:space="0" w:color="auto"/>
              <w:right w:val="single" w:sz="4" w:space="0" w:color="auto"/>
            </w:tcBorders>
          </w:tcPr>
          <w:p w14:paraId="384CC0CF" w14:textId="77777777" w:rsidR="00006FAB" w:rsidRPr="009114FD" w:rsidRDefault="00006FAB" w:rsidP="00006FAB">
            <w:pPr>
              <w:ind w:left="0" w:right="0"/>
            </w:pPr>
            <w:r w:rsidRPr="009114FD">
              <w:t>Approved indications</w:t>
            </w:r>
          </w:p>
        </w:tc>
      </w:tr>
      <w:tr w:rsidR="0048617C" w:rsidRPr="009114FD" w14:paraId="0A209D08" w14:textId="77777777" w:rsidTr="00C66833">
        <w:tc>
          <w:tcPr>
            <w:tcW w:w="1779" w:type="dxa"/>
            <w:tcBorders>
              <w:top w:val="single" w:sz="4" w:space="0" w:color="auto"/>
            </w:tcBorders>
          </w:tcPr>
          <w:p w14:paraId="179D1C87" w14:textId="5930D7E4" w:rsidR="00006FAB" w:rsidRPr="009114FD" w:rsidRDefault="00AF04FE" w:rsidP="0048617C">
            <w:pPr>
              <w:ind w:left="0"/>
            </w:pPr>
            <w:r w:rsidRPr="009114FD">
              <w:t>United States of America</w:t>
            </w:r>
          </w:p>
        </w:tc>
        <w:tc>
          <w:tcPr>
            <w:tcW w:w="1965" w:type="dxa"/>
            <w:tcBorders>
              <w:top w:val="single" w:sz="4" w:space="0" w:color="auto"/>
            </w:tcBorders>
          </w:tcPr>
          <w:p w14:paraId="015C29CF" w14:textId="185BB620" w:rsidR="00006FAB" w:rsidRPr="009114FD" w:rsidRDefault="000C2D4D" w:rsidP="0048617C">
            <w:pPr>
              <w:ind w:left="0"/>
            </w:pPr>
            <w:r w:rsidRPr="009114FD">
              <w:t>22</w:t>
            </w:r>
            <w:r w:rsidR="008D4725">
              <w:t> </w:t>
            </w:r>
            <w:r w:rsidRPr="009114FD">
              <w:t>October</w:t>
            </w:r>
            <w:r w:rsidR="008D4725">
              <w:t> </w:t>
            </w:r>
            <w:r w:rsidRPr="009114FD">
              <w:t>2020</w:t>
            </w:r>
          </w:p>
        </w:tc>
        <w:tc>
          <w:tcPr>
            <w:tcW w:w="2101" w:type="dxa"/>
            <w:tcBorders>
              <w:top w:val="single" w:sz="4" w:space="0" w:color="auto"/>
            </w:tcBorders>
          </w:tcPr>
          <w:p w14:paraId="47BC979B" w14:textId="0F4AC5AB" w:rsidR="00006FAB" w:rsidRPr="009114FD" w:rsidRDefault="000C2D4D" w:rsidP="0048617C">
            <w:pPr>
              <w:ind w:left="0"/>
            </w:pPr>
            <w:r w:rsidRPr="009114FD">
              <w:t>Under consideration</w:t>
            </w:r>
          </w:p>
        </w:tc>
        <w:tc>
          <w:tcPr>
            <w:tcW w:w="2649" w:type="dxa"/>
            <w:tcBorders>
              <w:top w:val="single" w:sz="4" w:space="0" w:color="auto"/>
            </w:tcBorders>
          </w:tcPr>
          <w:p w14:paraId="2910F1FF" w14:textId="428DFAA0" w:rsidR="00006FAB" w:rsidRPr="009114FD" w:rsidRDefault="000C2D4D" w:rsidP="0048617C">
            <w:pPr>
              <w:ind w:left="0"/>
            </w:pPr>
            <w:r w:rsidRPr="009114FD">
              <w:t>Under consideration</w:t>
            </w:r>
          </w:p>
        </w:tc>
      </w:tr>
      <w:tr w:rsidR="0048617C" w:rsidRPr="009114FD" w14:paraId="01B9C597" w14:textId="77777777" w:rsidTr="00C66833">
        <w:tc>
          <w:tcPr>
            <w:tcW w:w="1779" w:type="dxa"/>
          </w:tcPr>
          <w:p w14:paraId="2034E3C5" w14:textId="7EBC5898" w:rsidR="00006FAB" w:rsidRPr="009114FD" w:rsidRDefault="0048617C" w:rsidP="0048617C">
            <w:pPr>
              <w:ind w:left="0"/>
            </w:pPr>
            <w:r w:rsidRPr="009114FD">
              <w:t>Canada</w:t>
            </w:r>
          </w:p>
        </w:tc>
        <w:tc>
          <w:tcPr>
            <w:tcW w:w="1965" w:type="dxa"/>
          </w:tcPr>
          <w:p w14:paraId="2812C852" w14:textId="2C9F5256" w:rsidR="00006FAB" w:rsidRPr="009114FD" w:rsidRDefault="0048617C" w:rsidP="0048617C">
            <w:pPr>
              <w:ind w:left="0"/>
            </w:pPr>
            <w:r w:rsidRPr="009114FD">
              <w:t>November</w:t>
            </w:r>
            <w:r w:rsidR="008D4725">
              <w:t> </w:t>
            </w:r>
            <w:r w:rsidRPr="009114FD">
              <w:t>2020</w:t>
            </w:r>
          </w:p>
        </w:tc>
        <w:tc>
          <w:tcPr>
            <w:tcW w:w="2101" w:type="dxa"/>
          </w:tcPr>
          <w:p w14:paraId="739BBDC3" w14:textId="1EDBC08E" w:rsidR="00006FAB" w:rsidRPr="009114FD" w:rsidRDefault="0048617C" w:rsidP="0048617C">
            <w:pPr>
              <w:ind w:left="0"/>
            </w:pPr>
            <w:r w:rsidRPr="009114FD">
              <w:t xml:space="preserve">Approved on </w:t>
            </w:r>
            <w:r w:rsidR="000C079A">
              <w:t>26</w:t>
            </w:r>
            <w:r w:rsidR="008D4725">
              <w:t> </w:t>
            </w:r>
            <w:r w:rsidR="00EA7444">
              <w:t>October</w:t>
            </w:r>
            <w:r w:rsidR="008D4725">
              <w:t> </w:t>
            </w:r>
            <w:r w:rsidR="00EA7444">
              <w:t>2021</w:t>
            </w:r>
          </w:p>
        </w:tc>
        <w:tc>
          <w:tcPr>
            <w:tcW w:w="2649" w:type="dxa"/>
          </w:tcPr>
          <w:p w14:paraId="38CBE916" w14:textId="6AE1A6D6" w:rsidR="00006FAB" w:rsidRPr="009114FD" w:rsidRDefault="0048617C" w:rsidP="0048617C">
            <w:pPr>
              <w:ind w:left="0"/>
              <w:rPr>
                <w:i/>
                <w:iCs/>
              </w:rPr>
            </w:pPr>
            <w:r w:rsidRPr="009114FD">
              <w:rPr>
                <w:i/>
                <w:iCs/>
              </w:rPr>
              <w:t>Long term treatment of pediatric patients who have growth failure due to an inadequate secretion of endogenous growth hormone (growth hormone deficiency).</w:t>
            </w:r>
          </w:p>
        </w:tc>
      </w:tr>
      <w:tr w:rsidR="0048617C" w:rsidRPr="009114FD" w14:paraId="682B9A86" w14:textId="77777777" w:rsidTr="00C66833">
        <w:tc>
          <w:tcPr>
            <w:tcW w:w="1779" w:type="dxa"/>
          </w:tcPr>
          <w:p w14:paraId="10048A9A" w14:textId="7E1B1B8B" w:rsidR="0048617C" w:rsidRPr="009114FD" w:rsidRDefault="00AF04FE" w:rsidP="0048617C">
            <w:pPr>
              <w:ind w:left="0"/>
            </w:pPr>
            <w:r w:rsidRPr="009114FD">
              <w:t>European Union</w:t>
            </w:r>
          </w:p>
        </w:tc>
        <w:tc>
          <w:tcPr>
            <w:tcW w:w="1965" w:type="dxa"/>
          </w:tcPr>
          <w:p w14:paraId="1945EF45" w14:textId="53D4C2B2" w:rsidR="0048617C" w:rsidRPr="009114FD" w:rsidRDefault="0048617C" w:rsidP="0048617C">
            <w:pPr>
              <w:ind w:left="0"/>
            </w:pPr>
            <w:r w:rsidRPr="009114FD">
              <w:t>3</w:t>
            </w:r>
            <w:r w:rsidR="008D4725">
              <w:t> </w:t>
            </w:r>
            <w:r w:rsidRPr="009114FD">
              <w:t>February</w:t>
            </w:r>
            <w:r w:rsidR="008D4725">
              <w:t> </w:t>
            </w:r>
            <w:r w:rsidRPr="009114FD">
              <w:t>2021</w:t>
            </w:r>
          </w:p>
        </w:tc>
        <w:tc>
          <w:tcPr>
            <w:tcW w:w="2101" w:type="dxa"/>
          </w:tcPr>
          <w:p w14:paraId="2AF8DBD2" w14:textId="0D7E6188" w:rsidR="00F52F8C" w:rsidRPr="009114FD" w:rsidRDefault="00E94D6C">
            <w:pPr>
              <w:ind w:left="0"/>
            </w:pPr>
            <w:r>
              <w:t>Approved on 14 February 2022</w:t>
            </w:r>
          </w:p>
        </w:tc>
        <w:tc>
          <w:tcPr>
            <w:tcW w:w="2649" w:type="dxa"/>
          </w:tcPr>
          <w:p w14:paraId="2815D225" w14:textId="44705361" w:rsidR="0048617C" w:rsidRPr="00C66833" w:rsidRDefault="00E94D6C" w:rsidP="0048617C">
            <w:pPr>
              <w:ind w:left="0"/>
              <w:rPr>
                <w:i/>
              </w:rPr>
            </w:pPr>
            <w:r w:rsidRPr="00C66833">
              <w:rPr>
                <w:i/>
              </w:rPr>
              <w:t xml:space="preserve">Ngenla is indicated for the treatment of </w:t>
            </w:r>
            <w:r>
              <w:rPr>
                <w:i/>
              </w:rPr>
              <w:t>children and adolescents from 3 </w:t>
            </w:r>
            <w:r w:rsidRPr="00C66833">
              <w:rPr>
                <w:i/>
              </w:rPr>
              <w:t>years of age with growth disturbance due to insufficient secretion of growth hormone.</w:t>
            </w:r>
          </w:p>
        </w:tc>
      </w:tr>
      <w:tr w:rsidR="0048617C" w:rsidRPr="009114FD" w14:paraId="0CAF6A23" w14:textId="77777777" w:rsidTr="00C66833">
        <w:tc>
          <w:tcPr>
            <w:tcW w:w="1779" w:type="dxa"/>
          </w:tcPr>
          <w:p w14:paraId="06BFBCB4" w14:textId="16046332" w:rsidR="0048617C" w:rsidRPr="009114FD" w:rsidRDefault="0048617C" w:rsidP="0048617C">
            <w:pPr>
              <w:ind w:left="0"/>
            </w:pPr>
            <w:r w:rsidRPr="009114FD">
              <w:t>Switzerland</w:t>
            </w:r>
          </w:p>
        </w:tc>
        <w:tc>
          <w:tcPr>
            <w:tcW w:w="1965" w:type="dxa"/>
          </w:tcPr>
          <w:p w14:paraId="04B6FF8A" w14:textId="0696BE4F" w:rsidR="0048617C" w:rsidRPr="009114FD" w:rsidRDefault="0048617C" w:rsidP="0048617C">
            <w:pPr>
              <w:ind w:left="0"/>
            </w:pPr>
            <w:r w:rsidRPr="009114FD">
              <w:t>1</w:t>
            </w:r>
            <w:r w:rsidR="008D4725">
              <w:t> </w:t>
            </w:r>
            <w:r w:rsidRPr="009114FD">
              <w:t>March</w:t>
            </w:r>
            <w:r w:rsidR="008D4725">
              <w:t> </w:t>
            </w:r>
            <w:r w:rsidRPr="009114FD">
              <w:t>2021</w:t>
            </w:r>
          </w:p>
        </w:tc>
        <w:tc>
          <w:tcPr>
            <w:tcW w:w="2101" w:type="dxa"/>
          </w:tcPr>
          <w:p w14:paraId="7B7602CF" w14:textId="1038728F" w:rsidR="0048617C" w:rsidRPr="009114FD" w:rsidRDefault="0048617C" w:rsidP="0048617C">
            <w:pPr>
              <w:ind w:left="0"/>
            </w:pPr>
            <w:r w:rsidRPr="009114FD">
              <w:t>Under consideration</w:t>
            </w:r>
          </w:p>
        </w:tc>
        <w:tc>
          <w:tcPr>
            <w:tcW w:w="2649" w:type="dxa"/>
          </w:tcPr>
          <w:p w14:paraId="7956A972" w14:textId="578DDBFE" w:rsidR="0048617C" w:rsidRPr="009114FD" w:rsidRDefault="0048617C" w:rsidP="0048617C">
            <w:pPr>
              <w:ind w:left="0"/>
            </w:pPr>
            <w:r w:rsidRPr="009114FD">
              <w:t>Under consideration</w:t>
            </w:r>
          </w:p>
        </w:tc>
      </w:tr>
    </w:tbl>
    <w:p w14:paraId="4EDDE81A" w14:textId="77777777" w:rsidR="008E7846" w:rsidRPr="009114FD" w:rsidRDefault="008E7846" w:rsidP="00940A89">
      <w:pPr>
        <w:pStyle w:val="Heading3"/>
      </w:pPr>
      <w:bookmarkStart w:id="23" w:name="_Toc124495263"/>
      <w:r w:rsidRPr="009114FD">
        <w:t>Product Information</w:t>
      </w:r>
      <w:bookmarkEnd w:id="21"/>
      <w:bookmarkEnd w:id="22"/>
      <w:bookmarkEnd w:id="23"/>
    </w:p>
    <w:p w14:paraId="360153AD" w14:textId="36B51B59" w:rsidR="00D62A14" w:rsidRDefault="00D62A14" w:rsidP="00940A89">
      <w:bookmarkStart w:id="24" w:name="_Toc247691506"/>
      <w:bookmarkStart w:id="25" w:name="_Toc314842487"/>
      <w:r>
        <w:t xml:space="preserve">The Product Information (PI) approved with the submission which is described in this AusPAR can be found as Attachment 1. For the most recent PI, please refer to the TGA </w:t>
      </w:r>
      <w:hyperlink r:id="rId17" w:history="1">
        <w:r>
          <w:rPr>
            <w:rStyle w:val="Hyperlink"/>
          </w:rPr>
          <w:t>PI/CMI search facility</w:t>
        </w:r>
        <w:r w:rsidRPr="009556D7">
          <w:rPr>
            <w:rStyle w:val="Hyperlink"/>
            <w:color w:val="auto"/>
            <w:u w:val="none"/>
          </w:rPr>
          <w:t>.</w:t>
        </w:r>
      </w:hyperlink>
    </w:p>
    <w:p w14:paraId="3A362E0F" w14:textId="77777777" w:rsidR="00500337" w:rsidRDefault="00500337" w:rsidP="00500337">
      <w:pPr>
        <w:pStyle w:val="Heading2"/>
      </w:pPr>
      <w:bookmarkStart w:id="26" w:name="_Toc504480011"/>
      <w:bookmarkStart w:id="27" w:name="_Toc124495264"/>
      <w:r>
        <w:t>II. Registration timeline</w:t>
      </w:r>
      <w:bookmarkEnd w:id="26"/>
      <w:bookmarkEnd w:id="27"/>
    </w:p>
    <w:p w14:paraId="22A55D81" w14:textId="77777777" w:rsidR="00D62A14" w:rsidRPr="00C93EC1" w:rsidRDefault="00D62A14" w:rsidP="00D62A14">
      <w:r w:rsidRPr="00C93EC1">
        <w:t xml:space="preserve">The following table captures the key steps and dates for this </w:t>
      </w:r>
      <w:r>
        <w:t>submission</w:t>
      </w:r>
      <w:r w:rsidRPr="00C93EC1">
        <w:t>.</w:t>
      </w:r>
    </w:p>
    <w:p w14:paraId="47DE898B" w14:textId="5FE65976" w:rsidR="006A58A8" w:rsidRPr="00972F0B" w:rsidRDefault="006A58A8" w:rsidP="00972F0B">
      <w:pPr>
        <w:pStyle w:val="TableTitle"/>
      </w:pPr>
      <w:r w:rsidRPr="00972F0B">
        <w:t xml:space="preserve">Table </w:t>
      </w:r>
      <w:r w:rsidR="00324E45" w:rsidRPr="00972F0B">
        <w:t>2</w:t>
      </w:r>
      <w:r w:rsidR="00006FAB" w:rsidRPr="00972F0B">
        <w:t>:</w:t>
      </w:r>
      <w:r w:rsidRPr="00972F0B">
        <w:t xml:space="preserve"> Timeline for Submission </w:t>
      </w:r>
      <w:r w:rsidR="0048617C" w:rsidRPr="00972F0B">
        <w:t>PM-2020-05916-1-5</w:t>
      </w:r>
    </w:p>
    <w:tbl>
      <w:tblPr>
        <w:tblStyle w:val="TableTGAblue"/>
        <w:tblW w:w="0" w:type="auto"/>
        <w:tblLook w:val="04A0" w:firstRow="1" w:lastRow="0" w:firstColumn="1" w:lastColumn="0" w:noHBand="0" w:noVBand="1"/>
      </w:tblPr>
      <w:tblGrid>
        <w:gridCol w:w="4263"/>
        <w:gridCol w:w="4231"/>
      </w:tblGrid>
      <w:tr w:rsidR="00500337" w14:paraId="25A17ADD" w14:textId="77777777" w:rsidTr="000E127C">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65F45CD1" w14:textId="77777777" w:rsidR="00500337" w:rsidRDefault="00500337" w:rsidP="00500337">
            <w:pPr>
              <w:ind w:left="0" w:right="0"/>
            </w:pPr>
            <w:r>
              <w:t>Description</w:t>
            </w:r>
          </w:p>
        </w:tc>
        <w:tc>
          <w:tcPr>
            <w:tcW w:w="4231" w:type="dxa"/>
            <w:tcBorders>
              <w:top w:val="single" w:sz="4" w:space="0" w:color="auto"/>
              <w:left w:val="single" w:sz="4" w:space="0" w:color="auto"/>
              <w:bottom w:val="single" w:sz="4" w:space="0" w:color="auto"/>
              <w:right w:val="single" w:sz="4" w:space="0" w:color="auto"/>
            </w:tcBorders>
          </w:tcPr>
          <w:p w14:paraId="6A99B429" w14:textId="77777777" w:rsidR="00500337" w:rsidRDefault="00500337" w:rsidP="00500337">
            <w:pPr>
              <w:ind w:left="0" w:right="0"/>
            </w:pPr>
            <w:r>
              <w:t>Date</w:t>
            </w:r>
          </w:p>
        </w:tc>
      </w:tr>
      <w:tr w:rsidR="000E127C" w14:paraId="7E67EA8F" w14:textId="77777777" w:rsidTr="000E127C">
        <w:tc>
          <w:tcPr>
            <w:tcW w:w="4263" w:type="dxa"/>
            <w:tcBorders>
              <w:top w:val="single" w:sz="4" w:space="0" w:color="auto"/>
            </w:tcBorders>
          </w:tcPr>
          <w:p w14:paraId="3EF32E54" w14:textId="77777777" w:rsidR="000E127C" w:rsidRDefault="000E127C" w:rsidP="000E127C">
            <w:pPr>
              <w:ind w:left="0" w:right="0"/>
            </w:pPr>
            <w:r>
              <w:t>Submission dossier accepted and first round evaluation commenced</w:t>
            </w:r>
          </w:p>
        </w:tc>
        <w:tc>
          <w:tcPr>
            <w:tcW w:w="4231" w:type="dxa"/>
            <w:tcBorders>
              <w:top w:val="single" w:sz="4" w:space="0" w:color="auto"/>
            </w:tcBorders>
          </w:tcPr>
          <w:p w14:paraId="12450F48" w14:textId="453D6832" w:rsidR="000E127C" w:rsidRDefault="000E127C" w:rsidP="000E127C">
            <w:pPr>
              <w:ind w:left="0" w:right="0"/>
            </w:pPr>
            <w:r w:rsidRPr="007F5EB6">
              <w:rPr>
                <w:color w:val="auto"/>
              </w:rPr>
              <w:t>4 January 2021</w:t>
            </w:r>
          </w:p>
        </w:tc>
      </w:tr>
      <w:tr w:rsidR="000E127C" w14:paraId="6496FE49" w14:textId="77777777" w:rsidTr="000E127C">
        <w:tc>
          <w:tcPr>
            <w:tcW w:w="4263" w:type="dxa"/>
          </w:tcPr>
          <w:p w14:paraId="739E72FF" w14:textId="77777777" w:rsidR="000E127C" w:rsidRDefault="000E127C" w:rsidP="000E127C">
            <w:pPr>
              <w:ind w:left="0" w:right="0"/>
            </w:pPr>
            <w:r>
              <w:t>First round evaluation completed</w:t>
            </w:r>
          </w:p>
        </w:tc>
        <w:tc>
          <w:tcPr>
            <w:tcW w:w="4231" w:type="dxa"/>
          </w:tcPr>
          <w:p w14:paraId="20AE9501" w14:textId="5FD32E2A" w:rsidR="000E127C" w:rsidRDefault="000E127C" w:rsidP="000E127C">
            <w:pPr>
              <w:ind w:left="0" w:right="0"/>
            </w:pPr>
            <w:r w:rsidRPr="007F5EB6">
              <w:rPr>
                <w:color w:val="auto"/>
              </w:rPr>
              <w:t>28 May 2021</w:t>
            </w:r>
          </w:p>
        </w:tc>
      </w:tr>
      <w:tr w:rsidR="000E127C" w14:paraId="2C038321" w14:textId="77777777" w:rsidTr="000E127C">
        <w:tc>
          <w:tcPr>
            <w:tcW w:w="4263" w:type="dxa"/>
          </w:tcPr>
          <w:p w14:paraId="0FA615D5" w14:textId="77777777" w:rsidR="000E127C" w:rsidRDefault="000E127C" w:rsidP="000E127C">
            <w:pPr>
              <w:ind w:left="0" w:right="0"/>
            </w:pPr>
            <w:r>
              <w:t>Sponsor provides responses on questions raised in first round evaluation</w:t>
            </w:r>
          </w:p>
        </w:tc>
        <w:tc>
          <w:tcPr>
            <w:tcW w:w="4231" w:type="dxa"/>
          </w:tcPr>
          <w:p w14:paraId="71A041A6" w14:textId="439EDF98" w:rsidR="000E127C" w:rsidRDefault="000E127C" w:rsidP="000E127C">
            <w:pPr>
              <w:ind w:left="0" w:right="0"/>
            </w:pPr>
            <w:r w:rsidRPr="007F5EB6">
              <w:rPr>
                <w:color w:val="auto"/>
              </w:rPr>
              <w:t>29 July 2021</w:t>
            </w:r>
          </w:p>
        </w:tc>
      </w:tr>
      <w:tr w:rsidR="000E127C" w14:paraId="4A5A9221" w14:textId="77777777" w:rsidTr="000E127C">
        <w:tc>
          <w:tcPr>
            <w:tcW w:w="4263" w:type="dxa"/>
          </w:tcPr>
          <w:p w14:paraId="1DCA4C5A" w14:textId="77777777" w:rsidR="000E127C" w:rsidRDefault="000E127C" w:rsidP="000E127C">
            <w:pPr>
              <w:ind w:left="0" w:right="0"/>
            </w:pPr>
            <w:r>
              <w:t>Second round evaluation completed</w:t>
            </w:r>
          </w:p>
        </w:tc>
        <w:tc>
          <w:tcPr>
            <w:tcW w:w="4231" w:type="dxa"/>
          </w:tcPr>
          <w:p w14:paraId="74DFD77B" w14:textId="40F497FF" w:rsidR="000E127C" w:rsidRDefault="000E127C" w:rsidP="000E127C">
            <w:pPr>
              <w:ind w:left="0" w:right="0"/>
            </w:pPr>
            <w:r w:rsidRPr="007F5EB6">
              <w:rPr>
                <w:color w:val="auto"/>
              </w:rPr>
              <w:t>21 September 2021</w:t>
            </w:r>
          </w:p>
        </w:tc>
      </w:tr>
      <w:tr w:rsidR="000E127C" w14:paraId="28D5253B" w14:textId="77777777" w:rsidTr="000E127C">
        <w:tc>
          <w:tcPr>
            <w:tcW w:w="4263" w:type="dxa"/>
          </w:tcPr>
          <w:p w14:paraId="0FA4CCFD" w14:textId="5ACAB157" w:rsidR="000E127C" w:rsidRDefault="000E127C" w:rsidP="000E127C">
            <w:pPr>
              <w:ind w:left="0" w:right="0"/>
            </w:pPr>
            <w:r>
              <w:t xml:space="preserve">Delegate’s Overall benefit-risk assessment </w:t>
            </w:r>
          </w:p>
        </w:tc>
        <w:tc>
          <w:tcPr>
            <w:tcW w:w="4231" w:type="dxa"/>
          </w:tcPr>
          <w:p w14:paraId="4058C6F3" w14:textId="0277D9F2" w:rsidR="000E127C" w:rsidRDefault="000E127C" w:rsidP="000E127C">
            <w:pPr>
              <w:ind w:left="0" w:right="0"/>
            </w:pPr>
            <w:r>
              <w:rPr>
                <w:color w:val="auto"/>
              </w:rPr>
              <w:t>16 November 2021</w:t>
            </w:r>
          </w:p>
        </w:tc>
      </w:tr>
      <w:tr w:rsidR="000E127C" w14:paraId="30F2C350" w14:textId="77777777" w:rsidTr="000E127C">
        <w:tc>
          <w:tcPr>
            <w:tcW w:w="4263" w:type="dxa"/>
          </w:tcPr>
          <w:p w14:paraId="140210D1" w14:textId="77777777" w:rsidR="000E127C" w:rsidRDefault="000E127C" w:rsidP="000E127C">
            <w:pPr>
              <w:ind w:left="0" w:right="0"/>
            </w:pPr>
            <w:r>
              <w:lastRenderedPageBreak/>
              <w:t>Sponsor’s pre-Advisory Committee response</w:t>
            </w:r>
          </w:p>
        </w:tc>
        <w:tc>
          <w:tcPr>
            <w:tcW w:w="4231" w:type="dxa"/>
          </w:tcPr>
          <w:p w14:paraId="2E4BE73C" w14:textId="4AF0D741" w:rsidR="000E127C" w:rsidRDefault="000E127C" w:rsidP="000E127C">
            <w:pPr>
              <w:ind w:left="0" w:right="0"/>
            </w:pPr>
            <w:r w:rsidRPr="007F5EB6">
              <w:rPr>
                <w:color w:val="auto"/>
              </w:rPr>
              <w:t>Not applicable</w:t>
            </w:r>
          </w:p>
        </w:tc>
      </w:tr>
      <w:tr w:rsidR="000E127C" w14:paraId="210232C3" w14:textId="77777777" w:rsidTr="000E127C">
        <w:tc>
          <w:tcPr>
            <w:tcW w:w="4263" w:type="dxa"/>
          </w:tcPr>
          <w:p w14:paraId="6C3B97B8" w14:textId="77777777" w:rsidR="000E127C" w:rsidRDefault="000E127C" w:rsidP="000E127C">
            <w:pPr>
              <w:ind w:left="0" w:right="0"/>
            </w:pPr>
            <w:r>
              <w:t>Advisory Committee meeting</w:t>
            </w:r>
          </w:p>
        </w:tc>
        <w:tc>
          <w:tcPr>
            <w:tcW w:w="4231" w:type="dxa"/>
          </w:tcPr>
          <w:p w14:paraId="45386EDF" w14:textId="147EB741" w:rsidR="000E127C" w:rsidRDefault="000E127C" w:rsidP="000E127C">
            <w:pPr>
              <w:ind w:left="0" w:right="0"/>
            </w:pPr>
            <w:r w:rsidRPr="007F5EB6">
              <w:rPr>
                <w:color w:val="auto"/>
              </w:rPr>
              <w:t>Not applicable</w:t>
            </w:r>
          </w:p>
        </w:tc>
      </w:tr>
      <w:tr w:rsidR="000E127C" w14:paraId="0EAEDC0A" w14:textId="77777777" w:rsidTr="000E127C">
        <w:tc>
          <w:tcPr>
            <w:tcW w:w="4263" w:type="dxa"/>
          </w:tcPr>
          <w:p w14:paraId="6C621CD5" w14:textId="77777777" w:rsidR="000E127C" w:rsidRDefault="000E127C" w:rsidP="000E127C">
            <w:pPr>
              <w:ind w:left="0" w:right="0"/>
            </w:pPr>
            <w:r>
              <w:t>Registration decision (Outcome)</w:t>
            </w:r>
          </w:p>
        </w:tc>
        <w:tc>
          <w:tcPr>
            <w:tcW w:w="4231" w:type="dxa"/>
          </w:tcPr>
          <w:p w14:paraId="0AF907DA" w14:textId="5C48EC8A" w:rsidR="000E127C" w:rsidRDefault="000E127C" w:rsidP="000E127C">
            <w:pPr>
              <w:ind w:left="0" w:right="0"/>
            </w:pPr>
            <w:r w:rsidRPr="007F5EB6">
              <w:rPr>
                <w:color w:val="auto"/>
              </w:rPr>
              <w:t>23 November 2021</w:t>
            </w:r>
          </w:p>
        </w:tc>
      </w:tr>
      <w:tr w:rsidR="000E127C" w14:paraId="16A9270F" w14:textId="77777777" w:rsidTr="000E127C">
        <w:tc>
          <w:tcPr>
            <w:tcW w:w="4263" w:type="dxa"/>
          </w:tcPr>
          <w:p w14:paraId="653C14B1" w14:textId="77777777" w:rsidR="000E127C" w:rsidRDefault="000E127C" w:rsidP="000E127C">
            <w:pPr>
              <w:ind w:left="0" w:right="0"/>
            </w:pPr>
            <w:r>
              <w:t>Completion of administrative activities and registration on the ARTG</w:t>
            </w:r>
          </w:p>
        </w:tc>
        <w:tc>
          <w:tcPr>
            <w:tcW w:w="4231" w:type="dxa"/>
          </w:tcPr>
          <w:p w14:paraId="4CF2B8D2" w14:textId="74A73F40" w:rsidR="000E127C" w:rsidRDefault="000E127C" w:rsidP="000E127C">
            <w:pPr>
              <w:ind w:left="0" w:right="0"/>
            </w:pPr>
            <w:r w:rsidRPr="00AC0935">
              <w:rPr>
                <w:color w:val="auto"/>
              </w:rPr>
              <w:t>30 November 2021</w:t>
            </w:r>
          </w:p>
        </w:tc>
      </w:tr>
      <w:tr w:rsidR="000E127C" w14:paraId="2E5EFDEF" w14:textId="77777777" w:rsidTr="000E127C">
        <w:tc>
          <w:tcPr>
            <w:tcW w:w="4263" w:type="dxa"/>
          </w:tcPr>
          <w:p w14:paraId="724C2AF6" w14:textId="77777777" w:rsidR="000E127C" w:rsidRDefault="000E127C" w:rsidP="000E127C">
            <w:pPr>
              <w:ind w:left="0" w:right="0"/>
            </w:pPr>
            <w:r>
              <w:t>Number of working days from submission dossier acceptance to registration decision*</w:t>
            </w:r>
          </w:p>
        </w:tc>
        <w:tc>
          <w:tcPr>
            <w:tcW w:w="4231" w:type="dxa"/>
          </w:tcPr>
          <w:p w14:paraId="6F190844" w14:textId="4F326147" w:rsidR="000E127C" w:rsidRDefault="000E127C" w:rsidP="000E127C">
            <w:pPr>
              <w:ind w:left="0" w:right="0"/>
            </w:pPr>
            <w:r>
              <w:rPr>
                <w:color w:val="auto"/>
              </w:rPr>
              <w:t>182</w:t>
            </w:r>
          </w:p>
        </w:tc>
      </w:tr>
    </w:tbl>
    <w:p w14:paraId="0D407C97"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AD0CA53" w14:textId="77777777" w:rsidR="008E7846" w:rsidRPr="00792A32" w:rsidRDefault="00456765" w:rsidP="008E7846">
      <w:pPr>
        <w:pStyle w:val="Heading2"/>
      </w:pPr>
      <w:bookmarkStart w:id="28" w:name="_Toc196046504"/>
      <w:bookmarkStart w:id="29" w:name="_Toc247691527"/>
      <w:bookmarkStart w:id="30" w:name="_Toc314842510"/>
      <w:bookmarkStart w:id="31" w:name="_Toc124495265"/>
      <w:bookmarkStart w:id="32" w:name="_Toc163441390"/>
      <w:bookmarkEnd w:id="24"/>
      <w:bookmarkEnd w:id="25"/>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1"/>
    </w:p>
    <w:p w14:paraId="1661658F" w14:textId="77777777" w:rsidR="00D62A14" w:rsidRDefault="00D62A14" w:rsidP="00D62A14">
      <w:pPr>
        <w:pStyle w:val="Instructions"/>
        <w:rPr>
          <w:i w:val="0"/>
          <w:color w:val="auto"/>
        </w:rPr>
      </w:pPr>
      <w:bookmarkStart w:id="33" w:name="_Toc247691528"/>
      <w:r w:rsidRPr="005A79F5">
        <w:rPr>
          <w:i w:val="0"/>
          <w:color w:val="auto"/>
        </w:rPr>
        <w:t>A summary of the TGA’s assessment for this submission is provided below</w:t>
      </w:r>
      <w:r>
        <w:rPr>
          <w:i w:val="0"/>
          <w:color w:val="auto"/>
        </w:rPr>
        <w:t>.</w:t>
      </w:r>
    </w:p>
    <w:p w14:paraId="1B613FDC" w14:textId="4027199D" w:rsidR="00006FAB" w:rsidRDefault="00006FAB" w:rsidP="00006FAB">
      <w:r>
        <w:t>This section is a TGA summary of wording used in TGA’s evaluation report, which discussed numerous aspects of overseas evaluation reports and included some information that was commercial-in-confidence.</w:t>
      </w:r>
    </w:p>
    <w:p w14:paraId="370E6E3B" w14:textId="5140C38C" w:rsidR="005C1721" w:rsidRDefault="005C1721" w:rsidP="00006FAB">
      <w:r>
        <w:t>The following</w:t>
      </w:r>
      <w:r w:rsidRPr="0057094D">
        <w:t xml:space="preserve"> guideline </w:t>
      </w:r>
      <w:r>
        <w:t>was</w:t>
      </w:r>
      <w:r w:rsidRPr="0057094D">
        <w:t xml:space="preserve"> referred to by the Delegate </w:t>
      </w:r>
      <w:r>
        <w:t>as being relevant to this submission:</w:t>
      </w:r>
    </w:p>
    <w:p w14:paraId="3C9ABA9C" w14:textId="4F330872" w:rsidR="005C1721" w:rsidRPr="009114FD" w:rsidRDefault="00FA28EE" w:rsidP="00FA28EE">
      <w:pPr>
        <w:pStyle w:val="ListBullet"/>
      </w:pPr>
      <w:r w:rsidRPr="009114FD">
        <w:t>European Medicines Agency (</w:t>
      </w:r>
      <w:r w:rsidR="005C1721" w:rsidRPr="009114FD">
        <w:t>EMA</w:t>
      </w:r>
      <w:r w:rsidRPr="009114FD">
        <w:t>)</w:t>
      </w:r>
      <w:r w:rsidR="005C1721" w:rsidRPr="009114FD">
        <w:t xml:space="preserve">, Committee for medicinal products for human use (CHMP), ICH guideline S6 (R1) </w:t>
      </w:r>
      <w:r w:rsidRPr="009114FD">
        <w:t>-</w:t>
      </w:r>
      <w:r w:rsidR="005C1721" w:rsidRPr="009114FD">
        <w:t xml:space="preserve"> preclinical safety evaluation of biotechnology</w:t>
      </w:r>
      <w:r w:rsidRPr="009114FD">
        <w:t>-</w:t>
      </w:r>
      <w:r w:rsidR="005C1721" w:rsidRPr="009114FD">
        <w:t xml:space="preserve">derived pharmaceuticals, EMA/CHMP/ICH/731268/1998, </w:t>
      </w:r>
      <w:r w:rsidR="00E94D6C">
        <w:t xml:space="preserve">dated </w:t>
      </w:r>
      <w:r w:rsidR="005C1721" w:rsidRPr="009114FD">
        <w:t>June 2011.</w:t>
      </w:r>
    </w:p>
    <w:p w14:paraId="59BB9451" w14:textId="77777777" w:rsidR="008E7846" w:rsidRDefault="008E7846" w:rsidP="008E7846">
      <w:pPr>
        <w:pStyle w:val="Heading3"/>
      </w:pPr>
      <w:bookmarkStart w:id="34" w:name="_Toc314842511"/>
      <w:bookmarkStart w:id="35" w:name="_Toc124495266"/>
      <w:r>
        <w:t>Quality</w:t>
      </w:r>
      <w:bookmarkEnd w:id="33"/>
      <w:bookmarkEnd w:id="34"/>
      <w:bookmarkEnd w:id="35"/>
    </w:p>
    <w:p w14:paraId="44831E8E" w14:textId="72A06E52" w:rsidR="00D17956" w:rsidRPr="00D17956" w:rsidRDefault="00D17956" w:rsidP="00D17956">
      <w:r w:rsidRPr="00D17956">
        <w:t xml:space="preserve">Somatrogon finished product </w:t>
      </w:r>
      <w:r w:rsidR="00CB682A">
        <w:t>Ngenla</w:t>
      </w:r>
      <w:r w:rsidR="00CB682A" w:rsidRPr="00D17956">
        <w:t xml:space="preserve"> </w:t>
      </w:r>
      <w:r w:rsidRPr="00D17956">
        <w:t>is a solution for subcutaneous injection presented at the concentration of 20 mg/mL or 50 mg/</w:t>
      </w:r>
      <w:proofErr w:type="spellStart"/>
      <w:r w:rsidRPr="00D17956">
        <w:t>mL.</w:t>
      </w:r>
      <w:proofErr w:type="spellEnd"/>
      <w:r w:rsidRPr="00D17956">
        <w:t xml:space="preserve"> The product is available in a prefilled pen cartridge (</w:t>
      </w:r>
      <w:r w:rsidR="00FA28EE">
        <w:t>t</w:t>
      </w:r>
      <w:r w:rsidRPr="00D17956">
        <w:t xml:space="preserve">ype I glass) with a </w:t>
      </w:r>
      <w:proofErr w:type="spellStart"/>
      <w:r w:rsidRPr="00D17956">
        <w:t>siliconi</w:t>
      </w:r>
      <w:r w:rsidR="00FA28EE">
        <w:t>s</w:t>
      </w:r>
      <w:r w:rsidRPr="00D17956">
        <w:t>ed</w:t>
      </w:r>
      <w:proofErr w:type="spellEnd"/>
      <w:r w:rsidRPr="00D17956">
        <w:t xml:space="preserve"> cartridge plunger stoper that is pre-capped with an aluminium </w:t>
      </w:r>
      <w:proofErr w:type="spellStart"/>
      <w:r w:rsidRPr="00D17956">
        <w:t>overseal</w:t>
      </w:r>
      <w:proofErr w:type="spellEnd"/>
      <w:r w:rsidRPr="00D17956">
        <w:t xml:space="preserve"> containing the bilayer elastomer disc seal. One cartridge of 1.2</w:t>
      </w:r>
      <w:r w:rsidR="00DD05C1">
        <w:t> </w:t>
      </w:r>
      <w:r w:rsidRPr="00D17956">
        <w:t xml:space="preserve">mL </w:t>
      </w:r>
      <w:r w:rsidR="00CB682A">
        <w:t>Ngenla</w:t>
      </w:r>
      <w:r w:rsidRPr="00D17956">
        <w:t xml:space="preserve"> (Somatrogon) contains 24 mg (20 mg/mL) or 60 mg (50 mg/mL) of somatrogon</w:t>
      </w:r>
      <w:r w:rsidR="00E94D6C">
        <w:t>.</w:t>
      </w:r>
    </w:p>
    <w:p w14:paraId="12CA43A5" w14:textId="243B9A30" w:rsidR="00D17956" w:rsidRPr="00D17956" w:rsidRDefault="00D17956" w:rsidP="00D17956">
      <w:r w:rsidRPr="00D17956">
        <w:t xml:space="preserve">Somatrogon active substance is stored and shipped to the finished product manufacturing facility at controlled conditions. Details </w:t>
      </w:r>
      <w:r w:rsidR="00E76105" w:rsidRPr="000E7471">
        <w:t xml:space="preserve">of the </w:t>
      </w:r>
      <w:r w:rsidR="00E94D6C">
        <w:t>drug substance</w:t>
      </w:r>
      <w:r w:rsidR="00E94D6C" w:rsidRPr="000E7471">
        <w:t xml:space="preserve"> </w:t>
      </w:r>
      <w:r w:rsidR="00E76105" w:rsidRPr="000E7471">
        <w:t>container</w:t>
      </w:r>
      <w:r w:rsidR="00D63211">
        <w:t>,</w:t>
      </w:r>
      <w:r w:rsidRPr="000E7471">
        <w:t xml:space="preserve"> </w:t>
      </w:r>
      <w:r w:rsidRPr="00D17956">
        <w:t>compatibility of the container and a summary of an extractable and leachable study was presented and concluded that the risk for patients due to substances leaching into somatrogon active substance is negligible.</w:t>
      </w:r>
    </w:p>
    <w:p w14:paraId="7491C17E" w14:textId="5C5F787D" w:rsidR="00D17956" w:rsidRDefault="00D17956" w:rsidP="00D17956">
      <w:r w:rsidRPr="00D17956">
        <w:t>The overall quality of the active substance was demonstrated via adequate control of the starting material, control of critical steps and intermediates, process validation, extensive characterisation using orthogonal and state</w:t>
      </w:r>
      <w:r w:rsidR="00FA28EE">
        <w:t xml:space="preserve"> </w:t>
      </w:r>
      <w:r w:rsidRPr="00D17956">
        <w:t>of</w:t>
      </w:r>
      <w:r w:rsidR="00FA28EE">
        <w:t xml:space="preserve"> </w:t>
      </w:r>
      <w:r w:rsidRPr="00D17956">
        <w:t>the</w:t>
      </w:r>
      <w:r w:rsidR="00FA28EE">
        <w:t xml:space="preserve"> </w:t>
      </w:r>
      <w:r w:rsidRPr="00D17956">
        <w:t>art analytical methods, control of impurities and contaminants, generation of robust reference materials and batch analyses that covered multiple manufacturing campaigns.</w:t>
      </w:r>
    </w:p>
    <w:p w14:paraId="212830B4" w14:textId="595EEB6B" w:rsidR="00E94D6C" w:rsidRDefault="00E94D6C" w:rsidP="00D17956">
      <w:r>
        <w:t xml:space="preserve">Ngenla prefilled pen is available in two presentations as compared in </w:t>
      </w:r>
      <w:r>
        <w:fldChar w:fldCharType="begin"/>
      </w:r>
      <w:r>
        <w:instrText xml:space="preserve"> REF _Ref124409862 \h </w:instrText>
      </w:r>
      <w:r>
        <w:fldChar w:fldCharType="separate"/>
      </w:r>
      <w:r w:rsidR="003735CC">
        <w:t xml:space="preserve">Table </w:t>
      </w:r>
      <w:r w:rsidR="003735CC">
        <w:rPr>
          <w:noProof/>
        </w:rPr>
        <w:t>2</w:t>
      </w:r>
      <w:r>
        <w:fldChar w:fldCharType="end"/>
      </w:r>
      <w:r>
        <w:t>, shown below.</w:t>
      </w:r>
    </w:p>
    <w:p w14:paraId="43E5B25F" w14:textId="375FEAE8" w:rsidR="00E94D6C" w:rsidRDefault="00E94D6C" w:rsidP="00C66833">
      <w:pPr>
        <w:pStyle w:val="TableTitle"/>
      </w:pPr>
      <w:bookmarkStart w:id="36" w:name="_Ref124409862"/>
      <w:r>
        <w:lastRenderedPageBreak/>
        <w:t xml:space="preserve">Table </w:t>
      </w:r>
      <w:r w:rsidR="00B22E7C">
        <w:fldChar w:fldCharType="begin"/>
      </w:r>
      <w:r w:rsidR="00B22E7C">
        <w:instrText xml:space="preserve"> SEQ Table \* ARABIC </w:instrText>
      </w:r>
      <w:r w:rsidR="00B22E7C">
        <w:fldChar w:fldCharType="separate"/>
      </w:r>
      <w:r w:rsidR="003735CC">
        <w:rPr>
          <w:noProof/>
        </w:rPr>
        <w:t>2</w:t>
      </w:r>
      <w:r w:rsidR="00B22E7C">
        <w:rPr>
          <w:noProof/>
        </w:rPr>
        <w:fldChar w:fldCharType="end"/>
      </w:r>
      <w:bookmarkEnd w:id="36"/>
      <w:r>
        <w:t>: Comparison between 24 mg and 60 mg prefilled pens</w:t>
      </w:r>
    </w:p>
    <w:tbl>
      <w:tblPr>
        <w:tblStyle w:val="TableTGAblue"/>
        <w:tblW w:w="0" w:type="auto"/>
        <w:tblLook w:val="04A0" w:firstRow="1" w:lastRow="0" w:firstColumn="1" w:lastColumn="0" w:noHBand="0" w:noVBand="1"/>
      </w:tblPr>
      <w:tblGrid>
        <w:gridCol w:w="3058"/>
        <w:gridCol w:w="2343"/>
        <w:gridCol w:w="2343"/>
      </w:tblGrid>
      <w:tr w:rsidR="00E94D6C" w14:paraId="0CFC852F" w14:textId="77777777" w:rsidTr="00C66833">
        <w:trPr>
          <w:cnfStyle w:val="100000000000" w:firstRow="1" w:lastRow="0" w:firstColumn="0" w:lastColumn="0" w:oddVBand="0" w:evenVBand="0" w:oddHBand="0" w:evenHBand="0" w:firstRowFirstColumn="0" w:firstRowLastColumn="0" w:lastRowFirstColumn="0" w:lastRowLastColumn="0"/>
          <w:trHeight w:val="697"/>
        </w:trPr>
        <w:tc>
          <w:tcPr>
            <w:tcW w:w="3058" w:type="dxa"/>
          </w:tcPr>
          <w:p w14:paraId="53636161" w14:textId="77777777" w:rsidR="00E94D6C" w:rsidRDefault="00E94D6C" w:rsidP="00D17956"/>
        </w:tc>
        <w:tc>
          <w:tcPr>
            <w:tcW w:w="2343" w:type="dxa"/>
          </w:tcPr>
          <w:p w14:paraId="269BB01D" w14:textId="010B0114" w:rsidR="00E94D6C" w:rsidRDefault="00E94D6C" w:rsidP="00D17956">
            <w:r>
              <w:t>24 mg prefilled pen</w:t>
            </w:r>
          </w:p>
        </w:tc>
        <w:tc>
          <w:tcPr>
            <w:tcW w:w="2343" w:type="dxa"/>
          </w:tcPr>
          <w:p w14:paraId="3DC01543" w14:textId="386E6718" w:rsidR="00E94D6C" w:rsidRDefault="00E94D6C" w:rsidP="00D17956">
            <w:r>
              <w:t>60 mg prefilled pen</w:t>
            </w:r>
          </w:p>
        </w:tc>
      </w:tr>
      <w:tr w:rsidR="00E94D6C" w14:paraId="60D28B40" w14:textId="77777777" w:rsidTr="00C66833">
        <w:trPr>
          <w:trHeight w:val="689"/>
        </w:trPr>
        <w:tc>
          <w:tcPr>
            <w:tcW w:w="3058" w:type="dxa"/>
          </w:tcPr>
          <w:p w14:paraId="4E8E0762" w14:textId="3AFECF96" w:rsidR="00E94D6C" w:rsidRDefault="00E94D6C" w:rsidP="00D17956">
            <w:r>
              <w:t>Somatrogon solution concentration</w:t>
            </w:r>
          </w:p>
        </w:tc>
        <w:tc>
          <w:tcPr>
            <w:tcW w:w="2343" w:type="dxa"/>
          </w:tcPr>
          <w:p w14:paraId="39BE13FE" w14:textId="27DEA1FB" w:rsidR="00E94D6C" w:rsidRDefault="00E94D6C" w:rsidP="00D17956">
            <w:r>
              <w:t>20 mg/mL</w:t>
            </w:r>
          </w:p>
        </w:tc>
        <w:tc>
          <w:tcPr>
            <w:tcW w:w="2343" w:type="dxa"/>
          </w:tcPr>
          <w:p w14:paraId="4C11C580" w14:textId="417600A3" w:rsidR="00E94D6C" w:rsidRDefault="00E94D6C" w:rsidP="00D17956">
            <w:r>
              <w:t>50 mg/mL</w:t>
            </w:r>
          </w:p>
        </w:tc>
      </w:tr>
      <w:tr w:rsidR="00E94D6C" w14:paraId="0837565C" w14:textId="77777777" w:rsidTr="00C66833">
        <w:trPr>
          <w:trHeight w:val="335"/>
        </w:trPr>
        <w:tc>
          <w:tcPr>
            <w:tcW w:w="3058" w:type="dxa"/>
          </w:tcPr>
          <w:p w14:paraId="08350898" w14:textId="2021B6AC" w:rsidR="00E94D6C" w:rsidRDefault="00E94D6C" w:rsidP="00D17956">
            <w:r>
              <w:t>Volume</w:t>
            </w:r>
          </w:p>
        </w:tc>
        <w:tc>
          <w:tcPr>
            <w:tcW w:w="2343" w:type="dxa"/>
          </w:tcPr>
          <w:p w14:paraId="759769BC" w14:textId="18B48516" w:rsidR="00E94D6C" w:rsidRDefault="00E94D6C" w:rsidP="00D17956">
            <w:r>
              <w:t>1.2 mL</w:t>
            </w:r>
          </w:p>
        </w:tc>
        <w:tc>
          <w:tcPr>
            <w:tcW w:w="2343" w:type="dxa"/>
          </w:tcPr>
          <w:p w14:paraId="4CC04C2E" w14:textId="45822D06" w:rsidR="00E94D6C" w:rsidRDefault="00E94D6C" w:rsidP="00D17956">
            <w:r>
              <w:t>1.2 mL</w:t>
            </w:r>
          </w:p>
        </w:tc>
      </w:tr>
      <w:tr w:rsidR="00E94D6C" w14:paraId="77E4DA25" w14:textId="77777777" w:rsidTr="00C66833">
        <w:trPr>
          <w:trHeight w:val="1051"/>
        </w:trPr>
        <w:tc>
          <w:tcPr>
            <w:tcW w:w="3058" w:type="dxa"/>
          </w:tcPr>
          <w:p w14:paraId="4DF8AC23" w14:textId="7302D938" w:rsidR="00E94D6C" w:rsidRDefault="00E94D6C" w:rsidP="00D17956">
            <w:r>
              <w:t>Colour</w:t>
            </w:r>
          </w:p>
        </w:tc>
        <w:tc>
          <w:tcPr>
            <w:tcW w:w="2343" w:type="dxa"/>
          </w:tcPr>
          <w:p w14:paraId="57F094B4" w14:textId="63F9C899" w:rsidR="00E94D6C" w:rsidRDefault="00E94D6C" w:rsidP="00D17956">
            <w:r>
              <w:t>Lilac pen cap, injection button and label</w:t>
            </w:r>
          </w:p>
        </w:tc>
        <w:tc>
          <w:tcPr>
            <w:tcW w:w="2343" w:type="dxa"/>
          </w:tcPr>
          <w:p w14:paraId="43859D00" w14:textId="10E24237" w:rsidR="00E94D6C" w:rsidRDefault="00E94D6C" w:rsidP="00D17956">
            <w:r>
              <w:t>Blue pen cap, injection button and label</w:t>
            </w:r>
          </w:p>
        </w:tc>
      </w:tr>
      <w:tr w:rsidR="00E94D6C" w14:paraId="63813E5A" w14:textId="77777777" w:rsidTr="00C66833">
        <w:trPr>
          <w:trHeight w:val="516"/>
        </w:trPr>
        <w:tc>
          <w:tcPr>
            <w:tcW w:w="3058" w:type="dxa"/>
          </w:tcPr>
          <w:p w14:paraId="2191B2C8" w14:textId="22646855" w:rsidR="00E94D6C" w:rsidRDefault="00E94D6C" w:rsidP="00D17956">
            <w:r>
              <w:t>Dose increments</w:t>
            </w:r>
          </w:p>
        </w:tc>
        <w:tc>
          <w:tcPr>
            <w:tcW w:w="2343" w:type="dxa"/>
          </w:tcPr>
          <w:p w14:paraId="6D846783" w14:textId="65C7B456" w:rsidR="00E94D6C" w:rsidRDefault="00E94D6C" w:rsidP="00D17956">
            <w:r>
              <w:t>0.2 mg/ 0.01 mL</w:t>
            </w:r>
          </w:p>
        </w:tc>
        <w:tc>
          <w:tcPr>
            <w:tcW w:w="2343" w:type="dxa"/>
          </w:tcPr>
          <w:p w14:paraId="0B840A06" w14:textId="28E9783E" w:rsidR="00E94D6C" w:rsidRDefault="00E94D6C" w:rsidP="00D17956">
            <w:r>
              <w:t>0.5 mg/ 0.01 mL</w:t>
            </w:r>
          </w:p>
        </w:tc>
      </w:tr>
      <w:tr w:rsidR="00E94D6C" w14:paraId="5377C402" w14:textId="77777777" w:rsidTr="00C66833">
        <w:trPr>
          <w:trHeight w:val="516"/>
        </w:trPr>
        <w:tc>
          <w:tcPr>
            <w:tcW w:w="3058" w:type="dxa"/>
          </w:tcPr>
          <w:p w14:paraId="7041E90B" w14:textId="7A80CE61" w:rsidR="00E94D6C" w:rsidRDefault="00E94D6C" w:rsidP="00D17956">
            <w:r>
              <w:t>Maximum single dose</w:t>
            </w:r>
          </w:p>
        </w:tc>
        <w:tc>
          <w:tcPr>
            <w:tcW w:w="2343" w:type="dxa"/>
          </w:tcPr>
          <w:p w14:paraId="2B964FD8" w14:textId="78BBF3C7" w:rsidR="00E94D6C" w:rsidRDefault="00E94D6C" w:rsidP="00D17956">
            <w:r>
              <w:t>12 mg (0.6 mL)</w:t>
            </w:r>
          </w:p>
        </w:tc>
        <w:tc>
          <w:tcPr>
            <w:tcW w:w="2343" w:type="dxa"/>
          </w:tcPr>
          <w:p w14:paraId="4081ED42" w14:textId="4738AC8A" w:rsidR="00E94D6C" w:rsidRDefault="00E94D6C" w:rsidP="00D17956">
            <w:r>
              <w:t>30 mg (0.6 mL)</w:t>
            </w:r>
          </w:p>
        </w:tc>
      </w:tr>
    </w:tbl>
    <w:p w14:paraId="4FB50772" w14:textId="559A3121" w:rsidR="00E94D6C" w:rsidRDefault="00E94D6C" w:rsidP="00E94D6C">
      <w:r>
        <w:t>Chemical and physical in-use stability has been demonstrated for 28 days from the date of first use of the prefilled pen, when the prefilled pen has been stored at 2°C to 8°C in between each use.</w:t>
      </w:r>
    </w:p>
    <w:p w14:paraId="155AFE10" w14:textId="61B443B5" w:rsidR="00E94D6C" w:rsidRDefault="00E94D6C" w:rsidP="00E94D6C">
      <w:r>
        <w:t>Ngenla (somatrogon) prefilled pens have the following storage conditions:</w:t>
      </w:r>
    </w:p>
    <w:p w14:paraId="157FB2E1" w14:textId="0807D18F" w:rsidR="00E94D6C" w:rsidRDefault="00E94D6C" w:rsidP="00C66833">
      <w:pPr>
        <w:pStyle w:val="ListBullet"/>
      </w:pPr>
      <w:r>
        <w:t>Before first use, Ngenla should be stored at 2°C to 8°C (refrigerate, do not freeze). Store in the original carton and away from direct sunlight.</w:t>
      </w:r>
    </w:p>
    <w:p w14:paraId="5316D03B" w14:textId="66EBB641" w:rsidR="00E94D6C" w:rsidRDefault="00E94D6C" w:rsidP="00C66833">
      <w:pPr>
        <w:pStyle w:val="ListBullet"/>
      </w:pPr>
      <w:r>
        <w:t>Do not freeze Ngenla or expose Ngenla to heat. Do not use Ngenla if it has been frozen.</w:t>
      </w:r>
    </w:p>
    <w:p w14:paraId="318446D6" w14:textId="77777777" w:rsidR="00E94D6C" w:rsidRDefault="00E94D6C" w:rsidP="00C66833">
      <w:pPr>
        <w:pStyle w:val="ListBullet"/>
      </w:pPr>
      <w:r>
        <w:t>Unused prefilled pens may be used until the expiration date printed on the carton, only if the pen has been kept in the refrigerator.</w:t>
      </w:r>
    </w:p>
    <w:p w14:paraId="62D81878" w14:textId="7EA25C3A" w:rsidR="00E94D6C" w:rsidRDefault="00E94D6C" w:rsidP="00C66833">
      <w:pPr>
        <w:pStyle w:val="ListBullet"/>
      </w:pPr>
      <w:r>
        <w:t>After first use of Ngenla, the pen can be stored for up to 28 days of use in a refrigerator (2°C to 8°C).</w:t>
      </w:r>
    </w:p>
    <w:p w14:paraId="42CA8898" w14:textId="77777777" w:rsidR="00E94D6C" w:rsidRDefault="00E94D6C" w:rsidP="00C66833">
      <w:pPr>
        <w:pStyle w:val="ListBullet"/>
      </w:pPr>
      <w:r>
        <w:t>Always remove and safely discard the needle after each injection and store the Ngenla prefilled pen without an injection needle attached. Always use a new needle for each injection. Replace the cap on the prefilled pen when it is not in use.</w:t>
      </w:r>
    </w:p>
    <w:p w14:paraId="1B8F6F0E" w14:textId="77777777" w:rsidR="00E94D6C" w:rsidRDefault="00E94D6C" w:rsidP="00C66833">
      <w:pPr>
        <w:pStyle w:val="ListBullet"/>
      </w:pPr>
      <w:r>
        <w:t>Store the prefilled pen at 2°C to 8°C in between each use.</w:t>
      </w:r>
    </w:p>
    <w:p w14:paraId="26596536" w14:textId="048893F0" w:rsidR="00E94D6C" w:rsidRDefault="00E94D6C" w:rsidP="00C66833">
      <w:pPr>
        <w:pStyle w:val="ListBullet"/>
      </w:pPr>
      <w:r>
        <w:t>Do not expose the Ngenla to temperatures above 32°</w:t>
      </w:r>
      <w:proofErr w:type="gramStart"/>
      <w:r>
        <w:t>C, or</w:t>
      </w:r>
      <w:proofErr w:type="gramEnd"/>
      <w:r>
        <w:t xml:space="preserve"> leave it at room temperature for more than two hours with each use.</w:t>
      </w:r>
    </w:p>
    <w:p w14:paraId="4DA03EA9" w14:textId="77777777" w:rsidR="00E94D6C" w:rsidRDefault="00E94D6C" w:rsidP="00C66833">
      <w:pPr>
        <w:pStyle w:val="ListBullet"/>
      </w:pPr>
      <w:r>
        <w:t>The prefilled pen should not be used more than 28 days after first use and should not be used beyond the expiration date.</w:t>
      </w:r>
    </w:p>
    <w:p w14:paraId="5899EAE2" w14:textId="77777777" w:rsidR="00E94D6C" w:rsidRDefault="00E94D6C" w:rsidP="00C66833">
      <w:pPr>
        <w:pStyle w:val="ListBullet"/>
      </w:pPr>
      <w:r>
        <w:t>The same prefilled pen should not be used more than 5 times.</w:t>
      </w:r>
    </w:p>
    <w:p w14:paraId="179D2D0A" w14:textId="7DD90BA2" w:rsidR="00E94D6C" w:rsidRDefault="00E94D6C" w:rsidP="00C66833">
      <w:pPr>
        <w:pStyle w:val="ListBullet"/>
      </w:pPr>
      <w:r>
        <w:t>The Ngenla pen should be discarded if it has been more than 28 days after first use or it has been used 5 times, or if it has been exposed to temperatures above 32°</w:t>
      </w:r>
      <w:proofErr w:type="gramStart"/>
      <w:r>
        <w:t>C, or</w:t>
      </w:r>
      <w:proofErr w:type="gramEnd"/>
      <w:r>
        <w:t xml:space="preserve"> left out of the refrigerator for more than two hours with each use.</w:t>
      </w:r>
    </w:p>
    <w:p w14:paraId="0AA05126" w14:textId="6EB3A44D" w:rsidR="009D09CF" w:rsidRPr="00D23AB3" w:rsidRDefault="009D09CF" w:rsidP="00C66833">
      <w:pPr>
        <w:pStyle w:val="Heading4"/>
      </w:pPr>
      <w:r>
        <w:t>Conclusions and recommendations</w:t>
      </w:r>
    </w:p>
    <w:p w14:paraId="000D3331" w14:textId="2802518E" w:rsidR="00041159" w:rsidRPr="00041159" w:rsidRDefault="00041159" w:rsidP="00041159">
      <w:r w:rsidRPr="00041159">
        <w:t>There were no objections to the registration of this product on quality grounds. The sponsor adequately demonstrated compliance with all relevant standards.</w:t>
      </w:r>
    </w:p>
    <w:p w14:paraId="157180BF" w14:textId="47EC39FF" w:rsidR="00041159" w:rsidRPr="00041159" w:rsidRDefault="00041159" w:rsidP="00EF634C">
      <w:pPr>
        <w:pStyle w:val="Heading4"/>
      </w:pPr>
      <w:r w:rsidRPr="00041159">
        <w:lastRenderedPageBreak/>
        <w:t>Quality related proposed conditions of registration</w:t>
      </w:r>
    </w:p>
    <w:p w14:paraId="3E9B14DC" w14:textId="4F582027" w:rsidR="00041159" w:rsidRPr="00BD7517" w:rsidRDefault="00041159" w:rsidP="00BD7517">
      <w:r w:rsidRPr="00BD7517">
        <w:t xml:space="preserve">Laboratory testing </w:t>
      </w:r>
      <w:r w:rsidR="00EF634C" w:rsidRPr="00BD7517">
        <w:t>and</w:t>
      </w:r>
      <w:r w:rsidRPr="00BD7517">
        <w:t xml:space="preserve"> compliance with Certified Product Details (CPD)</w:t>
      </w:r>
    </w:p>
    <w:p w14:paraId="5AE299EC" w14:textId="70FDA548" w:rsidR="00041159" w:rsidRPr="00BD7517" w:rsidRDefault="00041159" w:rsidP="00BD7517">
      <w:pPr>
        <w:pStyle w:val="ListBullet"/>
      </w:pPr>
      <w:r w:rsidRPr="00BD7517">
        <w:t xml:space="preserve">All batches of </w:t>
      </w:r>
      <w:r w:rsidR="00CB682A">
        <w:t>Ngenla</w:t>
      </w:r>
      <w:r w:rsidRPr="00BD7517">
        <w:t xml:space="preserve"> supplied in Australia must comply with the product details and specifications approved during evaluation and detailed in the Certified Product Details (CPD).</w:t>
      </w:r>
    </w:p>
    <w:p w14:paraId="73DD9BFB" w14:textId="297A5B56" w:rsidR="00041159" w:rsidRPr="00BD7517" w:rsidRDefault="00041159" w:rsidP="00BD7517">
      <w:pPr>
        <w:pStyle w:val="ListBullet"/>
      </w:pPr>
      <w:r w:rsidRPr="00BD7517">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18" w:history="1">
        <w:r w:rsidR="00BD7517" w:rsidRPr="00453C1F">
          <w:rPr>
            <w:rStyle w:val="Hyperlink"/>
          </w:rPr>
          <w:t>http://www.tga.gov.au/ws-labs-index</w:t>
        </w:r>
      </w:hyperlink>
      <w:r w:rsidR="00BD7517">
        <w:t xml:space="preserve"> </w:t>
      </w:r>
      <w:r w:rsidRPr="00BD7517">
        <w:t>and periodically in testing reports on the TGA website.</w:t>
      </w:r>
    </w:p>
    <w:p w14:paraId="3A14D9E2" w14:textId="77777777" w:rsidR="00041159" w:rsidRPr="00BD7517" w:rsidRDefault="00041159" w:rsidP="000137CE">
      <w:pPr>
        <w:pStyle w:val="Heading5"/>
      </w:pPr>
      <w:r w:rsidRPr="00BD7517">
        <w:t>Certified Product Details</w:t>
      </w:r>
    </w:p>
    <w:p w14:paraId="4FEF6AD6" w14:textId="560EC88F" w:rsidR="00041159" w:rsidRPr="00BD7517" w:rsidRDefault="00041159" w:rsidP="00BD7517">
      <w:r w:rsidRPr="00BD7517">
        <w:t xml:space="preserve">The Certified Product Details (CPD), as described in Guidance 7: Certified Product Details of the Australian Regulatory Guidelines for Prescription Medicines (ARGPM) </w:t>
      </w:r>
      <w:r w:rsidR="00FA28EE" w:rsidRPr="00BD7517">
        <w:t>(</w:t>
      </w:r>
      <w:hyperlink r:id="rId19" w:history="1">
        <w:r w:rsidRPr="00BD7517">
          <w:rPr>
            <w:rStyle w:val="Hyperlink"/>
          </w:rPr>
          <w:t>http://www.tga.gov.au/industry/pm-argpm-guidance-7.htm</w:t>
        </w:r>
      </w:hyperlink>
      <w:r w:rsidR="00FA28EE" w:rsidRPr="00BD7517">
        <w:t>)</w:t>
      </w:r>
      <w:r w:rsidRPr="00BD7517">
        <w:t xml:space="preserve">, in </w:t>
      </w:r>
      <w:r w:rsidR="004558F0" w:rsidRPr="004558F0">
        <w:t>portable document format</w:t>
      </w:r>
      <w:r w:rsidR="004558F0">
        <w:t xml:space="preserve"> (</w:t>
      </w:r>
      <w:r w:rsidRPr="00BD7517">
        <w:t>PDF</w:t>
      </w:r>
      <w:r w:rsidR="004558F0">
        <w:t>)</w:t>
      </w:r>
      <w:r w:rsidRPr="00BD7517">
        <w:t>, for the above products should be provided upon registration of these therapeutic goods. In addition, an updated CPD should be provided when changes to finished product specifications and test methods are approved in a Category 3 application</w:t>
      </w:r>
      <w:r w:rsidR="00B5084B">
        <w:t>;</w:t>
      </w:r>
      <w:r w:rsidR="00B5084B">
        <w:rPr>
          <w:rStyle w:val="FootnoteReference"/>
        </w:rPr>
        <w:footnoteReference w:id="14"/>
      </w:r>
      <w:r w:rsidRPr="00BD7517">
        <w:t xml:space="preserve"> or notified through a self-assessable change.</w:t>
      </w:r>
    </w:p>
    <w:p w14:paraId="210D0326" w14:textId="77777777" w:rsidR="008E7846" w:rsidRDefault="008E7846" w:rsidP="008E7846">
      <w:pPr>
        <w:pStyle w:val="Heading3"/>
      </w:pPr>
      <w:bookmarkStart w:id="37" w:name="_Toc314842512"/>
      <w:bookmarkStart w:id="38" w:name="_Toc124495267"/>
      <w:r>
        <w:t>Nonclinical</w:t>
      </w:r>
      <w:bookmarkEnd w:id="37"/>
      <w:bookmarkEnd w:id="38"/>
    </w:p>
    <w:p w14:paraId="54322F0F" w14:textId="2293F4BB" w:rsidR="00041159" w:rsidRPr="00041159" w:rsidRDefault="00041159" w:rsidP="00041159">
      <w:r w:rsidRPr="00041159">
        <w:t>The scope of the nonclinical program was in accordance with the relevant TGA</w:t>
      </w:r>
      <w:r w:rsidR="009D09CF">
        <w:noBreakHyphen/>
      </w:r>
      <w:r w:rsidRPr="00041159">
        <w:t>adopted guideline.</w:t>
      </w:r>
      <w:r w:rsidR="00EF634C">
        <w:rPr>
          <w:rStyle w:val="FootnoteReference"/>
        </w:rPr>
        <w:footnoteReference w:id="15"/>
      </w:r>
      <w:r w:rsidRPr="00041159">
        <w:t xml:space="preserve"> All pivotal safety</w:t>
      </w:r>
      <w:r w:rsidR="00EF634C">
        <w:t xml:space="preserve"> </w:t>
      </w:r>
      <w:r w:rsidRPr="00041159">
        <w:t>relat</w:t>
      </w:r>
      <w:r w:rsidRPr="009114FD">
        <w:t xml:space="preserve">ed studies were </w:t>
      </w:r>
      <w:r w:rsidR="00EF634C" w:rsidRPr="009114FD">
        <w:t>Good Laboratory Practice (</w:t>
      </w:r>
      <w:r w:rsidRPr="009114FD">
        <w:t>GLP</w:t>
      </w:r>
      <w:r w:rsidR="00EF634C" w:rsidRPr="009114FD">
        <w:t>)</w:t>
      </w:r>
      <w:r w:rsidR="00EF634C" w:rsidRPr="009114FD">
        <w:rPr>
          <w:rStyle w:val="FootnoteReference"/>
        </w:rPr>
        <w:footnoteReference w:id="16"/>
      </w:r>
      <w:r w:rsidR="00EF634C">
        <w:t xml:space="preserve"> </w:t>
      </w:r>
      <w:r w:rsidRPr="00041159">
        <w:t>compliant.</w:t>
      </w:r>
    </w:p>
    <w:p w14:paraId="2444397A" w14:textId="21205C83" w:rsidR="00041159" w:rsidRPr="009114FD" w:rsidRDefault="00041159" w:rsidP="00041159">
      <w:r w:rsidRPr="00EF634C">
        <w:rPr>
          <w:i/>
          <w:iCs/>
        </w:rPr>
        <w:t>In vitro</w:t>
      </w:r>
      <w:r w:rsidRPr="00041159">
        <w:t xml:space="preserve">, somatrogon was shown to possess nanomolar affinity for </w:t>
      </w:r>
      <w:r w:rsidRPr="00AF04FE">
        <w:t xml:space="preserve">the </w:t>
      </w:r>
      <w:r w:rsidR="00DD05C1">
        <w:t>h</w:t>
      </w:r>
      <w:r w:rsidR="00DD05C1" w:rsidRPr="00DD05C1">
        <w:t xml:space="preserve">uman growth hormone </w:t>
      </w:r>
      <w:r w:rsidR="00DD05C1">
        <w:t>(</w:t>
      </w:r>
      <w:proofErr w:type="spellStart"/>
      <w:r w:rsidR="00AF04FE" w:rsidRPr="00AF04FE">
        <w:t>hGH</w:t>
      </w:r>
      <w:proofErr w:type="spellEnd"/>
      <w:r w:rsidR="00DD05C1">
        <w:t>)</w:t>
      </w:r>
      <w:r w:rsidRPr="00AF04FE">
        <w:t xml:space="preserve"> receptor</w:t>
      </w:r>
      <w:r w:rsidRPr="00041159">
        <w:t xml:space="preserve"> (and bind to the rat and monkey forms of the receptor with similar affinity). Activation of the growth hormone receptor was demonstrated in cell-based assays. </w:t>
      </w:r>
      <w:r w:rsidRPr="00EF634C">
        <w:rPr>
          <w:i/>
          <w:iCs/>
        </w:rPr>
        <w:t>In vivo</w:t>
      </w:r>
      <w:r w:rsidRPr="00041159">
        <w:t xml:space="preserve">, somatrogon increased body weight gain and serum </w:t>
      </w:r>
      <w:r w:rsidR="00A63652" w:rsidRPr="009114FD">
        <w:t>insulin-like growth factor</w:t>
      </w:r>
      <w:r w:rsidR="009D09CF">
        <w:noBreakHyphen/>
      </w:r>
      <w:r w:rsidR="00A63652" w:rsidRPr="009114FD">
        <w:t>1 (</w:t>
      </w:r>
      <w:r w:rsidRPr="009114FD">
        <w:t>IGF-1</w:t>
      </w:r>
      <w:r w:rsidR="00A63652" w:rsidRPr="009114FD">
        <w:t>)</w:t>
      </w:r>
      <w:r w:rsidRPr="009114FD">
        <w:t xml:space="preserve"> levels in hypophysectomised rats, supporting utility in the proposed indication. Such pharmacological effects were also apparent in the toxicity studies conducted in (intact) rats and monkeys.</w:t>
      </w:r>
    </w:p>
    <w:p w14:paraId="685DCDCB" w14:textId="06C0544C" w:rsidR="00041159" w:rsidRPr="009114FD" w:rsidRDefault="00041159" w:rsidP="00041159">
      <w:r w:rsidRPr="009114FD">
        <w:t xml:space="preserve">The </w:t>
      </w:r>
      <w:r w:rsidR="009114FD" w:rsidRPr="009114FD">
        <w:t>N-methyl-D-aspartate</w:t>
      </w:r>
      <w:r w:rsidRPr="009114FD">
        <w:t xml:space="preserve"> </w:t>
      </w:r>
      <w:r w:rsidR="009D09CF">
        <w:t xml:space="preserve">(NMDA) </w:t>
      </w:r>
      <w:r w:rsidRPr="009114FD">
        <w:t xml:space="preserve">receptor was identified as a secondary target for somatrogon in screening assays. This was seen for </w:t>
      </w:r>
      <w:r w:rsidR="009114FD" w:rsidRPr="009114FD">
        <w:t>recombinant human growth hormone (</w:t>
      </w:r>
      <w:proofErr w:type="spellStart"/>
      <w:r w:rsidRPr="009114FD">
        <w:t>rhGH</w:t>
      </w:r>
      <w:proofErr w:type="spellEnd"/>
      <w:r w:rsidR="009D09CF">
        <w:t>/</w:t>
      </w:r>
      <w:r w:rsidRPr="009114FD">
        <w:t>somatropin</w:t>
      </w:r>
      <w:r w:rsidR="00FA28EE" w:rsidRPr="009114FD">
        <w:t>)</w:t>
      </w:r>
      <w:r w:rsidRPr="009114FD">
        <w:t xml:space="preserve"> too. The finding does not appear to be clinically relevant. No</w:t>
      </w:r>
      <w:r w:rsidR="00A63652" w:rsidRPr="009114FD">
        <w:t xml:space="preserve"> central nervous system </w:t>
      </w:r>
      <w:r w:rsidRPr="009114FD">
        <w:t xml:space="preserve">effects were apparent in treated animals, nor on the respiratory system or </w:t>
      </w:r>
      <w:r w:rsidR="00A63652" w:rsidRPr="009114FD">
        <w:t>electrocardiogram</w:t>
      </w:r>
      <w:r w:rsidRPr="009114FD">
        <w:t>.</w:t>
      </w:r>
    </w:p>
    <w:p w14:paraId="71ACC1BB" w14:textId="1B6E97DE" w:rsidR="00041159" w:rsidRPr="009114FD" w:rsidRDefault="00041159" w:rsidP="00041159">
      <w:r w:rsidRPr="009114FD">
        <w:t xml:space="preserve">The pharmacokinetic profile of somatrogon was characterised by slow absorption after </w:t>
      </w:r>
      <w:r w:rsidR="00A63652" w:rsidRPr="009114FD">
        <w:t>subcutaneous</w:t>
      </w:r>
      <w:r w:rsidRPr="009114FD">
        <w:t xml:space="preserve"> administration, and a serum </w:t>
      </w:r>
      <w:r w:rsidR="00DD05C1" w:rsidRPr="009114FD">
        <w:t>half-life</w:t>
      </w:r>
      <w:r w:rsidRPr="009114FD">
        <w:t xml:space="preserve"> substantially longer than for rhGH </w:t>
      </w:r>
      <w:r w:rsidR="00FA28EE" w:rsidRPr="009114FD">
        <w:t>(</w:t>
      </w:r>
      <w:r w:rsidRPr="009114FD">
        <w:t>somatropin</w:t>
      </w:r>
      <w:r w:rsidR="00FA28EE" w:rsidRPr="009114FD">
        <w:t>)</w:t>
      </w:r>
      <w:r w:rsidRPr="009114FD">
        <w:t xml:space="preserve">. A shorter serum </w:t>
      </w:r>
      <w:r w:rsidR="00DD05C1" w:rsidRPr="009114FD">
        <w:t>half-life</w:t>
      </w:r>
      <w:r w:rsidRPr="009114FD">
        <w:t xml:space="preserve"> of somatrogon in laboratory animal species </w:t>
      </w:r>
      <w:r w:rsidR="009D09CF">
        <w:t xml:space="preserve">as </w:t>
      </w:r>
      <w:r w:rsidR="009D09CF">
        <w:lastRenderedPageBreak/>
        <w:t>compared with</w:t>
      </w:r>
      <w:r w:rsidRPr="009114FD">
        <w:t xml:space="preserve"> humans was accommodated </w:t>
      </w:r>
      <w:proofErr w:type="gramStart"/>
      <w:r w:rsidRPr="009114FD">
        <w:t>by the use of</w:t>
      </w:r>
      <w:proofErr w:type="gramEnd"/>
      <w:r w:rsidRPr="009114FD">
        <w:t xml:space="preserve"> more frequent dose administration in animals.</w:t>
      </w:r>
    </w:p>
    <w:p w14:paraId="0B910CBC" w14:textId="369D38CC" w:rsidR="00041159" w:rsidRPr="00041159" w:rsidRDefault="00041159" w:rsidP="00041159">
      <w:r w:rsidRPr="009114FD">
        <w:t xml:space="preserve">Like rhGH </w:t>
      </w:r>
      <w:r w:rsidR="00FA28EE" w:rsidRPr="009114FD">
        <w:t>(</w:t>
      </w:r>
      <w:r w:rsidRPr="009114FD">
        <w:t>somatropin</w:t>
      </w:r>
      <w:r w:rsidR="00FA28EE" w:rsidRPr="009114FD">
        <w:t>)</w:t>
      </w:r>
      <w:r w:rsidRPr="009114FD">
        <w:t xml:space="preserve">, somatrogon acted as a weak inducer of </w:t>
      </w:r>
      <w:r w:rsidR="009D09CF">
        <w:t xml:space="preserve">the </w:t>
      </w:r>
      <w:r w:rsidR="009114FD" w:rsidRPr="009114FD">
        <w:t xml:space="preserve">cytochrome P450 </w:t>
      </w:r>
      <w:r w:rsidR="009D09CF">
        <w:t xml:space="preserve">isozyme </w:t>
      </w:r>
      <w:r w:rsidR="009114FD" w:rsidRPr="009114FD">
        <w:t>3A4 (</w:t>
      </w:r>
      <w:r w:rsidRPr="009114FD">
        <w:t>CYP3A4</w:t>
      </w:r>
      <w:r w:rsidR="009114FD" w:rsidRPr="009114FD">
        <w:t>)</w:t>
      </w:r>
      <w:r w:rsidR="00B5084B">
        <w:rPr>
          <w:rStyle w:val="FootnoteReference"/>
        </w:rPr>
        <w:footnoteReference w:id="17"/>
      </w:r>
      <w:r w:rsidRPr="009114FD">
        <w:t xml:space="preserve"> </w:t>
      </w:r>
      <w:r w:rsidRPr="009114FD">
        <w:rPr>
          <w:i/>
          <w:iCs/>
        </w:rPr>
        <w:t>in vitro</w:t>
      </w:r>
      <w:r w:rsidRPr="009114FD">
        <w:t xml:space="preserve"> in experiments with cultured human hepatocytes.</w:t>
      </w:r>
    </w:p>
    <w:p w14:paraId="56A24E0E" w14:textId="2FEF9284" w:rsidR="00041159" w:rsidRPr="00041159" w:rsidRDefault="00041159" w:rsidP="00041159">
      <w:r w:rsidRPr="00041159">
        <w:t xml:space="preserve">Somatrogon showed a low order of acute toxicity by the </w:t>
      </w:r>
      <w:r w:rsidR="00A63652" w:rsidRPr="00A63652">
        <w:t>subcutaneous</w:t>
      </w:r>
      <w:r w:rsidRPr="00041159">
        <w:t xml:space="preserve"> route in rats and rhesus monkeys.</w:t>
      </w:r>
    </w:p>
    <w:p w14:paraId="2B994D0C" w14:textId="5E3958B3" w:rsidR="00041159" w:rsidRPr="00041159" w:rsidRDefault="00041159" w:rsidP="00041159">
      <w:r w:rsidRPr="00041159">
        <w:t>Repeat</w:t>
      </w:r>
      <w:r w:rsidR="00A63652">
        <w:t xml:space="preserve"> </w:t>
      </w:r>
      <w:r w:rsidRPr="00041159">
        <w:t xml:space="preserve">dose toxicity studies by the </w:t>
      </w:r>
      <w:r w:rsidR="00A63652" w:rsidRPr="00A63652">
        <w:t>subcutaneous</w:t>
      </w:r>
      <w:r w:rsidRPr="00041159">
        <w:t xml:space="preserve"> route were conducted in rats (twice weekly administration for 4 weeks) and rhesus monkeys (administration once every 6</w:t>
      </w:r>
      <w:r w:rsidR="00A63652">
        <w:t> </w:t>
      </w:r>
      <w:r w:rsidRPr="00041159">
        <w:t>days for 4</w:t>
      </w:r>
      <w:r w:rsidR="00A63652">
        <w:t> </w:t>
      </w:r>
      <w:r w:rsidRPr="00041159">
        <w:t>weeks, and once every 5 days for 26 weeks). Treatment</w:t>
      </w:r>
      <w:r w:rsidR="00A63652">
        <w:t xml:space="preserve"> </w:t>
      </w:r>
      <w:r w:rsidRPr="00041159">
        <w:t xml:space="preserve">related histopathological changes were observed at the </w:t>
      </w:r>
      <w:r w:rsidR="00A63652" w:rsidRPr="00A63652">
        <w:t>subcutaneous</w:t>
      </w:r>
      <w:r w:rsidRPr="00041159">
        <w:t xml:space="preserve"> injection site (local inflammatory reactions) in both laboratory animal species, and rats showed further changes</w:t>
      </w:r>
      <w:r w:rsidR="00A63652">
        <w:t>,</w:t>
      </w:r>
      <w:r w:rsidRPr="00041159">
        <w:t> recognised as exaggerated pharmacological effects</w:t>
      </w:r>
      <w:r w:rsidR="00A63652">
        <w:t xml:space="preserve">, </w:t>
      </w:r>
      <w:r w:rsidRPr="00041159">
        <w:t xml:space="preserve">involving the mammary gland (feminisation in males; lobular hyperplasia in females), liver (periportal vacuolation), kidney (tubular mineralisation) and spleen (increased extramedullary haematopoiesis) and slight anaemia. The studies establish that somatrogon has a similar toxicological profile to rhGH </w:t>
      </w:r>
      <w:r w:rsidR="00FA28EE">
        <w:t>(</w:t>
      </w:r>
      <w:r w:rsidRPr="00041159">
        <w:t>somatropin</w:t>
      </w:r>
      <w:r w:rsidR="00FA28EE">
        <w:t>)</w:t>
      </w:r>
      <w:r w:rsidRPr="00041159">
        <w:t>.</w:t>
      </w:r>
    </w:p>
    <w:p w14:paraId="332D96A8" w14:textId="553F1C64" w:rsidR="00041159" w:rsidRPr="00041159" w:rsidRDefault="00041159" w:rsidP="00041159">
      <w:r w:rsidRPr="00041159">
        <w:t>No genotoxicity or carcinogenicity studies were conducted with somatrogon. Somatrogon is not</w:t>
      </w:r>
      <w:r w:rsidR="00DD05C1">
        <w:t xml:space="preserve"> </w:t>
      </w:r>
      <w:r w:rsidRPr="00041159">
        <w:t xml:space="preserve">considered to pose a genotoxic hazard given its protein nature. The carcinogenic risk of somatrogon is expected to be comparable to that of rhGH </w:t>
      </w:r>
      <w:r w:rsidR="00FA28EE">
        <w:t>(</w:t>
      </w:r>
      <w:r w:rsidRPr="00041159">
        <w:t>somatropin</w:t>
      </w:r>
      <w:r w:rsidR="00FA28EE">
        <w:t>)</w:t>
      </w:r>
      <w:r w:rsidRPr="00041159">
        <w:t>.</w:t>
      </w:r>
    </w:p>
    <w:p w14:paraId="76F987F0" w14:textId="47E2FBA7" w:rsidR="00041159" w:rsidRPr="00041159" w:rsidRDefault="00041159" w:rsidP="00041159">
      <w:r w:rsidRPr="00041159">
        <w:t xml:space="preserve">Male and female fertility indices were unaffected by somatrogon in rats, although treatment did increase oestrus cycle length and had a </w:t>
      </w:r>
      <w:proofErr w:type="spellStart"/>
      <w:r w:rsidRPr="00041159">
        <w:t>superovulatory</w:t>
      </w:r>
      <w:proofErr w:type="spellEnd"/>
      <w:r w:rsidRPr="00041159">
        <w:t xml:space="preserve"> effect (as seen previously with rhGH </w:t>
      </w:r>
      <w:r w:rsidR="00FA28EE">
        <w:t>(</w:t>
      </w:r>
      <w:r w:rsidR="008673D1">
        <w:t>somatropin</w:t>
      </w:r>
      <w:r w:rsidR="00FA28EE">
        <w:t>)</w:t>
      </w:r>
      <w:r w:rsidRPr="00041159">
        <w:t>). Embryofetal development was demonstrated to be unaffected in rats at a high multiple of the clinical exposure, supporting assignment to Pregnancy Category B1</w:t>
      </w:r>
      <w:r w:rsidR="00B5084B">
        <w:t>;</w:t>
      </w:r>
      <w:r w:rsidR="00B5084B">
        <w:rPr>
          <w:rStyle w:val="FootnoteReference"/>
        </w:rPr>
        <w:footnoteReference w:id="18"/>
      </w:r>
      <w:r w:rsidRPr="00041159">
        <w:t xml:space="preserve"> (rather than </w:t>
      </w:r>
      <w:r w:rsidR="00B5084B">
        <w:t xml:space="preserve">Pregnancy Category </w:t>
      </w:r>
      <w:r w:rsidRPr="00041159">
        <w:t>B2</w:t>
      </w:r>
      <w:r w:rsidR="00B5084B">
        <w:t>;</w:t>
      </w:r>
      <w:r w:rsidR="00B5084B">
        <w:rPr>
          <w:rStyle w:val="FootnoteReference"/>
        </w:rPr>
        <w:footnoteReference w:id="19"/>
      </w:r>
      <w:r w:rsidRPr="00041159">
        <w:t xml:space="preserve"> as the </w:t>
      </w:r>
      <w:r w:rsidR="00A63652">
        <w:t>s</w:t>
      </w:r>
      <w:r w:rsidRPr="00041159">
        <w:t>ponsor proposes). Effects observed in the offspring of rats treated with somatrogon during gestation and lactation were limited to increased postnatal body weight gain and an apparent increase in oestrus cycle length.</w:t>
      </w:r>
    </w:p>
    <w:p w14:paraId="5DE10B61" w14:textId="737BC005" w:rsidR="00041159" w:rsidRPr="00041159" w:rsidRDefault="00041159" w:rsidP="00041159">
      <w:r w:rsidRPr="00041159">
        <w:t xml:space="preserve">Acceptable local tolerance with </w:t>
      </w:r>
      <w:r w:rsidR="00A63652" w:rsidRPr="00A63652">
        <w:t>subcutaneous</w:t>
      </w:r>
      <w:r w:rsidRPr="00041159">
        <w:t xml:space="preserve"> injection was shown for somatrogon in the general repeat</w:t>
      </w:r>
      <w:r w:rsidR="00A63652">
        <w:t xml:space="preserve"> </w:t>
      </w:r>
      <w:r w:rsidRPr="00041159">
        <w:t xml:space="preserve">dose toxicity studies, but the maximum strength administered to animals was not as high as proposed for patients (up to 21 mg/mL in monkeys </w:t>
      </w:r>
      <w:r w:rsidR="001F3474">
        <w:t>compare</w:t>
      </w:r>
      <w:r w:rsidR="009D09CF">
        <w:t>d to</w:t>
      </w:r>
      <w:r w:rsidRPr="00041159">
        <w:t xml:space="preserve"> up to 50</w:t>
      </w:r>
      <w:r w:rsidR="00A63652">
        <w:t> </w:t>
      </w:r>
      <w:r w:rsidRPr="00041159">
        <w:t>mg/mL for clinical administration</w:t>
      </w:r>
      <w:r w:rsidR="009D09CF">
        <w:t xml:space="preserve"> in this submission</w:t>
      </w:r>
      <w:r w:rsidRPr="00041159">
        <w:t>). Local tolerability needs to be addressed from clinical data.</w:t>
      </w:r>
    </w:p>
    <w:p w14:paraId="17E3C424" w14:textId="77CB2D25" w:rsidR="00041159" w:rsidRPr="00041159" w:rsidRDefault="00041159" w:rsidP="00041159">
      <w:r w:rsidRPr="00041159">
        <w:lastRenderedPageBreak/>
        <w:t>The noncli</w:t>
      </w:r>
      <w:r w:rsidRPr="009114FD">
        <w:t xml:space="preserve">nical data support that fusion of the CTP domains to </w:t>
      </w:r>
      <w:proofErr w:type="spellStart"/>
      <w:r w:rsidR="00AF04FE" w:rsidRPr="009114FD">
        <w:t>hGH</w:t>
      </w:r>
      <w:proofErr w:type="spellEnd"/>
      <w:r w:rsidRPr="009114FD">
        <w:t xml:space="preserve"> in </w:t>
      </w:r>
      <w:proofErr w:type="spellStart"/>
      <w:r w:rsidRPr="009114FD">
        <w:t>somatrogon</w:t>
      </w:r>
      <w:proofErr w:type="spellEnd"/>
      <w:r w:rsidRPr="009114FD">
        <w:t xml:space="preserve"> only affects the </w:t>
      </w:r>
      <w:r w:rsidR="0061549A" w:rsidRPr="009114FD">
        <w:t>pharmacokinetics (</w:t>
      </w:r>
      <w:r w:rsidR="00A63652" w:rsidRPr="009114FD">
        <w:t>PK</w:t>
      </w:r>
      <w:r w:rsidR="0061549A" w:rsidRPr="009114FD">
        <w:t>)</w:t>
      </w:r>
      <w:r w:rsidRPr="009114FD">
        <w:t xml:space="preserve"> (</w:t>
      </w:r>
      <w:r w:rsidR="00FA28EE" w:rsidRPr="009114FD">
        <w:t>that is</w:t>
      </w:r>
      <w:r w:rsidRPr="009114FD">
        <w:t>, reduced</w:t>
      </w:r>
      <w:r w:rsidRPr="00041159">
        <w:t xml:space="preserve"> clearance), and not the</w:t>
      </w:r>
      <w:r>
        <w:t xml:space="preserve"> </w:t>
      </w:r>
      <w:r w:rsidRPr="00041159">
        <w:t xml:space="preserve">pharmacology or toxicity profile of the drug, compared with rhGH </w:t>
      </w:r>
      <w:r w:rsidR="00FA28EE">
        <w:t>(</w:t>
      </w:r>
      <w:r w:rsidRPr="00041159">
        <w:t>somatropin</w:t>
      </w:r>
      <w:r w:rsidR="00FA28EE">
        <w:t>)</w:t>
      </w:r>
      <w:r w:rsidRPr="00041159">
        <w:t>.</w:t>
      </w:r>
    </w:p>
    <w:p w14:paraId="17E869C7" w14:textId="77777777" w:rsidR="00041159" w:rsidRPr="00041159" w:rsidRDefault="00041159" w:rsidP="00041159">
      <w:r w:rsidRPr="00041159">
        <w:t>There were no nonclinical objections to the registration of somatrogon for the proposed indication.</w:t>
      </w:r>
    </w:p>
    <w:p w14:paraId="395B1199" w14:textId="77777777" w:rsidR="008E7846" w:rsidRDefault="008E7846" w:rsidP="008E7846">
      <w:pPr>
        <w:pStyle w:val="Heading3"/>
      </w:pPr>
      <w:bookmarkStart w:id="39" w:name="_Toc247691530"/>
      <w:bookmarkStart w:id="40" w:name="_Toc314842513"/>
      <w:bookmarkStart w:id="41" w:name="_Toc124495268"/>
      <w:r>
        <w:t>Clinical</w:t>
      </w:r>
      <w:bookmarkEnd w:id="39"/>
      <w:bookmarkEnd w:id="40"/>
      <w:bookmarkEnd w:id="41"/>
    </w:p>
    <w:p w14:paraId="373D6696" w14:textId="77777777" w:rsidR="00D62A14" w:rsidRDefault="00D62A14" w:rsidP="00D62A14">
      <w:pPr>
        <w:pStyle w:val="Heading4"/>
      </w:pPr>
      <w:bookmarkStart w:id="42" w:name="_Toc98931928"/>
      <w:bookmarkStart w:id="43" w:name="_Toc314842514"/>
      <w:r>
        <w:t>Summary of clinical studies</w:t>
      </w:r>
      <w:bookmarkEnd w:id="42"/>
    </w:p>
    <w:p w14:paraId="7DC06D57" w14:textId="35E9EDF6" w:rsidR="005C1721" w:rsidRPr="005C1721" w:rsidRDefault="005C1721" w:rsidP="005C1721">
      <w:r w:rsidRPr="005C1721">
        <w:t>The clinical dossier consisted of:</w:t>
      </w:r>
    </w:p>
    <w:p w14:paraId="5AA25D0E" w14:textId="4236FFF4" w:rsidR="00E76105" w:rsidRPr="00B035F5" w:rsidRDefault="00294109" w:rsidP="00E76105">
      <w:pPr>
        <w:pStyle w:val="ListBullet"/>
      </w:pPr>
      <w:r>
        <w:t>one</w:t>
      </w:r>
      <w:r w:rsidR="00E76105" w:rsidRPr="00B035F5">
        <w:t xml:space="preserve"> Phase I study (Study CP-4-001</w:t>
      </w:r>
      <w:proofErr w:type="gramStart"/>
      <w:r w:rsidR="00E76105" w:rsidRPr="00B035F5">
        <w:t>)</w:t>
      </w:r>
      <w:r w:rsidR="00DD05C1">
        <w:t>;</w:t>
      </w:r>
      <w:proofErr w:type="gramEnd"/>
    </w:p>
    <w:p w14:paraId="55A495A9" w14:textId="0F8E9536" w:rsidR="00D17956" w:rsidRPr="00B035F5" w:rsidRDefault="00294109" w:rsidP="00D17956">
      <w:pPr>
        <w:pStyle w:val="ListBullet"/>
      </w:pPr>
      <w:r>
        <w:t>two</w:t>
      </w:r>
      <w:r w:rsidR="00D17956" w:rsidRPr="00B035F5">
        <w:t xml:space="preserve"> Phase II studies</w:t>
      </w:r>
      <w:r w:rsidR="00A63652" w:rsidRPr="00B035F5">
        <w:t xml:space="preserve"> (</w:t>
      </w:r>
      <w:r w:rsidR="00D17956" w:rsidRPr="00B035F5">
        <w:t>Study CP-4-00</w:t>
      </w:r>
      <w:r w:rsidR="00E76105" w:rsidRPr="00B035F5">
        <w:t>3</w:t>
      </w:r>
      <w:r w:rsidR="00D17956" w:rsidRPr="00B035F5">
        <w:t xml:space="preserve"> and </w:t>
      </w:r>
      <w:bookmarkStart w:id="44" w:name="_Hlk101520271"/>
      <w:r w:rsidR="00D17956" w:rsidRPr="00B035F5">
        <w:t>Study CP-4-004</w:t>
      </w:r>
      <w:bookmarkEnd w:id="44"/>
      <w:r w:rsidR="00A63652" w:rsidRPr="00B035F5">
        <w:t>)</w:t>
      </w:r>
      <w:r w:rsidR="00DD05C1">
        <w:t>;</w:t>
      </w:r>
      <w:r w:rsidR="009D09CF">
        <w:t xml:space="preserve"> and</w:t>
      </w:r>
    </w:p>
    <w:p w14:paraId="54D137CA" w14:textId="29516417" w:rsidR="00D17956" w:rsidRPr="00B035F5" w:rsidRDefault="00294109" w:rsidP="00041159">
      <w:pPr>
        <w:pStyle w:val="ListBullet"/>
      </w:pPr>
      <w:r>
        <w:t>one</w:t>
      </w:r>
      <w:r w:rsidR="00E76105" w:rsidRPr="00B035F5">
        <w:t xml:space="preserve"> </w:t>
      </w:r>
      <w:r w:rsidR="00D17956" w:rsidRPr="00B035F5">
        <w:t xml:space="preserve">Phase III </w:t>
      </w:r>
      <w:r w:rsidR="007C32D9">
        <w:t>study</w:t>
      </w:r>
      <w:r w:rsidR="00A63652" w:rsidRPr="00B035F5">
        <w:t xml:space="preserve"> (</w:t>
      </w:r>
      <w:r w:rsidR="00D17956" w:rsidRPr="00B035F5">
        <w:t>Study CP-4-006</w:t>
      </w:r>
      <w:r w:rsidR="00A63652" w:rsidRPr="00B035F5">
        <w:t>)</w:t>
      </w:r>
      <w:r w:rsidR="00DD05C1">
        <w:t>.</w:t>
      </w:r>
    </w:p>
    <w:p w14:paraId="2DFEB0D2" w14:textId="2C2C6729" w:rsidR="00041159" w:rsidRPr="00041159" w:rsidRDefault="00D23AB3" w:rsidP="00D17956">
      <w:r>
        <w:t xml:space="preserve">For reference, a </w:t>
      </w:r>
      <w:r w:rsidR="00B26522" w:rsidRPr="00041159">
        <w:t xml:space="preserve">Genotropin </w:t>
      </w:r>
      <w:r w:rsidR="00041159" w:rsidRPr="00041159">
        <w:t>dose of 0.034mg/kg/day is equivalent to 0.238</w:t>
      </w:r>
      <w:r w:rsidR="00F75068">
        <w:t> </w:t>
      </w:r>
      <w:r w:rsidR="00041159" w:rsidRPr="00041159">
        <w:t>mg/kg/week or 5.6</w:t>
      </w:r>
      <w:r w:rsidR="00F75068">
        <w:t> </w:t>
      </w:r>
      <w:r w:rsidR="00041159" w:rsidRPr="00041159">
        <w:t>mg/m</w:t>
      </w:r>
      <w:r w:rsidR="00041159" w:rsidRPr="00D17956">
        <w:rPr>
          <w:vertAlign w:val="superscript"/>
        </w:rPr>
        <w:t>2</w:t>
      </w:r>
      <w:r w:rsidR="00041159" w:rsidRPr="00041159">
        <w:t>/week)</w:t>
      </w:r>
      <w:r w:rsidR="00C8653D">
        <w:t>.</w:t>
      </w:r>
    </w:p>
    <w:p w14:paraId="1ED22642" w14:textId="7F28F880" w:rsidR="00041159" w:rsidRPr="00041159" w:rsidRDefault="00041159" w:rsidP="00041159">
      <w:r w:rsidRPr="00041159">
        <w:t>In Australia the recommended dose of somatropin is 4.5</w:t>
      </w:r>
      <w:r w:rsidR="00A63652">
        <w:t xml:space="preserve"> to </w:t>
      </w:r>
      <w:r w:rsidRPr="00041159">
        <w:t>7.5</w:t>
      </w:r>
      <w:r w:rsidR="00A63652">
        <w:t> </w:t>
      </w:r>
      <w:r w:rsidRPr="00041159">
        <w:t>mg/m</w:t>
      </w:r>
      <w:r w:rsidRPr="00A63652">
        <w:rPr>
          <w:vertAlign w:val="superscript"/>
        </w:rPr>
        <w:t>2</w:t>
      </w:r>
      <w:r w:rsidRPr="00041159">
        <w:t>/week</w:t>
      </w:r>
      <w:r w:rsidR="00A63652">
        <w:t>.</w:t>
      </w:r>
    </w:p>
    <w:p w14:paraId="7F126DC4" w14:textId="72D73DDB" w:rsidR="00041159" w:rsidRPr="005C1721" w:rsidRDefault="00041159" w:rsidP="005C1721">
      <w:pPr>
        <w:pStyle w:val="Heading4"/>
      </w:pPr>
      <w:r w:rsidRPr="005C1721">
        <w:t>Pharmacokinetics</w:t>
      </w:r>
    </w:p>
    <w:p w14:paraId="658929D5" w14:textId="77777777" w:rsidR="00E76105" w:rsidRPr="00B168C4" w:rsidRDefault="00E76105" w:rsidP="00C66833">
      <w:pPr>
        <w:pStyle w:val="Heading5"/>
      </w:pPr>
      <w:r w:rsidRPr="00332CAA">
        <w:t>Study CP-4-001</w:t>
      </w:r>
    </w:p>
    <w:p w14:paraId="0109F676" w14:textId="4A77ED5F" w:rsidR="00041159" w:rsidRDefault="00041159" w:rsidP="00041159">
      <w:r w:rsidRPr="00041159">
        <w:t>Study CP-4-001</w:t>
      </w:r>
      <w:r>
        <w:t xml:space="preserve">, in healthy </w:t>
      </w:r>
      <w:r w:rsidR="00ED6BFC" w:rsidRPr="00ED6BFC">
        <w:t>adult participants</w:t>
      </w:r>
      <w:r>
        <w:t>,</w:t>
      </w:r>
      <w:r w:rsidRPr="00041159">
        <w:t xml:space="preserve"> showed a </w:t>
      </w:r>
      <w:r w:rsidRPr="009114FD">
        <w:t xml:space="preserve">more than dose proportional increase in </w:t>
      </w:r>
      <w:r w:rsidR="009114FD" w:rsidRPr="009114FD">
        <w:t>maximum concentration (</w:t>
      </w:r>
      <w:r w:rsidRPr="009114FD">
        <w:t>C</w:t>
      </w:r>
      <w:r w:rsidRPr="009114FD">
        <w:rPr>
          <w:vertAlign w:val="subscript"/>
        </w:rPr>
        <w:t>max</w:t>
      </w:r>
      <w:r w:rsidR="009114FD" w:rsidRPr="009114FD">
        <w:t>)</w:t>
      </w:r>
      <w:r w:rsidRPr="009114FD">
        <w:t xml:space="preserve"> and </w:t>
      </w:r>
      <w:r w:rsidR="009114FD" w:rsidRPr="009114FD">
        <w:t>area under the concentration-time curve (</w:t>
      </w:r>
      <w:r w:rsidRPr="009114FD">
        <w:t>AUC</w:t>
      </w:r>
      <w:r w:rsidR="009114FD" w:rsidRPr="009114FD">
        <w:t>)</w:t>
      </w:r>
      <w:r w:rsidRPr="009114FD">
        <w:t xml:space="preserve"> with increasing dose. </w:t>
      </w:r>
      <w:r w:rsidR="009114FD" w:rsidRPr="009114FD">
        <w:t xml:space="preserve">Apparent clearance </w:t>
      </w:r>
      <w:r w:rsidRPr="009114FD">
        <w:t>decreased with increasing dose.</w:t>
      </w:r>
    </w:p>
    <w:p w14:paraId="24E62592" w14:textId="241DD480" w:rsidR="005C1CB1" w:rsidRPr="00CC4F38" w:rsidRDefault="005C1CB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1</w:t>
      </w:r>
      <w:r w:rsidRPr="00CC4F38">
        <w:fldChar w:fldCharType="end"/>
      </w:r>
      <w:r w:rsidRPr="00CC4F38">
        <w:t xml:space="preserve">: </w:t>
      </w:r>
      <w:r w:rsidR="00972F0B" w:rsidRPr="00CC4F38">
        <w:t xml:space="preserve">Study CP-4-001 </w:t>
      </w:r>
      <w:r w:rsidR="00F20ED9" w:rsidRPr="00CC4F38">
        <w:t>Serum somatrogon versus time for 7 mg dose levels</w:t>
      </w:r>
    </w:p>
    <w:p w14:paraId="64AAB627" w14:textId="42C11246" w:rsidR="005C1CB1" w:rsidRPr="00F20ED9" w:rsidRDefault="00F20ED9" w:rsidP="00CC4F38">
      <w:r>
        <w:rPr>
          <w:noProof/>
          <w:lang w:val="en-GB" w:eastAsia="en-GB"/>
        </w:rPr>
        <w:drawing>
          <wp:inline distT="0" distB="0" distL="0" distR="0" wp14:anchorId="274260DD" wp14:editId="12823988">
            <wp:extent cx="3311236" cy="2428525"/>
            <wp:effectExtent l="0" t="0" r="3810" b="0"/>
            <wp:docPr id="8" name="Picture 8" descr="Figure 1: Study CP-4-001 Serum somatrogon versus time for 7 mg dos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Study CP-4-001 Serum somatrogon versus time for 7 mg dose levels"/>
                    <pic:cNvPicPr/>
                  </pic:nvPicPr>
                  <pic:blipFill>
                    <a:blip r:embed="rId20"/>
                    <a:stretch>
                      <a:fillRect/>
                    </a:stretch>
                  </pic:blipFill>
                  <pic:spPr>
                    <a:xfrm>
                      <a:off x="0" y="0"/>
                      <a:ext cx="3319742" cy="2434764"/>
                    </a:xfrm>
                    <a:prstGeom prst="rect">
                      <a:avLst/>
                    </a:prstGeom>
                  </pic:spPr>
                </pic:pic>
              </a:graphicData>
            </a:graphic>
          </wp:inline>
        </w:drawing>
      </w:r>
    </w:p>
    <w:p w14:paraId="13F56B0A" w14:textId="0EC9A523" w:rsidR="005C1CB1" w:rsidRPr="00CC4F38" w:rsidRDefault="005C1CB1" w:rsidP="00CC4F38">
      <w:pPr>
        <w:pStyle w:val="FigureTitle"/>
      </w:pPr>
      <w:r w:rsidRPr="00CC4F38">
        <w:lastRenderedPageBreak/>
        <w:t xml:space="preserve">Figure </w:t>
      </w:r>
      <w:r w:rsidRPr="00CC4F38">
        <w:fldChar w:fldCharType="begin"/>
      </w:r>
      <w:r w:rsidRPr="00CC4F38">
        <w:instrText>SEQ Figure \* ARABIC</w:instrText>
      </w:r>
      <w:r w:rsidRPr="00CC4F38">
        <w:fldChar w:fldCharType="separate"/>
      </w:r>
      <w:r w:rsidR="003735CC">
        <w:rPr>
          <w:noProof/>
        </w:rPr>
        <w:t>2</w:t>
      </w:r>
      <w:r w:rsidRPr="00CC4F38">
        <w:fldChar w:fldCharType="end"/>
      </w:r>
      <w:r w:rsidR="00C31724" w:rsidRPr="00CC4F38">
        <w:t>:</w:t>
      </w:r>
      <w:r w:rsidR="00972F0B" w:rsidRPr="00CC4F38">
        <w:t xml:space="preserve"> Study CP-4-001 </w:t>
      </w:r>
      <w:r w:rsidR="00C31724" w:rsidRPr="00CC4F38">
        <w:t xml:space="preserve">Mean serum </w:t>
      </w:r>
      <w:r w:rsidR="00C752B0" w:rsidRPr="00CC4F38">
        <w:t>somatrogon</w:t>
      </w:r>
      <w:r w:rsidR="00972F0B" w:rsidRPr="00CC4F38">
        <w:t xml:space="preserve"> </w:t>
      </w:r>
      <w:r w:rsidR="00C31724" w:rsidRPr="00CC4F38">
        <w:t xml:space="preserve">concentration </w:t>
      </w:r>
      <w:r w:rsidR="00972F0B" w:rsidRPr="00CC4F38">
        <w:t>versus</w:t>
      </w:r>
      <w:r w:rsidR="00C31724" w:rsidRPr="00CC4F38">
        <w:t xml:space="preserve"> time profile following subcutaneous injection of 4,</w:t>
      </w:r>
      <w:r w:rsidR="00DD05C1">
        <w:t xml:space="preserve"> </w:t>
      </w:r>
      <w:r w:rsidR="00C31724" w:rsidRPr="00CC4F38">
        <w:t>7,</w:t>
      </w:r>
      <w:r w:rsidR="0080523E" w:rsidRPr="00CC4F38">
        <w:t xml:space="preserve"> </w:t>
      </w:r>
      <w:r w:rsidR="00C31724" w:rsidRPr="00CC4F38">
        <w:t>o</w:t>
      </w:r>
      <w:r w:rsidR="00D46A8A">
        <w:t>r</w:t>
      </w:r>
      <w:r w:rsidR="00C31724" w:rsidRPr="00CC4F38">
        <w:t xml:space="preserve"> 21 mg </w:t>
      </w:r>
      <w:r w:rsidR="00551836" w:rsidRPr="00CC4F38">
        <w:t>somatrogon</w:t>
      </w:r>
    </w:p>
    <w:p w14:paraId="7640C2E3" w14:textId="61207785" w:rsidR="00041159" w:rsidRDefault="00C31724" w:rsidP="00CC4F38">
      <w:pPr>
        <w:rPr>
          <w:rFonts w:eastAsia="Calibri"/>
          <w:noProof/>
          <w:lang w:eastAsia="en-AU"/>
        </w:rPr>
      </w:pPr>
      <w:r>
        <w:rPr>
          <w:noProof/>
          <w:lang w:val="en-GB" w:eastAsia="en-GB"/>
        </w:rPr>
        <w:drawing>
          <wp:inline distT="0" distB="0" distL="0" distR="0" wp14:anchorId="58356611" wp14:editId="380230F4">
            <wp:extent cx="5400040" cy="2258060"/>
            <wp:effectExtent l="0" t="0" r="0" b="8890"/>
            <wp:docPr id="7" name="Picture 7" descr="Figure 2: Study CP-4-001 Mean serum somatrogon concentration versus time profile following subcutaneous injection of 4, 7, or 21 mg somatr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Study CP-4-001 Mean serum somatrogon concentration versus time profile following subcutaneous injection of 4, 7, or 21 mg somatrogon"/>
                    <pic:cNvPicPr/>
                  </pic:nvPicPr>
                  <pic:blipFill>
                    <a:blip r:embed="rId21"/>
                    <a:stretch>
                      <a:fillRect/>
                    </a:stretch>
                  </pic:blipFill>
                  <pic:spPr>
                    <a:xfrm>
                      <a:off x="0" y="0"/>
                      <a:ext cx="5400040" cy="2258060"/>
                    </a:xfrm>
                    <a:prstGeom prst="rect">
                      <a:avLst/>
                    </a:prstGeom>
                  </pic:spPr>
                </pic:pic>
              </a:graphicData>
            </a:graphic>
          </wp:inline>
        </w:drawing>
      </w:r>
    </w:p>
    <w:p w14:paraId="2204DAF0" w14:textId="4664A65F" w:rsidR="00F52F8C" w:rsidRPr="00CC4F38" w:rsidRDefault="00CC4F38" w:rsidP="00CC4F38">
      <w:pPr>
        <w:pStyle w:val="FigureDescription"/>
      </w:pPr>
      <w:r w:rsidRPr="00CC4F38">
        <w:t xml:space="preserve">Abbreviation: </w:t>
      </w:r>
      <w:r w:rsidR="00F52F8C" w:rsidRPr="00CC4F38">
        <w:t xml:space="preserve">MOD-4023 </w:t>
      </w:r>
      <w:r w:rsidR="00D63211" w:rsidRPr="00CC4F38">
        <w:t xml:space="preserve">= </w:t>
      </w:r>
      <w:r w:rsidR="00F52F8C" w:rsidRPr="00CC4F38">
        <w:t>somatrogon.</w:t>
      </w:r>
    </w:p>
    <w:p w14:paraId="7FD1BC57" w14:textId="18D208F4" w:rsidR="00E76105" w:rsidRPr="00B168C4" w:rsidRDefault="00E76105" w:rsidP="00C66833">
      <w:pPr>
        <w:pStyle w:val="Heading5"/>
      </w:pPr>
      <w:r w:rsidRPr="00C64FF5">
        <w:t>Study CP-4-004</w:t>
      </w:r>
    </w:p>
    <w:p w14:paraId="2D817D3F" w14:textId="11E1149A" w:rsidR="00041159" w:rsidRPr="00041159" w:rsidRDefault="00A63652" w:rsidP="00041159">
      <w:r>
        <w:t xml:space="preserve">Study </w:t>
      </w:r>
      <w:r w:rsidR="00041159" w:rsidRPr="00041159">
        <w:t xml:space="preserve">CP-4-004 was a safety and dose finding study of different somatrogon doses compared to daily </w:t>
      </w:r>
      <w:r w:rsidR="00DC3E3A">
        <w:t>recombinant human growth hormone (</w:t>
      </w:r>
      <w:proofErr w:type="spellStart"/>
      <w:r w:rsidR="00041159" w:rsidRPr="00041159">
        <w:t>rhGH</w:t>
      </w:r>
      <w:proofErr w:type="spellEnd"/>
      <w:r w:rsidR="00DC3E3A">
        <w:t>)</w:t>
      </w:r>
      <w:r w:rsidR="00041159" w:rsidRPr="00041159">
        <w:t xml:space="preserve"> therapy in pre-pubertal growth hormone deficient children.</w:t>
      </w:r>
    </w:p>
    <w:p w14:paraId="5BAEA5CA" w14:textId="3E7E5341" w:rsidR="00041159" w:rsidRPr="009114FD" w:rsidRDefault="00041159" w:rsidP="00041159">
      <w:r w:rsidRPr="00041159">
        <w:t>Patients were randomi</w:t>
      </w:r>
      <w:r w:rsidR="00FA28EE">
        <w:t>s</w:t>
      </w:r>
      <w:r w:rsidRPr="00041159">
        <w:t xml:space="preserve">ed equally to one of four arms, 0.25 mg/kg/week somatrogon </w:t>
      </w:r>
      <w:r w:rsidR="00A63652" w:rsidRPr="00A63652">
        <w:t>subcutaneous</w:t>
      </w:r>
      <w:r w:rsidR="00A63652">
        <w:t>ly</w:t>
      </w:r>
      <w:r w:rsidRPr="00041159">
        <w:t xml:space="preserve">, 0.48 mg/kg/week somatrogon </w:t>
      </w:r>
      <w:r w:rsidR="00A63652" w:rsidRPr="00A63652">
        <w:t>subcutaneous</w:t>
      </w:r>
      <w:r w:rsidR="00A63652">
        <w:t>ly</w:t>
      </w:r>
      <w:r w:rsidRPr="00041159">
        <w:t xml:space="preserve">, 0.66 mg/kg/week somatrogon </w:t>
      </w:r>
      <w:r w:rsidR="00A63652" w:rsidRPr="00A63652">
        <w:t>subcutaneous</w:t>
      </w:r>
      <w:r w:rsidR="00A63652">
        <w:t>ly</w:t>
      </w:r>
      <w:r w:rsidRPr="00041159">
        <w:t xml:space="preserve">, or 0.034 mg/kg/day Genotropin </w:t>
      </w:r>
      <w:r w:rsidR="00DC3E3A">
        <w:t xml:space="preserve">(recombinant human growth hormone (somatropin) </w:t>
      </w:r>
      <w:r w:rsidR="00A63652" w:rsidRPr="00A63652">
        <w:t>subcutaneous</w:t>
      </w:r>
      <w:r w:rsidR="00A63652">
        <w:t>ly</w:t>
      </w:r>
      <w:r w:rsidRPr="00041159">
        <w:t xml:space="preserve">. Eligible patients were boys aged </w:t>
      </w:r>
      <w:r w:rsidRPr="009114FD">
        <w:t>3</w:t>
      </w:r>
      <w:r w:rsidR="00A63652" w:rsidRPr="009114FD">
        <w:t xml:space="preserve"> to </w:t>
      </w:r>
      <w:r w:rsidRPr="009114FD">
        <w:t>11</w:t>
      </w:r>
      <w:r w:rsidR="00DC3E3A">
        <w:t> </w:t>
      </w:r>
      <w:r w:rsidRPr="009114FD">
        <w:t>years</w:t>
      </w:r>
      <w:r w:rsidR="00DC3E3A">
        <w:t>,</w:t>
      </w:r>
      <w:r w:rsidRPr="009114FD">
        <w:t xml:space="preserve"> or girls aged 3</w:t>
      </w:r>
      <w:r w:rsidR="00A63652" w:rsidRPr="009114FD">
        <w:t xml:space="preserve"> to </w:t>
      </w:r>
      <w:r w:rsidRPr="009114FD">
        <w:t xml:space="preserve">10 years who were diagnosed with either isolated </w:t>
      </w:r>
      <w:r w:rsidR="00A63652" w:rsidRPr="009114FD">
        <w:t>growth hormone deficiency</w:t>
      </w:r>
      <w:r w:rsidRPr="009114FD">
        <w:t xml:space="preserve"> or </w:t>
      </w:r>
      <w:r w:rsidR="00AF04FE" w:rsidRPr="009114FD">
        <w:t>growth hormone</w:t>
      </w:r>
      <w:r w:rsidRPr="009114FD">
        <w:t xml:space="preserve"> insufficiency as part of multiple pituitary hormone deficiency. Patients had no prior exposure to rhGH therapy, impaired height and </w:t>
      </w:r>
      <w:r w:rsidR="009114FD" w:rsidRPr="009114FD">
        <w:t>height velocity</w:t>
      </w:r>
      <w:r w:rsidRPr="009114FD">
        <w:t xml:space="preserve">, and baseline IGF-1 level at least </w:t>
      </w:r>
      <w:r w:rsidR="00200395" w:rsidRPr="009114FD">
        <w:t>one standard deviation</w:t>
      </w:r>
      <w:r w:rsidRPr="009114FD">
        <w:t xml:space="preserve"> </w:t>
      </w:r>
      <w:r w:rsidR="00200395" w:rsidRPr="009114FD">
        <w:t>(</w:t>
      </w:r>
      <w:r w:rsidRPr="009114FD">
        <w:t>SD</w:t>
      </w:r>
      <w:r w:rsidR="00200395" w:rsidRPr="009114FD">
        <w:t>)</w:t>
      </w:r>
      <w:r w:rsidRPr="009114FD">
        <w:t xml:space="preserve"> below the mean IGF-1 standardi</w:t>
      </w:r>
      <w:r w:rsidR="00FA28EE" w:rsidRPr="009114FD">
        <w:t>s</w:t>
      </w:r>
      <w:r w:rsidRPr="009114FD">
        <w:t>ed for age and sex.</w:t>
      </w:r>
    </w:p>
    <w:p w14:paraId="561B104C" w14:textId="719C9A5C" w:rsidR="00041159" w:rsidRDefault="00041159" w:rsidP="00041159">
      <w:r w:rsidRPr="009114FD">
        <w:t>There were 56 patients randomised and 53 received at least one dose. The mean age was 6.2</w:t>
      </w:r>
      <w:r w:rsidR="00A63652" w:rsidRPr="009114FD">
        <w:t xml:space="preserve"> to </w:t>
      </w:r>
      <w:r w:rsidRPr="009114FD">
        <w:t>6.8 across all cohorts (range 3.0</w:t>
      </w:r>
      <w:r w:rsidR="00A63652" w:rsidRPr="009114FD">
        <w:t xml:space="preserve"> to </w:t>
      </w:r>
      <w:r w:rsidRPr="009114FD">
        <w:t xml:space="preserve">11.2 years) except for females in the Genotropin </w:t>
      </w:r>
      <w:r w:rsidR="00DC3E3A">
        <w:t>(</w:t>
      </w:r>
      <w:proofErr w:type="spellStart"/>
      <w:r w:rsidR="00DC3E3A">
        <w:t>rhGH</w:t>
      </w:r>
      <w:proofErr w:type="spellEnd"/>
      <w:r w:rsidR="00DC3E3A">
        <w:t xml:space="preserve">) </w:t>
      </w:r>
      <w:r w:rsidRPr="009114FD">
        <w:t>arm who had a mean age of 4.7 years. Mean baseline weight was 15.3</w:t>
      </w:r>
      <w:r w:rsidR="00A63652" w:rsidRPr="009114FD">
        <w:t xml:space="preserve"> to </w:t>
      </w:r>
      <w:r w:rsidRPr="009114FD">
        <w:t>16.9 kg across cohorts (range 9.1</w:t>
      </w:r>
      <w:r w:rsidR="00A63652" w:rsidRPr="009114FD">
        <w:t xml:space="preserve"> to </w:t>
      </w:r>
      <w:r w:rsidRPr="009114FD">
        <w:t xml:space="preserve">26.5 kg), and mean height </w:t>
      </w:r>
      <w:r w:rsidR="00BB701C" w:rsidRPr="009114FD">
        <w:t>standard deviation score (</w:t>
      </w:r>
      <w:r w:rsidRPr="009114FD">
        <w:t>SDS</w:t>
      </w:r>
      <w:r w:rsidR="00BB701C" w:rsidRPr="009114FD">
        <w:t>)</w:t>
      </w:r>
      <w:r w:rsidRPr="009114FD">
        <w:t xml:space="preserve"> across cohorts was a mean of </w:t>
      </w:r>
      <w:r w:rsidR="00A63652" w:rsidRPr="009114FD">
        <w:noBreakHyphen/>
      </w:r>
      <w:r w:rsidRPr="009114FD">
        <w:t xml:space="preserve">3.7 to </w:t>
      </w:r>
      <w:r w:rsidR="00A63652" w:rsidRPr="009114FD">
        <w:noBreakHyphen/>
      </w:r>
      <w:r w:rsidRPr="009114FD">
        <w:t xml:space="preserve">4.3 (range </w:t>
      </w:r>
      <w:r w:rsidR="00A63652" w:rsidRPr="009114FD">
        <w:noBreakHyphen/>
      </w:r>
      <w:r w:rsidRPr="009114FD">
        <w:t xml:space="preserve">7.5 to </w:t>
      </w:r>
      <w:r w:rsidR="00A63652" w:rsidRPr="009114FD">
        <w:noBreakHyphen/>
      </w:r>
      <w:r w:rsidRPr="009114FD">
        <w:t>2.3).</w:t>
      </w:r>
    </w:p>
    <w:p w14:paraId="348AE73C" w14:textId="14A482F6" w:rsidR="00C97EE4" w:rsidRPr="009114FD" w:rsidRDefault="00C97EE4" w:rsidP="00041159">
      <w:r w:rsidRPr="00C97EE4">
        <w:t>Although the weekly PK data showed no significant differen</w:t>
      </w:r>
      <w:r>
        <w:t>ce</w:t>
      </w:r>
      <w:r w:rsidRPr="00C97EE4">
        <w:t xml:space="preserve"> in PK profiles between dose levels, the annual PK data shows increase levels in the higher 2 dose </w:t>
      </w:r>
      <w:proofErr w:type="gramStart"/>
      <w:r w:rsidRPr="00C97EE4">
        <w:t>cohorts, and</w:t>
      </w:r>
      <w:proofErr w:type="gramEnd"/>
      <w:r w:rsidRPr="00C97EE4">
        <w:t xml:space="preserve"> increasing levels over the year.</w:t>
      </w:r>
    </w:p>
    <w:p w14:paraId="453A136E" w14:textId="0E998229" w:rsidR="005C1CB1" w:rsidRPr="00CC4F38" w:rsidRDefault="005C1CB1" w:rsidP="00CC4F38">
      <w:pPr>
        <w:pStyle w:val="FigureTitle"/>
      </w:pPr>
      <w:r w:rsidRPr="00CC4F38">
        <w:lastRenderedPageBreak/>
        <w:t xml:space="preserve">Figure </w:t>
      </w:r>
      <w:r w:rsidRPr="00CC4F38">
        <w:fldChar w:fldCharType="begin"/>
      </w:r>
      <w:r w:rsidRPr="00CC4F38">
        <w:instrText>SEQ Figure \* ARABIC</w:instrText>
      </w:r>
      <w:r w:rsidRPr="00CC4F38">
        <w:fldChar w:fldCharType="separate"/>
      </w:r>
      <w:r w:rsidR="003735CC">
        <w:rPr>
          <w:noProof/>
        </w:rPr>
        <w:t>3</w:t>
      </w:r>
      <w:r w:rsidRPr="00CC4F38">
        <w:fldChar w:fldCharType="end"/>
      </w:r>
      <w:r w:rsidR="00760AFC" w:rsidRPr="00CC4F38">
        <w:t xml:space="preserve">: </w:t>
      </w:r>
      <w:r w:rsidR="00972F0B" w:rsidRPr="00CC4F38">
        <w:t xml:space="preserve">Study CP-4-004 Period I and II </w:t>
      </w:r>
      <w:r w:rsidR="00760AFC" w:rsidRPr="00CC4F38">
        <w:t xml:space="preserve">Mean weekly trend of </w:t>
      </w:r>
      <w:r w:rsidR="00A05D95" w:rsidRPr="00CC4F38">
        <w:t xml:space="preserve">serum </w:t>
      </w:r>
      <w:r w:rsidR="00760AFC" w:rsidRPr="00CC4F38">
        <w:t xml:space="preserve">concentration-time profile of </w:t>
      </w:r>
      <w:r w:rsidR="00E76105" w:rsidRPr="00CC4F38">
        <w:t>somatrogon</w:t>
      </w:r>
      <w:r w:rsidR="00760AFC" w:rsidRPr="00CC4F38">
        <w:t xml:space="preserve"> (per-</w:t>
      </w:r>
      <w:r w:rsidR="00CC4F38" w:rsidRPr="00CC4F38">
        <w:t>protocol</w:t>
      </w:r>
      <w:r w:rsidR="00972F0B" w:rsidRPr="00CC4F38">
        <w:t xml:space="preserve"> pop</w:t>
      </w:r>
      <w:r w:rsidR="00745F3B" w:rsidRPr="00CC4F38">
        <w:t>ulation</w:t>
      </w:r>
      <w:r w:rsidR="00760AFC" w:rsidRPr="00CC4F38">
        <w:t>)</w:t>
      </w:r>
    </w:p>
    <w:p w14:paraId="1EE4119D" w14:textId="106344A5" w:rsidR="00760AFC" w:rsidRPr="00760AFC" w:rsidRDefault="00760AFC" w:rsidP="00CC4F38">
      <w:r>
        <w:rPr>
          <w:noProof/>
          <w:lang w:val="en-GB" w:eastAsia="en-GB"/>
        </w:rPr>
        <w:drawing>
          <wp:inline distT="0" distB="0" distL="0" distR="0" wp14:anchorId="4B4D222B" wp14:editId="3A60A1DF">
            <wp:extent cx="5400040" cy="2009775"/>
            <wp:effectExtent l="0" t="0" r="0" b="9525"/>
            <wp:docPr id="2" name="Picture 2" descr="Figure 3: Study CP-4-004 Period I and II Mean weekly trend of serum concentration-time profile of somatrogon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tudy CP-4-004 Period I and II Mean weekly trend of serum concentration-time profile of somatrogon (per-protocol population)"/>
                    <pic:cNvPicPr/>
                  </pic:nvPicPr>
                  <pic:blipFill>
                    <a:blip r:embed="rId22"/>
                    <a:stretch>
                      <a:fillRect/>
                    </a:stretch>
                  </pic:blipFill>
                  <pic:spPr>
                    <a:xfrm>
                      <a:off x="0" y="0"/>
                      <a:ext cx="5400040" cy="2009775"/>
                    </a:xfrm>
                    <a:prstGeom prst="rect">
                      <a:avLst/>
                    </a:prstGeom>
                  </pic:spPr>
                </pic:pic>
              </a:graphicData>
            </a:graphic>
          </wp:inline>
        </w:drawing>
      </w:r>
    </w:p>
    <w:p w14:paraId="2C6C0369" w14:textId="674C46A4" w:rsidR="00F20BD8" w:rsidRPr="00CC4F38" w:rsidRDefault="00CC4F38" w:rsidP="00CC4F38">
      <w:pPr>
        <w:pStyle w:val="FigureDescription"/>
      </w:pPr>
      <w:r w:rsidRPr="00CC4F38">
        <w:t xml:space="preserve">Abbreviations: </w:t>
      </w:r>
      <w:r w:rsidR="00760AFC" w:rsidRPr="00CC4F38">
        <w:t>hr = hour;</w:t>
      </w:r>
      <w:r w:rsidR="00972F0B" w:rsidRPr="00CC4F38">
        <w:t xml:space="preserve"> MOD-4023 = somatrogon;</w:t>
      </w:r>
      <w:r w:rsidR="00760AFC" w:rsidRPr="00CC4F38">
        <w:t xml:space="preserve"> n = </w:t>
      </w:r>
      <w:r w:rsidR="00F20BD8" w:rsidRPr="00CC4F38">
        <w:t>number of study participants.</w:t>
      </w:r>
    </w:p>
    <w:p w14:paraId="26B939AF" w14:textId="7F17F067" w:rsidR="00F20BD8" w:rsidRPr="00CC4F38" w:rsidRDefault="00F20BD8" w:rsidP="00CC4F38">
      <w:pPr>
        <w:pStyle w:val="FigureDescription"/>
      </w:pPr>
      <w:r w:rsidRPr="00CC4F38">
        <w:t>Pharmacokinetic treading data based on bioanalytical report.</w:t>
      </w:r>
    </w:p>
    <w:p w14:paraId="4E03D762" w14:textId="771791E3" w:rsidR="007A31FD" w:rsidRPr="00CC4F38" w:rsidRDefault="007A31FD" w:rsidP="00CC4F38">
      <w:pPr>
        <w:pStyle w:val="FigureTitle"/>
      </w:pPr>
      <w:r w:rsidRPr="00CC4F38">
        <w:t xml:space="preserve">Figure </w:t>
      </w:r>
      <w:r w:rsidR="00B22E7C">
        <w:fldChar w:fldCharType="begin"/>
      </w:r>
      <w:r w:rsidR="00B22E7C">
        <w:instrText xml:space="preserve"> SEQ Figure \* ARABIC </w:instrText>
      </w:r>
      <w:r w:rsidR="00B22E7C">
        <w:fldChar w:fldCharType="separate"/>
      </w:r>
      <w:r w:rsidR="003735CC">
        <w:rPr>
          <w:noProof/>
        </w:rPr>
        <w:t>4</w:t>
      </w:r>
      <w:r w:rsidR="00B22E7C">
        <w:rPr>
          <w:noProof/>
        </w:rPr>
        <w:fldChar w:fldCharType="end"/>
      </w:r>
      <w:r w:rsidRPr="00CC4F38">
        <w:t>: Study CP-4-004 Period I and II Mean Day 4 somatrogon drug level for patients completing 12 months of treatment (per-protocol population)</w:t>
      </w:r>
    </w:p>
    <w:p w14:paraId="046AA0C6" w14:textId="77777777" w:rsidR="007A31FD" w:rsidRDefault="007A31FD" w:rsidP="00CC4F38">
      <w:r>
        <w:rPr>
          <w:noProof/>
          <w:lang w:val="en-GB" w:eastAsia="en-GB"/>
        </w:rPr>
        <w:drawing>
          <wp:inline distT="0" distB="0" distL="0" distR="0" wp14:anchorId="70425FDE" wp14:editId="7B050363">
            <wp:extent cx="5400040" cy="2419350"/>
            <wp:effectExtent l="0" t="0" r="0" b="0"/>
            <wp:docPr id="4" name="Picture 4" descr="Figure 4: Study CP-4-004 Period I and II Mean Day 4 somatrogon drug level for patients completing 12 months of treatment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tudy CP-4-004 Period I and II Mean Day 4 somatrogon drug level for patients completing 12 months of treatment (per-protocol population)"/>
                    <pic:cNvPicPr/>
                  </pic:nvPicPr>
                  <pic:blipFill>
                    <a:blip r:embed="rId23"/>
                    <a:stretch>
                      <a:fillRect/>
                    </a:stretch>
                  </pic:blipFill>
                  <pic:spPr>
                    <a:xfrm>
                      <a:off x="0" y="0"/>
                      <a:ext cx="5400040" cy="2419350"/>
                    </a:xfrm>
                    <a:prstGeom prst="rect">
                      <a:avLst/>
                    </a:prstGeom>
                  </pic:spPr>
                </pic:pic>
              </a:graphicData>
            </a:graphic>
          </wp:inline>
        </w:drawing>
      </w:r>
    </w:p>
    <w:p w14:paraId="1FF1A42E" w14:textId="315C1B79" w:rsidR="00745F3B" w:rsidRPr="00CC4F38" w:rsidRDefault="00CC4F38" w:rsidP="00CC4F38">
      <w:pPr>
        <w:pStyle w:val="FigureDescription"/>
      </w:pPr>
      <w:r w:rsidRPr="00CC4F38">
        <w:t xml:space="preserve">Abbreviations: </w:t>
      </w:r>
      <w:r w:rsidR="00745F3B" w:rsidRPr="00CC4F38">
        <w:t xml:space="preserve">MOD-4023 = somatrogon; n = </w:t>
      </w:r>
      <w:r w:rsidR="00813EF3" w:rsidRPr="00CC4F38">
        <w:t>number of study participants</w:t>
      </w:r>
      <w:r w:rsidR="00745F3B" w:rsidRPr="00CC4F38">
        <w:t>.</w:t>
      </w:r>
    </w:p>
    <w:p w14:paraId="49E6B893" w14:textId="7404E96D" w:rsidR="00760AFC" w:rsidRPr="00CC4F38" w:rsidRDefault="00745F3B" w:rsidP="00CC4F38">
      <w:pPr>
        <w:pStyle w:val="FigureDescription"/>
      </w:pPr>
      <w:r w:rsidRPr="00CC4F38">
        <w:t xml:space="preserve">Pharmacokinetic </w:t>
      </w:r>
      <w:r w:rsidR="00760AFC" w:rsidRPr="00CC4F38">
        <w:t>treading data based on bioanalytical report.</w:t>
      </w:r>
    </w:p>
    <w:p w14:paraId="6F814F09" w14:textId="0F4CC9C5" w:rsidR="003D2349" w:rsidRPr="00041159" w:rsidRDefault="003D2349" w:rsidP="00041159">
      <w:r w:rsidRPr="003D2349">
        <w:t>The somatrogon PK data from Stud</w:t>
      </w:r>
      <w:r w:rsidR="005D3998">
        <w:t>ies</w:t>
      </w:r>
      <w:r w:rsidRPr="003D2349">
        <w:t xml:space="preserve"> CP-4-</w:t>
      </w:r>
      <w:r w:rsidR="005D3998">
        <w:t xml:space="preserve">004 and </w:t>
      </w:r>
      <w:r w:rsidR="005D3998" w:rsidRPr="003D2349">
        <w:t>CP-4-</w:t>
      </w:r>
      <w:r w:rsidRPr="003D2349">
        <w:t>006 were used as the basis of a population pharmacokinetic (</w:t>
      </w:r>
      <w:proofErr w:type="spellStart"/>
      <w:r w:rsidRPr="003D2349">
        <w:t>PopPK</w:t>
      </w:r>
      <w:proofErr w:type="spellEnd"/>
      <w:r w:rsidRPr="003D2349">
        <w:t>) report</w:t>
      </w:r>
      <w:r>
        <w:t>.</w:t>
      </w:r>
    </w:p>
    <w:p w14:paraId="18774C95" w14:textId="4AB8C670" w:rsidR="00E76105" w:rsidRPr="00B168C4" w:rsidRDefault="00E76105" w:rsidP="00C66833">
      <w:pPr>
        <w:pStyle w:val="Heading5"/>
      </w:pPr>
      <w:r w:rsidRPr="000947F4">
        <w:t>Study CP-4-003</w:t>
      </w:r>
    </w:p>
    <w:p w14:paraId="6657ADF7" w14:textId="2B36CD9F" w:rsidR="00041159" w:rsidRPr="00041159" w:rsidRDefault="0061549A" w:rsidP="00041159">
      <w:r>
        <w:t xml:space="preserve">Study </w:t>
      </w:r>
      <w:r w:rsidR="00041159" w:rsidRPr="00041159">
        <w:t>CP-4-003</w:t>
      </w:r>
      <w:r>
        <w:t xml:space="preserve"> w</w:t>
      </w:r>
      <w:r w:rsidR="00041159" w:rsidRPr="00041159">
        <w:t xml:space="preserve">as a study in adults with </w:t>
      </w:r>
      <w:r w:rsidR="00AF04FE">
        <w:t>growth hormone</w:t>
      </w:r>
      <w:r w:rsidR="00041159" w:rsidRPr="00041159">
        <w:t xml:space="preserve"> deficiency. The results were not entirely consistent with the previous </w:t>
      </w:r>
      <w:r>
        <w:t>Study</w:t>
      </w:r>
      <w:r w:rsidR="00041159" w:rsidRPr="00041159">
        <w:t xml:space="preserve"> </w:t>
      </w:r>
      <w:r w:rsidR="009E6D6B">
        <w:t>CP-4-001</w:t>
      </w:r>
      <w:r w:rsidR="00B51BEE">
        <w:t xml:space="preserve"> </w:t>
      </w:r>
      <w:r w:rsidR="009E6D6B">
        <w:t>conducted in healthy adult participants</w:t>
      </w:r>
      <w:r>
        <w:t>.</w:t>
      </w:r>
    </w:p>
    <w:p w14:paraId="0DEDF613" w14:textId="08457D7F" w:rsidR="00041159" w:rsidRPr="005C1721" w:rsidRDefault="00041159" w:rsidP="00C66833">
      <w:pPr>
        <w:pStyle w:val="Heading4"/>
      </w:pPr>
      <w:r w:rsidRPr="005C1721">
        <w:t xml:space="preserve">Population </w:t>
      </w:r>
      <w:r w:rsidR="0061549A">
        <w:t xml:space="preserve">pharmacokinetic </w:t>
      </w:r>
      <w:r w:rsidRPr="005C1721">
        <w:t>data</w:t>
      </w:r>
    </w:p>
    <w:p w14:paraId="7D05E4FB" w14:textId="2136E692" w:rsidR="00041159" w:rsidRPr="00041159" w:rsidRDefault="00FA7EFF" w:rsidP="00041159">
      <w:r>
        <w:t xml:space="preserve">Report </w:t>
      </w:r>
      <w:r w:rsidR="00041159" w:rsidRPr="00041159">
        <w:t xml:space="preserve">DP3-853 was a </w:t>
      </w:r>
      <w:proofErr w:type="spellStart"/>
      <w:r w:rsidR="000843F9">
        <w:t>P</w:t>
      </w:r>
      <w:r w:rsidR="00041159" w:rsidRPr="00041159">
        <w:t>opPK</w:t>
      </w:r>
      <w:proofErr w:type="spellEnd"/>
      <w:r w:rsidR="00041159" w:rsidRPr="00041159">
        <w:t xml:space="preserve"> modelling report for somatrogon. It used data from </w:t>
      </w:r>
      <w:r w:rsidR="005E33D1" w:rsidRPr="005E33D1">
        <w:t>Study</w:t>
      </w:r>
      <w:r w:rsidR="005E33D1">
        <w:t> </w:t>
      </w:r>
      <w:r w:rsidR="005E33D1" w:rsidRPr="005E33D1">
        <w:t>CP</w:t>
      </w:r>
      <w:r w:rsidR="005E33D1">
        <w:noBreakHyphen/>
      </w:r>
      <w:r w:rsidR="005E33D1" w:rsidRPr="005E33D1">
        <w:t>4</w:t>
      </w:r>
      <w:r w:rsidR="005E33D1">
        <w:noBreakHyphen/>
      </w:r>
      <w:r w:rsidR="005E33D1" w:rsidRPr="005E33D1">
        <w:t>003</w:t>
      </w:r>
      <w:r w:rsidR="005E33D1">
        <w:t xml:space="preserve"> </w:t>
      </w:r>
      <w:r w:rsidR="00041159" w:rsidRPr="00041159">
        <w:t xml:space="preserve">in adults and </w:t>
      </w:r>
      <w:r w:rsidR="005E33D1" w:rsidRPr="005E33D1">
        <w:t>Study CP-4-004</w:t>
      </w:r>
      <w:r w:rsidR="005E33D1">
        <w:t xml:space="preserve"> </w:t>
      </w:r>
      <w:r w:rsidR="00041159" w:rsidRPr="00041159">
        <w:t xml:space="preserve">in children with </w:t>
      </w:r>
      <w:r w:rsidR="00AF04FE">
        <w:t>growth hormone</w:t>
      </w:r>
      <w:r w:rsidR="00041159" w:rsidRPr="00041159">
        <w:t xml:space="preserve"> deficiency.</w:t>
      </w:r>
    </w:p>
    <w:p w14:paraId="662E6638" w14:textId="0FE5464A" w:rsidR="00041159" w:rsidRPr="00041159" w:rsidRDefault="00041159" w:rsidP="00041159">
      <w:r w:rsidRPr="00041159">
        <w:t xml:space="preserve">The objectives of this </w:t>
      </w:r>
      <w:r w:rsidR="00230E57">
        <w:t>report</w:t>
      </w:r>
      <w:r w:rsidR="00230E57" w:rsidRPr="00041159">
        <w:t xml:space="preserve"> </w:t>
      </w:r>
      <w:r w:rsidRPr="00041159">
        <w:t>were</w:t>
      </w:r>
      <w:r w:rsidR="005E33D1">
        <w:t>:</w:t>
      </w:r>
    </w:p>
    <w:p w14:paraId="1D14680F" w14:textId="43DCA412" w:rsidR="00041159" w:rsidRDefault="005E33D1" w:rsidP="00041159">
      <w:pPr>
        <w:pStyle w:val="ListBullet"/>
      </w:pPr>
      <w:r>
        <w:t>t</w:t>
      </w:r>
      <w:r w:rsidR="00041159">
        <w:t>o characteri</w:t>
      </w:r>
      <w:r w:rsidR="00FA28EE">
        <w:t>s</w:t>
      </w:r>
      <w:r w:rsidR="00041159">
        <w:t xml:space="preserve">e the </w:t>
      </w:r>
      <w:r w:rsidR="000843F9">
        <w:t>P</w:t>
      </w:r>
      <w:r w:rsidR="00041159">
        <w:t xml:space="preserve">opPK of somatrogon in </w:t>
      </w:r>
      <w:r w:rsidR="00A63652" w:rsidRPr="00A63652">
        <w:t>growth hormone deficiency</w:t>
      </w:r>
      <w:r w:rsidR="00041159">
        <w:t xml:space="preserve"> adults and </w:t>
      </w:r>
      <w:proofErr w:type="gramStart"/>
      <w:r w:rsidR="00041159">
        <w:t>children</w:t>
      </w:r>
      <w:r>
        <w:t>;</w:t>
      </w:r>
      <w:proofErr w:type="gramEnd"/>
    </w:p>
    <w:p w14:paraId="32E8C8A3" w14:textId="04C96B07" w:rsidR="00041159" w:rsidRDefault="005E33D1" w:rsidP="00041159">
      <w:pPr>
        <w:pStyle w:val="ListBullet"/>
      </w:pPr>
      <w:r>
        <w:lastRenderedPageBreak/>
        <w:t>t</w:t>
      </w:r>
      <w:r w:rsidR="00041159">
        <w:t xml:space="preserve">o identify covariates that influence the PK of </w:t>
      </w:r>
      <w:proofErr w:type="gramStart"/>
      <w:r w:rsidR="00041159">
        <w:t>somatrogon</w:t>
      </w:r>
      <w:r>
        <w:t>;</w:t>
      </w:r>
      <w:proofErr w:type="gramEnd"/>
    </w:p>
    <w:p w14:paraId="2765F01B" w14:textId="41BA0D5A" w:rsidR="00041159" w:rsidRDefault="00FA7EFF" w:rsidP="00041159">
      <w:pPr>
        <w:pStyle w:val="ListBullet"/>
      </w:pPr>
      <w:r>
        <w:t xml:space="preserve">to </w:t>
      </w:r>
      <w:r w:rsidR="005E33D1">
        <w:t>d</w:t>
      </w:r>
      <w:r w:rsidR="00041159">
        <w:t>erive individual somatrogon exposure for subsequent exposure</w:t>
      </w:r>
      <w:r w:rsidR="005E33D1">
        <w:t xml:space="preserve"> </w:t>
      </w:r>
      <w:r w:rsidR="00041159">
        <w:t>response analyses</w:t>
      </w:r>
      <w:r w:rsidR="005E33D1">
        <w:t>.</w:t>
      </w:r>
    </w:p>
    <w:p w14:paraId="0CB8FBF3" w14:textId="4F8AFC70" w:rsidR="00041159" w:rsidRPr="00041159" w:rsidRDefault="00041159" w:rsidP="00041159">
      <w:r w:rsidRPr="00041159">
        <w:t xml:space="preserve">The base model was a </w:t>
      </w:r>
      <w:r w:rsidR="00DD05C1" w:rsidRPr="00041159">
        <w:t>two-compartment</w:t>
      </w:r>
      <w:r w:rsidRPr="00041159">
        <w:t xml:space="preserve"> model with delayed first order absorption</w:t>
      </w:r>
      <w:r w:rsidR="005E33D1">
        <w:t>.</w:t>
      </w:r>
    </w:p>
    <w:p w14:paraId="1CA439B7" w14:textId="153946E5" w:rsidR="00041159" w:rsidRPr="00DD05C1" w:rsidRDefault="00041159" w:rsidP="00DD05C1">
      <w:pPr>
        <w:pStyle w:val="Heading4"/>
      </w:pPr>
      <w:r w:rsidRPr="00DD05C1">
        <w:t>Pharmacodynamics</w:t>
      </w:r>
    </w:p>
    <w:p w14:paraId="7330EA6F" w14:textId="77777777" w:rsidR="00E76105" w:rsidRPr="00B168C4" w:rsidRDefault="00E76105" w:rsidP="00C66833">
      <w:pPr>
        <w:pStyle w:val="Heading5"/>
      </w:pPr>
      <w:r w:rsidRPr="000947F4">
        <w:t>Study CP-4-001</w:t>
      </w:r>
    </w:p>
    <w:p w14:paraId="6346E24B" w14:textId="552E37E6" w:rsidR="00041159" w:rsidRPr="00041159" w:rsidRDefault="00041159" w:rsidP="00041159">
      <w:r w:rsidRPr="00041159">
        <w:t>Study CP-4-001</w:t>
      </w:r>
      <w:r w:rsidR="00633E19">
        <w:t>, in healthy adult participants,</w:t>
      </w:r>
      <w:r w:rsidRPr="00041159">
        <w:t xml:space="preserve"> showed that despite a </w:t>
      </w:r>
      <w:r w:rsidR="00436379">
        <w:t>more than</w:t>
      </w:r>
      <w:r w:rsidR="00C8642A">
        <w:t xml:space="preserve"> </w:t>
      </w:r>
      <w:r w:rsidRPr="00041159">
        <w:t>dose proportional increase in somatrogon levels</w:t>
      </w:r>
      <w:r w:rsidR="00D31D68">
        <w:t xml:space="preserve">, particularly </w:t>
      </w:r>
      <w:r w:rsidR="00E76105" w:rsidRPr="000947F4">
        <w:t xml:space="preserve">between </w:t>
      </w:r>
      <w:r w:rsidR="00D31D68">
        <w:t xml:space="preserve">the </w:t>
      </w:r>
      <w:r w:rsidR="00E76105" w:rsidRPr="000947F4">
        <w:t>7 and 21 mg</w:t>
      </w:r>
      <w:r w:rsidR="00D31D68">
        <w:t xml:space="preserve"> doses</w:t>
      </w:r>
      <w:r w:rsidR="00E76105" w:rsidRPr="000947F4">
        <w:t xml:space="preserve">, </w:t>
      </w:r>
      <w:r w:rsidRPr="000947F4">
        <w:t>the IGF</w:t>
      </w:r>
      <w:r w:rsidRPr="00041159">
        <w:t>-1 peaked at the 7</w:t>
      </w:r>
      <w:r w:rsidR="005E33D1">
        <w:t xml:space="preserve"> </w:t>
      </w:r>
      <w:r w:rsidRPr="00041159">
        <w:t xml:space="preserve">mg dose. </w:t>
      </w:r>
      <w:r w:rsidR="001F3474" w:rsidRPr="001F3474">
        <w:t xml:space="preserve">Insulin-like growth factor </w:t>
      </w:r>
      <w:r w:rsidR="001F3474">
        <w:t>(</w:t>
      </w:r>
      <w:r w:rsidRPr="00041159">
        <w:t>IGF</w:t>
      </w:r>
      <w:r w:rsidR="001F3474">
        <w:t>)</w:t>
      </w:r>
      <w:r w:rsidRPr="00041159">
        <w:t>-</w:t>
      </w:r>
      <w:r w:rsidR="001F3474" w:rsidRPr="001F3474">
        <w:t>binding protein</w:t>
      </w:r>
      <w:r w:rsidR="00DD05C1">
        <w:t> </w:t>
      </w:r>
      <w:r w:rsidR="001F3474">
        <w:t>3 (</w:t>
      </w:r>
      <w:r w:rsidRPr="00041159">
        <w:t>BP3</w:t>
      </w:r>
      <w:r w:rsidR="001F3474">
        <w:t>)</w:t>
      </w:r>
      <w:r w:rsidRPr="00041159">
        <w:t xml:space="preserve"> increased but not in a dose</w:t>
      </w:r>
      <w:r w:rsidR="005E33D1">
        <w:t xml:space="preserve"> </w:t>
      </w:r>
      <w:r w:rsidRPr="00041159">
        <w:t>proportional way.</w:t>
      </w:r>
    </w:p>
    <w:p w14:paraId="316435A8" w14:textId="77777777" w:rsidR="00041159" w:rsidRPr="00041159" w:rsidRDefault="00041159" w:rsidP="005E33D1">
      <w:pPr>
        <w:pStyle w:val="Heading5"/>
      </w:pPr>
      <w:r w:rsidRPr="00041159">
        <w:t>Study CP-4-004</w:t>
      </w:r>
    </w:p>
    <w:p w14:paraId="6C6B42C6" w14:textId="751B1B55" w:rsidR="00041159" w:rsidRDefault="00041159" w:rsidP="00041159">
      <w:r w:rsidRPr="00041159">
        <w:t>The IGF-1 response</w:t>
      </w:r>
      <w:r w:rsidR="00633E19">
        <w:t xml:space="preserve"> most comparable to response observed with Genotropin</w:t>
      </w:r>
      <w:r w:rsidRPr="00041159">
        <w:t xml:space="preserve"> </w:t>
      </w:r>
      <w:r w:rsidR="00230E57">
        <w:t>(</w:t>
      </w:r>
      <w:proofErr w:type="spellStart"/>
      <w:r w:rsidR="00230E57">
        <w:t>rhGH</w:t>
      </w:r>
      <w:proofErr w:type="spellEnd"/>
      <w:r w:rsidR="00230E57">
        <w:t xml:space="preserve">/somatropin) </w:t>
      </w:r>
      <w:r w:rsidRPr="00041159">
        <w:t>was with the 0.66</w:t>
      </w:r>
      <w:r w:rsidR="00DD05C1">
        <w:t> </w:t>
      </w:r>
      <w:r w:rsidRPr="00041159">
        <w:t>mg/kg</w:t>
      </w:r>
      <w:r w:rsidR="00745799">
        <w:t>/week</w:t>
      </w:r>
      <w:r w:rsidRPr="00041159">
        <w:t xml:space="preserve"> group</w:t>
      </w:r>
      <w:r w:rsidR="00FA7EFF">
        <w:t>.</w:t>
      </w:r>
    </w:p>
    <w:p w14:paraId="7A9DADE6" w14:textId="22FE852B" w:rsidR="005C1CB1" w:rsidRPr="00CC4F38" w:rsidRDefault="005C1CB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5</w:t>
      </w:r>
      <w:r w:rsidRPr="00CC4F38">
        <w:fldChar w:fldCharType="end"/>
      </w:r>
      <w:r w:rsidR="00F20ED9" w:rsidRPr="00CC4F38">
        <w:t xml:space="preserve">: </w:t>
      </w:r>
      <w:r w:rsidR="00221850" w:rsidRPr="00CC4F38">
        <w:t>Study CP-4-</w:t>
      </w:r>
      <w:r w:rsidR="00E76105" w:rsidRPr="00CC4F38">
        <w:t xml:space="preserve">004 </w:t>
      </w:r>
      <w:r w:rsidR="00221850" w:rsidRPr="00CC4F38">
        <w:t>Insulin-like growth factor standard deviation score versus</w:t>
      </w:r>
      <w:r w:rsidR="00F20ED9" w:rsidRPr="00CC4F38">
        <w:t xml:space="preserve"> time</w:t>
      </w:r>
    </w:p>
    <w:p w14:paraId="5B3DBFA7" w14:textId="6AEE5ABC" w:rsidR="00745F3B" w:rsidRPr="00F20ED9" w:rsidRDefault="00F20ED9" w:rsidP="00CC4F38">
      <w:r>
        <w:rPr>
          <w:noProof/>
          <w:lang w:val="en-GB" w:eastAsia="en-GB"/>
        </w:rPr>
        <w:drawing>
          <wp:inline distT="0" distB="0" distL="0" distR="0" wp14:anchorId="14A2405A" wp14:editId="4422E006">
            <wp:extent cx="3291840" cy="3626001"/>
            <wp:effectExtent l="0" t="0" r="3810" b="0"/>
            <wp:docPr id="9" name="Picture 9" descr="Figure 5: Study CP-4-004 Insulin-like growth factor standard deviation score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5: Study CP-4-004 Insulin-like growth factor standard deviation score versus time"/>
                    <pic:cNvPicPr/>
                  </pic:nvPicPr>
                  <pic:blipFill>
                    <a:blip r:embed="rId24"/>
                    <a:stretch>
                      <a:fillRect/>
                    </a:stretch>
                  </pic:blipFill>
                  <pic:spPr>
                    <a:xfrm>
                      <a:off x="0" y="0"/>
                      <a:ext cx="3300227" cy="3635239"/>
                    </a:xfrm>
                    <a:prstGeom prst="rect">
                      <a:avLst/>
                    </a:prstGeom>
                  </pic:spPr>
                </pic:pic>
              </a:graphicData>
            </a:graphic>
          </wp:inline>
        </w:drawing>
      </w:r>
    </w:p>
    <w:p w14:paraId="14F94CE9" w14:textId="76EF57EC" w:rsidR="00041159" w:rsidRPr="00041159" w:rsidRDefault="00041159" w:rsidP="00041159">
      <w:r w:rsidRPr="00041159">
        <w:t>There were 23.8% (10</w:t>
      </w:r>
      <w:r w:rsidR="00FA7EFF">
        <w:t xml:space="preserve"> out of </w:t>
      </w:r>
      <w:r w:rsidRPr="00041159">
        <w:t>42) somatrogon</w:t>
      </w:r>
      <w:r w:rsidR="00FA7EFF">
        <w:t xml:space="preserve"> </w:t>
      </w:r>
      <w:r w:rsidRPr="00041159">
        <w:t>treated patients that developed anti</w:t>
      </w:r>
      <w:r w:rsidR="00FA7EFF">
        <w:noBreakHyphen/>
      </w:r>
      <w:r w:rsidRPr="00041159">
        <w:t>somatrogon antibodies and 18.2% (2</w:t>
      </w:r>
      <w:r w:rsidR="00FA7EFF">
        <w:t xml:space="preserve"> out of </w:t>
      </w:r>
      <w:r w:rsidRPr="00041159">
        <w:t>11) Genotropin</w:t>
      </w:r>
      <w:r w:rsidR="005E33D1">
        <w:t xml:space="preserve"> </w:t>
      </w:r>
      <w:r w:rsidRPr="00041159">
        <w:t>treated patients that developed anti-</w:t>
      </w:r>
      <w:proofErr w:type="spellStart"/>
      <w:r w:rsidRPr="00041159">
        <w:t>hGH</w:t>
      </w:r>
      <w:proofErr w:type="spellEnd"/>
      <w:r w:rsidRPr="00041159">
        <w:t xml:space="preserve"> antibodies post-</w:t>
      </w:r>
      <w:r w:rsidR="00FA28EE" w:rsidRPr="00041159">
        <w:t>Baseline</w:t>
      </w:r>
      <w:r w:rsidRPr="00041159">
        <w:t xml:space="preserve">. Among the somatrogon patients, there were no Cohort 1 patients that developed </w:t>
      </w:r>
      <w:r w:rsidRPr="000843F9">
        <w:t>anti-drug antibodies (ADAs)</w:t>
      </w:r>
      <w:r w:rsidRPr="00041159">
        <w:t xml:space="preserve"> and 5 patients in each of Cohort 2 and 3 that developed ADAs. </w:t>
      </w:r>
      <w:proofErr w:type="gramStart"/>
      <w:r w:rsidRPr="00041159">
        <w:t>All of</w:t>
      </w:r>
      <w:proofErr w:type="gramEnd"/>
      <w:r w:rsidRPr="00041159">
        <w:t xml:space="preserve"> the positive patients had positive tests at 6</w:t>
      </w:r>
      <w:r w:rsidR="00FA7EFF">
        <w:t> </w:t>
      </w:r>
      <w:r w:rsidRPr="00041159">
        <w:t>months but only about one-half of those patients remained ADA</w:t>
      </w:r>
      <w:r w:rsidR="005E33D1">
        <w:t xml:space="preserve"> </w:t>
      </w:r>
      <w:r w:rsidRPr="00041159">
        <w:t>positive at 12 months.</w:t>
      </w:r>
    </w:p>
    <w:p w14:paraId="534BE142" w14:textId="71AB0B73" w:rsidR="00041159" w:rsidRPr="00041159" w:rsidRDefault="005E33D1" w:rsidP="005E33D1">
      <w:pPr>
        <w:pStyle w:val="Heading5"/>
      </w:pPr>
      <w:r>
        <w:t xml:space="preserve">Study </w:t>
      </w:r>
      <w:r w:rsidR="00041159" w:rsidRPr="00041159">
        <w:t>CP-4-006</w:t>
      </w:r>
    </w:p>
    <w:p w14:paraId="210D7ABE" w14:textId="7316E27B" w:rsidR="00041159" w:rsidRPr="00041159" w:rsidRDefault="00B4368A" w:rsidP="00041159">
      <w:r>
        <w:t>I</w:t>
      </w:r>
      <w:r w:rsidRPr="00B4368A">
        <w:t xml:space="preserve">nsulin-like growth factor 1 </w:t>
      </w:r>
      <w:r>
        <w:t>(</w:t>
      </w:r>
      <w:r w:rsidR="00041159" w:rsidRPr="00041159">
        <w:t>IGF-1</w:t>
      </w:r>
      <w:r>
        <w:t>)</w:t>
      </w:r>
      <w:r w:rsidR="00041159" w:rsidRPr="00041159">
        <w:t xml:space="preserve"> </w:t>
      </w:r>
      <w:r w:rsidR="005E33D1">
        <w:t>p</w:t>
      </w:r>
      <w:r w:rsidR="005E33D1" w:rsidRPr="00041159">
        <w:t xml:space="preserve">harmacodynamic </w:t>
      </w:r>
      <w:r w:rsidR="00041159" w:rsidRPr="00041159">
        <w:t xml:space="preserve">results </w:t>
      </w:r>
      <w:r w:rsidR="00230E57">
        <w:t>were</w:t>
      </w:r>
      <w:r w:rsidR="00230E57" w:rsidRPr="00041159">
        <w:t xml:space="preserve"> </w:t>
      </w:r>
      <w:r w:rsidR="00041159" w:rsidRPr="00041159">
        <w:t xml:space="preserve">further discussed in </w:t>
      </w:r>
      <w:r w:rsidR="00230E57">
        <w:t xml:space="preserve">the </w:t>
      </w:r>
      <w:proofErr w:type="spellStart"/>
      <w:r w:rsidR="00230E57">
        <w:t>Pop</w:t>
      </w:r>
      <w:r w:rsidR="00041159" w:rsidRPr="00041159">
        <w:t>PK</w:t>
      </w:r>
      <w:proofErr w:type="spellEnd"/>
      <w:r w:rsidR="00041159" w:rsidRPr="00041159">
        <w:t>/</w:t>
      </w:r>
      <w:r w:rsidR="00B37DEF">
        <w:t>pharmacodynamics (</w:t>
      </w:r>
      <w:r w:rsidR="00041159" w:rsidRPr="00041159">
        <w:t>PD</w:t>
      </w:r>
      <w:r w:rsidR="00B37DEF">
        <w:t>)</w:t>
      </w:r>
      <w:r w:rsidR="00B5084B" w:rsidRPr="00B5084B">
        <w:t xml:space="preserve"> </w:t>
      </w:r>
      <w:r w:rsidR="00B5084B">
        <w:t>R</w:t>
      </w:r>
      <w:r w:rsidR="00B5084B" w:rsidRPr="00B5084B">
        <w:t>eport DP3-1002</w:t>
      </w:r>
      <w:r w:rsidR="00B5084B">
        <w:t>.</w:t>
      </w:r>
    </w:p>
    <w:p w14:paraId="75D03DAB" w14:textId="1D49280C" w:rsidR="001F3474" w:rsidRPr="00CC4F38" w:rsidRDefault="005E33D1" w:rsidP="00CC4F38">
      <w:pPr>
        <w:pStyle w:val="TableTitle"/>
      </w:pPr>
      <w:bookmarkStart w:id="45" w:name="_Ref101520640"/>
      <w:r w:rsidRPr="00CC4F38">
        <w:lastRenderedPageBreak/>
        <w:t xml:space="preserve">Table </w:t>
      </w:r>
      <w:r w:rsidRPr="00CC4F38">
        <w:fldChar w:fldCharType="begin"/>
      </w:r>
      <w:r w:rsidRPr="00CC4F38">
        <w:instrText>SEQ Table \* ARABIC</w:instrText>
      </w:r>
      <w:r w:rsidRPr="00CC4F38">
        <w:fldChar w:fldCharType="separate"/>
      </w:r>
      <w:r w:rsidR="003735CC">
        <w:rPr>
          <w:noProof/>
        </w:rPr>
        <w:t>3</w:t>
      </w:r>
      <w:r w:rsidRPr="00CC4F38">
        <w:fldChar w:fldCharType="end"/>
      </w:r>
      <w:bookmarkEnd w:id="45"/>
      <w:r w:rsidRPr="00CC4F38">
        <w:t xml:space="preserve">: </w:t>
      </w:r>
      <w:bookmarkStart w:id="46" w:name="_Hlk101520836"/>
      <w:r w:rsidR="00760AFC" w:rsidRPr="00CC4F38">
        <w:t xml:space="preserve">Study CP-4-006 </w:t>
      </w:r>
      <w:r w:rsidR="001F3474" w:rsidRPr="00CC4F38">
        <w:t xml:space="preserve">Pharmacodynamic results </w:t>
      </w:r>
      <w:r w:rsidR="00760AFC" w:rsidRPr="00CC4F38">
        <w:t xml:space="preserve">insulin-like growth factor 1 </w:t>
      </w:r>
      <w:r w:rsidR="001F3474" w:rsidRPr="00CC4F38">
        <w:t xml:space="preserve">and </w:t>
      </w:r>
      <w:r w:rsidR="00760AFC" w:rsidRPr="00CC4F38">
        <w:t>insulin-like growth factor</w:t>
      </w:r>
      <w:r w:rsidR="001F3474" w:rsidRPr="00CC4F38">
        <w:t>-</w:t>
      </w:r>
      <w:r w:rsidR="00760AFC" w:rsidRPr="00CC4F38">
        <w:t>binding protein 3</w:t>
      </w:r>
    </w:p>
    <w:tbl>
      <w:tblPr>
        <w:tblStyle w:val="TableTGAblue"/>
        <w:tblW w:w="8212" w:type="dxa"/>
        <w:tblLook w:val="04A0" w:firstRow="1" w:lastRow="0" w:firstColumn="1" w:lastColumn="0" w:noHBand="0" w:noVBand="1"/>
      </w:tblPr>
      <w:tblGrid>
        <w:gridCol w:w="1266"/>
        <w:gridCol w:w="1418"/>
        <w:gridCol w:w="1559"/>
        <w:gridCol w:w="1134"/>
        <w:gridCol w:w="1417"/>
        <w:gridCol w:w="1418"/>
      </w:tblGrid>
      <w:tr w:rsidR="00041159" w:rsidRPr="00033E3C" w14:paraId="00717412" w14:textId="77777777" w:rsidTr="00AF04FE">
        <w:trPr>
          <w:cnfStyle w:val="100000000000" w:firstRow="1" w:lastRow="0" w:firstColumn="0" w:lastColumn="0" w:oddVBand="0" w:evenVBand="0" w:oddHBand="0" w:evenHBand="0" w:firstRowFirstColumn="0" w:firstRowLastColumn="0" w:lastRowFirstColumn="0" w:lastRowLastColumn="0"/>
          <w:trHeight w:val="300"/>
        </w:trPr>
        <w:tc>
          <w:tcPr>
            <w:tcW w:w="1266" w:type="dxa"/>
            <w:noWrap/>
            <w:hideMark/>
          </w:tcPr>
          <w:bookmarkEnd w:id="46"/>
          <w:p w14:paraId="05BEDE16" w14:textId="68A53983" w:rsidR="00041159" w:rsidRPr="00033E3C" w:rsidRDefault="00041159" w:rsidP="00AF04FE">
            <w:pPr>
              <w:pStyle w:val="Tabletext"/>
              <w:ind w:left="0" w:right="0"/>
              <w:rPr>
                <w:b w:val="0"/>
              </w:rPr>
            </w:pPr>
            <w:r w:rsidRPr="00033E3C">
              <w:t>IGF-1 (</w:t>
            </w:r>
            <w:r w:rsidR="005C65DF">
              <w:t>µ</w:t>
            </w:r>
            <w:r w:rsidRPr="00033E3C">
              <w:t>g/mL)</w:t>
            </w:r>
          </w:p>
        </w:tc>
        <w:tc>
          <w:tcPr>
            <w:tcW w:w="1418" w:type="dxa"/>
            <w:noWrap/>
            <w:hideMark/>
          </w:tcPr>
          <w:p w14:paraId="065A997C" w14:textId="77777777" w:rsidR="00041159" w:rsidRPr="00033E3C" w:rsidRDefault="00041159" w:rsidP="00AF04FE">
            <w:pPr>
              <w:pStyle w:val="Tabletext"/>
              <w:ind w:left="0" w:right="0"/>
              <w:rPr>
                <w:b w:val="0"/>
              </w:rPr>
            </w:pPr>
            <w:r w:rsidRPr="00033E3C">
              <w:t>Somatrogon</w:t>
            </w:r>
          </w:p>
        </w:tc>
        <w:tc>
          <w:tcPr>
            <w:tcW w:w="1559" w:type="dxa"/>
            <w:noWrap/>
            <w:hideMark/>
          </w:tcPr>
          <w:p w14:paraId="5CBED2F5" w14:textId="77777777" w:rsidR="00041159" w:rsidRPr="00033E3C" w:rsidRDefault="00041159" w:rsidP="00AF04FE">
            <w:pPr>
              <w:pStyle w:val="Tabletext"/>
              <w:ind w:left="0" w:right="0"/>
              <w:rPr>
                <w:b w:val="0"/>
              </w:rPr>
            </w:pPr>
            <w:r w:rsidRPr="00033E3C">
              <w:t>Genotropin</w:t>
            </w:r>
          </w:p>
        </w:tc>
        <w:tc>
          <w:tcPr>
            <w:tcW w:w="1134" w:type="dxa"/>
            <w:noWrap/>
            <w:hideMark/>
          </w:tcPr>
          <w:p w14:paraId="1FAFE197" w14:textId="1EECFC70" w:rsidR="00041159" w:rsidRPr="00033E3C" w:rsidRDefault="00041159" w:rsidP="00AF04FE">
            <w:pPr>
              <w:pStyle w:val="Tabletext"/>
              <w:ind w:left="0" w:right="0"/>
              <w:rPr>
                <w:b w:val="0"/>
              </w:rPr>
            </w:pPr>
            <w:r w:rsidRPr="00033E3C">
              <w:t>IGF</w:t>
            </w:r>
            <w:r w:rsidR="00BB701C">
              <w:t>-</w:t>
            </w:r>
            <w:r w:rsidRPr="00033E3C">
              <w:t>BP3 (ng/mL)</w:t>
            </w:r>
          </w:p>
        </w:tc>
        <w:tc>
          <w:tcPr>
            <w:tcW w:w="1417" w:type="dxa"/>
            <w:noWrap/>
            <w:hideMark/>
          </w:tcPr>
          <w:p w14:paraId="396E1681" w14:textId="77777777" w:rsidR="00041159" w:rsidRPr="00033E3C" w:rsidRDefault="00041159" w:rsidP="00AF04FE">
            <w:pPr>
              <w:pStyle w:val="Tabletext"/>
              <w:ind w:left="0" w:right="0"/>
              <w:rPr>
                <w:b w:val="0"/>
              </w:rPr>
            </w:pPr>
            <w:r w:rsidRPr="00033E3C">
              <w:t>Somatrogon</w:t>
            </w:r>
          </w:p>
        </w:tc>
        <w:tc>
          <w:tcPr>
            <w:tcW w:w="1418" w:type="dxa"/>
            <w:noWrap/>
            <w:hideMark/>
          </w:tcPr>
          <w:p w14:paraId="4F6212A0" w14:textId="77777777" w:rsidR="00041159" w:rsidRPr="00033E3C" w:rsidRDefault="00041159" w:rsidP="00AF04FE">
            <w:pPr>
              <w:pStyle w:val="Tabletext"/>
              <w:ind w:left="0" w:right="0"/>
              <w:rPr>
                <w:b w:val="0"/>
              </w:rPr>
            </w:pPr>
            <w:r w:rsidRPr="00033E3C">
              <w:t>Genotropin</w:t>
            </w:r>
          </w:p>
        </w:tc>
      </w:tr>
      <w:tr w:rsidR="00041159" w:rsidRPr="00033E3C" w14:paraId="23E3AB3A" w14:textId="77777777" w:rsidTr="00AF04FE">
        <w:trPr>
          <w:trHeight w:val="300"/>
        </w:trPr>
        <w:tc>
          <w:tcPr>
            <w:tcW w:w="1266" w:type="dxa"/>
            <w:noWrap/>
            <w:hideMark/>
          </w:tcPr>
          <w:p w14:paraId="1B7E9841" w14:textId="77777777" w:rsidR="00041159" w:rsidRPr="00033E3C" w:rsidRDefault="00041159" w:rsidP="00AF04FE">
            <w:pPr>
              <w:pStyle w:val="Tabletext"/>
              <w:ind w:left="0" w:right="0"/>
            </w:pPr>
            <w:r w:rsidRPr="00033E3C">
              <w:t>Baseline</w:t>
            </w:r>
          </w:p>
        </w:tc>
        <w:tc>
          <w:tcPr>
            <w:tcW w:w="1418" w:type="dxa"/>
            <w:noWrap/>
            <w:hideMark/>
          </w:tcPr>
          <w:p w14:paraId="62A3B48D" w14:textId="77777777" w:rsidR="00041159" w:rsidRPr="00033E3C" w:rsidRDefault="00041159" w:rsidP="00AF04FE">
            <w:pPr>
              <w:pStyle w:val="Tabletext"/>
              <w:ind w:left="0" w:right="0"/>
            </w:pPr>
            <w:r w:rsidRPr="00033E3C">
              <w:t>79.9</w:t>
            </w:r>
          </w:p>
        </w:tc>
        <w:tc>
          <w:tcPr>
            <w:tcW w:w="1559" w:type="dxa"/>
            <w:noWrap/>
            <w:hideMark/>
          </w:tcPr>
          <w:p w14:paraId="3D5280BE" w14:textId="77777777" w:rsidR="00041159" w:rsidRPr="00033E3C" w:rsidRDefault="00041159" w:rsidP="00AF04FE">
            <w:pPr>
              <w:pStyle w:val="Tabletext"/>
              <w:ind w:left="0" w:right="0"/>
            </w:pPr>
            <w:r w:rsidRPr="00033E3C">
              <w:t>84</w:t>
            </w:r>
          </w:p>
        </w:tc>
        <w:tc>
          <w:tcPr>
            <w:tcW w:w="1134" w:type="dxa"/>
            <w:noWrap/>
            <w:hideMark/>
          </w:tcPr>
          <w:p w14:paraId="2121D064" w14:textId="77777777" w:rsidR="00041159" w:rsidRPr="00033E3C" w:rsidRDefault="00041159" w:rsidP="00AF04FE">
            <w:pPr>
              <w:pStyle w:val="Tabletext"/>
              <w:ind w:left="0" w:right="0"/>
            </w:pPr>
            <w:r w:rsidRPr="00033E3C">
              <w:t>Baseline</w:t>
            </w:r>
          </w:p>
        </w:tc>
        <w:tc>
          <w:tcPr>
            <w:tcW w:w="1417" w:type="dxa"/>
            <w:noWrap/>
            <w:hideMark/>
          </w:tcPr>
          <w:p w14:paraId="29445E3A" w14:textId="77777777" w:rsidR="00041159" w:rsidRPr="00033E3C" w:rsidRDefault="00041159" w:rsidP="00AF04FE">
            <w:pPr>
              <w:pStyle w:val="Tabletext"/>
              <w:ind w:left="0" w:right="0"/>
            </w:pPr>
            <w:r w:rsidRPr="00033E3C">
              <w:t>2469</w:t>
            </w:r>
          </w:p>
        </w:tc>
        <w:tc>
          <w:tcPr>
            <w:tcW w:w="1418" w:type="dxa"/>
            <w:noWrap/>
            <w:hideMark/>
          </w:tcPr>
          <w:p w14:paraId="3EDF9F00" w14:textId="77777777" w:rsidR="00041159" w:rsidRPr="00033E3C" w:rsidRDefault="00041159" w:rsidP="00AF04FE">
            <w:pPr>
              <w:pStyle w:val="Tabletext"/>
              <w:ind w:left="0" w:right="0"/>
            </w:pPr>
            <w:r w:rsidRPr="00033E3C">
              <w:t>2574</w:t>
            </w:r>
          </w:p>
        </w:tc>
      </w:tr>
      <w:tr w:rsidR="00041159" w:rsidRPr="00033E3C" w14:paraId="39313CDA" w14:textId="77777777" w:rsidTr="00AF04FE">
        <w:trPr>
          <w:trHeight w:val="300"/>
        </w:trPr>
        <w:tc>
          <w:tcPr>
            <w:tcW w:w="1266" w:type="dxa"/>
            <w:noWrap/>
            <w:hideMark/>
          </w:tcPr>
          <w:p w14:paraId="702C9CF2" w14:textId="77777777" w:rsidR="00041159" w:rsidRPr="00033E3C" w:rsidRDefault="00041159" w:rsidP="00AF04FE">
            <w:pPr>
              <w:pStyle w:val="Tabletext"/>
              <w:ind w:left="0" w:right="0"/>
            </w:pPr>
            <w:r w:rsidRPr="00033E3C">
              <w:t>Month 1</w:t>
            </w:r>
          </w:p>
        </w:tc>
        <w:tc>
          <w:tcPr>
            <w:tcW w:w="1418" w:type="dxa"/>
            <w:noWrap/>
            <w:hideMark/>
          </w:tcPr>
          <w:p w14:paraId="7A8DD7B0" w14:textId="77777777" w:rsidR="00041159" w:rsidRPr="00033E3C" w:rsidRDefault="00041159" w:rsidP="00AF04FE">
            <w:pPr>
              <w:pStyle w:val="Tabletext"/>
              <w:ind w:left="0" w:right="0"/>
            </w:pPr>
            <w:r w:rsidRPr="00033E3C">
              <w:t>195.1</w:t>
            </w:r>
          </w:p>
        </w:tc>
        <w:tc>
          <w:tcPr>
            <w:tcW w:w="1559" w:type="dxa"/>
            <w:noWrap/>
            <w:hideMark/>
          </w:tcPr>
          <w:p w14:paraId="2E986ACF" w14:textId="77777777" w:rsidR="00041159" w:rsidRPr="00033E3C" w:rsidRDefault="00041159" w:rsidP="00AF04FE">
            <w:pPr>
              <w:pStyle w:val="Tabletext"/>
              <w:ind w:left="0" w:right="0"/>
            </w:pPr>
            <w:r w:rsidRPr="00033E3C">
              <w:t>141.7</w:t>
            </w:r>
          </w:p>
        </w:tc>
        <w:tc>
          <w:tcPr>
            <w:tcW w:w="1134" w:type="dxa"/>
            <w:noWrap/>
            <w:hideMark/>
          </w:tcPr>
          <w:p w14:paraId="28464205" w14:textId="77777777" w:rsidR="00041159" w:rsidRPr="00033E3C" w:rsidRDefault="00041159" w:rsidP="00AF04FE">
            <w:pPr>
              <w:pStyle w:val="Tabletext"/>
              <w:ind w:left="0" w:right="0"/>
            </w:pPr>
            <w:r w:rsidRPr="00033E3C">
              <w:t>Month 1</w:t>
            </w:r>
          </w:p>
        </w:tc>
        <w:tc>
          <w:tcPr>
            <w:tcW w:w="1417" w:type="dxa"/>
            <w:noWrap/>
            <w:hideMark/>
          </w:tcPr>
          <w:p w14:paraId="2A5F83D9" w14:textId="77777777" w:rsidR="00041159" w:rsidRPr="00033E3C" w:rsidRDefault="00041159" w:rsidP="00AF04FE">
            <w:pPr>
              <w:pStyle w:val="Tabletext"/>
              <w:ind w:left="0" w:right="0"/>
            </w:pPr>
            <w:r w:rsidRPr="00033E3C">
              <w:t>3632</w:t>
            </w:r>
          </w:p>
        </w:tc>
        <w:tc>
          <w:tcPr>
            <w:tcW w:w="1418" w:type="dxa"/>
            <w:noWrap/>
            <w:hideMark/>
          </w:tcPr>
          <w:p w14:paraId="2D51E0FE" w14:textId="77777777" w:rsidR="00041159" w:rsidRPr="00033E3C" w:rsidRDefault="00041159" w:rsidP="00AF04FE">
            <w:pPr>
              <w:pStyle w:val="Tabletext"/>
              <w:ind w:left="0" w:right="0"/>
            </w:pPr>
            <w:r w:rsidRPr="00033E3C">
              <w:t>3072</w:t>
            </w:r>
          </w:p>
        </w:tc>
      </w:tr>
      <w:tr w:rsidR="00041159" w:rsidRPr="00033E3C" w14:paraId="0E83A566" w14:textId="77777777" w:rsidTr="00AF04FE">
        <w:trPr>
          <w:trHeight w:val="300"/>
        </w:trPr>
        <w:tc>
          <w:tcPr>
            <w:tcW w:w="1266" w:type="dxa"/>
            <w:noWrap/>
            <w:hideMark/>
          </w:tcPr>
          <w:p w14:paraId="30F84319" w14:textId="77777777" w:rsidR="00041159" w:rsidRPr="00033E3C" w:rsidRDefault="00041159" w:rsidP="00AF04FE">
            <w:pPr>
              <w:pStyle w:val="Tabletext"/>
              <w:ind w:left="0" w:right="0"/>
            </w:pPr>
            <w:r w:rsidRPr="00033E3C">
              <w:t>Month 3</w:t>
            </w:r>
          </w:p>
        </w:tc>
        <w:tc>
          <w:tcPr>
            <w:tcW w:w="1418" w:type="dxa"/>
            <w:noWrap/>
            <w:hideMark/>
          </w:tcPr>
          <w:p w14:paraId="3F32EFFF" w14:textId="77777777" w:rsidR="00041159" w:rsidRPr="00033E3C" w:rsidRDefault="00041159" w:rsidP="00AF04FE">
            <w:pPr>
              <w:pStyle w:val="Tabletext"/>
              <w:ind w:left="0" w:right="0"/>
            </w:pPr>
            <w:r w:rsidRPr="00033E3C">
              <w:t>208.1</w:t>
            </w:r>
          </w:p>
        </w:tc>
        <w:tc>
          <w:tcPr>
            <w:tcW w:w="1559" w:type="dxa"/>
            <w:noWrap/>
            <w:hideMark/>
          </w:tcPr>
          <w:p w14:paraId="202DE247" w14:textId="77777777" w:rsidR="00041159" w:rsidRPr="00033E3C" w:rsidRDefault="00041159" w:rsidP="00AF04FE">
            <w:pPr>
              <w:pStyle w:val="Tabletext"/>
              <w:ind w:left="0" w:right="0"/>
            </w:pPr>
            <w:r w:rsidRPr="00033E3C">
              <w:t>152.8</w:t>
            </w:r>
          </w:p>
        </w:tc>
        <w:tc>
          <w:tcPr>
            <w:tcW w:w="1134" w:type="dxa"/>
            <w:noWrap/>
            <w:hideMark/>
          </w:tcPr>
          <w:p w14:paraId="1B4E9310" w14:textId="77777777" w:rsidR="00041159" w:rsidRPr="00033E3C" w:rsidRDefault="00041159" w:rsidP="00AF04FE">
            <w:pPr>
              <w:pStyle w:val="Tabletext"/>
              <w:ind w:left="0" w:right="0"/>
            </w:pPr>
            <w:r w:rsidRPr="00033E3C">
              <w:t>Month 3</w:t>
            </w:r>
          </w:p>
        </w:tc>
        <w:tc>
          <w:tcPr>
            <w:tcW w:w="1417" w:type="dxa"/>
            <w:noWrap/>
            <w:hideMark/>
          </w:tcPr>
          <w:p w14:paraId="306C9B6A" w14:textId="77777777" w:rsidR="00041159" w:rsidRPr="00033E3C" w:rsidRDefault="00041159" w:rsidP="00AF04FE">
            <w:pPr>
              <w:pStyle w:val="Tabletext"/>
              <w:ind w:left="0" w:right="0"/>
            </w:pPr>
            <w:r w:rsidRPr="00033E3C">
              <w:t>3587</w:t>
            </w:r>
          </w:p>
        </w:tc>
        <w:tc>
          <w:tcPr>
            <w:tcW w:w="1418" w:type="dxa"/>
            <w:noWrap/>
            <w:hideMark/>
          </w:tcPr>
          <w:p w14:paraId="5192F9BD" w14:textId="77777777" w:rsidR="00041159" w:rsidRPr="00033E3C" w:rsidRDefault="00041159" w:rsidP="00AF04FE">
            <w:pPr>
              <w:pStyle w:val="Tabletext"/>
              <w:ind w:left="0" w:right="0"/>
            </w:pPr>
            <w:r w:rsidRPr="00033E3C">
              <w:t>3186</w:t>
            </w:r>
          </w:p>
        </w:tc>
      </w:tr>
      <w:tr w:rsidR="00041159" w:rsidRPr="00033E3C" w14:paraId="2F62E447" w14:textId="77777777" w:rsidTr="00AF04FE">
        <w:trPr>
          <w:trHeight w:val="300"/>
        </w:trPr>
        <w:tc>
          <w:tcPr>
            <w:tcW w:w="1266" w:type="dxa"/>
            <w:noWrap/>
            <w:hideMark/>
          </w:tcPr>
          <w:p w14:paraId="6B6CF672" w14:textId="77777777" w:rsidR="00041159" w:rsidRPr="00033E3C" w:rsidRDefault="00041159" w:rsidP="00AF04FE">
            <w:pPr>
              <w:pStyle w:val="Tabletext"/>
              <w:ind w:left="0" w:right="0"/>
            </w:pPr>
            <w:r w:rsidRPr="00033E3C">
              <w:t>Month 6</w:t>
            </w:r>
          </w:p>
        </w:tc>
        <w:tc>
          <w:tcPr>
            <w:tcW w:w="1418" w:type="dxa"/>
            <w:noWrap/>
            <w:hideMark/>
          </w:tcPr>
          <w:p w14:paraId="4E375CB0" w14:textId="77777777" w:rsidR="00041159" w:rsidRPr="00033E3C" w:rsidRDefault="00041159" w:rsidP="00AF04FE">
            <w:pPr>
              <w:pStyle w:val="Tabletext"/>
              <w:ind w:left="0" w:right="0"/>
            </w:pPr>
            <w:r w:rsidRPr="00033E3C">
              <w:t>227.5</w:t>
            </w:r>
          </w:p>
        </w:tc>
        <w:tc>
          <w:tcPr>
            <w:tcW w:w="1559" w:type="dxa"/>
            <w:noWrap/>
            <w:hideMark/>
          </w:tcPr>
          <w:p w14:paraId="3CEBADB8" w14:textId="77777777" w:rsidR="00041159" w:rsidRPr="00033E3C" w:rsidRDefault="00041159" w:rsidP="00AF04FE">
            <w:pPr>
              <w:pStyle w:val="Tabletext"/>
              <w:ind w:left="0" w:right="0"/>
            </w:pPr>
            <w:r w:rsidRPr="00033E3C">
              <w:t>165.2</w:t>
            </w:r>
          </w:p>
        </w:tc>
        <w:tc>
          <w:tcPr>
            <w:tcW w:w="1134" w:type="dxa"/>
            <w:noWrap/>
            <w:hideMark/>
          </w:tcPr>
          <w:p w14:paraId="38744742" w14:textId="77777777" w:rsidR="00041159" w:rsidRPr="00033E3C" w:rsidRDefault="00041159" w:rsidP="00AF04FE">
            <w:pPr>
              <w:pStyle w:val="Tabletext"/>
              <w:ind w:left="0" w:right="0"/>
            </w:pPr>
            <w:r w:rsidRPr="00033E3C">
              <w:t>Month 6</w:t>
            </w:r>
          </w:p>
        </w:tc>
        <w:tc>
          <w:tcPr>
            <w:tcW w:w="1417" w:type="dxa"/>
            <w:noWrap/>
            <w:hideMark/>
          </w:tcPr>
          <w:p w14:paraId="5FDE7987" w14:textId="77777777" w:rsidR="00041159" w:rsidRPr="00033E3C" w:rsidRDefault="00041159" w:rsidP="00AF04FE">
            <w:pPr>
              <w:pStyle w:val="Tabletext"/>
              <w:ind w:left="0" w:right="0"/>
            </w:pPr>
            <w:r w:rsidRPr="00033E3C">
              <w:t>3814</w:t>
            </w:r>
          </w:p>
        </w:tc>
        <w:tc>
          <w:tcPr>
            <w:tcW w:w="1418" w:type="dxa"/>
            <w:noWrap/>
            <w:hideMark/>
          </w:tcPr>
          <w:p w14:paraId="74E925FA" w14:textId="77777777" w:rsidR="00041159" w:rsidRPr="00033E3C" w:rsidRDefault="00041159" w:rsidP="00AF04FE">
            <w:pPr>
              <w:pStyle w:val="Tabletext"/>
              <w:ind w:left="0" w:right="0"/>
            </w:pPr>
            <w:r w:rsidRPr="00033E3C">
              <w:t>3286</w:t>
            </w:r>
          </w:p>
        </w:tc>
      </w:tr>
      <w:tr w:rsidR="00041159" w:rsidRPr="00033E3C" w14:paraId="0DAC09E7" w14:textId="77777777" w:rsidTr="00AF04FE">
        <w:trPr>
          <w:trHeight w:val="300"/>
        </w:trPr>
        <w:tc>
          <w:tcPr>
            <w:tcW w:w="1266" w:type="dxa"/>
            <w:noWrap/>
            <w:hideMark/>
          </w:tcPr>
          <w:p w14:paraId="7FDC4664" w14:textId="77777777" w:rsidR="00041159" w:rsidRPr="00033E3C" w:rsidRDefault="00041159" w:rsidP="00AF04FE">
            <w:pPr>
              <w:pStyle w:val="Tabletext"/>
              <w:ind w:left="0" w:right="0"/>
            </w:pPr>
            <w:r w:rsidRPr="00033E3C">
              <w:t>Month 9</w:t>
            </w:r>
          </w:p>
        </w:tc>
        <w:tc>
          <w:tcPr>
            <w:tcW w:w="1418" w:type="dxa"/>
            <w:noWrap/>
            <w:hideMark/>
          </w:tcPr>
          <w:p w14:paraId="408558EC" w14:textId="77777777" w:rsidR="00041159" w:rsidRPr="00033E3C" w:rsidRDefault="00041159" w:rsidP="00AF04FE">
            <w:pPr>
              <w:pStyle w:val="Tabletext"/>
              <w:ind w:left="0" w:right="0"/>
            </w:pPr>
            <w:r w:rsidRPr="00033E3C">
              <w:t>253</w:t>
            </w:r>
          </w:p>
        </w:tc>
        <w:tc>
          <w:tcPr>
            <w:tcW w:w="1559" w:type="dxa"/>
            <w:noWrap/>
            <w:hideMark/>
          </w:tcPr>
          <w:p w14:paraId="56B13378" w14:textId="77777777" w:rsidR="00041159" w:rsidRPr="00033E3C" w:rsidRDefault="00041159" w:rsidP="00AF04FE">
            <w:pPr>
              <w:pStyle w:val="Tabletext"/>
              <w:ind w:left="0" w:right="0"/>
            </w:pPr>
            <w:r w:rsidRPr="00033E3C">
              <w:t>186.7</w:t>
            </w:r>
          </w:p>
        </w:tc>
        <w:tc>
          <w:tcPr>
            <w:tcW w:w="1134" w:type="dxa"/>
            <w:noWrap/>
            <w:hideMark/>
          </w:tcPr>
          <w:p w14:paraId="67106559" w14:textId="77777777" w:rsidR="00041159" w:rsidRPr="00033E3C" w:rsidRDefault="00041159" w:rsidP="00AF04FE">
            <w:pPr>
              <w:pStyle w:val="Tabletext"/>
              <w:ind w:left="0" w:right="0"/>
            </w:pPr>
            <w:r w:rsidRPr="00033E3C">
              <w:t>Month 9</w:t>
            </w:r>
          </w:p>
        </w:tc>
        <w:tc>
          <w:tcPr>
            <w:tcW w:w="1417" w:type="dxa"/>
            <w:noWrap/>
            <w:hideMark/>
          </w:tcPr>
          <w:p w14:paraId="7B0CF09A" w14:textId="77777777" w:rsidR="00041159" w:rsidRPr="00033E3C" w:rsidRDefault="00041159" w:rsidP="00AF04FE">
            <w:pPr>
              <w:pStyle w:val="Tabletext"/>
              <w:ind w:left="0" w:right="0"/>
            </w:pPr>
            <w:r w:rsidRPr="00033E3C">
              <w:t>3814</w:t>
            </w:r>
          </w:p>
        </w:tc>
        <w:tc>
          <w:tcPr>
            <w:tcW w:w="1418" w:type="dxa"/>
            <w:noWrap/>
            <w:hideMark/>
          </w:tcPr>
          <w:p w14:paraId="3A774C04" w14:textId="77777777" w:rsidR="00041159" w:rsidRPr="00033E3C" w:rsidRDefault="00041159" w:rsidP="00AF04FE">
            <w:pPr>
              <w:pStyle w:val="Tabletext"/>
              <w:ind w:left="0" w:right="0"/>
            </w:pPr>
            <w:r w:rsidRPr="00033E3C">
              <w:t>3395</w:t>
            </w:r>
          </w:p>
        </w:tc>
      </w:tr>
      <w:tr w:rsidR="00041159" w:rsidRPr="00033E3C" w14:paraId="1DDCF12C" w14:textId="77777777" w:rsidTr="00AF04FE">
        <w:trPr>
          <w:trHeight w:val="300"/>
        </w:trPr>
        <w:tc>
          <w:tcPr>
            <w:tcW w:w="1266" w:type="dxa"/>
            <w:noWrap/>
            <w:hideMark/>
          </w:tcPr>
          <w:p w14:paraId="1C048B3B" w14:textId="77777777" w:rsidR="00041159" w:rsidRPr="00033E3C" w:rsidRDefault="00041159" w:rsidP="00AF04FE">
            <w:pPr>
              <w:pStyle w:val="Tabletext"/>
              <w:ind w:left="0" w:right="0"/>
            </w:pPr>
            <w:r w:rsidRPr="00033E3C">
              <w:t>Month 12</w:t>
            </w:r>
          </w:p>
        </w:tc>
        <w:tc>
          <w:tcPr>
            <w:tcW w:w="1418" w:type="dxa"/>
            <w:noWrap/>
            <w:hideMark/>
          </w:tcPr>
          <w:p w14:paraId="755E25A1" w14:textId="77777777" w:rsidR="00041159" w:rsidRPr="00033E3C" w:rsidRDefault="00041159" w:rsidP="00AF04FE">
            <w:pPr>
              <w:pStyle w:val="Tabletext"/>
              <w:ind w:left="0" w:right="0"/>
            </w:pPr>
            <w:r w:rsidRPr="00033E3C">
              <w:t>263.8</w:t>
            </w:r>
          </w:p>
        </w:tc>
        <w:tc>
          <w:tcPr>
            <w:tcW w:w="1559" w:type="dxa"/>
            <w:noWrap/>
            <w:hideMark/>
          </w:tcPr>
          <w:p w14:paraId="37D69177" w14:textId="77777777" w:rsidR="00041159" w:rsidRPr="00033E3C" w:rsidRDefault="00041159" w:rsidP="00AF04FE">
            <w:pPr>
              <w:pStyle w:val="Tabletext"/>
              <w:ind w:left="0" w:right="0"/>
            </w:pPr>
            <w:r w:rsidRPr="00033E3C">
              <w:t>154.6</w:t>
            </w:r>
          </w:p>
        </w:tc>
        <w:tc>
          <w:tcPr>
            <w:tcW w:w="1134" w:type="dxa"/>
            <w:noWrap/>
            <w:hideMark/>
          </w:tcPr>
          <w:p w14:paraId="3D97655C" w14:textId="77777777" w:rsidR="00041159" w:rsidRPr="00033E3C" w:rsidRDefault="00041159" w:rsidP="00AF04FE">
            <w:pPr>
              <w:pStyle w:val="Tabletext"/>
              <w:ind w:left="0" w:right="0"/>
            </w:pPr>
            <w:r w:rsidRPr="00033E3C">
              <w:t>Month 12</w:t>
            </w:r>
          </w:p>
        </w:tc>
        <w:tc>
          <w:tcPr>
            <w:tcW w:w="1417" w:type="dxa"/>
            <w:noWrap/>
            <w:hideMark/>
          </w:tcPr>
          <w:p w14:paraId="7418602C" w14:textId="77777777" w:rsidR="00041159" w:rsidRPr="00033E3C" w:rsidRDefault="00041159" w:rsidP="00AF04FE">
            <w:pPr>
              <w:pStyle w:val="Tabletext"/>
              <w:ind w:left="0" w:right="0"/>
            </w:pPr>
            <w:r w:rsidRPr="00033E3C">
              <w:t>3879</w:t>
            </w:r>
          </w:p>
        </w:tc>
        <w:tc>
          <w:tcPr>
            <w:tcW w:w="1418" w:type="dxa"/>
            <w:noWrap/>
            <w:hideMark/>
          </w:tcPr>
          <w:p w14:paraId="662E6B72" w14:textId="77777777" w:rsidR="00041159" w:rsidRPr="00033E3C" w:rsidRDefault="00041159" w:rsidP="00AF04FE">
            <w:pPr>
              <w:pStyle w:val="Tabletext"/>
              <w:ind w:left="0" w:right="0"/>
            </w:pPr>
            <w:r w:rsidRPr="00033E3C">
              <w:t>3262</w:t>
            </w:r>
          </w:p>
        </w:tc>
      </w:tr>
    </w:tbl>
    <w:p w14:paraId="731AF0A6" w14:textId="3771061E" w:rsidR="00760AFC" w:rsidRDefault="00760AFC" w:rsidP="00760AFC">
      <w:pPr>
        <w:pStyle w:val="TableDescription"/>
      </w:pPr>
      <w:r w:rsidRPr="00041159">
        <w:t>IGF</w:t>
      </w:r>
      <w:r>
        <w:t xml:space="preserve"> = i</w:t>
      </w:r>
      <w:r w:rsidRPr="00B4368A">
        <w:t>nsulin-like growth factor</w:t>
      </w:r>
      <w:r>
        <w:t xml:space="preserve">; BP = </w:t>
      </w:r>
      <w:r w:rsidRPr="00760AFC">
        <w:t>binding protein</w:t>
      </w:r>
    </w:p>
    <w:p w14:paraId="401CE905" w14:textId="5AB83AAE" w:rsidR="00041159" w:rsidRPr="00041159" w:rsidRDefault="005E33D1" w:rsidP="00041159">
      <w:r>
        <w:fldChar w:fldCharType="begin"/>
      </w:r>
      <w:r>
        <w:instrText xml:space="preserve"> REF _Ref101520640 \h </w:instrText>
      </w:r>
      <w:r>
        <w:fldChar w:fldCharType="separate"/>
      </w:r>
      <w:r w:rsidR="003735CC" w:rsidRPr="00CC4F38">
        <w:t xml:space="preserve">Table </w:t>
      </w:r>
      <w:r w:rsidR="003735CC">
        <w:rPr>
          <w:noProof/>
        </w:rPr>
        <w:t>3</w:t>
      </w:r>
      <w:r>
        <w:fldChar w:fldCharType="end"/>
      </w:r>
      <w:r>
        <w:t xml:space="preserve"> above</w:t>
      </w:r>
      <w:r w:rsidR="00041159" w:rsidRPr="00041159">
        <w:t xml:space="preserve"> shows that the IGF-1 and IGF-BP3 values met or were greater than those seen with Genotropin</w:t>
      </w:r>
      <w:r w:rsidR="00230E57">
        <w:t xml:space="preserve"> (</w:t>
      </w:r>
      <w:proofErr w:type="spellStart"/>
      <w:r w:rsidR="00230E57">
        <w:t>rhGH</w:t>
      </w:r>
      <w:proofErr w:type="spellEnd"/>
      <w:r w:rsidR="00230E57">
        <w:t>/somatropin)</w:t>
      </w:r>
      <w:r w:rsidR="00041159" w:rsidRPr="00041159">
        <w:t>.</w:t>
      </w:r>
    </w:p>
    <w:p w14:paraId="30243BF6" w14:textId="77777777" w:rsidR="00041159" w:rsidRPr="005C1721" w:rsidRDefault="00041159" w:rsidP="005C1721">
      <w:pPr>
        <w:pStyle w:val="Heading4"/>
      </w:pPr>
      <w:r w:rsidRPr="005C1721">
        <w:t>Efficacy</w:t>
      </w:r>
    </w:p>
    <w:p w14:paraId="769F509B" w14:textId="77777777" w:rsidR="005E33D1" w:rsidRDefault="005E33D1" w:rsidP="005E33D1">
      <w:pPr>
        <w:pStyle w:val="Heading5"/>
      </w:pPr>
      <w:r>
        <w:t xml:space="preserve">Study </w:t>
      </w:r>
      <w:r w:rsidR="00041159" w:rsidRPr="00041159">
        <w:t>CP-4-006</w:t>
      </w:r>
    </w:p>
    <w:p w14:paraId="791D095B" w14:textId="3ACD6C3E" w:rsidR="00041159" w:rsidRPr="00041159" w:rsidRDefault="005E33D1" w:rsidP="00041159">
      <w:r>
        <w:t xml:space="preserve">Study </w:t>
      </w:r>
      <w:r w:rsidRPr="00041159">
        <w:t>CP-4-006</w:t>
      </w:r>
      <w:r w:rsidR="00041159" w:rsidRPr="00041159">
        <w:t xml:space="preserve"> </w:t>
      </w:r>
      <w:r>
        <w:t>is a P</w:t>
      </w:r>
      <w:r w:rsidR="00041159" w:rsidRPr="00041159">
        <w:t xml:space="preserve">hase </w:t>
      </w:r>
      <w:r>
        <w:t>III</w:t>
      </w:r>
      <w:r w:rsidR="00041159" w:rsidRPr="00041159">
        <w:t>, randomised, open label, multi</w:t>
      </w:r>
      <w:r w:rsidR="000F59B2">
        <w:t>-</w:t>
      </w:r>
      <w:r w:rsidR="00041159" w:rsidRPr="00041159">
        <w:t xml:space="preserve">centre, </w:t>
      </w:r>
      <w:r w:rsidR="00DD05C1" w:rsidRPr="00041159">
        <w:t>12-month</w:t>
      </w:r>
      <w:r w:rsidR="00230E57">
        <w:t xml:space="preserve"> duration</w:t>
      </w:r>
      <w:r w:rsidR="00041159" w:rsidRPr="00041159">
        <w:t xml:space="preserve"> efficacy and safety study of weekly somatrogon compared to daily Genotropin therapy </w:t>
      </w:r>
      <w:r w:rsidR="00230E57">
        <w:t>(recombinant human growth hormone (</w:t>
      </w:r>
      <w:proofErr w:type="spellStart"/>
      <w:r w:rsidR="00230E57">
        <w:t>rhGH</w:t>
      </w:r>
      <w:proofErr w:type="spellEnd"/>
      <w:r w:rsidR="00230E57">
        <w:t xml:space="preserve">)/somatropin) </w:t>
      </w:r>
      <w:r w:rsidR="00041159" w:rsidRPr="00041159">
        <w:t xml:space="preserve">in pre-pubertal children with </w:t>
      </w:r>
      <w:r w:rsidR="00AF04FE">
        <w:t>growth hormone</w:t>
      </w:r>
      <w:r w:rsidR="00041159" w:rsidRPr="00041159">
        <w:t xml:space="preserve"> deficiency</w:t>
      </w:r>
    </w:p>
    <w:p w14:paraId="69FCE2B7" w14:textId="0552E27B" w:rsidR="00041159" w:rsidRPr="00041159" w:rsidRDefault="00041159" w:rsidP="00041159">
      <w:r w:rsidRPr="00041159">
        <w:t xml:space="preserve">The primary efficacy endpoint was annual height velocity in </w:t>
      </w:r>
      <w:r w:rsidR="00C877A5" w:rsidRPr="00041159">
        <w:t>centimetres</w:t>
      </w:r>
      <w:r w:rsidR="005E33D1">
        <w:t xml:space="preserve"> per </w:t>
      </w:r>
      <w:r w:rsidRPr="00041159">
        <w:t>year after 12</w:t>
      </w:r>
      <w:r w:rsidR="005E33D1">
        <w:t> </w:t>
      </w:r>
      <w:r w:rsidRPr="00041159">
        <w:t>months of treatment</w:t>
      </w:r>
      <w:r w:rsidR="005E33D1">
        <w:t>.</w:t>
      </w:r>
    </w:p>
    <w:p w14:paraId="25926DA9" w14:textId="059E8B73" w:rsidR="00041159" w:rsidRPr="00CC4F38" w:rsidRDefault="005E33D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6</w:t>
      </w:r>
      <w:r w:rsidRPr="00CC4F38">
        <w:fldChar w:fldCharType="end"/>
      </w:r>
      <w:r w:rsidRPr="00CC4F38">
        <w:t xml:space="preserve">: Study CP-4-006 </w:t>
      </w:r>
      <w:r w:rsidR="00041159" w:rsidRPr="00CC4F38">
        <w:t>Study design</w:t>
      </w:r>
    </w:p>
    <w:p w14:paraId="7D85A470" w14:textId="6D892E82" w:rsidR="00041159" w:rsidRDefault="005C1CB1" w:rsidP="00CC4F38">
      <w:r>
        <w:rPr>
          <w:noProof/>
          <w:lang w:val="en-GB" w:eastAsia="en-GB"/>
        </w:rPr>
        <w:drawing>
          <wp:inline distT="0" distB="0" distL="0" distR="0" wp14:anchorId="638038E3" wp14:editId="351DFD41">
            <wp:extent cx="5304106" cy="2427514"/>
            <wp:effectExtent l="0" t="0" r="0" b="0"/>
            <wp:docPr id="5" name="Picture 5" descr="Figure 6: Study CP-4-006 Study design&#10;&#10;Study CP-4-006 enrolled prepubertal children with growth hormone deficiency who had not previously been treated with recombinant human growth hormone therapy.&#10;&#10;After screening subjects were randomised 1:1 to receive either 0.66 mg/kg somatrogon administered once&#10;weekly or 0.034 mg/kg Genotropin administered once daily for the 12 month main study period.&#10;&#10;Following completion of the main study period, eligible subjects could enter into the open label extension period and continue to receive treatment until registration of somatrogon. Subjects who had received Genotropin in the main study period were switched to a somatrogon dose of 0.66 mg/kg administered once weekly for the open label extens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 Study CP-4-006 Study design&#10;&#10;Study CP-4-006 enrolled prepubertal children with growth hormone deficiency who had not previously been treated with recombinant human growth hormone therapy.&#10;&#10;After screening subjects were randomised 1:1 to receive either 0.66 mg/kg somatrogon administered once&#10;weekly or 0.034 mg/kg Genotropin administered once daily for the 12 month main study period.&#10;&#10;Following completion of the main study period, eligible subjects could enter into the open label extension period and continue to receive treatment until registration of somatrogon. Subjects who had received Genotropin in the main study period were switched to a somatrogon dose of 0.66 mg/kg administered once weekly for the open label extension period."/>
                    <pic:cNvPicPr/>
                  </pic:nvPicPr>
                  <pic:blipFill>
                    <a:blip r:embed="rId25"/>
                    <a:stretch>
                      <a:fillRect/>
                    </a:stretch>
                  </pic:blipFill>
                  <pic:spPr>
                    <a:xfrm>
                      <a:off x="0" y="0"/>
                      <a:ext cx="5308986" cy="2429748"/>
                    </a:xfrm>
                    <a:prstGeom prst="rect">
                      <a:avLst/>
                    </a:prstGeom>
                  </pic:spPr>
                </pic:pic>
              </a:graphicData>
            </a:graphic>
          </wp:inline>
        </w:drawing>
      </w:r>
    </w:p>
    <w:p w14:paraId="42CA1688" w14:textId="7720920C" w:rsidR="00745F3B" w:rsidRDefault="00CC4F38" w:rsidP="00745F3B">
      <w:pPr>
        <w:pStyle w:val="FigureDescription"/>
      </w:pPr>
      <w:r>
        <w:t xml:space="preserve">Abbreviation: </w:t>
      </w:r>
      <w:r w:rsidR="00745F3B">
        <w:t>1</w:t>
      </w:r>
      <w:r w:rsidR="00745F3B" w:rsidRPr="00745F3B">
        <w:rPr>
          <w:vertAlign w:val="superscript"/>
        </w:rPr>
        <w:t>st</w:t>
      </w:r>
      <w:r w:rsidR="00745F3B">
        <w:t xml:space="preserve"> = first.</w:t>
      </w:r>
    </w:p>
    <w:p w14:paraId="0B0257CC" w14:textId="613E5118" w:rsidR="00041159" w:rsidRDefault="00041159" w:rsidP="005E33D1">
      <w:pPr>
        <w:pStyle w:val="Heading6"/>
      </w:pPr>
      <w:r w:rsidRPr="00041159">
        <w:t>Inclusion criteria</w:t>
      </w:r>
    </w:p>
    <w:p w14:paraId="2EB9FC55" w14:textId="195B9E6A" w:rsidR="00230E57" w:rsidRPr="00D23AB3" w:rsidRDefault="00230E57" w:rsidP="00C66833">
      <w:r>
        <w:t>Inclusion criteria included:</w:t>
      </w:r>
    </w:p>
    <w:p w14:paraId="73EEF15E" w14:textId="20940A40" w:rsidR="00041159" w:rsidRPr="00041159" w:rsidRDefault="00041159" w:rsidP="00C66833">
      <w:pPr>
        <w:pStyle w:val="ListBullet"/>
      </w:pPr>
      <w:r w:rsidRPr="00041159">
        <w:lastRenderedPageBreak/>
        <w:t>Pre-pubertal children (boys 3</w:t>
      </w:r>
      <w:r w:rsidR="005E33D1">
        <w:t xml:space="preserve"> to </w:t>
      </w:r>
      <w:r w:rsidRPr="00041159">
        <w:t>11 years, girls 3</w:t>
      </w:r>
      <w:r w:rsidR="005E33D1">
        <w:t xml:space="preserve"> to </w:t>
      </w:r>
      <w:r w:rsidRPr="00041159">
        <w:t xml:space="preserve">10 years) diagnosed with </w:t>
      </w:r>
      <w:r w:rsidR="00A63652" w:rsidRPr="00A63652">
        <w:t>growth hormone deficiency</w:t>
      </w:r>
      <w:r w:rsidRPr="00041159">
        <w:t xml:space="preserve"> who had no prior exposure to any recombinant </w:t>
      </w:r>
      <w:proofErr w:type="spellStart"/>
      <w:r w:rsidRPr="00041159">
        <w:t>hGH</w:t>
      </w:r>
      <w:proofErr w:type="spellEnd"/>
      <w:r w:rsidRPr="00041159">
        <w:t xml:space="preserve"> therapy, had impaired height and height velocity, and with a baseline IGF-1 level of at least </w:t>
      </w:r>
      <w:r w:rsidR="005E33D1">
        <w:t>one</w:t>
      </w:r>
      <w:r w:rsidRPr="00041159">
        <w:t xml:space="preserve"> SD below the mean IGF-1 level standardi</w:t>
      </w:r>
      <w:r w:rsidR="00FA28EE">
        <w:t>s</w:t>
      </w:r>
      <w:r w:rsidRPr="00041159">
        <w:t>ed for age and sex (IGF-1 SDS ≤ -1) were enrolled in this study.</w:t>
      </w:r>
    </w:p>
    <w:p w14:paraId="30AE8F32" w14:textId="72F5D4E9" w:rsidR="00041159" w:rsidRPr="00041159" w:rsidRDefault="00041159" w:rsidP="00C66833">
      <w:pPr>
        <w:pStyle w:val="ListBullet"/>
      </w:pPr>
      <w:r w:rsidRPr="00041159">
        <w:t xml:space="preserve">Confirmed diagnosis of </w:t>
      </w:r>
      <w:r w:rsidR="00A63652" w:rsidRPr="00A63652">
        <w:t>growth hormone deficiency</w:t>
      </w:r>
      <w:r w:rsidRPr="00041159">
        <w:t xml:space="preserve"> by 2 different </w:t>
      </w:r>
      <w:r w:rsidR="00AF04FE">
        <w:t>growth hormone</w:t>
      </w:r>
      <w:r w:rsidRPr="00041159">
        <w:t xml:space="preserve"> provocation tests defined as a peak plasma </w:t>
      </w:r>
      <w:r w:rsidR="00AF04FE">
        <w:t>growth hormone</w:t>
      </w:r>
      <w:r w:rsidRPr="00041159">
        <w:t xml:space="preserve"> level of ≤ 10 ng/m</w:t>
      </w:r>
      <w:r w:rsidR="00200395">
        <w:t>L</w:t>
      </w:r>
      <w:r w:rsidRPr="00041159">
        <w:t>, determined by local (if done prior to signed consent) or central laboratory using a validated assay.</w:t>
      </w:r>
      <w:r w:rsidRPr="00200395">
        <w:rPr>
          <w:vertAlign w:val="superscript"/>
        </w:rPr>
        <w:footnoteReference w:id="20"/>
      </w:r>
    </w:p>
    <w:p w14:paraId="33B8484F" w14:textId="75BE56FF" w:rsidR="00041159" w:rsidRPr="00041159" w:rsidRDefault="00230E57" w:rsidP="00C66833">
      <w:pPr>
        <w:pStyle w:val="ListBullet"/>
      </w:pPr>
      <w:r>
        <w:t>A b</w:t>
      </w:r>
      <w:r w:rsidR="00041159" w:rsidRPr="00041159">
        <w:t>one age less than chronological age</w:t>
      </w:r>
      <w:r w:rsidR="00B26522">
        <w:t>.</w:t>
      </w:r>
    </w:p>
    <w:p w14:paraId="3FBABBB1" w14:textId="221C5D17" w:rsidR="00041159" w:rsidRPr="00041159" w:rsidRDefault="001F3474" w:rsidP="00C66833">
      <w:pPr>
        <w:pStyle w:val="ListBullet"/>
      </w:pPr>
      <w:r>
        <w:t>G</w:t>
      </w:r>
      <w:r w:rsidRPr="00041159">
        <w:t xml:space="preserve">irls </w:t>
      </w:r>
      <w:r w:rsidR="00230E57">
        <w:t>with</w:t>
      </w:r>
      <w:r>
        <w:t xml:space="preserve"> n</w:t>
      </w:r>
      <w:r w:rsidR="00041159" w:rsidRPr="00041159">
        <w:t>ormal karyotyp</w:t>
      </w:r>
      <w:r>
        <w:t>e</w:t>
      </w:r>
      <w:r w:rsidR="00B26522">
        <w:t>.</w:t>
      </w:r>
    </w:p>
    <w:p w14:paraId="79BF4998" w14:textId="0C78F7EA" w:rsidR="00041159" w:rsidRDefault="00041159" w:rsidP="00C66833">
      <w:pPr>
        <w:pStyle w:val="ListBullet"/>
      </w:pPr>
      <w:r w:rsidRPr="00041159">
        <w:t xml:space="preserve">Annualised height velocity (taken with 2 measurements at least 6 months apart) were less than the </w:t>
      </w:r>
      <w:r w:rsidR="00B26522">
        <w:t xml:space="preserve">twenty fifth </w:t>
      </w:r>
      <w:r w:rsidRPr="00041159">
        <w:t>percentile for age.</w:t>
      </w:r>
    </w:p>
    <w:p w14:paraId="17CB887A" w14:textId="4F78144E" w:rsidR="00230E57" w:rsidRPr="00D23AB3" w:rsidRDefault="00230E57" w:rsidP="00C66833">
      <w:pPr>
        <w:pStyle w:val="Heading6"/>
      </w:pPr>
      <w:r>
        <w:t>Exclusion criteria</w:t>
      </w:r>
    </w:p>
    <w:p w14:paraId="3A773352" w14:textId="02A5CF59" w:rsidR="00041159" w:rsidRDefault="00041159" w:rsidP="00041159">
      <w:r w:rsidRPr="00041159">
        <w:t xml:space="preserve">There were </w:t>
      </w:r>
      <w:proofErr w:type="gramStart"/>
      <w:r w:rsidRPr="00041159">
        <w:t>a number of</w:t>
      </w:r>
      <w:proofErr w:type="gramEnd"/>
      <w:r w:rsidRPr="00041159">
        <w:t xml:space="preserve"> exclusion criteria, notable ones </w:t>
      </w:r>
      <w:r w:rsidRPr="000843F9">
        <w:t xml:space="preserve">included </w:t>
      </w:r>
      <w:r w:rsidR="00BB701C" w:rsidRPr="000843F9">
        <w:t>body mass index (</w:t>
      </w:r>
      <w:r w:rsidRPr="000843F9">
        <w:t>BMI</w:t>
      </w:r>
      <w:r w:rsidR="00BB701C" w:rsidRPr="000843F9">
        <w:t>)</w:t>
      </w:r>
      <w:r w:rsidRPr="00041159">
        <w:t xml:space="preserve"> SDS less than </w:t>
      </w:r>
      <w:r w:rsidR="00B26522">
        <w:noBreakHyphen/>
      </w:r>
      <w:r w:rsidRPr="00041159">
        <w:t>2</w:t>
      </w:r>
      <w:r w:rsidR="00B26522">
        <w:t> </w:t>
      </w:r>
      <w:r w:rsidRPr="00041159">
        <w:t xml:space="preserve">SDS, children with a history of leukemia, lymphoma, sarcoma, Turner’s syndrome, Laron syndrome, Noonan syndrome, Prader-Willi syndrome, Russell-Silver syndrome, </w:t>
      </w:r>
      <w:r w:rsidR="000843F9" w:rsidRPr="000843F9">
        <w:t>short stature homeobox</w:t>
      </w:r>
      <w:r w:rsidR="000843F9">
        <w:t xml:space="preserve"> </w:t>
      </w:r>
      <w:r w:rsidR="000843F9" w:rsidRPr="000843F9">
        <w:t>containing (</w:t>
      </w:r>
      <w:r w:rsidRPr="000843F9">
        <w:t>SHOX</w:t>
      </w:r>
      <w:r w:rsidR="000843F9" w:rsidRPr="000843F9">
        <w:t>)</w:t>
      </w:r>
      <w:r w:rsidRPr="000843F9">
        <w:t xml:space="preserve"> </w:t>
      </w:r>
      <w:r w:rsidR="000843F9" w:rsidRPr="000843F9">
        <w:t xml:space="preserve">gene </w:t>
      </w:r>
      <w:r w:rsidRPr="000843F9">
        <w:t xml:space="preserve">deletions and skeletal dysplasia, children born </w:t>
      </w:r>
      <w:r w:rsidR="000843F9" w:rsidRPr="000843F9">
        <w:t>small for gestational age</w:t>
      </w:r>
      <w:r w:rsidRPr="000843F9">
        <w:t>.</w:t>
      </w:r>
    </w:p>
    <w:p w14:paraId="2E10341E" w14:textId="5582F12F" w:rsidR="00230E57" w:rsidRPr="000843F9" w:rsidRDefault="00230E57" w:rsidP="00C66833">
      <w:pPr>
        <w:pStyle w:val="Heading6"/>
      </w:pPr>
      <w:r>
        <w:t>Study treatments</w:t>
      </w:r>
    </w:p>
    <w:p w14:paraId="09F8A83C" w14:textId="72ACA515" w:rsidR="00041159" w:rsidRDefault="00041159" w:rsidP="00041159">
      <w:r w:rsidRPr="000843F9">
        <w:t>The dose of somatrogon and Genotropin</w:t>
      </w:r>
      <w:r w:rsidR="00230E57">
        <w:t xml:space="preserve"> (</w:t>
      </w:r>
      <w:proofErr w:type="spellStart"/>
      <w:r w:rsidR="00230E57">
        <w:t>rhGH</w:t>
      </w:r>
      <w:proofErr w:type="spellEnd"/>
      <w:r w:rsidR="00230E57">
        <w:t>/somatropin)</w:t>
      </w:r>
      <w:r w:rsidRPr="000843F9">
        <w:t xml:space="preserve"> was assessed and adjusted every 3 months based on the subject’s body weight. In addition, for subjects receiving somatrogon, the dose was decreased based on </w:t>
      </w:r>
      <w:r w:rsidR="00230E57">
        <w:t>two</w:t>
      </w:r>
      <w:r w:rsidRPr="000843F9">
        <w:t xml:space="preserve"> repeated Day 4(-1) levels of IGF-1 &gt; +2 SDS. For subjects receiving Genotropin, the dose was decreased based on </w:t>
      </w:r>
      <w:r w:rsidR="00230E57">
        <w:t xml:space="preserve">two </w:t>
      </w:r>
      <w:r w:rsidRPr="000843F9">
        <w:t>repeated IGF-1 levels &gt; +2 SDS.</w:t>
      </w:r>
    </w:p>
    <w:p w14:paraId="5A3A0813" w14:textId="79AE175A" w:rsidR="00230E57" w:rsidRPr="000843F9" w:rsidRDefault="00230E57" w:rsidP="00C66833">
      <w:pPr>
        <w:pStyle w:val="Heading6"/>
      </w:pPr>
      <w:r>
        <w:t>Aims and objectives</w:t>
      </w:r>
    </w:p>
    <w:p w14:paraId="235AB84D" w14:textId="288E171A" w:rsidR="00041159" w:rsidRPr="00041159" w:rsidRDefault="00041159" w:rsidP="00041159">
      <w:r w:rsidRPr="000843F9">
        <w:t xml:space="preserve">The aim of the present study was to demonstrate that in terms of the primary efficacy endpoint, </w:t>
      </w:r>
      <w:r w:rsidR="00C36112" w:rsidRPr="000843F9">
        <w:t xml:space="preserve">annual height velocity </w:t>
      </w:r>
      <w:r w:rsidRPr="000843F9">
        <w:t xml:space="preserve">at 12 months, weekly somatrogon is non-inferior to daily Genotropin </w:t>
      </w:r>
      <w:r w:rsidR="00230E57">
        <w:t>(</w:t>
      </w:r>
      <w:proofErr w:type="spellStart"/>
      <w:r w:rsidR="00230E57">
        <w:t>rhGH</w:t>
      </w:r>
      <w:proofErr w:type="spellEnd"/>
      <w:r w:rsidR="00230E57">
        <w:t xml:space="preserve">/somatropin) </w:t>
      </w:r>
      <w:r w:rsidRPr="000843F9">
        <w:t xml:space="preserve">by a non-inferiority margin of 1.8 cm/year. The </w:t>
      </w:r>
      <w:r w:rsidR="000843F9">
        <w:t>confidence interval (CI)</w:t>
      </w:r>
      <w:r w:rsidRPr="000843F9">
        <w:t xml:space="preserve"> for the difference between means was derived from </w:t>
      </w:r>
      <w:r w:rsidR="000843F9" w:rsidRPr="000843F9">
        <w:t>analysis of covariance (</w:t>
      </w:r>
      <w:r w:rsidRPr="000843F9">
        <w:t>ANCOVA</w:t>
      </w:r>
      <w:r w:rsidR="000843F9" w:rsidRPr="000843F9">
        <w:t>)</w:t>
      </w:r>
      <w:r w:rsidRPr="000843F9">
        <w:t>.</w:t>
      </w:r>
    </w:p>
    <w:p w14:paraId="6A5D25C8" w14:textId="545A3E98" w:rsidR="00041159" w:rsidRPr="00041159" w:rsidRDefault="00041159" w:rsidP="00041159">
      <w:r w:rsidRPr="00041159">
        <w:t>The rational</w:t>
      </w:r>
      <w:r w:rsidR="00A92382">
        <w:t>e</w:t>
      </w:r>
      <w:r w:rsidRPr="00041159">
        <w:t xml:space="preserve"> for the non</w:t>
      </w:r>
      <w:r w:rsidR="00C36112">
        <w:t>-</w:t>
      </w:r>
      <w:r w:rsidRPr="00041159">
        <w:t xml:space="preserve">inferiority margin was as follows: from historical data, height velocity response for the first year of daily </w:t>
      </w:r>
      <w:r w:rsidR="00AF04FE">
        <w:t>growth hormone</w:t>
      </w:r>
      <w:r w:rsidRPr="00041159">
        <w:t xml:space="preserve"> ranged from 10.2 cm/year, SD</w:t>
      </w:r>
      <w:r w:rsidR="00C36112">
        <w:t> </w:t>
      </w:r>
      <w:r w:rsidRPr="00041159">
        <w:t>= 2.5</w:t>
      </w:r>
      <w:r w:rsidR="00796D1C">
        <w:t>;</w:t>
      </w:r>
      <w:r w:rsidR="00796D1C">
        <w:rPr>
          <w:rStyle w:val="FootnoteReference"/>
        </w:rPr>
        <w:footnoteReference w:id="21"/>
      </w:r>
      <w:r w:rsidRPr="00041159">
        <w:t xml:space="preserve"> to 11.4 cm/year, SD</w:t>
      </w:r>
      <w:r w:rsidR="00C36112">
        <w:t> </w:t>
      </w:r>
      <w:r w:rsidRPr="00041159">
        <w:t>=</w:t>
      </w:r>
      <w:r w:rsidR="00C36112">
        <w:t> </w:t>
      </w:r>
      <w:r w:rsidRPr="00041159">
        <w:t>2.5.</w:t>
      </w:r>
      <w:r w:rsidR="00796D1C">
        <w:rPr>
          <w:rStyle w:val="FootnoteReference"/>
        </w:rPr>
        <w:footnoteReference w:id="22"/>
      </w:r>
      <w:r w:rsidRPr="00041159">
        <w:t xml:space="preserve"> Using the SD of 2.5 from these references, a non</w:t>
      </w:r>
      <w:r w:rsidR="00C36112">
        <w:t>-</w:t>
      </w:r>
      <w:r w:rsidRPr="00041159">
        <w:t xml:space="preserve">inferiority margin of -1.8 cm/year is within </w:t>
      </w:r>
      <w:r w:rsidR="00C36112">
        <w:t>one</w:t>
      </w:r>
      <w:r w:rsidRPr="00041159">
        <w:t xml:space="preserve"> SD of the expected results, and approximately 23% of the reference treatment response distribution would be below this value.</w:t>
      </w:r>
    </w:p>
    <w:p w14:paraId="127F5242" w14:textId="39A86DA1" w:rsidR="00041159" w:rsidRPr="00C36112" w:rsidRDefault="00041159" w:rsidP="00C66833">
      <w:pPr>
        <w:pStyle w:val="Heading6"/>
      </w:pPr>
      <w:r w:rsidRPr="00C36112">
        <w:lastRenderedPageBreak/>
        <w:t>Results</w:t>
      </w:r>
    </w:p>
    <w:p w14:paraId="39837755" w14:textId="3F47B951" w:rsidR="00041159" w:rsidRPr="00041159" w:rsidRDefault="00041159" w:rsidP="00041159">
      <w:r>
        <w:t xml:space="preserve">Of the 228 patients that were randomised, 4 did not receive the study drug and a further </w:t>
      </w:r>
      <w:r w:rsidR="00230E57">
        <w:t>two</w:t>
      </w:r>
      <w:r w:rsidR="00DD05C1">
        <w:t> </w:t>
      </w:r>
      <w:r>
        <w:t xml:space="preserve">discontinued during the </w:t>
      </w:r>
      <w:r w:rsidR="007422FE">
        <w:t xml:space="preserve">main </w:t>
      </w:r>
      <w:r>
        <w:t>study</w:t>
      </w:r>
      <w:r w:rsidR="00CA13FC">
        <w:t>,</w:t>
      </w:r>
      <w:r>
        <w:t xml:space="preserve"> 212 patients continued to the open label extension</w:t>
      </w:r>
      <w:r w:rsidR="00B4368A">
        <w:t xml:space="preserve"> </w:t>
      </w:r>
      <w:r>
        <w:t>trial.</w:t>
      </w:r>
    </w:p>
    <w:p w14:paraId="0385CB0E" w14:textId="6568A0D2" w:rsidR="00041159" w:rsidRPr="00041159" w:rsidRDefault="00041159" w:rsidP="00041159">
      <w:r w:rsidRPr="00CA13FC">
        <w:rPr>
          <w:i/>
          <w:iCs/>
        </w:rPr>
        <w:t>Dose modifications/adjustments</w:t>
      </w:r>
      <w:r w:rsidRPr="00041159">
        <w:t>: Overall, 29 subjects had an IGF-1 SDS &gt; 2 at any time during the main study (n</w:t>
      </w:r>
      <w:r w:rsidR="00DE67E1">
        <w:t xml:space="preserve"> </w:t>
      </w:r>
      <w:r w:rsidRPr="00041159">
        <w:t>=</w:t>
      </w:r>
      <w:r w:rsidR="00DE67E1">
        <w:t xml:space="preserve"> </w:t>
      </w:r>
      <w:r w:rsidRPr="00041159">
        <w:t>26 in the somatrogon group and n</w:t>
      </w:r>
      <w:r w:rsidR="00DE67E1">
        <w:t xml:space="preserve"> </w:t>
      </w:r>
      <w:r w:rsidRPr="00041159">
        <w:t>=</w:t>
      </w:r>
      <w:r w:rsidR="00DE67E1">
        <w:t xml:space="preserve"> </w:t>
      </w:r>
      <w:r w:rsidRPr="00041159">
        <w:t xml:space="preserve">3 in the Genotropin </w:t>
      </w:r>
      <w:r w:rsidR="00230E57">
        <w:t>(</w:t>
      </w:r>
      <w:proofErr w:type="spellStart"/>
      <w:r w:rsidR="00230E57">
        <w:t>rhGH</w:t>
      </w:r>
      <w:proofErr w:type="spellEnd"/>
      <w:r w:rsidR="00230E57">
        <w:t xml:space="preserve">/somatropin) </w:t>
      </w:r>
      <w:r w:rsidRPr="00041159">
        <w:t>group). Over time, the incidence of subjects in the somatrogon group with IGF-1 SDS</w:t>
      </w:r>
      <w:r w:rsidR="00DD05C1">
        <w:t> </w:t>
      </w:r>
      <w:r w:rsidRPr="00041159">
        <w:t>&gt;</w:t>
      </w:r>
      <w:r w:rsidR="00DD05C1">
        <w:t> </w:t>
      </w:r>
      <w:r w:rsidRPr="00041159">
        <w:t>2 increased. In the somatrogon group, 14 patients experienced persistent IGF-1 levels &gt;</w:t>
      </w:r>
      <w:r w:rsidR="00DD05C1">
        <w:t> </w:t>
      </w:r>
      <w:r w:rsidRPr="00041159">
        <w:t>2</w:t>
      </w:r>
      <w:r w:rsidR="00DE67E1">
        <w:t> </w:t>
      </w:r>
      <w:r w:rsidRPr="00041159">
        <w:t>SDS (</w:t>
      </w:r>
      <w:r w:rsidR="00FA28EE">
        <w:t>that is</w:t>
      </w:r>
      <w:r w:rsidRPr="00041159">
        <w:t>, 2 consecutive IGF-1 SDS &gt; 2 measurements), resulting in dose modification for 12 of these subjects. The other 2 patients had their persistent IGF-1 levels above 2</w:t>
      </w:r>
      <w:r w:rsidR="00DE67E1">
        <w:t> </w:t>
      </w:r>
      <w:r w:rsidRPr="00041159">
        <w:t>SDS at 9 and 12 months; therefore, their dose was not reduced during the 12</w:t>
      </w:r>
      <w:r w:rsidR="00DD05C1">
        <w:noBreakHyphen/>
      </w:r>
      <w:r w:rsidRPr="00041159">
        <w:t>month study.</w:t>
      </w:r>
    </w:p>
    <w:p w14:paraId="3ECB7D07" w14:textId="1A4CA7B5" w:rsidR="00041159" w:rsidRPr="00041159" w:rsidRDefault="00041159" w:rsidP="00041159">
      <w:r w:rsidRPr="00041159">
        <w:t xml:space="preserve">At </w:t>
      </w:r>
      <w:r w:rsidR="00FA28EE" w:rsidRPr="00041159">
        <w:t>Baseline</w:t>
      </w:r>
      <w:r w:rsidRPr="00041159">
        <w:t>, the mean (min</w:t>
      </w:r>
      <w:r w:rsidR="001F3474">
        <w:t>imum</w:t>
      </w:r>
      <w:r w:rsidRPr="00041159">
        <w:t xml:space="preserve">, </w:t>
      </w:r>
      <w:r w:rsidR="001F3474" w:rsidRPr="00041159">
        <w:t>max</w:t>
      </w:r>
      <w:r w:rsidR="001F3474">
        <w:t>imum</w:t>
      </w:r>
      <w:r w:rsidRPr="00041159">
        <w:t>) weight was 19 (8, 46) kg. Mean (</w:t>
      </w:r>
      <w:r w:rsidR="001F3474" w:rsidRPr="00041159">
        <w:t>min</w:t>
      </w:r>
      <w:r w:rsidR="001F3474">
        <w:t>imum</w:t>
      </w:r>
      <w:r w:rsidRPr="00041159">
        <w:t xml:space="preserve">, </w:t>
      </w:r>
      <w:r w:rsidR="001F3474" w:rsidRPr="00041159">
        <w:t>max</w:t>
      </w:r>
      <w:r w:rsidR="001F3474">
        <w:t>imum</w:t>
      </w:r>
      <w:r w:rsidRPr="00041159">
        <w:t>) BMI was 16</w:t>
      </w:r>
      <w:r w:rsidR="00CA13FC">
        <w:t> </w:t>
      </w:r>
      <w:r w:rsidRPr="00041159">
        <w:t>(12, 26) kg/m</w:t>
      </w:r>
      <w:r w:rsidRPr="00CA13FC">
        <w:rPr>
          <w:vertAlign w:val="superscript"/>
        </w:rPr>
        <w:t>2</w:t>
      </w:r>
      <w:r w:rsidRPr="00041159">
        <w:t>. Mean bone age (</w:t>
      </w:r>
      <w:r w:rsidR="001F3474" w:rsidRPr="00041159">
        <w:t>min</w:t>
      </w:r>
      <w:r w:rsidR="001F3474">
        <w:t>imum</w:t>
      </w:r>
      <w:r w:rsidRPr="00041159">
        <w:t xml:space="preserve">, </w:t>
      </w:r>
      <w:r w:rsidR="001F3474" w:rsidRPr="00041159">
        <w:t>max</w:t>
      </w:r>
      <w:r w:rsidR="001F3474">
        <w:t>imum</w:t>
      </w:r>
      <w:r w:rsidRPr="00041159">
        <w:t>) was 5.3</w:t>
      </w:r>
      <w:r w:rsidR="00DD05C1">
        <w:t> </w:t>
      </w:r>
      <w:r w:rsidRPr="00041159">
        <w:t>(1,</w:t>
      </w:r>
      <w:r w:rsidR="00DD05C1">
        <w:t> </w:t>
      </w:r>
      <w:r w:rsidRPr="00041159">
        <w:t>11). Mean bone maturation (</w:t>
      </w:r>
      <w:r w:rsidR="001F3474" w:rsidRPr="00041159">
        <w:t>min</w:t>
      </w:r>
      <w:r w:rsidR="001F3474">
        <w:t>imum</w:t>
      </w:r>
      <w:r w:rsidRPr="00041159">
        <w:t xml:space="preserve">, </w:t>
      </w:r>
      <w:r w:rsidR="001F3474" w:rsidRPr="00041159">
        <w:t>max</w:t>
      </w:r>
      <w:r w:rsidR="001F3474">
        <w:t>imum</w:t>
      </w:r>
      <w:r w:rsidRPr="00041159">
        <w:t>) was 0.66 (0.29, 1.06). Mean height SDS (Z</w:t>
      </w:r>
      <w:r w:rsidR="001F3474">
        <w:t>-score</w:t>
      </w:r>
      <w:r w:rsidRPr="00041159">
        <w:t>) (</w:t>
      </w:r>
      <w:r w:rsidR="001F3474" w:rsidRPr="00041159">
        <w:t>min</w:t>
      </w:r>
      <w:r w:rsidR="001F3474">
        <w:t>imum</w:t>
      </w:r>
      <w:r w:rsidRPr="00041159">
        <w:t xml:space="preserve">, </w:t>
      </w:r>
      <w:r w:rsidR="001F3474" w:rsidRPr="00041159">
        <w:t>max</w:t>
      </w:r>
      <w:r w:rsidR="001F3474">
        <w:t>imum</w:t>
      </w:r>
      <w:r w:rsidRPr="00041159">
        <w:t xml:space="preserve">) was -2.86 (-9.96, -0.47). The baseline </w:t>
      </w:r>
      <w:r w:rsidR="009114FD" w:rsidRPr="009114FD">
        <w:t>height velocity</w:t>
      </w:r>
      <w:r w:rsidRPr="00041159">
        <w:t xml:space="preserve"> and </w:t>
      </w:r>
      <w:r w:rsidR="009114FD" w:rsidRPr="009114FD">
        <w:t xml:space="preserve">height velocity </w:t>
      </w:r>
      <w:r w:rsidRPr="00041159">
        <w:t>SDS were not reported.</w:t>
      </w:r>
    </w:p>
    <w:p w14:paraId="1F883E13" w14:textId="3CC5FC27" w:rsidR="00041159" w:rsidRDefault="00041159" w:rsidP="00041159">
      <w:r>
        <w:t>At 12 months, the height velocity was 10.1</w:t>
      </w:r>
      <w:r w:rsidR="00CA13FC">
        <w:t xml:space="preserve"> </w:t>
      </w:r>
      <w:r>
        <w:t xml:space="preserve">cm/year in the </w:t>
      </w:r>
      <w:r w:rsidR="00D81E67">
        <w:t xml:space="preserve">somatrogon </w:t>
      </w:r>
      <w:r>
        <w:t>group, and 9.78</w:t>
      </w:r>
      <w:r w:rsidR="00B4368A">
        <w:t> </w:t>
      </w:r>
      <w:r>
        <w:t xml:space="preserve">cm/year in the Genotropin group. The lower bound of the 95% CI for </w:t>
      </w:r>
      <w:r w:rsidRPr="00B51BEE">
        <w:t xml:space="preserve">mean </w:t>
      </w:r>
      <w:r w:rsidR="00A92382" w:rsidRPr="00B51BEE">
        <w:t>treatment difference in</w:t>
      </w:r>
      <w:r w:rsidR="00A92382">
        <w:t xml:space="preserve"> </w:t>
      </w:r>
      <w:r>
        <w:t>height velocity at 12 months was -0.24</w:t>
      </w:r>
      <w:r w:rsidR="00B4368A">
        <w:t xml:space="preserve"> </w:t>
      </w:r>
      <w:r>
        <w:t>cm/year, which is within the non</w:t>
      </w:r>
      <w:r w:rsidR="00DD05C1">
        <w:noBreakHyphen/>
      </w:r>
      <w:r>
        <w:t>inferiority margin.</w:t>
      </w:r>
    </w:p>
    <w:p w14:paraId="49BAE353" w14:textId="33375AA2" w:rsidR="00EB76DE" w:rsidRPr="00CC4F38" w:rsidRDefault="00EB76DE"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7</w:t>
      </w:r>
      <w:r w:rsidRPr="00CC4F38">
        <w:fldChar w:fldCharType="end"/>
      </w:r>
      <w:r w:rsidRPr="00CC4F38">
        <w:t xml:space="preserve">: </w:t>
      </w:r>
      <w:r w:rsidR="0018135E" w:rsidRPr="00CC4F38">
        <w:t>Study CP-4-006 Box plot of annualised height velocity over time (full analysis set)</w:t>
      </w:r>
    </w:p>
    <w:p w14:paraId="48C23226" w14:textId="77777777" w:rsidR="00041159" w:rsidRDefault="00041159" w:rsidP="00CC4F38">
      <w:r>
        <w:rPr>
          <w:noProof/>
          <w:lang w:val="en-GB" w:eastAsia="en-GB"/>
        </w:rPr>
        <w:drawing>
          <wp:inline distT="0" distB="0" distL="0" distR="0" wp14:anchorId="21F0D6A1" wp14:editId="6C6FE91C">
            <wp:extent cx="4110273" cy="3069093"/>
            <wp:effectExtent l="0" t="0" r="5080" b="0"/>
            <wp:docPr id="136" name="Picture 136" descr="Figure 7: Study CP-4-006 Box plot of annualised height velocity over tim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Figure 7: Study CP-4-006 Box plot of annualised height velocity over time (full analysis set)"/>
                    <pic:cNvPicPr/>
                  </pic:nvPicPr>
                  <pic:blipFill>
                    <a:blip r:embed="rId26"/>
                    <a:stretch>
                      <a:fillRect/>
                    </a:stretch>
                  </pic:blipFill>
                  <pic:spPr>
                    <a:xfrm>
                      <a:off x="0" y="0"/>
                      <a:ext cx="4133617" cy="3086524"/>
                    </a:xfrm>
                    <a:prstGeom prst="rect">
                      <a:avLst/>
                    </a:prstGeom>
                  </pic:spPr>
                </pic:pic>
              </a:graphicData>
            </a:graphic>
          </wp:inline>
        </w:drawing>
      </w:r>
    </w:p>
    <w:p w14:paraId="5D0AAE13" w14:textId="6F29B99E" w:rsidR="00041159" w:rsidRPr="00041159" w:rsidRDefault="00041159" w:rsidP="00041159">
      <w:r w:rsidRPr="00041159">
        <w:t>There were 3 non</w:t>
      </w:r>
      <w:r w:rsidR="00B4368A">
        <w:t>-</w:t>
      </w:r>
      <w:r w:rsidRPr="00041159">
        <w:t>responders, similar numbers in each treatment group</w:t>
      </w:r>
      <w:r w:rsidR="00B4368A">
        <w:t>.</w:t>
      </w:r>
    </w:p>
    <w:p w14:paraId="7DC4F9AC" w14:textId="12C092CC" w:rsidR="00041159" w:rsidRDefault="00B4368A" w:rsidP="00041159">
      <w:r>
        <w:t>I</w:t>
      </w:r>
      <w:r w:rsidRPr="00B4368A">
        <w:t xml:space="preserve">nsulin-like growth factor 1 </w:t>
      </w:r>
      <w:r>
        <w:t>(</w:t>
      </w:r>
      <w:r w:rsidR="00041159" w:rsidRPr="00041159">
        <w:t>IGF-1</w:t>
      </w:r>
      <w:r>
        <w:t>)</w:t>
      </w:r>
      <w:r w:rsidR="00041159" w:rsidRPr="00041159">
        <w:t xml:space="preserve"> levels rose from </w:t>
      </w:r>
      <w:r w:rsidR="00FA28EE" w:rsidRPr="00041159">
        <w:t>Baseline</w:t>
      </w:r>
      <w:r w:rsidR="00041159" w:rsidRPr="00041159">
        <w:t xml:space="preserve"> in both groups. There was a greater increase in IGF-1 in the somatrogon than the Genotropin group.</w:t>
      </w:r>
    </w:p>
    <w:p w14:paraId="00CC4998" w14:textId="5BFDC0D5" w:rsidR="00EB76DE" w:rsidRPr="00CC4F38" w:rsidRDefault="00EB76DE" w:rsidP="00CC4F38">
      <w:pPr>
        <w:pStyle w:val="FigureTitle"/>
      </w:pPr>
      <w:r w:rsidRPr="00CC4F38">
        <w:lastRenderedPageBreak/>
        <w:t xml:space="preserve">Figure </w:t>
      </w:r>
      <w:r w:rsidRPr="00CC4F38">
        <w:fldChar w:fldCharType="begin"/>
      </w:r>
      <w:r w:rsidRPr="00CC4F38">
        <w:instrText>SEQ Figure \* ARABIC</w:instrText>
      </w:r>
      <w:r w:rsidRPr="00CC4F38">
        <w:fldChar w:fldCharType="separate"/>
      </w:r>
      <w:r w:rsidR="003735CC">
        <w:rPr>
          <w:noProof/>
        </w:rPr>
        <w:t>8</w:t>
      </w:r>
      <w:r w:rsidRPr="00CC4F38">
        <w:fldChar w:fldCharType="end"/>
      </w:r>
      <w:r w:rsidRPr="00CC4F38">
        <w:t xml:space="preserve">: </w:t>
      </w:r>
      <w:r w:rsidR="005C1CB1" w:rsidRPr="00CC4F38">
        <w:t xml:space="preserve">Study </w:t>
      </w:r>
      <w:r w:rsidRPr="00CC4F38">
        <w:t xml:space="preserve">CP-4-006 </w:t>
      </w:r>
      <w:r w:rsidR="0018135E" w:rsidRPr="00CC4F38">
        <w:t xml:space="preserve">Box plot of change over time in </w:t>
      </w:r>
      <w:r w:rsidR="005C1CB1" w:rsidRPr="00CC4F38">
        <w:t>Insulin-like growth factor</w:t>
      </w:r>
      <w:r w:rsidR="001E4C43">
        <w:t> </w:t>
      </w:r>
      <w:r w:rsidR="005C1CB1" w:rsidRPr="00CC4F38">
        <w:t>1 standard deviation score</w:t>
      </w:r>
      <w:r w:rsidRPr="00CC4F38">
        <w:t xml:space="preserve"> </w:t>
      </w:r>
      <w:r w:rsidR="005C1CB1" w:rsidRPr="00CC4F38">
        <w:t>(full analysis set)</w:t>
      </w:r>
    </w:p>
    <w:p w14:paraId="24B70D3C" w14:textId="7AF2D9C1" w:rsidR="00EB76DE" w:rsidRDefault="00EB76DE" w:rsidP="00CC4F38">
      <w:r>
        <w:rPr>
          <w:noProof/>
          <w:lang w:val="en-GB" w:eastAsia="en-GB"/>
        </w:rPr>
        <w:drawing>
          <wp:inline distT="0" distB="0" distL="0" distR="0" wp14:anchorId="1CD77C1B" wp14:editId="42773770">
            <wp:extent cx="5334000" cy="3509645"/>
            <wp:effectExtent l="0" t="0" r="0" b="0"/>
            <wp:docPr id="3" name="Picture 3" descr="Figure 8: Study CP-4-006 Box plot of change over time in Insulin-like growth factor 1 standard deviation scor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Study CP-4-006 Box plot of change over time in Insulin-like growth factor 1 standard deviation score (full analysis set)"/>
                    <pic:cNvPicPr/>
                  </pic:nvPicPr>
                  <pic:blipFill>
                    <a:blip r:embed="rId27"/>
                    <a:stretch>
                      <a:fillRect/>
                    </a:stretch>
                  </pic:blipFill>
                  <pic:spPr>
                    <a:xfrm>
                      <a:off x="0" y="0"/>
                      <a:ext cx="5334360" cy="3509882"/>
                    </a:xfrm>
                    <a:prstGeom prst="rect">
                      <a:avLst/>
                    </a:prstGeom>
                  </pic:spPr>
                </pic:pic>
              </a:graphicData>
            </a:graphic>
          </wp:inline>
        </w:drawing>
      </w:r>
    </w:p>
    <w:p w14:paraId="5198CD74" w14:textId="19BA32C7" w:rsidR="0018135E" w:rsidRPr="00CC4F38" w:rsidRDefault="0018135E" w:rsidP="00CC4F38">
      <w:pPr>
        <w:pStyle w:val="FigureDescription"/>
      </w:pPr>
      <w:r w:rsidRPr="00CC4F38">
        <w:t>Baseline is defined as the last non-missing measurement prior to the start of study drug.</w:t>
      </w:r>
    </w:p>
    <w:p w14:paraId="70C9C221" w14:textId="2CD37851" w:rsidR="005C1CB1" w:rsidRPr="00CC4F38" w:rsidRDefault="005C1CB1" w:rsidP="00CC4F38">
      <w:pPr>
        <w:pStyle w:val="FigureDescription"/>
      </w:pPr>
      <w:r w:rsidRPr="00CC4F38">
        <w:t xml:space="preserve">The closed circles inside boxes are means, lines inside boxes are medians. The ends of each box represent lower and upper quartiles, and bars at the ends of the whiskers represent lower and upper extremes. The individual data points outside the boxes </w:t>
      </w:r>
      <w:proofErr w:type="gramStart"/>
      <w:r w:rsidRPr="00CC4F38">
        <w:t>are</w:t>
      </w:r>
      <w:proofErr w:type="gramEnd"/>
      <w:r w:rsidRPr="00CC4F38">
        <w:t xml:space="preserve"> outliers.</w:t>
      </w:r>
    </w:p>
    <w:p w14:paraId="08AB3579" w14:textId="07295DE2" w:rsidR="00041159" w:rsidRPr="00CC4F38" w:rsidRDefault="005C1CB1" w:rsidP="00CC4F38">
      <w:pPr>
        <w:pStyle w:val="FigureDescription"/>
      </w:pPr>
      <w:r w:rsidRPr="00CC4F38">
        <w:t>Baseline is defined as the last non-missing measurement prior to the start of study drug.</w:t>
      </w:r>
    </w:p>
    <w:p w14:paraId="2B2F0B58" w14:textId="471BC7C5" w:rsidR="00041159" w:rsidRPr="00041159" w:rsidRDefault="00041159" w:rsidP="00041159">
      <w:r w:rsidRPr="00041159">
        <w:t>There was also a similar increase in IGF-BP3 in both groups.</w:t>
      </w:r>
    </w:p>
    <w:p w14:paraId="46D30523" w14:textId="3B5AC13D" w:rsidR="00041159" w:rsidRPr="00041159" w:rsidRDefault="00B4368A" w:rsidP="00041159">
      <w:r>
        <w:t>A</w:t>
      </w:r>
      <w:r w:rsidRPr="00B4368A">
        <w:t>nti-drug antibodi</w:t>
      </w:r>
      <w:r>
        <w:t>es (</w:t>
      </w:r>
      <w:r w:rsidR="00041159" w:rsidRPr="00041159">
        <w:t>ADA</w:t>
      </w:r>
      <w:r>
        <w:t>s)</w:t>
      </w:r>
      <w:r w:rsidR="00041159" w:rsidRPr="00041159">
        <w:t xml:space="preserve"> were identified in approximately 77% of somatrogon treated patients during the study period. The presence of ADA did not affect treatment outcomes.</w:t>
      </w:r>
    </w:p>
    <w:p w14:paraId="2878E536" w14:textId="08B68C71" w:rsidR="00041159" w:rsidRPr="00041159" w:rsidRDefault="00041159" w:rsidP="00041159">
      <w:r w:rsidRPr="00B4368A">
        <w:rPr>
          <w:i/>
          <w:iCs/>
        </w:rPr>
        <w:t xml:space="preserve">Open </w:t>
      </w:r>
      <w:r w:rsidR="00B4368A" w:rsidRPr="00B4368A">
        <w:rPr>
          <w:i/>
          <w:iCs/>
        </w:rPr>
        <w:t>label extension</w:t>
      </w:r>
      <w:r w:rsidRPr="00041159">
        <w:t>: At the data cut</w:t>
      </w:r>
      <w:r w:rsidR="00B4368A">
        <w:t>-</w:t>
      </w:r>
      <w:r w:rsidRPr="00041159">
        <w:t xml:space="preserve">off date of 1 November 2019, efficacy data were available for 94 subjects at </w:t>
      </w:r>
      <w:r w:rsidR="00B4368A">
        <w:t>M</w:t>
      </w:r>
      <w:r w:rsidRPr="00041159">
        <w:t xml:space="preserve">onth 18 and 9 subjects at </w:t>
      </w:r>
      <w:r w:rsidR="00B4368A">
        <w:t>M</w:t>
      </w:r>
      <w:r w:rsidRPr="00041159">
        <w:t>onth 24.</w:t>
      </w:r>
    </w:p>
    <w:p w14:paraId="40FE05C2" w14:textId="52D3E574" w:rsidR="00041159" w:rsidRDefault="00041159" w:rsidP="00041159">
      <w:r w:rsidRPr="00041159">
        <w:t>Annuali</w:t>
      </w:r>
      <w:r w:rsidR="00FA28EE">
        <w:t>s</w:t>
      </w:r>
      <w:r w:rsidRPr="00041159">
        <w:t xml:space="preserve">ed height velocity with once weekly somatrogon treatment remained above </w:t>
      </w:r>
      <w:r w:rsidR="00FA28EE" w:rsidRPr="00041159">
        <w:t>Baseline</w:t>
      </w:r>
      <w:r w:rsidRPr="00041159">
        <w:t xml:space="preserve"> through the </w:t>
      </w:r>
      <w:r w:rsidR="00230E57">
        <w:t>extension</w:t>
      </w:r>
      <w:r w:rsidR="00230E57" w:rsidRPr="00041159">
        <w:t xml:space="preserve"> </w:t>
      </w:r>
      <w:r w:rsidRPr="00041159">
        <w:t>period.</w:t>
      </w:r>
      <w:r w:rsidR="006610A9">
        <w:t xml:space="preserve"> </w:t>
      </w:r>
      <w:r w:rsidRPr="00041159">
        <w:t>The annuali</w:t>
      </w:r>
      <w:r w:rsidR="00FA28EE">
        <w:t>s</w:t>
      </w:r>
      <w:r w:rsidRPr="00041159">
        <w:t xml:space="preserve">ed height velocity for subjects who switched from Genotropin to somatrogon at the beginning of the </w:t>
      </w:r>
      <w:r w:rsidR="00230E57">
        <w:t>extension</w:t>
      </w:r>
      <w:r w:rsidR="00230E57" w:rsidRPr="00041159">
        <w:t xml:space="preserve"> </w:t>
      </w:r>
      <w:r w:rsidRPr="00041159">
        <w:t xml:space="preserve">period was consistent with subjects who received somatrogon during the main study and throughout the </w:t>
      </w:r>
      <w:r w:rsidR="00230E57">
        <w:t>extension</w:t>
      </w:r>
      <w:r w:rsidR="00230E57" w:rsidRPr="00041159">
        <w:t xml:space="preserve"> </w:t>
      </w:r>
      <w:r w:rsidRPr="00041159">
        <w:t xml:space="preserve">period. No subject in </w:t>
      </w:r>
      <w:r w:rsidR="00B4368A">
        <w:t xml:space="preserve">Study </w:t>
      </w:r>
      <w:r w:rsidRPr="00041159">
        <w:t xml:space="preserve">CP-4-006 </w:t>
      </w:r>
      <w:r w:rsidR="00230E57">
        <w:t>open-label extension</w:t>
      </w:r>
      <w:r w:rsidR="00230E57" w:rsidRPr="00041159">
        <w:t xml:space="preserve"> </w:t>
      </w:r>
      <w:r w:rsidRPr="00041159">
        <w:t>had achieved final adult height as of the data cut-off date of 1 November 2019.</w:t>
      </w:r>
    </w:p>
    <w:p w14:paraId="03D0844F" w14:textId="65888747" w:rsidR="005C1CB1" w:rsidRPr="00CC4F38" w:rsidRDefault="005C1CB1" w:rsidP="00CC4F38">
      <w:pPr>
        <w:pStyle w:val="FigureTitle"/>
      </w:pPr>
      <w:r w:rsidRPr="00CC4F38">
        <w:lastRenderedPageBreak/>
        <w:t xml:space="preserve">Figure </w:t>
      </w:r>
      <w:r w:rsidRPr="00CC4F38">
        <w:fldChar w:fldCharType="begin"/>
      </w:r>
      <w:r w:rsidRPr="00CC4F38">
        <w:instrText>SEQ Figure \* ARABIC</w:instrText>
      </w:r>
      <w:r w:rsidRPr="00CC4F38">
        <w:fldChar w:fldCharType="separate"/>
      </w:r>
      <w:r w:rsidR="003735CC">
        <w:rPr>
          <w:noProof/>
        </w:rPr>
        <w:t>9</w:t>
      </w:r>
      <w:r w:rsidRPr="00CC4F38">
        <w:fldChar w:fldCharType="end"/>
      </w:r>
      <w:r w:rsidR="0018135E" w:rsidRPr="00CC4F38">
        <w:t>: Study CP-4-006 main study and open label extension</w:t>
      </w:r>
      <w:r w:rsidR="00230E57">
        <w:t>;</w:t>
      </w:r>
      <w:r w:rsidR="0018135E" w:rsidRPr="00CC4F38">
        <w:t xml:space="preserve"> </w:t>
      </w:r>
      <w:r w:rsidR="00230E57">
        <w:t>a</w:t>
      </w:r>
      <w:r w:rsidR="0018135E" w:rsidRPr="00CC4F38">
        <w:t>nnualised height velocity (cm</w:t>
      </w:r>
      <w:r w:rsidR="00063A43" w:rsidRPr="00CC4F38">
        <w:t>/</w:t>
      </w:r>
      <w:r w:rsidR="0018135E" w:rsidRPr="00CC4F38">
        <w:t>year) (full analysis set)</w:t>
      </w:r>
    </w:p>
    <w:p w14:paraId="6C2FC5B5" w14:textId="29B5AEF2" w:rsidR="00041159" w:rsidRDefault="00041159" w:rsidP="00041159">
      <w:r>
        <w:rPr>
          <w:noProof/>
          <w:lang w:val="en-GB" w:eastAsia="en-GB"/>
        </w:rPr>
        <w:drawing>
          <wp:inline distT="0" distB="0" distL="0" distR="0" wp14:anchorId="4C58CD71" wp14:editId="0170AD23">
            <wp:extent cx="5344452" cy="3706586"/>
            <wp:effectExtent l="0" t="0" r="8890" b="8255"/>
            <wp:docPr id="124" name="Picture 124" descr="Figure 9: Study CP-4-006 main study and open label extension Annualised height velocity (cm/year)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9: Study CP-4-006 main study and open label extension Annualised height velocity (cm/year) (full analysis set)"/>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5354232" cy="3713368"/>
                    </a:xfrm>
                    <a:prstGeom prst="rect">
                      <a:avLst/>
                    </a:prstGeom>
                  </pic:spPr>
                </pic:pic>
              </a:graphicData>
            </a:graphic>
          </wp:inline>
        </w:drawing>
      </w:r>
    </w:p>
    <w:p w14:paraId="3A053DE0" w14:textId="564EE8CC" w:rsidR="00745F3B" w:rsidRPr="00CC4F38" w:rsidRDefault="00CC4F38" w:rsidP="00CC4F38">
      <w:pPr>
        <w:pStyle w:val="FigureDescription"/>
      </w:pPr>
      <w:r w:rsidRPr="00CC4F38">
        <w:t xml:space="preserve">Abbreviation: </w:t>
      </w:r>
      <w:r w:rsidR="00745F3B" w:rsidRPr="00CC4F38">
        <w:t>OLE = open label extension.</w:t>
      </w:r>
    </w:p>
    <w:p w14:paraId="6E8EE7E5" w14:textId="4E15DE8D" w:rsidR="0018135E" w:rsidRDefault="0018135E" w:rsidP="00CC4F38">
      <w:pPr>
        <w:pStyle w:val="FigureDescription"/>
      </w:pPr>
      <w:r w:rsidRPr="00CC4F38">
        <w:t xml:space="preserve">The closed circles inside boxes are means, lines inside boxes are medians. The ends of each box represent lower and upper quartiles, and bars at the ends of the whiskers represent lower and upper extremes. The individual data points outside the boxes </w:t>
      </w:r>
      <w:proofErr w:type="gramStart"/>
      <w:r w:rsidRPr="00CC4F38">
        <w:t>are</w:t>
      </w:r>
      <w:proofErr w:type="gramEnd"/>
      <w:r w:rsidRPr="00CC4F38">
        <w:t xml:space="preserve"> outliers.</w:t>
      </w:r>
    </w:p>
    <w:p w14:paraId="3807B00C" w14:textId="543BAC19" w:rsidR="00C93848" w:rsidRPr="00CC4F38" w:rsidRDefault="00C93848" w:rsidP="00C66833">
      <w:pPr>
        <w:pStyle w:val="Heading5"/>
      </w:pPr>
      <w:r>
        <w:t>Study CP-4-004</w:t>
      </w:r>
    </w:p>
    <w:p w14:paraId="7FC08F9C" w14:textId="2DBE5FC8" w:rsidR="00041159" w:rsidRDefault="00B4368A" w:rsidP="00041159">
      <w:r>
        <w:t xml:space="preserve">Study </w:t>
      </w:r>
      <w:r w:rsidR="00041159" w:rsidRPr="00041159">
        <w:t xml:space="preserve">CP-4-004 </w:t>
      </w:r>
      <w:r>
        <w:t xml:space="preserve">is a </w:t>
      </w:r>
      <w:r w:rsidR="00041159" w:rsidRPr="00041159">
        <w:t xml:space="preserve">safety and dose finding study of different somatrogon dose levels compared to daily </w:t>
      </w:r>
      <w:r w:rsidR="00C93848">
        <w:t>recombinant human growth hormone (</w:t>
      </w:r>
      <w:proofErr w:type="spellStart"/>
      <w:r w:rsidR="00041159" w:rsidRPr="00041159">
        <w:t>rhGH</w:t>
      </w:r>
      <w:proofErr w:type="spellEnd"/>
      <w:r w:rsidR="00C93848">
        <w:t>/somatropin)</w:t>
      </w:r>
      <w:r w:rsidR="00041159" w:rsidRPr="00041159">
        <w:t xml:space="preserve"> therapy in pre-pubertal </w:t>
      </w:r>
      <w:r w:rsidR="00AF04FE">
        <w:t>growth hormone</w:t>
      </w:r>
      <w:r w:rsidR="00041159" w:rsidRPr="00041159">
        <w:t xml:space="preserve"> deficient children</w:t>
      </w:r>
      <w:r>
        <w:t>.</w:t>
      </w:r>
    </w:p>
    <w:p w14:paraId="0A2FCED6" w14:textId="169915A9" w:rsidR="005C1CB1" w:rsidRPr="00CC4F38" w:rsidRDefault="005C1CB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10</w:t>
      </w:r>
      <w:r w:rsidRPr="00CC4F38">
        <w:fldChar w:fldCharType="end"/>
      </w:r>
      <w:r w:rsidR="00063A43" w:rsidRPr="00CC4F38">
        <w:t>: Study CP-4-004 Study design</w:t>
      </w:r>
    </w:p>
    <w:p w14:paraId="19525261" w14:textId="4ED4B57F" w:rsidR="00041159" w:rsidRDefault="00041159" w:rsidP="00041159">
      <w:r>
        <w:rPr>
          <w:noProof/>
          <w:lang w:val="en-GB" w:eastAsia="en-GB"/>
        </w:rPr>
        <w:drawing>
          <wp:inline distT="0" distB="0" distL="0" distR="0" wp14:anchorId="56F32048" wp14:editId="43F35FBC">
            <wp:extent cx="5372100" cy="2494874"/>
            <wp:effectExtent l="0" t="0" r="0" b="1270"/>
            <wp:docPr id="1" name="Picture 1" descr="Figure 10: Study CP-4-004 Study design&#10;&#10;Study CP-4-004 was a Phase II, randomised, open label, safety and dose finding clinical trial assessing different somatrogon dose levels compared to daily Genotropin therapy in untreated pre-pubertal children with growth hormone deficiency.&#10;&#10;Eligible subjects were enrolled to undergo a screening period. Subjects (Cohort 1, 2 and 3) were randomised to receive either 0.25, 0.48, 0.66 mg/kg somatrogon, or receive 0.034 mg/kg Genotropin (Cohort 4). It followed by two treatment periods (I and II).&#10;&#10;Treatment Period I was an open label period of repeated dosing including pharmacokinetics and pharmacodynamics sampling. In Period I, all somatrogon subjects started the treatment with a dose of 0.25 mg/kg/week. Those randomised to the 0.48 and 0.66 mg/kg/week cohorts had their dose titrated upwards in 2-week increments. After interim analysis, subjects entered Period II, which was a second 6 month period of repeated dosing. Final analysis was conducted after completing Perio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0: Study CP-4-004 Study design&#10;&#10;Study CP-4-004 was a Phase II, randomised, open label, safety and dose finding clinical trial assessing different somatrogon dose levels compared to daily Genotropin therapy in untreated pre-pubertal children with growth hormone deficiency.&#10;&#10;Eligible subjects were enrolled to undergo a screening period. Subjects (Cohort 1, 2 and 3) were randomised to receive either 0.25, 0.48, 0.66 mg/kg somatrogon, or receive 0.034 mg/kg Genotropin (Cohort 4). It followed by two treatment periods (I and II).&#10;&#10;Treatment Period I was an open label period of repeated dosing including pharmacokinetics and pharmacodynamics sampling. In Period I, all somatrogon subjects started the treatment with a dose of 0.25 mg/kg/week. Those randomised to the 0.48 and 0.66 mg/kg/week cohorts had their dose titrated upwards in 2-week increments. After interim analysis, subjects entered Period II, which was a second 6 month period of repeated dosing. Final analysis was conducted after completing Period II."/>
                    <pic:cNvPicPr/>
                  </pic:nvPicPr>
                  <pic:blipFill>
                    <a:blip r:embed="rId30"/>
                    <a:stretch>
                      <a:fillRect/>
                    </a:stretch>
                  </pic:blipFill>
                  <pic:spPr>
                    <a:xfrm>
                      <a:off x="0" y="0"/>
                      <a:ext cx="5383328" cy="2500088"/>
                    </a:xfrm>
                    <a:prstGeom prst="rect">
                      <a:avLst/>
                    </a:prstGeom>
                  </pic:spPr>
                </pic:pic>
              </a:graphicData>
            </a:graphic>
          </wp:inline>
        </w:drawing>
      </w:r>
    </w:p>
    <w:p w14:paraId="55C78557" w14:textId="6830BD81" w:rsidR="00745F3B" w:rsidRPr="00CC4F38" w:rsidRDefault="00CC4F38" w:rsidP="00CC4F38">
      <w:pPr>
        <w:pStyle w:val="FigureDescription"/>
      </w:pPr>
      <w:r w:rsidRPr="00CC4F38">
        <w:t xml:space="preserve">Abbreviations: </w:t>
      </w:r>
      <w:r w:rsidR="00AE3FDD" w:rsidRPr="00CC4F38">
        <w:t xml:space="preserve">C = cohort; </w:t>
      </w:r>
      <w:r w:rsidR="00745F3B" w:rsidRPr="00CC4F38">
        <w:t>MOD-4023 = somatrogon; PD = pharmacodynamics; PK = pharmacokinetics.</w:t>
      </w:r>
    </w:p>
    <w:p w14:paraId="062F0CB6" w14:textId="63D0B986" w:rsidR="00041159" w:rsidRDefault="00041159" w:rsidP="00041159">
      <w:r w:rsidRPr="00041159">
        <w:lastRenderedPageBreak/>
        <w:t xml:space="preserve">After 12 months of treatment, mean height velocity in the </w:t>
      </w:r>
      <w:r w:rsidR="00B4368A">
        <w:t>full analysis set</w:t>
      </w:r>
      <w:r w:rsidRPr="00041159">
        <w:t xml:space="preserve"> population for the somatrogon cohorts were 10.4 (95% CI: 8.9, 12.0), 11.0 (95% CI: 9.7, 12.2), and 11.4</w:t>
      </w:r>
      <w:r w:rsidR="001E4C43">
        <w:t> </w:t>
      </w:r>
      <w:r w:rsidRPr="00041159">
        <w:t>(95% CI: 9.2, 13.7) cm/year in Cohorts 1, 2, and 3, respectively. The mean height velocity for the Genotropin</w:t>
      </w:r>
      <w:r w:rsidR="00C93848">
        <w:t xml:space="preserve"> (</w:t>
      </w:r>
      <w:proofErr w:type="spellStart"/>
      <w:r w:rsidR="00C93848">
        <w:t>rhGH</w:t>
      </w:r>
      <w:proofErr w:type="spellEnd"/>
      <w:r w:rsidR="00C93848">
        <w:t>/somatropin)</w:t>
      </w:r>
      <w:r w:rsidRPr="00041159">
        <w:t xml:space="preserve"> group was 12.5 cm/year (95% CI: 11.0-13.9). The 95% CI for each of the somatrogon cohorts overlap with the CI for Genotropin, with the highest somatrogon dose group.</w:t>
      </w:r>
    </w:p>
    <w:p w14:paraId="33860E14" w14:textId="4A0F80B5" w:rsidR="005C1CB1" w:rsidRPr="00CC4F38" w:rsidRDefault="005C1CB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11</w:t>
      </w:r>
      <w:r w:rsidRPr="00CC4F38">
        <w:fldChar w:fldCharType="end"/>
      </w:r>
      <w:r w:rsidR="00063A43" w:rsidRPr="00CC4F38">
        <w:t xml:space="preserve">: Study CP-4-004 </w:t>
      </w:r>
      <w:r w:rsidR="00745F3B" w:rsidRPr="00CC4F38">
        <w:t xml:space="preserve">periods I and II </w:t>
      </w:r>
      <w:r w:rsidR="00063A43" w:rsidRPr="00CC4F38">
        <w:t>Mean and 95% confidence intervals (dotted lines) of annual height velocity (cm/year) (per-protocol</w:t>
      </w:r>
      <w:r w:rsidR="00AF5616">
        <w:t xml:space="preserve"> population</w:t>
      </w:r>
      <w:r w:rsidR="00063A43" w:rsidRPr="00CC4F38">
        <w:t>)</w:t>
      </w:r>
    </w:p>
    <w:p w14:paraId="560761CE" w14:textId="6596BC8F" w:rsidR="00041159" w:rsidRDefault="00041159" w:rsidP="00CC4F38">
      <w:r>
        <w:rPr>
          <w:noProof/>
          <w:lang w:val="en-GB" w:eastAsia="en-GB"/>
        </w:rPr>
        <w:drawing>
          <wp:inline distT="0" distB="0" distL="0" distR="0" wp14:anchorId="18BBBC98" wp14:editId="59CCE7B9">
            <wp:extent cx="4211320" cy="2897109"/>
            <wp:effectExtent l="0" t="0" r="0" b="0"/>
            <wp:docPr id="17" name="Picture 17" descr="Figure 11: Study CP-4-004 periods I and II Mean and 95% confidence intervals (dotted lines) of annual height velocity (cm/year)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Study CP-4-004 periods I and II Mean and 95% confidence intervals (dotted lines) of annual height velocity (cm/year) (per-protocol population)"/>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4240332" cy="2917068"/>
                    </a:xfrm>
                    <a:prstGeom prst="rect">
                      <a:avLst/>
                    </a:prstGeom>
                  </pic:spPr>
                </pic:pic>
              </a:graphicData>
            </a:graphic>
          </wp:inline>
        </w:drawing>
      </w:r>
    </w:p>
    <w:p w14:paraId="5D5FBD47" w14:textId="28CA11C7" w:rsidR="00063A43" w:rsidRPr="00CC4F38" w:rsidRDefault="00CC4F38" w:rsidP="00CC4F38">
      <w:pPr>
        <w:pStyle w:val="FigureDescription"/>
      </w:pPr>
      <w:r w:rsidRPr="00CC4F38">
        <w:t xml:space="preserve">Abbreviations: </w:t>
      </w:r>
      <w:r w:rsidR="00745F3B" w:rsidRPr="00CC4F38">
        <w:t>HV = height velocity; MOD-4023 = somatrogon.</w:t>
      </w:r>
    </w:p>
    <w:p w14:paraId="742F93A4" w14:textId="00BC2153" w:rsidR="005C1CB1" w:rsidRPr="00CC4F38" w:rsidRDefault="005C1CB1" w:rsidP="00CC4F38">
      <w:pPr>
        <w:pStyle w:val="FigureTitle"/>
      </w:pPr>
      <w:r w:rsidRPr="00CC4F38">
        <w:t xml:space="preserve">Figure </w:t>
      </w:r>
      <w:r w:rsidRPr="00CC4F38">
        <w:fldChar w:fldCharType="begin"/>
      </w:r>
      <w:r w:rsidRPr="00CC4F38">
        <w:instrText>SEQ Figure \* ARABIC</w:instrText>
      </w:r>
      <w:r w:rsidRPr="00CC4F38">
        <w:fldChar w:fldCharType="separate"/>
      </w:r>
      <w:r w:rsidR="003735CC">
        <w:rPr>
          <w:noProof/>
        </w:rPr>
        <w:t>12</w:t>
      </w:r>
      <w:r w:rsidRPr="00CC4F38">
        <w:fldChar w:fldCharType="end"/>
      </w:r>
      <w:r w:rsidR="00063A43" w:rsidRPr="00CC4F38">
        <w:t xml:space="preserve">: Study CP-4-004 </w:t>
      </w:r>
      <w:r w:rsidR="00745F3B" w:rsidRPr="00CC4F38">
        <w:t xml:space="preserve">Periods I and II </w:t>
      </w:r>
      <w:r w:rsidR="00063A43" w:rsidRPr="00CC4F38">
        <w:t>Mean insulin-like growth factor</w:t>
      </w:r>
      <w:r w:rsidR="001E4C43">
        <w:t> </w:t>
      </w:r>
      <w:r w:rsidR="00063A43" w:rsidRPr="00CC4F38">
        <w:t>1 standard deviation score over 12</w:t>
      </w:r>
      <w:r w:rsidR="00CC4F38">
        <w:t>-</w:t>
      </w:r>
      <w:r w:rsidR="00063A43" w:rsidRPr="00CC4F38">
        <w:t>month trend (per-protocol</w:t>
      </w:r>
      <w:r w:rsidR="00AF5616">
        <w:t xml:space="preserve"> population</w:t>
      </w:r>
      <w:r w:rsidR="00063A43" w:rsidRPr="00CC4F38">
        <w:t>)</w:t>
      </w:r>
    </w:p>
    <w:p w14:paraId="744004CF" w14:textId="30C9FEBA" w:rsidR="00041159" w:rsidRDefault="00041159" w:rsidP="00CC4F38">
      <w:r>
        <w:rPr>
          <w:noProof/>
          <w:lang w:val="en-GB" w:eastAsia="en-GB"/>
        </w:rPr>
        <w:drawing>
          <wp:inline distT="0" distB="0" distL="0" distR="0" wp14:anchorId="088F5BD8" wp14:editId="6A12BF4C">
            <wp:extent cx="4876800" cy="2037210"/>
            <wp:effectExtent l="0" t="0" r="0" b="1270"/>
            <wp:docPr id="16" name="Picture 16" descr="Figure 12: Study CP-4-004 Periods I and II Mean insulin-like growth factor 1 standard deviation score over 12-month trend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Study CP-4-004 Periods I and II Mean insulin-like growth factor 1 standard deviation score over 12-month trend (per-protocol population)"/>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03151" cy="2048218"/>
                    </a:xfrm>
                    <a:prstGeom prst="rect">
                      <a:avLst/>
                    </a:prstGeom>
                  </pic:spPr>
                </pic:pic>
              </a:graphicData>
            </a:graphic>
          </wp:inline>
        </w:drawing>
      </w:r>
    </w:p>
    <w:p w14:paraId="503DFB10" w14:textId="4BB558B5" w:rsidR="00745F3B" w:rsidRPr="00CC4F38" w:rsidRDefault="00CC4F38" w:rsidP="00CC4F38">
      <w:pPr>
        <w:pStyle w:val="FigureDescription"/>
      </w:pPr>
      <w:r w:rsidRPr="00CC4F38">
        <w:t xml:space="preserve">Abbreviations: </w:t>
      </w:r>
      <w:r w:rsidR="00745F3B" w:rsidRPr="00CC4F38">
        <w:t>IGF = insulin-like growth factor; SDS = standard deviation score; MOD-4023 = somatrogon; n = sample size.</w:t>
      </w:r>
    </w:p>
    <w:p w14:paraId="17037143" w14:textId="1E8BE0BF" w:rsidR="00041159" w:rsidRPr="00041159" w:rsidRDefault="00041159" w:rsidP="00041159">
      <w:r w:rsidRPr="00041159">
        <w:t xml:space="preserve">The mean change in bone age from </w:t>
      </w:r>
      <w:r w:rsidR="00FA28EE" w:rsidRPr="00041159">
        <w:t>Baseline</w:t>
      </w:r>
      <w:r w:rsidRPr="00041159">
        <w:t xml:space="preserve"> to 12 months for the Genotropin </w:t>
      </w:r>
      <w:r w:rsidR="00C93848">
        <w:t>(</w:t>
      </w:r>
      <w:proofErr w:type="spellStart"/>
      <w:r w:rsidR="00C93848">
        <w:t>rhGH</w:t>
      </w:r>
      <w:proofErr w:type="spellEnd"/>
      <w:r w:rsidR="00C93848">
        <w:t xml:space="preserve">/somatropin) </w:t>
      </w:r>
      <w:r w:rsidRPr="00041159">
        <w:t xml:space="preserve">group (Cohort 4) was +1.4 years (range +0.3, +3.8). The mean change from </w:t>
      </w:r>
      <w:r w:rsidR="00FA28EE" w:rsidRPr="00041159">
        <w:t>Baseline</w:t>
      </w:r>
      <w:r w:rsidRPr="00041159">
        <w:t xml:space="preserve"> to 12</w:t>
      </w:r>
      <w:r w:rsidR="00B4368A">
        <w:t> </w:t>
      </w:r>
      <w:r w:rsidRPr="00041159">
        <w:t>months for the somatrogon cohort was +1.2 years (range 0.0, +3.2), +1.3</w:t>
      </w:r>
      <w:r w:rsidR="001E4C43">
        <w:t> </w:t>
      </w:r>
      <w:r w:rsidRPr="00041159">
        <w:t>years (range</w:t>
      </w:r>
      <w:r w:rsidR="001E4C43">
        <w:t> </w:t>
      </w:r>
      <w:r w:rsidRPr="00041159">
        <w:t>0.0, +3.3), and +1.2 years (range +0.2, +2.9), for Cohorts 1, 2, and 3, respectively.</w:t>
      </w:r>
    </w:p>
    <w:p w14:paraId="41C9FB63" w14:textId="77777777" w:rsidR="00B4368A" w:rsidRDefault="00041159" w:rsidP="00EB76DE">
      <w:pPr>
        <w:pStyle w:val="Heading5"/>
      </w:pPr>
      <w:r w:rsidRPr="00041159">
        <w:lastRenderedPageBreak/>
        <w:t>Study CP-4-004 open label extension</w:t>
      </w:r>
    </w:p>
    <w:p w14:paraId="3C9AD13D" w14:textId="66910B32" w:rsidR="00041159" w:rsidRPr="00041159" w:rsidRDefault="00041159" w:rsidP="00041159">
      <w:r w:rsidRPr="00041159">
        <w:t xml:space="preserve">Subjects who completed 12 months of active treatment in the main study period, remained eligible for inclusion in the study, and consented to participate in the </w:t>
      </w:r>
      <w:r w:rsidR="00C93848">
        <w:t>open-label extension period</w:t>
      </w:r>
      <w:r w:rsidR="00C93848" w:rsidRPr="00041159">
        <w:t xml:space="preserve"> </w:t>
      </w:r>
      <w:r w:rsidR="00B4368A">
        <w:t>s</w:t>
      </w:r>
      <w:r w:rsidRPr="00041159">
        <w:t xml:space="preserve">tudy continued with open label treatment until marketing approval. There were 3 defined </w:t>
      </w:r>
      <w:r w:rsidR="00C93848">
        <w:t>open-label extension</w:t>
      </w:r>
      <w:r w:rsidR="00C93848" w:rsidRPr="00041159">
        <w:t xml:space="preserve"> </w:t>
      </w:r>
      <w:r w:rsidRPr="00041159">
        <w:t>study periods:</w:t>
      </w:r>
    </w:p>
    <w:p w14:paraId="1A59DDD0" w14:textId="46E361D7" w:rsidR="00041159" w:rsidRPr="00041159" w:rsidRDefault="00227188" w:rsidP="00041159">
      <w:pPr>
        <w:pStyle w:val="ListBullet"/>
      </w:pPr>
      <w:r>
        <w:t>O</w:t>
      </w:r>
      <w:r w:rsidR="00532D85" w:rsidRPr="00532D85">
        <w:t xml:space="preserve">pen label extension </w:t>
      </w:r>
      <w:r w:rsidR="00041159" w:rsidRPr="00041159">
        <w:t xml:space="preserve">period (Period III </w:t>
      </w:r>
      <w:r w:rsidR="00FA28EE">
        <w:t>(</w:t>
      </w:r>
      <w:r w:rsidR="00041159" w:rsidRPr="00041159">
        <w:t xml:space="preserve">Year 1 </w:t>
      </w:r>
      <w:r w:rsidR="00C93848">
        <w:t>open label extension</w:t>
      </w:r>
      <w:r w:rsidR="00FA28EE">
        <w:t>)</w:t>
      </w:r>
      <w:r w:rsidR="00041159" w:rsidRPr="00041159">
        <w:t>): This period lasted for 12</w:t>
      </w:r>
      <w:r w:rsidR="001E4C43">
        <w:t> </w:t>
      </w:r>
      <w:r w:rsidR="00041159" w:rsidRPr="00041159">
        <w:t>months post</w:t>
      </w:r>
      <w:r w:rsidR="00B4368A">
        <w:noBreakHyphen/>
      </w:r>
      <w:r w:rsidR="00041159" w:rsidRPr="00041159">
        <w:t>completion of the main study. Subjects continued dosing with the 3</w:t>
      </w:r>
      <w:r w:rsidR="001E4C43">
        <w:t> </w:t>
      </w:r>
      <w:r w:rsidR="00041159" w:rsidRPr="00041159">
        <w:t>originally assigned dose levels of somatrogon (0.25, 0.48, and 0.66 mg/kg/week). Subjects originally assigned to daily Genotropin</w:t>
      </w:r>
      <w:r w:rsidR="00C93848">
        <w:t xml:space="preserve"> (</w:t>
      </w:r>
      <w:proofErr w:type="spellStart"/>
      <w:r w:rsidR="00C93848">
        <w:t>rhGH</w:t>
      </w:r>
      <w:proofErr w:type="spellEnd"/>
      <w:r w:rsidR="00C93848">
        <w:t>/somatropin)</w:t>
      </w:r>
      <w:r w:rsidR="00041159" w:rsidRPr="00041159">
        <w:t xml:space="preserve"> in the main study were randomly re</w:t>
      </w:r>
      <w:r w:rsidR="001E4C43">
        <w:noBreakHyphen/>
      </w:r>
      <w:r w:rsidR="00041159" w:rsidRPr="00041159">
        <w:t>assigned to 1 of the 3 somatrogon dose levels.</w:t>
      </w:r>
    </w:p>
    <w:p w14:paraId="049F4770" w14:textId="094983BD" w:rsidR="00041159" w:rsidRPr="00041159" w:rsidRDefault="00532D85" w:rsidP="00041159">
      <w:pPr>
        <w:pStyle w:val="ListBullet"/>
      </w:pPr>
      <w:r w:rsidRPr="00532D85">
        <w:t>Long</w:t>
      </w:r>
      <w:r w:rsidR="00AB45C2">
        <w:t>-</w:t>
      </w:r>
      <w:r w:rsidRPr="00532D85">
        <w:t xml:space="preserve">term </w:t>
      </w:r>
      <w:r w:rsidR="00C93848">
        <w:t>open-label extension</w:t>
      </w:r>
      <w:r w:rsidR="00041159" w:rsidRPr="00041159">
        <w:t xml:space="preserve"> period (Period IV </w:t>
      </w:r>
      <w:r w:rsidR="00FA28EE">
        <w:t>(</w:t>
      </w:r>
      <w:r w:rsidR="00041159" w:rsidRPr="00041159">
        <w:t>Years 2</w:t>
      </w:r>
      <w:r w:rsidR="00B4368A">
        <w:t xml:space="preserve"> to </w:t>
      </w:r>
      <w:r w:rsidR="00041159" w:rsidRPr="00041159">
        <w:t xml:space="preserve">4 </w:t>
      </w:r>
      <w:r w:rsidR="00C93848">
        <w:t xml:space="preserve">of open-label </w:t>
      </w:r>
      <w:r w:rsidR="008F0B77">
        <w:t>extension</w:t>
      </w:r>
      <w:r w:rsidR="00FA28EE">
        <w:t>)</w:t>
      </w:r>
      <w:r w:rsidR="00041159" w:rsidRPr="00041159">
        <w:t xml:space="preserve">): This </w:t>
      </w:r>
      <w:r w:rsidR="00C93848">
        <w:t xml:space="preserve">long-term open-label extension </w:t>
      </w:r>
      <w:r w:rsidR="00041159" w:rsidRPr="00041159">
        <w:t>period was planned to follow the 12</w:t>
      </w:r>
      <w:r w:rsidR="00C93848">
        <w:t> </w:t>
      </w:r>
      <w:r w:rsidR="00041159" w:rsidRPr="00041159">
        <w:t>months in Period III (</w:t>
      </w:r>
      <w:r w:rsidR="00FA28EE">
        <w:t>that is</w:t>
      </w:r>
      <w:r w:rsidR="00041159" w:rsidRPr="00041159">
        <w:t xml:space="preserve">, to start from second year of </w:t>
      </w:r>
      <w:r w:rsidR="00C93848">
        <w:t>the open-label extension</w:t>
      </w:r>
      <w:r w:rsidR="00C93848" w:rsidRPr="00041159">
        <w:t xml:space="preserve"> </w:t>
      </w:r>
      <w:r w:rsidR="00041159" w:rsidRPr="00041159">
        <w:t xml:space="preserve">and third year of the overall study). All eligible subjects entering this </w:t>
      </w:r>
      <w:r w:rsidR="00C93848">
        <w:t>long-term extension</w:t>
      </w:r>
      <w:r w:rsidR="00041159" w:rsidRPr="00041159">
        <w:t xml:space="preserve"> period from somatrogon 0.25 mg/kg body weight/week and 0.48 mg/kg body weight/week groups were switched to 0.66 mg/kg body weight/week, unless medically inappropriate (</w:t>
      </w:r>
      <w:r w:rsidR="00FA28EE">
        <w:t>for example,</w:t>
      </w:r>
      <w:r w:rsidR="00041159" w:rsidRPr="00041159">
        <w:t xml:space="preserve"> drug</w:t>
      </w:r>
      <w:r w:rsidR="00B4368A">
        <w:t xml:space="preserve"> </w:t>
      </w:r>
      <w:r w:rsidR="00041159" w:rsidRPr="00041159">
        <w:t xml:space="preserve">related </w:t>
      </w:r>
      <w:r w:rsidR="000843F9" w:rsidRPr="000843F9">
        <w:t>adverse events</w:t>
      </w:r>
      <w:r w:rsidR="00C93848">
        <w:t xml:space="preserve">, </w:t>
      </w:r>
      <w:r w:rsidR="00041159" w:rsidRPr="00041159">
        <w:t>elevated IGF</w:t>
      </w:r>
      <w:r w:rsidR="00C93848">
        <w:noBreakHyphen/>
      </w:r>
      <w:r w:rsidR="00041159" w:rsidRPr="00041159">
        <w:t>1 SDS).</w:t>
      </w:r>
    </w:p>
    <w:p w14:paraId="6D84431D" w14:textId="19C02561" w:rsidR="00041159" w:rsidRPr="00041159" w:rsidRDefault="00C93848" w:rsidP="00041159">
      <w:pPr>
        <w:pStyle w:val="ListBullet"/>
      </w:pPr>
      <w:r>
        <w:t xml:space="preserve">Long-term open-label extension </w:t>
      </w:r>
      <w:r w:rsidR="00041159" w:rsidRPr="00041159">
        <w:t>PEN period (Period V): Subjects were transitioned to somatrogon 0.66</w:t>
      </w:r>
      <w:r w:rsidR="00B4368A">
        <w:t> </w:t>
      </w:r>
      <w:r w:rsidR="00041159" w:rsidRPr="00041159">
        <w:t xml:space="preserve">mg/kg/week </w:t>
      </w:r>
      <w:r w:rsidR="00B4368A">
        <w:t>s</w:t>
      </w:r>
      <w:r w:rsidR="00B4368A" w:rsidRPr="00B4368A">
        <w:t>ubcutaneous</w:t>
      </w:r>
      <w:r w:rsidR="00041159" w:rsidRPr="00041159">
        <w:t xml:space="preserve"> administration using a single-subject, multi</w:t>
      </w:r>
      <w:r w:rsidR="001E4C43">
        <w:noBreakHyphen/>
      </w:r>
      <w:r w:rsidR="00041159" w:rsidRPr="00041159">
        <w:t>dose, disposable prefilled pen device and formulation. The Period V duration was anticipated to continue until marketing approval. Subjects received the dose of 0.66</w:t>
      </w:r>
      <w:r w:rsidR="000F59B2">
        <w:t> </w:t>
      </w:r>
      <w:r w:rsidR="00041159" w:rsidRPr="00041159">
        <w:t>mg/kg body weight/week unless medically inappropriate (</w:t>
      </w:r>
      <w:r w:rsidR="00FA28EE">
        <w:t>for example,</w:t>
      </w:r>
      <w:r w:rsidR="00041159" w:rsidRPr="00041159">
        <w:t xml:space="preserve"> drug</w:t>
      </w:r>
      <w:r w:rsidR="000F59B2">
        <w:t xml:space="preserve"> </w:t>
      </w:r>
      <w:r w:rsidR="00041159" w:rsidRPr="00041159">
        <w:t xml:space="preserve">related </w:t>
      </w:r>
      <w:r>
        <w:t>adverse events</w:t>
      </w:r>
      <w:r w:rsidR="00041159" w:rsidRPr="00041159">
        <w:t>, elevated IGF-1 SDS).</w:t>
      </w:r>
    </w:p>
    <w:p w14:paraId="22B618C2" w14:textId="7B66BDF8" w:rsidR="00041159" w:rsidRPr="00041159" w:rsidRDefault="00B4368A" w:rsidP="00041159">
      <w:r>
        <w:t>D</w:t>
      </w:r>
      <w:r w:rsidR="00041159" w:rsidRPr="00041159">
        <w:t xml:space="preserve">uring the </w:t>
      </w:r>
      <w:r w:rsidR="00C93848">
        <w:t>open-label extension</w:t>
      </w:r>
      <w:r w:rsidR="00C93848" w:rsidRPr="00041159">
        <w:t xml:space="preserve"> </w:t>
      </w:r>
      <w:r w:rsidR="000F59B2">
        <w:t>P</w:t>
      </w:r>
      <w:r w:rsidR="00041159" w:rsidRPr="00041159">
        <w:t>eriod</w:t>
      </w:r>
      <w:r w:rsidR="000F59B2">
        <w:t>s</w:t>
      </w:r>
      <w:r w:rsidR="00041159" w:rsidRPr="00041159">
        <w:t xml:space="preserve"> III and IV, somatrogon was provided in single use vials as a solution for injection via needle and syringe, during </w:t>
      </w:r>
      <w:r>
        <w:t>P</w:t>
      </w:r>
      <w:r w:rsidR="00041159" w:rsidRPr="00041159">
        <w:t>eriod V, somatrogon was provided as a refrigerated solution in a multi</w:t>
      </w:r>
      <w:r>
        <w:t>-</w:t>
      </w:r>
      <w:r w:rsidR="00041159" w:rsidRPr="00041159">
        <w:t>dose single use pen.</w:t>
      </w:r>
      <w:r w:rsidR="000F59B2">
        <w:t xml:space="preserve"> Forty-eight </w:t>
      </w:r>
      <w:r w:rsidR="00041159" w:rsidRPr="00041159">
        <w:t xml:space="preserve">subjects started </w:t>
      </w:r>
      <w:r w:rsidR="000F59B2">
        <w:t>P</w:t>
      </w:r>
      <w:r w:rsidR="00041159" w:rsidRPr="00041159">
        <w:t>eriod</w:t>
      </w:r>
      <w:r w:rsidR="000F59B2">
        <w:t> </w:t>
      </w:r>
      <w:r w:rsidR="00041159" w:rsidRPr="00041159">
        <w:t xml:space="preserve">III, 46 subjects started </w:t>
      </w:r>
      <w:r w:rsidR="000F59B2">
        <w:t>P</w:t>
      </w:r>
      <w:r w:rsidR="00041159" w:rsidRPr="00041159">
        <w:t xml:space="preserve">eriod IV, 41 subjects started </w:t>
      </w:r>
      <w:r w:rsidR="000F59B2">
        <w:t>P</w:t>
      </w:r>
      <w:r w:rsidR="00041159" w:rsidRPr="00041159">
        <w:t>eriod V and 32 completed the study</w:t>
      </w:r>
      <w:r w:rsidR="000F59B2">
        <w:t>.</w:t>
      </w:r>
    </w:p>
    <w:p w14:paraId="3EE08479" w14:textId="7758EC81" w:rsidR="00041159" w:rsidRPr="00CC4F38" w:rsidRDefault="005C1CB1" w:rsidP="00CC4F38">
      <w:pPr>
        <w:pStyle w:val="TableTitle"/>
      </w:pPr>
      <w:r w:rsidRPr="00CC4F38">
        <w:lastRenderedPageBreak/>
        <w:t xml:space="preserve">Table </w:t>
      </w:r>
      <w:r w:rsidRPr="00CC4F38">
        <w:fldChar w:fldCharType="begin"/>
      </w:r>
      <w:r w:rsidRPr="00CC4F38">
        <w:instrText>SEQ Table \* ARABIC</w:instrText>
      </w:r>
      <w:r w:rsidRPr="00CC4F38">
        <w:fldChar w:fldCharType="separate"/>
      </w:r>
      <w:r w:rsidR="003735CC">
        <w:rPr>
          <w:noProof/>
        </w:rPr>
        <w:t>4</w:t>
      </w:r>
      <w:r w:rsidRPr="00CC4F38">
        <w:fldChar w:fldCharType="end"/>
      </w:r>
      <w:r w:rsidRPr="00CC4F38">
        <w:t xml:space="preserve">: </w:t>
      </w:r>
      <w:r w:rsidR="00745F3B" w:rsidRPr="00CC4F38">
        <w:t xml:space="preserve">Study CP-4-004 </w:t>
      </w:r>
      <w:r w:rsidR="00C93848">
        <w:t>open-label extension; a</w:t>
      </w:r>
      <w:r w:rsidR="00041159" w:rsidRPr="00CC4F38">
        <w:t>nnualised height velocity during</w:t>
      </w:r>
      <w:r w:rsidR="00C93848">
        <w:t xml:space="preserve"> the extension period of study</w:t>
      </w:r>
    </w:p>
    <w:p w14:paraId="280E91F1" w14:textId="5F967DC7" w:rsidR="00041159" w:rsidRDefault="00221850" w:rsidP="00CC4F38">
      <w:r>
        <w:rPr>
          <w:noProof/>
          <w:lang w:val="en-GB" w:eastAsia="en-GB"/>
        </w:rPr>
        <w:drawing>
          <wp:inline distT="0" distB="0" distL="0" distR="0" wp14:anchorId="6A420B15" wp14:editId="2DC39FEC">
            <wp:extent cx="5400040" cy="4855845"/>
            <wp:effectExtent l="0" t="0" r="0" b="1905"/>
            <wp:docPr id="10" name="Picture 10" descr="Table 3: Study CP-4-004 Annualised height velocity during the open label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3: Study CP-4-004 Annualised height velocity during the open label extension"/>
                    <pic:cNvPicPr/>
                  </pic:nvPicPr>
                  <pic:blipFill>
                    <a:blip r:embed="rId35"/>
                    <a:stretch>
                      <a:fillRect/>
                    </a:stretch>
                  </pic:blipFill>
                  <pic:spPr>
                    <a:xfrm>
                      <a:off x="0" y="0"/>
                      <a:ext cx="5400040" cy="4855845"/>
                    </a:xfrm>
                    <a:prstGeom prst="rect">
                      <a:avLst/>
                    </a:prstGeom>
                  </pic:spPr>
                </pic:pic>
              </a:graphicData>
            </a:graphic>
          </wp:inline>
        </w:drawing>
      </w:r>
    </w:p>
    <w:p w14:paraId="6B2336F4" w14:textId="2EA40DCC" w:rsidR="00221850" w:rsidRPr="00CC4F38" w:rsidRDefault="00CC4F38" w:rsidP="00CC4F38">
      <w:pPr>
        <w:pStyle w:val="TableDescription"/>
      </w:pPr>
      <w:r w:rsidRPr="00CC4F38">
        <w:t xml:space="preserve">Abbreviations: </w:t>
      </w:r>
      <w:r w:rsidR="00221850" w:rsidRPr="00CC4F38">
        <w:t xml:space="preserve">N = subjects that entered the study period; n = subjects with annual </w:t>
      </w:r>
      <w:r w:rsidR="0080523E" w:rsidRPr="00CC4F38">
        <w:t xml:space="preserve">height velocity </w:t>
      </w:r>
      <w:r w:rsidR="00221850" w:rsidRPr="00CC4F38">
        <w:t>for the study period</w:t>
      </w:r>
      <w:r w:rsidR="00745F3B" w:rsidRPr="00CC4F38">
        <w:t>; OLE = open label extension;</w:t>
      </w:r>
      <w:r w:rsidR="0080523E" w:rsidRPr="00CC4F38">
        <w:t xml:space="preserve"> </w:t>
      </w:r>
      <w:r w:rsidR="00745F3B" w:rsidRPr="00CC4F38">
        <w:t>SD = standard deviation</w:t>
      </w:r>
      <w:r w:rsidR="00221850" w:rsidRPr="00CC4F38">
        <w:t>.</w:t>
      </w:r>
    </w:p>
    <w:p w14:paraId="431CD3D0" w14:textId="72279C5A" w:rsidR="00221850" w:rsidRPr="00CC4F38" w:rsidRDefault="0080523E" w:rsidP="00CC4F38">
      <w:pPr>
        <w:pStyle w:val="TableDescription"/>
      </w:pPr>
      <w:r w:rsidRPr="00CC4F38">
        <w:t xml:space="preserve">Height velocity </w:t>
      </w:r>
      <w:r w:rsidR="00221850" w:rsidRPr="00CC4F38">
        <w:t xml:space="preserve">in main study used the measure at the Month 12 visit with the measure the latest vibist before the first injection in main study; </w:t>
      </w:r>
      <w:r w:rsidRPr="00CC4F38">
        <w:t xml:space="preserve">height velocity </w:t>
      </w:r>
      <w:r w:rsidR="00221850" w:rsidRPr="00CC4F38">
        <w:t>in each tear in open label extension study used the measure at the Month 12 visit in each year with the measure at the Month 12 visit of the prior year as the reference. In case where there was a gap in treatment between years the measure at the restart of treatment (if available) was used as the reference.</w:t>
      </w:r>
    </w:p>
    <w:p w14:paraId="52019301" w14:textId="77777777" w:rsidR="00041159" w:rsidRDefault="00041159" w:rsidP="005C1721">
      <w:pPr>
        <w:pStyle w:val="Heading4"/>
      </w:pPr>
      <w:r>
        <w:t>Safety</w:t>
      </w:r>
    </w:p>
    <w:p w14:paraId="16E293DC" w14:textId="77777777" w:rsidR="00E76105" w:rsidRPr="00B168C4" w:rsidRDefault="00E76105" w:rsidP="00E76105">
      <w:pPr>
        <w:rPr>
          <w:b/>
          <w:bCs/>
          <w:i/>
          <w:iCs/>
        </w:rPr>
      </w:pPr>
      <w:r w:rsidRPr="00AF7207">
        <w:rPr>
          <w:b/>
          <w:bCs/>
          <w:i/>
          <w:iCs/>
        </w:rPr>
        <w:t>Study CP-4-006</w:t>
      </w:r>
    </w:p>
    <w:p w14:paraId="21718001" w14:textId="3C7CE83B" w:rsidR="00041159" w:rsidRPr="00041159" w:rsidRDefault="00041159" w:rsidP="00041159">
      <w:r w:rsidRPr="00041159">
        <w:t xml:space="preserve">In the pivotal clinical study, there was a higher incidence of injection site erythema, injection site pain and injection site pruritis in the somatrogon group. Most </w:t>
      </w:r>
      <w:r w:rsidR="00796D1C">
        <w:t>t</w:t>
      </w:r>
      <w:r w:rsidR="00796D1C" w:rsidRPr="00796D1C">
        <w:t>reatment</w:t>
      </w:r>
      <w:r w:rsidR="00796D1C">
        <w:t xml:space="preserve"> </w:t>
      </w:r>
      <w:r w:rsidR="00796D1C" w:rsidRPr="00796D1C">
        <w:t>emergent adverse events</w:t>
      </w:r>
      <w:r w:rsidRPr="00041159">
        <w:t xml:space="preserve"> were mild (54%) or moderate (24.8%). There were more severe injection site pain reactions in the somatrogon group. One patient in the somatrogon group discontinued due to injection site erythema and induration on </w:t>
      </w:r>
      <w:r w:rsidR="00C93848">
        <w:t>D</w:t>
      </w:r>
      <w:r w:rsidRPr="00041159">
        <w:t xml:space="preserve">ay 57. In </w:t>
      </w:r>
      <w:r w:rsidR="000F59B2">
        <w:t>S</w:t>
      </w:r>
      <w:r w:rsidRPr="00041159">
        <w:t>tudy</w:t>
      </w:r>
      <w:r w:rsidR="001E4C43">
        <w:t> </w:t>
      </w:r>
      <w:r w:rsidR="000F59B2" w:rsidRPr="000F59B2">
        <w:t>CP</w:t>
      </w:r>
      <w:r w:rsidR="001E4C43">
        <w:noBreakHyphen/>
      </w:r>
      <w:r w:rsidR="000F59B2" w:rsidRPr="000F59B2">
        <w:t>4-006</w:t>
      </w:r>
      <w:r w:rsidRPr="00041159">
        <w:t xml:space="preserve">, 5 patients withdrew due to </w:t>
      </w:r>
      <w:r w:rsidR="00C93848">
        <w:t>adverse events (AEs), which were</w:t>
      </w:r>
      <w:r w:rsidR="00C93848" w:rsidRPr="00041159">
        <w:t xml:space="preserve"> </w:t>
      </w:r>
      <w:r w:rsidRPr="00041159">
        <w:t>injection site erythema, pain, pruritis</w:t>
      </w:r>
      <w:r w:rsidR="000F59B2">
        <w:t xml:space="preserve"> and</w:t>
      </w:r>
      <w:r w:rsidRPr="00041159">
        <w:t xml:space="preserve"> anxiety</w:t>
      </w:r>
      <w:r w:rsidR="000F59B2">
        <w:t>.</w:t>
      </w:r>
    </w:p>
    <w:p w14:paraId="1A487CC2" w14:textId="0CFAAA7F" w:rsidR="00041159" w:rsidRPr="00041159" w:rsidRDefault="00041159" w:rsidP="00041159">
      <w:r w:rsidRPr="00041159">
        <w:t xml:space="preserve">There were more </w:t>
      </w:r>
      <w:r w:rsidR="000843F9">
        <w:t xml:space="preserve">AEs </w:t>
      </w:r>
      <w:r w:rsidRPr="00041159">
        <w:t xml:space="preserve">of special interest due to </w:t>
      </w:r>
      <w:r w:rsidR="0043666B" w:rsidRPr="00041159">
        <w:t>immuno</w:t>
      </w:r>
      <w:r w:rsidR="0043666B">
        <w:t>genicity</w:t>
      </w:r>
      <w:r w:rsidR="0043666B" w:rsidRPr="00041159">
        <w:t xml:space="preserve"> </w:t>
      </w:r>
      <w:r w:rsidRPr="00041159">
        <w:t xml:space="preserve">in the somatrogon group (20) compared to the Genotropin </w:t>
      </w:r>
      <w:r w:rsidR="00C93848">
        <w:t>(</w:t>
      </w:r>
      <w:proofErr w:type="spellStart"/>
      <w:r w:rsidR="00C93848">
        <w:t>rhGH</w:t>
      </w:r>
      <w:proofErr w:type="spellEnd"/>
      <w:r w:rsidR="00C93848">
        <w:t xml:space="preserve">/somatropin) </w:t>
      </w:r>
      <w:r w:rsidRPr="00041159">
        <w:t>group (9). However more patients in the Genotropin group developed a</w:t>
      </w:r>
      <w:r w:rsidR="00C93848">
        <w:t xml:space="preserve"> laboratory finding of</w:t>
      </w:r>
      <w:r w:rsidRPr="00041159">
        <w:t xml:space="preserve"> high </w:t>
      </w:r>
      <w:r w:rsidR="000843F9" w:rsidRPr="000843F9">
        <w:t>creatine kinase</w:t>
      </w:r>
      <w:r w:rsidRPr="00041159">
        <w:t>.</w:t>
      </w:r>
    </w:p>
    <w:p w14:paraId="69E6E282" w14:textId="1EE5E57E" w:rsidR="00041159" w:rsidRPr="00041159" w:rsidRDefault="00041159" w:rsidP="00041159">
      <w:r w:rsidRPr="00041159">
        <w:lastRenderedPageBreak/>
        <w:t>Anti</w:t>
      </w:r>
      <w:r w:rsidR="00B26522">
        <w:t>-</w:t>
      </w:r>
      <w:r w:rsidRPr="00041159">
        <w:t>drug antibodies</w:t>
      </w:r>
      <w:r w:rsidR="000F59B2">
        <w:t xml:space="preserve"> (ADAs)</w:t>
      </w:r>
      <w:r w:rsidRPr="00041159">
        <w:t xml:space="preserve"> were also more common in the somatrogon group. By </w:t>
      </w:r>
      <w:r w:rsidR="000F59B2">
        <w:t>M</w:t>
      </w:r>
      <w:r w:rsidRPr="00041159">
        <w:t>onth</w:t>
      </w:r>
      <w:r w:rsidR="000F59B2">
        <w:t> </w:t>
      </w:r>
      <w:r w:rsidRPr="00041159">
        <w:t>12, 75 subjects in the somatrogon group and 7 in the Genotropi</w:t>
      </w:r>
      <w:r w:rsidR="00C93848">
        <w:t xml:space="preserve">n </w:t>
      </w:r>
      <w:r w:rsidRPr="00041159">
        <w:t>group had ADA</w:t>
      </w:r>
      <w:r w:rsidR="00C93848">
        <w:t>s</w:t>
      </w:r>
      <w:r w:rsidRPr="00041159">
        <w:t>. Of these, 2 were neutralising. There was no correlation between dose and ADA</w:t>
      </w:r>
      <w:r w:rsidR="00C93848">
        <w:t>s</w:t>
      </w:r>
      <w:r w:rsidRPr="00041159">
        <w:t>, nor in ADA</w:t>
      </w:r>
      <w:r w:rsidR="00C93848">
        <w:t>s</w:t>
      </w:r>
      <w:r w:rsidRPr="00041159">
        <w:t xml:space="preserve"> and </w:t>
      </w:r>
      <w:r w:rsidR="000843F9">
        <w:t>AEs</w:t>
      </w:r>
      <w:r w:rsidRPr="00041159">
        <w:t>. In the open labelled extension studies, there were no patients with new ADA</w:t>
      </w:r>
      <w:r w:rsidR="00C93848">
        <w:t>s</w:t>
      </w:r>
      <w:r w:rsidRPr="00041159">
        <w:t>.</w:t>
      </w:r>
    </w:p>
    <w:p w14:paraId="598C92BB" w14:textId="41AEDF11" w:rsidR="00041159" w:rsidRPr="00041159" w:rsidRDefault="00041159" w:rsidP="00041159">
      <w:r w:rsidRPr="00041159">
        <w:t xml:space="preserve">There were 29 subjects </w:t>
      </w:r>
      <w:r w:rsidR="00A92382">
        <w:t>with</w:t>
      </w:r>
      <w:r w:rsidR="00A92382" w:rsidRPr="00041159">
        <w:t xml:space="preserve"> </w:t>
      </w:r>
      <w:r w:rsidRPr="00041159">
        <w:t>an IGF-1 more than 2-SDS above the mean. Of these, 26 were in the somatrogon group and 3 were in the Genotropin group.</w:t>
      </w:r>
    </w:p>
    <w:p w14:paraId="00E5F34B" w14:textId="559F3DDF" w:rsidR="00041159" w:rsidRPr="00041159" w:rsidRDefault="00041159" w:rsidP="00041159">
      <w:r w:rsidRPr="00041159">
        <w:t>There were 20 subjects in the somatrogon group and 9 in the Genotropin group who had an increase in eosinophils.</w:t>
      </w:r>
    </w:p>
    <w:p w14:paraId="10B3322E" w14:textId="23B894B9" w:rsidR="00041159" w:rsidRPr="00041159" w:rsidRDefault="00041159" w:rsidP="00041159">
      <w:r w:rsidRPr="00041159">
        <w:t>Long</w:t>
      </w:r>
      <w:r w:rsidR="00AB45C2">
        <w:t>-</w:t>
      </w:r>
      <w:r w:rsidRPr="00041159">
        <w:t>term data is available for somatrogon at the current dose for 20 patients studied for 2</w:t>
      </w:r>
      <w:r w:rsidR="00E854A6">
        <w:t> </w:t>
      </w:r>
      <w:r w:rsidRPr="00041159">
        <w:t xml:space="preserve">years and 11 patients studied for 3 years. In the </w:t>
      </w:r>
      <w:r w:rsidR="001E4C43" w:rsidRPr="00041159">
        <w:t>long</w:t>
      </w:r>
      <w:r w:rsidR="00AB45C2">
        <w:t>-</w:t>
      </w:r>
      <w:r w:rsidR="001E4C43" w:rsidRPr="00041159">
        <w:t>term</w:t>
      </w:r>
      <w:r w:rsidRPr="00041159">
        <w:t xml:space="preserve"> study, there were no new </w:t>
      </w:r>
      <w:r w:rsidR="000843F9">
        <w:t>AE</w:t>
      </w:r>
      <w:r w:rsidRPr="00041159">
        <w:t xml:space="preserve"> signals identified.</w:t>
      </w:r>
    </w:p>
    <w:p w14:paraId="11A0AD53" w14:textId="77777777" w:rsidR="008E7846" w:rsidRDefault="00386150" w:rsidP="007B6132">
      <w:pPr>
        <w:pStyle w:val="Heading3"/>
        <w:rPr>
          <w:lang w:eastAsia="en-AU"/>
        </w:rPr>
      </w:pPr>
      <w:bookmarkStart w:id="47" w:name="_Toc124495269"/>
      <w:r>
        <w:rPr>
          <w:lang w:eastAsia="en-AU"/>
        </w:rPr>
        <w:t>Risk m</w:t>
      </w:r>
      <w:r w:rsidR="008E7846">
        <w:rPr>
          <w:lang w:eastAsia="en-AU"/>
        </w:rPr>
        <w:t xml:space="preserve">anagement </w:t>
      </w:r>
      <w:r>
        <w:rPr>
          <w:lang w:eastAsia="en-AU"/>
        </w:rPr>
        <w:t>p</w:t>
      </w:r>
      <w:r w:rsidR="008E7846">
        <w:rPr>
          <w:lang w:eastAsia="en-AU"/>
        </w:rPr>
        <w:t>lan</w:t>
      </w:r>
      <w:bookmarkEnd w:id="43"/>
      <w:bookmarkEnd w:id="47"/>
    </w:p>
    <w:p w14:paraId="1C0670FC" w14:textId="1B3B11DA" w:rsidR="0048617C" w:rsidRDefault="00FA28EE" w:rsidP="0048617C">
      <w:r>
        <w:t xml:space="preserve">The sponsor </w:t>
      </w:r>
      <w:r w:rsidR="0048617C" w:rsidRPr="0048617C">
        <w:t>has submitted EU-</w:t>
      </w:r>
      <w:r w:rsidR="000843F9" w:rsidRPr="000843F9">
        <w:t>risk management plan (</w:t>
      </w:r>
      <w:r w:rsidR="0048617C" w:rsidRPr="000843F9">
        <w:t>RMP</w:t>
      </w:r>
      <w:r w:rsidR="000843F9" w:rsidRPr="000843F9">
        <w:t>)</w:t>
      </w:r>
      <w:r w:rsidR="0048617C" w:rsidRPr="000843F9">
        <w:t xml:space="preserve"> version 0.1 (date</w:t>
      </w:r>
      <w:r w:rsidR="00E854A6" w:rsidRPr="000843F9">
        <w:t>d</w:t>
      </w:r>
      <w:r w:rsidR="0048617C" w:rsidRPr="000843F9">
        <w:t xml:space="preserve"> 6</w:t>
      </w:r>
      <w:r w:rsidR="001E4C43">
        <w:t> </w:t>
      </w:r>
      <w:r w:rsidR="0048617C" w:rsidRPr="000843F9">
        <w:t>October</w:t>
      </w:r>
      <w:r w:rsidR="001E4C43">
        <w:t> </w:t>
      </w:r>
      <w:r w:rsidR="0048617C" w:rsidRPr="000843F9">
        <w:t xml:space="preserve">2020; </w:t>
      </w:r>
      <w:r w:rsidR="000843F9" w:rsidRPr="000843F9">
        <w:t>data lock point (</w:t>
      </w:r>
      <w:r w:rsidR="0048617C" w:rsidRPr="000843F9">
        <w:t>DLP</w:t>
      </w:r>
      <w:r w:rsidR="000843F9" w:rsidRPr="000843F9">
        <w:t>)</w:t>
      </w:r>
      <w:r w:rsidR="0048617C" w:rsidRPr="000843F9">
        <w:t xml:space="preserve"> 1 November 2019) and </w:t>
      </w:r>
      <w:r w:rsidR="000843F9" w:rsidRPr="000843F9">
        <w:t>Australia specific annex (</w:t>
      </w:r>
      <w:r w:rsidR="0048617C" w:rsidRPr="000843F9">
        <w:t>ASA</w:t>
      </w:r>
      <w:r w:rsidR="000843F9" w:rsidRPr="000843F9">
        <w:t>)</w:t>
      </w:r>
      <w:r w:rsidR="0048617C" w:rsidRPr="000843F9">
        <w:t xml:space="preserve"> version</w:t>
      </w:r>
      <w:r w:rsidR="0048617C" w:rsidRPr="0048617C">
        <w:t xml:space="preserve"> 0.1 (date</w:t>
      </w:r>
      <w:r w:rsidR="00E854A6">
        <w:t>d</w:t>
      </w:r>
      <w:r w:rsidR="0048617C" w:rsidRPr="0048617C">
        <w:t xml:space="preserve"> 6 October 2020) in support of this application. At </w:t>
      </w:r>
      <w:r w:rsidR="00E854A6">
        <w:t xml:space="preserve">the second round of evaluation, </w:t>
      </w:r>
      <w:r w:rsidR="0048617C" w:rsidRPr="0048617C">
        <w:t>the sponsor has submitted EU-RMP version 0.2 (date</w:t>
      </w:r>
      <w:r w:rsidR="00E854A6">
        <w:t>d</w:t>
      </w:r>
      <w:r w:rsidR="0048617C" w:rsidRPr="0048617C">
        <w:t xml:space="preserve"> 30</w:t>
      </w:r>
      <w:r w:rsidR="00E854A6">
        <w:t> </w:t>
      </w:r>
      <w:r w:rsidR="0048617C" w:rsidRPr="0048617C">
        <w:t>August</w:t>
      </w:r>
      <w:r w:rsidR="001E4C43">
        <w:t> </w:t>
      </w:r>
      <w:r w:rsidR="0048617C" w:rsidRPr="0048617C">
        <w:t>2021; DLP 21 December 2020) and ASA version 0.2 (date</w:t>
      </w:r>
      <w:r w:rsidR="00E854A6">
        <w:t>d</w:t>
      </w:r>
      <w:r w:rsidR="0048617C" w:rsidRPr="0048617C">
        <w:t xml:space="preserve"> 26 July 2021). At </w:t>
      </w:r>
      <w:r w:rsidR="00E854A6">
        <w:t xml:space="preserve">the third </w:t>
      </w:r>
      <w:r w:rsidR="0048617C" w:rsidRPr="0048617C">
        <w:t xml:space="preserve">round </w:t>
      </w:r>
      <w:r w:rsidR="00E854A6">
        <w:t xml:space="preserve">of evaluation, </w:t>
      </w:r>
      <w:r w:rsidR="0048617C" w:rsidRPr="0048617C">
        <w:t>the sponsor submitted ASA version 0.3 (</w:t>
      </w:r>
      <w:r w:rsidR="00E854A6">
        <w:t xml:space="preserve">dated </w:t>
      </w:r>
      <w:r w:rsidR="0048617C" w:rsidRPr="0048617C">
        <w:t>24</w:t>
      </w:r>
      <w:r w:rsidR="001E4C43">
        <w:t> </w:t>
      </w:r>
      <w:r w:rsidR="0048617C" w:rsidRPr="0048617C">
        <w:t>September</w:t>
      </w:r>
      <w:r w:rsidR="001E4C43">
        <w:t> </w:t>
      </w:r>
      <w:r w:rsidR="0048617C" w:rsidRPr="0048617C">
        <w:t>2021).</w:t>
      </w:r>
    </w:p>
    <w:p w14:paraId="0E1B5A56" w14:textId="2C316987" w:rsidR="00D62A14" w:rsidRDefault="00D62A14" w:rsidP="00D62A14">
      <w:r>
        <w:t xml:space="preserve">The summary of safety concerns and their associated risk monitoring and mitigation strategies are summarised in </w:t>
      </w:r>
      <w:r>
        <w:fldChar w:fldCharType="begin"/>
      </w:r>
      <w:r>
        <w:instrText xml:space="preserve"> REF _Ref101880939 \h </w:instrText>
      </w:r>
      <w:r>
        <w:fldChar w:fldCharType="separate"/>
      </w:r>
      <w:r w:rsidR="003735CC" w:rsidRPr="00B94E5C">
        <w:t xml:space="preserve">Table </w:t>
      </w:r>
      <w:r w:rsidR="003735CC">
        <w:rPr>
          <w:noProof/>
        </w:rPr>
        <w:t>5</w:t>
      </w:r>
      <w:r>
        <w:fldChar w:fldCharType="end"/>
      </w:r>
      <w:r>
        <w:t xml:space="preserve">. Further information regarding the TGA’s risk management approach can be found in </w:t>
      </w:r>
      <w:hyperlink r:id="rId36" w:history="1">
        <w:r w:rsidRPr="0023444E">
          <w:rPr>
            <w:rStyle w:val="Hyperlink"/>
          </w:rPr>
          <w:t>risk management plans for medicines and biologicals</w:t>
        </w:r>
      </w:hyperlink>
      <w:r>
        <w:t xml:space="preserve"> and </w:t>
      </w:r>
      <w:hyperlink r:id="rId37" w:history="1">
        <w:r w:rsidRPr="0023444E">
          <w:rPr>
            <w:rStyle w:val="Hyperlink"/>
          </w:rPr>
          <w:t>the TGA's risk management approach</w:t>
        </w:r>
      </w:hyperlink>
      <w:r>
        <w:t>.</w:t>
      </w:r>
    </w:p>
    <w:p w14:paraId="423E842D" w14:textId="2D097664" w:rsidR="0048617C" w:rsidRPr="00B94E5C" w:rsidRDefault="0048617C" w:rsidP="00B94E5C">
      <w:pPr>
        <w:pStyle w:val="TableTitle"/>
      </w:pPr>
      <w:bookmarkStart w:id="48" w:name="_Ref101880939"/>
      <w:r w:rsidRPr="00B94E5C">
        <w:t xml:space="preserve">Table </w:t>
      </w:r>
      <w:r w:rsidRPr="00B94E5C">
        <w:fldChar w:fldCharType="begin"/>
      </w:r>
      <w:r w:rsidRPr="00B94E5C">
        <w:instrText>SEQ Table \* ARABIC</w:instrText>
      </w:r>
      <w:r w:rsidRPr="00B94E5C">
        <w:fldChar w:fldCharType="separate"/>
      </w:r>
      <w:r w:rsidR="003735CC">
        <w:rPr>
          <w:noProof/>
        </w:rPr>
        <w:t>5</w:t>
      </w:r>
      <w:r w:rsidRPr="00B94E5C">
        <w:fldChar w:fldCharType="end"/>
      </w:r>
      <w:bookmarkEnd w:id="48"/>
      <w:r w:rsidRPr="00B94E5C">
        <w:t xml:space="preserve">: </w:t>
      </w:r>
      <w:r w:rsidR="00E854A6" w:rsidRPr="00B94E5C">
        <w:t>S</w:t>
      </w:r>
      <w:r w:rsidRPr="00B94E5C">
        <w:t>ummary of safety concerns</w:t>
      </w:r>
    </w:p>
    <w:tbl>
      <w:tblPr>
        <w:tblStyle w:val="TableTGAblue"/>
        <w:tblW w:w="8500" w:type="dxa"/>
        <w:tblLayout w:type="fixed"/>
        <w:tblLook w:val="04A0" w:firstRow="1" w:lastRow="0" w:firstColumn="1" w:lastColumn="0" w:noHBand="0" w:noVBand="1"/>
      </w:tblPr>
      <w:tblGrid>
        <w:gridCol w:w="1327"/>
        <w:gridCol w:w="2921"/>
        <w:gridCol w:w="992"/>
        <w:gridCol w:w="1134"/>
        <w:gridCol w:w="992"/>
        <w:gridCol w:w="1134"/>
      </w:tblGrid>
      <w:tr w:rsidR="0048617C" w:rsidRPr="00BF52F4" w14:paraId="799EE1E0" w14:textId="77777777" w:rsidTr="0048617C">
        <w:trPr>
          <w:cnfStyle w:val="100000000000" w:firstRow="1" w:lastRow="0" w:firstColumn="0" w:lastColumn="0" w:oddVBand="0" w:evenVBand="0" w:oddHBand="0" w:evenHBand="0" w:firstRowFirstColumn="0" w:firstRowLastColumn="0" w:lastRowFirstColumn="0" w:lastRowLastColumn="0"/>
          <w:trHeight w:val="131"/>
        </w:trPr>
        <w:tc>
          <w:tcPr>
            <w:tcW w:w="4248" w:type="dxa"/>
            <w:gridSpan w:val="2"/>
            <w:vMerge w:val="restart"/>
            <w:tcBorders>
              <w:top w:val="single" w:sz="4" w:space="0" w:color="auto"/>
              <w:left w:val="single" w:sz="4" w:space="0" w:color="auto"/>
              <w:bottom w:val="single" w:sz="4" w:space="0" w:color="auto"/>
              <w:right w:val="single" w:sz="4" w:space="0" w:color="auto"/>
            </w:tcBorders>
          </w:tcPr>
          <w:p w14:paraId="427574B4" w14:textId="77777777" w:rsidR="0048617C" w:rsidRPr="0048617C" w:rsidRDefault="0048617C" w:rsidP="0048617C">
            <w:pPr>
              <w:pStyle w:val="Tabletext"/>
              <w:ind w:left="0" w:right="0"/>
            </w:pPr>
            <w:r w:rsidRPr="0048617C">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2F0B05D8" w14:textId="77777777" w:rsidR="0048617C" w:rsidRPr="0048617C" w:rsidRDefault="0048617C" w:rsidP="0048617C">
            <w:pPr>
              <w:pStyle w:val="Tabletext"/>
              <w:ind w:left="0" w:right="0"/>
              <w:rPr>
                <w:sz w:val="18"/>
              </w:rPr>
            </w:pPr>
            <w:r w:rsidRPr="0048617C">
              <w:rPr>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tcPr>
          <w:p w14:paraId="54EBEAE3" w14:textId="348E76EE" w:rsidR="0048617C" w:rsidRPr="0048617C" w:rsidRDefault="0048617C" w:rsidP="0048617C">
            <w:pPr>
              <w:pStyle w:val="Tabletext"/>
              <w:ind w:left="0" w:right="0"/>
              <w:rPr>
                <w:sz w:val="18"/>
              </w:rPr>
            </w:pPr>
            <w:r w:rsidRPr="0048617C">
              <w:rPr>
                <w:sz w:val="18"/>
              </w:rPr>
              <w:t xml:space="preserve">Risk </w:t>
            </w:r>
            <w:r>
              <w:rPr>
                <w:sz w:val="18"/>
              </w:rPr>
              <w:t>m</w:t>
            </w:r>
            <w:r w:rsidRPr="0048617C">
              <w:rPr>
                <w:sz w:val="18"/>
              </w:rPr>
              <w:t>inimisation</w:t>
            </w:r>
          </w:p>
        </w:tc>
      </w:tr>
      <w:tr w:rsidR="0048617C" w:rsidRPr="00BF52F4" w14:paraId="7270EA79" w14:textId="77777777" w:rsidTr="0048617C">
        <w:trPr>
          <w:trHeight w:val="150"/>
        </w:trPr>
        <w:tc>
          <w:tcPr>
            <w:tcW w:w="4248" w:type="dxa"/>
            <w:gridSpan w:val="2"/>
            <w:vMerge/>
            <w:tcBorders>
              <w:top w:val="single" w:sz="4" w:space="0" w:color="auto"/>
              <w:left w:val="single" w:sz="4" w:space="0" w:color="auto"/>
              <w:bottom w:val="single" w:sz="4" w:space="0" w:color="auto"/>
              <w:right w:val="single" w:sz="4" w:space="0" w:color="auto"/>
            </w:tcBorders>
            <w:shd w:val="clear" w:color="auto" w:fill="006DA7"/>
          </w:tcPr>
          <w:p w14:paraId="5F4C3F4A" w14:textId="77777777" w:rsidR="0048617C" w:rsidRPr="0048617C" w:rsidRDefault="0048617C" w:rsidP="0048617C">
            <w:pPr>
              <w:pStyle w:val="Tabletext"/>
              <w:ind w:left="0" w:right="0"/>
              <w:rPr>
                <w:b/>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0B24EFE6" w14:textId="77777777" w:rsidR="0048617C" w:rsidRPr="0048617C" w:rsidRDefault="0048617C" w:rsidP="0048617C">
            <w:pPr>
              <w:pStyle w:val="Tabletext"/>
              <w:ind w:left="0" w:right="0"/>
              <w:rPr>
                <w:b/>
                <w:color w:val="FFFFFF" w:themeColor="background1"/>
                <w:sz w:val="18"/>
              </w:rPr>
            </w:pPr>
            <w:r w:rsidRPr="0048617C">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23140141" w14:textId="77777777" w:rsidR="0048617C" w:rsidRPr="0048617C" w:rsidRDefault="0048617C" w:rsidP="0048617C">
            <w:pPr>
              <w:pStyle w:val="Tabletext"/>
              <w:ind w:left="0" w:right="0"/>
              <w:rPr>
                <w:b/>
                <w:color w:val="FFFFFF" w:themeColor="background1"/>
                <w:sz w:val="18"/>
              </w:rPr>
            </w:pPr>
            <w:r w:rsidRPr="0048617C">
              <w:rPr>
                <w:b/>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5180E504" w14:textId="77777777" w:rsidR="0048617C" w:rsidRPr="0048617C" w:rsidRDefault="0048617C" w:rsidP="0048617C">
            <w:pPr>
              <w:pStyle w:val="Tabletext"/>
              <w:ind w:left="0" w:right="0"/>
              <w:rPr>
                <w:b/>
                <w:color w:val="FFFFFF" w:themeColor="background1"/>
                <w:sz w:val="18"/>
              </w:rPr>
            </w:pPr>
            <w:r w:rsidRPr="0048617C">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58DEB274" w14:textId="77777777" w:rsidR="0048617C" w:rsidRPr="0048617C" w:rsidRDefault="0048617C" w:rsidP="0048617C">
            <w:pPr>
              <w:pStyle w:val="Tabletext"/>
              <w:ind w:left="0" w:right="0"/>
              <w:rPr>
                <w:b/>
                <w:color w:val="FFFFFF" w:themeColor="background1"/>
                <w:sz w:val="18"/>
              </w:rPr>
            </w:pPr>
            <w:r w:rsidRPr="0048617C">
              <w:rPr>
                <w:b/>
                <w:color w:val="FFFFFF" w:themeColor="background1"/>
                <w:sz w:val="18"/>
              </w:rPr>
              <w:t>Additional</w:t>
            </w:r>
          </w:p>
        </w:tc>
      </w:tr>
      <w:tr w:rsidR="0048617C" w:rsidRPr="00BF52F4" w14:paraId="73C56490" w14:textId="77777777" w:rsidTr="0048617C">
        <w:trPr>
          <w:trHeight w:val="862"/>
        </w:trPr>
        <w:tc>
          <w:tcPr>
            <w:tcW w:w="1327" w:type="dxa"/>
            <w:tcBorders>
              <w:top w:val="single" w:sz="4" w:space="0" w:color="auto"/>
            </w:tcBorders>
          </w:tcPr>
          <w:p w14:paraId="70E01818" w14:textId="77777777" w:rsidR="0048617C" w:rsidRPr="00AB4CD8" w:rsidRDefault="0048617C" w:rsidP="0048617C">
            <w:pPr>
              <w:pStyle w:val="Tabletext"/>
              <w:ind w:left="0" w:right="0"/>
              <w:rPr>
                <w:b/>
              </w:rPr>
            </w:pPr>
            <w:r w:rsidRPr="00AB4CD8">
              <w:rPr>
                <w:b/>
              </w:rPr>
              <w:t>Important identified risks</w:t>
            </w:r>
          </w:p>
        </w:tc>
        <w:tc>
          <w:tcPr>
            <w:tcW w:w="2921" w:type="dxa"/>
            <w:tcBorders>
              <w:top w:val="single" w:sz="4" w:space="0" w:color="auto"/>
            </w:tcBorders>
          </w:tcPr>
          <w:p w14:paraId="60093F89" w14:textId="77777777" w:rsidR="0048617C" w:rsidRPr="00AB4CD8" w:rsidRDefault="0048617C" w:rsidP="0048617C">
            <w:pPr>
              <w:pStyle w:val="Tabletext"/>
              <w:ind w:left="0" w:right="0"/>
            </w:pPr>
            <w:r w:rsidRPr="00AB4CD8">
              <w:t>None</w:t>
            </w:r>
          </w:p>
        </w:tc>
        <w:tc>
          <w:tcPr>
            <w:tcW w:w="992" w:type="dxa"/>
            <w:tcBorders>
              <w:top w:val="single" w:sz="4" w:space="0" w:color="auto"/>
            </w:tcBorders>
          </w:tcPr>
          <w:p w14:paraId="5DD75D7C" w14:textId="77777777" w:rsidR="0048617C" w:rsidRPr="00AB4CD8" w:rsidRDefault="0048617C" w:rsidP="0048617C">
            <w:pPr>
              <w:pStyle w:val="Tabletext"/>
              <w:ind w:left="0" w:right="0"/>
              <w:jc w:val="center"/>
            </w:pPr>
          </w:p>
        </w:tc>
        <w:tc>
          <w:tcPr>
            <w:tcW w:w="1134" w:type="dxa"/>
            <w:tcBorders>
              <w:top w:val="single" w:sz="4" w:space="0" w:color="auto"/>
            </w:tcBorders>
          </w:tcPr>
          <w:p w14:paraId="2A2A3B69" w14:textId="77777777" w:rsidR="0048617C" w:rsidRPr="00AB4CD8" w:rsidRDefault="0048617C" w:rsidP="0048617C">
            <w:pPr>
              <w:pStyle w:val="Tabletext"/>
              <w:ind w:left="0" w:right="0"/>
              <w:jc w:val="center"/>
            </w:pPr>
          </w:p>
        </w:tc>
        <w:tc>
          <w:tcPr>
            <w:tcW w:w="992" w:type="dxa"/>
            <w:tcBorders>
              <w:top w:val="single" w:sz="4" w:space="0" w:color="auto"/>
            </w:tcBorders>
          </w:tcPr>
          <w:p w14:paraId="3135EB0F" w14:textId="77777777" w:rsidR="0048617C" w:rsidRPr="00AB4CD8" w:rsidRDefault="0048617C" w:rsidP="0048617C">
            <w:pPr>
              <w:pStyle w:val="Tabletext"/>
              <w:ind w:left="0" w:right="0"/>
              <w:jc w:val="center"/>
            </w:pPr>
          </w:p>
        </w:tc>
        <w:tc>
          <w:tcPr>
            <w:tcW w:w="1134" w:type="dxa"/>
            <w:tcBorders>
              <w:top w:val="single" w:sz="4" w:space="0" w:color="auto"/>
            </w:tcBorders>
          </w:tcPr>
          <w:p w14:paraId="7C8775F6" w14:textId="77777777" w:rsidR="0048617C" w:rsidRPr="00AB4CD8" w:rsidRDefault="0048617C" w:rsidP="0048617C">
            <w:pPr>
              <w:pStyle w:val="Tabletext"/>
              <w:ind w:left="0" w:right="0"/>
              <w:jc w:val="center"/>
            </w:pPr>
          </w:p>
        </w:tc>
      </w:tr>
      <w:tr w:rsidR="0048617C" w:rsidRPr="00BF52F4" w14:paraId="2B51E1AA" w14:textId="77777777" w:rsidTr="0048617C">
        <w:trPr>
          <w:trHeight w:val="159"/>
        </w:trPr>
        <w:tc>
          <w:tcPr>
            <w:tcW w:w="1327" w:type="dxa"/>
            <w:vMerge w:val="restart"/>
          </w:tcPr>
          <w:p w14:paraId="76AFCE70" w14:textId="77777777" w:rsidR="0048617C" w:rsidRPr="00AB4CD8" w:rsidRDefault="0048617C" w:rsidP="0048617C">
            <w:pPr>
              <w:pStyle w:val="Tabletext"/>
              <w:ind w:left="0" w:right="0"/>
              <w:rPr>
                <w:b/>
              </w:rPr>
            </w:pPr>
            <w:bookmarkStart w:id="49" w:name="_Hlk82688875"/>
            <w:r w:rsidRPr="00AB4CD8">
              <w:rPr>
                <w:b/>
              </w:rPr>
              <w:t>Important potential risks</w:t>
            </w:r>
          </w:p>
        </w:tc>
        <w:tc>
          <w:tcPr>
            <w:tcW w:w="2921" w:type="dxa"/>
          </w:tcPr>
          <w:p w14:paraId="518F8EB4" w14:textId="4AF83CDE" w:rsidR="0048617C" w:rsidRPr="00AB4CD8" w:rsidRDefault="0048617C" w:rsidP="0048617C">
            <w:pPr>
              <w:pStyle w:val="Tabletext"/>
              <w:ind w:left="0" w:right="0"/>
            </w:pPr>
            <w:r w:rsidRPr="00AB4CD8">
              <w:t>Benign and malignant neoplasia (</w:t>
            </w:r>
            <w:r w:rsidR="00E854A6">
              <w:t>n</w:t>
            </w:r>
            <w:r w:rsidRPr="00AB4CD8">
              <w:t xml:space="preserve">ew first neoplasm, Second neoplasm in childhood cancer survivors, </w:t>
            </w:r>
            <w:r w:rsidR="004D3C8B">
              <w:t>r</w:t>
            </w:r>
            <w:r w:rsidR="004D3C8B" w:rsidRPr="00AB4CD8">
              <w:t>ecurrence,</w:t>
            </w:r>
            <w:r w:rsidRPr="00AB4CD8">
              <w:t xml:space="preserve"> or progression of a pre-existing tumour)</w:t>
            </w:r>
          </w:p>
        </w:tc>
        <w:tc>
          <w:tcPr>
            <w:tcW w:w="992" w:type="dxa"/>
          </w:tcPr>
          <w:p w14:paraId="0B627E83"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5C9C2960" w14:textId="77777777" w:rsidR="0048617C" w:rsidRPr="004D3C8B" w:rsidRDefault="0048617C" w:rsidP="0048617C">
            <w:pPr>
              <w:pStyle w:val="Tabletext"/>
              <w:ind w:left="0" w:right="0"/>
              <w:jc w:val="center"/>
            </w:pPr>
            <w:r w:rsidRPr="004D3C8B">
              <w:rPr>
                <w:rFonts w:ascii="Wingdings" w:eastAsia="Wingdings" w:hAnsi="Wingdings" w:cs="Wingdings"/>
              </w:rPr>
              <w:t></w:t>
            </w:r>
            <w:r w:rsidRPr="004D3C8B">
              <w:t>*</w:t>
            </w:r>
          </w:p>
        </w:tc>
        <w:tc>
          <w:tcPr>
            <w:tcW w:w="992" w:type="dxa"/>
          </w:tcPr>
          <w:p w14:paraId="6DEC3425"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19995B57" w14:textId="77777777" w:rsidR="0048617C" w:rsidRPr="00AB4CD8" w:rsidRDefault="0048617C" w:rsidP="0048617C">
            <w:pPr>
              <w:pStyle w:val="Tabletext"/>
              <w:ind w:left="0" w:right="0"/>
              <w:jc w:val="center"/>
            </w:pPr>
            <w:r w:rsidRPr="00AB4CD8">
              <w:t>–</w:t>
            </w:r>
          </w:p>
        </w:tc>
      </w:tr>
      <w:tr w:rsidR="0048617C" w:rsidRPr="00BF52F4" w14:paraId="76F68171" w14:textId="77777777" w:rsidTr="0048617C">
        <w:trPr>
          <w:trHeight w:val="122"/>
        </w:trPr>
        <w:tc>
          <w:tcPr>
            <w:tcW w:w="1327" w:type="dxa"/>
            <w:vMerge/>
          </w:tcPr>
          <w:p w14:paraId="7F4AEE0D" w14:textId="77777777" w:rsidR="0048617C" w:rsidRPr="00AB4CD8" w:rsidRDefault="0048617C" w:rsidP="0048617C">
            <w:pPr>
              <w:pStyle w:val="Tabletext"/>
              <w:ind w:left="0" w:right="0"/>
              <w:rPr>
                <w:b/>
              </w:rPr>
            </w:pPr>
          </w:p>
        </w:tc>
        <w:tc>
          <w:tcPr>
            <w:tcW w:w="2921" w:type="dxa"/>
          </w:tcPr>
          <w:p w14:paraId="789B6ADF" w14:textId="77777777" w:rsidR="0048617C" w:rsidRPr="00AB4CD8" w:rsidRDefault="0048617C" w:rsidP="0048617C">
            <w:pPr>
              <w:pStyle w:val="Tabletext"/>
              <w:ind w:left="0" w:right="0"/>
            </w:pPr>
            <w:r w:rsidRPr="00AB4CD8">
              <w:t>Diabetes mellitus type 2</w:t>
            </w:r>
          </w:p>
        </w:tc>
        <w:tc>
          <w:tcPr>
            <w:tcW w:w="992" w:type="dxa"/>
          </w:tcPr>
          <w:p w14:paraId="7D5FDA7B"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614D890F" w14:textId="77777777" w:rsidR="0048617C" w:rsidRPr="004D3C8B" w:rsidRDefault="0048617C" w:rsidP="0048617C">
            <w:pPr>
              <w:pStyle w:val="Tabletext"/>
              <w:ind w:left="0" w:right="0"/>
              <w:jc w:val="center"/>
            </w:pPr>
            <w:r w:rsidRPr="004D3C8B">
              <w:rPr>
                <w:rFonts w:ascii="Wingdings" w:eastAsia="Wingdings" w:hAnsi="Wingdings" w:cs="Wingdings"/>
              </w:rPr>
              <w:t></w:t>
            </w:r>
            <w:r w:rsidRPr="004D3C8B">
              <w:t>*</w:t>
            </w:r>
          </w:p>
        </w:tc>
        <w:tc>
          <w:tcPr>
            <w:tcW w:w="992" w:type="dxa"/>
          </w:tcPr>
          <w:p w14:paraId="768FDF56"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0877CCBF" w14:textId="77777777" w:rsidR="0048617C" w:rsidRPr="00AB4CD8" w:rsidRDefault="0048617C" w:rsidP="0048617C">
            <w:pPr>
              <w:pStyle w:val="Tabletext"/>
              <w:ind w:left="0" w:right="0"/>
              <w:jc w:val="center"/>
            </w:pPr>
            <w:r w:rsidRPr="00AB4CD8">
              <w:t>–</w:t>
            </w:r>
          </w:p>
        </w:tc>
      </w:tr>
      <w:tr w:rsidR="0048617C" w:rsidRPr="00BF52F4" w14:paraId="43D98347" w14:textId="77777777" w:rsidTr="0048617C">
        <w:trPr>
          <w:trHeight w:val="122"/>
        </w:trPr>
        <w:tc>
          <w:tcPr>
            <w:tcW w:w="1327" w:type="dxa"/>
            <w:vMerge/>
          </w:tcPr>
          <w:p w14:paraId="69D0C5E2" w14:textId="77777777" w:rsidR="0048617C" w:rsidRPr="00AB4CD8" w:rsidRDefault="0048617C" w:rsidP="0048617C">
            <w:pPr>
              <w:pStyle w:val="Tabletext"/>
              <w:ind w:left="0" w:right="0"/>
              <w:rPr>
                <w:b/>
              </w:rPr>
            </w:pPr>
          </w:p>
        </w:tc>
        <w:tc>
          <w:tcPr>
            <w:tcW w:w="2921" w:type="dxa"/>
          </w:tcPr>
          <w:p w14:paraId="0944566E" w14:textId="77777777" w:rsidR="0048617C" w:rsidRPr="00AB4CD8" w:rsidRDefault="0048617C" w:rsidP="0048617C">
            <w:pPr>
              <w:pStyle w:val="Tabletext"/>
              <w:ind w:left="0" w:right="0"/>
            </w:pPr>
            <w:r w:rsidRPr="00AB4CD8">
              <w:t>Medication errors (resulting in under or overdosing of this long-acting formulation)</w:t>
            </w:r>
          </w:p>
        </w:tc>
        <w:tc>
          <w:tcPr>
            <w:tcW w:w="992" w:type="dxa"/>
          </w:tcPr>
          <w:p w14:paraId="1DB47FF2"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309D336B" w14:textId="77777777" w:rsidR="0048617C" w:rsidRPr="004D3C8B" w:rsidRDefault="0048617C" w:rsidP="0048617C">
            <w:pPr>
              <w:pStyle w:val="Tabletext"/>
              <w:ind w:left="0" w:right="0"/>
              <w:jc w:val="center"/>
            </w:pPr>
            <w:r w:rsidRPr="004D3C8B">
              <w:rPr>
                <w:rFonts w:ascii="Wingdings" w:eastAsia="Wingdings" w:hAnsi="Wingdings" w:cs="Wingdings"/>
              </w:rPr>
              <w:t></w:t>
            </w:r>
            <w:r w:rsidRPr="004D3C8B">
              <w:t>*</w:t>
            </w:r>
          </w:p>
        </w:tc>
        <w:tc>
          <w:tcPr>
            <w:tcW w:w="992" w:type="dxa"/>
          </w:tcPr>
          <w:p w14:paraId="19CA54CF"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1134" w:type="dxa"/>
          </w:tcPr>
          <w:p w14:paraId="022440E0" w14:textId="77777777" w:rsidR="0048617C" w:rsidRPr="00AB4CD8" w:rsidRDefault="0048617C" w:rsidP="0048617C">
            <w:pPr>
              <w:pStyle w:val="Tabletext"/>
              <w:ind w:left="0" w:right="0"/>
              <w:jc w:val="center"/>
            </w:pPr>
            <w:r w:rsidRPr="00AB4CD8">
              <w:t>–</w:t>
            </w:r>
          </w:p>
        </w:tc>
      </w:tr>
      <w:tr w:rsidR="0048617C" w:rsidRPr="00BF52F4" w14:paraId="0C20662F" w14:textId="77777777" w:rsidTr="00C66833">
        <w:trPr>
          <w:cantSplit/>
          <w:trHeight w:val="112"/>
        </w:trPr>
        <w:tc>
          <w:tcPr>
            <w:tcW w:w="0" w:type="dxa"/>
            <w:vMerge/>
          </w:tcPr>
          <w:p w14:paraId="0A8E1397" w14:textId="77777777" w:rsidR="0048617C" w:rsidRPr="00AB4CD8" w:rsidRDefault="0048617C" w:rsidP="0048617C">
            <w:pPr>
              <w:pStyle w:val="Tabletext"/>
              <w:ind w:left="0" w:right="0"/>
              <w:rPr>
                <w:b/>
              </w:rPr>
            </w:pPr>
          </w:p>
        </w:tc>
        <w:tc>
          <w:tcPr>
            <w:tcW w:w="0" w:type="dxa"/>
          </w:tcPr>
          <w:p w14:paraId="07923557" w14:textId="37C92755" w:rsidR="0048617C" w:rsidRPr="00AB4CD8" w:rsidRDefault="0048617C" w:rsidP="0048617C">
            <w:pPr>
              <w:pStyle w:val="Tabletext"/>
              <w:ind w:left="0" w:right="0"/>
            </w:pPr>
            <w:r w:rsidRPr="00AB4CD8">
              <w:t>Immunogenicity specifically related to long</w:t>
            </w:r>
            <w:r w:rsidR="00AB45C2">
              <w:t>-</w:t>
            </w:r>
            <w:r w:rsidRPr="00AB4CD8">
              <w:t>term clinical impact on lack of efficacy and safety occurring after 2 years of treatment</w:t>
            </w:r>
          </w:p>
        </w:tc>
        <w:tc>
          <w:tcPr>
            <w:tcW w:w="0" w:type="dxa"/>
          </w:tcPr>
          <w:p w14:paraId="0F1507E6"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0" w:type="dxa"/>
          </w:tcPr>
          <w:p w14:paraId="34DCCC5C" w14:textId="77777777" w:rsidR="0048617C" w:rsidRPr="004D3C8B" w:rsidRDefault="0048617C" w:rsidP="0048617C">
            <w:pPr>
              <w:pStyle w:val="Tabletext"/>
              <w:ind w:left="0" w:right="0"/>
              <w:jc w:val="center"/>
            </w:pPr>
            <w:r w:rsidRPr="004D3C8B">
              <w:rPr>
                <w:rFonts w:ascii="Wingdings" w:eastAsia="Wingdings" w:hAnsi="Wingdings" w:cs="Wingdings"/>
              </w:rPr>
              <w:t></w:t>
            </w:r>
            <w:r w:rsidRPr="004D3C8B">
              <w:t>*</w:t>
            </w:r>
          </w:p>
        </w:tc>
        <w:tc>
          <w:tcPr>
            <w:tcW w:w="0" w:type="dxa"/>
          </w:tcPr>
          <w:p w14:paraId="1598BC0B" w14:textId="77777777" w:rsidR="0048617C" w:rsidRPr="00AB4CD8" w:rsidRDefault="0048617C" w:rsidP="0048617C">
            <w:pPr>
              <w:pStyle w:val="Tabletext"/>
              <w:ind w:left="0" w:right="0"/>
              <w:jc w:val="center"/>
            </w:pPr>
            <w:r w:rsidRPr="00AB4CD8">
              <w:rPr>
                <w:rFonts w:ascii="Wingdings" w:eastAsia="Wingdings" w:hAnsi="Wingdings" w:cs="Wingdings"/>
              </w:rPr>
              <w:t></w:t>
            </w:r>
          </w:p>
        </w:tc>
        <w:tc>
          <w:tcPr>
            <w:tcW w:w="0" w:type="dxa"/>
          </w:tcPr>
          <w:p w14:paraId="1F72A493" w14:textId="77777777" w:rsidR="0048617C" w:rsidRPr="00AB4CD8" w:rsidRDefault="0048617C" w:rsidP="0048617C">
            <w:pPr>
              <w:pStyle w:val="Tabletext"/>
              <w:ind w:left="0" w:right="0"/>
              <w:jc w:val="center"/>
            </w:pPr>
            <w:r w:rsidRPr="00AB4CD8">
              <w:t>–</w:t>
            </w:r>
          </w:p>
        </w:tc>
      </w:tr>
      <w:bookmarkEnd w:id="49"/>
      <w:tr w:rsidR="0048617C" w:rsidRPr="00BF52F4" w14:paraId="7DCB37E3" w14:textId="77777777" w:rsidTr="0048617C">
        <w:trPr>
          <w:trHeight w:val="592"/>
        </w:trPr>
        <w:tc>
          <w:tcPr>
            <w:tcW w:w="1327" w:type="dxa"/>
          </w:tcPr>
          <w:p w14:paraId="51FCD730" w14:textId="77777777" w:rsidR="0048617C" w:rsidRPr="00AB4CD8" w:rsidRDefault="0048617C" w:rsidP="0048617C">
            <w:pPr>
              <w:pStyle w:val="Tabletext"/>
              <w:ind w:left="0" w:right="0"/>
              <w:rPr>
                <w:b/>
              </w:rPr>
            </w:pPr>
            <w:r w:rsidRPr="00AB4CD8">
              <w:rPr>
                <w:b/>
              </w:rPr>
              <w:t>Missing information</w:t>
            </w:r>
          </w:p>
        </w:tc>
        <w:tc>
          <w:tcPr>
            <w:tcW w:w="2921" w:type="dxa"/>
          </w:tcPr>
          <w:p w14:paraId="6BD83C87" w14:textId="77777777" w:rsidR="0048617C" w:rsidRPr="00AB4CD8" w:rsidRDefault="0048617C" w:rsidP="0048617C">
            <w:pPr>
              <w:pStyle w:val="Tabletext"/>
              <w:ind w:left="0" w:right="0"/>
            </w:pPr>
            <w:r w:rsidRPr="00AB4CD8">
              <w:t>None</w:t>
            </w:r>
          </w:p>
        </w:tc>
        <w:tc>
          <w:tcPr>
            <w:tcW w:w="992" w:type="dxa"/>
          </w:tcPr>
          <w:p w14:paraId="6196FD0E" w14:textId="77777777" w:rsidR="0048617C" w:rsidRPr="00AB4CD8" w:rsidRDefault="0048617C" w:rsidP="0048617C">
            <w:pPr>
              <w:pStyle w:val="Tabletext"/>
              <w:ind w:left="0" w:right="0"/>
              <w:jc w:val="center"/>
            </w:pPr>
          </w:p>
        </w:tc>
        <w:tc>
          <w:tcPr>
            <w:tcW w:w="1134" w:type="dxa"/>
          </w:tcPr>
          <w:p w14:paraId="7876DF38" w14:textId="77777777" w:rsidR="0048617C" w:rsidRPr="00AB4CD8" w:rsidRDefault="0048617C" w:rsidP="0048617C">
            <w:pPr>
              <w:pStyle w:val="Tabletext"/>
              <w:ind w:left="0" w:right="0"/>
              <w:jc w:val="center"/>
            </w:pPr>
          </w:p>
        </w:tc>
        <w:tc>
          <w:tcPr>
            <w:tcW w:w="992" w:type="dxa"/>
          </w:tcPr>
          <w:p w14:paraId="035E5F15" w14:textId="77777777" w:rsidR="0048617C" w:rsidRPr="00AB4CD8" w:rsidRDefault="0048617C" w:rsidP="0048617C">
            <w:pPr>
              <w:pStyle w:val="Tabletext"/>
              <w:ind w:left="0" w:right="0"/>
              <w:jc w:val="center"/>
            </w:pPr>
          </w:p>
        </w:tc>
        <w:tc>
          <w:tcPr>
            <w:tcW w:w="1134" w:type="dxa"/>
          </w:tcPr>
          <w:p w14:paraId="5672664B" w14:textId="77777777" w:rsidR="0048617C" w:rsidRPr="00AB4CD8" w:rsidRDefault="0048617C" w:rsidP="0048617C">
            <w:pPr>
              <w:pStyle w:val="Tabletext"/>
              <w:ind w:left="0" w:right="0"/>
              <w:jc w:val="center"/>
            </w:pPr>
          </w:p>
        </w:tc>
      </w:tr>
    </w:tbl>
    <w:p w14:paraId="782C0E33" w14:textId="7C4F5731" w:rsidR="0048617C" w:rsidRPr="00E854A6" w:rsidRDefault="0048617C" w:rsidP="00E854A6">
      <w:pPr>
        <w:pStyle w:val="TableDescription"/>
      </w:pPr>
      <w:r w:rsidRPr="00E854A6">
        <w:t xml:space="preserve">* </w:t>
      </w:r>
      <w:r w:rsidR="000843F9" w:rsidRPr="000843F9">
        <w:t>Post-authorisation safety studies (</w:t>
      </w:r>
      <w:r w:rsidRPr="000843F9">
        <w:t>PASS</w:t>
      </w:r>
      <w:r w:rsidR="000843F9" w:rsidRPr="000843F9">
        <w:t>)</w:t>
      </w:r>
    </w:p>
    <w:p w14:paraId="4D29BBC7" w14:textId="4AA9D936" w:rsidR="0048617C" w:rsidRPr="00AB4CD8" w:rsidRDefault="0048617C" w:rsidP="0048617C">
      <w:pPr>
        <w:pStyle w:val="ListBullet"/>
      </w:pPr>
      <w:r w:rsidRPr="00AB4CD8">
        <w:t>The sponsor is requested to add ‘</w:t>
      </w:r>
      <w:r w:rsidRPr="00E854A6">
        <w:rPr>
          <w:i/>
          <w:iCs/>
        </w:rPr>
        <w:t>injection site reactions</w:t>
      </w:r>
      <w:r w:rsidRPr="00AB4CD8">
        <w:t>’ as an important potential risk, and ‘</w:t>
      </w:r>
      <w:r w:rsidRPr="00E854A6">
        <w:rPr>
          <w:i/>
          <w:iCs/>
        </w:rPr>
        <w:t>hypersensitivity’</w:t>
      </w:r>
      <w:r w:rsidRPr="00AB4CD8">
        <w:t xml:space="preserve"> and ‘</w:t>
      </w:r>
      <w:r w:rsidRPr="00E854A6">
        <w:rPr>
          <w:i/>
          <w:iCs/>
        </w:rPr>
        <w:t>medication error</w:t>
      </w:r>
      <w:r w:rsidRPr="00AB4CD8">
        <w:t xml:space="preserve">’ as missing information in the summary of safety concerns. At </w:t>
      </w:r>
      <w:r w:rsidR="00E854A6">
        <w:t>the second round of evaluation,</w:t>
      </w:r>
      <w:r w:rsidRPr="00AB4CD8">
        <w:t xml:space="preserve"> the sponsor has added the following important potential risks:</w:t>
      </w:r>
    </w:p>
    <w:p w14:paraId="5515A7DE" w14:textId="6BDAC6D2" w:rsidR="0048617C" w:rsidRPr="0048617C" w:rsidRDefault="0048617C" w:rsidP="0048617C">
      <w:pPr>
        <w:pStyle w:val="ListBullet2"/>
      </w:pPr>
      <w:r w:rsidRPr="0048617C">
        <w:t>Benign and malignant neoplasia (</w:t>
      </w:r>
      <w:r w:rsidR="00E854A6">
        <w:t>n</w:t>
      </w:r>
      <w:r w:rsidRPr="0048617C">
        <w:t xml:space="preserve">ew first neoplasm, </w:t>
      </w:r>
      <w:r w:rsidR="00E854A6">
        <w:t>s</w:t>
      </w:r>
      <w:r w:rsidRPr="0048617C">
        <w:t xml:space="preserve">econd neoplasm in childhood cancer survivors, </w:t>
      </w:r>
      <w:proofErr w:type="gramStart"/>
      <w:r w:rsidR="00E854A6">
        <w:t>r</w:t>
      </w:r>
      <w:r w:rsidRPr="0048617C">
        <w:t>ecurrence</w:t>
      </w:r>
      <w:proofErr w:type="gramEnd"/>
      <w:r w:rsidRPr="0048617C">
        <w:t xml:space="preserve"> or progression of a pre-existing tumour)</w:t>
      </w:r>
    </w:p>
    <w:p w14:paraId="3AD5E30A" w14:textId="77777777" w:rsidR="0048617C" w:rsidRPr="0048617C" w:rsidRDefault="0048617C" w:rsidP="0048617C">
      <w:pPr>
        <w:pStyle w:val="ListBullet2"/>
      </w:pPr>
      <w:r w:rsidRPr="0048617C">
        <w:t>Diabetes mellitus type 2</w:t>
      </w:r>
    </w:p>
    <w:p w14:paraId="3A73C5FC" w14:textId="77777777" w:rsidR="0048617C" w:rsidRPr="0048617C" w:rsidRDefault="0048617C" w:rsidP="0048617C">
      <w:pPr>
        <w:pStyle w:val="ListBullet2"/>
      </w:pPr>
      <w:r w:rsidRPr="0048617C">
        <w:t>Medication errors (resulting in under or overdosing of this long-acting formulation)</w:t>
      </w:r>
    </w:p>
    <w:p w14:paraId="067F15BD" w14:textId="2442263F" w:rsidR="0048617C" w:rsidRPr="0048617C" w:rsidRDefault="0048617C" w:rsidP="0048617C">
      <w:pPr>
        <w:pStyle w:val="ListBullet2"/>
      </w:pPr>
      <w:r w:rsidRPr="0048617C">
        <w:t>Immunogenicity specifically related to long</w:t>
      </w:r>
      <w:r w:rsidR="00AB45C2">
        <w:t>-</w:t>
      </w:r>
      <w:r w:rsidRPr="0048617C">
        <w:t>term clinical impact on lack of efficacy and safety occurring after 2 years of treatment</w:t>
      </w:r>
    </w:p>
    <w:p w14:paraId="5471A82F" w14:textId="77777777" w:rsidR="0048617C" w:rsidRPr="00AB4CD8" w:rsidRDefault="0048617C" w:rsidP="0048617C">
      <w:pPr>
        <w:pStyle w:val="ListBullet"/>
        <w:numPr>
          <w:ilvl w:val="0"/>
          <w:numId w:val="0"/>
        </w:numPr>
        <w:ind w:left="360"/>
      </w:pPr>
      <w:r w:rsidRPr="00AB4CD8">
        <w:t>Routine risk minimisation is considered adequate to cover the risk of injection site reactions and hypersensitivity has been incorporated into the immunogenicity safety concern. Medication error has been added to the summary of safety concerns. The summary of safety concerns is acceptable from an RMP perspective.</w:t>
      </w:r>
    </w:p>
    <w:p w14:paraId="274DF994" w14:textId="12DDB94B" w:rsidR="0048617C" w:rsidRPr="0048617C" w:rsidRDefault="0048617C" w:rsidP="0048617C">
      <w:pPr>
        <w:pStyle w:val="ListBullet"/>
      </w:pPr>
      <w:r w:rsidRPr="0048617C">
        <w:t xml:space="preserve">Routine pharmacovigilance is proposed for all safety concerns. Additional pharmacovigilance for all safety concerns is proposed at round 2. The sponsor has referenced the EU-RMP </w:t>
      </w:r>
      <w:r w:rsidR="000843F9">
        <w:t>p</w:t>
      </w:r>
      <w:r w:rsidR="000843F9" w:rsidRPr="000843F9">
        <w:t>ost-authorisation safety studies</w:t>
      </w:r>
      <w:r w:rsidRPr="0048617C">
        <w:t xml:space="preserve"> in the </w:t>
      </w:r>
      <w:proofErr w:type="gramStart"/>
      <w:r w:rsidRPr="0048617C">
        <w:t>ASA, and</w:t>
      </w:r>
      <w:proofErr w:type="gramEnd"/>
      <w:r w:rsidRPr="0048617C">
        <w:t xml:space="preserve"> should include these studies in the table of additional pharmacovigilance activities in the next RMP update. The pharmacovigilance plan is acceptable.</w:t>
      </w:r>
    </w:p>
    <w:p w14:paraId="756C68D2" w14:textId="37ADF93F" w:rsidR="0048617C" w:rsidRPr="0048617C" w:rsidRDefault="0048617C" w:rsidP="0048617C">
      <w:pPr>
        <w:pStyle w:val="ListBullet"/>
      </w:pPr>
      <w:r w:rsidRPr="0048617C">
        <w:t xml:space="preserve">Routine risk minimisation is proposed for all safety concerns. It is anticipated that routine risk minimisation will be adequate to manage the requested safety concerns. At </w:t>
      </w:r>
      <w:r w:rsidR="00E854A6">
        <w:t xml:space="preserve">the second </w:t>
      </w:r>
      <w:r w:rsidRPr="0048617C">
        <w:t xml:space="preserve">round </w:t>
      </w:r>
      <w:r w:rsidR="00E854A6">
        <w:t>of evaluation,</w:t>
      </w:r>
      <w:r w:rsidRPr="0048617C">
        <w:t xml:space="preserve"> the sponsor confirmed that the </w:t>
      </w:r>
      <w:r w:rsidR="000843F9" w:rsidRPr="000843F9">
        <w:t>Consumer Medicines Information (</w:t>
      </w:r>
      <w:r w:rsidRPr="000843F9">
        <w:t>CMI</w:t>
      </w:r>
      <w:r w:rsidR="000843F9" w:rsidRPr="000843F9">
        <w:t>)</w:t>
      </w:r>
      <w:r w:rsidRPr="000843F9">
        <w:t>,</w:t>
      </w:r>
      <w:r w:rsidRPr="0048617C">
        <w:t xml:space="preserve"> PI and </w:t>
      </w:r>
      <w:r w:rsidR="000843F9" w:rsidRPr="00B37DEF">
        <w:t>Instructions for Use (</w:t>
      </w:r>
      <w:r w:rsidRPr="00B37DEF">
        <w:t>IFU</w:t>
      </w:r>
      <w:r w:rsidR="000843F9" w:rsidRPr="00B37DEF">
        <w:t>)</w:t>
      </w:r>
      <w:r w:rsidRPr="0048617C">
        <w:t xml:space="preserve"> will be included in the product packaging. At </w:t>
      </w:r>
      <w:r w:rsidR="00E854A6">
        <w:t xml:space="preserve">the third </w:t>
      </w:r>
      <w:r w:rsidR="00E854A6" w:rsidRPr="0048617C">
        <w:t xml:space="preserve">round </w:t>
      </w:r>
      <w:r w:rsidR="00E854A6">
        <w:t>of evaluation,</w:t>
      </w:r>
      <w:r w:rsidRPr="0048617C">
        <w:t xml:space="preserve"> the CMI and IFU have been revised as requested and the risk minimisation plan is acceptable.</w:t>
      </w:r>
    </w:p>
    <w:p w14:paraId="4527B45A" w14:textId="77777777" w:rsidR="008E7846" w:rsidRDefault="00AA0ED0" w:rsidP="008E7846">
      <w:pPr>
        <w:pStyle w:val="Heading3"/>
      </w:pPr>
      <w:bookmarkStart w:id="50" w:name="_Toc247691531"/>
      <w:bookmarkStart w:id="51" w:name="_Toc314842515"/>
      <w:bookmarkStart w:id="52" w:name="_Toc124495270"/>
      <w:bookmarkStart w:id="53" w:name="_Toc196046505"/>
      <w:bookmarkStart w:id="54" w:name="_Toc196046949"/>
      <w:r>
        <w:t>Risk-benefit a</w:t>
      </w:r>
      <w:r w:rsidR="008E7846">
        <w:t>nalysis</w:t>
      </w:r>
      <w:bookmarkEnd w:id="50"/>
      <w:bookmarkEnd w:id="51"/>
      <w:bookmarkEnd w:id="52"/>
    </w:p>
    <w:p w14:paraId="1F3EA7CE" w14:textId="77777777" w:rsidR="00D23139" w:rsidRDefault="007D53B6" w:rsidP="00D23139">
      <w:pPr>
        <w:pStyle w:val="Heading4"/>
      </w:pPr>
      <w:r>
        <w:t>Delegate’s considerations</w:t>
      </w:r>
    </w:p>
    <w:p w14:paraId="7BAB869E" w14:textId="574C209B" w:rsidR="00041159" w:rsidRPr="00041159" w:rsidRDefault="00041159" w:rsidP="00041159">
      <w:r w:rsidRPr="00041159">
        <w:t xml:space="preserve">The sponsor has submitted an application to register a new </w:t>
      </w:r>
      <w:proofErr w:type="gramStart"/>
      <w:r w:rsidRPr="00041159">
        <w:t>long acting</w:t>
      </w:r>
      <w:proofErr w:type="gramEnd"/>
      <w:r w:rsidRPr="00041159">
        <w:t xml:space="preserve"> </w:t>
      </w:r>
      <w:r w:rsidR="00AF04FE">
        <w:t>growth hormone</w:t>
      </w:r>
      <w:r w:rsidRPr="00041159">
        <w:t xml:space="preserve"> preparation for the treatment of </w:t>
      </w:r>
      <w:r w:rsidR="00AF04FE">
        <w:t>growth hormone</w:t>
      </w:r>
      <w:r w:rsidRPr="00041159">
        <w:t xml:space="preserve"> deficiency in children. This medicine has not been previously registered in other jurisdictions.</w:t>
      </w:r>
    </w:p>
    <w:p w14:paraId="7E584C29" w14:textId="6CB06E68" w:rsidR="00041159" w:rsidRPr="00041159" w:rsidRDefault="00041159" w:rsidP="00041159">
      <w:r w:rsidRPr="00041159">
        <w:lastRenderedPageBreak/>
        <w:t>The clinical trial in support of this application enrolled children 3 years of age</w:t>
      </w:r>
      <w:r w:rsidR="0043666B">
        <w:t xml:space="preserve"> and over</w:t>
      </w:r>
      <w:r w:rsidRPr="00041159">
        <w:t xml:space="preserve"> with growth hormone deficiency, either congenital or acquired. There is very little data available to describe efficacy in puberty. The sponsor in not proposing to register this product in adults.</w:t>
      </w:r>
    </w:p>
    <w:p w14:paraId="1C6ECF56" w14:textId="14CE9BBD" w:rsidR="00041159" w:rsidRDefault="00041159" w:rsidP="00041159">
      <w:r w:rsidRPr="00041159">
        <w:t xml:space="preserve">The clinical trials showed comparable efficacy to </w:t>
      </w:r>
      <w:r w:rsidR="00B26522" w:rsidRPr="00041159">
        <w:t xml:space="preserve">Genotropin </w:t>
      </w:r>
      <w:r w:rsidR="00F46817">
        <w:t>(recombinant human growth hormone (</w:t>
      </w:r>
      <w:proofErr w:type="spellStart"/>
      <w:r w:rsidR="00F46817">
        <w:t>rhGH</w:t>
      </w:r>
      <w:proofErr w:type="spellEnd"/>
      <w:r w:rsidR="00F46817">
        <w:t xml:space="preserve">)/somatropin) </w:t>
      </w:r>
      <w:r w:rsidRPr="00041159">
        <w:t>at a dose of 0.034</w:t>
      </w:r>
      <w:r w:rsidR="00E854A6">
        <w:t> </w:t>
      </w:r>
      <w:r w:rsidRPr="00041159">
        <w:t>mg/kg/day. This is equivalent to a weekly dose on 5.6</w:t>
      </w:r>
      <w:r w:rsidR="00E854A6">
        <w:t> </w:t>
      </w:r>
      <w:r w:rsidRPr="00041159">
        <w:t>mg/m</w:t>
      </w:r>
      <w:r w:rsidRPr="00E854A6">
        <w:rPr>
          <w:vertAlign w:val="superscript"/>
        </w:rPr>
        <w:t>2</w:t>
      </w:r>
      <w:r w:rsidRPr="00041159">
        <w:t xml:space="preserve">/week. In the clinical study, around 10% of patients developed an IGF-1 level above the target range and this resulted in a dose reduction. The rate of increased IGF-1 levels increased with increased duration of treatment. In the clinical trials there were more local adverse effects in the somatrogon than the </w:t>
      </w:r>
      <w:r w:rsidR="00B26522" w:rsidRPr="00041159">
        <w:t xml:space="preserve">Genotropin </w:t>
      </w:r>
      <w:r w:rsidRPr="00041159">
        <w:t>group. These were generally mild to moderate. There were similar number of participants drop out of the study in this group.</w:t>
      </w:r>
    </w:p>
    <w:p w14:paraId="6214D541" w14:textId="6744C14D" w:rsidR="00041159" w:rsidRPr="00796D1C" w:rsidRDefault="00041159" w:rsidP="00796D1C">
      <w:pPr>
        <w:rPr>
          <w:highlight w:val="green"/>
        </w:rPr>
      </w:pPr>
      <w:r w:rsidRPr="00796D1C">
        <w:t xml:space="preserve">At this time, there is limited safety data in subjects over 12 years of age since the somatrogon development program evaluated height and growth in subjects between the ages of 3 and </w:t>
      </w:r>
      <w:r w:rsidR="00A92382" w:rsidRPr="00796D1C">
        <w:t>1</w:t>
      </w:r>
      <w:r w:rsidR="00A92382">
        <w:t>0</w:t>
      </w:r>
      <w:r w:rsidR="00F46817">
        <w:t xml:space="preserve"> years (</w:t>
      </w:r>
      <w:r w:rsidRPr="00796D1C">
        <w:t>for girls</w:t>
      </w:r>
      <w:r w:rsidR="00F46817">
        <w:t>)</w:t>
      </w:r>
      <w:r w:rsidRPr="00796D1C">
        <w:t xml:space="preserve">, and 3 and </w:t>
      </w:r>
      <w:r w:rsidR="00A92382" w:rsidRPr="00796D1C">
        <w:t>1</w:t>
      </w:r>
      <w:r w:rsidR="00A92382">
        <w:t>1</w:t>
      </w:r>
      <w:r w:rsidR="00F46817">
        <w:t xml:space="preserve"> years</w:t>
      </w:r>
      <w:r w:rsidRPr="00796D1C">
        <w:t xml:space="preserve"> </w:t>
      </w:r>
      <w:r w:rsidR="00F46817">
        <w:t>(</w:t>
      </w:r>
      <w:r w:rsidRPr="00796D1C">
        <w:t>for boys</w:t>
      </w:r>
      <w:r w:rsidR="00F46817">
        <w:t>)</w:t>
      </w:r>
      <w:r w:rsidRPr="00796D1C">
        <w:t xml:space="preserve">. In </w:t>
      </w:r>
      <w:r w:rsidR="00E854A6" w:rsidRPr="00796D1C">
        <w:t xml:space="preserve">Studies </w:t>
      </w:r>
      <w:r w:rsidRPr="00796D1C">
        <w:t xml:space="preserve">CP-4-004 and CP-4-006, subjects at </w:t>
      </w:r>
      <w:r w:rsidR="00FA28EE" w:rsidRPr="00796D1C">
        <w:t>Baseline</w:t>
      </w:r>
      <w:r w:rsidRPr="00796D1C">
        <w:t xml:space="preserve"> were prepubertal. Data from </w:t>
      </w:r>
      <w:r w:rsidR="00E854A6" w:rsidRPr="00796D1C">
        <w:t>S</w:t>
      </w:r>
      <w:r w:rsidRPr="00796D1C">
        <w:t>tudy CP-4-004</w:t>
      </w:r>
      <w:r w:rsidR="00E854A6" w:rsidRPr="00796D1C">
        <w:t xml:space="preserve"> </w:t>
      </w:r>
      <w:r w:rsidR="00796D1C">
        <w:t>s</w:t>
      </w:r>
      <w:r w:rsidR="00E854A6" w:rsidRPr="00796D1C">
        <w:t>u</w:t>
      </w:r>
      <w:r w:rsidRPr="00796D1C">
        <w:t>ggests</w:t>
      </w:r>
      <w:r w:rsidR="00796D1C">
        <w:t xml:space="preserve"> </w:t>
      </w:r>
      <w:r w:rsidRPr="00796D1C">
        <w:t>that</w:t>
      </w:r>
      <w:r w:rsidR="00796D1C">
        <w:t xml:space="preserve"> </w:t>
      </w:r>
      <w:r w:rsidRPr="00796D1C">
        <w:t>somatrogon</w:t>
      </w:r>
      <w:r w:rsidR="00796D1C">
        <w:t xml:space="preserve"> </w:t>
      </w:r>
      <w:r w:rsidRPr="00796D1C">
        <w:t>administered once weekly at a dose of 0.66 mg/kg/week is safe through 6</w:t>
      </w:r>
      <w:r w:rsidR="001E4C43">
        <w:t> </w:t>
      </w:r>
      <w:r w:rsidRPr="00796D1C">
        <w:t xml:space="preserve">years of treatment in subjects of adolescent age who have been treated throughout puberty; however, interpretation of the results </w:t>
      </w:r>
      <w:r w:rsidR="00E854A6" w:rsidRPr="00796D1C">
        <w:t>is</w:t>
      </w:r>
      <w:r w:rsidRPr="00796D1C">
        <w:t xml:space="preserve"> limited by the small sample size with only 14 patients in the 0.66 mg/kg/week somatrogon cohort.  Review of data regarding luteini</w:t>
      </w:r>
      <w:r w:rsidR="00FA28EE" w:rsidRPr="00796D1C">
        <w:t>s</w:t>
      </w:r>
      <w:r w:rsidRPr="00796D1C">
        <w:t>ing hormone, follicle</w:t>
      </w:r>
      <w:r w:rsidR="00B37DEF" w:rsidRPr="00796D1C">
        <w:t xml:space="preserve"> </w:t>
      </w:r>
      <w:r w:rsidRPr="00796D1C">
        <w:t xml:space="preserve">stimulating hormone and testosterone levels in males 13 years and older, and </w:t>
      </w:r>
      <w:r w:rsidR="00B37DEF" w:rsidRPr="00796D1C">
        <w:t>luteinising hormone</w:t>
      </w:r>
      <w:r w:rsidRPr="00796D1C">
        <w:t xml:space="preserve">, </w:t>
      </w:r>
      <w:r w:rsidR="00B37DEF" w:rsidRPr="00796D1C">
        <w:t xml:space="preserve">follicle stimulating hormone </w:t>
      </w:r>
      <w:r w:rsidRPr="00796D1C">
        <w:t>and estradiol data in females 12 years and older for Study CP-4-006 showed no clinically meaningful differences in pubertal development that would be of concern. The safety of somatrogon in patients aged 12 to under 18 years of age will continue to be characteri</w:t>
      </w:r>
      <w:r w:rsidR="00FA28EE" w:rsidRPr="00796D1C">
        <w:t>s</w:t>
      </w:r>
      <w:r w:rsidRPr="00796D1C">
        <w:t>ed post-authori</w:t>
      </w:r>
      <w:r w:rsidR="00FA28EE" w:rsidRPr="00796D1C">
        <w:t>s</w:t>
      </w:r>
      <w:r w:rsidRPr="00796D1C">
        <w:t xml:space="preserve">ation </w:t>
      </w:r>
      <w:r w:rsidR="00A92382">
        <w:t xml:space="preserve">in the open label extension </w:t>
      </w:r>
      <w:r w:rsidR="00F46817">
        <w:t xml:space="preserve">period of </w:t>
      </w:r>
      <w:r w:rsidR="008D7844">
        <w:t>S</w:t>
      </w:r>
      <w:r w:rsidR="00A92382">
        <w:t>tudy</w:t>
      </w:r>
      <w:r w:rsidR="008D7844">
        <w:t xml:space="preserve"> CP-4-006</w:t>
      </w:r>
      <w:r w:rsidRPr="00796D1C">
        <w:t>.</w:t>
      </w:r>
    </w:p>
    <w:p w14:paraId="54461599" w14:textId="60AFA4F9" w:rsidR="00041159" w:rsidRPr="00041159" w:rsidRDefault="00041159" w:rsidP="00041159">
      <w:r w:rsidRPr="00041159">
        <w:t xml:space="preserve">The proposed dosing regimen differs from the current dosing of short acting </w:t>
      </w:r>
      <w:r w:rsidR="00AF04FE">
        <w:t>growth hormone</w:t>
      </w:r>
      <w:r w:rsidRPr="00041159">
        <w:t xml:space="preserve"> preparations </w:t>
      </w:r>
      <w:r w:rsidR="00F46817">
        <w:t xml:space="preserve">(somatropin) </w:t>
      </w:r>
      <w:r w:rsidRPr="00041159">
        <w:t xml:space="preserve">in Australia. For somatrogon, a flat dosing regime is proposed, with dose modifications for patients where the IGF-1 level </w:t>
      </w:r>
      <w:r w:rsidR="00E854A6" w:rsidRPr="00041159">
        <w:t>rises</w:t>
      </w:r>
      <w:r w:rsidRPr="00041159">
        <w:t xml:space="preserve"> or falls below the recommended range. Under the </w:t>
      </w:r>
      <w:r w:rsidR="00B37DEF" w:rsidRPr="00B37DEF">
        <w:t>Pharmaceutical Benefits Scheme</w:t>
      </w:r>
      <w:r w:rsidR="00F46817">
        <w:t xml:space="preserve"> (PBS)</w:t>
      </w:r>
      <w:r w:rsidRPr="00041159">
        <w:t>, patients generally commence treatment on 4.5</w:t>
      </w:r>
      <w:r w:rsidR="00E854A6">
        <w:t> </w:t>
      </w:r>
      <w:r w:rsidRPr="00041159">
        <w:t>mg/m</w:t>
      </w:r>
      <w:r w:rsidRPr="00E854A6">
        <w:rPr>
          <w:vertAlign w:val="superscript"/>
        </w:rPr>
        <w:t>2</w:t>
      </w:r>
      <w:r w:rsidRPr="00041159">
        <w:t>/day, the dose can be increased (based on poor response) to a dose of 7.5</w:t>
      </w:r>
      <w:r w:rsidR="00E854A6">
        <w:t> </w:t>
      </w:r>
      <w:r w:rsidRPr="00041159">
        <w:t>mg/m</w:t>
      </w:r>
      <w:r w:rsidRPr="00E854A6">
        <w:rPr>
          <w:vertAlign w:val="superscript"/>
        </w:rPr>
        <w:t>2</w:t>
      </w:r>
      <w:r w:rsidRPr="00041159">
        <w:t>/day, or in some conditions 9</w:t>
      </w:r>
      <w:r w:rsidR="00E854A6">
        <w:t> </w:t>
      </w:r>
      <w:r w:rsidRPr="00041159">
        <w:t>mg/m</w:t>
      </w:r>
      <w:r w:rsidRPr="00E854A6">
        <w:rPr>
          <w:vertAlign w:val="superscript"/>
        </w:rPr>
        <w:t>2</w:t>
      </w:r>
      <w:r w:rsidRPr="00041159">
        <w:t>/day based on clinical response.</w:t>
      </w:r>
      <w:r w:rsidR="00F46817" w:rsidRPr="00C66833">
        <w:rPr>
          <w:vertAlign w:val="superscript"/>
        </w:rPr>
        <w:fldChar w:fldCharType="begin"/>
      </w:r>
      <w:r w:rsidR="00F46817" w:rsidRPr="00C66833">
        <w:rPr>
          <w:vertAlign w:val="superscript"/>
        </w:rPr>
        <w:instrText xml:space="preserve"> NOTEREF _Ref124413998 \h </w:instrText>
      </w:r>
      <w:r w:rsidR="00F46817">
        <w:rPr>
          <w:vertAlign w:val="superscript"/>
        </w:rPr>
        <w:instrText xml:space="preserve"> \* MERGEFORMAT </w:instrText>
      </w:r>
      <w:r w:rsidR="00F46817" w:rsidRPr="00C66833">
        <w:rPr>
          <w:vertAlign w:val="superscript"/>
        </w:rPr>
      </w:r>
      <w:r w:rsidR="00F46817" w:rsidRPr="00C66833">
        <w:rPr>
          <w:vertAlign w:val="superscript"/>
        </w:rPr>
        <w:fldChar w:fldCharType="separate"/>
      </w:r>
      <w:r w:rsidR="003735CC">
        <w:rPr>
          <w:vertAlign w:val="superscript"/>
        </w:rPr>
        <w:t>3</w:t>
      </w:r>
      <w:r w:rsidR="00F46817" w:rsidRPr="00C66833">
        <w:rPr>
          <w:vertAlign w:val="superscript"/>
        </w:rPr>
        <w:fldChar w:fldCharType="end"/>
      </w:r>
      <w:r w:rsidRPr="00041159">
        <w:t xml:space="preserve"> In current clinical practice, IGF-1 is monitored in patients on </w:t>
      </w:r>
      <w:r w:rsidR="00AF04FE">
        <w:t>growth hormone</w:t>
      </w:r>
      <w:r w:rsidRPr="00041159">
        <w:t xml:space="preserve"> for safety reasons and to monitor compliance</w:t>
      </w:r>
      <w:r w:rsidR="00E854A6">
        <w:t>.</w:t>
      </w:r>
    </w:p>
    <w:p w14:paraId="1FB77982" w14:textId="6655CA9B" w:rsidR="00041159" w:rsidRPr="00041159" w:rsidRDefault="00041159" w:rsidP="00041159">
      <w:r w:rsidRPr="00041159">
        <w:t xml:space="preserve">The main advantage of this preparation over existing </w:t>
      </w:r>
      <w:r w:rsidR="00AF04FE">
        <w:t>growth hormone</w:t>
      </w:r>
      <w:r w:rsidRPr="00041159">
        <w:t xml:space="preserve"> preparations is the longer duration of action, and therefore </w:t>
      </w:r>
      <w:proofErr w:type="gramStart"/>
      <w:r w:rsidRPr="00041159">
        <w:t>less</w:t>
      </w:r>
      <w:proofErr w:type="gramEnd"/>
      <w:r w:rsidRPr="00041159">
        <w:t xml:space="preserve"> number of injections and potential for improved compliance. </w:t>
      </w:r>
      <w:r w:rsidR="00E854A6" w:rsidRPr="00041159">
        <w:t>However,</w:t>
      </w:r>
      <w:r w:rsidRPr="00041159">
        <w:t xml:space="preserve"> this needs to be considered in the context of a greater risk of local </w:t>
      </w:r>
      <w:r w:rsidR="000843F9">
        <w:t>AE</w:t>
      </w:r>
      <w:r w:rsidRPr="00041159">
        <w:t>s, less ability to titrate dosing, and less information about long</w:t>
      </w:r>
      <w:r w:rsidR="00AB45C2">
        <w:t>-</w:t>
      </w:r>
      <w:r w:rsidRPr="00041159">
        <w:t>term safety.</w:t>
      </w:r>
    </w:p>
    <w:p w14:paraId="563FBEC6" w14:textId="77777777" w:rsidR="00D23139" w:rsidRDefault="00D23139" w:rsidP="00D23139">
      <w:pPr>
        <w:pStyle w:val="Heading4"/>
      </w:pPr>
      <w:r w:rsidRPr="00D23139">
        <w:t>Proposed action</w:t>
      </w:r>
    </w:p>
    <w:p w14:paraId="0D009C27" w14:textId="7373CF6E" w:rsidR="00041159" w:rsidRPr="00041159" w:rsidRDefault="00EE3CB6" w:rsidP="00041159">
      <w:r>
        <w:t xml:space="preserve">The Delegate </w:t>
      </w:r>
      <w:r w:rsidR="00041159">
        <w:t>see</w:t>
      </w:r>
      <w:r>
        <w:t>s</w:t>
      </w:r>
      <w:r w:rsidR="00041159">
        <w:t xml:space="preserve"> no reason not to register this product for use in children </w:t>
      </w:r>
      <w:r w:rsidR="00F46817">
        <w:t xml:space="preserve">aged from </w:t>
      </w:r>
      <w:r w:rsidR="00041159">
        <w:t>3</w:t>
      </w:r>
      <w:r>
        <w:t xml:space="preserve"> to</w:t>
      </w:r>
      <w:r w:rsidR="00041159">
        <w:t xml:space="preserve"> 11 years. The PI needs to be updated in relation to the titration of dosing for IGF-1 level, </w:t>
      </w:r>
      <w:proofErr w:type="gramStart"/>
      <w:r w:rsidR="00041159">
        <w:t>and also</w:t>
      </w:r>
      <w:proofErr w:type="gramEnd"/>
      <w:r w:rsidR="00041159">
        <w:t xml:space="preserve"> to describe the limitations of data in children.</w:t>
      </w:r>
    </w:p>
    <w:p w14:paraId="410236E4" w14:textId="2F7418A9" w:rsidR="00041159" w:rsidRDefault="00041159" w:rsidP="00041159">
      <w:r w:rsidRPr="00041159">
        <w:t xml:space="preserve">The </w:t>
      </w:r>
      <w:r w:rsidR="00EE3CB6">
        <w:t>D</w:t>
      </w:r>
      <w:r w:rsidRPr="00041159">
        <w:t xml:space="preserve">elegate will make a further decision about </w:t>
      </w:r>
      <w:proofErr w:type="gramStart"/>
      <w:r w:rsidRPr="00041159">
        <w:t>whether or not</w:t>
      </w:r>
      <w:proofErr w:type="gramEnd"/>
      <w:r w:rsidRPr="00041159">
        <w:t xml:space="preserve"> to restrict use to before puberty based on the sponsor’s response to the questions.</w:t>
      </w:r>
    </w:p>
    <w:p w14:paraId="5C2F8B72" w14:textId="33F46ECB" w:rsidR="00F46817" w:rsidRPr="00041159" w:rsidRDefault="00F46817" w:rsidP="00C66833">
      <w:pPr>
        <w:spacing w:before="0" w:after="200" w:line="0" w:lineRule="auto"/>
      </w:pPr>
      <w:r>
        <w:br w:type="page"/>
      </w:r>
    </w:p>
    <w:p w14:paraId="5425654C" w14:textId="77777777" w:rsidR="007D53B6" w:rsidRDefault="007D53B6" w:rsidP="007D53B6">
      <w:pPr>
        <w:pStyle w:val="Heading4"/>
      </w:pPr>
      <w:r>
        <w:lastRenderedPageBreak/>
        <w:t xml:space="preserve">Questions for </w:t>
      </w:r>
      <w:r w:rsidR="00744121">
        <w:t xml:space="preserve">the </w:t>
      </w:r>
      <w:r>
        <w:t>sponsor</w:t>
      </w:r>
    </w:p>
    <w:p w14:paraId="39ABEB3A" w14:textId="77777777" w:rsidR="00744121" w:rsidRPr="00955A16" w:rsidRDefault="00744121" w:rsidP="00744121">
      <w:r>
        <w:t>The sponsor provided the following response to questions from the Delegate.</w:t>
      </w:r>
    </w:p>
    <w:p w14:paraId="3EF55439" w14:textId="53B8A47A" w:rsidR="00041159" w:rsidRDefault="00041159" w:rsidP="00041159">
      <w:pPr>
        <w:pStyle w:val="Numberbullet0"/>
        <w:rPr>
          <w:b/>
          <w:bCs/>
          <w:i/>
          <w:iCs/>
        </w:rPr>
      </w:pPr>
      <w:r w:rsidRPr="00041159">
        <w:rPr>
          <w:b/>
          <w:bCs/>
          <w:i/>
          <w:iCs/>
        </w:rPr>
        <w:t xml:space="preserve">Please update the TGA on the status of this application </w:t>
      </w:r>
      <w:r w:rsidR="00BC06E6">
        <w:rPr>
          <w:b/>
          <w:bCs/>
          <w:i/>
          <w:iCs/>
        </w:rPr>
        <w:t>with</w:t>
      </w:r>
      <w:r w:rsidR="00BC06E6" w:rsidRPr="00041159">
        <w:rPr>
          <w:b/>
          <w:bCs/>
          <w:i/>
          <w:iCs/>
        </w:rPr>
        <w:t xml:space="preserve"> </w:t>
      </w:r>
      <w:r w:rsidRPr="00041159">
        <w:rPr>
          <w:b/>
          <w:bCs/>
          <w:i/>
          <w:iCs/>
        </w:rPr>
        <w:t xml:space="preserve">the </w:t>
      </w:r>
      <w:r w:rsidR="009648B0" w:rsidRPr="009648B0">
        <w:rPr>
          <w:b/>
          <w:bCs/>
          <w:i/>
          <w:iCs/>
        </w:rPr>
        <w:t xml:space="preserve">European Medicines Agency </w:t>
      </w:r>
      <w:r w:rsidR="00BC06E6">
        <w:rPr>
          <w:b/>
          <w:bCs/>
          <w:i/>
          <w:iCs/>
        </w:rPr>
        <w:t xml:space="preserve">(EMA) </w:t>
      </w:r>
      <w:r w:rsidRPr="00041159">
        <w:rPr>
          <w:b/>
          <w:bCs/>
          <w:i/>
          <w:iCs/>
        </w:rPr>
        <w:t xml:space="preserve">and </w:t>
      </w:r>
      <w:r w:rsidR="009648B0">
        <w:rPr>
          <w:b/>
          <w:bCs/>
          <w:i/>
          <w:iCs/>
        </w:rPr>
        <w:t xml:space="preserve">the United States </w:t>
      </w:r>
      <w:r w:rsidR="00B37DEF">
        <w:rPr>
          <w:b/>
          <w:bCs/>
          <w:i/>
          <w:iCs/>
        </w:rPr>
        <w:t>Food and Drug Administration</w:t>
      </w:r>
      <w:r w:rsidR="00BC06E6">
        <w:rPr>
          <w:b/>
          <w:bCs/>
          <w:i/>
          <w:iCs/>
        </w:rPr>
        <w:t xml:space="preserve"> (US FDA)</w:t>
      </w:r>
      <w:r w:rsidR="009648B0">
        <w:rPr>
          <w:b/>
          <w:bCs/>
          <w:i/>
          <w:iCs/>
        </w:rPr>
        <w:t>.</w:t>
      </w:r>
    </w:p>
    <w:p w14:paraId="1DADC9FF" w14:textId="04FC1F42" w:rsidR="00041159" w:rsidRPr="00041159" w:rsidRDefault="00041159" w:rsidP="00041159">
      <w:r w:rsidRPr="00041159">
        <w:t xml:space="preserve">Updated information on the status of the somatrogon application in the EMA and FDA is provided </w:t>
      </w:r>
      <w:r w:rsidR="00EE3CB6">
        <w:t>to the TGA</w:t>
      </w:r>
      <w:r w:rsidRPr="00041159">
        <w:t xml:space="preserve"> as part of this response.</w:t>
      </w:r>
    </w:p>
    <w:p w14:paraId="64ACE8FE" w14:textId="6D8ABFAC" w:rsidR="00041159" w:rsidRDefault="00041159" w:rsidP="00041159">
      <w:pPr>
        <w:pStyle w:val="Numberbullet0"/>
        <w:rPr>
          <w:b/>
          <w:bCs/>
          <w:i/>
          <w:iCs/>
        </w:rPr>
      </w:pPr>
      <w:r w:rsidRPr="00041159">
        <w:rPr>
          <w:b/>
          <w:bCs/>
          <w:i/>
          <w:iCs/>
        </w:rPr>
        <w:t xml:space="preserve">Could you please provide more details about the use of </w:t>
      </w:r>
      <w:r w:rsidR="00BC06E6">
        <w:rPr>
          <w:b/>
          <w:bCs/>
          <w:i/>
          <w:iCs/>
        </w:rPr>
        <w:t>s</w:t>
      </w:r>
      <w:r w:rsidRPr="00041159">
        <w:rPr>
          <w:b/>
          <w:bCs/>
          <w:i/>
          <w:iCs/>
        </w:rPr>
        <w:t>omatrogon during puberty</w:t>
      </w:r>
      <w:r w:rsidR="009648B0">
        <w:rPr>
          <w:b/>
          <w:bCs/>
          <w:i/>
          <w:iCs/>
        </w:rPr>
        <w:t>?</w:t>
      </w:r>
      <w:r w:rsidRPr="00041159">
        <w:rPr>
          <w:b/>
          <w:bCs/>
          <w:i/>
          <w:iCs/>
        </w:rPr>
        <w:t xml:space="preserve"> How many patients were studied during puberty? How long were they treated for? Did they require a change in their dose?</w:t>
      </w:r>
    </w:p>
    <w:p w14:paraId="50310192" w14:textId="2ABF6042" w:rsidR="00041159" w:rsidRPr="00041159" w:rsidRDefault="00532D85" w:rsidP="00041159">
      <w:r>
        <w:t xml:space="preserve">The sponsor submitted a table which </w:t>
      </w:r>
      <w:r w:rsidR="00041159" w:rsidRPr="00041159">
        <w:t>provides a listing of all subjects in Stud</w:t>
      </w:r>
      <w:r w:rsidR="00EE3CB6">
        <w:t>ies</w:t>
      </w:r>
      <w:r w:rsidR="00BC76FB">
        <w:t> </w:t>
      </w:r>
      <w:r w:rsidR="00041159" w:rsidRPr="00041159">
        <w:t xml:space="preserve">CP-4-004 and CP-4-006 that were </w:t>
      </w:r>
      <w:r w:rsidR="00BC06E6">
        <w:t>over</w:t>
      </w:r>
      <w:r w:rsidR="00EE3CB6">
        <w:t> </w:t>
      </w:r>
      <w:r w:rsidR="00041159" w:rsidRPr="00041159">
        <w:t>11</w:t>
      </w:r>
      <w:r w:rsidR="00EE3CB6">
        <w:t> </w:t>
      </w:r>
      <w:r w:rsidR="00041159" w:rsidRPr="00041159">
        <w:t xml:space="preserve">years of age (girls) and </w:t>
      </w:r>
      <w:r w:rsidR="00BC06E6">
        <w:t>over</w:t>
      </w:r>
      <w:r w:rsidR="00EE3CB6">
        <w:t> </w:t>
      </w:r>
      <w:r w:rsidR="00041159" w:rsidRPr="00041159">
        <w:t xml:space="preserve">12 years of age (boys). </w:t>
      </w:r>
      <w:r>
        <w:t xml:space="preserve">Another two tables submitted by the sponsor </w:t>
      </w:r>
      <w:r w:rsidR="00041159" w:rsidRPr="00041159">
        <w:t xml:space="preserve">provide the progression of the Tanner stage for subjects in </w:t>
      </w:r>
      <w:r w:rsidR="00EE3CB6">
        <w:t xml:space="preserve">Studies </w:t>
      </w:r>
      <w:r w:rsidR="00041159" w:rsidRPr="00041159">
        <w:t>CP-4-004 and CP-4-006, respectively.</w:t>
      </w:r>
    </w:p>
    <w:p w14:paraId="4A097F6D" w14:textId="55D5A947" w:rsidR="00041159" w:rsidRPr="00041159" w:rsidRDefault="00532D85" w:rsidP="00041159">
      <w:r>
        <w:t xml:space="preserve">The table </w:t>
      </w:r>
      <w:r w:rsidR="003D7177">
        <w:t xml:space="preserve">the </w:t>
      </w:r>
      <w:r>
        <w:t xml:space="preserve">sponsor provided </w:t>
      </w:r>
      <w:r w:rsidR="00041159" w:rsidRPr="00041159">
        <w:t xml:space="preserve">shows that there </w:t>
      </w:r>
      <w:proofErr w:type="gramStart"/>
      <w:r w:rsidR="00041159" w:rsidRPr="00041159">
        <w:t>were</w:t>
      </w:r>
      <w:proofErr w:type="gramEnd"/>
      <w:r w:rsidR="00041159" w:rsidRPr="00041159">
        <w:t xml:space="preserve"> a total of 82 children (28 in </w:t>
      </w:r>
      <w:r w:rsidR="00EE3CB6">
        <w:t>Study</w:t>
      </w:r>
      <w:r w:rsidR="009648B0">
        <w:t> </w:t>
      </w:r>
      <w:r w:rsidR="00041159" w:rsidRPr="00041159">
        <w:t xml:space="preserve">CP-4-004 and 54 in </w:t>
      </w:r>
      <w:r w:rsidR="00EE3CB6">
        <w:t>Study </w:t>
      </w:r>
      <w:r w:rsidR="00041159" w:rsidRPr="00041159">
        <w:t xml:space="preserve">CP-4-006) </w:t>
      </w:r>
      <w:r w:rsidR="00BC06E6">
        <w:t>over</w:t>
      </w:r>
      <w:r w:rsidR="00EE3CB6">
        <w:t xml:space="preserve"> </w:t>
      </w:r>
      <w:r w:rsidR="00041159" w:rsidRPr="00041159">
        <w:t xml:space="preserve">11 </w:t>
      </w:r>
      <w:r w:rsidR="00BC06E6">
        <w:t xml:space="preserve">years of age (girls) </w:t>
      </w:r>
      <w:r w:rsidR="00041159" w:rsidRPr="00041159">
        <w:t xml:space="preserve">or </w:t>
      </w:r>
      <w:r w:rsidR="00BC06E6">
        <w:t>over</w:t>
      </w:r>
      <w:r w:rsidR="00EE3CB6">
        <w:t xml:space="preserve"> </w:t>
      </w:r>
      <w:r w:rsidR="00041159" w:rsidRPr="00041159">
        <w:t xml:space="preserve">12 years of age </w:t>
      </w:r>
      <w:r w:rsidR="00BC06E6">
        <w:t>(b</w:t>
      </w:r>
      <w:r w:rsidR="00041159" w:rsidRPr="00041159">
        <w:t>oys</w:t>
      </w:r>
      <w:r w:rsidR="00BC06E6">
        <w:t>)</w:t>
      </w:r>
      <w:r w:rsidR="00041159" w:rsidRPr="00041159">
        <w:t xml:space="preserve">. This table also shows how long these children were treated for in each of the studies. The length of treatment ranged from 1,934 days to 2,426 days in </w:t>
      </w:r>
      <w:r w:rsidR="00EE3CB6">
        <w:t>Study</w:t>
      </w:r>
      <w:r w:rsidR="009648B0">
        <w:t> </w:t>
      </w:r>
      <w:r w:rsidR="00041159" w:rsidRPr="00041159">
        <w:t>CP-4-004 and 352 days to 814</w:t>
      </w:r>
      <w:r w:rsidR="00EE3CB6">
        <w:t> </w:t>
      </w:r>
      <w:r w:rsidR="00041159" w:rsidRPr="00041159">
        <w:t xml:space="preserve">days in </w:t>
      </w:r>
      <w:r w:rsidR="00EE3CB6">
        <w:t xml:space="preserve">Study </w:t>
      </w:r>
      <w:r w:rsidR="00041159" w:rsidRPr="00041159">
        <w:t>CP-4-006.</w:t>
      </w:r>
    </w:p>
    <w:p w14:paraId="70EAF761" w14:textId="26420EAE" w:rsidR="00041159" w:rsidRPr="00041159" w:rsidRDefault="00041159" w:rsidP="00041159">
      <w:r w:rsidRPr="00041159">
        <w:t xml:space="preserve">All subjects, regardless of age and pubertal status, </w:t>
      </w:r>
      <w:proofErr w:type="gramStart"/>
      <w:r w:rsidRPr="00041159">
        <w:t>continued on</w:t>
      </w:r>
      <w:proofErr w:type="gramEnd"/>
      <w:r w:rsidRPr="00041159">
        <w:t xml:space="preserve"> somatrogon at a dose of 0.66</w:t>
      </w:r>
      <w:r w:rsidR="00EE3CB6">
        <w:t> </w:t>
      </w:r>
      <w:r w:rsidRPr="00041159">
        <w:t>mg/kg administered once weekly. A change in the weight-based dose was only required if a subject had two consecutive IGF-1 SDS values &gt;</w:t>
      </w:r>
      <w:r w:rsidR="00EE3CB6">
        <w:t xml:space="preserve"> </w:t>
      </w:r>
      <w:r w:rsidRPr="00041159">
        <w:t>2 or experienced an adverse event that warranted a decrease in dose. The weight-based dose otherwise remained constant although the total dose was increased as required with an increase in subjects’ weights.</w:t>
      </w:r>
    </w:p>
    <w:p w14:paraId="587353C1" w14:textId="37C375CC" w:rsidR="00041159" w:rsidRDefault="00041159" w:rsidP="00041159">
      <w:pPr>
        <w:pStyle w:val="Numberbullet0"/>
        <w:rPr>
          <w:b/>
          <w:bCs/>
          <w:i/>
          <w:iCs/>
        </w:rPr>
      </w:pPr>
      <w:r w:rsidRPr="00041159">
        <w:rPr>
          <w:b/>
          <w:bCs/>
          <w:i/>
          <w:iCs/>
        </w:rPr>
        <w:t xml:space="preserve">Was there any difference in the risk of developing anti-somatrogon antibodies in patients who received previous treatment with </w:t>
      </w:r>
      <w:r w:rsidR="00AF04FE">
        <w:rPr>
          <w:b/>
          <w:bCs/>
          <w:i/>
          <w:iCs/>
        </w:rPr>
        <w:t>growth hormone</w:t>
      </w:r>
      <w:r w:rsidRPr="00041159">
        <w:rPr>
          <w:b/>
          <w:bCs/>
          <w:i/>
          <w:iCs/>
        </w:rPr>
        <w:t xml:space="preserve"> compared to those who were not previously treated with </w:t>
      </w:r>
      <w:r w:rsidR="00AF04FE">
        <w:rPr>
          <w:b/>
          <w:bCs/>
          <w:i/>
          <w:iCs/>
        </w:rPr>
        <w:t>growth hormone</w:t>
      </w:r>
      <w:r w:rsidRPr="00041159">
        <w:rPr>
          <w:b/>
          <w:bCs/>
          <w:i/>
          <w:iCs/>
        </w:rPr>
        <w:t>?</w:t>
      </w:r>
    </w:p>
    <w:p w14:paraId="73906FE6" w14:textId="00CBEFAC" w:rsidR="008652CE" w:rsidRPr="008652CE" w:rsidRDefault="00041159" w:rsidP="008652CE">
      <w:r w:rsidRPr="008652CE">
        <w:t xml:space="preserve">All subjects had tested negative for anti-drug antibodies (ADA) to </w:t>
      </w:r>
      <w:proofErr w:type="spellStart"/>
      <w:r w:rsidRPr="008652CE">
        <w:t>hGH</w:t>
      </w:r>
      <w:proofErr w:type="spellEnd"/>
      <w:r w:rsidRPr="008652CE">
        <w:t xml:space="preserve"> prior to enrolment and were treatment naïve, in both </w:t>
      </w:r>
      <w:r w:rsidR="00EE3CB6">
        <w:t xml:space="preserve">Study </w:t>
      </w:r>
      <w:r w:rsidRPr="008652CE">
        <w:t xml:space="preserve">CP-4-004 as well as in </w:t>
      </w:r>
      <w:r w:rsidR="00EE3CB6">
        <w:t xml:space="preserve">Study </w:t>
      </w:r>
      <w:r w:rsidRPr="008652CE">
        <w:t>CP-4-006. Throughout both studies there</w:t>
      </w:r>
      <w:r w:rsidR="008652CE" w:rsidRPr="008652CE">
        <w:t xml:space="preserve"> was regular assessment of anti-somatrogon ADA</w:t>
      </w:r>
      <w:r w:rsidR="00BC06E6">
        <w:t>s</w:t>
      </w:r>
      <w:r w:rsidR="008652CE" w:rsidRPr="008652CE">
        <w:t>, which continues in the ongoing open label</w:t>
      </w:r>
      <w:r w:rsidR="008652CE">
        <w:t xml:space="preserve"> </w:t>
      </w:r>
      <w:r w:rsidR="008652CE" w:rsidRPr="008652CE">
        <w:t>extensions for these studies.</w:t>
      </w:r>
    </w:p>
    <w:p w14:paraId="2F84E099" w14:textId="2AB65C06" w:rsidR="008652CE" w:rsidRPr="008652CE" w:rsidRDefault="008652CE" w:rsidP="008652CE">
      <w:r w:rsidRPr="008652CE">
        <w:t>As previously reported, in Study CP-4-004, 10</w:t>
      </w:r>
      <w:r w:rsidR="00EE3CB6">
        <w:t xml:space="preserve"> out of </w:t>
      </w:r>
      <w:r w:rsidRPr="008652CE">
        <w:t>42 (23.8%) of somatrogon</w:t>
      </w:r>
      <w:r w:rsidR="00EE3CB6">
        <w:t xml:space="preserve"> </w:t>
      </w:r>
      <w:r w:rsidRPr="008652CE">
        <w:t>treated subjects tested positive for ADA by the end of the 12 months of the main study. Of the 10</w:t>
      </w:r>
      <w:r w:rsidR="009648B0">
        <w:t> </w:t>
      </w:r>
      <w:r w:rsidRPr="008652CE">
        <w:t>Genotropin</w:t>
      </w:r>
      <w:r w:rsidR="00EE3CB6">
        <w:t xml:space="preserve"> </w:t>
      </w:r>
      <w:r w:rsidR="00BC06E6">
        <w:t>(</w:t>
      </w:r>
      <w:proofErr w:type="spellStart"/>
      <w:r w:rsidR="00BC06E6">
        <w:t>rhGH</w:t>
      </w:r>
      <w:proofErr w:type="spellEnd"/>
      <w:r w:rsidR="00BC06E6">
        <w:t xml:space="preserve">/somatropin) </w:t>
      </w:r>
      <w:r w:rsidRPr="008652CE">
        <w:t>treated</w:t>
      </w:r>
      <w:r>
        <w:t xml:space="preserve"> </w:t>
      </w:r>
      <w:r w:rsidRPr="008652CE">
        <w:t xml:space="preserve">subjects who completed the first year of the </w:t>
      </w:r>
      <w:r w:rsidR="00BC06E6">
        <w:t>open-label extension</w:t>
      </w:r>
      <w:r w:rsidRPr="008652CE">
        <w:t>, 3 subjects (30%) tested positive for</w:t>
      </w:r>
      <w:r>
        <w:t xml:space="preserve"> </w:t>
      </w:r>
      <w:r w:rsidRPr="008652CE">
        <w:t>anti-somatrogon ADA</w:t>
      </w:r>
      <w:r w:rsidR="00BC06E6">
        <w:t>s</w:t>
      </w:r>
      <w:r w:rsidRPr="008652CE">
        <w:t>.</w:t>
      </w:r>
    </w:p>
    <w:p w14:paraId="5663A12B" w14:textId="449BC78C" w:rsidR="00041159" w:rsidRPr="008652CE" w:rsidRDefault="008652CE" w:rsidP="00690420">
      <w:r w:rsidRPr="008652CE">
        <w:t>In main portion of Study CP-4-006, 84</w:t>
      </w:r>
      <w:r w:rsidR="00EE3CB6">
        <w:t xml:space="preserve"> out of </w:t>
      </w:r>
      <w:r w:rsidRPr="008652CE">
        <w:t>109 (77%) of somatrogon-treated subjects tested positive</w:t>
      </w:r>
      <w:r>
        <w:t xml:space="preserve"> </w:t>
      </w:r>
      <w:r w:rsidRPr="008652CE">
        <w:t>for ADA by the end of 12 months. Among the 41 subjects who received Genotropin in the main study and for whom</w:t>
      </w:r>
      <w:r>
        <w:t xml:space="preserve"> </w:t>
      </w:r>
      <w:r w:rsidRPr="008652CE">
        <w:t xml:space="preserve">ADA results were available at </w:t>
      </w:r>
      <w:r w:rsidR="000F59B2" w:rsidRPr="008652CE">
        <w:t>Month</w:t>
      </w:r>
      <w:r w:rsidRPr="008652CE">
        <w:t xml:space="preserve"> 6 of the </w:t>
      </w:r>
      <w:r w:rsidR="00BC06E6">
        <w:t>open-label extension</w:t>
      </w:r>
      <w:r w:rsidRPr="008652CE">
        <w:t>, 8 subjects (19.5%) tested positive for anti</w:t>
      </w:r>
      <w:r w:rsidR="00E854A6">
        <w:t>-</w:t>
      </w:r>
      <w:r w:rsidRPr="008652CE">
        <w:t>somatrogon</w:t>
      </w:r>
      <w:r>
        <w:t xml:space="preserve"> </w:t>
      </w:r>
      <w:r w:rsidR="00BC06E6">
        <w:t>ADAs</w:t>
      </w:r>
      <w:r w:rsidR="00EE3CB6">
        <w:t>.</w:t>
      </w:r>
    </w:p>
    <w:p w14:paraId="589D7AD5"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23"/>
      </w:r>
    </w:p>
    <w:p w14:paraId="49388BEC" w14:textId="77777777" w:rsidR="00744121" w:rsidRPr="007D53B6" w:rsidRDefault="00744121" w:rsidP="00744121">
      <w:bookmarkStart w:id="55" w:name="_Toc247691532"/>
      <w:bookmarkStart w:id="56" w:name="_Toc314842516"/>
      <w:bookmarkEnd w:id="32"/>
      <w:bookmarkEnd w:id="53"/>
      <w:bookmarkEnd w:id="54"/>
      <w:r w:rsidRPr="007D53B6">
        <w:t xml:space="preserve">The Delegate did not refer this application to </w:t>
      </w:r>
      <w:r w:rsidRPr="00B37DEF">
        <w:t>the Advisory Committee on Medicines (ACM) for advice.</w:t>
      </w:r>
    </w:p>
    <w:p w14:paraId="15703018" w14:textId="77777777" w:rsidR="008E7846" w:rsidRPr="002E238E" w:rsidRDefault="008E7846" w:rsidP="008E7846">
      <w:pPr>
        <w:pStyle w:val="Heading3"/>
      </w:pPr>
      <w:bookmarkStart w:id="57" w:name="_Toc124495271"/>
      <w:r>
        <w:lastRenderedPageBreak/>
        <w:t>Outcome</w:t>
      </w:r>
      <w:bookmarkEnd w:id="55"/>
      <w:bookmarkEnd w:id="56"/>
      <w:bookmarkEnd w:id="57"/>
    </w:p>
    <w:p w14:paraId="0BF1C364" w14:textId="20A9F888" w:rsidR="00744121" w:rsidRDefault="00744121" w:rsidP="00744121">
      <w:bookmarkStart w:id="58" w:name="_Toc247691533"/>
      <w:bookmarkStart w:id="59" w:name="_Toc314842517"/>
      <w:r>
        <w:t xml:space="preserve">Based on a review of quality, </w:t>
      </w:r>
      <w:proofErr w:type="gramStart"/>
      <w:r>
        <w:t>safety</w:t>
      </w:r>
      <w:proofErr w:type="gramEnd"/>
      <w:r>
        <w:t xml:space="preserve"> and efficacy, the TGA approved the registration of </w:t>
      </w:r>
      <w:r w:rsidR="005747DC">
        <w:t>Ngenla</w:t>
      </w:r>
      <w:r w:rsidRPr="00250271">
        <w:t xml:space="preserve"> (</w:t>
      </w:r>
      <w:r w:rsidR="000C65DA" w:rsidRPr="000C65DA">
        <w:t>somatrogon</w:t>
      </w:r>
      <w:r w:rsidRPr="00250271">
        <w:t xml:space="preserve">) </w:t>
      </w:r>
      <w:r w:rsidR="000C65DA" w:rsidRPr="000C65DA">
        <w:t>24 mg and 60 mg</w:t>
      </w:r>
      <w:r w:rsidRPr="00250271">
        <w:t xml:space="preserve">, </w:t>
      </w:r>
      <w:r w:rsidR="000C65DA">
        <w:t>s</w:t>
      </w:r>
      <w:r w:rsidR="000C65DA" w:rsidRPr="000C65DA">
        <w:t>olution for injection</w:t>
      </w:r>
      <w:r>
        <w:t xml:space="preserve">, </w:t>
      </w:r>
      <w:r w:rsidR="000C65DA">
        <w:t>c</w:t>
      </w:r>
      <w:r w:rsidR="000C65DA" w:rsidRPr="000C65DA">
        <w:t>artridge (prefilled pen)</w:t>
      </w:r>
      <w:r>
        <w:t>, indicated for:</w:t>
      </w:r>
    </w:p>
    <w:p w14:paraId="54E18F6B" w14:textId="0BBEC8DC" w:rsidR="007D53B6" w:rsidRDefault="005747DC" w:rsidP="000C65DA">
      <w:pPr>
        <w:ind w:left="720"/>
      </w:pPr>
      <w:r w:rsidRPr="00B51BEE">
        <w:rPr>
          <w:i/>
          <w:iCs/>
        </w:rPr>
        <w:t>Ngenla</w:t>
      </w:r>
      <w:r w:rsidR="000C65DA" w:rsidRPr="007F5EB6">
        <w:rPr>
          <w:i/>
          <w:iCs/>
        </w:rPr>
        <w:t xml:space="preserve"> is indicated for the long-term treatment of paediatric patients with</w:t>
      </w:r>
      <w:r w:rsidR="000C65DA">
        <w:rPr>
          <w:i/>
          <w:iCs/>
        </w:rPr>
        <w:t xml:space="preserve"> </w:t>
      </w:r>
      <w:r w:rsidR="000C65DA" w:rsidRPr="007F5EB6">
        <w:rPr>
          <w:i/>
          <w:iCs/>
        </w:rPr>
        <w:t>growth disturbance due to insufficient secretion of growth hormone.</w:t>
      </w:r>
    </w:p>
    <w:p w14:paraId="0519181C" w14:textId="4C1AC303" w:rsidR="00D23139" w:rsidRDefault="00D23139" w:rsidP="00D23139">
      <w:pPr>
        <w:pStyle w:val="Heading4"/>
      </w:pPr>
      <w:r w:rsidRPr="00D23139">
        <w:t>Specific conditions of registration applying to these goods</w:t>
      </w:r>
    </w:p>
    <w:p w14:paraId="08E22DA9" w14:textId="701B06D5" w:rsidR="00F9078D" w:rsidRPr="00F9078D" w:rsidRDefault="005747DC" w:rsidP="00F9078D">
      <w:pPr>
        <w:pStyle w:val="ListBullet"/>
      </w:pPr>
      <w:r>
        <w:t>Ngenla</w:t>
      </w:r>
      <w:r w:rsidR="00F9078D" w:rsidRPr="00F9078D">
        <w:t xml:space="preserve"> (somatrogon) is to be included in the Black Triangle Scheme. The PI and CMI</w:t>
      </w:r>
      <w:r w:rsidR="00F9078D">
        <w:t xml:space="preserve"> </w:t>
      </w:r>
      <w:r w:rsidR="00F9078D" w:rsidRPr="00F9078D">
        <w:t xml:space="preserve">for </w:t>
      </w:r>
      <w:r w:rsidR="00FA28EE">
        <w:t>Ngenla</w:t>
      </w:r>
      <w:r w:rsidR="00F9078D" w:rsidRPr="00F9078D">
        <w:t xml:space="preserve"> must include the black triangle symbol and mandatory accompanying text</w:t>
      </w:r>
      <w:r w:rsidR="00F9078D">
        <w:t xml:space="preserve"> </w:t>
      </w:r>
      <w:r w:rsidR="00F9078D" w:rsidRPr="00F9078D">
        <w:t>for five years, which starts from the date that the sponsor notifies the TGA of supply of</w:t>
      </w:r>
      <w:r w:rsidR="00F9078D">
        <w:t xml:space="preserve"> </w:t>
      </w:r>
      <w:r w:rsidR="00F9078D" w:rsidRPr="00F9078D">
        <w:t>the product.</w:t>
      </w:r>
    </w:p>
    <w:p w14:paraId="32333D14" w14:textId="331EDACE" w:rsidR="00F9078D" w:rsidRPr="00F9078D" w:rsidRDefault="00F9078D" w:rsidP="00F9078D">
      <w:pPr>
        <w:pStyle w:val="ListBullet"/>
      </w:pPr>
      <w:r w:rsidRPr="00F9078D">
        <w:t>The Ngenla EU-</w:t>
      </w:r>
      <w:r w:rsidR="00EE3CB6" w:rsidRPr="00F9078D">
        <w:t>risk management plan</w:t>
      </w:r>
      <w:r w:rsidRPr="00F9078D">
        <w:t xml:space="preserve"> (RMP) (version 0.2, dated 30 August 2021, data</w:t>
      </w:r>
      <w:r>
        <w:t xml:space="preserve"> </w:t>
      </w:r>
      <w:r w:rsidRPr="00F9078D">
        <w:t xml:space="preserve">lock point 21 December 2020), with Australia </w:t>
      </w:r>
      <w:r w:rsidR="00EE3CB6" w:rsidRPr="00F9078D">
        <w:t xml:space="preserve">specific annex </w:t>
      </w:r>
      <w:r w:rsidRPr="00F9078D">
        <w:t>(version 0.3, dated 24</w:t>
      </w:r>
      <w:r w:rsidR="00EE3CB6">
        <w:t> </w:t>
      </w:r>
      <w:r w:rsidRPr="00F9078D">
        <w:t xml:space="preserve">September 2021), included with </w:t>
      </w:r>
      <w:r w:rsidR="00EE3CB6">
        <w:t>S</w:t>
      </w:r>
      <w:r w:rsidRPr="00F9078D">
        <w:t>ubmission PM-2020-05916-1-5, to be revised to the</w:t>
      </w:r>
      <w:r>
        <w:t xml:space="preserve"> </w:t>
      </w:r>
      <w:r w:rsidRPr="00F9078D">
        <w:t>satisfaction of the TGA, will be implemented in Australia.</w:t>
      </w:r>
    </w:p>
    <w:p w14:paraId="39B837C9" w14:textId="2D8B3F64" w:rsidR="00F9078D" w:rsidRPr="00F9078D" w:rsidRDefault="00F9078D" w:rsidP="00F9078D">
      <w:pPr>
        <w:pStyle w:val="ListBullet"/>
        <w:numPr>
          <w:ilvl w:val="0"/>
          <w:numId w:val="0"/>
        </w:numPr>
        <w:ind w:left="360"/>
      </w:pPr>
      <w:r w:rsidRPr="00F9078D">
        <w:t>An obligatory component of risk management plans is routine pharmacovigilance.</w:t>
      </w:r>
      <w:r>
        <w:t xml:space="preserve"> </w:t>
      </w:r>
      <w:r w:rsidRPr="00F9078D">
        <w:t xml:space="preserve">Routine pharmacovigilance includes the submission of </w:t>
      </w:r>
      <w:r w:rsidRPr="00B37DEF">
        <w:t>periodic safety update reports (PSURs).</w:t>
      </w:r>
    </w:p>
    <w:p w14:paraId="3AB82FFD" w14:textId="757BC158" w:rsidR="00F9078D" w:rsidRPr="00F9078D" w:rsidRDefault="00F9078D" w:rsidP="00F9078D">
      <w:pPr>
        <w:pStyle w:val="ListBullet"/>
        <w:numPr>
          <w:ilvl w:val="0"/>
          <w:numId w:val="0"/>
        </w:numPr>
        <w:ind w:left="360"/>
      </w:pPr>
      <w:r w:rsidRPr="00F9078D">
        <w:t>Unless agreed separately between the supplier who is the recipient of the approval and</w:t>
      </w:r>
      <w:r>
        <w:t xml:space="preserve"> </w:t>
      </w:r>
      <w:r w:rsidRPr="00F9078D">
        <w:t>the TGA, the first report must be submitted to TGA no later than 15 calendar months</w:t>
      </w:r>
      <w:r>
        <w:t xml:space="preserve"> </w:t>
      </w:r>
      <w:r w:rsidRPr="00F9078D">
        <w:t xml:space="preserve">after the date of </w:t>
      </w:r>
      <w:r w:rsidR="00EE3CB6">
        <w:t>the</w:t>
      </w:r>
      <w:r w:rsidRPr="00F9078D">
        <w:t xml:space="preserve"> approval letter. The subsequent reports must be submitted no less</w:t>
      </w:r>
      <w:r>
        <w:t xml:space="preserve"> </w:t>
      </w:r>
      <w:r w:rsidRPr="00F9078D">
        <w:t>frequently than annually from the date of the first submitted report until the period</w:t>
      </w:r>
      <w:r>
        <w:t xml:space="preserve"> </w:t>
      </w:r>
      <w:r w:rsidRPr="00F9078D">
        <w:t xml:space="preserve">covered by such reports is not less than three years from the date of </w:t>
      </w:r>
      <w:r w:rsidR="00EE3CB6">
        <w:t>the</w:t>
      </w:r>
      <w:r w:rsidRPr="00F9078D">
        <w:t xml:space="preserve"> approval</w:t>
      </w:r>
      <w:r>
        <w:t xml:space="preserve"> </w:t>
      </w:r>
      <w:r w:rsidRPr="00F9078D">
        <w:t>letter. The annual submission may be made up of two PSURs each covering six months.</w:t>
      </w:r>
      <w:r>
        <w:t xml:space="preserve"> </w:t>
      </w:r>
      <w:r w:rsidRPr="00F9078D">
        <w:t xml:space="preserve">If the sponsor wishes, the </w:t>
      </w:r>
      <w:proofErr w:type="gramStart"/>
      <w:r w:rsidRPr="00F9078D">
        <w:t>six monthly</w:t>
      </w:r>
      <w:proofErr w:type="gramEnd"/>
      <w:r w:rsidRPr="00F9078D">
        <w:t xml:space="preserve"> reports may be submitted separately as they</w:t>
      </w:r>
      <w:r>
        <w:t xml:space="preserve"> </w:t>
      </w:r>
      <w:r w:rsidRPr="00F9078D">
        <w:t>become available.</w:t>
      </w:r>
    </w:p>
    <w:p w14:paraId="5ABE3645" w14:textId="6807305C" w:rsidR="00F9078D" w:rsidRPr="00B37DEF" w:rsidRDefault="00F9078D" w:rsidP="00F9078D">
      <w:pPr>
        <w:pStyle w:val="ListBullet"/>
        <w:numPr>
          <w:ilvl w:val="0"/>
          <w:numId w:val="0"/>
        </w:numPr>
        <w:ind w:left="360"/>
      </w:pPr>
      <w:r w:rsidRPr="00F9078D">
        <w:t>If the product is approved in the EU during the three years period, reports can be</w:t>
      </w:r>
      <w:r>
        <w:t xml:space="preserve"> </w:t>
      </w:r>
      <w:r w:rsidRPr="00F9078D">
        <w:t>provided in line with the published list of EU reference dates no less frequently than</w:t>
      </w:r>
      <w:r>
        <w:t xml:space="preserve"> </w:t>
      </w:r>
      <w:r w:rsidRPr="00F9078D">
        <w:t>annually from the date of the first submitted report until the period covered by such</w:t>
      </w:r>
      <w:r>
        <w:t xml:space="preserve"> </w:t>
      </w:r>
      <w:r w:rsidRPr="00F9078D">
        <w:t xml:space="preserve">reports is not less than three years from </w:t>
      </w:r>
      <w:r w:rsidRPr="00B37DEF">
        <w:t xml:space="preserve">the date of </w:t>
      </w:r>
      <w:r w:rsidR="00EE3CB6" w:rsidRPr="00B37DEF">
        <w:t>the</w:t>
      </w:r>
      <w:r w:rsidRPr="00B37DEF">
        <w:t xml:space="preserve"> approval letter.</w:t>
      </w:r>
    </w:p>
    <w:p w14:paraId="64310CA4" w14:textId="71AEDF1B" w:rsidR="00F9078D" w:rsidRPr="00B37DEF" w:rsidRDefault="00F9078D" w:rsidP="00F9078D">
      <w:pPr>
        <w:pStyle w:val="ListBullet"/>
        <w:numPr>
          <w:ilvl w:val="0"/>
          <w:numId w:val="0"/>
        </w:numPr>
        <w:ind w:left="360"/>
      </w:pPr>
      <w:r w:rsidRPr="00B37DEF">
        <w:t xml:space="preserve">The reports are to at least meet the requirements for PSURs as described in the European Medicines Agency’s Guideline on </w:t>
      </w:r>
      <w:r w:rsidR="00EE3CB6" w:rsidRPr="00B37DEF">
        <w:t xml:space="preserve">Good Pharmacovigilance Practices </w:t>
      </w:r>
      <w:r w:rsidRPr="00B37DEF">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0D386B0" w14:textId="3325B345" w:rsidR="00F9078D" w:rsidRPr="00B37DEF" w:rsidRDefault="00F9078D" w:rsidP="00F9078D">
      <w:pPr>
        <w:pStyle w:val="ListBullet"/>
      </w:pPr>
      <w:r w:rsidRPr="00B37DEF">
        <w:t xml:space="preserve">Laboratory testing </w:t>
      </w:r>
      <w:r w:rsidR="00EE3CB6" w:rsidRPr="00B37DEF">
        <w:t>and</w:t>
      </w:r>
      <w:r w:rsidRPr="00B37DEF">
        <w:t xml:space="preserve"> compliance with Certified Product Details (CPD)</w:t>
      </w:r>
    </w:p>
    <w:p w14:paraId="070AFDA2" w14:textId="56190906" w:rsidR="00F9078D" w:rsidRPr="00F9078D" w:rsidRDefault="00F9078D" w:rsidP="00F9078D">
      <w:pPr>
        <w:pStyle w:val="ListBullet2"/>
      </w:pPr>
      <w:r w:rsidRPr="00F9078D">
        <w:t xml:space="preserve">All batches of </w:t>
      </w:r>
      <w:r w:rsidR="005747DC">
        <w:t>Ngenla</w:t>
      </w:r>
      <w:r w:rsidRPr="00F9078D">
        <w:t xml:space="preserve"> (</w:t>
      </w:r>
      <w:r w:rsidR="00EE3CB6">
        <w:t>s</w:t>
      </w:r>
      <w:r w:rsidRPr="00F9078D">
        <w:t>omatrogon) supplied in Australia must comply with the</w:t>
      </w:r>
      <w:r>
        <w:t xml:space="preserve"> </w:t>
      </w:r>
      <w:r w:rsidRPr="00F9078D">
        <w:t>product details and specifications approved during evaluation and detailed in the</w:t>
      </w:r>
      <w:r>
        <w:t xml:space="preserve"> </w:t>
      </w:r>
      <w:r w:rsidRPr="00F9078D">
        <w:t>Certified Product Details (CPD).</w:t>
      </w:r>
    </w:p>
    <w:p w14:paraId="6BB1E51A" w14:textId="4D58DA9E" w:rsidR="00F9078D" w:rsidRPr="00F9078D" w:rsidRDefault="00F9078D" w:rsidP="00F9078D">
      <w:pPr>
        <w:pStyle w:val="ListBullet2"/>
      </w:pPr>
      <w:r w:rsidRPr="00F9078D">
        <w:t>When requested by the TGA, the Sponsor should be prepared to provide product</w:t>
      </w:r>
      <w:r>
        <w:t xml:space="preserve"> </w:t>
      </w:r>
      <w:r w:rsidRPr="00F9078D">
        <w:t>samples, specified reference materials and documentary evidence to enable the</w:t>
      </w:r>
      <w:r>
        <w:t xml:space="preserve"> </w:t>
      </w:r>
      <w:r w:rsidRPr="00F9078D">
        <w:t>TGA to conduct laboratory testing on the Products. Outcomes of laboratory</w:t>
      </w:r>
      <w:r>
        <w:t xml:space="preserve"> </w:t>
      </w:r>
      <w:r w:rsidRPr="00F9078D">
        <w:t>testing are published biannually in the TGA Database of Laboratory Testing</w:t>
      </w:r>
      <w:r>
        <w:t xml:space="preserve"> </w:t>
      </w:r>
      <w:r w:rsidRPr="00F9078D">
        <w:t xml:space="preserve">Results </w:t>
      </w:r>
      <w:hyperlink r:id="rId38" w:history="1">
        <w:r w:rsidR="00EE3CB6" w:rsidRPr="00C83131">
          <w:rPr>
            <w:rStyle w:val="Hyperlink"/>
          </w:rPr>
          <w:t>http://www.tga.gov.au/ws-labs-index</w:t>
        </w:r>
      </w:hyperlink>
      <w:r w:rsidR="00EE3CB6">
        <w:t xml:space="preserve"> </w:t>
      </w:r>
      <w:r w:rsidRPr="00F9078D">
        <w:t>and periodically in testing reports</w:t>
      </w:r>
      <w:r>
        <w:t xml:space="preserve"> </w:t>
      </w:r>
      <w:r w:rsidRPr="00F9078D">
        <w:t>on the TGA website.</w:t>
      </w:r>
    </w:p>
    <w:p w14:paraId="0E5CC3DB" w14:textId="083AACC8" w:rsidR="00F9078D" w:rsidRPr="00F9078D" w:rsidRDefault="00F9078D" w:rsidP="00F9078D">
      <w:pPr>
        <w:pStyle w:val="ListBullet"/>
        <w:numPr>
          <w:ilvl w:val="0"/>
          <w:numId w:val="0"/>
        </w:numPr>
        <w:ind w:left="360"/>
      </w:pPr>
      <w:r w:rsidRPr="00F9078D">
        <w:t>Certified Product Details</w:t>
      </w:r>
    </w:p>
    <w:p w14:paraId="4E033731" w14:textId="64C7CA65" w:rsidR="00F9078D" w:rsidRPr="00F9078D" w:rsidRDefault="00F9078D" w:rsidP="00F9078D">
      <w:pPr>
        <w:pStyle w:val="ListBullet"/>
        <w:numPr>
          <w:ilvl w:val="0"/>
          <w:numId w:val="0"/>
        </w:numPr>
        <w:ind w:left="360"/>
      </w:pPr>
      <w:r w:rsidRPr="00F9078D">
        <w:t xml:space="preserve">The Certified Product Details (CPD), as described in Guidance 7: Certified Product Details of the </w:t>
      </w:r>
      <w:r w:rsidRPr="00B37DEF">
        <w:t>Australian Regulatory Guidelines for Prescription Medicines (ARGPM)</w:t>
      </w:r>
      <w:r w:rsidRPr="00F9078D">
        <w:t xml:space="preserve"> </w:t>
      </w:r>
      <w:hyperlink r:id="rId39" w:history="1">
        <w:r w:rsidR="00EE3CB6" w:rsidRPr="00C83131">
          <w:rPr>
            <w:rStyle w:val="Hyperlink"/>
          </w:rPr>
          <w:t>http://www.tga.gov.au/industry/pm-argpm-guidance-7.htm</w:t>
        </w:r>
      </w:hyperlink>
      <w:r w:rsidRPr="00F9078D">
        <w:t xml:space="preserve">, in </w:t>
      </w:r>
      <w:r w:rsidRPr="00B37DEF">
        <w:t>PDF,</w:t>
      </w:r>
      <w:r w:rsidRPr="00F9078D">
        <w:t xml:space="preserve">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0ABCF20" w14:textId="7D7F8378" w:rsidR="00F9078D" w:rsidRPr="00F9078D" w:rsidRDefault="00F9078D" w:rsidP="00F9078D">
      <w:pPr>
        <w:pStyle w:val="ListBullet"/>
      </w:pPr>
      <w:r w:rsidRPr="00F9078D">
        <w:t>For all injectable products the Product Information must be included with the product as a package insert.</w:t>
      </w:r>
    </w:p>
    <w:p w14:paraId="4BD1B53E" w14:textId="77777777" w:rsidR="008E7846" w:rsidRDefault="00A80B5B" w:rsidP="00D23139">
      <w:pPr>
        <w:pStyle w:val="Heading2"/>
      </w:pPr>
      <w:bookmarkStart w:id="60" w:name="_Toc124495272"/>
      <w:r>
        <w:t xml:space="preserve">Attachment 1. </w:t>
      </w:r>
      <w:r w:rsidR="008E7846">
        <w:t xml:space="preserve">Product </w:t>
      </w:r>
      <w:r w:rsidR="00AA0ED0">
        <w:t>I</w:t>
      </w:r>
      <w:r w:rsidR="008E7846">
        <w:t>nformation</w:t>
      </w:r>
      <w:bookmarkEnd w:id="58"/>
      <w:bookmarkEnd w:id="59"/>
      <w:bookmarkEnd w:id="60"/>
    </w:p>
    <w:p w14:paraId="3FF77169" w14:textId="2285490A" w:rsidR="00D62A14" w:rsidRPr="00D62A14" w:rsidRDefault="00D62A14" w:rsidP="00C80137">
      <w:r w:rsidRPr="002B3624">
        <w:t xml:space="preserve">The </w:t>
      </w:r>
      <w:r>
        <w:t>PI</w:t>
      </w:r>
      <w:r w:rsidRPr="002B3624">
        <w:t xml:space="preserve"> for </w:t>
      </w:r>
      <w:r>
        <w:t>Ngenla</w:t>
      </w:r>
      <w:r w:rsidRPr="002B3624">
        <w:t xml:space="preserve"> </w:t>
      </w:r>
      <w:r>
        <w:t xml:space="preserve">approved with the submission which is described in </w:t>
      </w:r>
      <w:r w:rsidRPr="002B3624">
        <w:t>this AusPAR is at Attachment 1.</w:t>
      </w:r>
      <w:r>
        <w:t xml:space="preserve"> </w:t>
      </w:r>
      <w:r w:rsidRPr="00940A89">
        <w:t xml:space="preserve">For the most recent </w:t>
      </w:r>
      <w:r>
        <w:t>PI,</w:t>
      </w:r>
      <w:r w:rsidRPr="00940A89">
        <w:t xml:space="preserve"> ple</w:t>
      </w:r>
      <w:r>
        <w:t xml:space="preserve">ase refer to the TGA </w:t>
      </w:r>
      <w:hyperlink r:id="rId40" w:history="1">
        <w:r w:rsidRPr="008A698E">
          <w:rPr>
            <w:rStyle w:val="Hyperlink"/>
          </w:rPr>
          <w:t>PI/CMI search facility</w:t>
        </w:r>
        <w:r w:rsidRPr="00EB36D6">
          <w:rPr>
            <w:rStyle w:val="Hyperlink"/>
            <w:color w:val="auto"/>
            <w:u w:val="none"/>
          </w:rPr>
          <w:t>.</w:t>
        </w:r>
      </w:hyperlink>
    </w:p>
    <w:p w14:paraId="53204829" w14:textId="228CFAE4" w:rsidR="00744121" w:rsidRDefault="008E7846" w:rsidP="005C1721">
      <w:pPr>
        <w:autoSpaceDE w:val="0"/>
        <w:autoSpaceDN w:val="0"/>
        <w:adjustRightInd w:val="0"/>
        <w:spacing w:after="0"/>
      </w:pPr>
      <w:r w:rsidRPr="00C80137">
        <w:rPr>
          <w:b/>
        </w:rPr>
        <w:br w:type="page"/>
      </w:r>
    </w:p>
    <w:p w14:paraId="187D3B44" w14:textId="77777777" w:rsidR="00C80137" w:rsidRPr="001D043B" w:rsidRDefault="00C80137" w:rsidP="003A7F6C">
      <w:pPr>
        <w:pStyle w:val="TableTitle"/>
        <w:sectPr w:rsidR="00C80137" w:rsidRPr="001D043B" w:rsidSect="00B452CE">
          <w:headerReference w:type="even" r:id="rId41"/>
          <w:headerReference w:type="default" r:id="rId42"/>
          <w:headerReference w:type="first" r:id="rId43"/>
          <w:footerReference w:type="first" r:id="rId4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F521887" w14:textId="77777777" w:rsidTr="00A05FA4">
        <w:trPr>
          <w:trHeight w:hRule="exact" w:val="704"/>
        </w:trPr>
        <w:tc>
          <w:tcPr>
            <w:tcW w:w="9175" w:type="dxa"/>
          </w:tcPr>
          <w:p w14:paraId="17576889" w14:textId="77777777" w:rsidR="001C32CD" w:rsidRPr="00487162" w:rsidRDefault="001C32CD" w:rsidP="00A05FA4">
            <w:pPr>
              <w:pStyle w:val="TGASignoff"/>
            </w:pPr>
            <w:r w:rsidRPr="00487162">
              <w:lastRenderedPageBreak/>
              <w:t>Therapeutic Goods Administration</w:t>
            </w:r>
          </w:p>
        </w:tc>
      </w:tr>
      <w:tr w:rsidR="001C32CD" w:rsidRPr="004C239D" w14:paraId="6B663AED" w14:textId="77777777" w:rsidTr="00A05FA4">
        <w:trPr>
          <w:trHeight w:val="1221"/>
        </w:trPr>
        <w:tc>
          <w:tcPr>
            <w:tcW w:w="9175" w:type="dxa"/>
            <w:tcMar>
              <w:top w:w="28" w:type="dxa"/>
            </w:tcMar>
          </w:tcPr>
          <w:p w14:paraId="5B83B4D4" w14:textId="77777777" w:rsidR="001C32CD" w:rsidRPr="00487162" w:rsidRDefault="001C32CD" w:rsidP="00A05FA4">
            <w:pPr>
              <w:pStyle w:val="Address"/>
            </w:pPr>
            <w:r w:rsidRPr="00487162">
              <w:t>PO Box 100 Woden ACT 2606 Australia</w:t>
            </w:r>
          </w:p>
          <w:p w14:paraId="66BD1549" w14:textId="6E4FC72B" w:rsidR="001C32CD" w:rsidRPr="00487162" w:rsidRDefault="001C32CD" w:rsidP="00A05FA4">
            <w:pPr>
              <w:pStyle w:val="Address"/>
            </w:pPr>
            <w:r w:rsidRPr="00487162">
              <w:t xml:space="preserve">Email: </w:t>
            </w:r>
            <w:hyperlink r:id="rId45"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EE67D6A" w14:textId="0598A1DA" w:rsidR="001C32CD" w:rsidRPr="004C239D" w:rsidRDefault="00B22E7C" w:rsidP="00A05FA4">
            <w:pPr>
              <w:pStyle w:val="Address"/>
              <w:spacing w:line="260" w:lineRule="atLeast"/>
              <w:rPr>
                <w:b/>
                <w:color w:val="0000FF"/>
                <w:u w:val="single"/>
              </w:rPr>
            </w:pPr>
            <w:hyperlink r:id="rId46" w:history="1">
              <w:r w:rsidR="007C6B9B" w:rsidRPr="007C6B9B">
                <w:rPr>
                  <w:rStyle w:val="Hyperlink"/>
                  <w:b/>
                </w:rPr>
                <w:t>https://www.tga.gov.au</w:t>
              </w:r>
            </w:hyperlink>
          </w:p>
        </w:tc>
      </w:tr>
    </w:tbl>
    <w:p w14:paraId="4BEF73D5" w14:textId="77777777"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F9E74" w14:textId="77777777" w:rsidR="00066CBF" w:rsidRDefault="00066CBF" w:rsidP="00C40A36">
      <w:pPr>
        <w:spacing w:after="0"/>
      </w:pPr>
      <w:r>
        <w:separator/>
      </w:r>
    </w:p>
  </w:endnote>
  <w:endnote w:type="continuationSeparator" w:id="0">
    <w:p w14:paraId="069D111B" w14:textId="77777777" w:rsidR="00066CBF" w:rsidRDefault="00066CBF" w:rsidP="00C40A36">
      <w:pPr>
        <w:spacing w:after="0"/>
      </w:pPr>
      <w:r>
        <w:continuationSeparator/>
      </w:r>
    </w:p>
  </w:endnote>
  <w:endnote w:type="continuationNotice" w:id="1">
    <w:p w14:paraId="41FF02D9" w14:textId="77777777" w:rsidR="00066CBF" w:rsidRDefault="00066C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B3E57" w:rsidRPr="00487162" w14:paraId="3F346D35" w14:textId="77777777" w:rsidTr="00DB750B">
      <w:trPr>
        <w:trHeight w:val="269"/>
      </w:trPr>
      <w:tc>
        <w:tcPr>
          <w:tcW w:w="7371" w:type="dxa"/>
          <w:tcMar>
            <w:top w:w="142" w:type="dxa"/>
            <w:bottom w:w="0" w:type="dxa"/>
          </w:tcMar>
        </w:tcPr>
        <w:p w14:paraId="3BF690C2" w14:textId="4FBE6763" w:rsidR="009B3E57" w:rsidRPr="00487162" w:rsidRDefault="009B3E57" w:rsidP="00460036">
          <w:pPr>
            <w:pStyle w:val="Footer"/>
          </w:pPr>
          <w:r w:rsidRPr="00487162">
            <w:t>AusPA</w:t>
          </w:r>
          <w:r>
            <w:t>R - Ngenla</w:t>
          </w:r>
          <w:r w:rsidRPr="00CD56CC">
            <w:t xml:space="preserve"> - </w:t>
          </w:r>
          <w:r>
            <w:t>s</w:t>
          </w:r>
          <w:r w:rsidRPr="00CD56CC">
            <w:t>omatrogon - Pfizer Australia Pty Ltd - PM-2020-05916-1-5</w:t>
          </w:r>
          <w:r>
            <w:br/>
          </w:r>
          <w:r w:rsidR="003735CC">
            <w:t>FINAL</w:t>
          </w:r>
          <w:r w:rsidRPr="00487162">
            <w:t xml:space="preserve"> </w:t>
          </w:r>
          <w:r w:rsidR="003735CC">
            <w:t>13 January 2023</w:t>
          </w:r>
        </w:p>
      </w:tc>
      <w:tc>
        <w:tcPr>
          <w:tcW w:w="1490" w:type="dxa"/>
          <w:tcMar>
            <w:top w:w="142" w:type="dxa"/>
            <w:bottom w:w="0" w:type="dxa"/>
          </w:tcMar>
        </w:tcPr>
        <w:p w14:paraId="7D1C3BF0" w14:textId="1534B871" w:rsidR="009B3E57" w:rsidRPr="00487162" w:rsidRDefault="009B3E57" w:rsidP="00DB750B">
          <w:pPr>
            <w:pStyle w:val="Footer"/>
            <w:jc w:val="right"/>
          </w:pPr>
          <w:r w:rsidRPr="00487162">
            <w:t xml:space="preserve">Page </w:t>
          </w:r>
          <w:r>
            <w:fldChar w:fldCharType="begin"/>
          </w:r>
          <w:r>
            <w:instrText xml:space="preserve"> PAGE  \* Arabic </w:instrText>
          </w:r>
          <w:r>
            <w:fldChar w:fldCharType="separate"/>
          </w:r>
          <w:r w:rsidR="00D23AB3">
            <w:rPr>
              <w:noProof/>
            </w:rPr>
            <w:t>16</w:t>
          </w:r>
          <w:r>
            <w:fldChar w:fldCharType="end"/>
          </w:r>
          <w:r w:rsidRPr="00487162">
            <w:t xml:space="preserve"> of </w:t>
          </w:r>
          <w:r>
            <w:fldChar w:fldCharType="begin"/>
          </w:r>
          <w:r>
            <w:instrText>NUMPAGES  \* Arabic</w:instrText>
          </w:r>
          <w:r>
            <w:fldChar w:fldCharType="separate"/>
          </w:r>
          <w:r w:rsidR="00D23AB3">
            <w:rPr>
              <w:noProof/>
            </w:rPr>
            <w:t>33</w:t>
          </w:r>
          <w:r>
            <w:fldChar w:fldCharType="end"/>
          </w:r>
        </w:p>
      </w:tc>
    </w:tr>
  </w:tbl>
  <w:p w14:paraId="594E7061" w14:textId="77777777" w:rsidR="009B3E57" w:rsidRDefault="009B3E57"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B3E57" w:rsidRPr="00487162" w14:paraId="66C4C658" w14:textId="77777777" w:rsidTr="00E45619">
      <w:trPr>
        <w:trHeight w:val="269"/>
      </w:trPr>
      <w:tc>
        <w:tcPr>
          <w:tcW w:w="4519" w:type="dxa"/>
          <w:tcBorders>
            <w:top w:val="single" w:sz="4" w:space="0" w:color="auto"/>
          </w:tcBorders>
          <w:tcMar>
            <w:top w:w="142" w:type="dxa"/>
            <w:bottom w:w="0" w:type="dxa"/>
          </w:tcMar>
        </w:tcPr>
        <w:p w14:paraId="37AAF816" w14:textId="77777777" w:rsidR="009B3E57" w:rsidRPr="00487162" w:rsidRDefault="009B3E57" w:rsidP="00FE1DEE">
          <w:pPr>
            <w:pStyle w:val="Footer"/>
          </w:pPr>
          <w:r w:rsidRPr="00487162">
            <w:t>Document title, Part #, Section # - Section title</w:t>
          </w:r>
        </w:p>
        <w:p w14:paraId="34FC3990" w14:textId="77777777" w:rsidR="009B3E57" w:rsidRPr="00487162" w:rsidRDefault="009B3E57" w:rsidP="00FE1DEE">
          <w:pPr>
            <w:pStyle w:val="Footer"/>
          </w:pPr>
          <w:r w:rsidRPr="00487162">
            <w:t>V1.0 October 2010</w:t>
          </w:r>
        </w:p>
      </w:tc>
      <w:tc>
        <w:tcPr>
          <w:tcW w:w="4342" w:type="dxa"/>
          <w:tcBorders>
            <w:top w:val="single" w:sz="4" w:space="0" w:color="auto"/>
          </w:tcBorders>
          <w:tcMar>
            <w:top w:w="142" w:type="dxa"/>
            <w:bottom w:w="0" w:type="dxa"/>
          </w:tcMar>
        </w:tcPr>
        <w:p w14:paraId="4B390D6C" w14:textId="77777777" w:rsidR="009B3E57" w:rsidRPr="00487162" w:rsidRDefault="009B3E5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25F9FD34" w14:textId="77777777" w:rsidR="009B3E57" w:rsidRDefault="009B3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7305" w14:textId="77777777" w:rsidR="009B3E57" w:rsidRPr="001C32CD" w:rsidRDefault="009B3E57"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B3E57" w14:paraId="12915B49" w14:textId="77777777" w:rsidTr="0010601F">
      <w:trPr>
        <w:trHeight w:val="108"/>
      </w:trPr>
      <w:tc>
        <w:tcPr>
          <w:tcW w:w="8875" w:type="dxa"/>
          <w:gridSpan w:val="2"/>
          <w:tcBorders>
            <w:bottom w:val="single" w:sz="4" w:space="0" w:color="auto"/>
          </w:tcBorders>
          <w:tcMar>
            <w:right w:w="284" w:type="dxa"/>
          </w:tcMar>
        </w:tcPr>
        <w:p w14:paraId="548E4F81" w14:textId="77777777" w:rsidR="009B3E57" w:rsidRDefault="009B3E57" w:rsidP="006E08B3">
          <w:pPr>
            <w:pStyle w:val="Heading3"/>
          </w:pPr>
          <w:r>
            <w:t>Copyright</w:t>
          </w:r>
        </w:p>
        <w:p w14:paraId="728CE97E" w14:textId="77777777" w:rsidR="009B3E57" w:rsidRDefault="009B3E57" w:rsidP="006E08B3">
          <w:r>
            <w:rPr>
              <w:rFonts w:cs="Arial"/>
            </w:rPr>
            <w:t>©</w:t>
          </w:r>
          <w:r>
            <w:t xml:space="preserve"> Commonwealth of Australia [add year]</w:t>
          </w:r>
        </w:p>
        <w:p w14:paraId="22E67A9D" w14:textId="77777777" w:rsidR="009B3E57" w:rsidRDefault="009B3E57" w:rsidP="006E08B3"/>
        <w:p w14:paraId="7EFAABFA" w14:textId="77777777" w:rsidR="009B3E57" w:rsidRDefault="009B3E5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1A498F1" w14:textId="77777777" w:rsidR="009B3E57" w:rsidRDefault="009B3E57" w:rsidP="006E08B3"/>
        <w:p w14:paraId="528C50F5" w14:textId="77777777" w:rsidR="009B3E57" w:rsidRDefault="009B3E57" w:rsidP="006E08B3">
          <w:pPr>
            <w:pStyle w:val="Heading3"/>
          </w:pPr>
          <w:r>
            <w:t>Confidentiality</w:t>
          </w:r>
        </w:p>
        <w:p w14:paraId="6C0AA722" w14:textId="77777777" w:rsidR="009B3E57" w:rsidRDefault="009B3E5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FBAC546" w14:textId="77777777" w:rsidR="009B3E57" w:rsidRDefault="009B3E57" w:rsidP="006E08B3"/>
        <w:p w14:paraId="6B2F0D6E" w14:textId="77777777" w:rsidR="009B3E57" w:rsidRDefault="009B3E57" w:rsidP="006E08B3">
          <w:r>
            <w:t>For submission made by individuals, all personal details, other than your name, will be removed from your submission before it is published on the TGA’s Internet site.</w:t>
          </w:r>
        </w:p>
        <w:p w14:paraId="072330AC" w14:textId="77777777" w:rsidR="009B3E57" w:rsidRDefault="009B3E57" w:rsidP="006E08B3"/>
        <w:p w14:paraId="6C0EE5C3" w14:textId="77777777" w:rsidR="009B3E57" w:rsidRDefault="009B3E5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B3E57" w14:paraId="066EF323" w14:textId="77777777" w:rsidTr="0010601F">
      <w:trPr>
        <w:trHeight w:val="417"/>
      </w:trPr>
      <w:tc>
        <w:tcPr>
          <w:tcW w:w="4519" w:type="dxa"/>
          <w:tcBorders>
            <w:top w:val="single" w:sz="4" w:space="0" w:color="auto"/>
          </w:tcBorders>
          <w:tcMar>
            <w:top w:w="142" w:type="dxa"/>
            <w:bottom w:w="0" w:type="dxa"/>
          </w:tcMar>
        </w:tcPr>
        <w:p w14:paraId="6D67B34B" w14:textId="77777777" w:rsidR="009B3E57" w:rsidRDefault="009B3E57" w:rsidP="006E08B3">
          <w:r>
            <w:t>Document title, Part #, Section # - Section title</w:t>
          </w:r>
        </w:p>
        <w:p w14:paraId="3E5631CB" w14:textId="77777777" w:rsidR="009B3E57" w:rsidRDefault="009B3E57" w:rsidP="006E08B3">
          <w:r>
            <w:t>V1.0 October 2010</w:t>
          </w:r>
        </w:p>
      </w:tc>
      <w:tc>
        <w:tcPr>
          <w:tcW w:w="4356" w:type="dxa"/>
          <w:tcBorders>
            <w:top w:val="single" w:sz="4" w:space="0" w:color="auto"/>
          </w:tcBorders>
          <w:tcMar>
            <w:top w:w="142" w:type="dxa"/>
            <w:bottom w:w="0" w:type="dxa"/>
          </w:tcMar>
        </w:tcPr>
        <w:p w14:paraId="0BC101CE" w14:textId="77777777" w:rsidR="009B3E57" w:rsidRDefault="009B3E5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69723B23" w14:textId="77777777" w:rsidR="009B3E57" w:rsidRDefault="009B3E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ED16" w14:textId="77777777" w:rsidR="00066CBF" w:rsidRDefault="00066CBF" w:rsidP="00C40A36">
      <w:pPr>
        <w:spacing w:after="0"/>
      </w:pPr>
      <w:r>
        <w:separator/>
      </w:r>
    </w:p>
  </w:footnote>
  <w:footnote w:type="continuationSeparator" w:id="0">
    <w:p w14:paraId="11A52A1C" w14:textId="77777777" w:rsidR="00066CBF" w:rsidRDefault="00066CBF" w:rsidP="00C40A36">
      <w:pPr>
        <w:spacing w:after="0"/>
      </w:pPr>
      <w:r>
        <w:continuationSeparator/>
      </w:r>
    </w:p>
  </w:footnote>
  <w:footnote w:type="continuationNotice" w:id="1">
    <w:p w14:paraId="156F4087" w14:textId="77777777" w:rsidR="00066CBF" w:rsidRDefault="00066CBF">
      <w:pPr>
        <w:spacing w:before="0" w:after="0" w:line="240" w:lineRule="auto"/>
      </w:pPr>
    </w:p>
  </w:footnote>
  <w:footnote w:id="2">
    <w:p w14:paraId="08CBAEF0" w14:textId="77777777" w:rsidR="009B3E57" w:rsidRDefault="009B3E57">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5CD66D52" w14:textId="5B18A36B" w:rsidR="00F87D39" w:rsidRPr="00C66833" w:rsidRDefault="00F87D39">
      <w:pPr>
        <w:pStyle w:val="FootnoteText"/>
        <w:rPr>
          <w:lang w:val="en-GB"/>
        </w:rPr>
      </w:pPr>
      <w:r>
        <w:rPr>
          <w:rStyle w:val="FootnoteReference"/>
        </w:rPr>
        <w:footnoteRef/>
      </w:r>
      <w:r>
        <w:t xml:space="preserve"> </w:t>
      </w:r>
      <w:r w:rsidRPr="00F87D39">
        <w:t xml:space="preserve">Reh CS, </w:t>
      </w:r>
      <w:proofErr w:type="spellStart"/>
      <w:r w:rsidRPr="00F87D39">
        <w:t>Geffner</w:t>
      </w:r>
      <w:proofErr w:type="spellEnd"/>
      <w:r w:rsidRPr="00F87D39">
        <w:t xml:space="preserve"> ME. Somatotropin in the treatment of growth hormone deficiency and Turner syndrome in pediatric patients: a review.</w:t>
      </w:r>
      <w:r w:rsidRPr="00C66833">
        <w:rPr>
          <w:i/>
        </w:rPr>
        <w:t xml:space="preserve"> Clin </w:t>
      </w:r>
      <w:proofErr w:type="spellStart"/>
      <w:r w:rsidRPr="00C66833">
        <w:rPr>
          <w:i/>
        </w:rPr>
        <w:t>Pharmacol</w:t>
      </w:r>
      <w:proofErr w:type="spellEnd"/>
      <w:r w:rsidRPr="00C66833">
        <w:rPr>
          <w:i/>
        </w:rPr>
        <w:t>.</w:t>
      </w:r>
      <w:r w:rsidRPr="00F87D39">
        <w:t xml:space="preserve"> </w:t>
      </w:r>
      <w:proofErr w:type="gramStart"/>
      <w:r w:rsidRPr="00F87D39">
        <w:t>2010;2:111</w:t>
      </w:r>
      <w:proofErr w:type="gramEnd"/>
      <w:r w:rsidRPr="00F87D39">
        <w:t>-122.</w:t>
      </w:r>
    </w:p>
  </w:footnote>
  <w:footnote w:id="4">
    <w:p w14:paraId="20378F57" w14:textId="42C84196" w:rsidR="009B3E57" w:rsidRDefault="009B3E57">
      <w:pPr>
        <w:pStyle w:val="FootnoteText"/>
      </w:pPr>
      <w:r>
        <w:rPr>
          <w:rStyle w:val="FootnoteReference"/>
        </w:rPr>
        <w:footnoteRef/>
      </w:r>
      <w:r>
        <w:t xml:space="preserve"> Australian Government Department of Health Pharmaceutical Benefit Scheme (PBS), </w:t>
      </w:r>
      <w:r w:rsidRPr="00F75068">
        <w:t>Browse by Section 100 Item List</w:t>
      </w:r>
      <w:r>
        <w:t xml:space="preserve">, </w:t>
      </w:r>
      <w:r w:rsidRPr="00F75068">
        <w:t>PBS Growth Hormone Program</w:t>
      </w:r>
      <w:r>
        <w:t xml:space="preserve">. Available at: </w:t>
      </w:r>
      <w:hyperlink r:id="rId1" w:history="1">
        <w:r w:rsidRPr="001F7DE8">
          <w:rPr>
            <w:rStyle w:val="Hyperlink"/>
          </w:rPr>
          <w:t>https://www.pbs.gov.au/browse/section100-gh</w:t>
        </w:r>
      </w:hyperlink>
      <w:r>
        <w:t>.</w:t>
      </w:r>
    </w:p>
  </w:footnote>
  <w:footnote w:id="5">
    <w:p w14:paraId="7D539600" w14:textId="1B3A6080" w:rsidR="00CD7293" w:rsidRPr="00CD7293" w:rsidRDefault="00CD7293" w:rsidP="00CD7293">
      <w:pPr>
        <w:pStyle w:val="FootnoteText"/>
      </w:pPr>
      <w:r>
        <w:rPr>
          <w:rStyle w:val="FootnoteReference"/>
        </w:rPr>
        <w:footnoteRef/>
      </w:r>
      <w:r>
        <w:t xml:space="preserve"> The Child and Adolescent Growth Committee of the Australia and New Zeeland Society for Paediatric Endocrinology and Diabetes (ANZSPED) is in current operation, succeeding and building</w:t>
      </w:r>
      <w:r w:rsidRPr="00CD7293">
        <w:t xml:space="preserve"> upon the knowledge and experience of the Australasian Growth Hormone Committee and database (OZGROW) and the Growth Hormone Advisory Committee (GHAC).</w:t>
      </w:r>
      <w:r>
        <w:t xml:space="preserve"> </w:t>
      </w:r>
      <w:r w:rsidRPr="00CD7293">
        <w:t>This committee is comprised of paediatric endocrinologists, specialist nurses, an</w:t>
      </w:r>
      <w:r>
        <w:t>d researchers in human growth.</w:t>
      </w:r>
    </w:p>
  </w:footnote>
  <w:footnote w:id="6">
    <w:p w14:paraId="6128B3EF" w14:textId="5389D212" w:rsidR="009B3E57" w:rsidRDefault="009B3E57">
      <w:pPr>
        <w:pStyle w:val="FootnoteText"/>
      </w:pPr>
      <w:r>
        <w:rPr>
          <w:rStyle w:val="FootnoteReference"/>
        </w:rPr>
        <w:footnoteRef/>
      </w:r>
      <w:r>
        <w:t xml:space="preserve"> </w:t>
      </w:r>
      <w:r w:rsidRPr="003856B1">
        <w:t>OZGROW Annual Report 2011</w:t>
      </w:r>
      <w:r>
        <w:t xml:space="preserve">. Available at: </w:t>
      </w:r>
      <w:hyperlink r:id="rId2" w:history="1">
        <w:r w:rsidRPr="001F7DE8">
          <w:rPr>
            <w:rStyle w:val="Hyperlink"/>
          </w:rPr>
          <w:t>https://d192ha6kdpe15x.cloudfront.net/apeg/assets/uploads/2015/11/ozgrow+annual+report+2011.pdf</w:t>
        </w:r>
      </w:hyperlink>
      <w:r>
        <w:t>.</w:t>
      </w:r>
    </w:p>
  </w:footnote>
  <w:footnote w:id="7">
    <w:p w14:paraId="50751E80" w14:textId="77777777" w:rsidR="009B3E57" w:rsidRDefault="009B3E57" w:rsidP="003856B1">
      <w:pPr>
        <w:pStyle w:val="FootnoteText"/>
      </w:pPr>
      <w:r>
        <w:rPr>
          <w:rStyle w:val="FootnoteReference"/>
        </w:rPr>
        <w:footnoteRef/>
      </w:r>
      <w:r>
        <w:t xml:space="preserve"> </w:t>
      </w:r>
      <w:r w:rsidRPr="003856B1">
        <w:t>Genotropin was first registered on the ARTG on 2</w:t>
      </w:r>
      <w:r>
        <w:t xml:space="preserve"> July </w:t>
      </w:r>
      <w:r w:rsidRPr="003856B1">
        <w:t>2001 (ARTG number: 78811).</w:t>
      </w:r>
    </w:p>
  </w:footnote>
  <w:footnote w:id="8">
    <w:p w14:paraId="7CA5BB82" w14:textId="3F063DD1" w:rsidR="009B3E57" w:rsidRDefault="009B3E57" w:rsidP="003856B1">
      <w:pPr>
        <w:pStyle w:val="FootnoteText"/>
      </w:pPr>
      <w:r>
        <w:rPr>
          <w:rStyle w:val="FootnoteReference"/>
        </w:rPr>
        <w:footnoteRef/>
      </w:r>
      <w:r>
        <w:t xml:space="preserve"> </w:t>
      </w:r>
      <w:r w:rsidRPr="003856B1">
        <w:t>Omnitrope was first registered on the ARTG on 29</w:t>
      </w:r>
      <w:r>
        <w:t xml:space="preserve"> September </w:t>
      </w:r>
      <w:r w:rsidRPr="003856B1">
        <w:t>2010 (ARTG number: 162522).</w:t>
      </w:r>
    </w:p>
  </w:footnote>
  <w:footnote w:id="9">
    <w:p w14:paraId="4A75E77D" w14:textId="43D645DF" w:rsidR="009B3E57" w:rsidRDefault="009B3E57" w:rsidP="003856B1">
      <w:pPr>
        <w:pStyle w:val="FootnoteText"/>
      </w:pPr>
      <w:r>
        <w:rPr>
          <w:rStyle w:val="FootnoteReference"/>
        </w:rPr>
        <w:footnoteRef/>
      </w:r>
      <w:r>
        <w:t xml:space="preserve"> </w:t>
      </w:r>
      <w:r w:rsidRPr="00F767ED">
        <w:t>Norditropin Flexpro</w:t>
      </w:r>
      <w:r w:rsidRPr="003856B1">
        <w:t xml:space="preserve"> was first registered on the ARTG on </w:t>
      </w:r>
      <w:r w:rsidRPr="00F767ED">
        <w:t>9</w:t>
      </w:r>
      <w:r>
        <w:t xml:space="preserve"> May </w:t>
      </w:r>
      <w:r w:rsidRPr="00F767ED">
        <w:t>2011</w:t>
      </w:r>
      <w:r w:rsidRPr="003856B1">
        <w:t xml:space="preserve"> (ARTG number:</w:t>
      </w:r>
      <w:r w:rsidRPr="00F767ED">
        <w:t>173396</w:t>
      </w:r>
      <w:r>
        <w:t xml:space="preserve">, </w:t>
      </w:r>
      <w:r w:rsidRPr="00F767ED">
        <w:t>173398</w:t>
      </w:r>
      <w:r>
        <w:t xml:space="preserve"> and </w:t>
      </w:r>
      <w:r w:rsidRPr="00F767ED">
        <w:t>173399</w:t>
      </w:r>
      <w:r w:rsidRPr="003856B1">
        <w:t>).</w:t>
      </w:r>
    </w:p>
  </w:footnote>
  <w:footnote w:id="10">
    <w:p w14:paraId="2EF1AA48" w14:textId="48DF60AA" w:rsidR="009B3E57" w:rsidRDefault="009B3E57" w:rsidP="00F767ED">
      <w:pPr>
        <w:pStyle w:val="FootnoteText"/>
      </w:pPr>
      <w:r>
        <w:rPr>
          <w:rStyle w:val="FootnoteReference"/>
        </w:rPr>
        <w:footnoteRef/>
      </w:r>
      <w:r>
        <w:t xml:space="preserve"> </w:t>
      </w:r>
      <w:r w:rsidRPr="00F767ED">
        <w:t>Humatrope</w:t>
      </w:r>
      <w:r w:rsidRPr="003856B1">
        <w:t xml:space="preserve"> was first registered on the ARTG on </w:t>
      </w:r>
      <w:r w:rsidRPr="00F767ED">
        <w:t>24</w:t>
      </w:r>
      <w:r>
        <w:t xml:space="preserve"> October </w:t>
      </w:r>
      <w:r w:rsidRPr="00F767ED">
        <w:t>1995</w:t>
      </w:r>
      <w:r>
        <w:t xml:space="preserve"> </w:t>
      </w:r>
      <w:r w:rsidRPr="003856B1">
        <w:t xml:space="preserve">(ARTG number: </w:t>
      </w:r>
      <w:r w:rsidRPr="00F767ED">
        <w:t>53364</w:t>
      </w:r>
      <w:r>
        <w:t xml:space="preserve">, </w:t>
      </w:r>
      <w:r w:rsidRPr="00F767ED">
        <w:t>53365</w:t>
      </w:r>
      <w:r>
        <w:t xml:space="preserve"> and </w:t>
      </w:r>
      <w:r w:rsidRPr="00F767ED">
        <w:t>53423</w:t>
      </w:r>
      <w:r w:rsidRPr="003856B1">
        <w:t>).</w:t>
      </w:r>
    </w:p>
  </w:footnote>
  <w:footnote w:id="11">
    <w:p w14:paraId="4A8AA437" w14:textId="7F786BEA" w:rsidR="009B3E57" w:rsidRDefault="009B3E57" w:rsidP="00F767ED">
      <w:pPr>
        <w:pStyle w:val="FootnoteText"/>
      </w:pPr>
      <w:r>
        <w:rPr>
          <w:rStyle w:val="FootnoteReference"/>
        </w:rPr>
        <w:footnoteRef/>
      </w:r>
      <w:r>
        <w:t xml:space="preserve"> </w:t>
      </w:r>
      <w:r w:rsidRPr="00F767ED">
        <w:t>Saizen</w:t>
      </w:r>
      <w:r w:rsidRPr="003856B1">
        <w:t xml:space="preserve"> was first registered on the ARTG on </w:t>
      </w:r>
      <w:r w:rsidRPr="00F767ED">
        <w:t>22</w:t>
      </w:r>
      <w:r>
        <w:t xml:space="preserve"> August </w:t>
      </w:r>
      <w:r w:rsidRPr="00F767ED">
        <w:t>2011</w:t>
      </w:r>
      <w:r w:rsidRPr="003856B1">
        <w:t xml:space="preserve"> (ARTG number: </w:t>
      </w:r>
      <w:r w:rsidRPr="00F767ED">
        <w:t>166475</w:t>
      </w:r>
      <w:r>
        <w:t xml:space="preserve">, </w:t>
      </w:r>
      <w:r w:rsidRPr="00F767ED">
        <w:t>166478</w:t>
      </w:r>
      <w:r>
        <w:t xml:space="preserve"> and </w:t>
      </w:r>
      <w:r w:rsidRPr="00F767ED">
        <w:t>166479</w:t>
      </w:r>
      <w:r w:rsidRPr="003856B1">
        <w:t>).</w:t>
      </w:r>
    </w:p>
  </w:footnote>
  <w:footnote w:id="12">
    <w:p w14:paraId="5635A431" w14:textId="275313A2" w:rsidR="009B3E57" w:rsidRDefault="009B3E57" w:rsidP="00F767ED">
      <w:pPr>
        <w:pStyle w:val="FootnoteText"/>
      </w:pPr>
      <w:r>
        <w:rPr>
          <w:rStyle w:val="FootnoteReference"/>
        </w:rPr>
        <w:footnoteRef/>
      </w:r>
      <w:r>
        <w:t xml:space="preserve"> </w:t>
      </w:r>
      <w:r w:rsidRPr="0019713A">
        <w:t>Nutropin AQ</w:t>
      </w:r>
      <w:r w:rsidRPr="003856B1">
        <w:t xml:space="preserve"> was first registered on the ARTG on </w:t>
      </w:r>
      <w:r w:rsidRPr="0019713A">
        <w:t>10</w:t>
      </w:r>
      <w:r>
        <w:t xml:space="preserve"> July </w:t>
      </w:r>
      <w:r w:rsidRPr="0019713A">
        <w:t>2006</w:t>
      </w:r>
      <w:r w:rsidRPr="003856B1">
        <w:t xml:space="preserve"> (ARTG number: </w:t>
      </w:r>
      <w:r w:rsidRPr="0019713A">
        <w:t>116678</w:t>
      </w:r>
      <w:r w:rsidRPr="003856B1">
        <w:t>).</w:t>
      </w:r>
    </w:p>
  </w:footnote>
  <w:footnote w:id="13">
    <w:p w14:paraId="7157BA5D" w14:textId="790693DA" w:rsidR="009B3E57" w:rsidRDefault="009B3E57" w:rsidP="00F767ED">
      <w:pPr>
        <w:pStyle w:val="FootnoteText"/>
      </w:pPr>
      <w:r>
        <w:rPr>
          <w:rStyle w:val="FootnoteReference"/>
        </w:rPr>
        <w:footnoteRef/>
      </w:r>
      <w:r>
        <w:t xml:space="preserve"> </w:t>
      </w:r>
      <w:r w:rsidRPr="009E4029">
        <w:t>Scitropin A</w:t>
      </w:r>
      <w:r w:rsidRPr="003856B1">
        <w:t xml:space="preserve"> was first registered on the ARTG on </w:t>
      </w:r>
      <w:r w:rsidRPr="009E4029">
        <w:t>31</w:t>
      </w:r>
      <w:r>
        <w:t xml:space="preserve"> October </w:t>
      </w:r>
      <w:r w:rsidRPr="009E4029">
        <w:t xml:space="preserve">2007 </w:t>
      </w:r>
      <w:r w:rsidRPr="003856B1">
        <w:t xml:space="preserve">(ARTG number: </w:t>
      </w:r>
      <w:r w:rsidRPr="009E4029">
        <w:t>140322</w:t>
      </w:r>
      <w:r w:rsidRPr="003856B1">
        <w:t>).</w:t>
      </w:r>
    </w:p>
  </w:footnote>
  <w:footnote w:id="14">
    <w:p w14:paraId="56927481" w14:textId="367EFB80" w:rsidR="009B3E57" w:rsidRDefault="009B3E57">
      <w:pPr>
        <w:pStyle w:val="FootnoteText"/>
      </w:pPr>
      <w:r>
        <w:rPr>
          <w:rStyle w:val="FootnoteReference"/>
        </w:rPr>
        <w:footnoteRef/>
      </w:r>
      <w:r>
        <w:t xml:space="preserve"> </w:t>
      </w:r>
      <w:r w:rsidRPr="00B5084B">
        <w:t xml:space="preserve">A </w:t>
      </w:r>
      <w:r w:rsidRPr="00B5084B">
        <w:rPr>
          <w:b/>
          <w:bCs/>
        </w:rPr>
        <w:t>Category 3 application</w:t>
      </w:r>
      <w:r w:rsidRPr="00B5084B">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15">
    <w:p w14:paraId="1450A29F" w14:textId="7B2660FB" w:rsidR="009B3E57" w:rsidRDefault="009B3E57">
      <w:pPr>
        <w:pStyle w:val="FootnoteText"/>
      </w:pPr>
      <w:r>
        <w:rPr>
          <w:rStyle w:val="FootnoteReference"/>
        </w:rPr>
        <w:footnoteRef/>
      </w:r>
      <w:r>
        <w:t xml:space="preserve"> </w:t>
      </w:r>
      <w:r w:rsidRPr="00EF634C">
        <w:t xml:space="preserve">European Medicines Agency (EMA), Committee for medicinal products for human use (CHMP), ICH guideline S6 (R1) - preclinical safety evaluation of biotechnology-derived pharmaceuticals, </w:t>
      </w:r>
      <w:r>
        <w:t>E</w:t>
      </w:r>
      <w:r w:rsidRPr="00EF634C">
        <w:t>MA/CHMP/ICH/731268/1998, June 2011.</w:t>
      </w:r>
    </w:p>
  </w:footnote>
  <w:footnote w:id="16">
    <w:p w14:paraId="29D1209E" w14:textId="639624A2" w:rsidR="009B3E57" w:rsidRDefault="009B3E57">
      <w:pPr>
        <w:pStyle w:val="FootnoteText"/>
      </w:pPr>
      <w:r>
        <w:rPr>
          <w:rStyle w:val="FootnoteReference"/>
        </w:rPr>
        <w:footnoteRef/>
      </w:r>
      <w:r>
        <w:t xml:space="preserve"> </w:t>
      </w:r>
      <w:r w:rsidRPr="00EF634C">
        <w:rPr>
          <w:b/>
          <w:bCs/>
        </w:rPr>
        <w:t>Good Laboratory Practice (GLP)</w:t>
      </w:r>
      <w:r w:rsidRPr="00EF634C">
        <w:t xml:space="preserve"> is a code of standards following the International Council on Harmonisation (ICH) relevant to testing of medicines in laboratories during drug development.</w:t>
      </w:r>
    </w:p>
  </w:footnote>
  <w:footnote w:id="17">
    <w:p w14:paraId="23A49964" w14:textId="77777777" w:rsidR="009B3E57" w:rsidRDefault="009B3E57" w:rsidP="00B5084B">
      <w:pPr>
        <w:pStyle w:val="FootnoteText"/>
      </w:pPr>
      <w:r>
        <w:rPr>
          <w:rStyle w:val="FootnoteReference"/>
        </w:rPr>
        <w:footnoteRef/>
      </w:r>
      <w:r>
        <w:t xml:space="preserve"> </w:t>
      </w:r>
      <w:r w:rsidRPr="00B5084B">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02653382" w14:textId="3A598E01" w:rsidR="009B3E57" w:rsidRDefault="009B3E57" w:rsidP="00B5084B">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18">
    <w:p w14:paraId="4D5BF1B2" w14:textId="27432150" w:rsidR="009B3E57" w:rsidRDefault="009B3E57" w:rsidP="00B5084B">
      <w:pPr>
        <w:pStyle w:val="FootnoteText"/>
      </w:pPr>
      <w:r>
        <w:rPr>
          <w:rStyle w:val="FootnoteReference"/>
        </w:rPr>
        <w:footnoteRef/>
      </w:r>
      <w:r>
        <w:t xml:space="preserve"> </w:t>
      </w:r>
      <w:r w:rsidRPr="00B5084B">
        <w:rPr>
          <w:b/>
          <w:bCs/>
        </w:rPr>
        <w:t>Pregnancy Category B1</w:t>
      </w:r>
      <w:r>
        <w:rPr>
          <w:b/>
          <w:bCs/>
        </w:rPr>
        <w:t>:</w:t>
      </w:r>
      <w:r w:rsidR="009D09CF">
        <w:t xml:space="preserve"> </w:t>
      </w:r>
      <w:r>
        <w:t>Drugs which have been taken by only a limited number of pregnant women and women of childbearing age, without an increase in the frequency of malformation or other direct or indirect harmful effects on the human fetus having been observed.</w:t>
      </w:r>
    </w:p>
    <w:p w14:paraId="733CDE1D" w14:textId="5B540C15" w:rsidR="009B3E57" w:rsidRDefault="009B3E57" w:rsidP="00B5084B">
      <w:pPr>
        <w:pStyle w:val="FootnoteText"/>
      </w:pPr>
      <w:r>
        <w:t>Studies in animals have not shown evidence of an increased occurrence of fetal damage.</w:t>
      </w:r>
    </w:p>
  </w:footnote>
  <w:footnote w:id="19">
    <w:p w14:paraId="52E8F8FF" w14:textId="5561B4F5" w:rsidR="009B3E57" w:rsidRDefault="009B3E57" w:rsidP="00B5084B">
      <w:pPr>
        <w:pStyle w:val="FootnoteText"/>
      </w:pPr>
      <w:r>
        <w:rPr>
          <w:rStyle w:val="FootnoteReference"/>
        </w:rPr>
        <w:footnoteRef/>
      </w:r>
      <w:r>
        <w:t xml:space="preserve"> </w:t>
      </w:r>
      <w:r w:rsidRPr="00B5084B">
        <w:rPr>
          <w:b/>
          <w:bCs/>
        </w:rPr>
        <w:t>Pregnancy Category B2</w:t>
      </w:r>
      <w:r>
        <w:rPr>
          <w:b/>
          <w:bCs/>
        </w:rPr>
        <w:t>:</w:t>
      </w:r>
      <w:r w:rsidR="009D09CF">
        <w:t xml:space="preserve"> </w:t>
      </w:r>
      <w:r>
        <w:t>Drugs which have been taken by only a limited number of pregnant women and women of childbearing age, without an increase in the frequency of malformation or other direct or indirect harmful effects on the human fetus having been observed.</w:t>
      </w:r>
    </w:p>
    <w:p w14:paraId="1C7BF7BF" w14:textId="4EA541E0" w:rsidR="009B3E57" w:rsidRDefault="009B3E57" w:rsidP="00B5084B">
      <w:pPr>
        <w:pStyle w:val="FootnoteText"/>
      </w:pPr>
      <w:r>
        <w:t>Studies in animals are inadequate or may be lacking, but available data show no evidence of an increased occurrence of fetal damage.</w:t>
      </w:r>
    </w:p>
  </w:footnote>
  <w:footnote w:id="20">
    <w:p w14:paraId="6EC3F913" w14:textId="26FA1278" w:rsidR="009B3E57" w:rsidRDefault="009B3E57" w:rsidP="00041159">
      <w:pPr>
        <w:pStyle w:val="FootnoteText"/>
      </w:pPr>
      <w:r w:rsidRPr="001641AC">
        <w:rPr>
          <w:rStyle w:val="FootnoteReference"/>
        </w:rPr>
        <w:footnoteRef/>
      </w:r>
      <w:r w:rsidRPr="001641AC">
        <w:t xml:space="preserve"> Insulin tolerance test, with serum cortisol response to hypoglycaemia if insu</w:t>
      </w:r>
      <w:r>
        <w:t>lin stimulation test is chosen OR Arginine test OR Clonidine test OR Glucagon test OR</w:t>
      </w:r>
      <w:r w:rsidRPr="001641AC">
        <w:t xml:space="preserve"> L-dopa test.</w:t>
      </w:r>
    </w:p>
  </w:footnote>
  <w:footnote w:id="21">
    <w:p w14:paraId="6CAC2506" w14:textId="622082DB" w:rsidR="009B3E57" w:rsidRDefault="009B3E57" w:rsidP="003856B1">
      <w:pPr>
        <w:pStyle w:val="FootnoteText"/>
      </w:pPr>
      <w:r>
        <w:rPr>
          <w:rStyle w:val="FootnoteReference"/>
        </w:rPr>
        <w:footnoteRef/>
      </w:r>
      <w:r>
        <w:t xml:space="preserve"> </w:t>
      </w:r>
      <w:r w:rsidRPr="00796D1C">
        <w:t>Wilton</w:t>
      </w:r>
      <w:r>
        <w:t xml:space="preserve">, P. </w:t>
      </w:r>
      <w:r w:rsidRPr="00796D1C">
        <w:t>and Gunnarsson,</w:t>
      </w:r>
      <w:r>
        <w:t xml:space="preserve"> R. </w:t>
      </w:r>
      <w:r w:rsidRPr="003856B1">
        <w:t xml:space="preserve">Clinical Experience </w:t>
      </w:r>
      <w:r>
        <w:t>w</w:t>
      </w:r>
      <w:r w:rsidRPr="003856B1">
        <w:t xml:space="preserve">ith Genotropin </w:t>
      </w:r>
      <w:r>
        <w:t>i</w:t>
      </w:r>
      <w:r w:rsidRPr="003856B1">
        <w:t>n Growth Hormone Deficient Children</w:t>
      </w:r>
      <w:r>
        <w:t xml:space="preserve">, </w:t>
      </w:r>
      <w:r w:rsidRPr="003856B1">
        <w:rPr>
          <w:i/>
          <w:iCs/>
        </w:rPr>
        <w:t>Acta Paediatr Scand Suppl</w:t>
      </w:r>
      <w:r>
        <w:t>, 1988; 343: 95-101.</w:t>
      </w:r>
    </w:p>
  </w:footnote>
  <w:footnote w:id="22">
    <w:p w14:paraId="7C2DE1AF" w14:textId="02AD14D7" w:rsidR="009B3E57" w:rsidRDefault="009B3E57" w:rsidP="003856B1">
      <w:pPr>
        <w:pStyle w:val="FootnoteText"/>
      </w:pPr>
      <w:r>
        <w:rPr>
          <w:rStyle w:val="FootnoteReference"/>
        </w:rPr>
        <w:footnoteRef/>
      </w:r>
      <w:r>
        <w:t xml:space="preserve"> </w:t>
      </w:r>
      <w:r w:rsidRPr="00796D1C">
        <w:t>MacGillivray</w:t>
      </w:r>
      <w:r>
        <w:t>, M.H.</w:t>
      </w:r>
      <w:r w:rsidRPr="00796D1C">
        <w:t xml:space="preserve"> et al.</w:t>
      </w:r>
      <w:r>
        <w:t xml:space="preserve"> </w:t>
      </w:r>
      <w:r w:rsidRPr="003856B1">
        <w:t xml:space="preserve">Outcome </w:t>
      </w:r>
      <w:r>
        <w:t>o</w:t>
      </w:r>
      <w:r w:rsidRPr="003856B1">
        <w:t xml:space="preserve">f </w:t>
      </w:r>
      <w:r>
        <w:t>a</w:t>
      </w:r>
      <w:r w:rsidRPr="003856B1">
        <w:t xml:space="preserve"> Four-Year Randomized Study </w:t>
      </w:r>
      <w:r>
        <w:t>o</w:t>
      </w:r>
      <w:r w:rsidRPr="003856B1">
        <w:t xml:space="preserve">f Daily Versus Three Times Weekly Somatropin Treatment </w:t>
      </w:r>
      <w:r>
        <w:t>i</w:t>
      </w:r>
      <w:r w:rsidRPr="003856B1">
        <w:t>n Prepubertal Naive Growth Hormone-Deficient Children. Genentech Study Group</w:t>
      </w:r>
      <w:r w:rsidRPr="003856B1">
        <w:rPr>
          <w:i/>
          <w:iCs/>
        </w:rPr>
        <w:t>, J Clin Endocrinol Metab</w:t>
      </w:r>
      <w:r>
        <w:t>, 1996; 81(5): 1806-1809.</w:t>
      </w:r>
    </w:p>
  </w:footnote>
  <w:footnote w:id="23">
    <w:p w14:paraId="4DBEE8E6" w14:textId="0A43BA76" w:rsidR="009B3E57" w:rsidRPr="00456765" w:rsidRDefault="009B3E57"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3"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8E6A" w14:textId="77777777" w:rsidR="009B3E57" w:rsidRDefault="009B3E57"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B1CA" w14:textId="77777777" w:rsidR="009B3E57" w:rsidRDefault="009B3E57">
    <w:pPr>
      <w:rPr>
        <w:noProof/>
        <w:lang w:eastAsia="en-AU"/>
      </w:rPr>
    </w:pPr>
    <w:r w:rsidRPr="00347824">
      <w:rPr>
        <w:noProof/>
        <w:lang w:val="en-GB" w:eastAsia="en-GB"/>
      </w:rPr>
      <w:drawing>
        <wp:anchor distT="0" distB="0" distL="114300" distR="114300" simplePos="0" relativeHeight="251658240" behindDoc="1" locked="0" layoutInCell="1" allowOverlap="1" wp14:anchorId="6739C6D4" wp14:editId="2E8D964C">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F935153" w14:textId="77777777" w:rsidR="009B3E57" w:rsidRDefault="009B3E57"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92C3" w14:textId="77777777" w:rsidR="009B3E57" w:rsidRDefault="009B3E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725E" w14:textId="77777777" w:rsidR="009B3E57" w:rsidRDefault="009B3E57">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AAD9" w14:textId="77777777" w:rsidR="009B3E57" w:rsidRDefault="009B3E5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988" w14:textId="77777777" w:rsidR="009B3E57" w:rsidRDefault="009B3E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9143" w14:textId="77777777" w:rsidR="009B3E57" w:rsidRDefault="009B3E57"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D55" w14:textId="77777777" w:rsidR="009B3E57" w:rsidRDefault="009B3E57" w:rsidP="006E08B3">
    <w:r>
      <w:t>Therapeutic Goods Administration</w:t>
    </w:r>
  </w:p>
  <w:p w14:paraId="24E7FB42" w14:textId="77777777" w:rsidR="009B3E57" w:rsidRDefault="009B3E57"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A97813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36A38D3"/>
    <w:multiLevelType w:val="hybridMultilevel"/>
    <w:tmpl w:val="5D227976"/>
    <w:lvl w:ilvl="0" w:tplc="04F2FB18">
      <w:start w:val="1"/>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0BF2A956"/>
    <w:lvl w:ilvl="0" w:tplc="CA909EE2">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D20C23"/>
    <w:multiLevelType w:val="hybridMultilevel"/>
    <w:tmpl w:val="70BAEB16"/>
    <w:lvl w:ilvl="0" w:tplc="D576D016">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403DA8"/>
    <w:multiLevelType w:val="hybridMultilevel"/>
    <w:tmpl w:val="12F6E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7803154"/>
    <w:multiLevelType w:val="hybridMultilevel"/>
    <w:tmpl w:val="CFB01798"/>
    <w:lvl w:ilvl="0" w:tplc="86FCDBD2">
      <w:start w:val="1"/>
      <w:numFmt w:val="bullet"/>
      <w:lvlText w:val="o"/>
      <w:lvlJc w:val="left"/>
      <w:pPr>
        <w:ind w:left="786" w:hanging="360"/>
      </w:pPr>
      <w:rPr>
        <w:rFonts w:ascii="Courier New" w:hAnsi="Courier New" w:cs="Courier New" w:hint="default"/>
        <w:color w:val="7030A0"/>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E950EF"/>
    <w:multiLevelType w:val="hybridMultilevel"/>
    <w:tmpl w:val="6F48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F97986"/>
    <w:multiLevelType w:val="hybridMultilevel"/>
    <w:tmpl w:val="10E6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1"/>
  </w:num>
  <w:num w:numId="4">
    <w:abstractNumId w:val="11"/>
  </w:num>
  <w:num w:numId="5">
    <w:abstractNumId w:val="0"/>
  </w:num>
  <w:num w:numId="6">
    <w:abstractNumId w:val="11"/>
  </w:num>
  <w:num w:numId="7">
    <w:abstractNumId w:val="11"/>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7"/>
  </w:num>
  <w:num w:numId="17">
    <w:abstractNumId w:val="7"/>
  </w:num>
  <w:num w:numId="18">
    <w:abstractNumId w:val="7"/>
  </w:num>
  <w:num w:numId="19">
    <w:abstractNumId w:val="11"/>
  </w:num>
  <w:num w:numId="20">
    <w:abstractNumId w:val="11"/>
  </w:num>
  <w:num w:numId="21">
    <w:abstractNumId w:val="11"/>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9"/>
  </w:num>
  <w:num w:numId="29">
    <w:abstractNumId w:val="9"/>
  </w:num>
  <w:num w:numId="30">
    <w:abstractNumId w:val="14"/>
  </w:num>
  <w:num w:numId="31">
    <w:abstractNumId w:val="5"/>
  </w:num>
  <w:num w:numId="32">
    <w:abstractNumId w:val="16"/>
  </w:num>
  <w:num w:numId="33">
    <w:abstractNumId w:val="4"/>
  </w:num>
  <w:num w:numId="34">
    <w:abstractNumId w:val="18"/>
  </w:num>
  <w:num w:numId="35">
    <w:abstractNumId w:val="6"/>
  </w:num>
  <w:num w:numId="36">
    <w:abstractNumId w:val="12"/>
  </w:num>
  <w:num w:numId="37">
    <w:abstractNumId w:val="17"/>
  </w:num>
  <w:num w:numId="38">
    <w:abstractNumId w:val="8"/>
  </w:num>
  <w:num w:numId="39">
    <w:abstractNumId w:val="1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6CC"/>
    <w:rsid w:val="000001F7"/>
    <w:rsid w:val="00002031"/>
    <w:rsid w:val="00004734"/>
    <w:rsid w:val="00005499"/>
    <w:rsid w:val="00006B22"/>
    <w:rsid w:val="00006E6B"/>
    <w:rsid w:val="00006FAB"/>
    <w:rsid w:val="00007315"/>
    <w:rsid w:val="0001276A"/>
    <w:rsid w:val="00012FE3"/>
    <w:rsid w:val="000137CE"/>
    <w:rsid w:val="00016C5F"/>
    <w:rsid w:val="000246AE"/>
    <w:rsid w:val="00025C67"/>
    <w:rsid w:val="00041159"/>
    <w:rsid w:val="00044772"/>
    <w:rsid w:val="0004541C"/>
    <w:rsid w:val="00050876"/>
    <w:rsid w:val="00052A36"/>
    <w:rsid w:val="0005559E"/>
    <w:rsid w:val="000567F1"/>
    <w:rsid w:val="000604D6"/>
    <w:rsid w:val="000621E8"/>
    <w:rsid w:val="00063A43"/>
    <w:rsid w:val="00066CBF"/>
    <w:rsid w:val="000734D8"/>
    <w:rsid w:val="00077775"/>
    <w:rsid w:val="00080CD7"/>
    <w:rsid w:val="00082567"/>
    <w:rsid w:val="000843F9"/>
    <w:rsid w:val="00090471"/>
    <w:rsid w:val="00092E51"/>
    <w:rsid w:val="00093384"/>
    <w:rsid w:val="000947F4"/>
    <w:rsid w:val="00095F90"/>
    <w:rsid w:val="00096AA7"/>
    <w:rsid w:val="000A3AED"/>
    <w:rsid w:val="000A3F88"/>
    <w:rsid w:val="000A7AA4"/>
    <w:rsid w:val="000A7EF5"/>
    <w:rsid w:val="000B3532"/>
    <w:rsid w:val="000B3A75"/>
    <w:rsid w:val="000C00C2"/>
    <w:rsid w:val="000C079A"/>
    <w:rsid w:val="000C2137"/>
    <w:rsid w:val="000C2D4D"/>
    <w:rsid w:val="000C65DA"/>
    <w:rsid w:val="000C686F"/>
    <w:rsid w:val="000C690F"/>
    <w:rsid w:val="000D1295"/>
    <w:rsid w:val="000D391B"/>
    <w:rsid w:val="000D3D6D"/>
    <w:rsid w:val="000D4FC7"/>
    <w:rsid w:val="000E0837"/>
    <w:rsid w:val="000E127C"/>
    <w:rsid w:val="000E6196"/>
    <w:rsid w:val="000E7471"/>
    <w:rsid w:val="000F4869"/>
    <w:rsid w:val="000F59B2"/>
    <w:rsid w:val="000F5B42"/>
    <w:rsid w:val="000F6E6F"/>
    <w:rsid w:val="0010601F"/>
    <w:rsid w:val="0010788A"/>
    <w:rsid w:val="00107A31"/>
    <w:rsid w:val="00110EA5"/>
    <w:rsid w:val="00112595"/>
    <w:rsid w:val="00112F56"/>
    <w:rsid w:val="00115A28"/>
    <w:rsid w:val="00122C2E"/>
    <w:rsid w:val="00124ACD"/>
    <w:rsid w:val="00125318"/>
    <w:rsid w:val="001305A2"/>
    <w:rsid w:val="00133238"/>
    <w:rsid w:val="001334A7"/>
    <w:rsid w:val="00133A1B"/>
    <w:rsid w:val="0014197B"/>
    <w:rsid w:val="001447CD"/>
    <w:rsid w:val="00144B58"/>
    <w:rsid w:val="0014730F"/>
    <w:rsid w:val="001516B1"/>
    <w:rsid w:val="00154EBB"/>
    <w:rsid w:val="00156316"/>
    <w:rsid w:val="00161181"/>
    <w:rsid w:val="00162D14"/>
    <w:rsid w:val="00163780"/>
    <w:rsid w:val="00165389"/>
    <w:rsid w:val="001657E4"/>
    <w:rsid w:val="00176300"/>
    <w:rsid w:val="0017693F"/>
    <w:rsid w:val="0017719E"/>
    <w:rsid w:val="0018110E"/>
    <w:rsid w:val="0018135E"/>
    <w:rsid w:val="00181684"/>
    <w:rsid w:val="001843C6"/>
    <w:rsid w:val="001850E0"/>
    <w:rsid w:val="0019713A"/>
    <w:rsid w:val="001A03AF"/>
    <w:rsid w:val="001A2158"/>
    <w:rsid w:val="001A525F"/>
    <w:rsid w:val="001B09F9"/>
    <w:rsid w:val="001B339F"/>
    <w:rsid w:val="001B5C90"/>
    <w:rsid w:val="001B6448"/>
    <w:rsid w:val="001C32CD"/>
    <w:rsid w:val="001C5238"/>
    <w:rsid w:val="001D2037"/>
    <w:rsid w:val="001D2984"/>
    <w:rsid w:val="001E07CF"/>
    <w:rsid w:val="001E11ED"/>
    <w:rsid w:val="001E204D"/>
    <w:rsid w:val="001E22C7"/>
    <w:rsid w:val="001E4C43"/>
    <w:rsid w:val="001E59F1"/>
    <w:rsid w:val="001F2CEE"/>
    <w:rsid w:val="001F3474"/>
    <w:rsid w:val="001F49EB"/>
    <w:rsid w:val="001F6CBA"/>
    <w:rsid w:val="001F751D"/>
    <w:rsid w:val="00200395"/>
    <w:rsid w:val="00201D4E"/>
    <w:rsid w:val="002076C9"/>
    <w:rsid w:val="00213EFA"/>
    <w:rsid w:val="00220B8A"/>
    <w:rsid w:val="00221850"/>
    <w:rsid w:val="002238AA"/>
    <w:rsid w:val="002257F3"/>
    <w:rsid w:val="00225EDC"/>
    <w:rsid w:val="00227188"/>
    <w:rsid w:val="00230E57"/>
    <w:rsid w:val="00233456"/>
    <w:rsid w:val="002339A5"/>
    <w:rsid w:val="002378A7"/>
    <w:rsid w:val="00250271"/>
    <w:rsid w:val="00257848"/>
    <w:rsid w:val="002578E8"/>
    <w:rsid w:val="0027084A"/>
    <w:rsid w:val="00280265"/>
    <w:rsid w:val="00286434"/>
    <w:rsid w:val="00286C59"/>
    <w:rsid w:val="00291957"/>
    <w:rsid w:val="00292E7A"/>
    <w:rsid w:val="00294109"/>
    <w:rsid w:val="002942D1"/>
    <w:rsid w:val="0029501A"/>
    <w:rsid w:val="002A3721"/>
    <w:rsid w:val="002A66C5"/>
    <w:rsid w:val="002A7BD4"/>
    <w:rsid w:val="002B1638"/>
    <w:rsid w:val="002B3624"/>
    <w:rsid w:val="002B7B28"/>
    <w:rsid w:val="002C62E0"/>
    <w:rsid w:val="002D0952"/>
    <w:rsid w:val="002D3DCE"/>
    <w:rsid w:val="002E40B3"/>
    <w:rsid w:val="002E4C9A"/>
    <w:rsid w:val="002F11F8"/>
    <w:rsid w:val="002F1797"/>
    <w:rsid w:val="002F3F56"/>
    <w:rsid w:val="002F44B5"/>
    <w:rsid w:val="002F5122"/>
    <w:rsid w:val="00302EDB"/>
    <w:rsid w:val="00311AC0"/>
    <w:rsid w:val="00314BBF"/>
    <w:rsid w:val="003176FC"/>
    <w:rsid w:val="00324E45"/>
    <w:rsid w:val="0032583B"/>
    <w:rsid w:val="00327883"/>
    <w:rsid w:val="00332CAA"/>
    <w:rsid w:val="00332F6D"/>
    <w:rsid w:val="00333FC6"/>
    <w:rsid w:val="00335504"/>
    <w:rsid w:val="00340C18"/>
    <w:rsid w:val="003442FD"/>
    <w:rsid w:val="00346DE1"/>
    <w:rsid w:val="00347824"/>
    <w:rsid w:val="00350567"/>
    <w:rsid w:val="00351EC8"/>
    <w:rsid w:val="003521E8"/>
    <w:rsid w:val="003674DC"/>
    <w:rsid w:val="00370CE3"/>
    <w:rsid w:val="003728F3"/>
    <w:rsid w:val="003735BC"/>
    <w:rsid w:val="003735CC"/>
    <w:rsid w:val="0037496E"/>
    <w:rsid w:val="00374C08"/>
    <w:rsid w:val="003772D9"/>
    <w:rsid w:val="00382CC7"/>
    <w:rsid w:val="00383221"/>
    <w:rsid w:val="003856B1"/>
    <w:rsid w:val="00386150"/>
    <w:rsid w:val="003874CE"/>
    <w:rsid w:val="00390900"/>
    <w:rsid w:val="003A0D89"/>
    <w:rsid w:val="003A7F6C"/>
    <w:rsid w:val="003B1769"/>
    <w:rsid w:val="003B4D60"/>
    <w:rsid w:val="003B7E39"/>
    <w:rsid w:val="003C1313"/>
    <w:rsid w:val="003C3C48"/>
    <w:rsid w:val="003C58DC"/>
    <w:rsid w:val="003D1E62"/>
    <w:rsid w:val="003D2349"/>
    <w:rsid w:val="003D5A1B"/>
    <w:rsid w:val="003D7177"/>
    <w:rsid w:val="003E009A"/>
    <w:rsid w:val="003E0968"/>
    <w:rsid w:val="003E0B99"/>
    <w:rsid w:val="003E2486"/>
    <w:rsid w:val="003E3208"/>
    <w:rsid w:val="003F0B04"/>
    <w:rsid w:val="0040134E"/>
    <w:rsid w:val="00416EBB"/>
    <w:rsid w:val="004330FD"/>
    <w:rsid w:val="004334C7"/>
    <w:rsid w:val="00436379"/>
    <w:rsid w:val="0043666B"/>
    <w:rsid w:val="00440A2D"/>
    <w:rsid w:val="00441C3F"/>
    <w:rsid w:val="00444D1A"/>
    <w:rsid w:val="0044598D"/>
    <w:rsid w:val="0045186A"/>
    <w:rsid w:val="00454A4E"/>
    <w:rsid w:val="004558F0"/>
    <w:rsid w:val="004564A7"/>
    <w:rsid w:val="00456765"/>
    <w:rsid w:val="00460036"/>
    <w:rsid w:val="00460A82"/>
    <w:rsid w:val="004617BF"/>
    <w:rsid w:val="00461D26"/>
    <w:rsid w:val="00463658"/>
    <w:rsid w:val="004637A0"/>
    <w:rsid w:val="00470D2F"/>
    <w:rsid w:val="004722CC"/>
    <w:rsid w:val="004756C4"/>
    <w:rsid w:val="00475A3E"/>
    <w:rsid w:val="004821E7"/>
    <w:rsid w:val="0048617C"/>
    <w:rsid w:val="004861A6"/>
    <w:rsid w:val="0048631E"/>
    <w:rsid w:val="00490483"/>
    <w:rsid w:val="004936E4"/>
    <w:rsid w:val="00494E60"/>
    <w:rsid w:val="00497487"/>
    <w:rsid w:val="004A2771"/>
    <w:rsid w:val="004A4EAB"/>
    <w:rsid w:val="004A6189"/>
    <w:rsid w:val="004A7390"/>
    <w:rsid w:val="004B25BA"/>
    <w:rsid w:val="004B7B76"/>
    <w:rsid w:val="004C11A8"/>
    <w:rsid w:val="004C239D"/>
    <w:rsid w:val="004C2BFE"/>
    <w:rsid w:val="004C2DCA"/>
    <w:rsid w:val="004C4FBE"/>
    <w:rsid w:val="004C61D2"/>
    <w:rsid w:val="004D3C8B"/>
    <w:rsid w:val="004F0C4A"/>
    <w:rsid w:val="004F0F38"/>
    <w:rsid w:val="004F16B6"/>
    <w:rsid w:val="004F47D6"/>
    <w:rsid w:val="004F5919"/>
    <w:rsid w:val="00500337"/>
    <w:rsid w:val="00501921"/>
    <w:rsid w:val="00506867"/>
    <w:rsid w:val="00512E59"/>
    <w:rsid w:val="00524609"/>
    <w:rsid w:val="005252B2"/>
    <w:rsid w:val="00530354"/>
    <w:rsid w:val="005320E9"/>
    <w:rsid w:val="00532D85"/>
    <w:rsid w:val="0053625B"/>
    <w:rsid w:val="005432FE"/>
    <w:rsid w:val="005434C6"/>
    <w:rsid w:val="00543B39"/>
    <w:rsid w:val="00546154"/>
    <w:rsid w:val="00550096"/>
    <w:rsid w:val="00551836"/>
    <w:rsid w:val="005544AA"/>
    <w:rsid w:val="00555280"/>
    <w:rsid w:val="00557FF9"/>
    <w:rsid w:val="00562327"/>
    <w:rsid w:val="00564FB2"/>
    <w:rsid w:val="005711D5"/>
    <w:rsid w:val="005747DC"/>
    <w:rsid w:val="00576378"/>
    <w:rsid w:val="00577130"/>
    <w:rsid w:val="00577945"/>
    <w:rsid w:val="00577E38"/>
    <w:rsid w:val="00585322"/>
    <w:rsid w:val="005857C6"/>
    <w:rsid w:val="00592F6E"/>
    <w:rsid w:val="00593AD1"/>
    <w:rsid w:val="005A5876"/>
    <w:rsid w:val="005A68B6"/>
    <w:rsid w:val="005B7C96"/>
    <w:rsid w:val="005C1721"/>
    <w:rsid w:val="005C1856"/>
    <w:rsid w:val="005C1CB1"/>
    <w:rsid w:val="005C23E2"/>
    <w:rsid w:val="005C527D"/>
    <w:rsid w:val="005C5570"/>
    <w:rsid w:val="005C5B66"/>
    <w:rsid w:val="005C625D"/>
    <w:rsid w:val="005C65DF"/>
    <w:rsid w:val="005C79A4"/>
    <w:rsid w:val="005D3998"/>
    <w:rsid w:val="005D5442"/>
    <w:rsid w:val="005E0E04"/>
    <w:rsid w:val="005E22FA"/>
    <w:rsid w:val="005E33D1"/>
    <w:rsid w:val="005E6F79"/>
    <w:rsid w:val="005F5C2C"/>
    <w:rsid w:val="005F6062"/>
    <w:rsid w:val="005F78CE"/>
    <w:rsid w:val="00603F32"/>
    <w:rsid w:val="00605AD4"/>
    <w:rsid w:val="00606CEF"/>
    <w:rsid w:val="006136D7"/>
    <w:rsid w:val="0061549A"/>
    <w:rsid w:val="00625A6E"/>
    <w:rsid w:val="00632398"/>
    <w:rsid w:val="00633E19"/>
    <w:rsid w:val="00640FC3"/>
    <w:rsid w:val="00642020"/>
    <w:rsid w:val="006430EE"/>
    <w:rsid w:val="0064632B"/>
    <w:rsid w:val="006465CA"/>
    <w:rsid w:val="0065337B"/>
    <w:rsid w:val="0065419D"/>
    <w:rsid w:val="006603BC"/>
    <w:rsid w:val="006604D8"/>
    <w:rsid w:val="00660A4B"/>
    <w:rsid w:val="006610A9"/>
    <w:rsid w:val="00664A5B"/>
    <w:rsid w:val="0066735C"/>
    <w:rsid w:val="006763D2"/>
    <w:rsid w:val="00680C08"/>
    <w:rsid w:val="0068155D"/>
    <w:rsid w:val="00682AA6"/>
    <w:rsid w:val="00690420"/>
    <w:rsid w:val="006916A0"/>
    <w:rsid w:val="006931B1"/>
    <w:rsid w:val="006A15C0"/>
    <w:rsid w:val="006A1EB6"/>
    <w:rsid w:val="006A58A8"/>
    <w:rsid w:val="006B33DD"/>
    <w:rsid w:val="006B4B4D"/>
    <w:rsid w:val="006C3E2A"/>
    <w:rsid w:val="006C5972"/>
    <w:rsid w:val="006C642F"/>
    <w:rsid w:val="006D03E5"/>
    <w:rsid w:val="006D5D3E"/>
    <w:rsid w:val="006E08B3"/>
    <w:rsid w:val="006E67E9"/>
    <w:rsid w:val="006F17AC"/>
    <w:rsid w:val="006F25B8"/>
    <w:rsid w:val="006F572E"/>
    <w:rsid w:val="00700E6A"/>
    <w:rsid w:val="007046D6"/>
    <w:rsid w:val="00705DB0"/>
    <w:rsid w:val="00722B57"/>
    <w:rsid w:val="00730F8A"/>
    <w:rsid w:val="00735A8C"/>
    <w:rsid w:val="0073785A"/>
    <w:rsid w:val="00740E55"/>
    <w:rsid w:val="007422FE"/>
    <w:rsid w:val="0074253D"/>
    <w:rsid w:val="00744121"/>
    <w:rsid w:val="0074429B"/>
    <w:rsid w:val="00745799"/>
    <w:rsid w:val="00745F3B"/>
    <w:rsid w:val="00750EFA"/>
    <w:rsid w:val="00760AFC"/>
    <w:rsid w:val="007615BC"/>
    <w:rsid w:val="00762F05"/>
    <w:rsid w:val="007652FF"/>
    <w:rsid w:val="007668BE"/>
    <w:rsid w:val="00770CAC"/>
    <w:rsid w:val="00770EF1"/>
    <w:rsid w:val="00773EF7"/>
    <w:rsid w:val="00774E1D"/>
    <w:rsid w:val="00775D7C"/>
    <w:rsid w:val="007765D8"/>
    <w:rsid w:val="0077675A"/>
    <w:rsid w:val="00780355"/>
    <w:rsid w:val="007819FD"/>
    <w:rsid w:val="00785717"/>
    <w:rsid w:val="00785721"/>
    <w:rsid w:val="00785F87"/>
    <w:rsid w:val="00793A59"/>
    <w:rsid w:val="00793BCD"/>
    <w:rsid w:val="0079635A"/>
    <w:rsid w:val="00796D1C"/>
    <w:rsid w:val="007A31FD"/>
    <w:rsid w:val="007A46F5"/>
    <w:rsid w:val="007A6505"/>
    <w:rsid w:val="007B29ED"/>
    <w:rsid w:val="007B395B"/>
    <w:rsid w:val="007B6132"/>
    <w:rsid w:val="007B6E3D"/>
    <w:rsid w:val="007B6E9F"/>
    <w:rsid w:val="007C1216"/>
    <w:rsid w:val="007C1AF7"/>
    <w:rsid w:val="007C32D9"/>
    <w:rsid w:val="007C6B9B"/>
    <w:rsid w:val="007D1862"/>
    <w:rsid w:val="007D53B6"/>
    <w:rsid w:val="007E69EE"/>
    <w:rsid w:val="007F3060"/>
    <w:rsid w:val="0080523E"/>
    <w:rsid w:val="00805D27"/>
    <w:rsid w:val="00806DCB"/>
    <w:rsid w:val="00813EF3"/>
    <w:rsid w:val="00821776"/>
    <w:rsid w:val="008227F5"/>
    <w:rsid w:val="008268CC"/>
    <w:rsid w:val="008321F5"/>
    <w:rsid w:val="00832369"/>
    <w:rsid w:val="00834660"/>
    <w:rsid w:val="00834FF8"/>
    <w:rsid w:val="00836BC2"/>
    <w:rsid w:val="0085156D"/>
    <w:rsid w:val="00852B28"/>
    <w:rsid w:val="00852B72"/>
    <w:rsid w:val="0085641B"/>
    <w:rsid w:val="00857136"/>
    <w:rsid w:val="00862BCF"/>
    <w:rsid w:val="008652CE"/>
    <w:rsid w:val="00866F91"/>
    <w:rsid w:val="008673D1"/>
    <w:rsid w:val="00875A6B"/>
    <w:rsid w:val="00885B11"/>
    <w:rsid w:val="00886D15"/>
    <w:rsid w:val="00887DD8"/>
    <w:rsid w:val="00891BA9"/>
    <w:rsid w:val="0089574D"/>
    <w:rsid w:val="00896018"/>
    <w:rsid w:val="008960DD"/>
    <w:rsid w:val="0089635C"/>
    <w:rsid w:val="008A0BE2"/>
    <w:rsid w:val="008A114F"/>
    <w:rsid w:val="008A2B9D"/>
    <w:rsid w:val="008A3D9F"/>
    <w:rsid w:val="008A5E0B"/>
    <w:rsid w:val="008A6D59"/>
    <w:rsid w:val="008B4B03"/>
    <w:rsid w:val="008B596F"/>
    <w:rsid w:val="008B7543"/>
    <w:rsid w:val="008C0389"/>
    <w:rsid w:val="008C159F"/>
    <w:rsid w:val="008C1623"/>
    <w:rsid w:val="008C1850"/>
    <w:rsid w:val="008C51A9"/>
    <w:rsid w:val="008D4725"/>
    <w:rsid w:val="008D7844"/>
    <w:rsid w:val="008E1081"/>
    <w:rsid w:val="008E7846"/>
    <w:rsid w:val="008F02E5"/>
    <w:rsid w:val="008F0B77"/>
    <w:rsid w:val="008F1CCC"/>
    <w:rsid w:val="008F2967"/>
    <w:rsid w:val="008F45E6"/>
    <w:rsid w:val="008F4F6F"/>
    <w:rsid w:val="008F6943"/>
    <w:rsid w:val="0090274A"/>
    <w:rsid w:val="00902A21"/>
    <w:rsid w:val="00904F0F"/>
    <w:rsid w:val="00906133"/>
    <w:rsid w:val="00906753"/>
    <w:rsid w:val="009114FD"/>
    <w:rsid w:val="00914F86"/>
    <w:rsid w:val="0091523F"/>
    <w:rsid w:val="00920330"/>
    <w:rsid w:val="009219D7"/>
    <w:rsid w:val="00922D53"/>
    <w:rsid w:val="00923B70"/>
    <w:rsid w:val="00924482"/>
    <w:rsid w:val="00930237"/>
    <w:rsid w:val="00932042"/>
    <w:rsid w:val="00937C17"/>
    <w:rsid w:val="00940A89"/>
    <w:rsid w:val="00941F77"/>
    <w:rsid w:val="00946EA5"/>
    <w:rsid w:val="00960520"/>
    <w:rsid w:val="00963C08"/>
    <w:rsid w:val="0096453C"/>
    <w:rsid w:val="009648B0"/>
    <w:rsid w:val="00964F0B"/>
    <w:rsid w:val="00972F0B"/>
    <w:rsid w:val="009752A5"/>
    <w:rsid w:val="009800B1"/>
    <w:rsid w:val="009845A1"/>
    <w:rsid w:val="009845BB"/>
    <w:rsid w:val="0098585A"/>
    <w:rsid w:val="009A3C8D"/>
    <w:rsid w:val="009A4CED"/>
    <w:rsid w:val="009A5B4D"/>
    <w:rsid w:val="009A690D"/>
    <w:rsid w:val="009A716B"/>
    <w:rsid w:val="009B1D12"/>
    <w:rsid w:val="009B38F3"/>
    <w:rsid w:val="009B3E57"/>
    <w:rsid w:val="009B416B"/>
    <w:rsid w:val="009C0B53"/>
    <w:rsid w:val="009C4BD5"/>
    <w:rsid w:val="009C52E0"/>
    <w:rsid w:val="009D09CF"/>
    <w:rsid w:val="009D1703"/>
    <w:rsid w:val="009D7B77"/>
    <w:rsid w:val="009E0BB0"/>
    <w:rsid w:val="009E2E44"/>
    <w:rsid w:val="009E3FBB"/>
    <w:rsid w:val="009E4029"/>
    <w:rsid w:val="009E6D6B"/>
    <w:rsid w:val="009F1460"/>
    <w:rsid w:val="009F7353"/>
    <w:rsid w:val="00A042C9"/>
    <w:rsid w:val="00A04F85"/>
    <w:rsid w:val="00A05D95"/>
    <w:rsid w:val="00A05FA4"/>
    <w:rsid w:val="00A102E4"/>
    <w:rsid w:val="00A1219C"/>
    <w:rsid w:val="00A12C42"/>
    <w:rsid w:val="00A14DF7"/>
    <w:rsid w:val="00A156D6"/>
    <w:rsid w:val="00A22D57"/>
    <w:rsid w:val="00A24487"/>
    <w:rsid w:val="00A3246D"/>
    <w:rsid w:val="00A327A9"/>
    <w:rsid w:val="00A35817"/>
    <w:rsid w:val="00A36855"/>
    <w:rsid w:val="00A36FA7"/>
    <w:rsid w:val="00A410F2"/>
    <w:rsid w:val="00A44DDB"/>
    <w:rsid w:val="00A475B7"/>
    <w:rsid w:val="00A47AF7"/>
    <w:rsid w:val="00A47C3E"/>
    <w:rsid w:val="00A50226"/>
    <w:rsid w:val="00A60BAD"/>
    <w:rsid w:val="00A60D46"/>
    <w:rsid w:val="00A6242A"/>
    <w:rsid w:val="00A63652"/>
    <w:rsid w:val="00A637CC"/>
    <w:rsid w:val="00A77F87"/>
    <w:rsid w:val="00A80B5B"/>
    <w:rsid w:val="00A8396B"/>
    <w:rsid w:val="00A84E36"/>
    <w:rsid w:val="00A87AC4"/>
    <w:rsid w:val="00A92382"/>
    <w:rsid w:val="00A964D1"/>
    <w:rsid w:val="00A975BB"/>
    <w:rsid w:val="00AA0ED0"/>
    <w:rsid w:val="00AA13BE"/>
    <w:rsid w:val="00AA3192"/>
    <w:rsid w:val="00AB3C24"/>
    <w:rsid w:val="00AB45C2"/>
    <w:rsid w:val="00AC2B40"/>
    <w:rsid w:val="00AC2BB2"/>
    <w:rsid w:val="00AC2C3C"/>
    <w:rsid w:val="00AC512D"/>
    <w:rsid w:val="00AC5EAD"/>
    <w:rsid w:val="00AD0083"/>
    <w:rsid w:val="00AD2E47"/>
    <w:rsid w:val="00AD3935"/>
    <w:rsid w:val="00AD5336"/>
    <w:rsid w:val="00AE03E6"/>
    <w:rsid w:val="00AE1DBF"/>
    <w:rsid w:val="00AE3FDD"/>
    <w:rsid w:val="00AE5EE6"/>
    <w:rsid w:val="00AE65EB"/>
    <w:rsid w:val="00AE67A7"/>
    <w:rsid w:val="00AE7323"/>
    <w:rsid w:val="00AF04FE"/>
    <w:rsid w:val="00AF1D94"/>
    <w:rsid w:val="00AF5348"/>
    <w:rsid w:val="00AF54B8"/>
    <w:rsid w:val="00AF5616"/>
    <w:rsid w:val="00AF60C5"/>
    <w:rsid w:val="00AF7207"/>
    <w:rsid w:val="00AF73BF"/>
    <w:rsid w:val="00B009C6"/>
    <w:rsid w:val="00B01548"/>
    <w:rsid w:val="00B01974"/>
    <w:rsid w:val="00B035F5"/>
    <w:rsid w:val="00B130C5"/>
    <w:rsid w:val="00B13EBD"/>
    <w:rsid w:val="00B21D29"/>
    <w:rsid w:val="00B22E7C"/>
    <w:rsid w:val="00B25034"/>
    <w:rsid w:val="00B26522"/>
    <w:rsid w:val="00B32648"/>
    <w:rsid w:val="00B33588"/>
    <w:rsid w:val="00B33863"/>
    <w:rsid w:val="00B34FA5"/>
    <w:rsid w:val="00B35103"/>
    <w:rsid w:val="00B353BD"/>
    <w:rsid w:val="00B37D17"/>
    <w:rsid w:val="00B37DEF"/>
    <w:rsid w:val="00B4175E"/>
    <w:rsid w:val="00B41C85"/>
    <w:rsid w:val="00B4368A"/>
    <w:rsid w:val="00B43D4B"/>
    <w:rsid w:val="00B452CE"/>
    <w:rsid w:val="00B5084B"/>
    <w:rsid w:val="00B51BEE"/>
    <w:rsid w:val="00B54C25"/>
    <w:rsid w:val="00B6730A"/>
    <w:rsid w:val="00B75794"/>
    <w:rsid w:val="00B76B91"/>
    <w:rsid w:val="00B77EB1"/>
    <w:rsid w:val="00B811C6"/>
    <w:rsid w:val="00B855B0"/>
    <w:rsid w:val="00B86575"/>
    <w:rsid w:val="00B92E08"/>
    <w:rsid w:val="00B94E5C"/>
    <w:rsid w:val="00BA1CD5"/>
    <w:rsid w:val="00BA570F"/>
    <w:rsid w:val="00BA6D19"/>
    <w:rsid w:val="00BB701C"/>
    <w:rsid w:val="00BC06E6"/>
    <w:rsid w:val="00BC622A"/>
    <w:rsid w:val="00BC76FB"/>
    <w:rsid w:val="00BD1F85"/>
    <w:rsid w:val="00BD7517"/>
    <w:rsid w:val="00BE0A78"/>
    <w:rsid w:val="00BE79F0"/>
    <w:rsid w:val="00BF046D"/>
    <w:rsid w:val="00BF1190"/>
    <w:rsid w:val="00BF3774"/>
    <w:rsid w:val="00BF5D04"/>
    <w:rsid w:val="00BF5D50"/>
    <w:rsid w:val="00C009AA"/>
    <w:rsid w:val="00C03B14"/>
    <w:rsid w:val="00C060B0"/>
    <w:rsid w:val="00C106AF"/>
    <w:rsid w:val="00C114B0"/>
    <w:rsid w:val="00C1164D"/>
    <w:rsid w:val="00C129FF"/>
    <w:rsid w:val="00C16861"/>
    <w:rsid w:val="00C3044F"/>
    <w:rsid w:val="00C31724"/>
    <w:rsid w:val="00C346AB"/>
    <w:rsid w:val="00C36112"/>
    <w:rsid w:val="00C404A6"/>
    <w:rsid w:val="00C40A36"/>
    <w:rsid w:val="00C44419"/>
    <w:rsid w:val="00C45E7B"/>
    <w:rsid w:val="00C471B1"/>
    <w:rsid w:val="00C51AB7"/>
    <w:rsid w:val="00C525A2"/>
    <w:rsid w:val="00C52E24"/>
    <w:rsid w:val="00C6316B"/>
    <w:rsid w:val="00C634A9"/>
    <w:rsid w:val="00C64586"/>
    <w:rsid w:val="00C64FF5"/>
    <w:rsid w:val="00C66833"/>
    <w:rsid w:val="00C70A36"/>
    <w:rsid w:val="00C70D53"/>
    <w:rsid w:val="00C712BD"/>
    <w:rsid w:val="00C73D0B"/>
    <w:rsid w:val="00C74F5C"/>
    <w:rsid w:val="00C752B0"/>
    <w:rsid w:val="00C75526"/>
    <w:rsid w:val="00C772FF"/>
    <w:rsid w:val="00C80137"/>
    <w:rsid w:val="00C801AF"/>
    <w:rsid w:val="00C80256"/>
    <w:rsid w:val="00C81C96"/>
    <w:rsid w:val="00C8642A"/>
    <w:rsid w:val="00C8653D"/>
    <w:rsid w:val="00C877A5"/>
    <w:rsid w:val="00C93848"/>
    <w:rsid w:val="00C94CD4"/>
    <w:rsid w:val="00C9747E"/>
    <w:rsid w:val="00C97EE4"/>
    <w:rsid w:val="00CA13FC"/>
    <w:rsid w:val="00CB1DE6"/>
    <w:rsid w:val="00CB682A"/>
    <w:rsid w:val="00CB6BC0"/>
    <w:rsid w:val="00CB7557"/>
    <w:rsid w:val="00CC02C0"/>
    <w:rsid w:val="00CC1688"/>
    <w:rsid w:val="00CC1B7C"/>
    <w:rsid w:val="00CC4F38"/>
    <w:rsid w:val="00CC727F"/>
    <w:rsid w:val="00CD5152"/>
    <w:rsid w:val="00CD56CC"/>
    <w:rsid w:val="00CD706E"/>
    <w:rsid w:val="00CD7293"/>
    <w:rsid w:val="00CD7D34"/>
    <w:rsid w:val="00CE2194"/>
    <w:rsid w:val="00CE49FE"/>
    <w:rsid w:val="00CF15C3"/>
    <w:rsid w:val="00CF2B6F"/>
    <w:rsid w:val="00CF2F3E"/>
    <w:rsid w:val="00CF58B6"/>
    <w:rsid w:val="00CF5DAD"/>
    <w:rsid w:val="00D0062D"/>
    <w:rsid w:val="00D017ED"/>
    <w:rsid w:val="00D040D3"/>
    <w:rsid w:val="00D04C65"/>
    <w:rsid w:val="00D12A52"/>
    <w:rsid w:val="00D153D8"/>
    <w:rsid w:val="00D17956"/>
    <w:rsid w:val="00D201D2"/>
    <w:rsid w:val="00D224FE"/>
    <w:rsid w:val="00D23139"/>
    <w:rsid w:val="00D23AB3"/>
    <w:rsid w:val="00D31A7F"/>
    <w:rsid w:val="00D31D68"/>
    <w:rsid w:val="00D328E2"/>
    <w:rsid w:val="00D425BB"/>
    <w:rsid w:val="00D453FA"/>
    <w:rsid w:val="00D46A8A"/>
    <w:rsid w:val="00D62A14"/>
    <w:rsid w:val="00D63211"/>
    <w:rsid w:val="00D6493E"/>
    <w:rsid w:val="00D64BBB"/>
    <w:rsid w:val="00D66240"/>
    <w:rsid w:val="00D7195D"/>
    <w:rsid w:val="00D7301E"/>
    <w:rsid w:val="00D73843"/>
    <w:rsid w:val="00D81E67"/>
    <w:rsid w:val="00D83AE1"/>
    <w:rsid w:val="00D855D4"/>
    <w:rsid w:val="00D902C9"/>
    <w:rsid w:val="00D93466"/>
    <w:rsid w:val="00D94B55"/>
    <w:rsid w:val="00DA1124"/>
    <w:rsid w:val="00DA5EA8"/>
    <w:rsid w:val="00DA64CB"/>
    <w:rsid w:val="00DB06B8"/>
    <w:rsid w:val="00DB42F5"/>
    <w:rsid w:val="00DB6124"/>
    <w:rsid w:val="00DB63D6"/>
    <w:rsid w:val="00DB750B"/>
    <w:rsid w:val="00DB75B7"/>
    <w:rsid w:val="00DC0A2F"/>
    <w:rsid w:val="00DC1948"/>
    <w:rsid w:val="00DC3E3A"/>
    <w:rsid w:val="00DC6E02"/>
    <w:rsid w:val="00DD0020"/>
    <w:rsid w:val="00DD0140"/>
    <w:rsid w:val="00DD05C1"/>
    <w:rsid w:val="00DD28CD"/>
    <w:rsid w:val="00DE02AE"/>
    <w:rsid w:val="00DE39D1"/>
    <w:rsid w:val="00DE67E1"/>
    <w:rsid w:val="00DF1D7F"/>
    <w:rsid w:val="00DF4BE4"/>
    <w:rsid w:val="00E0007E"/>
    <w:rsid w:val="00E02382"/>
    <w:rsid w:val="00E02FB4"/>
    <w:rsid w:val="00E06E54"/>
    <w:rsid w:val="00E115C1"/>
    <w:rsid w:val="00E13FC7"/>
    <w:rsid w:val="00E14397"/>
    <w:rsid w:val="00E15358"/>
    <w:rsid w:val="00E20571"/>
    <w:rsid w:val="00E235F7"/>
    <w:rsid w:val="00E23659"/>
    <w:rsid w:val="00E239D4"/>
    <w:rsid w:val="00E26130"/>
    <w:rsid w:val="00E27B9E"/>
    <w:rsid w:val="00E33D42"/>
    <w:rsid w:val="00E40B22"/>
    <w:rsid w:val="00E420D4"/>
    <w:rsid w:val="00E44ED1"/>
    <w:rsid w:val="00E45619"/>
    <w:rsid w:val="00E4588F"/>
    <w:rsid w:val="00E45B0A"/>
    <w:rsid w:val="00E46DA3"/>
    <w:rsid w:val="00E46EAE"/>
    <w:rsid w:val="00E50263"/>
    <w:rsid w:val="00E51BB1"/>
    <w:rsid w:val="00E54547"/>
    <w:rsid w:val="00E55CB0"/>
    <w:rsid w:val="00E6216F"/>
    <w:rsid w:val="00E624A5"/>
    <w:rsid w:val="00E64BA4"/>
    <w:rsid w:val="00E7344E"/>
    <w:rsid w:val="00E76105"/>
    <w:rsid w:val="00E77C76"/>
    <w:rsid w:val="00E823C6"/>
    <w:rsid w:val="00E82665"/>
    <w:rsid w:val="00E854A6"/>
    <w:rsid w:val="00E87569"/>
    <w:rsid w:val="00E93A95"/>
    <w:rsid w:val="00E94D6C"/>
    <w:rsid w:val="00E94DF0"/>
    <w:rsid w:val="00E95892"/>
    <w:rsid w:val="00EA2B20"/>
    <w:rsid w:val="00EA65B1"/>
    <w:rsid w:val="00EA7444"/>
    <w:rsid w:val="00EB0798"/>
    <w:rsid w:val="00EB40AD"/>
    <w:rsid w:val="00EB586E"/>
    <w:rsid w:val="00EB5FC8"/>
    <w:rsid w:val="00EB6F62"/>
    <w:rsid w:val="00EB76DE"/>
    <w:rsid w:val="00EC33A4"/>
    <w:rsid w:val="00EC463D"/>
    <w:rsid w:val="00EC7A85"/>
    <w:rsid w:val="00ED2722"/>
    <w:rsid w:val="00ED2922"/>
    <w:rsid w:val="00ED3CAD"/>
    <w:rsid w:val="00ED5A41"/>
    <w:rsid w:val="00ED6BFC"/>
    <w:rsid w:val="00EE1DE8"/>
    <w:rsid w:val="00EE27C2"/>
    <w:rsid w:val="00EE3CB6"/>
    <w:rsid w:val="00EF4BAD"/>
    <w:rsid w:val="00EF59DC"/>
    <w:rsid w:val="00EF634C"/>
    <w:rsid w:val="00F033EC"/>
    <w:rsid w:val="00F04F68"/>
    <w:rsid w:val="00F06CF2"/>
    <w:rsid w:val="00F11966"/>
    <w:rsid w:val="00F12670"/>
    <w:rsid w:val="00F14B27"/>
    <w:rsid w:val="00F16654"/>
    <w:rsid w:val="00F20BD8"/>
    <w:rsid w:val="00F20ED9"/>
    <w:rsid w:val="00F302D9"/>
    <w:rsid w:val="00F3148D"/>
    <w:rsid w:val="00F325C5"/>
    <w:rsid w:val="00F32FE0"/>
    <w:rsid w:val="00F35298"/>
    <w:rsid w:val="00F41CA3"/>
    <w:rsid w:val="00F46817"/>
    <w:rsid w:val="00F47333"/>
    <w:rsid w:val="00F47E37"/>
    <w:rsid w:val="00F52F8C"/>
    <w:rsid w:val="00F53C07"/>
    <w:rsid w:val="00F54B65"/>
    <w:rsid w:val="00F57A20"/>
    <w:rsid w:val="00F63DBF"/>
    <w:rsid w:val="00F640B6"/>
    <w:rsid w:val="00F648D1"/>
    <w:rsid w:val="00F64C8C"/>
    <w:rsid w:val="00F66DF2"/>
    <w:rsid w:val="00F75068"/>
    <w:rsid w:val="00F767ED"/>
    <w:rsid w:val="00F80E40"/>
    <w:rsid w:val="00F848D9"/>
    <w:rsid w:val="00F87D39"/>
    <w:rsid w:val="00F9078D"/>
    <w:rsid w:val="00FA28EE"/>
    <w:rsid w:val="00FA3B91"/>
    <w:rsid w:val="00FA5069"/>
    <w:rsid w:val="00FA5B82"/>
    <w:rsid w:val="00FA639E"/>
    <w:rsid w:val="00FA7EFF"/>
    <w:rsid w:val="00FB369D"/>
    <w:rsid w:val="00FB71BA"/>
    <w:rsid w:val="00FC1FCA"/>
    <w:rsid w:val="00FC25E4"/>
    <w:rsid w:val="00FC4EF7"/>
    <w:rsid w:val="00FD0824"/>
    <w:rsid w:val="00FD119B"/>
    <w:rsid w:val="00FD1EDC"/>
    <w:rsid w:val="00FD6617"/>
    <w:rsid w:val="00FD6A7B"/>
    <w:rsid w:val="00FD6F69"/>
    <w:rsid w:val="00FE1DEE"/>
    <w:rsid w:val="00FF2126"/>
    <w:rsid w:val="00FF5755"/>
    <w:rsid w:val="00FF69BE"/>
    <w:rsid w:val="00FF7B93"/>
    <w:rsid w:val="052CB4DD"/>
    <w:rsid w:val="05B41BC5"/>
    <w:rsid w:val="10CE83FE"/>
    <w:rsid w:val="206E8DCE"/>
    <w:rsid w:val="2441D917"/>
    <w:rsid w:val="3A4BC12C"/>
    <w:rsid w:val="42F27698"/>
    <w:rsid w:val="51C0E49E"/>
    <w:rsid w:val="52B0428C"/>
    <w:rsid w:val="52DD25DF"/>
    <w:rsid w:val="5ABFE690"/>
    <w:rsid w:val="5FD63630"/>
    <w:rsid w:val="6664D839"/>
    <w:rsid w:val="6718CE41"/>
    <w:rsid w:val="73019FAA"/>
    <w:rsid w:val="77FB824E"/>
    <w:rsid w:val="7961878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018B0"/>
  <w15:docId w15:val="{AB0957B6-3AF1-4968-AE18-3A1FED80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unhideWhenUsed/>
    <w:rsid w:val="00FB369D"/>
    <w:rPr>
      <w:color w:val="605E5C"/>
      <w:shd w:val="clear" w:color="auto" w:fill="E1DFDD"/>
    </w:rPr>
  </w:style>
  <w:style w:type="paragraph" w:styleId="ListParagraph">
    <w:name w:val="List Paragraph"/>
    <w:aliases w:val="Requirement Para"/>
    <w:basedOn w:val="Normal"/>
    <w:uiPriority w:val="34"/>
    <w:qFormat/>
    <w:rsid w:val="002378A7"/>
    <w:pPr>
      <w:adjustRightInd w:val="0"/>
      <w:snapToGrid w:val="0"/>
      <w:spacing w:before="180" w:after="180"/>
      <w:ind w:left="720"/>
      <w:contextualSpacing/>
    </w:pPr>
    <w:rPr>
      <w:rFonts w:eastAsia="MS Mincho"/>
      <w:szCs w:val="20"/>
      <w:lang w:eastAsia="ja-JP"/>
    </w:rPr>
  </w:style>
  <w:style w:type="paragraph" w:customStyle="1" w:styleId="Bulletlist">
    <w:name w:val="Bullet list"/>
    <w:basedOn w:val="Normal"/>
    <w:link w:val="BulletlistChar"/>
    <w:qFormat/>
    <w:rsid w:val="0048617C"/>
    <w:pPr>
      <w:numPr>
        <w:numId w:val="35"/>
      </w:numPr>
      <w:spacing w:before="0" w:after="180" w:line="252" w:lineRule="auto"/>
      <w:ind w:left="426" w:hanging="284"/>
    </w:pPr>
    <w:rPr>
      <w:rFonts w:eastAsia="Times New Roman"/>
      <w:snapToGrid w:val="0"/>
      <w:kern w:val="2"/>
      <w:sz w:val="23"/>
    </w:rPr>
  </w:style>
  <w:style w:type="character" w:customStyle="1" w:styleId="TabletextChar">
    <w:name w:val="Table text Char"/>
    <w:basedOn w:val="DefaultParagraphFont"/>
    <w:link w:val="Tabletext"/>
    <w:rsid w:val="0048617C"/>
    <w:rPr>
      <w:rFonts w:ascii="Cambria" w:eastAsia="Cambria" w:hAnsi="Cambria" w:cs="Times New Roman"/>
      <w:sz w:val="19"/>
    </w:rPr>
  </w:style>
  <w:style w:type="character" w:customStyle="1" w:styleId="BulletlistChar">
    <w:name w:val="Bullet list Char"/>
    <w:basedOn w:val="DefaultParagraphFont"/>
    <w:link w:val="Bulletlist"/>
    <w:rsid w:val="0048617C"/>
    <w:rPr>
      <w:rFonts w:ascii="Cambria" w:eastAsia="Times New Roman" w:hAnsi="Cambria" w:cs="Times New Roman"/>
      <w:snapToGrid w:val="0"/>
      <w:kern w:val="2"/>
      <w:sz w:val="23"/>
    </w:rPr>
  </w:style>
  <w:style w:type="character" w:customStyle="1" w:styleId="Mention1">
    <w:name w:val="Mention1"/>
    <w:basedOn w:val="DefaultParagraphFont"/>
    <w:uiPriority w:val="99"/>
    <w:unhideWhenUsed/>
    <w:rsid w:val="00A923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339422">
      <w:bodyDiv w:val="1"/>
      <w:marLeft w:val="0"/>
      <w:marRight w:val="0"/>
      <w:marTop w:val="0"/>
      <w:marBottom w:val="0"/>
      <w:divBdr>
        <w:top w:val="none" w:sz="0" w:space="0" w:color="auto"/>
        <w:left w:val="none" w:sz="0" w:space="0" w:color="auto"/>
        <w:bottom w:val="none" w:sz="0" w:space="0" w:color="auto"/>
        <w:right w:val="none" w:sz="0" w:space="0" w:color="auto"/>
      </w:divBdr>
    </w:div>
    <w:div w:id="159674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tga.gov.au/ws-labs-index" TargetMode="External"/><Relationship Id="rId26" Type="http://schemas.openxmlformats.org/officeDocument/2006/relationships/image" Target="media/image8.png"/><Relationship Id="rId39" Type="http://schemas.openxmlformats.org/officeDocument/2006/relationships/hyperlink" Target="http://www.tga.gov.au/industry/pm-argpm-guidance-7.htm"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microsoft.com/office/2007/relationships/hdphoto" Target="media/hdphoto3.wdp"/><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yperlink" Target="https://www.tga.gov.au/picmi-search-facility"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www.tga.gov.au/ws-labs-index" TargetMode="External"/><Relationship Id="rId46"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hyperlink" Target="https://www.tga.gov.au/australia-canada-singapore-switzerland-united-kingdom-access-consortium" TargetMode="External"/><Relationship Id="rId20" Type="http://schemas.openxmlformats.org/officeDocument/2006/relationships/image" Target="media/image2.png"/><Relationship Id="rId29" Type="http://schemas.microsoft.com/office/2007/relationships/hdphoto" Target="media/hdphoto1.wd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microsoft.com/office/2007/relationships/hdphoto" Target="media/hdphoto2.wdp"/><Relationship Id="rId37" Type="http://schemas.openxmlformats.org/officeDocument/2006/relationships/hyperlink" Target="https://www.tga.gov.au/tgas-risk-management-approach" TargetMode="External"/><Relationship Id="rId40" Type="http://schemas.openxmlformats.org/officeDocument/2006/relationships/hyperlink" Target="https://www.tga.gov.au/picmi-search-facility" TargetMode="Externa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tga.gov.au/publication/risk-management-plans-medicines-and-biologicals"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tga.gov.au/industry/pm-argpm-guidance-7.htm" TargetMode="External"/><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mmittee/advisory-committee-medicines-acm" TargetMode="External"/><Relationship Id="rId2" Type="http://schemas.openxmlformats.org/officeDocument/2006/relationships/hyperlink" Target="https://d192ha6kdpe15x.cloudfront.net/apeg/assets/uploads/2015/11/ozgrow+annual+report+2011.pdf" TargetMode="External"/><Relationship Id="rId1" Type="http://schemas.openxmlformats.org/officeDocument/2006/relationships/hyperlink" Target="https://www.pbs.gov.au/browse/section100-g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510C67CC10424795F1A820B053050C" ma:contentTypeVersion="12" ma:contentTypeDescription="Create a new document." ma:contentTypeScope="" ma:versionID="988c51d1db3aaa55f76de8d350011e51">
  <xsd:schema xmlns:xsd="http://www.w3.org/2001/XMLSchema" xmlns:xs="http://www.w3.org/2001/XMLSchema" xmlns:p="http://schemas.microsoft.com/office/2006/metadata/properties" xmlns:ns2="f5cc3df7-aa3b-4f9a-862d-54339fda8b21" xmlns:ns3="3c5dcd85-99d5-4f7d-a3de-156079f048a1" targetNamespace="http://schemas.microsoft.com/office/2006/metadata/properties" ma:root="true" ma:fieldsID="8457fa78d14f29f8117233b5b075b39b" ns2:_="" ns3:_="">
    <xsd:import namespace="f5cc3df7-aa3b-4f9a-862d-54339fda8b21"/>
    <xsd:import namespace="3c5dcd85-99d5-4f7d-a3de-156079f048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c3df7-aa3b-4f9a-862d-54339fda8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cd85-99d5-4f7d-a3de-156079f048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bf65738-907d-48ad-b1fc-75b768f8e3a1}" ma:internalName="TaxCatchAll" ma:showField="CatchAllData" ma:web="3c5dcd85-99d5-4f7d-a3de-156079f04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cc3df7-aa3b-4f9a-862d-54339fda8b21">
      <Terms xmlns="http://schemas.microsoft.com/office/infopath/2007/PartnerControls"/>
    </lcf76f155ced4ddcb4097134ff3c332f>
    <TaxCatchAll xmlns="3c5dcd85-99d5-4f7d-a3de-156079f048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DE78F3-D5F7-4A5E-9581-417DA8E6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c3df7-aa3b-4f9a-862d-54339fda8b21"/>
    <ds:schemaRef ds:uri="3c5dcd85-99d5-4f7d-a3de-156079f04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7A05EA-B73F-4E54-B155-FAEF6D9F54A2}">
  <ds:schemaRefs>
    <ds:schemaRef ds:uri="http://schemas.openxmlformats.org/officeDocument/2006/bibliography"/>
  </ds:schemaRefs>
</ds:datastoreItem>
</file>

<file path=customXml/itemProps3.xml><?xml version="1.0" encoding="utf-8"?>
<ds:datastoreItem xmlns:ds="http://schemas.openxmlformats.org/officeDocument/2006/customXml" ds:itemID="{A756C41F-DC3F-481B-B2CD-A3650283AC57}">
  <ds:schemaRefs>
    <ds:schemaRef ds:uri="http://schemas.microsoft.com/office/2006/metadata/properties"/>
    <ds:schemaRef ds:uri="http://schemas.microsoft.com/office/infopath/2007/PartnerControls"/>
    <ds:schemaRef ds:uri="f5cc3df7-aa3b-4f9a-862d-54339fda8b21"/>
    <ds:schemaRef ds:uri="3c5dcd85-99d5-4f7d-a3de-156079f048a1"/>
  </ds:schemaRefs>
</ds:datastoreItem>
</file>

<file path=customXml/itemProps4.xml><?xml version="1.0" encoding="utf-8"?>
<ds:datastoreItem xmlns:ds="http://schemas.openxmlformats.org/officeDocument/2006/customXml" ds:itemID="{2A13E63A-E610-4330-A465-C69E9275A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8915</Words>
  <Characters>50733</Characters>
  <Application>Microsoft Office Word</Application>
  <DocSecurity>0</DocSecurity>
  <Lines>1056</Lines>
  <Paragraphs>568</Paragraphs>
  <ScaleCrop>false</ScaleCrop>
  <HeadingPairs>
    <vt:vector size="2" baseType="variant">
      <vt:variant>
        <vt:lpstr>Title</vt:lpstr>
      </vt:variant>
      <vt:variant>
        <vt:i4>1</vt:i4>
      </vt:variant>
    </vt:vector>
  </HeadingPairs>
  <TitlesOfParts>
    <vt:vector size="1" baseType="lpstr">
      <vt:lpstr>Australian public assessment report for Ngenla</vt:lpstr>
    </vt:vector>
  </TitlesOfParts>
  <Company>Department of Health and Aged Care</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Ngenla</dc:title>
  <dc:subject>prescription medicine regulation</dc:subject>
  <dc:creator>Therapeutic Goods Administration</dc:creator>
  <cp:keywords/>
  <cp:lastModifiedBy>PITKIN, Brendan</cp:lastModifiedBy>
  <cp:revision>4</cp:revision>
  <cp:lastPrinted>2019-08-14T16:30:00Z</cp:lastPrinted>
  <dcterms:created xsi:type="dcterms:W3CDTF">2023-01-12T22:41:00Z</dcterms:created>
  <dcterms:modified xsi:type="dcterms:W3CDTF">2023-01-31T00:03:00Z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0x010100E1510C67CC10424795F1A820B053050C</vt:lpwstr>
  </property>
  <property fmtid="{D5CDD505-2E9C-101B-9397-08002B2CF9AE}" pid="3" name="MediaServiceImageTags">
    <vt:lpwstr/>
  </property>
  <property fmtid="{D5CDD505-2E9C-101B-9397-08002B2CF9AE}" pid="4" name="MSIP_Label_98da22f8-c169-4ff2-bd8c-c9797308d5a4_Enabled">
    <vt:lpwstr>true</vt:lpwstr>
  </property>
  <property fmtid="{D5CDD505-2E9C-101B-9397-08002B2CF9AE}" pid="5" name="MSIP_Label_98da22f8-c169-4ff2-bd8c-c9797308d5a4_SetDate">
    <vt:lpwstr>2022-11-17T21:57:29Z</vt:lpwstr>
  </property>
  <property fmtid="{D5CDD505-2E9C-101B-9397-08002B2CF9AE}" pid="6" name="MSIP_Label_98da22f8-c169-4ff2-bd8c-c9797308d5a4_Method">
    <vt:lpwstr>Privileged</vt:lpwstr>
  </property>
  <property fmtid="{D5CDD505-2E9C-101B-9397-08002B2CF9AE}" pid="7" name="MSIP_Label_98da22f8-c169-4ff2-bd8c-c9797308d5a4_Name">
    <vt:lpwstr>98da22f8-c169-4ff2-bd8c-c9797308d5a4</vt:lpwstr>
  </property>
  <property fmtid="{D5CDD505-2E9C-101B-9397-08002B2CF9AE}" pid="8" name="MSIP_Label_98da22f8-c169-4ff2-bd8c-c9797308d5a4_SiteId">
    <vt:lpwstr>7a916015-20ae-4ad1-9170-eefd915e9272</vt:lpwstr>
  </property>
  <property fmtid="{D5CDD505-2E9C-101B-9397-08002B2CF9AE}" pid="9" name="MSIP_Label_98da22f8-c169-4ff2-bd8c-c9797308d5a4_ActionId">
    <vt:lpwstr>cd91f953-ab9e-4f4c-a6e9-1ab2234283ba</vt:lpwstr>
  </property>
  <property fmtid="{D5CDD505-2E9C-101B-9397-08002B2CF9AE}" pid="10" name="MSIP_Label_98da22f8-c169-4ff2-bd8c-c9797308d5a4_ContentBits">
    <vt:lpwstr>0</vt:lpwstr>
  </property>
</Properties>
</file>