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CEF59" w14:textId="4B95D452" w:rsidR="008676DF" w:rsidRPr="008676DF" w:rsidRDefault="00BF5EE7" w:rsidP="008676DF">
      <w:pPr>
        <w:tabs>
          <w:tab w:val="left" w:pos="284"/>
        </w:tabs>
        <w:spacing w:after="480" w:line="240" w:lineRule="auto"/>
      </w:pPr>
      <w:r>
        <w:rPr>
          <w:noProof/>
        </w:rPr>
        <mc:AlternateContent>
          <mc:Choice Requires="wps">
            <w:drawing>
              <wp:inline distT="0" distB="0" distL="0" distR="0" wp14:anchorId="439B6C27" wp14:editId="3BB28B46">
                <wp:extent cx="252095" cy="25209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5CECC0" w14:textId="77777777" w:rsidR="001329E8" w:rsidRPr="00BE2A26" w:rsidRDefault="001329E8" w:rsidP="008676DF">
                            <w:pPr>
                              <w:rPr>
                                <w:rFonts w:ascii="Wingdings 3" w:hAnsi="Wingdings 3" w:hint="eastAsia"/>
                                <w:sz w:val="24"/>
                              </w:rPr>
                            </w:pPr>
                            <w:r w:rsidRPr="00BE2A26">
                              <w:rPr>
                                <w:rFonts w:ascii="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439B6C27" id="_x0000_t202" coordsize="21600,21600" o:spt="202" path="m,l,21600r21600,l21600,xe">
                <v:stroke joinstyle="miter"/>
                <v:path gradientshapeok="t" o:connecttype="rect"/>
              </v:shapetype>
              <v:shape id="Text Box 1"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BPp9QEAAN4DAAAOAAAAZHJzL2Uyb0RvYy54bWysU9uO0zAQfUfiHyy/07SVFkHUdLV0VYS0&#10;XKRdPmDiOImF4zFjt8ny9YydtlvBGyIP1nguJ+fMjDe302DFUVMw6Cq5Wiyl0E5hY1xXye9P+zfv&#10;pAgRXAMWna7ksw7ydvv61Wb0pV5jj7bRJBjEhXL0lexj9GVRBNXrAcICvXYcbJEGiHylrmgIRkYf&#10;bLFeLt8WI1LjCZUOgb33c1BuM37bahW/tm3QUdhKMreYT8pnnc5iu4GyI/C9USca8A8sBjCOf3qB&#10;uocI4kDmL6jBKMKAbVwoHApsW6N01sBqVss/1Dz24HXWws0J/tKm8P9g1ZfjNxKm4dlJ4WDgET3p&#10;KYoPOIlV6s7oQ8lJj57T4sTulJmUBv+A6kcQDnc9uE7fEeHYa2iYXa4srkpnnJBA6vEzNvwbOETM&#10;QFNLQwLkZghG5yk9XyaTqCh2rm/Wy/c3UigOnWzmVkB5LvYU4keNg0hGJYkHn8Hh+BDinHpOyeTR&#10;mmZvrM0X6uqdJXEEXpJ9/pJyRg/XadalZIepbA4nT1aZhM0S41RPHEzSa2yeWS/hvHT8SNjokX5J&#10;MfLCVTL8PABpKewnxz1L23k26GzUZwOc4tJKRilmcxfnLT54Ml3PyPNUHN5xX1uTNb+wOPHkJcq6&#10;TguftvT6nrNenuX2NwAAAP//AwBQSwMEFAAGAAgAAAAhAGP1TgzZAAAAAwEAAA8AAABkcnMvZG93&#10;bnJldi54bWxMj0FPwkAQhe8m/IfNkHgxsBUTlNotQdCbHEDCeeiObUN3ttnd0vLvXfWgl3mZvMl7&#10;32TLwTTiQs7XlhXcTxMQxIXVNZcKDh9vkycQPiBrbCyTgit5WOajmwxTbXve0WUfShFD2KeooAqh&#10;TaX0RUUG/dS2xNH7tM5giKsrpXbYx3DTyFmSzKXBmmNDhS2tKyrO+84omG9c1+94fbc5vL7jti1n&#10;x5frUanb8bB6BhFoCH/H8I0f0SGPTCfbsfaiURAfCT8zeg+LRxCnX5V5Jv+z518AAAD//wMAUEsB&#10;Ai0AFAAGAAgAAAAhALaDOJL+AAAA4QEAABMAAAAAAAAAAAAAAAAAAAAAAFtDb250ZW50X1R5cGVz&#10;XS54bWxQSwECLQAUAAYACAAAACEAOP0h/9YAAACUAQAACwAAAAAAAAAAAAAAAAAvAQAAX3JlbHMv&#10;LnJlbHNQSwECLQAUAAYACAAAACEATywT6fUBAADeAwAADgAAAAAAAAAAAAAAAAAuAgAAZHJzL2Uy&#10;b0RvYy54bWxQSwECLQAUAAYACAAAACEAY/VODNkAAAADAQAADwAAAAAAAAAAAAAAAABPBAAAZHJz&#10;L2Rvd25yZXYueG1sUEsFBgAAAAAEAAQA8wAAAFUFAAAAAA==&#10;" stroked="f">
                <v:textbox inset="0,0,0,0">
                  <w:txbxContent>
                    <w:p w14:paraId="2C5CECC0" w14:textId="77777777" w:rsidR="001329E8" w:rsidRPr="00BE2A26" w:rsidRDefault="001329E8" w:rsidP="008676DF">
                      <w:pPr>
                        <w:rPr>
                          <w:rFonts w:ascii="Wingdings 3" w:hAnsi="Wingdings 3" w:hint="eastAsia"/>
                          <w:sz w:val="24"/>
                        </w:rPr>
                      </w:pPr>
                      <w:r w:rsidRPr="00BE2A26">
                        <w:rPr>
                          <w:rFonts w:ascii="SimSun" w:hAnsi="SimSun" w:cs="Arial" w:hint="eastAsia"/>
                          <w:sz w:val="40"/>
                        </w:rPr>
                        <w:t>▼</w:t>
                      </w:r>
                    </w:p>
                  </w:txbxContent>
                </v:textbox>
                <w10:anchorlock/>
              </v:shape>
            </w:pict>
          </mc:Fallback>
        </mc:AlternateContent>
      </w:r>
      <w:r w:rsidR="008676DF" w:rsidRPr="008676DF">
        <w:t xml:space="preserve">This medicinal product is subject to additional monitoring in Australia. This will allow quick identification of new safety information. Healthcare professionals are asked to report any suspected adverse events at </w:t>
      </w:r>
      <w:hyperlink r:id="rId8" w:history="1">
        <w:r w:rsidR="008676DF" w:rsidRPr="008676DF">
          <w:rPr>
            <w:rStyle w:val="Hyperlink"/>
          </w:rPr>
          <w:t>www.tga.gov.au/reporting-problems</w:t>
        </w:r>
      </w:hyperlink>
      <w:r w:rsidR="008676DF" w:rsidRPr="008676DF">
        <w:t>.</w:t>
      </w:r>
    </w:p>
    <w:p w14:paraId="33A6D16B" w14:textId="77777777" w:rsidR="008E7964" w:rsidRPr="009205FE" w:rsidRDefault="008E7964" w:rsidP="008E7964">
      <w:pPr>
        <w:spacing w:line="240" w:lineRule="auto"/>
        <w:jc w:val="center"/>
        <w:rPr>
          <w:b/>
          <w:noProof/>
          <w:sz w:val="28"/>
          <w:szCs w:val="28"/>
          <w:lang w:val="en-US" w:eastAsia="es-ES"/>
        </w:rPr>
      </w:pPr>
      <w:r w:rsidRPr="009205FE">
        <w:rPr>
          <w:b/>
          <w:noProof/>
          <w:sz w:val="28"/>
          <w:szCs w:val="28"/>
          <w:lang w:val="en-US" w:eastAsia="es-ES"/>
        </w:rPr>
        <w:t>AUSTRALIAN PRODUCT INFORMATION</w:t>
      </w:r>
    </w:p>
    <w:p w14:paraId="21BCD688" w14:textId="77777777" w:rsidR="008E7964" w:rsidRPr="009205FE" w:rsidRDefault="008E7964" w:rsidP="007655BE">
      <w:pPr>
        <w:spacing w:line="240" w:lineRule="auto"/>
        <w:jc w:val="center"/>
        <w:rPr>
          <w:b/>
          <w:noProof/>
          <w:sz w:val="28"/>
          <w:szCs w:val="28"/>
          <w:lang w:val="en-US" w:eastAsia="es-ES"/>
        </w:rPr>
      </w:pPr>
    </w:p>
    <w:p w14:paraId="647EDF05" w14:textId="77777777" w:rsidR="008E7964" w:rsidRPr="007D1F95" w:rsidRDefault="00805A20" w:rsidP="007655BE">
      <w:pPr>
        <w:spacing w:line="240" w:lineRule="auto"/>
        <w:jc w:val="center"/>
        <w:rPr>
          <w:b/>
          <w:noProof/>
          <w:sz w:val="28"/>
          <w:szCs w:val="28"/>
          <w:lang w:val="en-US" w:eastAsia="es-ES"/>
        </w:rPr>
      </w:pPr>
      <w:bookmarkStart w:id="0" w:name="_Hlk82002638"/>
      <w:r w:rsidRPr="007D1F95">
        <w:rPr>
          <w:b/>
          <w:noProof/>
          <w:sz w:val="28"/>
          <w:szCs w:val="28"/>
          <w:lang w:val="en-US" w:eastAsia="es-ES"/>
        </w:rPr>
        <w:t>XEMBIFY</w:t>
      </w:r>
      <w:r w:rsidRPr="007D1F95">
        <w:rPr>
          <w:b/>
          <w:noProof/>
          <w:sz w:val="28"/>
          <w:szCs w:val="28"/>
          <w:vertAlign w:val="superscript"/>
          <w:lang w:val="en-US" w:eastAsia="es-ES"/>
        </w:rPr>
        <w:t>®</w:t>
      </w:r>
      <w:r w:rsidR="007D1F95" w:rsidRPr="007D1F95">
        <w:rPr>
          <w:b/>
          <w:noProof/>
          <w:sz w:val="28"/>
          <w:szCs w:val="28"/>
          <w:lang w:val="en-US" w:eastAsia="es-ES"/>
        </w:rPr>
        <w:t xml:space="preserve"> </w:t>
      </w:r>
    </w:p>
    <w:p w14:paraId="723EA4D2" w14:textId="77777777" w:rsidR="00201DF5" w:rsidRPr="00067B16" w:rsidRDefault="008E7964" w:rsidP="007655BE">
      <w:pPr>
        <w:spacing w:line="240" w:lineRule="auto"/>
        <w:jc w:val="center"/>
        <w:rPr>
          <w:szCs w:val="22"/>
        </w:rPr>
      </w:pPr>
      <w:r w:rsidRPr="007655BE">
        <w:rPr>
          <w:b/>
          <w:noProof/>
          <w:sz w:val="28"/>
          <w:szCs w:val="28"/>
          <w:lang w:val="en-US" w:eastAsia="es-ES"/>
        </w:rPr>
        <w:t>NORMAL IMMUNOGLOBULIN</w:t>
      </w:r>
      <w:r w:rsidR="00AE67A3">
        <w:rPr>
          <w:b/>
          <w:noProof/>
          <w:sz w:val="28"/>
          <w:szCs w:val="28"/>
          <w:lang w:val="en-US" w:eastAsia="es-ES"/>
        </w:rPr>
        <w:t xml:space="preserve"> (HUMAN)</w:t>
      </w:r>
      <w:r w:rsidRPr="007655BE">
        <w:rPr>
          <w:b/>
          <w:noProof/>
          <w:sz w:val="28"/>
          <w:szCs w:val="28"/>
          <w:lang w:val="en-US" w:eastAsia="es-ES"/>
        </w:rPr>
        <w:t xml:space="preserve"> 20% SOLUTION FOR </w:t>
      </w:r>
      <w:r w:rsidR="004E52A8">
        <w:rPr>
          <w:b/>
          <w:noProof/>
          <w:sz w:val="28"/>
          <w:szCs w:val="28"/>
          <w:lang w:val="en-US" w:eastAsia="es-ES"/>
        </w:rPr>
        <w:t xml:space="preserve">SUBCUTANEOUS </w:t>
      </w:r>
      <w:r w:rsidRPr="007655BE">
        <w:rPr>
          <w:b/>
          <w:noProof/>
          <w:sz w:val="28"/>
          <w:szCs w:val="28"/>
          <w:lang w:val="en-US" w:eastAsia="es-ES"/>
        </w:rPr>
        <w:t>IN</w:t>
      </w:r>
      <w:r w:rsidR="00805A20">
        <w:rPr>
          <w:b/>
          <w:noProof/>
          <w:sz w:val="28"/>
          <w:szCs w:val="28"/>
          <w:lang w:val="en-US" w:eastAsia="es-ES"/>
        </w:rPr>
        <w:t>JECTION</w:t>
      </w:r>
    </w:p>
    <w:bookmarkEnd w:id="0"/>
    <w:p w14:paraId="6845FC9B" w14:textId="77777777" w:rsidR="00201DF5" w:rsidRPr="00B3208E" w:rsidRDefault="00201DF5" w:rsidP="00201DF5">
      <w:pPr>
        <w:spacing w:line="240" w:lineRule="auto"/>
        <w:rPr>
          <w:szCs w:val="22"/>
        </w:rPr>
      </w:pPr>
    </w:p>
    <w:p w14:paraId="5FF8AAF0" w14:textId="77777777" w:rsidR="00201DF5" w:rsidRPr="008561BA" w:rsidRDefault="00201DF5" w:rsidP="00201DF5">
      <w:pPr>
        <w:keepNext/>
        <w:spacing w:line="240" w:lineRule="auto"/>
        <w:ind w:left="567" w:hanging="567"/>
        <w:outlineLvl w:val="0"/>
        <w:rPr>
          <w:b/>
        </w:rPr>
      </w:pPr>
      <w:r w:rsidRPr="008561BA">
        <w:rPr>
          <w:b/>
        </w:rPr>
        <w:t>1.</w:t>
      </w:r>
      <w:r w:rsidRPr="008561BA">
        <w:rPr>
          <w:b/>
        </w:rPr>
        <w:tab/>
        <w:t>NAME OF THE MEDICI</w:t>
      </w:r>
      <w:r w:rsidR="008E7964">
        <w:rPr>
          <w:b/>
        </w:rPr>
        <w:t>NE</w:t>
      </w:r>
    </w:p>
    <w:p w14:paraId="61C290DA" w14:textId="77777777" w:rsidR="00201DF5" w:rsidRPr="00067B16" w:rsidRDefault="00201DF5" w:rsidP="00201DF5">
      <w:pPr>
        <w:keepNext/>
        <w:spacing w:line="240" w:lineRule="auto"/>
        <w:rPr>
          <w:iCs/>
          <w:noProof/>
          <w:szCs w:val="22"/>
        </w:rPr>
      </w:pPr>
    </w:p>
    <w:p w14:paraId="003BE8F8" w14:textId="77777777" w:rsidR="00201DF5" w:rsidRPr="00B3208E" w:rsidRDefault="008E7964" w:rsidP="00201DF5">
      <w:pPr>
        <w:spacing w:line="240" w:lineRule="auto"/>
        <w:rPr>
          <w:iCs/>
          <w:noProof/>
          <w:szCs w:val="22"/>
        </w:rPr>
      </w:pPr>
      <w:r>
        <w:rPr>
          <w:szCs w:val="22"/>
        </w:rPr>
        <w:t>Normal Immunoglobulin</w:t>
      </w:r>
      <w:r w:rsidR="00AE67A3">
        <w:rPr>
          <w:szCs w:val="22"/>
        </w:rPr>
        <w:t xml:space="preserve"> (Human)</w:t>
      </w:r>
      <w:r>
        <w:rPr>
          <w:szCs w:val="22"/>
        </w:rPr>
        <w:t xml:space="preserve"> 20% </w:t>
      </w:r>
      <w:r w:rsidR="004E52A8">
        <w:rPr>
          <w:szCs w:val="22"/>
        </w:rPr>
        <w:t xml:space="preserve">solution </w:t>
      </w:r>
      <w:r>
        <w:rPr>
          <w:szCs w:val="22"/>
        </w:rPr>
        <w:t xml:space="preserve">for </w:t>
      </w:r>
      <w:r w:rsidR="004E52A8">
        <w:rPr>
          <w:szCs w:val="22"/>
        </w:rPr>
        <w:t>subcutaneous injection</w:t>
      </w:r>
    </w:p>
    <w:p w14:paraId="1565298B" w14:textId="77777777" w:rsidR="00201DF5" w:rsidRDefault="00201DF5" w:rsidP="00201DF5">
      <w:pPr>
        <w:spacing w:line="240" w:lineRule="auto"/>
        <w:rPr>
          <w:iCs/>
          <w:noProof/>
          <w:szCs w:val="22"/>
        </w:rPr>
      </w:pPr>
    </w:p>
    <w:p w14:paraId="64F77CDB" w14:textId="77777777" w:rsidR="00632729" w:rsidRPr="00A26F79" w:rsidRDefault="00632729" w:rsidP="00201DF5">
      <w:pPr>
        <w:spacing w:line="240" w:lineRule="auto"/>
        <w:rPr>
          <w:iCs/>
          <w:noProof/>
          <w:szCs w:val="22"/>
        </w:rPr>
      </w:pPr>
    </w:p>
    <w:p w14:paraId="057DD115" w14:textId="77777777" w:rsidR="00201DF5" w:rsidRPr="009205FE" w:rsidRDefault="00201DF5" w:rsidP="00201DF5">
      <w:pPr>
        <w:keepNext/>
        <w:spacing w:line="240" w:lineRule="auto"/>
        <w:ind w:left="567" w:hanging="567"/>
        <w:outlineLvl w:val="0"/>
        <w:rPr>
          <w:b/>
          <w:lang w:val="fr-FR"/>
        </w:rPr>
      </w:pPr>
      <w:r w:rsidRPr="009205FE">
        <w:rPr>
          <w:b/>
          <w:lang w:val="fr-FR"/>
        </w:rPr>
        <w:t>2.</w:t>
      </w:r>
      <w:r w:rsidRPr="009205FE">
        <w:rPr>
          <w:b/>
          <w:lang w:val="fr-FR"/>
        </w:rPr>
        <w:tab/>
        <w:t>QUALITATIVE AND QUANTITATIVE COMPOSITION</w:t>
      </w:r>
    </w:p>
    <w:p w14:paraId="46CAD16B" w14:textId="77777777" w:rsidR="00201DF5" w:rsidRPr="009205FE" w:rsidRDefault="00201DF5" w:rsidP="00201DF5">
      <w:pPr>
        <w:keepNext/>
        <w:spacing w:line="240" w:lineRule="auto"/>
        <w:rPr>
          <w:iCs/>
          <w:noProof/>
          <w:szCs w:val="22"/>
          <w:lang w:val="fr-FR"/>
        </w:rPr>
      </w:pPr>
    </w:p>
    <w:p w14:paraId="6DD0D7F3" w14:textId="77777777" w:rsidR="00201DF5" w:rsidRPr="009205FE" w:rsidRDefault="00AE67A3" w:rsidP="00201DF5">
      <w:pPr>
        <w:spacing w:line="240" w:lineRule="auto"/>
        <w:rPr>
          <w:szCs w:val="22"/>
          <w:lang w:val="fr-FR"/>
        </w:rPr>
      </w:pPr>
      <w:r w:rsidRPr="009205FE">
        <w:rPr>
          <w:szCs w:val="22"/>
          <w:lang w:val="fr-FR"/>
        </w:rPr>
        <w:t>N</w:t>
      </w:r>
      <w:r w:rsidR="00201DF5" w:rsidRPr="009205FE">
        <w:rPr>
          <w:szCs w:val="22"/>
          <w:lang w:val="fr-FR"/>
        </w:rPr>
        <w:t xml:space="preserve">ormal </w:t>
      </w:r>
      <w:proofErr w:type="spellStart"/>
      <w:r w:rsidR="00201DF5" w:rsidRPr="009205FE">
        <w:rPr>
          <w:szCs w:val="22"/>
          <w:lang w:val="fr-FR"/>
        </w:rPr>
        <w:t>immunoglobulin</w:t>
      </w:r>
      <w:proofErr w:type="spellEnd"/>
      <w:r w:rsidR="00201DF5" w:rsidRPr="009205FE">
        <w:rPr>
          <w:szCs w:val="22"/>
          <w:lang w:val="fr-FR"/>
        </w:rPr>
        <w:t xml:space="preserve"> </w:t>
      </w:r>
    </w:p>
    <w:p w14:paraId="7FF97C8F" w14:textId="77777777" w:rsidR="000F0CD4" w:rsidRPr="009205FE" w:rsidRDefault="000F0CD4" w:rsidP="00201DF5">
      <w:pPr>
        <w:spacing w:line="240" w:lineRule="auto"/>
        <w:rPr>
          <w:szCs w:val="22"/>
          <w:lang w:val="fr-FR"/>
        </w:rPr>
      </w:pPr>
    </w:p>
    <w:p w14:paraId="212C80BF" w14:textId="77777777" w:rsidR="00201DF5" w:rsidRDefault="00201DF5" w:rsidP="00201DF5">
      <w:pPr>
        <w:spacing w:line="240" w:lineRule="auto"/>
        <w:rPr>
          <w:szCs w:val="22"/>
          <w:lang w:val="en-US"/>
        </w:rPr>
      </w:pPr>
      <w:r>
        <w:rPr>
          <w:szCs w:val="22"/>
          <w:lang w:val="en-US"/>
        </w:rPr>
        <w:t>One ml contains:</w:t>
      </w:r>
    </w:p>
    <w:p w14:paraId="4353F089" w14:textId="77777777" w:rsidR="00201DF5" w:rsidRDefault="00AE67A3" w:rsidP="00201DF5">
      <w:pPr>
        <w:tabs>
          <w:tab w:val="right" w:pos="9000"/>
        </w:tabs>
        <w:spacing w:line="240" w:lineRule="auto"/>
        <w:rPr>
          <w:szCs w:val="22"/>
        </w:rPr>
      </w:pPr>
      <w:r>
        <w:rPr>
          <w:szCs w:val="22"/>
          <w:lang w:val="en-US"/>
        </w:rPr>
        <w:t>N</w:t>
      </w:r>
      <w:r w:rsidR="00201DF5">
        <w:rPr>
          <w:szCs w:val="22"/>
          <w:lang w:val="en-US"/>
        </w:rPr>
        <w:t>ormal immunoglobulin</w:t>
      </w:r>
      <w:r>
        <w:rPr>
          <w:szCs w:val="22"/>
          <w:lang w:val="en-US"/>
        </w:rPr>
        <w:t xml:space="preserve"> </w:t>
      </w:r>
      <w:r w:rsidR="00201DF5">
        <w:rPr>
          <w:szCs w:val="22"/>
          <w:lang w:val="en-US"/>
        </w:rPr>
        <w:tab/>
        <w:t>200</w:t>
      </w:r>
      <w:r w:rsidR="00201DF5" w:rsidRPr="00C930C9">
        <w:rPr>
          <w:szCs w:val="22"/>
        </w:rPr>
        <w:t xml:space="preserve"> mg</w:t>
      </w:r>
    </w:p>
    <w:p w14:paraId="063F86BF" w14:textId="77777777" w:rsidR="00201DF5" w:rsidRPr="00C930C9" w:rsidRDefault="00201DF5" w:rsidP="00201DF5">
      <w:pPr>
        <w:spacing w:line="240" w:lineRule="auto"/>
        <w:rPr>
          <w:szCs w:val="22"/>
        </w:rPr>
      </w:pPr>
      <w:r>
        <w:rPr>
          <w:szCs w:val="22"/>
        </w:rPr>
        <w:t>(</w:t>
      </w:r>
      <w:proofErr w:type="gramStart"/>
      <w:r>
        <w:rPr>
          <w:szCs w:val="22"/>
        </w:rPr>
        <w:t>purity</w:t>
      </w:r>
      <w:proofErr w:type="gramEnd"/>
      <w:r>
        <w:rPr>
          <w:szCs w:val="22"/>
        </w:rPr>
        <w:t xml:space="preserve"> of at least </w:t>
      </w:r>
      <w:r w:rsidRPr="00386765">
        <w:rPr>
          <w:szCs w:val="22"/>
        </w:rPr>
        <w:t>98</w:t>
      </w:r>
      <w:r>
        <w:rPr>
          <w:szCs w:val="22"/>
        </w:rPr>
        <w:t xml:space="preserve">% </w:t>
      </w:r>
      <w:r w:rsidR="00737AA4">
        <w:rPr>
          <w:szCs w:val="22"/>
        </w:rPr>
        <w:t>human immunoglobulin G (IgG)</w:t>
      </w:r>
      <w:r>
        <w:rPr>
          <w:szCs w:val="22"/>
        </w:rPr>
        <w:t>)</w:t>
      </w:r>
    </w:p>
    <w:p w14:paraId="4E211218" w14:textId="77777777" w:rsidR="00201DF5" w:rsidRDefault="00201DF5" w:rsidP="00201DF5">
      <w:pPr>
        <w:spacing w:line="240" w:lineRule="auto"/>
        <w:rPr>
          <w:szCs w:val="22"/>
        </w:rPr>
      </w:pPr>
    </w:p>
    <w:p w14:paraId="65C01236" w14:textId="77777777" w:rsidR="00201DF5" w:rsidRDefault="00201DF5" w:rsidP="00201DF5">
      <w:pPr>
        <w:spacing w:line="240" w:lineRule="auto"/>
        <w:rPr>
          <w:szCs w:val="22"/>
        </w:rPr>
      </w:pPr>
      <w:r w:rsidRPr="00DD25D9">
        <w:rPr>
          <w:szCs w:val="22"/>
        </w:rPr>
        <w:t>Produced from the plasma of human donors.</w:t>
      </w:r>
    </w:p>
    <w:p w14:paraId="14878640" w14:textId="77777777" w:rsidR="00201DF5" w:rsidRDefault="00201DF5" w:rsidP="00201DF5">
      <w:pPr>
        <w:spacing w:line="240" w:lineRule="auto"/>
        <w:rPr>
          <w:szCs w:val="22"/>
        </w:rPr>
      </w:pPr>
    </w:p>
    <w:p w14:paraId="2E35F68E" w14:textId="77777777" w:rsidR="00201DF5" w:rsidRPr="00157895" w:rsidRDefault="00201DF5" w:rsidP="00201DF5">
      <w:pPr>
        <w:spacing w:line="240" w:lineRule="auto"/>
        <w:rPr>
          <w:noProof/>
          <w:szCs w:val="22"/>
        </w:rPr>
      </w:pPr>
      <w:r w:rsidRPr="00BC6DC2">
        <w:rPr>
          <w:noProof/>
          <w:szCs w:val="22"/>
        </w:rPr>
        <w:t xml:space="preserve">For the full list of excipients, see </w:t>
      </w:r>
      <w:hyperlink w:anchor="Section6_1" w:history="1">
        <w:r w:rsidRPr="00070E7C">
          <w:rPr>
            <w:rStyle w:val="Hyperlink"/>
            <w:noProof/>
            <w:szCs w:val="22"/>
          </w:rPr>
          <w:t>section 6.1</w:t>
        </w:r>
      </w:hyperlink>
      <w:r w:rsidRPr="00BC6DC2">
        <w:rPr>
          <w:noProof/>
          <w:szCs w:val="22"/>
        </w:rPr>
        <w:t>.</w:t>
      </w:r>
    </w:p>
    <w:p w14:paraId="67406CFE" w14:textId="77777777" w:rsidR="00201DF5" w:rsidRPr="001F6423" w:rsidRDefault="00201DF5" w:rsidP="00201DF5">
      <w:pPr>
        <w:spacing w:line="240" w:lineRule="auto"/>
        <w:rPr>
          <w:noProof/>
          <w:szCs w:val="22"/>
        </w:rPr>
      </w:pPr>
    </w:p>
    <w:p w14:paraId="2DA22A16" w14:textId="77777777" w:rsidR="00201DF5" w:rsidRPr="001F6423" w:rsidRDefault="00201DF5" w:rsidP="00201DF5">
      <w:pPr>
        <w:spacing w:line="240" w:lineRule="auto"/>
        <w:rPr>
          <w:noProof/>
          <w:szCs w:val="22"/>
        </w:rPr>
      </w:pPr>
    </w:p>
    <w:p w14:paraId="4135515A" w14:textId="77777777" w:rsidR="00201DF5" w:rsidRPr="008561BA" w:rsidRDefault="00201DF5" w:rsidP="00201DF5">
      <w:pPr>
        <w:keepNext/>
        <w:spacing w:line="240" w:lineRule="auto"/>
        <w:ind w:left="567" w:hanging="567"/>
        <w:outlineLvl w:val="0"/>
        <w:rPr>
          <w:b/>
        </w:rPr>
      </w:pPr>
      <w:r w:rsidRPr="008561BA">
        <w:rPr>
          <w:b/>
        </w:rPr>
        <w:t>3.</w:t>
      </w:r>
      <w:r w:rsidRPr="008561BA">
        <w:rPr>
          <w:b/>
        </w:rPr>
        <w:tab/>
        <w:t>PHARMACEUTICAL FORM</w:t>
      </w:r>
    </w:p>
    <w:p w14:paraId="357ECED9" w14:textId="77777777" w:rsidR="00201DF5" w:rsidRPr="006B4557" w:rsidRDefault="00201DF5" w:rsidP="00201DF5">
      <w:pPr>
        <w:keepNext/>
        <w:spacing w:line="240" w:lineRule="auto"/>
        <w:rPr>
          <w:noProof/>
          <w:szCs w:val="22"/>
        </w:rPr>
      </w:pPr>
    </w:p>
    <w:p w14:paraId="5CD23CE9" w14:textId="77777777" w:rsidR="008E7964" w:rsidRDefault="008E7964" w:rsidP="00201DF5">
      <w:pPr>
        <w:spacing w:line="240" w:lineRule="auto"/>
        <w:rPr>
          <w:szCs w:val="22"/>
        </w:rPr>
      </w:pPr>
      <w:r w:rsidRPr="008E7964">
        <w:rPr>
          <w:szCs w:val="22"/>
        </w:rPr>
        <w:t>Dosage form: Injection</w:t>
      </w:r>
    </w:p>
    <w:p w14:paraId="0877ADEF" w14:textId="77777777" w:rsidR="008E7964" w:rsidRPr="00266414" w:rsidRDefault="00201DF5" w:rsidP="00201DF5">
      <w:pPr>
        <w:spacing w:line="240" w:lineRule="auto"/>
        <w:rPr>
          <w:szCs w:val="22"/>
        </w:rPr>
      </w:pPr>
      <w:r w:rsidRPr="00266414">
        <w:rPr>
          <w:szCs w:val="22"/>
        </w:rPr>
        <w:t>Solution</w:t>
      </w:r>
      <w:r>
        <w:rPr>
          <w:szCs w:val="22"/>
        </w:rPr>
        <w:t xml:space="preserve"> for injection</w:t>
      </w:r>
      <w:r w:rsidR="008E7964">
        <w:rPr>
          <w:szCs w:val="22"/>
        </w:rPr>
        <w:t>, for subcutaneous use</w:t>
      </w:r>
      <w:r w:rsidRPr="00266414">
        <w:rPr>
          <w:szCs w:val="22"/>
        </w:rPr>
        <w:t>.</w:t>
      </w:r>
    </w:p>
    <w:p w14:paraId="725863E4" w14:textId="77777777" w:rsidR="00201DF5" w:rsidRDefault="00201DF5" w:rsidP="00201DF5">
      <w:pPr>
        <w:spacing w:line="240" w:lineRule="auto"/>
        <w:rPr>
          <w:szCs w:val="22"/>
        </w:rPr>
      </w:pPr>
      <w:r>
        <w:rPr>
          <w:szCs w:val="22"/>
        </w:rPr>
        <w:t>The solution is c</w:t>
      </w:r>
      <w:r w:rsidRPr="00763965">
        <w:rPr>
          <w:szCs w:val="22"/>
        </w:rPr>
        <w:t>lear to slightly opalescent, and colourless or pale yellow or light brown.</w:t>
      </w:r>
    </w:p>
    <w:p w14:paraId="43FD1944" w14:textId="77777777" w:rsidR="00201DF5" w:rsidRPr="00A03DB6" w:rsidRDefault="00805A20" w:rsidP="00201DF5">
      <w:pPr>
        <w:spacing w:line="240" w:lineRule="auto"/>
        <w:rPr>
          <w:szCs w:val="22"/>
        </w:rPr>
      </w:pPr>
      <w:r>
        <w:rPr>
          <w:szCs w:val="22"/>
        </w:rPr>
        <w:t>Xembify</w:t>
      </w:r>
      <w:r w:rsidRPr="00805A20">
        <w:rPr>
          <w:noProof/>
          <w:szCs w:val="22"/>
          <w:vertAlign w:val="superscript"/>
        </w:rPr>
        <w:t>®</w:t>
      </w:r>
      <w:r w:rsidR="00201DF5">
        <w:rPr>
          <w:szCs w:val="22"/>
        </w:rPr>
        <w:t xml:space="preserve"> has an approximate osmolality range of 280 to 404</w:t>
      </w:r>
      <w:r w:rsidR="00201DF5" w:rsidRPr="003B038D">
        <w:rPr>
          <w:szCs w:val="22"/>
        </w:rPr>
        <w:t xml:space="preserve"> </w:t>
      </w:r>
      <w:proofErr w:type="spellStart"/>
      <w:r w:rsidR="00201DF5" w:rsidRPr="003B038D">
        <w:rPr>
          <w:szCs w:val="22"/>
        </w:rPr>
        <w:t>mOsmol</w:t>
      </w:r>
      <w:proofErr w:type="spellEnd"/>
      <w:r w:rsidR="00201DF5" w:rsidRPr="003B038D">
        <w:rPr>
          <w:szCs w:val="22"/>
        </w:rPr>
        <w:t>/kg</w:t>
      </w:r>
      <w:r w:rsidR="00201DF5">
        <w:rPr>
          <w:szCs w:val="22"/>
        </w:rPr>
        <w:t>.</w:t>
      </w:r>
    </w:p>
    <w:p w14:paraId="5FBF0DDC" w14:textId="77777777" w:rsidR="00201DF5" w:rsidRPr="006B4557" w:rsidRDefault="00201DF5" w:rsidP="00201DF5">
      <w:pPr>
        <w:spacing w:line="240" w:lineRule="auto"/>
        <w:rPr>
          <w:noProof/>
          <w:szCs w:val="22"/>
        </w:rPr>
      </w:pPr>
    </w:p>
    <w:p w14:paraId="3F8387B0" w14:textId="77777777" w:rsidR="00201DF5" w:rsidRPr="006B4557" w:rsidRDefault="00201DF5" w:rsidP="00201DF5">
      <w:pPr>
        <w:spacing w:line="240" w:lineRule="auto"/>
        <w:rPr>
          <w:noProof/>
          <w:szCs w:val="22"/>
        </w:rPr>
      </w:pPr>
    </w:p>
    <w:p w14:paraId="33F951D1" w14:textId="77777777" w:rsidR="00201DF5" w:rsidRPr="008561BA" w:rsidRDefault="00201DF5" w:rsidP="00201DF5">
      <w:pPr>
        <w:keepNext/>
        <w:spacing w:line="240" w:lineRule="auto"/>
        <w:ind w:left="567" w:hanging="567"/>
        <w:outlineLvl w:val="0"/>
        <w:rPr>
          <w:b/>
        </w:rPr>
      </w:pPr>
      <w:r w:rsidRPr="008561BA">
        <w:rPr>
          <w:b/>
        </w:rPr>
        <w:t>4.</w:t>
      </w:r>
      <w:r w:rsidRPr="008561BA">
        <w:rPr>
          <w:b/>
        </w:rPr>
        <w:tab/>
        <w:t>CLINICAL PARTICULARS</w:t>
      </w:r>
    </w:p>
    <w:p w14:paraId="7EC48175" w14:textId="77777777" w:rsidR="00201DF5" w:rsidRPr="006B4557" w:rsidRDefault="00201DF5" w:rsidP="00201DF5">
      <w:pPr>
        <w:keepNext/>
        <w:spacing w:line="240" w:lineRule="auto"/>
        <w:rPr>
          <w:noProof/>
          <w:szCs w:val="22"/>
        </w:rPr>
      </w:pPr>
    </w:p>
    <w:p w14:paraId="53A77118" w14:textId="77777777" w:rsidR="00201DF5" w:rsidRDefault="00201DF5" w:rsidP="00ED5CBE">
      <w:pPr>
        <w:keepNext/>
        <w:spacing w:line="240" w:lineRule="auto"/>
        <w:ind w:left="562" w:hanging="562"/>
        <w:outlineLvl w:val="1"/>
        <w:rPr>
          <w:b/>
          <w:noProof/>
          <w:szCs w:val="22"/>
        </w:rPr>
      </w:pPr>
      <w:r w:rsidRPr="006B4557">
        <w:rPr>
          <w:b/>
          <w:noProof/>
          <w:szCs w:val="22"/>
        </w:rPr>
        <w:t>4.1</w:t>
      </w:r>
      <w:r w:rsidRPr="006B4557">
        <w:rPr>
          <w:b/>
          <w:noProof/>
          <w:szCs w:val="22"/>
        </w:rPr>
        <w:tab/>
        <w:t>Therapeutic indications</w:t>
      </w:r>
    </w:p>
    <w:p w14:paraId="59AA8ED8" w14:textId="77777777" w:rsidR="00201DF5" w:rsidRDefault="00201DF5" w:rsidP="00201DF5">
      <w:pPr>
        <w:keepNext/>
        <w:spacing w:line="240" w:lineRule="auto"/>
        <w:rPr>
          <w:szCs w:val="22"/>
        </w:rPr>
      </w:pPr>
    </w:p>
    <w:p w14:paraId="7F36C83C" w14:textId="77777777" w:rsidR="00201DF5" w:rsidRDefault="00201DF5" w:rsidP="00201DF5">
      <w:pPr>
        <w:keepNext/>
        <w:spacing w:line="240" w:lineRule="auto"/>
        <w:rPr>
          <w:noProof/>
          <w:szCs w:val="22"/>
          <w:u w:val="single"/>
        </w:rPr>
      </w:pPr>
      <w:r>
        <w:rPr>
          <w:szCs w:val="22"/>
        </w:rPr>
        <w:t>Indications for subcutaneous administration (SCIg)</w:t>
      </w:r>
    </w:p>
    <w:p w14:paraId="73ACA8D8" w14:textId="77777777" w:rsidR="001B6F71" w:rsidRPr="00286D0B" w:rsidRDefault="001B6F71" w:rsidP="001B6F71">
      <w:pPr>
        <w:pStyle w:val="BodyText"/>
        <w:spacing w:before="1"/>
        <w:rPr>
          <w:i w:val="0"/>
          <w:iCs/>
          <w:color w:val="auto"/>
          <w:spacing w:val="-1"/>
        </w:rPr>
      </w:pPr>
      <w:r w:rsidRPr="00286D0B">
        <w:rPr>
          <w:i w:val="0"/>
          <w:iCs/>
          <w:color w:val="auto"/>
          <w:spacing w:val="-1"/>
        </w:rPr>
        <w:t>Xembify</w:t>
      </w:r>
      <w:r w:rsidR="00E817FF" w:rsidRPr="00286D0B">
        <w:rPr>
          <w:i w:val="0"/>
          <w:iCs/>
          <w:color w:val="auto"/>
          <w:vertAlign w:val="superscript"/>
        </w:rPr>
        <w:t>®</w:t>
      </w:r>
      <w:r w:rsidRPr="00286D0B">
        <w:rPr>
          <w:i w:val="0"/>
          <w:iCs/>
          <w:color w:val="auto"/>
          <w:spacing w:val="-1"/>
        </w:rPr>
        <w:t xml:space="preserve"> is indicated as replacement therapy in adult and paediatric patients for:</w:t>
      </w:r>
    </w:p>
    <w:p w14:paraId="41D65AD5" w14:textId="77777777" w:rsidR="001B6F71" w:rsidRPr="009B7A9A" w:rsidRDefault="001B6F71" w:rsidP="001E6C47">
      <w:pPr>
        <w:spacing w:line="240" w:lineRule="auto"/>
        <w:rPr>
          <w:noProof/>
          <w:szCs w:val="22"/>
          <w:u w:val="single"/>
        </w:rPr>
      </w:pPr>
    </w:p>
    <w:p w14:paraId="57677AAA" w14:textId="77777777" w:rsidR="001B6F71" w:rsidRPr="00D42C17" w:rsidRDefault="001B6F71" w:rsidP="00D42C17">
      <w:pPr>
        <w:numPr>
          <w:ilvl w:val="0"/>
          <w:numId w:val="1"/>
        </w:numPr>
        <w:tabs>
          <w:tab w:val="clear" w:pos="567"/>
          <w:tab w:val="left" w:pos="540"/>
        </w:tabs>
        <w:spacing w:line="240" w:lineRule="auto"/>
        <w:ind w:left="547" w:hanging="547"/>
        <w:rPr>
          <w:spacing w:val="-1"/>
        </w:rPr>
      </w:pPr>
      <w:r w:rsidRPr="00D42C17">
        <w:rPr>
          <w:spacing w:val="-1"/>
        </w:rPr>
        <w:t>Primary immunodeficiency diseases (PID)</w:t>
      </w:r>
    </w:p>
    <w:p w14:paraId="37D9AB11" w14:textId="77777777" w:rsidR="001B6F71" w:rsidRPr="00D42C17" w:rsidRDefault="001B6F71" w:rsidP="00D42C17">
      <w:pPr>
        <w:numPr>
          <w:ilvl w:val="0"/>
          <w:numId w:val="1"/>
        </w:numPr>
        <w:tabs>
          <w:tab w:val="clear" w:pos="567"/>
          <w:tab w:val="left" w:pos="540"/>
        </w:tabs>
        <w:spacing w:line="240" w:lineRule="auto"/>
        <w:ind w:left="547" w:hanging="547"/>
        <w:rPr>
          <w:spacing w:val="-1"/>
        </w:rPr>
      </w:pPr>
      <w:r w:rsidRPr="00D42C17">
        <w:rPr>
          <w:spacing w:val="-1"/>
        </w:rPr>
        <w:t xml:space="preserve">Symptomatic </w:t>
      </w:r>
      <w:proofErr w:type="spellStart"/>
      <w:r w:rsidRPr="00D42C17">
        <w:rPr>
          <w:spacing w:val="-1"/>
        </w:rPr>
        <w:t>hypogammaglobulinaemia</w:t>
      </w:r>
      <w:proofErr w:type="spellEnd"/>
      <w:r w:rsidRPr="00D42C17">
        <w:rPr>
          <w:spacing w:val="-1"/>
        </w:rPr>
        <w:t xml:space="preserve"> secondary to un</w:t>
      </w:r>
      <w:r w:rsidRPr="00D42C17">
        <w:rPr>
          <w:spacing w:val="-1"/>
          <w:lang w:val="en-US"/>
        </w:rPr>
        <w:t>der</w:t>
      </w:r>
      <w:r w:rsidRPr="00D42C17">
        <w:rPr>
          <w:spacing w:val="-1"/>
        </w:rPr>
        <w:t>lying disease or treatment.</w:t>
      </w:r>
    </w:p>
    <w:p w14:paraId="348486D0" w14:textId="77777777" w:rsidR="00201DF5" w:rsidRPr="00067B16" w:rsidRDefault="00201DF5" w:rsidP="00201DF5">
      <w:pPr>
        <w:spacing w:line="240" w:lineRule="auto"/>
        <w:rPr>
          <w:noProof/>
          <w:szCs w:val="22"/>
        </w:rPr>
      </w:pPr>
    </w:p>
    <w:p w14:paraId="5B34B905" w14:textId="77777777" w:rsidR="00201DF5" w:rsidRPr="00A26F79" w:rsidRDefault="00201DF5" w:rsidP="00ED5CBE">
      <w:pPr>
        <w:keepNext/>
        <w:spacing w:line="240" w:lineRule="auto"/>
        <w:ind w:left="562" w:hanging="562"/>
        <w:outlineLvl w:val="1"/>
        <w:rPr>
          <w:b/>
          <w:noProof/>
          <w:szCs w:val="22"/>
        </w:rPr>
      </w:pPr>
      <w:r w:rsidRPr="00B3208E">
        <w:rPr>
          <w:b/>
          <w:noProof/>
          <w:szCs w:val="22"/>
        </w:rPr>
        <w:lastRenderedPageBreak/>
        <w:t>4.2</w:t>
      </w:r>
      <w:r w:rsidRPr="00B3208E">
        <w:rPr>
          <w:b/>
          <w:noProof/>
          <w:szCs w:val="22"/>
        </w:rPr>
        <w:tab/>
      </w:r>
      <w:bookmarkStart w:id="1" w:name="Section4_2"/>
      <w:bookmarkEnd w:id="1"/>
      <w:r w:rsidR="00D948DB">
        <w:rPr>
          <w:b/>
          <w:noProof/>
          <w:szCs w:val="22"/>
        </w:rPr>
        <w:t>Dose</w:t>
      </w:r>
      <w:r w:rsidR="00D948DB" w:rsidRPr="00A26F79">
        <w:rPr>
          <w:b/>
          <w:noProof/>
          <w:szCs w:val="22"/>
        </w:rPr>
        <w:t xml:space="preserve"> </w:t>
      </w:r>
      <w:r w:rsidRPr="00A26F79">
        <w:rPr>
          <w:b/>
          <w:noProof/>
          <w:szCs w:val="22"/>
        </w:rPr>
        <w:t>and method of administration</w:t>
      </w:r>
    </w:p>
    <w:p w14:paraId="10AADE65" w14:textId="77777777" w:rsidR="00201DF5" w:rsidRDefault="00201DF5" w:rsidP="00201DF5">
      <w:pPr>
        <w:keepNext/>
        <w:spacing w:line="240" w:lineRule="auto"/>
        <w:rPr>
          <w:szCs w:val="22"/>
        </w:rPr>
      </w:pPr>
    </w:p>
    <w:p w14:paraId="0622798C" w14:textId="77777777" w:rsidR="00201DF5" w:rsidRDefault="00201DF5" w:rsidP="00201DF5">
      <w:pPr>
        <w:spacing w:line="240" w:lineRule="auto"/>
        <w:rPr>
          <w:szCs w:val="22"/>
          <w:lang w:eastAsia="es-ES"/>
        </w:rPr>
      </w:pPr>
      <w:r w:rsidRPr="00763965">
        <w:rPr>
          <w:szCs w:val="22"/>
          <w:lang w:eastAsia="es-ES"/>
        </w:rPr>
        <w:t>Replacement therapy should be initiated and monitored under the supervision of a physician experienced in the treatment of immunodeficiency.</w:t>
      </w:r>
    </w:p>
    <w:p w14:paraId="739DB3D1" w14:textId="77777777" w:rsidR="00201DF5" w:rsidRPr="006B4557" w:rsidRDefault="00201DF5" w:rsidP="00201DF5">
      <w:pPr>
        <w:spacing w:line="240" w:lineRule="auto"/>
        <w:rPr>
          <w:szCs w:val="22"/>
        </w:rPr>
      </w:pPr>
    </w:p>
    <w:p w14:paraId="04084F77" w14:textId="77777777" w:rsidR="00201DF5" w:rsidRDefault="00D948DB" w:rsidP="00201DF5">
      <w:pPr>
        <w:keepNext/>
        <w:spacing w:line="240" w:lineRule="auto"/>
        <w:rPr>
          <w:szCs w:val="22"/>
          <w:u w:val="single"/>
        </w:rPr>
      </w:pPr>
      <w:r>
        <w:rPr>
          <w:szCs w:val="22"/>
          <w:u w:val="single"/>
        </w:rPr>
        <w:t>Dosage</w:t>
      </w:r>
    </w:p>
    <w:p w14:paraId="4DDD497E" w14:textId="77777777" w:rsidR="00201DF5" w:rsidRPr="007B42D3" w:rsidRDefault="00201DF5" w:rsidP="00201DF5">
      <w:pPr>
        <w:keepNext/>
        <w:spacing w:line="240" w:lineRule="auto"/>
        <w:rPr>
          <w:szCs w:val="22"/>
          <w:u w:val="single"/>
        </w:rPr>
      </w:pPr>
    </w:p>
    <w:p w14:paraId="3D5948A1" w14:textId="77777777" w:rsidR="00201DF5" w:rsidRDefault="00201DF5" w:rsidP="00201DF5">
      <w:pPr>
        <w:spacing w:line="240" w:lineRule="auto"/>
        <w:rPr>
          <w:szCs w:val="22"/>
        </w:rPr>
      </w:pPr>
      <w:r w:rsidRPr="00763965">
        <w:rPr>
          <w:szCs w:val="22"/>
        </w:rPr>
        <w:t xml:space="preserve">The dose and dose regimen </w:t>
      </w:r>
      <w:r>
        <w:rPr>
          <w:szCs w:val="22"/>
        </w:rPr>
        <w:t>are</w:t>
      </w:r>
      <w:r w:rsidRPr="00763965">
        <w:rPr>
          <w:szCs w:val="22"/>
        </w:rPr>
        <w:t xml:space="preserve"> dependent on the indication.</w:t>
      </w:r>
    </w:p>
    <w:p w14:paraId="25442ADF" w14:textId="77777777" w:rsidR="00201DF5" w:rsidRPr="00266414" w:rsidRDefault="00201DF5" w:rsidP="00201DF5">
      <w:pPr>
        <w:spacing w:line="240" w:lineRule="auto"/>
        <w:rPr>
          <w:szCs w:val="22"/>
        </w:rPr>
      </w:pPr>
    </w:p>
    <w:p w14:paraId="432D7372" w14:textId="77777777" w:rsidR="00201DF5" w:rsidRDefault="00201DF5" w:rsidP="00201DF5">
      <w:pPr>
        <w:keepNext/>
        <w:spacing w:line="240" w:lineRule="auto"/>
        <w:rPr>
          <w:i/>
          <w:iCs/>
          <w:szCs w:val="22"/>
        </w:rPr>
      </w:pPr>
      <w:r w:rsidRPr="00763965">
        <w:rPr>
          <w:i/>
          <w:iCs/>
          <w:szCs w:val="22"/>
        </w:rPr>
        <w:t>Replacement therapy</w:t>
      </w:r>
    </w:p>
    <w:p w14:paraId="41B2AC5D" w14:textId="77777777" w:rsidR="00201DF5" w:rsidRPr="00763965" w:rsidRDefault="00201DF5" w:rsidP="00201DF5">
      <w:pPr>
        <w:keepNext/>
        <w:spacing w:line="240" w:lineRule="auto"/>
        <w:rPr>
          <w:i/>
          <w:iCs/>
          <w:szCs w:val="22"/>
        </w:rPr>
      </w:pPr>
    </w:p>
    <w:p w14:paraId="7E8B3E5A" w14:textId="77777777" w:rsidR="00201DF5" w:rsidRDefault="00201DF5" w:rsidP="00201DF5">
      <w:pPr>
        <w:spacing w:line="240" w:lineRule="auto"/>
        <w:rPr>
          <w:szCs w:val="22"/>
        </w:rPr>
      </w:pPr>
      <w:r w:rsidRPr="00763965">
        <w:rPr>
          <w:szCs w:val="22"/>
        </w:rPr>
        <w:t>The product should be administered via the subcutaneous route.</w:t>
      </w:r>
    </w:p>
    <w:p w14:paraId="3EE40958" w14:textId="77777777" w:rsidR="00201DF5" w:rsidRPr="00763965" w:rsidRDefault="00201DF5" w:rsidP="00201DF5">
      <w:pPr>
        <w:spacing w:line="240" w:lineRule="auto"/>
        <w:rPr>
          <w:szCs w:val="22"/>
        </w:rPr>
      </w:pPr>
    </w:p>
    <w:p w14:paraId="4D47382E" w14:textId="77777777" w:rsidR="00201DF5" w:rsidRDefault="00201DF5" w:rsidP="00201DF5">
      <w:pPr>
        <w:spacing w:line="240" w:lineRule="auto"/>
        <w:rPr>
          <w:szCs w:val="22"/>
        </w:rPr>
      </w:pPr>
      <w:r w:rsidRPr="00763965">
        <w:rPr>
          <w:szCs w:val="22"/>
        </w:rPr>
        <w:t>In replacement therapy the dose may need to be individualised for each patient dependent on the pharmacokinetic and clinical response. The following dose regimens are given as a guideline.</w:t>
      </w:r>
    </w:p>
    <w:p w14:paraId="404313EE" w14:textId="77777777" w:rsidR="00201DF5" w:rsidRDefault="00201DF5" w:rsidP="00201DF5">
      <w:pPr>
        <w:spacing w:line="240" w:lineRule="auto"/>
        <w:rPr>
          <w:szCs w:val="22"/>
        </w:rPr>
      </w:pPr>
    </w:p>
    <w:p w14:paraId="6860556B" w14:textId="77777777" w:rsidR="00201DF5" w:rsidRDefault="00201DF5" w:rsidP="00201DF5">
      <w:pPr>
        <w:rPr>
          <w:szCs w:val="22"/>
        </w:rPr>
      </w:pPr>
      <w:r w:rsidRPr="00763965">
        <w:rPr>
          <w:szCs w:val="22"/>
        </w:rPr>
        <w:t>The dose regimen should achieve a trough level of IgG (measured before the next infusion) of at least 5 to 6 g/l</w:t>
      </w:r>
      <w:r>
        <w:rPr>
          <w:szCs w:val="22"/>
        </w:rPr>
        <w:t xml:space="preserve"> and aim to be within the reference interval of serum IgG for age.</w:t>
      </w:r>
      <w:r w:rsidRPr="00763965">
        <w:rPr>
          <w:szCs w:val="22"/>
        </w:rPr>
        <w:t xml:space="preserve"> A loading dose of at </w:t>
      </w:r>
      <w:r>
        <w:rPr>
          <w:szCs w:val="22"/>
        </w:rPr>
        <w:t>least 0.2 to 0.5 g/</w:t>
      </w:r>
      <w:r w:rsidRPr="0088111B">
        <w:rPr>
          <w:szCs w:val="22"/>
        </w:rPr>
        <w:t xml:space="preserve">kg (1 to </w:t>
      </w:r>
      <w:r>
        <w:rPr>
          <w:szCs w:val="22"/>
        </w:rPr>
        <w:t>2.</w:t>
      </w:r>
      <w:r w:rsidRPr="0088111B">
        <w:rPr>
          <w:szCs w:val="22"/>
        </w:rPr>
        <w:t>5 ml/kg</w:t>
      </w:r>
      <w:r w:rsidRPr="00763965">
        <w:rPr>
          <w:szCs w:val="22"/>
        </w:rPr>
        <w:t xml:space="preserve">) body weight may be required. This may need to be divided over several days, with a maximal daily dose of 0.1 to 0.15 g/kg. </w:t>
      </w:r>
    </w:p>
    <w:p w14:paraId="52B9E068" w14:textId="77777777" w:rsidR="00201DF5" w:rsidRDefault="00201DF5" w:rsidP="00201DF5">
      <w:pPr>
        <w:rPr>
          <w:szCs w:val="22"/>
        </w:rPr>
      </w:pPr>
    </w:p>
    <w:p w14:paraId="3FE2DD42" w14:textId="77777777" w:rsidR="00201DF5" w:rsidRDefault="00201DF5" w:rsidP="00201DF5">
      <w:pPr>
        <w:rPr>
          <w:szCs w:val="22"/>
        </w:rPr>
      </w:pPr>
      <w:r w:rsidRPr="00763965">
        <w:rPr>
          <w:szCs w:val="22"/>
        </w:rPr>
        <w:t>After steady state IgG levels have been attained, maintenance doses are administered at repeated intervals (approximately once per week) to reach a cumulative monthly dose of the order of 0.4</w:t>
      </w:r>
      <w:r>
        <w:rPr>
          <w:szCs w:val="22"/>
        </w:rPr>
        <w:t xml:space="preserve"> </w:t>
      </w:r>
      <w:r w:rsidR="00890283">
        <w:rPr>
          <w:szCs w:val="22"/>
        </w:rPr>
        <w:t>to</w:t>
      </w:r>
      <w:r>
        <w:rPr>
          <w:szCs w:val="22"/>
        </w:rPr>
        <w:t xml:space="preserve"> </w:t>
      </w:r>
      <w:r w:rsidRPr="00763965">
        <w:rPr>
          <w:szCs w:val="22"/>
        </w:rPr>
        <w:t>0.8 g/kg. Each single dose may need to be injected at different anatomic sites.</w:t>
      </w:r>
    </w:p>
    <w:p w14:paraId="7D4F00E5" w14:textId="77777777" w:rsidR="00201DF5" w:rsidRPr="00763965" w:rsidRDefault="00201DF5" w:rsidP="00201DF5">
      <w:pPr>
        <w:rPr>
          <w:szCs w:val="22"/>
        </w:rPr>
      </w:pPr>
    </w:p>
    <w:p w14:paraId="5AE23BD0" w14:textId="77777777" w:rsidR="00201DF5" w:rsidRDefault="00201DF5" w:rsidP="00201DF5">
      <w:pPr>
        <w:rPr>
          <w:szCs w:val="22"/>
        </w:rPr>
      </w:pPr>
      <w:r w:rsidRPr="00763965">
        <w:rPr>
          <w:szCs w:val="22"/>
        </w:rPr>
        <w:t>Trough levels should be measured and assessed in conjunction with the incidence of infection. To reduce the rate of infection, it may be necessary to increase the dose and aim for higher trough levels.</w:t>
      </w:r>
    </w:p>
    <w:p w14:paraId="341D86AF" w14:textId="77777777" w:rsidR="001B6F71" w:rsidRPr="00286D0B" w:rsidRDefault="001B6F71" w:rsidP="001B6F71">
      <w:pPr>
        <w:pStyle w:val="BodyText"/>
        <w:spacing w:line="245" w:lineRule="auto"/>
        <w:ind w:right="244"/>
        <w:rPr>
          <w:i w:val="0"/>
          <w:iCs/>
          <w:color w:val="auto"/>
          <w:spacing w:val="-1"/>
        </w:rPr>
      </w:pPr>
    </w:p>
    <w:p w14:paraId="6BC4C588" w14:textId="77777777" w:rsidR="007811EB" w:rsidRPr="009511B8" w:rsidRDefault="009511B8" w:rsidP="009511B8">
      <w:pPr>
        <w:keepNext/>
        <w:spacing w:after="240" w:line="240" w:lineRule="auto"/>
        <w:rPr>
          <w:b/>
          <w:bCs/>
          <w:szCs w:val="22"/>
        </w:rPr>
      </w:pPr>
      <w:r w:rsidRPr="009511B8">
        <w:rPr>
          <w:b/>
          <w:bCs/>
          <w:szCs w:val="22"/>
        </w:rPr>
        <w:t>Dosing for Patients Switching from Other Subcutaneous or Intravenous Immunoglobulin Treatments</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2720"/>
        <w:gridCol w:w="2014"/>
        <w:gridCol w:w="1929"/>
      </w:tblGrid>
      <w:tr w:rsidR="00CF3126" w:rsidRPr="00286D0B" w14:paraId="3FE5EDC5" w14:textId="77777777" w:rsidTr="003F47E9">
        <w:tc>
          <w:tcPr>
            <w:tcW w:w="2315" w:type="dxa"/>
            <w:vMerge w:val="restart"/>
            <w:tcBorders>
              <w:top w:val="single" w:sz="4" w:space="0" w:color="auto"/>
            </w:tcBorders>
            <w:shd w:val="clear" w:color="auto" w:fill="auto"/>
          </w:tcPr>
          <w:p w14:paraId="76DAEA10" w14:textId="77777777" w:rsidR="00CF3126" w:rsidRPr="009B7A9A" w:rsidRDefault="00CF3126" w:rsidP="002A3565">
            <w:pPr>
              <w:pStyle w:val="BodyText"/>
              <w:spacing w:line="245" w:lineRule="auto"/>
              <w:ind w:right="244"/>
              <w:jc w:val="center"/>
              <w:rPr>
                <w:b/>
                <w:bCs/>
                <w:i w:val="0"/>
                <w:iCs/>
                <w:color w:val="auto"/>
                <w:sz w:val="20"/>
              </w:rPr>
            </w:pPr>
          </w:p>
        </w:tc>
        <w:tc>
          <w:tcPr>
            <w:tcW w:w="6854" w:type="dxa"/>
            <w:gridSpan w:val="3"/>
            <w:tcBorders>
              <w:top w:val="single" w:sz="4" w:space="0" w:color="auto"/>
              <w:bottom w:val="single" w:sz="4" w:space="0" w:color="auto"/>
            </w:tcBorders>
            <w:shd w:val="clear" w:color="auto" w:fill="auto"/>
            <w:vAlign w:val="center"/>
          </w:tcPr>
          <w:p w14:paraId="47526B29" w14:textId="77777777" w:rsidR="00CF3126" w:rsidRPr="00286D0B" w:rsidRDefault="00CF3126" w:rsidP="009B7A9A">
            <w:pPr>
              <w:pStyle w:val="BodyText"/>
              <w:spacing w:line="245" w:lineRule="auto"/>
              <w:ind w:right="244"/>
              <w:jc w:val="center"/>
              <w:rPr>
                <w:b/>
                <w:bCs/>
                <w:i w:val="0"/>
                <w:iCs/>
                <w:color w:val="auto"/>
                <w:sz w:val="20"/>
              </w:rPr>
            </w:pPr>
            <w:r w:rsidRPr="00286D0B">
              <w:rPr>
                <w:b/>
                <w:bCs/>
                <w:i w:val="0"/>
                <w:iCs/>
                <w:color w:val="auto"/>
                <w:sz w:val="20"/>
              </w:rPr>
              <w:t>Xembify</w:t>
            </w:r>
            <w:r w:rsidRPr="00286D0B">
              <w:rPr>
                <w:b/>
                <w:bCs/>
                <w:i w:val="0"/>
                <w:iCs/>
                <w:color w:val="auto"/>
                <w:sz w:val="20"/>
                <w:vertAlign w:val="superscript"/>
              </w:rPr>
              <w:t>®</w:t>
            </w:r>
            <w:r w:rsidRPr="00286D0B">
              <w:rPr>
                <w:b/>
                <w:bCs/>
                <w:i w:val="0"/>
                <w:iCs/>
                <w:color w:val="auto"/>
                <w:sz w:val="20"/>
              </w:rPr>
              <w:t xml:space="preserve"> Dosing Frequency</w:t>
            </w:r>
          </w:p>
        </w:tc>
      </w:tr>
      <w:tr w:rsidR="00CF3126" w:rsidRPr="007B213E" w14:paraId="398AB24F" w14:textId="77777777" w:rsidTr="003F47E9">
        <w:tc>
          <w:tcPr>
            <w:tcW w:w="2315" w:type="dxa"/>
            <w:vMerge/>
            <w:tcBorders>
              <w:bottom w:val="single" w:sz="12" w:space="0" w:color="auto"/>
            </w:tcBorders>
            <w:shd w:val="clear" w:color="auto" w:fill="auto"/>
          </w:tcPr>
          <w:p w14:paraId="72DF6B4A" w14:textId="77777777" w:rsidR="00CF3126" w:rsidRPr="00286D0B" w:rsidRDefault="00CF3126" w:rsidP="002A3565">
            <w:pPr>
              <w:pStyle w:val="BodyText"/>
              <w:spacing w:line="245" w:lineRule="auto"/>
              <w:ind w:right="244"/>
              <w:rPr>
                <w:i w:val="0"/>
                <w:iCs/>
                <w:color w:val="auto"/>
                <w:sz w:val="20"/>
              </w:rPr>
            </w:pPr>
          </w:p>
        </w:tc>
        <w:tc>
          <w:tcPr>
            <w:tcW w:w="2805" w:type="dxa"/>
            <w:tcBorders>
              <w:bottom w:val="single" w:sz="12" w:space="0" w:color="auto"/>
            </w:tcBorders>
            <w:shd w:val="clear" w:color="auto" w:fill="auto"/>
            <w:vAlign w:val="center"/>
          </w:tcPr>
          <w:p w14:paraId="0023F617" w14:textId="77777777" w:rsidR="00CF3126" w:rsidRPr="00286D0B" w:rsidRDefault="00CF3126" w:rsidP="00286D0B">
            <w:pPr>
              <w:pStyle w:val="BodyText"/>
              <w:spacing w:line="245" w:lineRule="auto"/>
              <w:ind w:right="244"/>
              <w:jc w:val="center"/>
              <w:rPr>
                <w:b/>
                <w:bCs/>
                <w:i w:val="0"/>
                <w:iCs/>
                <w:color w:val="auto"/>
                <w:sz w:val="20"/>
              </w:rPr>
            </w:pPr>
            <w:r w:rsidRPr="00286D0B">
              <w:rPr>
                <w:b/>
                <w:bCs/>
                <w:i w:val="0"/>
                <w:iCs/>
                <w:color w:val="auto"/>
                <w:sz w:val="20"/>
              </w:rPr>
              <w:t>Weekly</w:t>
            </w:r>
          </w:p>
        </w:tc>
        <w:tc>
          <w:tcPr>
            <w:tcW w:w="2070" w:type="dxa"/>
            <w:tcBorders>
              <w:bottom w:val="single" w:sz="12" w:space="0" w:color="auto"/>
            </w:tcBorders>
            <w:shd w:val="clear" w:color="auto" w:fill="auto"/>
            <w:vAlign w:val="center"/>
          </w:tcPr>
          <w:p w14:paraId="7EA47BBC" w14:textId="77777777" w:rsidR="00CF3126" w:rsidRPr="00286D0B" w:rsidRDefault="00CF3126" w:rsidP="00286D0B">
            <w:pPr>
              <w:pStyle w:val="BodyText"/>
              <w:spacing w:line="245" w:lineRule="auto"/>
              <w:ind w:right="244"/>
              <w:jc w:val="center"/>
              <w:rPr>
                <w:b/>
                <w:bCs/>
                <w:i w:val="0"/>
                <w:iCs/>
                <w:color w:val="auto"/>
                <w:sz w:val="20"/>
              </w:rPr>
            </w:pPr>
            <w:r w:rsidRPr="00056D9F">
              <w:rPr>
                <w:b/>
                <w:bCs/>
                <w:i w:val="0"/>
                <w:iCs/>
                <w:color w:val="auto"/>
                <w:sz w:val="20"/>
              </w:rPr>
              <w:t>Biweekly</w:t>
            </w:r>
            <w:r w:rsidR="00C77FC8">
              <w:rPr>
                <w:b/>
                <w:bCs/>
                <w:i w:val="0"/>
                <w:iCs/>
                <w:color w:val="auto"/>
                <w:sz w:val="20"/>
              </w:rPr>
              <w:br/>
            </w:r>
            <w:r w:rsidR="00C77FC8" w:rsidRPr="00056D9F">
              <w:rPr>
                <w:b/>
                <w:bCs/>
                <w:i w:val="0"/>
                <w:iCs/>
                <w:color w:val="auto"/>
                <w:sz w:val="20"/>
              </w:rPr>
              <w:t xml:space="preserve">(every </w:t>
            </w:r>
            <w:r w:rsidR="00056D9F" w:rsidRPr="00056D9F">
              <w:rPr>
                <w:b/>
                <w:bCs/>
                <w:i w:val="0"/>
                <w:iCs/>
                <w:color w:val="auto"/>
                <w:sz w:val="20"/>
              </w:rPr>
              <w:t>2 weeks</w:t>
            </w:r>
            <w:r w:rsidR="00C77FC8" w:rsidRPr="00056D9F">
              <w:rPr>
                <w:b/>
                <w:bCs/>
                <w:i w:val="0"/>
                <w:iCs/>
                <w:color w:val="auto"/>
                <w:sz w:val="20"/>
              </w:rPr>
              <w:t>)</w:t>
            </w:r>
          </w:p>
        </w:tc>
        <w:tc>
          <w:tcPr>
            <w:tcW w:w="1979" w:type="dxa"/>
            <w:tcBorders>
              <w:bottom w:val="single" w:sz="12" w:space="0" w:color="auto"/>
            </w:tcBorders>
            <w:shd w:val="clear" w:color="auto" w:fill="auto"/>
            <w:vAlign w:val="center"/>
          </w:tcPr>
          <w:p w14:paraId="072BE206" w14:textId="77777777" w:rsidR="00CF3126" w:rsidRPr="00286D0B" w:rsidRDefault="00CF3126" w:rsidP="00286D0B">
            <w:pPr>
              <w:pStyle w:val="BodyText"/>
              <w:spacing w:line="245" w:lineRule="auto"/>
              <w:ind w:right="244"/>
              <w:jc w:val="center"/>
              <w:rPr>
                <w:b/>
                <w:bCs/>
                <w:i w:val="0"/>
                <w:iCs/>
                <w:color w:val="auto"/>
                <w:sz w:val="20"/>
              </w:rPr>
            </w:pPr>
            <w:r w:rsidRPr="00286D0B">
              <w:rPr>
                <w:b/>
                <w:bCs/>
                <w:i w:val="0"/>
                <w:iCs/>
                <w:color w:val="auto"/>
                <w:sz w:val="20"/>
              </w:rPr>
              <w:t>Frequent (2</w:t>
            </w:r>
            <w:r>
              <w:rPr>
                <w:b/>
                <w:bCs/>
                <w:i w:val="0"/>
                <w:iCs/>
                <w:color w:val="auto"/>
                <w:sz w:val="20"/>
              </w:rPr>
              <w:t xml:space="preserve"> to </w:t>
            </w:r>
            <w:r w:rsidRPr="00286D0B">
              <w:rPr>
                <w:b/>
                <w:bCs/>
                <w:i w:val="0"/>
                <w:iCs/>
                <w:color w:val="auto"/>
                <w:sz w:val="20"/>
              </w:rPr>
              <w:t>7 times per week)</w:t>
            </w:r>
          </w:p>
        </w:tc>
      </w:tr>
      <w:tr w:rsidR="001B6F71" w:rsidRPr="007B213E" w14:paraId="2BB8B2F6" w14:textId="77777777" w:rsidTr="003F47E9">
        <w:tc>
          <w:tcPr>
            <w:tcW w:w="2315" w:type="dxa"/>
            <w:tcBorders>
              <w:top w:val="single" w:sz="12" w:space="0" w:color="auto"/>
            </w:tcBorders>
            <w:shd w:val="clear" w:color="auto" w:fill="auto"/>
          </w:tcPr>
          <w:p w14:paraId="18E74809" w14:textId="77777777" w:rsidR="001B6F71" w:rsidRPr="00286D0B" w:rsidRDefault="001B6F71" w:rsidP="002A3565">
            <w:pPr>
              <w:pStyle w:val="BodyText"/>
              <w:spacing w:line="245" w:lineRule="auto"/>
              <w:ind w:right="244"/>
              <w:rPr>
                <w:i w:val="0"/>
                <w:iCs/>
                <w:color w:val="auto"/>
                <w:sz w:val="20"/>
              </w:rPr>
            </w:pPr>
            <w:r w:rsidRPr="00286D0B">
              <w:rPr>
                <w:i w:val="0"/>
                <w:iCs/>
                <w:color w:val="auto"/>
                <w:sz w:val="20"/>
              </w:rPr>
              <w:t xml:space="preserve">For patients switching from </w:t>
            </w:r>
            <w:r w:rsidR="00975CEA" w:rsidRPr="0016338F">
              <w:rPr>
                <w:i w:val="0"/>
                <w:iCs/>
                <w:color w:val="auto"/>
                <w:sz w:val="20"/>
              </w:rPr>
              <w:t>Normal</w:t>
            </w:r>
            <w:r w:rsidR="00975CEA">
              <w:rPr>
                <w:i w:val="0"/>
                <w:iCs/>
                <w:color w:val="auto"/>
                <w:sz w:val="20"/>
              </w:rPr>
              <w:t xml:space="preserve"> </w:t>
            </w:r>
            <w:r w:rsidRPr="00286D0B">
              <w:rPr>
                <w:i w:val="0"/>
                <w:iCs/>
                <w:color w:val="auto"/>
                <w:sz w:val="20"/>
              </w:rPr>
              <w:t>Immunoglobulin</w:t>
            </w:r>
            <w:r w:rsidR="00131462">
              <w:rPr>
                <w:i w:val="0"/>
                <w:iCs/>
                <w:color w:val="auto"/>
                <w:sz w:val="20"/>
              </w:rPr>
              <w:t xml:space="preserve"> </w:t>
            </w:r>
            <w:r w:rsidR="00131462" w:rsidRPr="00056D9F">
              <w:rPr>
                <w:i w:val="0"/>
                <w:iCs/>
                <w:color w:val="auto"/>
                <w:sz w:val="20"/>
              </w:rPr>
              <w:t>(Human)</w:t>
            </w:r>
            <w:r w:rsidRPr="00286D0B">
              <w:rPr>
                <w:i w:val="0"/>
                <w:iCs/>
                <w:color w:val="auto"/>
                <w:sz w:val="20"/>
              </w:rPr>
              <w:t xml:space="preserve"> Subcutaneous treatment (SCI</w:t>
            </w:r>
            <w:r w:rsidR="00E817FF" w:rsidRPr="00286D0B">
              <w:rPr>
                <w:i w:val="0"/>
                <w:iCs/>
                <w:color w:val="auto"/>
                <w:sz w:val="20"/>
              </w:rPr>
              <w:t>g</w:t>
            </w:r>
            <w:r w:rsidRPr="00286D0B">
              <w:rPr>
                <w:i w:val="0"/>
                <w:iCs/>
                <w:color w:val="auto"/>
                <w:sz w:val="20"/>
              </w:rPr>
              <w:t>)</w:t>
            </w:r>
          </w:p>
        </w:tc>
        <w:tc>
          <w:tcPr>
            <w:tcW w:w="2805" w:type="dxa"/>
            <w:tcBorders>
              <w:top w:val="single" w:sz="12" w:space="0" w:color="auto"/>
            </w:tcBorders>
            <w:shd w:val="clear" w:color="auto" w:fill="auto"/>
          </w:tcPr>
          <w:p w14:paraId="7BC331BF" w14:textId="77777777" w:rsidR="001B6F71" w:rsidRPr="00286D0B" w:rsidRDefault="001B6F71" w:rsidP="002A3565">
            <w:pPr>
              <w:pStyle w:val="BodyText"/>
              <w:spacing w:line="245" w:lineRule="auto"/>
              <w:ind w:right="244"/>
              <w:rPr>
                <w:i w:val="0"/>
                <w:iCs/>
                <w:color w:val="auto"/>
                <w:sz w:val="20"/>
              </w:rPr>
            </w:pPr>
            <w:r w:rsidRPr="00286D0B">
              <w:rPr>
                <w:i w:val="0"/>
                <w:iCs/>
                <w:color w:val="auto"/>
                <w:sz w:val="20"/>
              </w:rPr>
              <w:t>The weekly dose of Xembify</w:t>
            </w:r>
            <w:r w:rsidR="00E817FF" w:rsidRPr="00286D0B">
              <w:rPr>
                <w:i w:val="0"/>
                <w:iCs/>
                <w:color w:val="auto"/>
                <w:sz w:val="20"/>
                <w:vertAlign w:val="superscript"/>
              </w:rPr>
              <w:t>®</w:t>
            </w:r>
            <w:r w:rsidRPr="00286D0B">
              <w:rPr>
                <w:i w:val="0"/>
                <w:iCs/>
                <w:color w:val="auto"/>
                <w:sz w:val="20"/>
              </w:rPr>
              <w:t xml:space="preserve"> (in grams) is recommended to be the same as the weekly dose of prior SCI</w:t>
            </w:r>
            <w:r w:rsidR="00E817FF" w:rsidRPr="00286D0B">
              <w:rPr>
                <w:i w:val="0"/>
                <w:iCs/>
                <w:color w:val="auto"/>
                <w:sz w:val="20"/>
              </w:rPr>
              <w:t>g</w:t>
            </w:r>
            <w:r w:rsidRPr="00286D0B">
              <w:rPr>
                <w:i w:val="0"/>
                <w:iCs/>
                <w:color w:val="auto"/>
                <w:sz w:val="20"/>
              </w:rPr>
              <w:t xml:space="preserve"> treatment (in </w:t>
            </w:r>
            <w:proofErr w:type="gramStart"/>
            <w:r w:rsidRPr="00286D0B">
              <w:rPr>
                <w:i w:val="0"/>
                <w:iCs/>
                <w:color w:val="auto"/>
                <w:sz w:val="20"/>
              </w:rPr>
              <w:t>grams)</w:t>
            </w:r>
            <w:r w:rsidR="00341C10" w:rsidRPr="00286D0B">
              <w:rPr>
                <w:i w:val="0"/>
                <w:iCs/>
                <w:color w:val="auto"/>
                <w:sz w:val="20"/>
                <w:vertAlign w:val="superscript"/>
              </w:rPr>
              <w:t>a</w:t>
            </w:r>
            <w:proofErr w:type="gramEnd"/>
          </w:p>
        </w:tc>
        <w:tc>
          <w:tcPr>
            <w:tcW w:w="2070" w:type="dxa"/>
            <w:vMerge w:val="restart"/>
            <w:tcBorders>
              <w:top w:val="single" w:sz="12" w:space="0" w:color="auto"/>
            </w:tcBorders>
            <w:shd w:val="clear" w:color="auto" w:fill="auto"/>
            <w:vAlign w:val="center"/>
          </w:tcPr>
          <w:p w14:paraId="0A585A3C" w14:textId="77777777" w:rsidR="001B6F71" w:rsidRPr="00286D0B" w:rsidRDefault="001B6F71" w:rsidP="003F47E9">
            <w:pPr>
              <w:pStyle w:val="BodyText"/>
              <w:spacing w:line="245" w:lineRule="auto"/>
              <w:ind w:right="244"/>
              <w:rPr>
                <w:i w:val="0"/>
                <w:iCs/>
                <w:color w:val="auto"/>
                <w:sz w:val="20"/>
              </w:rPr>
            </w:pPr>
            <w:r w:rsidRPr="00286D0B">
              <w:rPr>
                <w:i w:val="0"/>
                <w:iCs/>
                <w:color w:val="auto"/>
                <w:sz w:val="20"/>
              </w:rPr>
              <w:t>Multiply the calculated weekly dose by 2</w:t>
            </w:r>
          </w:p>
        </w:tc>
        <w:tc>
          <w:tcPr>
            <w:tcW w:w="1979" w:type="dxa"/>
            <w:vMerge w:val="restart"/>
            <w:tcBorders>
              <w:top w:val="single" w:sz="12" w:space="0" w:color="auto"/>
            </w:tcBorders>
            <w:shd w:val="clear" w:color="auto" w:fill="auto"/>
            <w:vAlign w:val="center"/>
          </w:tcPr>
          <w:p w14:paraId="7A8A6E5C" w14:textId="77777777" w:rsidR="001B6F71" w:rsidRPr="00286D0B" w:rsidRDefault="001B6F71" w:rsidP="003F47E9">
            <w:pPr>
              <w:pStyle w:val="BodyText"/>
              <w:spacing w:line="245" w:lineRule="auto"/>
              <w:ind w:right="244"/>
              <w:rPr>
                <w:i w:val="0"/>
                <w:iCs/>
                <w:color w:val="auto"/>
                <w:sz w:val="20"/>
              </w:rPr>
            </w:pPr>
            <w:r w:rsidRPr="00286D0B">
              <w:rPr>
                <w:i w:val="0"/>
                <w:iCs/>
                <w:color w:val="auto"/>
                <w:sz w:val="20"/>
              </w:rPr>
              <w:t>Divide the calculated weekly dose by the desired number of times per week</w:t>
            </w:r>
          </w:p>
        </w:tc>
      </w:tr>
      <w:tr w:rsidR="001B6F71" w:rsidRPr="00286D0B" w14:paraId="249E5FAE" w14:textId="77777777" w:rsidTr="003F47E9">
        <w:tc>
          <w:tcPr>
            <w:tcW w:w="2315" w:type="dxa"/>
            <w:tcBorders>
              <w:bottom w:val="single" w:sz="4" w:space="0" w:color="auto"/>
            </w:tcBorders>
            <w:shd w:val="clear" w:color="auto" w:fill="auto"/>
          </w:tcPr>
          <w:p w14:paraId="67B664CD" w14:textId="77777777" w:rsidR="001B6F71" w:rsidRPr="00286D0B" w:rsidRDefault="001B6F71" w:rsidP="002A3565">
            <w:pPr>
              <w:pStyle w:val="BodyText"/>
              <w:spacing w:line="245" w:lineRule="auto"/>
              <w:ind w:right="244"/>
              <w:rPr>
                <w:i w:val="0"/>
                <w:iCs/>
                <w:color w:val="auto"/>
                <w:sz w:val="20"/>
              </w:rPr>
            </w:pPr>
            <w:r w:rsidRPr="00286D0B">
              <w:rPr>
                <w:i w:val="0"/>
                <w:iCs/>
                <w:color w:val="auto"/>
                <w:sz w:val="20"/>
              </w:rPr>
              <w:t xml:space="preserve">For patients switching from </w:t>
            </w:r>
            <w:r w:rsidR="00975CEA" w:rsidRPr="0016338F">
              <w:rPr>
                <w:i w:val="0"/>
                <w:iCs/>
                <w:color w:val="auto"/>
                <w:sz w:val="20"/>
              </w:rPr>
              <w:t>Normal</w:t>
            </w:r>
            <w:r w:rsidR="00975CEA">
              <w:rPr>
                <w:i w:val="0"/>
                <w:iCs/>
                <w:color w:val="auto"/>
                <w:sz w:val="20"/>
              </w:rPr>
              <w:t xml:space="preserve"> </w:t>
            </w:r>
            <w:r w:rsidRPr="00286D0B">
              <w:rPr>
                <w:i w:val="0"/>
                <w:iCs/>
                <w:color w:val="auto"/>
                <w:sz w:val="20"/>
              </w:rPr>
              <w:t xml:space="preserve">Immunoglobulin </w:t>
            </w:r>
            <w:r w:rsidR="00131462" w:rsidRPr="00056D9F">
              <w:rPr>
                <w:i w:val="0"/>
                <w:iCs/>
                <w:color w:val="auto"/>
                <w:sz w:val="20"/>
              </w:rPr>
              <w:t>(Human)</w:t>
            </w:r>
            <w:r w:rsidR="00131462">
              <w:rPr>
                <w:i w:val="0"/>
                <w:iCs/>
                <w:color w:val="auto"/>
                <w:sz w:val="20"/>
              </w:rPr>
              <w:t xml:space="preserve"> </w:t>
            </w:r>
            <w:r w:rsidRPr="00286D0B">
              <w:rPr>
                <w:i w:val="0"/>
                <w:iCs/>
                <w:color w:val="auto"/>
                <w:sz w:val="20"/>
              </w:rPr>
              <w:t>Intravenous treatment (IVI</w:t>
            </w:r>
            <w:r w:rsidR="00E817FF" w:rsidRPr="00286D0B">
              <w:rPr>
                <w:i w:val="0"/>
                <w:iCs/>
                <w:color w:val="auto"/>
                <w:sz w:val="20"/>
              </w:rPr>
              <w:t>g</w:t>
            </w:r>
            <w:r w:rsidRPr="00286D0B">
              <w:rPr>
                <w:i w:val="0"/>
                <w:iCs/>
                <w:color w:val="auto"/>
                <w:sz w:val="20"/>
              </w:rPr>
              <w:t>)</w:t>
            </w:r>
            <w:r w:rsidR="00341C10" w:rsidRPr="00286D0B">
              <w:rPr>
                <w:i w:val="0"/>
                <w:iCs/>
                <w:color w:val="auto"/>
                <w:sz w:val="20"/>
                <w:vertAlign w:val="superscript"/>
              </w:rPr>
              <w:t>b</w:t>
            </w:r>
          </w:p>
        </w:tc>
        <w:tc>
          <w:tcPr>
            <w:tcW w:w="2805" w:type="dxa"/>
            <w:tcBorders>
              <w:bottom w:val="single" w:sz="4" w:space="0" w:color="auto"/>
            </w:tcBorders>
            <w:shd w:val="clear" w:color="auto" w:fill="auto"/>
          </w:tcPr>
          <w:p w14:paraId="5B45F9B7" w14:textId="77777777" w:rsidR="001B6F71" w:rsidRPr="00286D0B" w:rsidRDefault="001B6F71" w:rsidP="002A3565">
            <w:pPr>
              <w:pStyle w:val="BodyText"/>
              <w:spacing w:line="245" w:lineRule="auto"/>
              <w:ind w:right="244"/>
              <w:rPr>
                <w:i w:val="0"/>
                <w:iCs/>
                <w:color w:val="auto"/>
                <w:sz w:val="20"/>
              </w:rPr>
            </w:pPr>
            <w:r w:rsidRPr="00286D0B">
              <w:rPr>
                <w:i w:val="0"/>
                <w:iCs/>
                <w:color w:val="auto"/>
                <w:sz w:val="20"/>
              </w:rPr>
              <w:t>To calculate the initial weekly dose, divide the previous IVI</w:t>
            </w:r>
            <w:r w:rsidR="00E817FF" w:rsidRPr="00286D0B">
              <w:rPr>
                <w:i w:val="0"/>
                <w:iCs/>
                <w:color w:val="auto"/>
                <w:sz w:val="20"/>
              </w:rPr>
              <w:t>g</w:t>
            </w:r>
            <w:r w:rsidRPr="00286D0B">
              <w:rPr>
                <w:i w:val="0"/>
                <w:iCs/>
                <w:color w:val="auto"/>
                <w:sz w:val="20"/>
              </w:rPr>
              <w:t xml:space="preserve"> dose in grams by the number of weeks between intravenous </w:t>
            </w:r>
            <w:proofErr w:type="spellStart"/>
            <w:proofErr w:type="gramStart"/>
            <w:r w:rsidRPr="00286D0B">
              <w:rPr>
                <w:i w:val="0"/>
                <w:iCs/>
                <w:color w:val="auto"/>
                <w:sz w:val="20"/>
              </w:rPr>
              <w:t>doses</w:t>
            </w:r>
            <w:r w:rsidR="00341C10" w:rsidRPr="00286D0B">
              <w:rPr>
                <w:i w:val="0"/>
                <w:iCs/>
                <w:color w:val="auto"/>
                <w:sz w:val="20"/>
                <w:vertAlign w:val="superscript"/>
              </w:rPr>
              <w:t>a</w:t>
            </w:r>
            <w:r w:rsidRPr="00286D0B">
              <w:rPr>
                <w:i w:val="0"/>
                <w:iCs/>
                <w:color w:val="auto"/>
                <w:sz w:val="20"/>
                <w:vertAlign w:val="superscript"/>
              </w:rPr>
              <w:t>,</w:t>
            </w:r>
            <w:r w:rsidR="00341C10" w:rsidRPr="00286D0B">
              <w:rPr>
                <w:i w:val="0"/>
                <w:iCs/>
                <w:color w:val="auto"/>
                <w:sz w:val="20"/>
                <w:vertAlign w:val="superscript"/>
              </w:rPr>
              <w:t>b</w:t>
            </w:r>
            <w:proofErr w:type="spellEnd"/>
            <w:proofErr w:type="gramEnd"/>
          </w:p>
        </w:tc>
        <w:tc>
          <w:tcPr>
            <w:tcW w:w="2070" w:type="dxa"/>
            <w:vMerge/>
            <w:tcBorders>
              <w:bottom w:val="single" w:sz="4" w:space="0" w:color="auto"/>
            </w:tcBorders>
            <w:shd w:val="clear" w:color="auto" w:fill="auto"/>
          </w:tcPr>
          <w:p w14:paraId="2689DB3E" w14:textId="77777777" w:rsidR="001B6F71" w:rsidRPr="00286D0B" w:rsidRDefault="001B6F71" w:rsidP="002A3565">
            <w:pPr>
              <w:pStyle w:val="BodyText"/>
              <w:spacing w:line="245" w:lineRule="auto"/>
              <w:ind w:right="244"/>
              <w:rPr>
                <w:i w:val="0"/>
                <w:iCs/>
                <w:color w:val="auto"/>
                <w:sz w:val="20"/>
              </w:rPr>
            </w:pPr>
          </w:p>
        </w:tc>
        <w:tc>
          <w:tcPr>
            <w:tcW w:w="1979" w:type="dxa"/>
            <w:vMerge/>
            <w:tcBorders>
              <w:bottom w:val="single" w:sz="4" w:space="0" w:color="auto"/>
            </w:tcBorders>
            <w:shd w:val="clear" w:color="auto" w:fill="auto"/>
          </w:tcPr>
          <w:p w14:paraId="11AC935F" w14:textId="77777777" w:rsidR="001B6F71" w:rsidRPr="00286D0B" w:rsidRDefault="001B6F71" w:rsidP="002A3565">
            <w:pPr>
              <w:pStyle w:val="BodyText"/>
              <w:spacing w:line="245" w:lineRule="auto"/>
              <w:ind w:right="244"/>
              <w:rPr>
                <w:i w:val="0"/>
                <w:iCs/>
                <w:sz w:val="20"/>
              </w:rPr>
            </w:pPr>
          </w:p>
        </w:tc>
      </w:tr>
      <w:tr w:rsidR="001B6F71" w:rsidRPr="007B213E" w14:paraId="4E55EE23" w14:textId="77777777" w:rsidTr="009511B8">
        <w:tc>
          <w:tcPr>
            <w:tcW w:w="9169" w:type="dxa"/>
            <w:gridSpan w:val="4"/>
            <w:tcBorders>
              <w:top w:val="single" w:sz="4" w:space="0" w:color="auto"/>
              <w:left w:val="nil"/>
              <w:bottom w:val="nil"/>
              <w:right w:val="nil"/>
            </w:tcBorders>
            <w:shd w:val="clear" w:color="auto" w:fill="auto"/>
          </w:tcPr>
          <w:p w14:paraId="6AC96A94" w14:textId="77777777" w:rsidR="001B6F71" w:rsidRPr="00286D0B" w:rsidRDefault="00341C10" w:rsidP="00286D0B">
            <w:pPr>
              <w:pStyle w:val="BodyText"/>
              <w:tabs>
                <w:tab w:val="left" w:pos="61"/>
              </w:tabs>
              <w:spacing w:line="245" w:lineRule="auto"/>
              <w:ind w:left="-119" w:right="244"/>
              <w:rPr>
                <w:i w:val="0"/>
                <w:iCs/>
                <w:color w:val="auto"/>
                <w:sz w:val="20"/>
              </w:rPr>
            </w:pPr>
            <w:proofErr w:type="spellStart"/>
            <w:r w:rsidRPr="00286D0B">
              <w:rPr>
                <w:i w:val="0"/>
                <w:iCs/>
                <w:color w:val="auto"/>
                <w:sz w:val="20"/>
                <w:vertAlign w:val="superscript"/>
              </w:rPr>
              <w:t>a</w:t>
            </w:r>
            <w:proofErr w:type="spellEnd"/>
            <w:r w:rsidR="001B6F71" w:rsidRPr="00286D0B">
              <w:rPr>
                <w:i w:val="0"/>
                <w:iCs/>
                <w:color w:val="auto"/>
                <w:sz w:val="20"/>
                <w:vertAlign w:val="superscript"/>
              </w:rPr>
              <w:t xml:space="preserve"> </w:t>
            </w:r>
            <w:r w:rsidR="009B7A9A">
              <w:rPr>
                <w:i w:val="0"/>
                <w:iCs/>
                <w:color w:val="auto"/>
                <w:sz w:val="20"/>
                <w:vertAlign w:val="superscript"/>
              </w:rPr>
              <w:tab/>
            </w:r>
            <w:proofErr w:type="gramStart"/>
            <w:r w:rsidR="001B6F71" w:rsidRPr="00286D0B">
              <w:rPr>
                <w:i w:val="0"/>
                <w:iCs/>
                <w:color w:val="auto"/>
                <w:sz w:val="20"/>
              </w:rPr>
              <w:t>To</w:t>
            </w:r>
            <w:proofErr w:type="gramEnd"/>
            <w:r w:rsidR="001B6F71" w:rsidRPr="00286D0B">
              <w:rPr>
                <w:i w:val="0"/>
                <w:iCs/>
                <w:color w:val="auto"/>
                <w:sz w:val="20"/>
              </w:rPr>
              <w:t xml:space="preserve"> convert the dose (in grams) to millilitr</w:t>
            </w:r>
            <w:r w:rsidR="00632729" w:rsidRPr="00286D0B">
              <w:rPr>
                <w:i w:val="0"/>
                <w:iCs/>
                <w:color w:val="auto"/>
                <w:sz w:val="20"/>
              </w:rPr>
              <w:t>e</w:t>
            </w:r>
            <w:r w:rsidR="001B6F71" w:rsidRPr="00286D0B">
              <w:rPr>
                <w:i w:val="0"/>
                <w:iCs/>
                <w:color w:val="auto"/>
                <w:sz w:val="20"/>
              </w:rPr>
              <w:t>s (m</w:t>
            </w:r>
            <w:r w:rsidR="008A4AB5">
              <w:rPr>
                <w:i w:val="0"/>
                <w:iCs/>
                <w:color w:val="auto"/>
                <w:sz w:val="20"/>
              </w:rPr>
              <w:t>l</w:t>
            </w:r>
            <w:r w:rsidR="001B6F71" w:rsidRPr="00286D0B">
              <w:rPr>
                <w:i w:val="0"/>
                <w:iCs/>
                <w:color w:val="auto"/>
                <w:sz w:val="20"/>
              </w:rPr>
              <w:t>), multiply the calculated dose (in grams) by 5.</w:t>
            </w:r>
          </w:p>
          <w:p w14:paraId="4C0A9DD6" w14:textId="77777777" w:rsidR="001B6F71" w:rsidRPr="00286D0B" w:rsidRDefault="00341C10" w:rsidP="00286D0B">
            <w:pPr>
              <w:pStyle w:val="BodyText"/>
              <w:tabs>
                <w:tab w:val="left" w:pos="61"/>
              </w:tabs>
              <w:spacing w:line="245" w:lineRule="auto"/>
              <w:ind w:left="-119" w:right="244"/>
              <w:rPr>
                <w:i w:val="0"/>
                <w:iCs/>
                <w:color w:val="auto"/>
                <w:sz w:val="20"/>
              </w:rPr>
            </w:pPr>
            <w:r w:rsidRPr="00286D0B">
              <w:rPr>
                <w:i w:val="0"/>
                <w:iCs/>
                <w:color w:val="auto"/>
                <w:sz w:val="20"/>
                <w:vertAlign w:val="superscript"/>
              </w:rPr>
              <w:t>b</w:t>
            </w:r>
            <w:r w:rsidR="009B7A9A">
              <w:rPr>
                <w:i w:val="0"/>
                <w:iCs/>
                <w:color w:val="auto"/>
                <w:sz w:val="20"/>
              </w:rPr>
              <w:tab/>
            </w:r>
            <w:r w:rsidR="001B6F71" w:rsidRPr="00286D0B">
              <w:rPr>
                <w:i w:val="0"/>
                <w:iCs/>
                <w:color w:val="auto"/>
                <w:sz w:val="20"/>
              </w:rPr>
              <w:t>Begin treatment with Xembify</w:t>
            </w:r>
            <w:r w:rsidR="00632729" w:rsidRPr="00286D0B">
              <w:rPr>
                <w:i w:val="0"/>
                <w:iCs/>
                <w:color w:val="auto"/>
                <w:sz w:val="20"/>
                <w:vertAlign w:val="superscript"/>
              </w:rPr>
              <w:t>®</w:t>
            </w:r>
            <w:r w:rsidR="001B6F71" w:rsidRPr="00286D0B">
              <w:rPr>
                <w:i w:val="0"/>
                <w:iCs/>
                <w:color w:val="auto"/>
                <w:sz w:val="20"/>
              </w:rPr>
              <w:t xml:space="preserve"> one week after the patient’s last IVI</w:t>
            </w:r>
            <w:r w:rsidR="009D4FD2" w:rsidRPr="00286D0B">
              <w:rPr>
                <w:i w:val="0"/>
                <w:iCs/>
                <w:color w:val="auto"/>
                <w:sz w:val="20"/>
              </w:rPr>
              <w:t>g</w:t>
            </w:r>
            <w:r w:rsidR="001B6F71" w:rsidRPr="00286D0B">
              <w:rPr>
                <w:i w:val="0"/>
                <w:iCs/>
                <w:color w:val="auto"/>
                <w:sz w:val="20"/>
              </w:rPr>
              <w:t>.</w:t>
            </w:r>
          </w:p>
        </w:tc>
      </w:tr>
    </w:tbl>
    <w:p w14:paraId="519D94EC" w14:textId="77777777" w:rsidR="00D42C17" w:rsidRPr="00286D0B" w:rsidRDefault="00D42C17" w:rsidP="001B6F71">
      <w:pPr>
        <w:pStyle w:val="BodyText"/>
        <w:spacing w:line="245" w:lineRule="auto"/>
        <w:ind w:right="244"/>
        <w:rPr>
          <w:i w:val="0"/>
          <w:iCs/>
          <w:color w:val="auto"/>
        </w:rPr>
      </w:pPr>
    </w:p>
    <w:p w14:paraId="25670444" w14:textId="77777777" w:rsidR="001B6F71" w:rsidRDefault="001B6F71" w:rsidP="001B6F71">
      <w:pPr>
        <w:spacing w:before="11"/>
        <w:rPr>
          <w:rFonts w:eastAsia="Times New Roman"/>
          <w:sz w:val="21"/>
          <w:szCs w:val="21"/>
        </w:rPr>
      </w:pPr>
      <w:bookmarkStart w:id="2" w:name="_Hlk81939096"/>
      <w:r>
        <w:rPr>
          <w:rFonts w:eastAsia="Times New Roman"/>
          <w:sz w:val="21"/>
          <w:szCs w:val="21"/>
        </w:rPr>
        <w:t>If a dose is missed or therapy is interrupted, administration of Xembify</w:t>
      </w:r>
      <w:r w:rsidR="002F527C" w:rsidRPr="002F527C">
        <w:rPr>
          <w:rFonts w:eastAsia="Times New Roman"/>
          <w:sz w:val="21"/>
          <w:szCs w:val="21"/>
          <w:vertAlign w:val="superscript"/>
        </w:rPr>
        <w:t>®</w:t>
      </w:r>
      <w:r>
        <w:rPr>
          <w:rFonts w:eastAsia="Times New Roman"/>
          <w:sz w:val="21"/>
          <w:szCs w:val="21"/>
        </w:rPr>
        <w:t xml:space="preserve"> should re-commence as soon as feasible with appropriate monitoring of IgG trough level if clinically indicated.</w:t>
      </w:r>
    </w:p>
    <w:bookmarkEnd w:id="2"/>
    <w:p w14:paraId="7C1B7912" w14:textId="77777777" w:rsidR="001B6F71" w:rsidRDefault="001B6F71" w:rsidP="001B6F71">
      <w:pPr>
        <w:spacing w:before="11"/>
        <w:rPr>
          <w:rFonts w:eastAsia="Times New Roman"/>
          <w:sz w:val="21"/>
          <w:szCs w:val="21"/>
        </w:rPr>
      </w:pPr>
    </w:p>
    <w:p w14:paraId="4500959C" w14:textId="77777777" w:rsidR="001B6F71" w:rsidRPr="009511B8" w:rsidRDefault="001B6F71" w:rsidP="009511B8">
      <w:pPr>
        <w:keepNext/>
        <w:spacing w:line="240" w:lineRule="auto"/>
        <w:rPr>
          <w:i/>
          <w:iCs/>
          <w:szCs w:val="22"/>
        </w:rPr>
      </w:pPr>
      <w:bookmarkStart w:id="3" w:name="_Hlk85028522"/>
      <w:bookmarkStart w:id="4" w:name="_Hlk81939185"/>
      <w:r w:rsidRPr="009511B8">
        <w:rPr>
          <w:i/>
          <w:iCs/>
          <w:szCs w:val="22"/>
        </w:rPr>
        <w:t xml:space="preserve">Dose </w:t>
      </w:r>
      <w:r w:rsidR="00B97848" w:rsidRPr="009511B8">
        <w:rPr>
          <w:i/>
          <w:iCs/>
          <w:szCs w:val="22"/>
        </w:rPr>
        <w:t>g</w:t>
      </w:r>
      <w:r w:rsidRPr="009511B8">
        <w:rPr>
          <w:i/>
          <w:iCs/>
          <w:szCs w:val="22"/>
        </w:rPr>
        <w:t>uidance</w:t>
      </w:r>
    </w:p>
    <w:p w14:paraId="42785511" w14:textId="77777777" w:rsidR="001B6F71" w:rsidRPr="009511B8" w:rsidRDefault="001B6F71" w:rsidP="009511B8">
      <w:pPr>
        <w:keepNext/>
        <w:spacing w:line="240" w:lineRule="auto"/>
        <w:rPr>
          <w:i/>
          <w:iCs/>
          <w:szCs w:val="22"/>
        </w:rPr>
      </w:pPr>
    </w:p>
    <w:p w14:paraId="1D644D63" w14:textId="77777777" w:rsidR="001B6F71" w:rsidRDefault="00FC4F56" w:rsidP="009511B8">
      <w:pPr>
        <w:rPr>
          <w:iCs/>
          <w:spacing w:val="-1"/>
        </w:rPr>
      </w:pPr>
      <w:r w:rsidRPr="00FC4F56">
        <w:rPr>
          <w:iCs/>
          <w:spacing w:val="-1"/>
        </w:rPr>
        <w:t xml:space="preserve">Refer to the dose adjustment table below for </w:t>
      </w:r>
      <w:r w:rsidR="001B6F71">
        <w:rPr>
          <w:iCs/>
          <w:spacing w:val="-1"/>
        </w:rPr>
        <w:t>suggested dose change</w:t>
      </w:r>
      <w:r>
        <w:rPr>
          <w:iCs/>
          <w:spacing w:val="-1"/>
        </w:rPr>
        <w:t>s</w:t>
      </w:r>
      <w:r w:rsidR="001B6F71">
        <w:rPr>
          <w:iCs/>
          <w:spacing w:val="-1"/>
        </w:rPr>
        <w:t xml:space="preserve"> (in m</w:t>
      </w:r>
      <w:r w:rsidR="008A4AB5">
        <w:rPr>
          <w:iCs/>
          <w:spacing w:val="-1"/>
        </w:rPr>
        <w:t>l</w:t>
      </w:r>
      <w:r w:rsidR="001B6F71">
        <w:rPr>
          <w:iCs/>
          <w:spacing w:val="-1"/>
        </w:rPr>
        <w:t>) to achieve a desired IgG trough level change (increase or decrease), once Xembify</w:t>
      </w:r>
      <w:r w:rsidR="00E817FF" w:rsidRPr="00E817FF">
        <w:rPr>
          <w:i/>
          <w:iCs/>
          <w:vertAlign w:val="superscript"/>
        </w:rPr>
        <w:t>®</w:t>
      </w:r>
      <w:r w:rsidR="001B6F71">
        <w:rPr>
          <w:iCs/>
          <w:spacing w:val="-1"/>
        </w:rPr>
        <w:t xml:space="preserve"> treatment has been initiated. </w:t>
      </w:r>
    </w:p>
    <w:bookmarkEnd w:id="3"/>
    <w:p w14:paraId="2BF98B22" w14:textId="77777777" w:rsidR="001B6F71" w:rsidRDefault="001B6F71" w:rsidP="00286D0B">
      <w:pPr>
        <w:rPr>
          <w:iCs/>
          <w:spacing w:val="-1"/>
        </w:rPr>
      </w:pPr>
    </w:p>
    <w:p w14:paraId="1F5B6BB9" w14:textId="77777777" w:rsidR="001B6F71" w:rsidRDefault="001B6F71" w:rsidP="00286D0B">
      <w:pPr>
        <w:rPr>
          <w:iCs/>
          <w:spacing w:val="-1"/>
        </w:rPr>
      </w:pPr>
      <w:r w:rsidRPr="00E01459">
        <w:rPr>
          <w:iCs/>
          <w:spacing w:val="-1"/>
        </w:rPr>
        <w:lastRenderedPageBreak/>
        <w:t>For dose adjustments, calculate the difference (in mg/d</w:t>
      </w:r>
      <w:r w:rsidR="008A4AB5">
        <w:rPr>
          <w:iCs/>
          <w:spacing w:val="-1"/>
        </w:rPr>
        <w:t>l</w:t>
      </w:r>
      <w:r w:rsidRPr="00E01459">
        <w:rPr>
          <w:iCs/>
          <w:spacing w:val="-1"/>
        </w:rPr>
        <w:t>) of the patient’s serum IgG trough level from the target IgG trough level, then find this difference below. Locate the corresponding amount (in m</w:t>
      </w:r>
      <w:r w:rsidR="008A4AB5">
        <w:rPr>
          <w:iCs/>
          <w:spacing w:val="-1"/>
        </w:rPr>
        <w:t>l</w:t>
      </w:r>
      <w:r w:rsidRPr="00E01459">
        <w:rPr>
          <w:iCs/>
          <w:spacing w:val="-1"/>
        </w:rPr>
        <w:t>) by which to increase or decrease the weekly dose based on the patient’s body weight. For example, if a patient with a body weight of 70 kg has an actual IgG trough level of 900 mg/d</w:t>
      </w:r>
      <w:r w:rsidR="008A4AB5">
        <w:rPr>
          <w:iCs/>
          <w:spacing w:val="-1"/>
        </w:rPr>
        <w:t>l</w:t>
      </w:r>
      <w:r w:rsidRPr="00E01459">
        <w:rPr>
          <w:iCs/>
          <w:spacing w:val="-1"/>
        </w:rPr>
        <w:t xml:space="preserve"> and the target level is 1,000 mg/d</w:t>
      </w:r>
      <w:r w:rsidR="008A4AB5">
        <w:rPr>
          <w:iCs/>
          <w:spacing w:val="-1"/>
        </w:rPr>
        <w:t>l</w:t>
      </w:r>
      <w:r w:rsidRPr="00E01459">
        <w:rPr>
          <w:iCs/>
          <w:spacing w:val="-1"/>
        </w:rPr>
        <w:t>, this results in a difference of 100 mg/d</w:t>
      </w:r>
      <w:r w:rsidR="008A4AB5">
        <w:rPr>
          <w:iCs/>
          <w:spacing w:val="-1"/>
        </w:rPr>
        <w:t>l</w:t>
      </w:r>
      <w:r w:rsidRPr="00E01459">
        <w:rPr>
          <w:iCs/>
          <w:spacing w:val="-1"/>
        </w:rPr>
        <w:t>. Therefore, increase the weekly dose of subcutaneous dose by 5 m</w:t>
      </w:r>
      <w:r w:rsidR="008A4AB5">
        <w:rPr>
          <w:iCs/>
          <w:spacing w:val="-1"/>
        </w:rPr>
        <w:t>l</w:t>
      </w:r>
      <w:r w:rsidRPr="00E01459">
        <w:rPr>
          <w:iCs/>
          <w:spacing w:val="-1"/>
        </w:rPr>
        <w:t>.</w:t>
      </w:r>
    </w:p>
    <w:p w14:paraId="11405FEB" w14:textId="77777777" w:rsidR="001B6F71" w:rsidRPr="00E01459" w:rsidRDefault="001B6F71" w:rsidP="00286D0B">
      <w:pPr>
        <w:rPr>
          <w:iCs/>
          <w:spacing w:val="-1"/>
        </w:rPr>
      </w:pPr>
    </w:p>
    <w:p w14:paraId="6DAC6753" w14:textId="77777777" w:rsidR="001B6F71" w:rsidRDefault="001B6F71" w:rsidP="00286D0B">
      <w:pPr>
        <w:rPr>
          <w:iCs/>
          <w:spacing w:val="-1"/>
        </w:rPr>
      </w:pPr>
      <w:r w:rsidRPr="001B6F71">
        <w:rPr>
          <w:iCs/>
          <w:spacing w:val="-1"/>
          <w:u w:val="single"/>
        </w:rPr>
        <w:t>The patient’s clinical response should be the primary consideration in dose adjustment.</w:t>
      </w:r>
      <w:r w:rsidRPr="00E01459">
        <w:rPr>
          <w:iCs/>
          <w:spacing w:val="-1"/>
        </w:rPr>
        <w:t xml:space="preserve"> If a patient on X</w:t>
      </w:r>
      <w:r>
        <w:rPr>
          <w:iCs/>
          <w:spacing w:val="-1"/>
        </w:rPr>
        <w:t>embify</w:t>
      </w:r>
      <w:r w:rsidR="002F527C" w:rsidRPr="002F527C">
        <w:rPr>
          <w:iCs/>
          <w:spacing w:val="-1"/>
          <w:vertAlign w:val="superscript"/>
        </w:rPr>
        <w:t>®</w:t>
      </w:r>
      <w:r w:rsidRPr="00E01459">
        <w:rPr>
          <w:iCs/>
          <w:spacing w:val="-1"/>
        </w:rPr>
        <w:t xml:space="preserve"> does not maintain an adequate clinical response or a serum IgG trough level equivalent to that of a previous treatment, adjust the dose accordingly.</w:t>
      </w:r>
    </w:p>
    <w:p w14:paraId="0A04DAC2" w14:textId="77777777" w:rsidR="001B6F71" w:rsidRDefault="001B6F71" w:rsidP="00286D0B">
      <w:pPr>
        <w:rPr>
          <w:iCs/>
          <w:spacing w:val="-1"/>
        </w:rPr>
      </w:pPr>
    </w:p>
    <w:p w14:paraId="774904D6" w14:textId="77777777" w:rsidR="001B6F71" w:rsidRDefault="001B6F71" w:rsidP="00286D0B">
      <w:pPr>
        <w:rPr>
          <w:iCs/>
          <w:spacing w:val="-1"/>
        </w:rPr>
      </w:pPr>
      <w:r>
        <w:rPr>
          <w:iCs/>
          <w:spacing w:val="-1"/>
        </w:rPr>
        <w:t>Calculate the difference between the patients’ target serum IgG trough level and the IgG trough level during subcutaneous treatment. Find this difference in the table below, and the corresponding amount (in m</w:t>
      </w:r>
      <w:r w:rsidR="008A4AB5">
        <w:rPr>
          <w:iCs/>
          <w:spacing w:val="-1"/>
        </w:rPr>
        <w:t>l</w:t>
      </w:r>
      <w:r>
        <w:rPr>
          <w:iCs/>
          <w:spacing w:val="-1"/>
        </w:rPr>
        <w:t>) by which to increase (or decrease) the weekly dose based on the patient’s body weight. However, the patient’s clinical response should be the primary consideration which guides dosing.</w:t>
      </w:r>
    </w:p>
    <w:p w14:paraId="474B8711" w14:textId="77777777" w:rsidR="001B6F71" w:rsidRDefault="001B6F71" w:rsidP="00286D0B">
      <w:pPr>
        <w:rPr>
          <w:iCs/>
          <w:spacing w:val="-1"/>
        </w:rPr>
      </w:pPr>
    </w:p>
    <w:p w14:paraId="378984CC" w14:textId="77777777" w:rsidR="009511B8" w:rsidRPr="009511B8" w:rsidRDefault="009511B8" w:rsidP="009511B8">
      <w:pPr>
        <w:keepNext/>
        <w:spacing w:after="240" w:line="240" w:lineRule="auto"/>
        <w:rPr>
          <w:b/>
          <w:bCs/>
          <w:szCs w:val="22"/>
        </w:rPr>
      </w:pPr>
      <w:r w:rsidRPr="009511B8">
        <w:rPr>
          <w:b/>
          <w:bCs/>
          <w:szCs w:val="22"/>
        </w:rPr>
        <w:t>Adjustment (±m</w:t>
      </w:r>
      <w:r w:rsidR="008A4AB5">
        <w:rPr>
          <w:b/>
          <w:bCs/>
          <w:szCs w:val="22"/>
        </w:rPr>
        <w:t>l</w:t>
      </w:r>
      <w:r w:rsidRPr="009511B8">
        <w:rPr>
          <w:b/>
          <w:bCs/>
          <w:szCs w:val="22"/>
        </w:rPr>
        <w:t>) of the Weekly Subcutaneous Dose Based on the Difference (±mg/d</w:t>
      </w:r>
      <w:r w:rsidR="008A4AB5">
        <w:rPr>
          <w:b/>
          <w:bCs/>
          <w:szCs w:val="22"/>
        </w:rPr>
        <w:t>l</w:t>
      </w:r>
      <w:r w:rsidRPr="009511B8">
        <w:rPr>
          <w:b/>
          <w:bCs/>
          <w:szCs w:val="22"/>
        </w:rPr>
        <w:t>) From the Target Serum IgG Trough Level</w:t>
      </w:r>
    </w:p>
    <w:tbl>
      <w:tblPr>
        <w:tblW w:w="4919" w:type="pct"/>
        <w:tblCellMar>
          <w:top w:w="60" w:type="dxa"/>
          <w:left w:w="60" w:type="dxa"/>
          <w:bottom w:w="60" w:type="dxa"/>
          <w:right w:w="60" w:type="dxa"/>
        </w:tblCellMar>
        <w:tblLook w:val="04A0" w:firstRow="1" w:lastRow="0" w:firstColumn="1" w:lastColumn="0" w:noHBand="0" w:noVBand="1"/>
      </w:tblPr>
      <w:tblGrid>
        <w:gridCol w:w="2305"/>
        <w:gridCol w:w="463"/>
        <w:gridCol w:w="463"/>
        <w:gridCol w:w="462"/>
        <w:gridCol w:w="462"/>
        <w:gridCol w:w="462"/>
        <w:gridCol w:w="596"/>
        <w:gridCol w:w="528"/>
        <w:gridCol w:w="565"/>
        <w:gridCol w:w="462"/>
        <w:gridCol w:w="532"/>
        <w:gridCol w:w="603"/>
        <w:gridCol w:w="457"/>
        <w:gridCol w:w="558"/>
      </w:tblGrid>
      <w:tr w:rsidR="003D4B5A" w:rsidRPr="00E01459" w14:paraId="09264636" w14:textId="77777777" w:rsidTr="00286D0B">
        <w:trPr>
          <w:trHeight w:val="20"/>
        </w:trPr>
        <w:tc>
          <w:tcPr>
            <w:tcW w:w="1291" w:type="pct"/>
            <w:vMerge w:val="restart"/>
            <w:tcBorders>
              <w:top w:val="single" w:sz="2" w:space="0" w:color="000000"/>
              <w:left w:val="single" w:sz="2" w:space="0" w:color="000000"/>
              <w:bottom w:val="single" w:sz="2" w:space="0" w:color="000000"/>
              <w:right w:val="single" w:sz="2" w:space="0" w:color="000000"/>
            </w:tcBorders>
            <w:vAlign w:val="center"/>
            <w:hideMark/>
          </w:tcPr>
          <w:p w14:paraId="31B855FC" w14:textId="77777777" w:rsidR="001B6F71" w:rsidRPr="00286D0B" w:rsidRDefault="001B6F71" w:rsidP="009B7A9A">
            <w:pPr>
              <w:pStyle w:val="ListEnd"/>
              <w:jc w:val="center"/>
              <w:rPr>
                <w:b/>
                <w:bCs/>
                <w:sz w:val="20"/>
              </w:rPr>
            </w:pPr>
            <w:r w:rsidRPr="00286D0B">
              <w:rPr>
                <w:b/>
                <w:bCs/>
                <w:sz w:val="20"/>
              </w:rPr>
              <w:t xml:space="preserve">Difference From </w:t>
            </w:r>
            <w:r w:rsidRPr="00286D0B">
              <w:rPr>
                <w:b/>
                <w:bCs/>
                <w:sz w:val="20"/>
              </w:rPr>
              <w:br/>
              <w:t xml:space="preserve">Target IgG Trough </w:t>
            </w:r>
            <w:r w:rsidRPr="00286D0B">
              <w:rPr>
                <w:b/>
                <w:bCs/>
                <w:sz w:val="20"/>
              </w:rPr>
              <w:br/>
              <w:t>Level (mg/d</w:t>
            </w:r>
            <w:r w:rsidR="008A4AB5">
              <w:rPr>
                <w:b/>
                <w:bCs/>
                <w:sz w:val="20"/>
              </w:rPr>
              <w:t>l</w:t>
            </w:r>
            <w:r w:rsidRPr="00286D0B">
              <w:rPr>
                <w:b/>
                <w:bCs/>
                <w:sz w:val="20"/>
              </w:rPr>
              <w:t>)</w:t>
            </w:r>
          </w:p>
        </w:tc>
        <w:tc>
          <w:tcPr>
            <w:tcW w:w="3709" w:type="pct"/>
            <w:gridSpan w:val="13"/>
            <w:tcBorders>
              <w:top w:val="single" w:sz="2" w:space="0" w:color="000000"/>
              <w:left w:val="single" w:sz="2" w:space="0" w:color="000000"/>
              <w:bottom w:val="single" w:sz="2" w:space="0" w:color="000000"/>
              <w:right w:val="single" w:sz="2" w:space="0" w:color="000000"/>
            </w:tcBorders>
            <w:vAlign w:val="center"/>
            <w:hideMark/>
          </w:tcPr>
          <w:p w14:paraId="07C77027" w14:textId="77777777" w:rsidR="001B6F71" w:rsidRPr="00286D0B" w:rsidRDefault="001B6F71" w:rsidP="009B7A9A">
            <w:pPr>
              <w:pStyle w:val="ListEnd"/>
              <w:jc w:val="center"/>
              <w:rPr>
                <w:b/>
                <w:bCs/>
                <w:sz w:val="20"/>
              </w:rPr>
            </w:pPr>
            <w:r w:rsidRPr="00286D0B">
              <w:rPr>
                <w:b/>
                <w:bCs/>
                <w:sz w:val="20"/>
              </w:rPr>
              <w:t>Body Weight (kg)</w:t>
            </w:r>
          </w:p>
        </w:tc>
      </w:tr>
      <w:tr w:rsidR="003D4B5A" w:rsidRPr="00E01459" w14:paraId="6E548FA3" w14:textId="77777777" w:rsidTr="00286D0B">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1C604861" w14:textId="77777777" w:rsidR="001B6F71" w:rsidRPr="009205FE" w:rsidRDefault="001B6F71" w:rsidP="002A3565">
            <w:pPr>
              <w:rPr>
                <w:sz w:val="20"/>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4C58502" w14:textId="77777777" w:rsidR="001B6F71" w:rsidRPr="009205FE" w:rsidRDefault="001B6F71" w:rsidP="002A3565">
            <w:pPr>
              <w:pStyle w:val="ListEnd"/>
              <w:jc w:val="center"/>
              <w:rPr>
                <w:sz w:val="20"/>
              </w:rPr>
            </w:pPr>
            <w:r w:rsidRPr="009205FE">
              <w:rPr>
                <w:sz w:val="20"/>
              </w:rPr>
              <w:t>10</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188C7A6A" w14:textId="77777777" w:rsidR="001B6F71" w:rsidRPr="009205FE" w:rsidRDefault="001B6F71" w:rsidP="002A3565">
            <w:pPr>
              <w:pStyle w:val="ListEnd"/>
              <w:jc w:val="center"/>
              <w:rPr>
                <w:sz w:val="20"/>
              </w:rPr>
            </w:pPr>
            <w:r w:rsidRPr="009205FE">
              <w:rPr>
                <w:sz w:val="20"/>
              </w:rPr>
              <w:t>15</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041026E" w14:textId="77777777" w:rsidR="001B6F71" w:rsidRPr="009205FE" w:rsidRDefault="001B6F71" w:rsidP="002A3565">
            <w:pPr>
              <w:pStyle w:val="ListEnd"/>
              <w:jc w:val="center"/>
              <w:rPr>
                <w:sz w:val="20"/>
              </w:rPr>
            </w:pPr>
            <w:r w:rsidRPr="009205FE">
              <w:rPr>
                <w:sz w:val="20"/>
              </w:rPr>
              <w:t>20</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9073291" w14:textId="77777777" w:rsidR="001B6F71" w:rsidRPr="009205FE" w:rsidRDefault="001B6F71" w:rsidP="002A3565">
            <w:pPr>
              <w:pStyle w:val="ListEnd"/>
              <w:jc w:val="center"/>
              <w:rPr>
                <w:sz w:val="20"/>
              </w:rPr>
            </w:pPr>
            <w:r w:rsidRPr="009205FE">
              <w:rPr>
                <w:sz w:val="20"/>
              </w:rPr>
              <w:t>30</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42BC123" w14:textId="77777777" w:rsidR="001B6F71" w:rsidRPr="009205FE" w:rsidRDefault="001B6F71" w:rsidP="002A3565">
            <w:pPr>
              <w:pStyle w:val="ListEnd"/>
              <w:jc w:val="center"/>
              <w:rPr>
                <w:sz w:val="20"/>
              </w:rPr>
            </w:pPr>
            <w:r w:rsidRPr="009205FE">
              <w:rPr>
                <w:sz w:val="20"/>
              </w:rPr>
              <w:t>40</w:t>
            </w:r>
          </w:p>
        </w:tc>
        <w:tc>
          <w:tcPr>
            <w:tcW w:w="334" w:type="pct"/>
            <w:tcBorders>
              <w:top w:val="single" w:sz="2" w:space="0" w:color="000000"/>
              <w:left w:val="single" w:sz="2" w:space="0" w:color="000000"/>
              <w:bottom w:val="single" w:sz="2" w:space="0" w:color="000000"/>
              <w:right w:val="single" w:sz="2" w:space="0" w:color="000000"/>
            </w:tcBorders>
            <w:vAlign w:val="center"/>
            <w:hideMark/>
          </w:tcPr>
          <w:p w14:paraId="7D9D3B18" w14:textId="77777777" w:rsidR="001B6F71" w:rsidRPr="009205FE" w:rsidRDefault="001B6F71" w:rsidP="002A3565">
            <w:pPr>
              <w:pStyle w:val="ListEnd"/>
              <w:jc w:val="center"/>
              <w:rPr>
                <w:sz w:val="20"/>
              </w:rPr>
            </w:pPr>
            <w:r w:rsidRPr="009205FE">
              <w:rPr>
                <w:sz w:val="20"/>
              </w:rPr>
              <w:t>50</w:t>
            </w:r>
          </w:p>
        </w:tc>
        <w:tc>
          <w:tcPr>
            <w:tcW w:w="296" w:type="pct"/>
            <w:tcBorders>
              <w:top w:val="single" w:sz="2" w:space="0" w:color="000000"/>
              <w:left w:val="single" w:sz="2" w:space="0" w:color="000000"/>
              <w:bottom w:val="single" w:sz="2" w:space="0" w:color="000000"/>
              <w:right w:val="single" w:sz="2" w:space="0" w:color="000000"/>
            </w:tcBorders>
            <w:vAlign w:val="center"/>
            <w:hideMark/>
          </w:tcPr>
          <w:p w14:paraId="13F110B1" w14:textId="77777777" w:rsidR="001B6F71" w:rsidRPr="009205FE" w:rsidRDefault="001B6F71" w:rsidP="002A3565">
            <w:pPr>
              <w:pStyle w:val="ListEnd"/>
              <w:jc w:val="center"/>
              <w:rPr>
                <w:sz w:val="20"/>
              </w:rPr>
            </w:pPr>
            <w:r w:rsidRPr="009205FE">
              <w:rPr>
                <w:sz w:val="20"/>
              </w:rPr>
              <w:t>60</w:t>
            </w:r>
          </w:p>
        </w:tc>
        <w:tc>
          <w:tcPr>
            <w:tcW w:w="317" w:type="pct"/>
            <w:tcBorders>
              <w:top w:val="single" w:sz="2" w:space="0" w:color="000000"/>
              <w:left w:val="single" w:sz="2" w:space="0" w:color="000000"/>
              <w:bottom w:val="single" w:sz="2" w:space="0" w:color="000000"/>
              <w:right w:val="single" w:sz="2" w:space="0" w:color="000000"/>
            </w:tcBorders>
            <w:vAlign w:val="center"/>
            <w:hideMark/>
          </w:tcPr>
          <w:p w14:paraId="221A0B47" w14:textId="77777777" w:rsidR="001B6F71" w:rsidRPr="009205FE" w:rsidRDefault="001B6F71" w:rsidP="002A3565">
            <w:pPr>
              <w:pStyle w:val="ListEnd"/>
              <w:jc w:val="center"/>
              <w:rPr>
                <w:sz w:val="20"/>
              </w:rPr>
            </w:pPr>
            <w:r w:rsidRPr="009205FE">
              <w:rPr>
                <w:sz w:val="20"/>
              </w:rPr>
              <w:t>70</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C2F6660" w14:textId="77777777" w:rsidR="001B6F71" w:rsidRPr="009205FE" w:rsidRDefault="001B6F71" w:rsidP="002A3565">
            <w:pPr>
              <w:pStyle w:val="ListEnd"/>
              <w:jc w:val="center"/>
              <w:rPr>
                <w:sz w:val="20"/>
              </w:rPr>
            </w:pPr>
            <w:r w:rsidRPr="009205FE">
              <w:rPr>
                <w:sz w:val="20"/>
              </w:rPr>
              <w:t>80</w:t>
            </w:r>
          </w:p>
        </w:tc>
        <w:tc>
          <w:tcPr>
            <w:tcW w:w="298" w:type="pct"/>
            <w:tcBorders>
              <w:top w:val="single" w:sz="2" w:space="0" w:color="000000"/>
              <w:left w:val="single" w:sz="2" w:space="0" w:color="000000"/>
              <w:bottom w:val="single" w:sz="2" w:space="0" w:color="000000"/>
              <w:right w:val="single" w:sz="2" w:space="0" w:color="000000"/>
            </w:tcBorders>
            <w:vAlign w:val="center"/>
            <w:hideMark/>
          </w:tcPr>
          <w:p w14:paraId="21776AEF" w14:textId="77777777" w:rsidR="001B6F71" w:rsidRPr="009205FE" w:rsidRDefault="001B6F71" w:rsidP="002A3565">
            <w:pPr>
              <w:pStyle w:val="ListEnd"/>
              <w:jc w:val="center"/>
              <w:rPr>
                <w:sz w:val="20"/>
              </w:rPr>
            </w:pPr>
            <w:r w:rsidRPr="009205FE">
              <w:rPr>
                <w:sz w:val="20"/>
              </w:rPr>
              <w:t>90</w:t>
            </w:r>
          </w:p>
        </w:tc>
        <w:tc>
          <w:tcPr>
            <w:tcW w:w="338" w:type="pct"/>
            <w:tcBorders>
              <w:top w:val="single" w:sz="2" w:space="0" w:color="000000"/>
              <w:left w:val="single" w:sz="2" w:space="0" w:color="000000"/>
              <w:bottom w:val="single" w:sz="2" w:space="0" w:color="000000"/>
              <w:right w:val="single" w:sz="2" w:space="0" w:color="000000"/>
            </w:tcBorders>
            <w:vAlign w:val="center"/>
            <w:hideMark/>
          </w:tcPr>
          <w:p w14:paraId="7D4E288A" w14:textId="77777777" w:rsidR="001B6F71" w:rsidRPr="009205FE" w:rsidRDefault="001B6F71" w:rsidP="002A3565">
            <w:pPr>
              <w:pStyle w:val="ListEnd"/>
              <w:jc w:val="center"/>
              <w:rPr>
                <w:sz w:val="20"/>
              </w:rPr>
            </w:pPr>
            <w:r w:rsidRPr="009205FE">
              <w:rPr>
                <w:sz w:val="20"/>
              </w:rPr>
              <w:t>100</w:t>
            </w:r>
          </w:p>
        </w:tc>
        <w:tc>
          <w:tcPr>
            <w:tcW w:w="256" w:type="pct"/>
            <w:tcBorders>
              <w:top w:val="single" w:sz="2" w:space="0" w:color="000000"/>
              <w:left w:val="single" w:sz="2" w:space="0" w:color="000000"/>
              <w:bottom w:val="single" w:sz="2" w:space="0" w:color="000000"/>
              <w:right w:val="single" w:sz="2" w:space="0" w:color="000000"/>
            </w:tcBorders>
            <w:vAlign w:val="center"/>
            <w:hideMark/>
          </w:tcPr>
          <w:p w14:paraId="3A762E8B" w14:textId="77777777" w:rsidR="001B6F71" w:rsidRPr="009205FE" w:rsidRDefault="001B6F71" w:rsidP="002A3565">
            <w:pPr>
              <w:pStyle w:val="ListEnd"/>
              <w:jc w:val="center"/>
              <w:rPr>
                <w:sz w:val="20"/>
              </w:rPr>
            </w:pPr>
            <w:r w:rsidRPr="009205FE">
              <w:rPr>
                <w:sz w:val="20"/>
              </w:rPr>
              <w:t>110</w:t>
            </w:r>
          </w:p>
        </w:tc>
        <w:tc>
          <w:tcPr>
            <w:tcW w:w="313" w:type="pct"/>
            <w:tcBorders>
              <w:top w:val="single" w:sz="2" w:space="0" w:color="000000"/>
              <w:left w:val="single" w:sz="2" w:space="0" w:color="000000"/>
              <w:bottom w:val="single" w:sz="2" w:space="0" w:color="000000"/>
              <w:right w:val="single" w:sz="2" w:space="0" w:color="000000"/>
            </w:tcBorders>
            <w:vAlign w:val="center"/>
            <w:hideMark/>
          </w:tcPr>
          <w:p w14:paraId="62E46070" w14:textId="77777777" w:rsidR="001B6F71" w:rsidRPr="009205FE" w:rsidRDefault="001B6F71" w:rsidP="002A3565">
            <w:pPr>
              <w:pStyle w:val="ListEnd"/>
              <w:jc w:val="center"/>
              <w:rPr>
                <w:sz w:val="20"/>
              </w:rPr>
            </w:pPr>
            <w:r w:rsidRPr="009205FE">
              <w:rPr>
                <w:sz w:val="20"/>
              </w:rPr>
              <w:t>120</w:t>
            </w:r>
          </w:p>
        </w:tc>
      </w:tr>
      <w:tr w:rsidR="003D4B5A" w:rsidRPr="00E01459" w14:paraId="2E3FF398" w14:textId="77777777" w:rsidTr="00286D0B">
        <w:trPr>
          <w:trHeight w:val="20"/>
        </w:trPr>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3D175015" w14:textId="77777777" w:rsidR="001B6F71" w:rsidRPr="009205FE" w:rsidRDefault="001B6F71" w:rsidP="002A3565">
            <w:pPr>
              <w:rPr>
                <w:sz w:val="20"/>
              </w:rPr>
            </w:pPr>
          </w:p>
        </w:tc>
        <w:tc>
          <w:tcPr>
            <w:tcW w:w="3709" w:type="pct"/>
            <w:gridSpan w:val="13"/>
            <w:tcBorders>
              <w:top w:val="single" w:sz="2" w:space="0" w:color="000000"/>
              <w:left w:val="single" w:sz="2" w:space="0" w:color="000000"/>
              <w:bottom w:val="single" w:sz="12" w:space="0" w:color="000000"/>
              <w:right w:val="single" w:sz="2" w:space="0" w:color="000000"/>
            </w:tcBorders>
            <w:vAlign w:val="center"/>
            <w:hideMark/>
          </w:tcPr>
          <w:p w14:paraId="426816D0" w14:textId="77777777" w:rsidR="001B6F71" w:rsidRPr="00286D0B" w:rsidRDefault="001B6F71" w:rsidP="009B7A9A">
            <w:pPr>
              <w:pStyle w:val="ListEnd"/>
              <w:jc w:val="center"/>
              <w:rPr>
                <w:b/>
                <w:bCs/>
                <w:sz w:val="20"/>
              </w:rPr>
            </w:pPr>
            <w:r w:rsidRPr="00286D0B">
              <w:rPr>
                <w:b/>
                <w:bCs/>
                <w:sz w:val="20"/>
              </w:rPr>
              <w:t>Dose Adjustment (m</w:t>
            </w:r>
            <w:r w:rsidR="008A4AB5">
              <w:rPr>
                <w:b/>
                <w:bCs/>
                <w:sz w:val="20"/>
              </w:rPr>
              <w:t>l</w:t>
            </w:r>
            <w:r w:rsidRPr="00286D0B">
              <w:rPr>
                <w:b/>
                <w:bCs/>
                <w:sz w:val="20"/>
              </w:rPr>
              <w:t xml:space="preserve"> per </w:t>
            </w:r>
            <w:proofErr w:type="gramStart"/>
            <w:r w:rsidRPr="00286D0B">
              <w:rPr>
                <w:b/>
                <w:bCs/>
                <w:sz w:val="20"/>
              </w:rPr>
              <w:t>Week)</w:t>
            </w:r>
            <w:r w:rsidR="00341C10" w:rsidRPr="00286D0B">
              <w:rPr>
                <w:b/>
                <w:bCs/>
                <w:sz w:val="20"/>
                <w:vertAlign w:val="superscript"/>
              </w:rPr>
              <w:t>a</w:t>
            </w:r>
            <w:proofErr w:type="gramEnd"/>
          </w:p>
        </w:tc>
      </w:tr>
      <w:tr w:rsidR="003D4B5A" w:rsidRPr="00E01459" w14:paraId="5D8386CB" w14:textId="77777777" w:rsidTr="00286D0B">
        <w:tc>
          <w:tcPr>
            <w:tcW w:w="1291" w:type="pct"/>
            <w:tcBorders>
              <w:top w:val="single" w:sz="12" w:space="0" w:color="000000"/>
              <w:left w:val="single" w:sz="2" w:space="0" w:color="000000"/>
              <w:bottom w:val="single" w:sz="2" w:space="0" w:color="000000"/>
              <w:right w:val="single" w:sz="2" w:space="0" w:color="000000"/>
            </w:tcBorders>
            <w:vAlign w:val="center"/>
            <w:hideMark/>
          </w:tcPr>
          <w:p w14:paraId="6670D360" w14:textId="77777777" w:rsidR="001B6F71" w:rsidRPr="00286D0B" w:rsidRDefault="001B6F71" w:rsidP="009B7A9A">
            <w:pPr>
              <w:pStyle w:val="ListEnd"/>
              <w:jc w:val="center"/>
              <w:rPr>
                <w:sz w:val="20"/>
              </w:rPr>
            </w:pPr>
            <w:r w:rsidRPr="00286D0B">
              <w:rPr>
                <w:sz w:val="20"/>
              </w:rPr>
              <w:t>50</w:t>
            </w:r>
          </w:p>
        </w:tc>
        <w:tc>
          <w:tcPr>
            <w:tcW w:w="0" w:type="auto"/>
            <w:tcBorders>
              <w:top w:val="single" w:sz="12" w:space="0" w:color="000000"/>
              <w:left w:val="single" w:sz="2" w:space="0" w:color="000000"/>
              <w:bottom w:val="single" w:sz="2" w:space="0" w:color="000000"/>
              <w:right w:val="single" w:sz="2" w:space="0" w:color="000000"/>
            </w:tcBorders>
            <w:vAlign w:val="center"/>
            <w:hideMark/>
          </w:tcPr>
          <w:p w14:paraId="1169FCD1" w14:textId="77777777" w:rsidR="001B6F71" w:rsidRPr="00286D0B" w:rsidRDefault="001B6F71" w:rsidP="003D4B5A">
            <w:pPr>
              <w:pStyle w:val="ListEnd"/>
              <w:jc w:val="center"/>
              <w:rPr>
                <w:sz w:val="20"/>
              </w:rPr>
            </w:pPr>
            <w:r w:rsidRPr="00286D0B">
              <w:rPr>
                <w:color w:val="000000"/>
                <w:sz w:val="20"/>
              </w:rPr>
              <w:t>0</w:t>
            </w:r>
          </w:p>
        </w:tc>
        <w:tc>
          <w:tcPr>
            <w:tcW w:w="0" w:type="auto"/>
            <w:tcBorders>
              <w:top w:val="single" w:sz="12" w:space="0" w:color="000000"/>
              <w:left w:val="single" w:sz="2" w:space="0" w:color="000000"/>
              <w:bottom w:val="single" w:sz="2" w:space="0" w:color="000000"/>
              <w:right w:val="single" w:sz="2" w:space="0" w:color="000000"/>
            </w:tcBorders>
            <w:vAlign w:val="center"/>
            <w:hideMark/>
          </w:tcPr>
          <w:p w14:paraId="2A14A9D4" w14:textId="77777777" w:rsidR="001B6F71" w:rsidRPr="00286D0B" w:rsidRDefault="001B6F71" w:rsidP="003D4B5A">
            <w:pPr>
              <w:pStyle w:val="ListEnd"/>
              <w:jc w:val="center"/>
              <w:rPr>
                <w:sz w:val="20"/>
              </w:rPr>
            </w:pPr>
            <w:r w:rsidRPr="00286D0B">
              <w:rPr>
                <w:color w:val="000000"/>
                <w:sz w:val="20"/>
              </w:rPr>
              <w:t>1</w:t>
            </w:r>
          </w:p>
        </w:tc>
        <w:tc>
          <w:tcPr>
            <w:tcW w:w="0" w:type="auto"/>
            <w:tcBorders>
              <w:top w:val="single" w:sz="12" w:space="0" w:color="000000"/>
              <w:left w:val="single" w:sz="2" w:space="0" w:color="000000"/>
              <w:bottom w:val="single" w:sz="2" w:space="0" w:color="000000"/>
              <w:right w:val="single" w:sz="2" w:space="0" w:color="000000"/>
            </w:tcBorders>
            <w:vAlign w:val="center"/>
            <w:hideMark/>
          </w:tcPr>
          <w:p w14:paraId="75C403ED" w14:textId="77777777" w:rsidR="001B6F71" w:rsidRPr="00286D0B" w:rsidRDefault="001B6F71" w:rsidP="003D4B5A">
            <w:pPr>
              <w:pStyle w:val="ListEnd"/>
              <w:jc w:val="center"/>
              <w:rPr>
                <w:sz w:val="20"/>
              </w:rPr>
            </w:pPr>
            <w:r w:rsidRPr="00286D0B">
              <w:rPr>
                <w:color w:val="000000"/>
                <w:sz w:val="20"/>
              </w:rPr>
              <w:t>1</w:t>
            </w:r>
          </w:p>
        </w:tc>
        <w:tc>
          <w:tcPr>
            <w:tcW w:w="0" w:type="auto"/>
            <w:tcBorders>
              <w:top w:val="single" w:sz="12" w:space="0" w:color="000000"/>
              <w:left w:val="single" w:sz="2" w:space="0" w:color="000000"/>
              <w:bottom w:val="single" w:sz="2" w:space="0" w:color="000000"/>
              <w:right w:val="single" w:sz="2" w:space="0" w:color="000000"/>
            </w:tcBorders>
            <w:vAlign w:val="center"/>
            <w:hideMark/>
          </w:tcPr>
          <w:p w14:paraId="7BD79A19" w14:textId="77777777" w:rsidR="001B6F71" w:rsidRPr="00286D0B" w:rsidRDefault="001B6F71" w:rsidP="003D4B5A">
            <w:pPr>
              <w:pStyle w:val="ListEnd"/>
              <w:jc w:val="center"/>
              <w:rPr>
                <w:sz w:val="20"/>
              </w:rPr>
            </w:pPr>
            <w:r w:rsidRPr="00286D0B">
              <w:rPr>
                <w:color w:val="000000"/>
                <w:sz w:val="20"/>
              </w:rPr>
              <w:t>1</w:t>
            </w:r>
          </w:p>
        </w:tc>
        <w:tc>
          <w:tcPr>
            <w:tcW w:w="0" w:type="auto"/>
            <w:tcBorders>
              <w:top w:val="single" w:sz="12" w:space="0" w:color="000000"/>
              <w:left w:val="single" w:sz="2" w:space="0" w:color="000000"/>
              <w:bottom w:val="single" w:sz="2" w:space="0" w:color="000000"/>
              <w:right w:val="single" w:sz="2" w:space="0" w:color="000000"/>
            </w:tcBorders>
            <w:vAlign w:val="center"/>
            <w:hideMark/>
          </w:tcPr>
          <w:p w14:paraId="193FACCB" w14:textId="77777777" w:rsidR="001B6F71" w:rsidRPr="00286D0B" w:rsidRDefault="001B6F71" w:rsidP="003D4B5A">
            <w:pPr>
              <w:pStyle w:val="ListEnd"/>
              <w:jc w:val="center"/>
              <w:rPr>
                <w:sz w:val="20"/>
              </w:rPr>
            </w:pPr>
            <w:r w:rsidRPr="00286D0B">
              <w:rPr>
                <w:color w:val="000000"/>
                <w:sz w:val="20"/>
              </w:rPr>
              <w:t>2</w:t>
            </w:r>
          </w:p>
        </w:tc>
        <w:tc>
          <w:tcPr>
            <w:tcW w:w="334" w:type="pct"/>
            <w:tcBorders>
              <w:top w:val="single" w:sz="12" w:space="0" w:color="000000"/>
              <w:left w:val="single" w:sz="2" w:space="0" w:color="000000"/>
              <w:bottom w:val="single" w:sz="2" w:space="0" w:color="000000"/>
              <w:right w:val="single" w:sz="2" w:space="0" w:color="000000"/>
            </w:tcBorders>
            <w:vAlign w:val="center"/>
            <w:hideMark/>
          </w:tcPr>
          <w:p w14:paraId="3AD49707" w14:textId="77777777" w:rsidR="001B6F71" w:rsidRPr="00286D0B" w:rsidRDefault="001B6F71" w:rsidP="003D4B5A">
            <w:pPr>
              <w:pStyle w:val="ListEnd"/>
              <w:jc w:val="center"/>
              <w:rPr>
                <w:sz w:val="20"/>
              </w:rPr>
            </w:pPr>
            <w:r w:rsidRPr="00286D0B">
              <w:rPr>
                <w:color w:val="000000"/>
                <w:sz w:val="20"/>
              </w:rPr>
              <w:t>2</w:t>
            </w:r>
          </w:p>
        </w:tc>
        <w:tc>
          <w:tcPr>
            <w:tcW w:w="296" w:type="pct"/>
            <w:tcBorders>
              <w:top w:val="single" w:sz="12" w:space="0" w:color="000000"/>
              <w:left w:val="single" w:sz="2" w:space="0" w:color="000000"/>
              <w:bottom w:val="single" w:sz="2" w:space="0" w:color="000000"/>
              <w:right w:val="single" w:sz="2" w:space="0" w:color="000000"/>
            </w:tcBorders>
            <w:vAlign w:val="center"/>
            <w:hideMark/>
          </w:tcPr>
          <w:p w14:paraId="08B2B2A0" w14:textId="77777777" w:rsidR="001B6F71" w:rsidRPr="00286D0B" w:rsidRDefault="001B6F71" w:rsidP="003D4B5A">
            <w:pPr>
              <w:pStyle w:val="ListEnd"/>
              <w:jc w:val="center"/>
              <w:rPr>
                <w:sz w:val="20"/>
              </w:rPr>
            </w:pPr>
            <w:r w:rsidRPr="00286D0B">
              <w:rPr>
                <w:color w:val="000000"/>
                <w:sz w:val="20"/>
              </w:rPr>
              <w:t>2</w:t>
            </w:r>
          </w:p>
        </w:tc>
        <w:tc>
          <w:tcPr>
            <w:tcW w:w="317" w:type="pct"/>
            <w:tcBorders>
              <w:top w:val="single" w:sz="12" w:space="0" w:color="000000"/>
              <w:left w:val="single" w:sz="2" w:space="0" w:color="000000"/>
              <w:bottom w:val="single" w:sz="2" w:space="0" w:color="000000"/>
              <w:right w:val="single" w:sz="2" w:space="0" w:color="000000"/>
            </w:tcBorders>
            <w:vAlign w:val="center"/>
            <w:hideMark/>
          </w:tcPr>
          <w:p w14:paraId="4A7B57C0" w14:textId="77777777" w:rsidR="001B6F71" w:rsidRPr="00286D0B" w:rsidRDefault="001B6F71" w:rsidP="003D4B5A">
            <w:pPr>
              <w:pStyle w:val="ListEnd"/>
              <w:jc w:val="center"/>
              <w:rPr>
                <w:sz w:val="20"/>
              </w:rPr>
            </w:pPr>
            <w:r w:rsidRPr="00286D0B">
              <w:rPr>
                <w:color w:val="000000"/>
                <w:sz w:val="20"/>
              </w:rPr>
              <w:t>3</w:t>
            </w:r>
          </w:p>
        </w:tc>
        <w:tc>
          <w:tcPr>
            <w:tcW w:w="0" w:type="auto"/>
            <w:tcBorders>
              <w:top w:val="single" w:sz="12" w:space="0" w:color="000000"/>
              <w:left w:val="single" w:sz="2" w:space="0" w:color="000000"/>
              <w:bottom w:val="single" w:sz="2" w:space="0" w:color="000000"/>
              <w:right w:val="single" w:sz="2" w:space="0" w:color="000000"/>
            </w:tcBorders>
            <w:vAlign w:val="center"/>
            <w:hideMark/>
          </w:tcPr>
          <w:p w14:paraId="78E2405B" w14:textId="77777777" w:rsidR="001B6F71" w:rsidRPr="00286D0B" w:rsidRDefault="001B6F71" w:rsidP="003D4B5A">
            <w:pPr>
              <w:pStyle w:val="ListEnd"/>
              <w:jc w:val="center"/>
              <w:rPr>
                <w:sz w:val="20"/>
              </w:rPr>
            </w:pPr>
            <w:r w:rsidRPr="00286D0B">
              <w:rPr>
                <w:color w:val="000000"/>
                <w:sz w:val="20"/>
              </w:rPr>
              <w:t>3</w:t>
            </w:r>
          </w:p>
        </w:tc>
        <w:tc>
          <w:tcPr>
            <w:tcW w:w="298" w:type="pct"/>
            <w:tcBorders>
              <w:top w:val="single" w:sz="12" w:space="0" w:color="000000"/>
              <w:left w:val="single" w:sz="2" w:space="0" w:color="000000"/>
              <w:bottom w:val="single" w:sz="2" w:space="0" w:color="000000"/>
              <w:right w:val="single" w:sz="2" w:space="0" w:color="000000"/>
            </w:tcBorders>
            <w:vAlign w:val="center"/>
            <w:hideMark/>
          </w:tcPr>
          <w:p w14:paraId="1ACBDA92" w14:textId="77777777" w:rsidR="001B6F71" w:rsidRPr="00286D0B" w:rsidRDefault="001B6F71" w:rsidP="003D4B5A">
            <w:pPr>
              <w:pStyle w:val="ListEnd"/>
              <w:jc w:val="center"/>
              <w:rPr>
                <w:sz w:val="20"/>
              </w:rPr>
            </w:pPr>
            <w:r w:rsidRPr="00286D0B">
              <w:rPr>
                <w:color w:val="000000"/>
                <w:sz w:val="20"/>
              </w:rPr>
              <w:t>3</w:t>
            </w:r>
          </w:p>
        </w:tc>
        <w:tc>
          <w:tcPr>
            <w:tcW w:w="338" w:type="pct"/>
            <w:tcBorders>
              <w:top w:val="single" w:sz="12" w:space="0" w:color="000000"/>
              <w:left w:val="single" w:sz="2" w:space="0" w:color="000000"/>
              <w:bottom w:val="single" w:sz="2" w:space="0" w:color="000000"/>
              <w:right w:val="single" w:sz="2" w:space="0" w:color="000000"/>
            </w:tcBorders>
            <w:vAlign w:val="center"/>
            <w:hideMark/>
          </w:tcPr>
          <w:p w14:paraId="198CE217" w14:textId="77777777" w:rsidR="001B6F71" w:rsidRPr="00286D0B" w:rsidRDefault="001B6F71" w:rsidP="003D4B5A">
            <w:pPr>
              <w:pStyle w:val="ListEnd"/>
              <w:jc w:val="center"/>
              <w:rPr>
                <w:sz w:val="20"/>
              </w:rPr>
            </w:pPr>
            <w:r w:rsidRPr="00286D0B">
              <w:rPr>
                <w:color w:val="000000"/>
                <w:sz w:val="20"/>
              </w:rPr>
              <w:t>4</w:t>
            </w:r>
          </w:p>
        </w:tc>
        <w:tc>
          <w:tcPr>
            <w:tcW w:w="256" w:type="pct"/>
            <w:tcBorders>
              <w:top w:val="single" w:sz="12" w:space="0" w:color="000000"/>
              <w:left w:val="single" w:sz="2" w:space="0" w:color="000000"/>
              <w:bottom w:val="single" w:sz="2" w:space="0" w:color="000000"/>
              <w:right w:val="single" w:sz="2" w:space="0" w:color="000000"/>
            </w:tcBorders>
            <w:vAlign w:val="center"/>
            <w:hideMark/>
          </w:tcPr>
          <w:p w14:paraId="4CCA5808" w14:textId="77777777" w:rsidR="001B6F71" w:rsidRPr="00286D0B" w:rsidRDefault="001B6F71" w:rsidP="003D4B5A">
            <w:pPr>
              <w:pStyle w:val="ListEnd"/>
              <w:jc w:val="center"/>
              <w:rPr>
                <w:sz w:val="20"/>
              </w:rPr>
            </w:pPr>
            <w:r w:rsidRPr="00286D0B">
              <w:rPr>
                <w:color w:val="000000"/>
                <w:sz w:val="20"/>
              </w:rPr>
              <w:t>4</w:t>
            </w:r>
          </w:p>
        </w:tc>
        <w:tc>
          <w:tcPr>
            <w:tcW w:w="313" w:type="pct"/>
            <w:tcBorders>
              <w:top w:val="single" w:sz="12" w:space="0" w:color="000000"/>
              <w:left w:val="single" w:sz="2" w:space="0" w:color="000000"/>
              <w:bottom w:val="single" w:sz="2" w:space="0" w:color="000000"/>
              <w:right w:val="single" w:sz="2" w:space="0" w:color="000000"/>
            </w:tcBorders>
            <w:vAlign w:val="center"/>
            <w:hideMark/>
          </w:tcPr>
          <w:p w14:paraId="09A01648" w14:textId="77777777" w:rsidR="001B6F71" w:rsidRPr="00286D0B" w:rsidRDefault="001B6F71" w:rsidP="003D4B5A">
            <w:pPr>
              <w:pStyle w:val="ListEnd"/>
              <w:jc w:val="center"/>
              <w:rPr>
                <w:sz w:val="20"/>
              </w:rPr>
            </w:pPr>
            <w:r w:rsidRPr="00286D0B">
              <w:rPr>
                <w:color w:val="000000"/>
                <w:sz w:val="20"/>
              </w:rPr>
              <w:t>5</w:t>
            </w:r>
          </w:p>
        </w:tc>
      </w:tr>
      <w:tr w:rsidR="003D4B5A" w:rsidRPr="00E01459" w14:paraId="7FA92CCB" w14:textId="77777777" w:rsidTr="00286D0B">
        <w:tc>
          <w:tcPr>
            <w:tcW w:w="1291" w:type="pct"/>
            <w:tcBorders>
              <w:top w:val="single" w:sz="2" w:space="0" w:color="000000"/>
              <w:left w:val="single" w:sz="2" w:space="0" w:color="000000"/>
              <w:bottom w:val="single" w:sz="2" w:space="0" w:color="000000"/>
              <w:right w:val="single" w:sz="2" w:space="0" w:color="000000"/>
            </w:tcBorders>
            <w:vAlign w:val="center"/>
            <w:hideMark/>
          </w:tcPr>
          <w:p w14:paraId="19D71442" w14:textId="77777777" w:rsidR="001B6F71" w:rsidRPr="00286D0B" w:rsidRDefault="001B6F71" w:rsidP="009B7A9A">
            <w:pPr>
              <w:pStyle w:val="ListEnd"/>
              <w:jc w:val="center"/>
              <w:rPr>
                <w:sz w:val="20"/>
              </w:rPr>
            </w:pPr>
            <w:r w:rsidRPr="00286D0B">
              <w:rPr>
                <w:sz w:val="20"/>
              </w:rPr>
              <w:t>100</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B30DAC7" w14:textId="77777777" w:rsidR="001B6F71" w:rsidRPr="00286D0B" w:rsidRDefault="001B6F71" w:rsidP="003D4B5A">
            <w:pPr>
              <w:pStyle w:val="ListEnd"/>
              <w:jc w:val="center"/>
              <w:rPr>
                <w:sz w:val="20"/>
              </w:rPr>
            </w:pPr>
            <w:r w:rsidRPr="00286D0B">
              <w:rPr>
                <w:color w:val="000000"/>
                <w:sz w:val="20"/>
              </w:rPr>
              <w:t>1</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C45E3FA" w14:textId="77777777" w:rsidR="001B6F71" w:rsidRPr="00286D0B" w:rsidRDefault="001B6F71" w:rsidP="003D4B5A">
            <w:pPr>
              <w:pStyle w:val="ListEnd"/>
              <w:jc w:val="center"/>
              <w:rPr>
                <w:sz w:val="20"/>
              </w:rPr>
            </w:pPr>
            <w:r w:rsidRPr="00286D0B">
              <w:rPr>
                <w:color w:val="000000"/>
                <w:sz w:val="20"/>
              </w:rPr>
              <w:t>1</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047C603" w14:textId="77777777" w:rsidR="001B6F71" w:rsidRPr="00286D0B" w:rsidRDefault="001B6F71" w:rsidP="003D4B5A">
            <w:pPr>
              <w:pStyle w:val="ListEnd"/>
              <w:jc w:val="center"/>
              <w:rPr>
                <w:sz w:val="20"/>
              </w:rPr>
            </w:pPr>
            <w:r w:rsidRPr="00286D0B">
              <w:rPr>
                <w:color w:val="000000"/>
                <w:sz w:val="20"/>
              </w:rPr>
              <w:t>2</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C8432E9" w14:textId="77777777" w:rsidR="001B6F71" w:rsidRPr="00286D0B" w:rsidRDefault="001B6F71" w:rsidP="003D4B5A">
            <w:pPr>
              <w:pStyle w:val="ListEnd"/>
              <w:jc w:val="center"/>
              <w:rPr>
                <w:sz w:val="20"/>
              </w:rPr>
            </w:pPr>
            <w:r w:rsidRPr="00286D0B">
              <w:rPr>
                <w:color w:val="000000"/>
                <w:sz w:val="20"/>
              </w:rPr>
              <w:t>2</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6A1FBF9" w14:textId="77777777" w:rsidR="001B6F71" w:rsidRPr="00286D0B" w:rsidRDefault="001B6F71" w:rsidP="003D4B5A">
            <w:pPr>
              <w:pStyle w:val="ListEnd"/>
              <w:jc w:val="center"/>
              <w:rPr>
                <w:sz w:val="20"/>
              </w:rPr>
            </w:pPr>
            <w:r w:rsidRPr="00286D0B">
              <w:rPr>
                <w:color w:val="000000"/>
                <w:sz w:val="20"/>
              </w:rPr>
              <w:t>3</w:t>
            </w:r>
          </w:p>
        </w:tc>
        <w:tc>
          <w:tcPr>
            <w:tcW w:w="334" w:type="pct"/>
            <w:tcBorders>
              <w:top w:val="single" w:sz="2" w:space="0" w:color="000000"/>
              <w:left w:val="single" w:sz="2" w:space="0" w:color="000000"/>
              <w:bottom w:val="single" w:sz="2" w:space="0" w:color="000000"/>
              <w:right w:val="single" w:sz="2" w:space="0" w:color="000000"/>
            </w:tcBorders>
            <w:vAlign w:val="center"/>
            <w:hideMark/>
          </w:tcPr>
          <w:p w14:paraId="0F4C4571" w14:textId="77777777" w:rsidR="001B6F71" w:rsidRPr="00286D0B" w:rsidRDefault="001B6F71" w:rsidP="003D4B5A">
            <w:pPr>
              <w:pStyle w:val="ListEnd"/>
              <w:jc w:val="center"/>
              <w:rPr>
                <w:sz w:val="20"/>
              </w:rPr>
            </w:pPr>
            <w:r w:rsidRPr="00286D0B">
              <w:rPr>
                <w:color w:val="000000"/>
                <w:sz w:val="20"/>
              </w:rPr>
              <w:t>4</w:t>
            </w:r>
          </w:p>
        </w:tc>
        <w:tc>
          <w:tcPr>
            <w:tcW w:w="296" w:type="pct"/>
            <w:tcBorders>
              <w:top w:val="single" w:sz="2" w:space="0" w:color="000000"/>
              <w:left w:val="single" w:sz="2" w:space="0" w:color="000000"/>
              <w:bottom w:val="single" w:sz="2" w:space="0" w:color="000000"/>
              <w:right w:val="single" w:sz="2" w:space="0" w:color="000000"/>
            </w:tcBorders>
            <w:vAlign w:val="center"/>
            <w:hideMark/>
          </w:tcPr>
          <w:p w14:paraId="7C10CC8D" w14:textId="77777777" w:rsidR="001B6F71" w:rsidRPr="00286D0B" w:rsidRDefault="001B6F71" w:rsidP="003D4B5A">
            <w:pPr>
              <w:pStyle w:val="ListEnd"/>
              <w:jc w:val="center"/>
              <w:rPr>
                <w:sz w:val="20"/>
              </w:rPr>
            </w:pPr>
            <w:r w:rsidRPr="00286D0B">
              <w:rPr>
                <w:color w:val="000000"/>
                <w:sz w:val="20"/>
              </w:rPr>
              <w:t>5</w:t>
            </w:r>
          </w:p>
        </w:tc>
        <w:tc>
          <w:tcPr>
            <w:tcW w:w="317" w:type="pct"/>
            <w:tcBorders>
              <w:top w:val="single" w:sz="2" w:space="0" w:color="000000"/>
              <w:left w:val="single" w:sz="2" w:space="0" w:color="000000"/>
              <w:bottom w:val="single" w:sz="2" w:space="0" w:color="000000"/>
              <w:right w:val="single" w:sz="2" w:space="0" w:color="000000"/>
            </w:tcBorders>
            <w:vAlign w:val="center"/>
            <w:hideMark/>
          </w:tcPr>
          <w:p w14:paraId="2B842886" w14:textId="77777777" w:rsidR="001B6F71" w:rsidRPr="00286D0B" w:rsidRDefault="001B6F71" w:rsidP="003D4B5A">
            <w:pPr>
              <w:pStyle w:val="ListEnd"/>
              <w:jc w:val="center"/>
              <w:rPr>
                <w:sz w:val="20"/>
              </w:rPr>
            </w:pPr>
            <w:r w:rsidRPr="00286D0B">
              <w:rPr>
                <w:color w:val="000000"/>
                <w:sz w:val="20"/>
              </w:rPr>
              <w:t>5</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813545B" w14:textId="77777777" w:rsidR="001B6F71" w:rsidRPr="00286D0B" w:rsidRDefault="001B6F71" w:rsidP="003D4B5A">
            <w:pPr>
              <w:pStyle w:val="ListEnd"/>
              <w:jc w:val="center"/>
              <w:rPr>
                <w:sz w:val="20"/>
              </w:rPr>
            </w:pPr>
            <w:r w:rsidRPr="00286D0B">
              <w:rPr>
                <w:color w:val="000000"/>
                <w:sz w:val="20"/>
              </w:rPr>
              <w:t>6</w:t>
            </w:r>
          </w:p>
        </w:tc>
        <w:tc>
          <w:tcPr>
            <w:tcW w:w="298" w:type="pct"/>
            <w:tcBorders>
              <w:top w:val="single" w:sz="2" w:space="0" w:color="000000"/>
              <w:left w:val="single" w:sz="2" w:space="0" w:color="000000"/>
              <w:bottom w:val="single" w:sz="2" w:space="0" w:color="000000"/>
              <w:right w:val="single" w:sz="2" w:space="0" w:color="000000"/>
            </w:tcBorders>
            <w:vAlign w:val="center"/>
            <w:hideMark/>
          </w:tcPr>
          <w:p w14:paraId="6897D8F5" w14:textId="77777777" w:rsidR="001B6F71" w:rsidRPr="00286D0B" w:rsidRDefault="001B6F71" w:rsidP="003D4B5A">
            <w:pPr>
              <w:pStyle w:val="ListEnd"/>
              <w:jc w:val="center"/>
              <w:rPr>
                <w:sz w:val="20"/>
              </w:rPr>
            </w:pPr>
            <w:r w:rsidRPr="00286D0B">
              <w:rPr>
                <w:color w:val="000000"/>
                <w:sz w:val="20"/>
              </w:rPr>
              <w:t>7</w:t>
            </w:r>
          </w:p>
        </w:tc>
        <w:tc>
          <w:tcPr>
            <w:tcW w:w="338" w:type="pct"/>
            <w:tcBorders>
              <w:top w:val="single" w:sz="2" w:space="0" w:color="000000"/>
              <w:left w:val="single" w:sz="2" w:space="0" w:color="000000"/>
              <w:bottom w:val="single" w:sz="2" w:space="0" w:color="000000"/>
              <w:right w:val="single" w:sz="2" w:space="0" w:color="000000"/>
            </w:tcBorders>
            <w:vAlign w:val="center"/>
            <w:hideMark/>
          </w:tcPr>
          <w:p w14:paraId="246B2E29" w14:textId="77777777" w:rsidR="001B6F71" w:rsidRPr="00286D0B" w:rsidRDefault="001B6F71" w:rsidP="003D4B5A">
            <w:pPr>
              <w:pStyle w:val="ListEnd"/>
              <w:jc w:val="center"/>
              <w:rPr>
                <w:sz w:val="20"/>
              </w:rPr>
            </w:pPr>
            <w:r w:rsidRPr="00286D0B">
              <w:rPr>
                <w:color w:val="000000"/>
                <w:sz w:val="20"/>
              </w:rPr>
              <w:t>8</w:t>
            </w:r>
          </w:p>
        </w:tc>
        <w:tc>
          <w:tcPr>
            <w:tcW w:w="256" w:type="pct"/>
            <w:tcBorders>
              <w:top w:val="single" w:sz="2" w:space="0" w:color="000000"/>
              <w:left w:val="single" w:sz="2" w:space="0" w:color="000000"/>
              <w:bottom w:val="single" w:sz="2" w:space="0" w:color="000000"/>
              <w:right w:val="single" w:sz="2" w:space="0" w:color="000000"/>
            </w:tcBorders>
            <w:vAlign w:val="center"/>
            <w:hideMark/>
          </w:tcPr>
          <w:p w14:paraId="3ED697BD" w14:textId="77777777" w:rsidR="001B6F71" w:rsidRPr="00286D0B" w:rsidRDefault="001B6F71" w:rsidP="003D4B5A">
            <w:pPr>
              <w:pStyle w:val="ListEnd"/>
              <w:jc w:val="center"/>
              <w:rPr>
                <w:sz w:val="20"/>
              </w:rPr>
            </w:pPr>
            <w:r w:rsidRPr="00286D0B">
              <w:rPr>
                <w:color w:val="000000"/>
                <w:sz w:val="20"/>
              </w:rPr>
              <w:t>8</w:t>
            </w:r>
          </w:p>
        </w:tc>
        <w:tc>
          <w:tcPr>
            <w:tcW w:w="313" w:type="pct"/>
            <w:tcBorders>
              <w:top w:val="single" w:sz="2" w:space="0" w:color="000000"/>
              <w:left w:val="single" w:sz="2" w:space="0" w:color="000000"/>
              <w:bottom w:val="single" w:sz="2" w:space="0" w:color="000000"/>
              <w:right w:val="single" w:sz="2" w:space="0" w:color="000000"/>
            </w:tcBorders>
            <w:vAlign w:val="center"/>
            <w:hideMark/>
          </w:tcPr>
          <w:p w14:paraId="4987F404" w14:textId="77777777" w:rsidR="001B6F71" w:rsidRPr="00286D0B" w:rsidRDefault="001B6F71" w:rsidP="003D4B5A">
            <w:pPr>
              <w:pStyle w:val="ListEnd"/>
              <w:jc w:val="center"/>
              <w:rPr>
                <w:sz w:val="20"/>
              </w:rPr>
            </w:pPr>
            <w:r w:rsidRPr="00286D0B">
              <w:rPr>
                <w:color w:val="000000"/>
                <w:sz w:val="20"/>
              </w:rPr>
              <w:t>9</w:t>
            </w:r>
          </w:p>
        </w:tc>
      </w:tr>
      <w:tr w:rsidR="003D4B5A" w:rsidRPr="00E01459" w14:paraId="7B89AFEB" w14:textId="77777777" w:rsidTr="00286D0B">
        <w:tc>
          <w:tcPr>
            <w:tcW w:w="1291" w:type="pct"/>
            <w:tcBorders>
              <w:top w:val="single" w:sz="2" w:space="0" w:color="000000"/>
              <w:left w:val="single" w:sz="2" w:space="0" w:color="000000"/>
              <w:bottom w:val="single" w:sz="2" w:space="0" w:color="000000"/>
              <w:right w:val="single" w:sz="2" w:space="0" w:color="000000"/>
            </w:tcBorders>
            <w:vAlign w:val="center"/>
            <w:hideMark/>
          </w:tcPr>
          <w:p w14:paraId="182864CE" w14:textId="77777777" w:rsidR="001B6F71" w:rsidRPr="00286D0B" w:rsidRDefault="001B6F71" w:rsidP="009B7A9A">
            <w:pPr>
              <w:pStyle w:val="ListEnd"/>
              <w:jc w:val="center"/>
              <w:rPr>
                <w:sz w:val="20"/>
              </w:rPr>
            </w:pPr>
            <w:r w:rsidRPr="00286D0B">
              <w:rPr>
                <w:sz w:val="20"/>
              </w:rPr>
              <w:t>150</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0AFEC74" w14:textId="77777777" w:rsidR="001B6F71" w:rsidRPr="00286D0B" w:rsidRDefault="001B6F71" w:rsidP="003D4B5A">
            <w:pPr>
              <w:pStyle w:val="ListEnd"/>
              <w:jc w:val="center"/>
              <w:rPr>
                <w:sz w:val="20"/>
              </w:rPr>
            </w:pPr>
            <w:r w:rsidRPr="00286D0B">
              <w:rPr>
                <w:color w:val="000000"/>
                <w:sz w:val="20"/>
              </w:rPr>
              <w:t>1</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80F1221" w14:textId="77777777" w:rsidR="001B6F71" w:rsidRPr="00286D0B" w:rsidRDefault="001B6F71" w:rsidP="003D4B5A">
            <w:pPr>
              <w:pStyle w:val="ListEnd"/>
              <w:jc w:val="center"/>
              <w:rPr>
                <w:sz w:val="20"/>
              </w:rPr>
            </w:pPr>
            <w:r w:rsidRPr="00286D0B">
              <w:rPr>
                <w:color w:val="000000"/>
                <w:sz w:val="20"/>
              </w:rPr>
              <w:t>2</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5375CB8" w14:textId="77777777" w:rsidR="001B6F71" w:rsidRPr="00286D0B" w:rsidRDefault="001B6F71" w:rsidP="003D4B5A">
            <w:pPr>
              <w:pStyle w:val="ListEnd"/>
              <w:jc w:val="center"/>
              <w:rPr>
                <w:sz w:val="20"/>
              </w:rPr>
            </w:pPr>
            <w:r w:rsidRPr="00286D0B">
              <w:rPr>
                <w:color w:val="000000"/>
                <w:sz w:val="20"/>
              </w:rPr>
              <w:t>2</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7ECEBCA" w14:textId="77777777" w:rsidR="001B6F71" w:rsidRPr="00286D0B" w:rsidRDefault="001B6F71" w:rsidP="003D4B5A">
            <w:pPr>
              <w:pStyle w:val="ListEnd"/>
              <w:jc w:val="center"/>
              <w:rPr>
                <w:sz w:val="20"/>
              </w:rPr>
            </w:pPr>
            <w:r w:rsidRPr="00286D0B">
              <w:rPr>
                <w:color w:val="000000"/>
                <w:sz w:val="20"/>
              </w:rPr>
              <w:t>3</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71E8244" w14:textId="77777777" w:rsidR="001B6F71" w:rsidRPr="00286D0B" w:rsidRDefault="001B6F71" w:rsidP="003D4B5A">
            <w:pPr>
              <w:pStyle w:val="ListEnd"/>
              <w:jc w:val="center"/>
              <w:rPr>
                <w:sz w:val="20"/>
              </w:rPr>
            </w:pPr>
            <w:r w:rsidRPr="00286D0B">
              <w:rPr>
                <w:color w:val="000000"/>
                <w:sz w:val="20"/>
              </w:rPr>
              <w:t>5</w:t>
            </w:r>
          </w:p>
        </w:tc>
        <w:tc>
          <w:tcPr>
            <w:tcW w:w="334" w:type="pct"/>
            <w:tcBorders>
              <w:top w:val="single" w:sz="2" w:space="0" w:color="000000"/>
              <w:left w:val="single" w:sz="2" w:space="0" w:color="000000"/>
              <w:bottom w:val="single" w:sz="2" w:space="0" w:color="000000"/>
              <w:right w:val="single" w:sz="2" w:space="0" w:color="000000"/>
            </w:tcBorders>
            <w:vAlign w:val="center"/>
            <w:hideMark/>
          </w:tcPr>
          <w:p w14:paraId="18785B66" w14:textId="77777777" w:rsidR="001B6F71" w:rsidRPr="00286D0B" w:rsidRDefault="001B6F71" w:rsidP="003D4B5A">
            <w:pPr>
              <w:pStyle w:val="ListEnd"/>
              <w:jc w:val="center"/>
              <w:rPr>
                <w:sz w:val="20"/>
              </w:rPr>
            </w:pPr>
            <w:r w:rsidRPr="00286D0B">
              <w:rPr>
                <w:color w:val="000000"/>
                <w:sz w:val="20"/>
              </w:rPr>
              <w:t>6</w:t>
            </w:r>
          </w:p>
        </w:tc>
        <w:tc>
          <w:tcPr>
            <w:tcW w:w="296" w:type="pct"/>
            <w:tcBorders>
              <w:top w:val="single" w:sz="2" w:space="0" w:color="000000"/>
              <w:left w:val="single" w:sz="2" w:space="0" w:color="000000"/>
              <w:bottom w:val="single" w:sz="2" w:space="0" w:color="000000"/>
              <w:right w:val="single" w:sz="2" w:space="0" w:color="000000"/>
            </w:tcBorders>
            <w:vAlign w:val="center"/>
            <w:hideMark/>
          </w:tcPr>
          <w:p w14:paraId="5C5712B9" w14:textId="77777777" w:rsidR="001B6F71" w:rsidRPr="00286D0B" w:rsidRDefault="001B6F71" w:rsidP="003D4B5A">
            <w:pPr>
              <w:pStyle w:val="ListEnd"/>
              <w:jc w:val="center"/>
              <w:rPr>
                <w:sz w:val="20"/>
              </w:rPr>
            </w:pPr>
            <w:r w:rsidRPr="00286D0B">
              <w:rPr>
                <w:color w:val="000000"/>
                <w:sz w:val="20"/>
              </w:rPr>
              <w:t>7</w:t>
            </w:r>
          </w:p>
        </w:tc>
        <w:tc>
          <w:tcPr>
            <w:tcW w:w="317" w:type="pct"/>
            <w:tcBorders>
              <w:top w:val="single" w:sz="2" w:space="0" w:color="000000"/>
              <w:left w:val="single" w:sz="2" w:space="0" w:color="000000"/>
              <w:bottom w:val="single" w:sz="2" w:space="0" w:color="000000"/>
              <w:right w:val="single" w:sz="2" w:space="0" w:color="000000"/>
            </w:tcBorders>
            <w:vAlign w:val="center"/>
            <w:hideMark/>
          </w:tcPr>
          <w:p w14:paraId="137625AA" w14:textId="77777777" w:rsidR="001B6F71" w:rsidRPr="00286D0B" w:rsidRDefault="001B6F71" w:rsidP="003D4B5A">
            <w:pPr>
              <w:pStyle w:val="ListEnd"/>
              <w:jc w:val="center"/>
              <w:rPr>
                <w:sz w:val="20"/>
              </w:rPr>
            </w:pPr>
            <w:r w:rsidRPr="00286D0B">
              <w:rPr>
                <w:color w:val="000000"/>
                <w:sz w:val="20"/>
              </w:rPr>
              <w:t>8</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68FB829" w14:textId="77777777" w:rsidR="001B6F71" w:rsidRPr="00286D0B" w:rsidRDefault="001B6F71" w:rsidP="003D4B5A">
            <w:pPr>
              <w:pStyle w:val="ListEnd"/>
              <w:jc w:val="center"/>
              <w:rPr>
                <w:sz w:val="20"/>
              </w:rPr>
            </w:pPr>
            <w:r w:rsidRPr="00286D0B">
              <w:rPr>
                <w:color w:val="000000"/>
                <w:sz w:val="20"/>
              </w:rPr>
              <w:t>9</w:t>
            </w:r>
          </w:p>
        </w:tc>
        <w:tc>
          <w:tcPr>
            <w:tcW w:w="298" w:type="pct"/>
            <w:tcBorders>
              <w:top w:val="single" w:sz="2" w:space="0" w:color="000000"/>
              <w:left w:val="single" w:sz="2" w:space="0" w:color="000000"/>
              <w:bottom w:val="single" w:sz="2" w:space="0" w:color="000000"/>
              <w:right w:val="single" w:sz="2" w:space="0" w:color="000000"/>
            </w:tcBorders>
            <w:vAlign w:val="center"/>
            <w:hideMark/>
          </w:tcPr>
          <w:p w14:paraId="4298C8B9" w14:textId="77777777" w:rsidR="001B6F71" w:rsidRPr="00286D0B" w:rsidRDefault="001B6F71" w:rsidP="003D4B5A">
            <w:pPr>
              <w:pStyle w:val="ListEnd"/>
              <w:jc w:val="center"/>
              <w:rPr>
                <w:sz w:val="20"/>
              </w:rPr>
            </w:pPr>
            <w:r w:rsidRPr="00286D0B">
              <w:rPr>
                <w:color w:val="000000"/>
                <w:sz w:val="20"/>
              </w:rPr>
              <w:t>10</w:t>
            </w:r>
          </w:p>
        </w:tc>
        <w:tc>
          <w:tcPr>
            <w:tcW w:w="338" w:type="pct"/>
            <w:tcBorders>
              <w:top w:val="single" w:sz="2" w:space="0" w:color="000000"/>
              <w:left w:val="single" w:sz="2" w:space="0" w:color="000000"/>
              <w:bottom w:val="single" w:sz="2" w:space="0" w:color="000000"/>
              <w:right w:val="single" w:sz="2" w:space="0" w:color="000000"/>
            </w:tcBorders>
            <w:vAlign w:val="center"/>
            <w:hideMark/>
          </w:tcPr>
          <w:p w14:paraId="7A593426" w14:textId="77777777" w:rsidR="001B6F71" w:rsidRPr="00286D0B" w:rsidRDefault="001B6F71" w:rsidP="003D4B5A">
            <w:pPr>
              <w:pStyle w:val="ListEnd"/>
              <w:jc w:val="center"/>
              <w:rPr>
                <w:sz w:val="20"/>
              </w:rPr>
            </w:pPr>
            <w:r w:rsidRPr="00286D0B">
              <w:rPr>
                <w:color w:val="000000"/>
                <w:sz w:val="20"/>
              </w:rPr>
              <w:t>11</w:t>
            </w:r>
          </w:p>
        </w:tc>
        <w:tc>
          <w:tcPr>
            <w:tcW w:w="256" w:type="pct"/>
            <w:tcBorders>
              <w:top w:val="single" w:sz="2" w:space="0" w:color="000000"/>
              <w:left w:val="single" w:sz="2" w:space="0" w:color="000000"/>
              <w:bottom w:val="single" w:sz="2" w:space="0" w:color="000000"/>
              <w:right w:val="single" w:sz="2" w:space="0" w:color="000000"/>
            </w:tcBorders>
            <w:vAlign w:val="center"/>
            <w:hideMark/>
          </w:tcPr>
          <w:p w14:paraId="4B3298EE" w14:textId="77777777" w:rsidR="001B6F71" w:rsidRPr="00286D0B" w:rsidRDefault="001B6F71" w:rsidP="003D4B5A">
            <w:pPr>
              <w:pStyle w:val="ListEnd"/>
              <w:jc w:val="center"/>
              <w:rPr>
                <w:sz w:val="20"/>
              </w:rPr>
            </w:pPr>
            <w:r w:rsidRPr="00286D0B">
              <w:rPr>
                <w:color w:val="000000"/>
                <w:sz w:val="20"/>
              </w:rPr>
              <w:t>13</w:t>
            </w:r>
          </w:p>
        </w:tc>
        <w:tc>
          <w:tcPr>
            <w:tcW w:w="313" w:type="pct"/>
            <w:tcBorders>
              <w:top w:val="single" w:sz="2" w:space="0" w:color="000000"/>
              <w:left w:val="single" w:sz="2" w:space="0" w:color="000000"/>
              <w:bottom w:val="single" w:sz="2" w:space="0" w:color="000000"/>
              <w:right w:val="single" w:sz="2" w:space="0" w:color="000000"/>
            </w:tcBorders>
            <w:vAlign w:val="center"/>
            <w:hideMark/>
          </w:tcPr>
          <w:p w14:paraId="6F21B781" w14:textId="77777777" w:rsidR="001B6F71" w:rsidRPr="00286D0B" w:rsidRDefault="001B6F71" w:rsidP="003D4B5A">
            <w:pPr>
              <w:pStyle w:val="ListEnd"/>
              <w:jc w:val="center"/>
              <w:rPr>
                <w:sz w:val="20"/>
              </w:rPr>
            </w:pPr>
            <w:r w:rsidRPr="00286D0B">
              <w:rPr>
                <w:color w:val="000000"/>
                <w:sz w:val="20"/>
              </w:rPr>
              <w:t>14</w:t>
            </w:r>
          </w:p>
        </w:tc>
      </w:tr>
      <w:tr w:rsidR="003D4B5A" w:rsidRPr="00E01459" w14:paraId="394F10CC" w14:textId="77777777" w:rsidTr="00286D0B">
        <w:tc>
          <w:tcPr>
            <w:tcW w:w="1291" w:type="pct"/>
            <w:tcBorders>
              <w:top w:val="single" w:sz="2" w:space="0" w:color="000000"/>
              <w:left w:val="single" w:sz="2" w:space="0" w:color="000000"/>
              <w:bottom w:val="single" w:sz="2" w:space="0" w:color="000000"/>
              <w:right w:val="single" w:sz="2" w:space="0" w:color="000000"/>
            </w:tcBorders>
            <w:vAlign w:val="center"/>
            <w:hideMark/>
          </w:tcPr>
          <w:p w14:paraId="6C2EC57A" w14:textId="77777777" w:rsidR="001B6F71" w:rsidRPr="00286D0B" w:rsidRDefault="001B6F71" w:rsidP="009B7A9A">
            <w:pPr>
              <w:pStyle w:val="ListEnd"/>
              <w:jc w:val="center"/>
              <w:rPr>
                <w:sz w:val="20"/>
              </w:rPr>
            </w:pPr>
            <w:r w:rsidRPr="00286D0B">
              <w:rPr>
                <w:sz w:val="20"/>
              </w:rPr>
              <w:t>200</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95AC3F1" w14:textId="77777777" w:rsidR="001B6F71" w:rsidRPr="00286D0B" w:rsidRDefault="001B6F71" w:rsidP="003D4B5A">
            <w:pPr>
              <w:pStyle w:val="ListEnd"/>
              <w:jc w:val="center"/>
              <w:rPr>
                <w:sz w:val="20"/>
              </w:rPr>
            </w:pPr>
            <w:r w:rsidRPr="00286D0B">
              <w:rPr>
                <w:color w:val="000000"/>
                <w:sz w:val="20"/>
              </w:rPr>
              <w:t>2</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A1BE0AD" w14:textId="77777777" w:rsidR="001B6F71" w:rsidRPr="00286D0B" w:rsidRDefault="001B6F71" w:rsidP="003D4B5A">
            <w:pPr>
              <w:pStyle w:val="ListEnd"/>
              <w:jc w:val="center"/>
              <w:rPr>
                <w:sz w:val="20"/>
              </w:rPr>
            </w:pPr>
            <w:r w:rsidRPr="00286D0B">
              <w:rPr>
                <w:color w:val="000000"/>
                <w:sz w:val="20"/>
              </w:rPr>
              <w:t>2</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A870471" w14:textId="77777777" w:rsidR="001B6F71" w:rsidRPr="00286D0B" w:rsidRDefault="001B6F71" w:rsidP="003D4B5A">
            <w:pPr>
              <w:pStyle w:val="ListEnd"/>
              <w:jc w:val="center"/>
              <w:rPr>
                <w:sz w:val="20"/>
              </w:rPr>
            </w:pPr>
            <w:r w:rsidRPr="00286D0B">
              <w:rPr>
                <w:color w:val="000000"/>
                <w:sz w:val="20"/>
              </w:rPr>
              <w:t>3</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8C25AB6" w14:textId="77777777" w:rsidR="001B6F71" w:rsidRPr="00286D0B" w:rsidRDefault="001B6F71" w:rsidP="003D4B5A">
            <w:pPr>
              <w:pStyle w:val="ListEnd"/>
              <w:jc w:val="center"/>
              <w:rPr>
                <w:sz w:val="20"/>
              </w:rPr>
            </w:pPr>
            <w:r w:rsidRPr="00286D0B">
              <w:rPr>
                <w:color w:val="000000"/>
                <w:sz w:val="20"/>
              </w:rPr>
              <w:t>5</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31ED508" w14:textId="77777777" w:rsidR="001B6F71" w:rsidRPr="00286D0B" w:rsidRDefault="001B6F71" w:rsidP="003D4B5A">
            <w:pPr>
              <w:pStyle w:val="ListEnd"/>
              <w:jc w:val="center"/>
              <w:rPr>
                <w:sz w:val="20"/>
              </w:rPr>
            </w:pPr>
            <w:r w:rsidRPr="00286D0B">
              <w:rPr>
                <w:color w:val="000000"/>
                <w:sz w:val="20"/>
              </w:rPr>
              <w:t>6</w:t>
            </w:r>
          </w:p>
        </w:tc>
        <w:tc>
          <w:tcPr>
            <w:tcW w:w="334" w:type="pct"/>
            <w:tcBorders>
              <w:top w:val="single" w:sz="2" w:space="0" w:color="000000"/>
              <w:left w:val="single" w:sz="2" w:space="0" w:color="000000"/>
              <w:bottom w:val="single" w:sz="2" w:space="0" w:color="000000"/>
              <w:right w:val="single" w:sz="2" w:space="0" w:color="000000"/>
            </w:tcBorders>
            <w:vAlign w:val="center"/>
            <w:hideMark/>
          </w:tcPr>
          <w:p w14:paraId="40DF5060" w14:textId="77777777" w:rsidR="001B6F71" w:rsidRPr="00286D0B" w:rsidRDefault="001B6F71" w:rsidP="003D4B5A">
            <w:pPr>
              <w:pStyle w:val="ListEnd"/>
              <w:jc w:val="center"/>
              <w:rPr>
                <w:sz w:val="20"/>
              </w:rPr>
            </w:pPr>
            <w:r w:rsidRPr="00286D0B">
              <w:rPr>
                <w:color w:val="000000"/>
                <w:sz w:val="20"/>
              </w:rPr>
              <w:t>8</w:t>
            </w:r>
          </w:p>
        </w:tc>
        <w:tc>
          <w:tcPr>
            <w:tcW w:w="296" w:type="pct"/>
            <w:tcBorders>
              <w:top w:val="single" w:sz="2" w:space="0" w:color="000000"/>
              <w:left w:val="single" w:sz="2" w:space="0" w:color="000000"/>
              <w:bottom w:val="single" w:sz="2" w:space="0" w:color="000000"/>
              <w:right w:val="single" w:sz="2" w:space="0" w:color="000000"/>
            </w:tcBorders>
            <w:vAlign w:val="center"/>
            <w:hideMark/>
          </w:tcPr>
          <w:p w14:paraId="521B3CC1" w14:textId="77777777" w:rsidR="001B6F71" w:rsidRPr="00286D0B" w:rsidRDefault="001B6F71" w:rsidP="003D4B5A">
            <w:pPr>
              <w:pStyle w:val="ListEnd"/>
              <w:jc w:val="center"/>
              <w:rPr>
                <w:sz w:val="20"/>
              </w:rPr>
            </w:pPr>
            <w:r w:rsidRPr="00286D0B">
              <w:rPr>
                <w:color w:val="000000"/>
                <w:sz w:val="20"/>
              </w:rPr>
              <w:t>9</w:t>
            </w:r>
          </w:p>
        </w:tc>
        <w:tc>
          <w:tcPr>
            <w:tcW w:w="317" w:type="pct"/>
            <w:tcBorders>
              <w:top w:val="single" w:sz="2" w:space="0" w:color="000000"/>
              <w:left w:val="single" w:sz="2" w:space="0" w:color="000000"/>
              <w:bottom w:val="single" w:sz="2" w:space="0" w:color="000000"/>
              <w:right w:val="single" w:sz="2" w:space="0" w:color="000000"/>
            </w:tcBorders>
            <w:vAlign w:val="center"/>
            <w:hideMark/>
          </w:tcPr>
          <w:p w14:paraId="79F695B2" w14:textId="77777777" w:rsidR="001B6F71" w:rsidRPr="00286D0B" w:rsidRDefault="001B6F71" w:rsidP="003D4B5A">
            <w:pPr>
              <w:pStyle w:val="ListEnd"/>
              <w:jc w:val="center"/>
              <w:rPr>
                <w:sz w:val="20"/>
              </w:rPr>
            </w:pPr>
            <w:r w:rsidRPr="00286D0B">
              <w:rPr>
                <w:color w:val="000000"/>
                <w:sz w:val="20"/>
              </w:rPr>
              <w:t>11</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3D9C8DA" w14:textId="77777777" w:rsidR="001B6F71" w:rsidRPr="00286D0B" w:rsidRDefault="001B6F71" w:rsidP="003D4B5A">
            <w:pPr>
              <w:pStyle w:val="ListEnd"/>
              <w:jc w:val="center"/>
              <w:rPr>
                <w:sz w:val="20"/>
              </w:rPr>
            </w:pPr>
            <w:r w:rsidRPr="00286D0B">
              <w:rPr>
                <w:color w:val="000000"/>
                <w:sz w:val="20"/>
              </w:rPr>
              <w:t>12</w:t>
            </w:r>
          </w:p>
        </w:tc>
        <w:tc>
          <w:tcPr>
            <w:tcW w:w="298" w:type="pct"/>
            <w:tcBorders>
              <w:top w:val="single" w:sz="2" w:space="0" w:color="000000"/>
              <w:left w:val="single" w:sz="2" w:space="0" w:color="000000"/>
              <w:bottom w:val="single" w:sz="2" w:space="0" w:color="000000"/>
              <w:right w:val="single" w:sz="2" w:space="0" w:color="000000"/>
            </w:tcBorders>
            <w:vAlign w:val="center"/>
            <w:hideMark/>
          </w:tcPr>
          <w:p w14:paraId="54FAF7FC" w14:textId="77777777" w:rsidR="001B6F71" w:rsidRPr="00286D0B" w:rsidRDefault="001B6F71" w:rsidP="003D4B5A">
            <w:pPr>
              <w:pStyle w:val="ListEnd"/>
              <w:jc w:val="center"/>
              <w:rPr>
                <w:sz w:val="20"/>
              </w:rPr>
            </w:pPr>
            <w:r w:rsidRPr="00286D0B">
              <w:rPr>
                <w:color w:val="000000"/>
                <w:sz w:val="20"/>
              </w:rPr>
              <w:t>14</w:t>
            </w:r>
          </w:p>
        </w:tc>
        <w:tc>
          <w:tcPr>
            <w:tcW w:w="338" w:type="pct"/>
            <w:tcBorders>
              <w:top w:val="single" w:sz="2" w:space="0" w:color="000000"/>
              <w:left w:val="single" w:sz="2" w:space="0" w:color="000000"/>
              <w:bottom w:val="single" w:sz="2" w:space="0" w:color="000000"/>
              <w:right w:val="single" w:sz="2" w:space="0" w:color="000000"/>
            </w:tcBorders>
            <w:vAlign w:val="center"/>
            <w:hideMark/>
          </w:tcPr>
          <w:p w14:paraId="3B085F81" w14:textId="77777777" w:rsidR="001B6F71" w:rsidRPr="00286D0B" w:rsidRDefault="001B6F71" w:rsidP="003D4B5A">
            <w:pPr>
              <w:pStyle w:val="ListEnd"/>
              <w:jc w:val="center"/>
              <w:rPr>
                <w:sz w:val="20"/>
              </w:rPr>
            </w:pPr>
            <w:r w:rsidRPr="00286D0B">
              <w:rPr>
                <w:color w:val="000000"/>
                <w:sz w:val="20"/>
              </w:rPr>
              <w:t>15</w:t>
            </w:r>
          </w:p>
        </w:tc>
        <w:tc>
          <w:tcPr>
            <w:tcW w:w="256" w:type="pct"/>
            <w:tcBorders>
              <w:top w:val="single" w:sz="2" w:space="0" w:color="000000"/>
              <w:left w:val="single" w:sz="2" w:space="0" w:color="000000"/>
              <w:bottom w:val="single" w:sz="2" w:space="0" w:color="000000"/>
              <w:right w:val="single" w:sz="2" w:space="0" w:color="000000"/>
            </w:tcBorders>
            <w:vAlign w:val="center"/>
            <w:hideMark/>
          </w:tcPr>
          <w:p w14:paraId="4B44B35A" w14:textId="77777777" w:rsidR="001B6F71" w:rsidRPr="00286D0B" w:rsidRDefault="001B6F71" w:rsidP="003D4B5A">
            <w:pPr>
              <w:pStyle w:val="ListEnd"/>
              <w:jc w:val="center"/>
              <w:rPr>
                <w:sz w:val="20"/>
              </w:rPr>
            </w:pPr>
            <w:r w:rsidRPr="00286D0B">
              <w:rPr>
                <w:color w:val="000000"/>
                <w:sz w:val="20"/>
              </w:rPr>
              <w:t>17</w:t>
            </w:r>
          </w:p>
        </w:tc>
        <w:tc>
          <w:tcPr>
            <w:tcW w:w="313" w:type="pct"/>
            <w:tcBorders>
              <w:top w:val="single" w:sz="2" w:space="0" w:color="000000"/>
              <w:left w:val="single" w:sz="2" w:space="0" w:color="000000"/>
              <w:bottom w:val="single" w:sz="2" w:space="0" w:color="000000"/>
              <w:right w:val="single" w:sz="2" w:space="0" w:color="000000"/>
            </w:tcBorders>
            <w:vAlign w:val="center"/>
            <w:hideMark/>
          </w:tcPr>
          <w:p w14:paraId="25A15538" w14:textId="77777777" w:rsidR="001B6F71" w:rsidRPr="00286D0B" w:rsidRDefault="001B6F71" w:rsidP="003D4B5A">
            <w:pPr>
              <w:pStyle w:val="ListEnd"/>
              <w:jc w:val="center"/>
              <w:rPr>
                <w:sz w:val="20"/>
              </w:rPr>
            </w:pPr>
            <w:r w:rsidRPr="00286D0B">
              <w:rPr>
                <w:color w:val="000000"/>
                <w:sz w:val="20"/>
              </w:rPr>
              <w:t>18</w:t>
            </w:r>
          </w:p>
        </w:tc>
      </w:tr>
      <w:tr w:rsidR="003D4B5A" w:rsidRPr="00E01459" w14:paraId="701A097A" w14:textId="77777777" w:rsidTr="00286D0B">
        <w:tc>
          <w:tcPr>
            <w:tcW w:w="1291" w:type="pct"/>
            <w:tcBorders>
              <w:top w:val="single" w:sz="2" w:space="0" w:color="000000"/>
              <w:left w:val="single" w:sz="2" w:space="0" w:color="000000"/>
              <w:bottom w:val="single" w:sz="2" w:space="0" w:color="000000"/>
              <w:right w:val="single" w:sz="2" w:space="0" w:color="000000"/>
            </w:tcBorders>
            <w:vAlign w:val="center"/>
            <w:hideMark/>
          </w:tcPr>
          <w:p w14:paraId="29443894" w14:textId="77777777" w:rsidR="001B6F71" w:rsidRPr="00286D0B" w:rsidRDefault="001B6F71" w:rsidP="009B7A9A">
            <w:pPr>
              <w:pStyle w:val="ListEnd"/>
              <w:jc w:val="center"/>
              <w:rPr>
                <w:sz w:val="20"/>
              </w:rPr>
            </w:pPr>
            <w:r w:rsidRPr="00286D0B">
              <w:rPr>
                <w:sz w:val="20"/>
              </w:rPr>
              <w:t>250</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93B50C5" w14:textId="77777777" w:rsidR="001B6F71" w:rsidRPr="00286D0B" w:rsidRDefault="001B6F71" w:rsidP="003D4B5A">
            <w:pPr>
              <w:pStyle w:val="ListEnd"/>
              <w:jc w:val="center"/>
              <w:rPr>
                <w:sz w:val="20"/>
              </w:rPr>
            </w:pPr>
            <w:r w:rsidRPr="00286D0B">
              <w:rPr>
                <w:color w:val="000000"/>
                <w:sz w:val="20"/>
              </w:rPr>
              <w:t>2</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3966897" w14:textId="77777777" w:rsidR="001B6F71" w:rsidRPr="00286D0B" w:rsidRDefault="001B6F71" w:rsidP="003D4B5A">
            <w:pPr>
              <w:pStyle w:val="ListEnd"/>
              <w:jc w:val="center"/>
              <w:rPr>
                <w:sz w:val="20"/>
              </w:rPr>
            </w:pPr>
            <w:r w:rsidRPr="00286D0B">
              <w:rPr>
                <w:color w:val="000000"/>
                <w:sz w:val="20"/>
              </w:rPr>
              <w:t>3</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C372639" w14:textId="77777777" w:rsidR="001B6F71" w:rsidRPr="00286D0B" w:rsidRDefault="001B6F71" w:rsidP="003D4B5A">
            <w:pPr>
              <w:pStyle w:val="ListEnd"/>
              <w:jc w:val="center"/>
              <w:rPr>
                <w:sz w:val="20"/>
              </w:rPr>
            </w:pPr>
            <w:r w:rsidRPr="00286D0B">
              <w:rPr>
                <w:color w:val="000000"/>
                <w:sz w:val="20"/>
              </w:rPr>
              <w:t>4</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AC2297A" w14:textId="77777777" w:rsidR="001B6F71" w:rsidRPr="00286D0B" w:rsidRDefault="001B6F71" w:rsidP="003D4B5A">
            <w:pPr>
              <w:pStyle w:val="ListEnd"/>
              <w:jc w:val="center"/>
              <w:rPr>
                <w:sz w:val="20"/>
              </w:rPr>
            </w:pPr>
            <w:r w:rsidRPr="00286D0B">
              <w:rPr>
                <w:color w:val="000000"/>
                <w:sz w:val="20"/>
              </w:rPr>
              <w:t>6</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5BE262D" w14:textId="77777777" w:rsidR="001B6F71" w:rsidRPr="00286D0B" w:rsidRDefault="001B6F71" w:rsidP="003D4B5A">
            <w:pPr>
              <w:pStyle w:val="ListEnd"/>
              <w:jc w:val="center"/>
              <w:rPr>
                <w:sz w:val="20"/>
              </w:rPr>
            </w:pPr>
            <w:r w:rsidRPr="00286D0B">
              <w:rPr>
                <w:color w:val="000000"/>
                <w:sz w:val="20"/>
              </w:rPr>
              <w:t>8</w:t>
            </w:r>
          </w:p>
        </w:tc>
        <w:tc>
          <w:tcPr>
            <w:tcW w:w="334" w:type="pct"/>
            <w:tcBorders>
              <w:top w:val="single" w:sz="2" w:space="0" w:color="000000"/>
              <w:left w:val="single" w:sz="2" w:space="0" w:color="000000"/>
              <w:bottom w:val="single" w:sz="2" w:space="0" w:color="000000"/>
              <w:right w:val="single" w:sz="2" w:space="0" w:color="000000"/>
            </w:tcBorders>
            <w:vAlign w:val="center"/>
            <w:hideMark/>
          </w:tcPr>
          <w:p w14:paraId="4ACB8C06" w14:textId="77777777" w:rsidR="001B6F71" w:rsidRPr="00286D0B" w:rsidRDefault="001B6F71" w:rsidP="003D4B5A">
            <w:pPr>
              <w:pStyle w:val="ListEnd"/>
              <w:jc w:val="center"/>
              <w:rPr>
                <w:sz w:val="20"/>
              </w:rPr>
            </w:pPr>
            <w:r w:rsidRPr="00286D0B">
              <w:rPr>
                <w:color w:val="000000"/>
                <w:sz w:val="20"/>
              </w:rPr>
              <w:t>9</w:t>
            </w:r>
          </w:p>
        </w:tc>
        <w:tc>
          <w:tcPr>
            <w:tcW w:w="296" w:type="pct"/>
            <w:tcBorders>
              <w:top w:val="single" w:sz="2" w:space="0" w:color="000000"/>
              <w:left w:val="single" w:sz="2" w:space="0" w:color="000000"/>
              <w:bottom w:val="single" w:sz="2" w:space="0" w:color="000000"/>
              <w:right w:val="single" w:sz="2" w:space="0" w:color="000000"/>
            </w:tcBorders>
            <w:vAlign w:val="center"/>
            <w:hideMark/>
          </w:tcPr>
          <w:p w14:paraId="7DC7AFCC" w14:textId="77777777" w:rsidR="001B6F71" w:rsidRPr="00286D0B" w:rsidRDefault="001B6F71" w:rsidP="003D4B5A">
            <w:pPr>
              <w:pStyle w:val="ListEnd"/>
              <w:jc w:val="center"/>
              <w:rPr>
                <w:sz w:val="20"/>
              </w:rPr>
            </w:pPr>
            <w:r w:rsidRPr="00286D0B">
              <w:rPr>
                <w:color w:val="000000"/>
                <w:sz w:val="20"/>
              </w:rPr>
              <w:t>11</w:t>
            </w:r>
          </w:p>
        </w:tc>
        <w:tc>
          <w:tcPr>
            <w:tcW w:w="317" w:type="pct"/>
            <w:tcBorders>
              <w:top w:val="single" w:sz="2" w:space="0" w:color="000000"/>
              <w:left w:val="single" w:sz="2" w:space="0" w:color="000000"/>
              <w:bottom w:val="single" w:sz="2" w:space="0" w:color="000000"/>
              <w:right w:val="single" w:sz="2" w:space="0" w:color="000000"/>
            </w:tcBorders>
            <w:vAlign w:val="center"/>
            <w:hideMark/>
          </w:tcPr>
          <w:p w14:paraId="70B01B58" w14:textId="77777777" w:rsidR="001B6F71" w:rsidRPr="00286D0B" w:rsidRDefault="001B6F71" w:rsidP="003D4B5A">
            <w:pPr>
              <w:pStyle w:val="ListEnd"/>
              <w:jc w:val="center"/>
              <w:rPr>
                <w:sz w:val="20"/>
              </w:rPr>
            </w:pPr>
            <w:r w:rsidRPr="00286D0B">
              <w:rPr>
                <w:color w:val="000000"/>
                <w:sz w:val="20"/>
              </w:rPr>
              <w:t>13</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F15F116" w14:textId="77777777" w:rsidR="001B6F71" w:rsidRPr="00286D0B" w:rsidRDefault="001B6F71" w:rsidP="003D4B5A">
            <w:pPr>
              <w:pStyle w:val="ListEnd"/>
              <w:jc w:val="center"/>
              <w:rPr>
                <w:sz w:val="20"/>
              </w:rPr>
            </w:pPr>
            <w:r w:rsidRPr="00286D0B">
              <w:rPr>
                <w:color w:val="000000"/>
                <w:sz w:val="20"/>
              </w:rPr>
              <w:t>15</w:t>
            </w:r>
          </w:p>
        </w:tc>
        <w:tc>
          <w:tcPr>
            <w:tcW w:w="298" w:type="pct"/>
            <w:tcBorders>
              <w:top w:val="single" w:sz="2" w:space="0" w:color="000000"/>
              <w:left w:val="single" w:sz="2" w:space="0" w:color="000000"/>
              <w:bottom w:val="single" w:sz="2" w:space="0" w:color="000000"/>
              <w:right w:val="single" w:sz="2" w:space="0" w:color="000000"/>
            </w:tcBorders>
            <w:vAlign w:val="center"/>
            <w:hideMark/>
          </w:tcPr>
          <w:p w14:paraId="77CEA50B" w14:textId="77777777" w:rsidR="001B6F71" w:rsidRPr="00286D0B" w:rsidRDefault="001B6F71" w:rsidP="003D4B5A">
            <w:pPr>
              <w:pStyle w:val="ListEnd"/>
              <w:jc w:val="center"/>
              <w:rPr>
                <w:sz w:val="20"/>
              </w:rPr>
            </w:pPr>
            <w:r w:rsidRPr="00286D0B">
              <w:rPr>
                <w:color w:val="000000"/>
                <w:sz w:val="20"/>
              </w:rPr>
              <w:t>17</w:t>
            </w:r>
          </w:p>
        </w:tc>
        <w:tc>
          <w:tcPr>
            <w:tcW w:w="338" w:type="pct"/>
            <w:tcBorders>
              <w:top w:val="single" w:sz="2" w:space="0" w:color="000000"/>
              <w:left w:val="single" w:sz="2" w:space="0" w:color="000000"/>
              <w:bottom w:val="single" w:sz="2" w:space="0" w:color="000000"/>
              <w:right w:val="single" w:sz="2" w:space="0" w:color="000000"/>
            </w:tcBorders>
            <w:vAlign w:val="center"/>
            <w:hideMark/>
          </w:tcPr>
          <w:p w14:paraId="4D9E7ED9" w14:textId="77777777" w:rsidR="001B6F71" w:rsidRPr="00286D0B" w:rsidRDefault="001B6F71" w:rsidP="003D4B5A">
            <w:pPr>
              <w:pStyle w:val="ListEnd"/>
              <w:jc w:val="center"/>
              <w:rPr>
                <w:sz w:val="20"/>
              </w:rPr>
            </w:pPr>
            <w:r w:rsidRPr="00286D0B">
              <w:rPr>
                <w:color w:val="000000"/>
                <w:sz w:val="20"/>
              </w:rPr>
              <w:t>19</w:t>
            </w:r>
          </w:p>
        </w:tc>
        <w:tc>
          <w:tcPr>
            <w:tcW w:w="256" w:type="pct"/>
            <w:tcBorders>
              <w:top w:val="single" w:sz="2" w:space="0" w:color="000000"/>
              <w:left w:val="single" w:sz="2" w:space="0" w:color="000000"/>
              <w:bottom w:val="single" w:sz="2" w:space="0" w:color="000000"/>
              <w:right w:val="single" w:sz="2" w:space="0" w:color="000000"/>
            </w:tcBorders>
            <w:vAlign w:val="center"/>
            <w:hideMark/>
          </w:tcPr>
          <w:p w14:paraId="54751B61" w14:textId="77777777" w:rsidR="001B6F71" w:rsidRPr="00286D0B" w:rsidRDefault="001B6F71" w:rsidP="003D4B5A">
            <w:pPr>
              <w:pStyle w:val="ListEnd"/>
              <w:jc w:val="center"/>
              <w:rPr>
                <w:sz w:val="20"/>
              </w:rPr>
            </w:pPr>
            <w:r w:rsidRPr="00286D0B">
              <w:rPr>
                <w:color w:val="000000"/>
                <w:sz w:val="20"/>
              </w:rPr>
              <w:t>21</w:t>
            </w:r>
          </w:p>
        </w:tc>
        <w:tc>
          <w:tcPr>
            <w:tcW w:w="313" w:type="pct"/>
            <w:tcBorders>
              <w:top w:val="single" w:sz="2" w:space="0" w:color="000000"/>
              <w:left w:val="single" w:sz="2" w:space="0" w:color="000000"/>
              <w:bottom w:val="single" w:sz="2" w:space="0" w:color="000000"/>
              <w:right w:val="single" w:sz="2" w:space="0" w:color="000000"/>
            </w:tcBorders>
            <w:vAlign w:val="center"/>
            <w:hideMark/>
          </w:tcPr>
          <w:p w14:paraId="2BA83C32" w14:textId="77777777" w:rsidR="001B6F71" w:rsidRPr="00286D0B" w:rsidRDefault="001B6F71" w:rsidP="003D4B5A">
            <w:pPr>
              <w:pStyle w:val="ListEnd"/>
              <w:jc w:val="center"/>
              <w:rPr>
                <w:sz w:val="20"/>
              </w:rPr>
            </w:pPr>
            <w:r w:rsidRPr="00286D0B">
              <w:rPr>
                <w:color w:val="000000"/>
                <w:sz w:val="20"/>
              </w:rPr>
              <w:t>23</w:t>
            </w:r>
          </w:p>
        </w:tc>
      </w:tr>
      <w:tr w:rsidR="003D4B5A" w:rsidRPr="00E01459" w14:paraId="4439C048" w14:textId="77777777" w:rsidTr="00286D0B">
        <w:tc>
          <w:tcPr>
            <w:tcW w:w="1291" w:type="pct"/>
            <w:tcBorders>
              <w:top w:val="single" w:sz="2" w:space="0" w:color="000000"/>
              <w:left w:val="single" w:sz="2" w:space="0" w:color="000000"/>
              <w:bottom w:val="single" w:sz="2" w:space="0" w:color="000000"/>
              <w:right w:val="single" w:sz="2" w:space="0" w:color="000000"/>
            </w:tcBorders>
            <w:vAlign w:val="center"/>
            <w:hideMark/>
          </w:tcPr>
          <w:p w14:paraId="31EA79D1" w14:textId="77777777" w:rsidR="001B6F71" w:rsidRPr="00286D0B" w:rsidRDefault="001B6F71" w:rsidP="009B7A9A">
            <w:pPr>
              <w:pStyle w:val="ListEnd"/>
              <w:jc w:val="center"/>
              <w:rPr>
                <w:sz w:val="20"/>
              </w:rPr>
            </w:pPr>
            <w:r w:rsidRPr="00286D0B">
              <w:rPr>
                <w:sz w:val="20"/>
              </w:rPr>
              <w:t>300</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B50215E" w14:textId="77777777" w:rsidR="001B6F71" w:rsidRPr="00286D0B" w:rsidRDefault="001B6F71" w:rsidP="003D4B5A">
            <w:pPr>
              <w:pStyle w:val="ListEnd"/>
              <w:jc w:val="center"/>
              <w:rPr>
                <w:sz w:val="20"/>
              </w:rPr>
            </w:pPr>
            <w:r w:rsidRPr="00286D0B">
              <w:rPr>
                <w:color w:val="000000"/>
                <w:sz w:val="20"/>
              </w:rPr>
              <w:t>2</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1C1CCFD8" w14:textId="77777777" w:rsidR="001B6F71" w:rsidRPr="00286D0B" w:rsidRDefault="001B6F71" w:rsidP="003D4B5A">
            <w:pPr>
              <w:pStyle w:val="ListEnd"/>
              <w:jc w:val="center"/>
              <w:rPr>
                <w:sz w:val="20"/>
              </w:rPr>
            </w:pPr>
            <w:r w:rsidRPr="00286D0B">
              <w:rPr>
                <w:color w:val="000000"/>
                <w:sz w:val="20"/>
              </w:rPr>
              <w:t>3</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185E49E4" w14:textId="77777777" w:rsidR="001B6F71" w:rsidRPr="00286D0B" w:rsidRDefault="001B6F71" w:rsidP="003D4B5A">
            <w:pPr>
              <w:pStyle w:val="ListEnd"/>
              <w:jc w:val="center"/>
              <w:rPr>
                <w:sz w:val="20"/>
              </w:rPr>
            </w:pPr>
            <w:r w:rsidRPr="00286D0B">
              <w:rPr>
                <w:color w:val="000000"/>
                <w:sz w:val="20"/>
              </w:rPr>
              <w:t>5</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445810C" w14:textId="77777777" w:rsidR="001B6F71" w:rsidRPr="00286D0B" w:rsidRDefault="001B6F71" w:rsidP="003D4B5A">
            <w:pPr>
              <w:pStyle w:val="ListEnd"/>
              <w:jc w:val="center"/>
              <w:rPr>
                <w:sz w:val="20"/>
              </w:rPr>
            </w:pPr>
            <w:r w:rsidRPr="00286D0B">
              <w:rPr>
                <w:color w:val="000000"/>
                <w:sz w:val="20"/>
              </w:rPr>
              <w:t>7</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974A5AB" w14:textId="77777777" w:rsidR="001B6F71" w:rsidRPr="00286D0B" w:rsidRDefault="001B6F71" w:rsidP="003D4B5A">
            <w:pPr>
              <w:pStyle w:val="ListEnd"/>
              <w:jc w:val="center"/>
              <w:rPr>
                <w:sz w:val="20"/>
              </w:rPr>
            </w:pPr>
            <w:r w:rsidRPr="00286D0B">
              <w:rPr>
                <w:color w:val="000000"/>
                <w:sz w:val="20"/>
              </w:rPr>
              <w:t>9</w:t>
            </w:r>
          </w:p>
        </w:tc>
        <w:tc>
          <w:tcPr>
            <w:tcW w:w="334" w:type="pct"/>
            <w:tcBorders>
              <w:top w:val="single" w:sz="2" w:space="0" w:color="000000"/>
              <w:left w:val="single" w:sz="2" w:space="0" w:color="000000"/>
              <w:bottom w:val="single" w:sz="2" w:space="0" w:color="000000"/>
              <w:right w:val="single" w:sz="2" w:space="0" w:color="000000"/>
            </w:tcBorders>
            <w:vAlign w:val="center"/>
            <w:hideMark/>
          </w:tcPr>
          <w:p w14:paraId="7B0451C8" w14:textId="77777777" w:rsidR="001B6F71" w:rsidRPr="00286D0B" w:rsidRDefault="001B6F71" w:rsidP="003D4B5A">
            <w:pPr>
              <w:pStyle w:val="ListEnd"/>
              <w:jc w:val="center"/>
              <w:rPr>
                <w:sz w:val="20"/>
              </w:rPr>
            </w:pPr>
            <w:r w:rsidRPr="00286D0B">
              <w:rPr>
                <w:color w:val="000000"/>
                <w:sz w:val="20"/>
              </w:rPr>
              <w:t>11</w:t>
            </w:r>
          </w:p>
        </w:tc>
        <w:tc>
          <w:tcPr>
            <w:tcW w:w="296" w:type="pct"/>
            <w:tcBorders>
              <w:top w:val="single" w:sz="2" w:space="0" w:color="000000"/>
              <w:left w:val="single" w:sz="2" w:space="0" w:color="000000"/>
              <w:bottom w:val="single" w:sz="2" w:space="0" w:color="000000"/>
              <w:right w:val="single" w:sz="2" w:space="0" w:color="000000"/>
            </w:tcBorders>
            <w:vAlign w:val="center"/>
            <w:hideMark/>
          </w:tcPr>
          <w:p w14:paraId="6FC25C7D" w14:textId="77777777" w:rsidR="001B6F71" w:rsidRPr="00286D0B" w:rsidRDefault="001B6F71" w:rsidP="003D4B5A">
            <w:pPr>
              <w:pStyle w:val="ListEnd"/>
              <w:jc w:val="center"/>
              <w:rPr>
                <w:sz w:val="20"/>
              </w:rPr>
            </w:pPr>
            <w:r w:rsidRPr="00286D0B">
              <w:rPr>
                <w:color w:val="000000"/>
                <w:sz w:val="20"/>
              </w:rPr>
              <w:t>14</w:t>
            </w:r>
          </w:p>
        </w:tc>
        <w:tc>
          <w:tcPr>
            <w:tcW w:w="317" w:type="pct"/>
            <w:tcBorders>
              <w:top w:val="single" w:sz="2" w:space="0" w:color="000000"/>
              <w:left w:val="single" w:sz="2" w:space="0" w:color="000000"/>
              <w:bottom w:val="single" w:sz="2" w:space="0" w:color="000000"/>
              <w:right w:val="single" w:sz="2" w:space="0" w:color="000000"/>
            </w:tcBorders>
            <w:vAlign w:val="center"/>
            <w:hideMark/>
          </w:tcPr>
          <w:p w14:paraId="0E632AEA" w14:textId="77777777" w:rsidR="001B6F71" w:rsidRPr="00286D0B" w:rsidRDefault="001B6F71" w:rsidP="003D4B5A">
            <w:pPr>
              <w:pStyle w:val="ListEnd"/>
              <w:jc w:val="center"/>
              <w:rPr>
                <w:sz w:val="20"/>
              </w:rPr>
            </w:pPr>
            <w:r w:rsidRPr="00286D0B">
              <w:rPr>
                <w:color w:val="000000"/>
                <w:sz w:val="20"/>
              </w:rPr>
              <w:t>16</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D71FE18" w14:textId="77777777" w:rsidR="001B6F71" w:rsidRPr="00286D0B" w:rsidRDefault="001B6F71" w:rsidP="003D4B5A">
            <w:pPr>
              <w:pStyle w:val="ListEnd"/>
              <w:jc w:val="center"/>
              <w:rPr>
                <w:sz w:val="20"/>
              </w:rPr>
            </w:pPr>
            <w:r w:rsidRPr="00286D0B">
              <w:rPr>
                <w:color w:val="000000"/>
                <w:sz w:val="20"/>
              </w:rPr>
              <w:t>18</w:t>
            </w:r>
          </w:p>
        </w:tc>
        <w:tc>
          <w:tcPr>
            <w:tcW w:w="298" w:type="pct"/>
            <w:tcBorders>
              <w:top w:val="single" w:sz="2" w:space="0" w:color="000000"/>
              <w:left w:val="single" w:sz="2" w:space="0" w:color="000000"/>
              <w:bottom w:val="single" w:sz="2" w:space="0" w:color="000000"/>
              <w:right w:val="single" w:sz="2" w:space="0" w:color="000000"/>
            </w:tcBorders>
            <w:vAlign w:val="center"/>
            <w:hideMark/>
          </w:tcPr>
          <w:p w14:paraId="692DA333" w14:textId="77777777" w:rsidR="001B6F71" w:rsidRPr="00286D0B" w:rsidRDefault="001B6F71" w:rsidP="003D4B5A">
            <w:pPr>
              <w:pStyle w:val="ListEnd"/>
              <w:jc w:val="center"/>
              <w:rPr>
                <w:sz w:val="20"/>
              </w:rPr>
            </w:pPr>
            <w:r w:rsidRPr="00286D0B">
              <w:rPr>
                <w:color w:val="000000"/>
                <w:sz w:val="20"/>
              </w:rPr>
              <w:t>20</w:t>
            </w:r>
          </w:p>
        </w:tc>
        <w:tc>
          <w:tcPr>
            <w:tcW w:w="338" w:type="pct"/>
            <w:tcBorders>
              <w:top w:val="single" w:sz="2" w:space="0" w:color="000000"/>
              <w:left w:val="single" w:sz="2" w:space="0" w:color="000000"/>
              <w:bottom w:val="single" w:sz="2" w:space="0" w:color="000000"/>
              <w:right w:val="single" w:sz="2" w:space="0" w:color="000000"/>
            </w:tcBorders>
            <w:vAlign w:val="center"/>
            <w:hideMark/>
          </w:tcPr>
          <w:p w14:paraId="16DADC7B" w14:textId="77777777" w:rsidR="001B6F71" w:rsidRPr="00286D0B" w:rsidRDefault="001B6F71" w:rsidP="003D4B5A">
            <w:pPr>
              <w:pStyle w:val="ListEnd"/>
              <w:jc w:val="center"/>
              <w:rPr>
                <w:sz w:val="20"/>
              </w:rPr>
            </w:pPr>
            <w:r w:rsidRPr="00286D0B">
              <w:rPr>
                <w:color w:val="000000"/>
                <w:sz w:val="20"/>
              </w:rPr>
              <w:t>23</w:t>
            </w:r>
          </w:p>
        </w:tc>
        <w:tc>
          <w:tcPr>
            <w:tcW w:w="256" w:type="pct"/>
            <w:tcBorders>
              <w:top w:val="single" w:sz="2" w:space="0" w:color="000000"/>
              <w:left w:val="single" w:sz="2" w:space="0" w:color="000000"/>
              <w:bottom w:val="single" w:sz="2" w:space="0" w:color="000000"/>
              <w:right w:val="single" w:sz="2" w:space="0" w:color="000000"/>
            </w:tcBorders>
            <w:vAlign w:val="center"/>
            <w:hideMark/>
          </w:tcPr>
          <w:p w14:paraId="6549254F" w14:textId="77777777" w:rsidR="001B6F71" w:rsidRPr="00286D0B" w:rsidRDefault="001B6F71" w:rsidP="003D4B5A">
            <w:pPr>
              <w:pStyle w:val="ListEnd"/>
              <w:jc w:val="center"/>
              <w:rPr>
                <w:sz w:val="20"/>
              </w:rPr>
            </w:pPr>
            <w:r w:rsidRPr="00286D0B">
              <w:rPr>
                <w:color w:val="000000"/>
                <w:sz w:val="20"/>
              </w:rPr>
              <w:t>25</w:t>
            </w:r>
          </w:p>
        </w:tc>
        <w:tc>
          <w:tcPr>
            <w:tcW w:w="313" w:type="pct"/>
            <w:tcBorders>
              <w:top w:val="single" w:sz="2" w:space="0" w:color="000000"/>
              <w:left w:val="single" w:sz="2" w:space="0" w:color="000000"/>
              <w:bottom w:val="single" w:sz="2" w:space="0" w:color="000000"/>
              <w:right w:val="single" w:sz="2" w:space="0" w:color="000000"/>
            </w:tcBorders>
            <w:vAlign w:val="center"/>
            <w:hideMark/>
          </w:tcPr>
          <w:p w14:paraId="4229449B" w14:textId="77777777" w:rsidR="001B6F71" w:rsidRPr="00286D0B" w:rsidRDefault="001B6F71" w:rsidP="003D4B5A">
            <w:pPr>
              <w:pStyle w:val="ListEnd"/>
              <w:jc w:val="center"/>
              <w:rPr>
                <w:sz w:val="20"/>
              </w:rPr>
            </w:pPr>
            <w:r w:rsidRPr="00286D0B">
              <w:rPr>
                <w:color w:val="000000"/>
                <w:sz w:val="20"/>
              </w:rPr>
              <w:t>27</w:t>
            </w:r>
          </w:p>
        </w:tc>
      </w:tr>
      <w:tr w:rsidR="003D4B5A" w:rsidRPr="00E01459" w14:paraId="648DF3FE" w14:textId="77777777" w:rsidTr="00286D0B">
        <w:tc>
          <w:tcPr>
            <w:tcW w:w="1291" w:type="pct"/>
            <w:tcBorders>
              <w:top w:val="single" w:sz="2" w:space="0" w:color="000000"/>
              <w:left w:val="single" w:sz="2" w:space="0" w:color="000000"/>
              <w:bottom w:val="single" w:sz="2" w:space="0" w:color="000000"/>
              <w:right w:val="single" w:sz="2" w:space="0" w:color="000000"/>
            </w:tcBorders>
            <w:vAlign w:val="center"/>
            <w:hideMark/>
          </w:tcPr>
          <w:p w14:paraId="7692590E" w14:textId="77777777" w:rsidR="001B6F71" w:rsidRPr="00286D0B" w:rsidRDefault="001B6F71" w:rsidP="009B7A9A">
            <w:pPr>
              <w:pStyle w:val="ListEnd"/>
              <w:jc w:val="center"/>
              <w:rPr>
                <w:sz w:val="20"/>
              </w:rPr>
            </w:pPr>
            <w:r w:rsidRPr="00286D0B">
              <w:rPr>
                <w:sz w:val="20"/>
              </w:rPr>
              <w:t>350</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76F5230" w14:textId="77777777" w:rsidR="001B6F71" w:rsidRPr="00286D0B" w:rsidRDefault="001B6F71" w:rsidP="003D4B5A">
            <w:pPr>
              <w:pStyle w:val="ListEnd"/>
              <w:jc w:val="center"/>
              <w:rPr>
                <w:sz w:val="20"/>
              </w:rPr>
            </w:pPr>
            <w:r w:rsidRPr="00286D0B">
              <w:rPr>
                <w:color w:val="000000"/>
                <w:sz w:val="20"/>
              </w:rPr>
              <w:t>3</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4B0EF0E" w14:textId="77777777" w:rsidR="001B6F71" w:rsidRPr="00286D0B" w:rsidRDefault="001B6F71" w:rsidP="003D4B5A">
            <w:pPr>
              <w:pStyle w:val="ListEnd"/>
              <w:jc w:val="center"/>
              <w:rPr>
                <w:sz w:val="20"/>
              </w:rPr>
            </w:pPr>
            <w:r w:rsidRPr="00286D0B">
              <w:rPr>
                <w:color w:val="000000"/>
                <w:sz w:val="20"/>
              </w:rPr>
              <w:t>4</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2CFA9FB" w14:textId="77777777" w:rsidR="001B6F71" w:rsidRPr="00286D0B" w:rsidRDefault="001B6F71" w:rsidP="003D4B5A">
            <w:pPr>
              <w:pStyle w:val="ListEnd"/>
              <w:jc w:val="center"/>
              <w:rPr>
                <w:sz w:val="20"/>
              </w:rPr>
            </w:pPr>
            <w:r w:rsidRPr="00286D0B">
              <w:rPr>
                <w:color w:val="000000"/>
                <w:sz w:val="20"/>
              </w:rPr>
              <w:t>5</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3B8B701" w14:textId="77777777" w:rsidR="001B6F71" w:rsidRPr="00286D0B" w:rsidRDefault="001B6F71" w:rsidP="003D4B5A">
            <w:pPr>
              <w:pStyle w:val="ListEnd"/>
              <w:jc w:val="center"/>
              <w:rPr>
                <w:sz w:val="20"/>
              </w:rPr>
            </w:pPr>
            <w:r w:rsidRPr="00286D0B">
              <w:rPr>
                <w:color w:val="000000"/>
                <w:sz w:val="20"/>
              </w:rPr>
              <w:t>8</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1051A3BE" w14:textId="77777777" w:rsidR="001B6F71" w:rsidRPr="00286D0B" w:rsidRDefault="001B6F71" w:rsidP="003D4B5A">
            <w:pPr>
              <w:pStyle w:val="ListEnd"/>
              <w:jc w:val="center"/>
              <w:rPr>
                <w:sz w:val="20"/>
              </w:rPr>
            </w:pPr>
            <w:r w:rsidRPr="00286D0B">
              <w:rPr>
                <w:color w:val="000000"/>
                <w:sz w:val="20"/>
              </w:rPr>
              <w:t>11</w:t>
            </w:r>
          </w:p>
        </w:tc>
        <w:tc>
          <w:tcPr>
            <w:tcW w:w="334" w:type="pct"/>
            <w:tcBorders>
              <w:top w:val="single" w:sz="2" w:space="0" w:color="000000"/>
              <w:left w:val="single" w:sz="2" w:space="0" w:color="000000"/>
              <w:bottom w:val="single" w:sz="2" w:space="0" w:color="000000"/>
              <w:right w:val="single" w:sz="2" w:space="0" w:color="000000"/>
            </w:tcBorders>
            <w:vAlign w:val="center"/>
            <w:hideMark/>
          </w:tcPr>
          <w:p w14:paraId="27037CAD" w14:textId="77777777" w:rsidR="001B6F71" w:rsidRPr="00286D0B" w:rsidRDefault="001B6F71" w:rsidP="003D4B5A">
            <w:pPr>
              <w:pStyle w:val="ListEnd"/>
              <w:jc w:val="center"/>
              <w:rPr>
                <w:sz w:val="20"/>
              </w:rPr>
            </w:pPr>
            <w:r w:rsidRPr="00286D0B">
              <w:rPr>
                <w:color w:val="000000"/>
                <w:sz w:val="20"/>
              </w:rPr>
              <w:t>13</w:t>
            </w:r>
          </w:p>
        </w:tc>
        <w:tc>
          <w:tcPr>
            <w:tcW w:w="296" w:type="pct"/>
            <w:tcBorders>
              <w:top w:val="single" w:sz="2" w:space="0" w:color="000000"/>
              <w:left w:val="single" w:sz="2" w:space="0" w:color="000000"/>
              <w:bottom w:val="single" w:sz="2" w:space="0" w:color="000000"/>
              <w:right w:val="single" w:sz="2" w:space="0" w:color="000000"/>
            </w:tcBorders>
            <w:vAlign w:val="center"/>
            <w:hideMark/>
          </w:tcPr>
          <w:p w14:paraId="4BD2CBB8" w14:textId="77777777" w:rsidR="001B6F71" w:rsidRPr="00286D0B" w:rsidRDefault="001B6F71" w:rsidP="003D4B5A">
            <w:pPr>
              <w:pStyle w:val="ListEnd"/>
              <w:jc w:val="center"/>
              <w:rPr>
                <w:sz w:val="20"/>
              </w:rPr>
            </w:pPr>
            <w:r w:rsidRPr="00286D0B">
              <w:rPr>
                <w:color w:val="000000"/>
                <w:sz w:val="20"/>
              </w:rPr>
              <w:t>16</w:t>
            </w:r>
          </w:p>
        </w:tc>
        <w:tc>
          <w:tcPr>
            <w:tcW w:w="317" w:type="pct"/>
            <w:tcBorders>
              <w:top w:val="single" w:sz="2" w:space="0" w:color="000000"/>
              <w:left w:val="single" w:sz="2" w:space="0" w:color="000000"/>
              <w:bottom w:val="single" w:sz="2" w:space="0" w:color="000000"/>
              <w:right w:val="single" w:sz="2" w:space="0" w:color="000000"/>
            </w:tcBorders>
            <w:vAlign w:val="center"/>
            <w:hideMark/>
          </w:tcPr>
          <w:p w14:paraId="70DE27A2" w14:textId="77777777" w:rsidR="001B6F71" w:rsidRPr="00286D0B" w:rsidRDefault="001B6F71" w:rsidP="003D4B5A">
            <w:pPr>
              <w:pStyle w:val="ListEnd"/>
              <w:jc w:val="center"/>
              <w:rPr>
                <w:sz w:val="20"/>
              </w:rPr>
            </w:pPr>
            <w:r w:rsidRPr="00286D0B">
              <w:rPr>
                <w:color w:val="000000"/>
                <w:sz w:val="20"/>
              </w:rPr>
              <w:t>19</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15A3713C" w14:textId="77777777" w:rsidR="001B6F71" w:rsidRPr="00286D0B" w:rsidRDefault="001B6F71" w:rsidP="003D4B5A">
            <w:pPr>
              <w:pStyle w:val="ListEnd"/>
              <w:jc w:val="center"/>
              <w:rPr>
                <w:sz w:val="20"/>
              </w:rPr>
            </w:pPr>
            <w:r w:rsidRPr="00286D0B">
              <w:rPr>
                <w:color w:val="000000"/>
                <w:sz w:val="20"/>
              </w:rPr>
              <w:t>21</w:t>
            </w:r>
          </w:p>
        </w:tc>
        <w:tc>
          <w:tcPr>
            <w:tcW w:w="298" w:type="pct"/>
            <w:tcBorders>
              <w:top w:val="single" w:sz="2" w:space="0" w:color="000000"/>
              <w:left w:val="single" w:sz="2" w:space="0" w:color="000000"/>
              <w:bottom w:val="single" w:sz="2" w:space="0" w:color="000000"/>
              <w:right w:val="single" w:sz="2" w:space="0" w:color="000000"/>
            </w:tcBorders>
            <w:vAlign w:val="center"/>
            <w:hideMark/>
          </w:tcPr>
          <w:p w14:paraId="3A3BB62E" w14:textId="77777777" w:rsidR="001B6F71" w:rsidRPr="00286D0B" w:rsidRDefault="001B6F71" w:rsidP="003D4B5A">
            <w:pPr>
              <w:pStyle w:val="ListEnd"/>
              <w:jc w:val="center"/>
              <w:rPr>
                <w:sz w:val="20"/>
              </w:rPr>
            </w:pPr>
            <w:r w:rsidRPr="00286D0B">
              <w:rPr>
                <w:color w:val="000000"/>
                <w:sz w:val="20"/>
              </w:rPr>
              <w:t>24</w:t>
            </w:r>
          </w:p>
        </w:tc>
        <w:tc>
          <w:tcPr>
            <w:tcW w:w="338" w:type="pct"/>
            <w:tcBorders>
              <w:top w:val="single" w:sz="2" w:space="0" w:color="000000"/>
              <w:left w:val="single" w:sz="2" w:space="0" w:color="000000"/>
              <w:bottom w:val="single" w:sz="2" w:space="0" w:color="000000"/>
              <w:right w:val="single" w:sz="2" w:space="0" w:color="000000"/>
            </w:tcBorders>
            <w:vAlign w:val="center"/>
            <w:hideMark/>
          </w:tcPr>
          <w:p w14:paraId="1FC8E312" w14:textId="77777777" w:rsidR="001B6F71" w:rsidRPr="00286D0B" w:rsidRDefault="001B6F71" w:rsidP="003D4B5A">
            <w:pPr>
              <w:pStyle w:val="ListEnd"/>
              <w:jc w:val="center"/>
              <w:rPr>
                <w:sz w:val="20"/>
              </w:rPr>
            </w:pPr>
            <w:r w:rsidRPr="00286D0B">
              <w:rPr>
                <w:color w:val="000000"/>
                <w:sz w:val="20"/>
              </w:rPr>
              <w:t>27</w:t>
            </w:r>
          </w:p>
        </w:tc>
        <w:tc>
          <w:tcPr>
            <w:tcW w:w="256" w:type="pct"/>
            <w:tcBorders>
              <w:top w:val="single" w:sz="2" w:space="0" w:color="000000"/>
              <w:left w:val="single" w:sz="2" w:space="0" w:color="000000"/>
              <w:bottom w:val="single" w:sz="2" w:space="0" w:color="000000"/>
              <w:right w:val="single" w:sz="2" w:space="0" w:color="000000"/>
            </w:tcBorders>
            <w:vAlign w:val="center"/>
            <w:hideMark/>
          </w:tcPr>
          <w:p w14:paraId="78BBF3A4" w14:textId="77777777" w:rsidR="001B6F71" w:rsidRPr="00286D0B" w:rsidRDefault="001B6F71" w:rsidP="003D4B5A">
            <w:pPr>
              <w:pStyle w:val="ListEnd"/>
              <w:jc w:val="center"/>
              <w:rPr>
                <w:sz w:val="20"/>
              </w:rPr>
            </w:pPr>
            <w:r w:rsidRPr="00286D0B">
              <w:rPr>
                <w:color w:val="000000"/>
                <w:sz w:val="20"/>
              </w:rPr>
              <w:t>29</w:t>
            </w:r>
          </w:p>
        </w:tc>
        <w:tc>
          <w:tcPr>
            <w:tcW w:w="313" w:type="pct"/>
            <w:tcBorders>
              <w:top w:val="single" w:sz="2" w:space="0" w:color="000000"/>
              <w:left w:val="single" w:sz="2" w:space="0" w:color="000000"/>
              <w:bottom w:val="single" w:sz="2" w:space="0" w:color="000000"/>
              <w:right w:val="single" w:sz="2" w:space="0" w:color="000000"/>
            </w:tcBorders>
            <w:vAlign w:val="center"/>
            <w:hideMark/>
          </w:tcPr>
          <w:p w14:paraId="5D7ECD11" w14:textId="77777777" w:rsidR="001B6F71" w:rsidRPr="00286D0B" w:rsidRDefault="001B6F71" w:rsidP="003D4B5A">
            <w:pPr>
              <w:pStyle w:val="ListEnd"/>
              <w:jc w:val="center"/>
              <w:rPr>
                <w:sz w:val="20"/>
              </w:rPr>
            </w:pPr>
            <w:r w:rsidRPr="00286D0B">
              <w:rPr>
                <w:color w:val="000000"/>
                <w:sz w:val="20"/>
              </w:rPr>
              <w:t>32</w:t>
            </w:r>
          </w:p>
        </w:tc>
      </w:tr>
      <w:tr w:rsidR="003D4B5A" w:rsidRPr="00E01459" w14:paraId="0D6DFBD2" w14:textId="77777777" w:rsidTr="00286D0B">
        <w:trPr>
          <w:trHeight w:val="30"/>
        </w:trPr>
        <w:tc>
          <w:tcPr>
            <w:tcW w:w="1291" w:type="pct"/>
            <w:tcBorders>
              <w:top w:val="single" w:sz="2" w:space="0" w:color="000000"/>
              <w:left w:val="single" w:sz="2" w:space="0" w:color="000000"/>
              <w:bottom w:val="single" w:sz="2" w:space="0" w:color="000000"/>
              <w:right w:val="single" w:sz="2" w:space="0" w:color="000000"/>
            </w:tcBorders>
            <w:vAlign w:val="center"/>
            <w:hideMark/>
          </w:tcPr>
          <w:p w14:paraId="34D649EA" w14:textId="77777777" w:rsidR="001B6F71" w:rsidRPr="00286D0B" w:rsidRDefault="001B6F71" w:rsidP="009B7A9A">
            <w:pPr>
              <w:pStyle w:val="ListEnd"/>
              <w:jc w:val="center"/>
              <w:rPr>
                <w:sz w:val="20"/>
              </w:rPr>
            </w:pPr>
            <w:r w:rsidRPr="00286D0B">
              <w:rPr>
                <w:sz w:val="20"/>
              </w:rPr>
              <w:t>400</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1BDE6C67" w14:textId="77777777" w:rsidR="001B6F71" w:rsidRPr="00286D0B" w:rsidRDefault="001B6F71" w:rsidP="003D4B5A">
            <w:pPr>
              <w:pStyle w:val="ListEnd"/>
              <w:jc w:val="center"/>
              <w:rPr>
                <w:sz w:val="20"/>
              </w:rPr>
            </w:pPr>
            <w:r w:rsidRPr="00286D0B">
              <w:rPr>
                <w:color w:val="000000"/>
                <w:sz w:val="20"/>
              </w:rPr>
              <w:t>3</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EF16F74" w14:textId="77777777" w:rsidR="001B6F71" w:rsidRPr="00286D0B" w:rsidRDefault="001B6F71" w:rsidP="003D4B5A">
            <w:pPr>
              <w:pStyle w:val="ListEnd"/>
              <w:jc w:val="center"/>
              <w:rPr>
                <w:sz w:val="20"/>
              </w:rPr>
            </w:pPr>
            <w:r w:rsidRPr="00286D0B">
              <w:rPr>
                <w:color w:val="000000"/>
                <w:sz w:val="20"/>
              </w:rPr>
              <w:t>5</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F4D8C48" w14:textId="77777777" w:rsidR="001B6F71" w:rsidRPr="00286D0B" w:rsidRDefault="001B6F71" w:rsidP="003D4B5A">
            <w:pPr>
              <w:pStyle w:val="ListEnd"/>
              <w:jc w:val="center"/>
              <w:rPr>
                <w:sz w:val="20"/>
              </w:rPr>
            </w:pPr>
            <w:r w:rsidRPr="00286D0B">
              <w:rPr>
                <w:color w:val="000000"/>
                <w:sz w:val="20"/>
              </w:rPr>
              <w:t>6</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D0B8982" w14:textId="77777777" w:rsidR="001B6F71" w:rsidRPr="00286D0B" w:rsidRDefault="001B6F71" w:rsidP="003D4B5A">
            <w:pPr>
              <w:pStyle w:val="ListEnd"/>
              <w:jc w:val="center"/>
              <w:rPr>
                <w:sz w:val="20"/>
              </w:rPr>
            </w:pPr>
            <w:r w:rsidRPr="00286D0B">
              <w:rPr>
                <w:color w:val="000000"/>
                <w:sz w:val="20"/>
              </w:rPr>
              <w:t>9</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EA73AE2" w14:textId="77777777" w:rsidR="001B6F71" w:rsidRPr="00286D0B" w:rsidRDefault="001B6F71" w:rsidP="003D4B5A">
            <w:pPr>
              <w:pStyle w:val="ListEnd"/>
              <w:jc w:val="center"/>
              <w:rPr>
                <w:sz w:val="20"/>
              </w:rPr>
            </w:pPr>
            <w:r w:rsidRPr="00286D0B">
              <w:rPr>
                <w:color w:val="000000"/>
                <w:sz w:val="20"/>
              </w:rPr>
              <w:t>12</w:t>
            </w:r>
          </w:p>
        </w:tc>
        <w:tc>
          <w:tcPr>
            <w:tcW w:w="334" w:type="pct"/>
            <w:tcBorders>
              <w:top w:val="single" w:sz="2" w:space="0" w:color="000000"/>
              <w:left w:val="single" w:sz="2" w:space="0" w:color="000000"/>
              <w:bottom w:val="single" w:sz="2" w:space="0" w:color="000000"/>
              <w:right w:val="single" w:sz="2" w:space="0" w:color="000000"/>
            </w:tcBorders>
            <w:vAlign w:val="center"/>
            <w:hideMark/>
          </w:tcPr>
          <w:p w14:paraId="208AD748" w14:textId="77777777" w:rsidR="001B6F71" w:rsidRPr="00286D0B" w:rsidRDefault="001B6F71" w:rsidP="003D4B5A">
            <w:pPr>
              <w:pStyle w:val="ListEnd"/>
              <w:jc w:val="center"/>
              <w:rPr>
                <w:sz w:val="20"/>
              </w:rPr>
            </w:pPr>
            <w:r w:rsidRPr="00286D0B">
              <w:rPr>
                <w:color w:val="000000"/>
                <w:sz w:val="20"/>
              </w:rPr>
              <w:t>15</w:t>
            </w:r>
          </w:p>
        </w:tc>
        <w:tc>
          <w:tcPr>
            <w:tcW w:w="296" w:type="pct"/>
            <w:tcBorders>
              <w:top w:val="single" w:sz="2" w:space="0" w:color="000000"/>
              <w:left w:val="single" w:sz="2" w:space="0" w:color="000000"/>
              <w:bottom w:val="single" w:sz="2" w:space="0" w:color="000000"/>
              <w:right w:val="single" w:sz="2" w:space="0" w:color="000000"/>
            </w:tcBorders>
            <w:vAlign w:val="center"/>
            <w:hideMark/>
          </w:tcPr>
          <w:p w14:paraId="09719D48" w14:textId="77777777" w:rsidR="001B6F71" w:rsidRPr="00286D0B" w:rsidRDefault="001B6F71" w:rsidP="003D4B5A">
            <w:pPr>
              <w:pStyle w:val="ListEnd"/>
              <w:jc w:val="center"/>
              <w:rPr>
                <w:sz w:val="20"/>
              </w:rPr>
            </w:pPr>
            <w:r w:rsidRPr="00286D0B">
              <w:rPr>
                <w:color w:val="000000"/>
                <w:sz w:val="20"/>
              </w:rPr>
              <w:t>18</w:t>
            </w:r>
          </w:p>
        </w:tc>
        <w:tc>
          <w:tcPr>
            <w:tcW w:w="317" w:type="pct"/>
            <w:tcBorders>
              <w:top w:val="single" w:sz="2" w:space="0" w:color="000000"/>
              <w:left w:val="single" w:sz="2" w:space="0" w:color="000000"/>
              <w:bottom w:val="single" w:sz="2" w:space="0" w:color="000000"/>
              <w:right w:val="single" w:sz="2" w:space="0" w:color="000000"/>
            </w:tcBorders>
            <w:vAlign w:val="center"/>
            <w:hideMark/>
          </w:tcPr>
          <w:p w14:paraId="66AB8881" w14:textId="77777777" w:rsidR="001B6F71" w:rsidRPr="00286D0B" w:rsidRDefault="001B6F71" w:rsidP="003D4B5A">
            <w:pPr>
              <w:pStyle w:val="ListEnd"/>
              <w:jc w:val="center"/>
              <w:rPr>
                <w:sz w:val="20"/>
              </w:rPr>
            </w:pPr>
            <w:r w:rsidRPr="00286D0B">
              <w:rPr>
                <w:color w:val="000000"/>
                <w:sz w:val="20"/>
              </w:rPr>
              <w:t>21</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DA0A34A" w14:textId="77777777" w:rsidR="001B6F71" w:rsidRPr="00286D0B" w:rsidRDefault="001B6F71" w:rsidP="003D4B5A">
            <w:pPr>
              <w:pStyle w:val="ListEnd"/>
              <w:jc w:val="center"/>
              <w:rPr>
                <w:sz w:val="20"/>
              </w:rPr>
            </w:pPr>
            <w:r w:rsidRPr="00286D0B">
              <w:rPr>
                <w:color w:val="000000"/>
                <w:sz w:val="20"/>
              </w:rPr>
              <w:t>24</w:t>
            </w:r>
          </w:p>
        </w:tc>
        <w:tc>
          <w:tcPr>
            <w:tcW w:w="298" w:type="pct"/>
            <w:tcBorders>
              <w:top w:val="single" w:sz="2" w:space="0" w:color="000000"/>
              <w:left w:val="single" w:sz="2" w:space="0" w:color="000000"/>
              <w:bottom w:val="single" w:sz="2" w:space="0" w:color="000000"/>
              <w:right w:val="single" w:sz="2" w:space="0" w:color="000000"/>
            </w:tcBorders>
            <w:vAlign w:val="center"/>
            <w:hideMark/>
          </w:tcPr>
          <w:p w14:paraId="76A53355" w14:textId="77777777" w:rsidR="001B6F71" w:rsidRPr="00286D0B" w:rsidRDefault="001B6F71" w:rsidP="003D4B5A">
            <w:pPr>
              <w:pStyle w:val="ListEnd"/>
              <w:jc w:val="center"/>
              <w:rPr>
                <w:sz w:val="20"/>
              </w:rPr>
            </w:pPr>
            <w:r w:rsidRPr="00286D0B">
              <w:rPr>
                <w:color w:val="000000"/>
                <w:sz w:val="20"/>
              </w:rPr>
              <w:t>27</w:t>
            </w:r>
          </w:p>
        </w:tc>
        <w:tc>
          <w:tcPr>
            <w:tcW w:w="338" w:type="pct"/>
            <w:tcBorders>
              <w:top w:val="single" w:sz="2" w:space="0" w:color="000000"/>
              <w:left w:val="single" w:sz="2" w:space="0" w:color="000000"/>
              <w:bottom w:val="single" w:sz="2" w:space="0" w:color="000000"/>
              <w:right w:val="single" w:sz="2" w:space="0" w:color="000000"/>
            </w:tcBorders>
            <w:vAlign w:val="center"/>
            <w:hideMark/>
          </w:tcPr>
          <w:p w14:paraId="3AAF41D6" w14:textId="77777777" w:rsidR="001B6F71" w:rsidRPr="00286D0B" w:rsidRDefault="001B6F71" w:rsidP="003D4B5A">
            <w:pPr>
              <w:pStyle w:val="ListEnd"/>
              <w:jc w:val="center"/>
              <w:rPr>
                <w:sz w:val="20"/>
              </w:rPr>
            </w:pPr>
            <w:r w:rsidRPr="00286D0B">
              <w:rPr>
                <w:color w:val="000000"/>
                <w:sz w:val="20"/>
              </w:rPr>
              <w:t>30</w:t>
            </w:r>
          </w:p>
        </w:tc>
        <w:tc>
          <w:tcPr>
            <w:tcW w:w="256" w:type="pct"/>
            <w:tcBorders>
              <w:top w:val="single" w:sz="2" w:space="0" w:color="000000"/>
              <w:left w:val="single" w:sz="2" w:space="0" w:color="000000"/>
              <w:bottom w:val="single" w:sz="2" w:space="0" w:color="000000"/>
              <w:right w:val="single" w:sz="2" w:space="0" w:color="000000"/>
            </w:tcBorders>
            <w:vAlign w:val="center"/>
            <w:hideMark/>
          </w:tcPr>
          <w:p w14:paraId="707D6F41" w14:textId="77777777" w:rsidR="001B6F71" w:rsidRPr="00286D0B" w:rsidRDefault="001B6F71" w:rsidP="003D4B5A">
            <w:pPr>
              <w:pStyle w:val="ListEnd"/>
              <w:jc w:val="center"/>
              <w:rPr>
                <w:sz w:val="20"/>
              </w:rPr>
            </w:pPr>
            <w:r w:rsidRPr="00286D0B">
              <w:rPr>
                <w:color w:val="000000"/>
                <w:sz w:val="20"/>
              </w:rPr>
              <w:t>33</w:t>
            </w:r>
          </w:p>
        </w:tc>
        <w:tc>
          <w:tcPr>
            <w:tcW w:w="313" w:type="pct"/>
            <w:tcBorders>
              <w:top w:val="single" w:sz="2" w:space="0" w:color="000000"/>
              <w:left w:val="single" w:sz="2" w:space="0" w:color="000000"/>
              <w:bottom w:val="single" w:sz="2" w:space="0" w:color="000000"/>
              <w:right w:val="single" w:sz="2" w:space="0" w:color="000000"/>
            </w:tcBorders>
            <w:vAlign w:val="center"/>
            <w:hideMark/>
          </w:tcPr>
          <w:p w14:paraId="1721F984" w14:textId="77777777" w:rsidR="001B6F71" w:rsidRPr="00286D0B" w:rsidRDefault="001B6F71" w:rsidP="003D4B5A">
            <w:pPr>
              <w:pStyle w:val="ListEnd"/>
              <w:jc w:val="center"/>
              <w:rPr>
                <w:sz w:val="20"/>
              </w:rPr>
            </w:pPr>
            <w:r w:rsidRPr="00286D0B">
              <w:rPr>
                <w:color w:val="000000"/>
                <w:sz w:val="20"/>
              </w:rPr>
              <w:t>36</w:t>
            </w:r>
          </w:p>
        </w:tc>
      </w:tr>
      <w:tr w:rsidR="003D4B5A" w:rsidRPr="00E01459" w14:paraId="2DC742FE" w14:textId="77777777" w:rsidTr="00286D0B">
        <w:trPr>
          <w:trHeight w:val="133"/>
        </w:trPr>
        <w:tc>
          <w:tcPr>
            <w:tcW w:w="1291" w:type="pct"/>
            <w:tcBorders>
              <w:top w:val="single" w:sz="2" w:space="0" w:color="000000"/>
              <w:left w:val="single" w:sz="2" w:space="0" w:color="000000"/>
              <w:bottom w:val="single" w:sz="2" w:space="0" w:color="000000"/>
              <w:right w:val="single" w:sz="2" w:space="0" w:color="000000"/>
            </w:tcBorders>
            <w:vAlign w:val="center"/>
            <w:hideMark/>
          </w:tcPr>
          <w:p w14:paraId="4F6269FA" w14:textId="77777777" w:rsidR="001B6F71" w:rsidRPr="00286D0B" w:rsidRDefault="001B6F71" w:rsidP="009B7A9A">
            <w:pPr>
              <w:pStyle w:val="ListEnd"/>
              <w:jc w:val="center"/>
              <w:rPr>
                <w:sz w:val="20"/>
              </w:rPr>
            </w:pPr>
            <w:r w:rsidRPr="00286D0B">
              <w:rPr>
                <w:sz w:val="20"/>
              </w:rPr>
              <w:t>450</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D8868A0" w14:textId="77777777" w:rsidR="001B6F71" w:rsidRPr="00286D0B" w:rsidRDefault="001B6F71" w:rsidP="003D4B5A">
            <w:pPr>
              <w:pStyle w:val="ListEnd"/>
              <w:jc w:val="center"/>
              <w:rPr>
                <w:sz w:val="20"/>
              </w:rPr>
            </w:pPr>
            <w:r w:rsidRPr="00286D0B">
              <w:rPr>
                <w:color w:val="000000"/>
                <w:sz w:val="20"/>
              </w:rPr>
              <w:t>3</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5227C92" w14:textId="77777777" w:rsidR="001B6F71" w:rsidRPr="00286D0B" w:rsidRDefault="001B6F71" w:rsidP="003D4B5A">
            <w:pPr>
              <w:pStyle w:val="ListEnd"/>
              <w:jc w:val="center"/>
              <w:rPr>
                <w:sz w:val="20"/>
              </w:rPr>
            </w:pPr>
            <w:r w:rsidRPr="00286D0B">
              <w:rPr>
                <w:color w:val="000000"/>
                <w:sz w:val="20"/>
              </w:rPr>
              <w:t>5</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711BA97" w14:textId="77777777" w:rsidR="001B6F71" w:rsidRPr="00286D0B" w:rsidRDefault="001B6F71" w:rsidP="003D4B5A">
            <w:pPr>
              <w:pStyle w:val="ListEnd"/>
              <w:jc w:val="center"/>
              <w:rPr>
                <w:sz w:val="20"/>
              </w:rPr>
            </w:pPr>
            <w:r w:rsidRPr="00286D0B">
              <w:rPr>
                <w:color w:val="000000"/>
                <w:sz w:val="20"/>
              </w:rPr>
              <w:t>7</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E300C9E" w14:textId="77777777" w:rsidR="001B6F71" w:rsidRPr="00286D0B" w:rsidRDefault="001B6F71" w:rsidP="003D4B5A">
            <w:pPr>
              <w:pStyle w:val="ListEnd"/>
              <w:jc w:val="center"/>
              <w:rPr>
                <w:sz w:val="20"/>
              </w:rPr>
            </w:pPr>
            <w:r w:rsidRPr="00286D0B">
              <w:rPr>
                <w:color w:val="000000"/>
                <w:sz w:val="20"/>
              </w:rPr>
              <w:t>10</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460FA76" w14:textId="77777777" w:rsidR="001B6F71" w:rsidRPr="00286D0B" w:rsidRDefault="001B6F71" w:rsidP="003D4B5A">
            <w:pPr>
              <w:pStyle w:val="ListEnd"/>
              <w:jc w:val="center"/>
              <w:rPr>
                <w:sz w:val="20"/>
              </w:rPr>
            </w:pPr>
            <w:r w:rsidRPr="00286D0B">
              <w:rPr>
                <w:color w:val="000000"/>
                <w:sz w:val="20"/>
              </w:rPr>
              <w:t>14</w:t>
            </w:r>
          </w:p>
        </w:tc>
        <w:tc>
          <w:tcPr>
            <w:tcW w:w="334" w:type="pct"/>
            <w:tcBorders>
              <w:top w:val="single" w:sz="2" w:space="0" w:color="000000"/>
              <w:left w:val="single" w:sz="2" w:space="0" w:color="000000"/>
              <w:bottom w:val="single" w:sz="2" w:space="0" w:color="000000"/>
              <w:right w:val="single" w:sz="2" w:space="0" w:color="000000"/>
            </w:tcBorders>
            <w:vAlign w:val="center"/>
            <w:hideMark/>
          </w:tcPr>
          <w:p w14:paraId="477584BE" w14:textId="77777777" w:rsidR="001B6F71" w:rsidRPr="00286D0B" w:rsidRDefault="001B6F71" w:rsidP="003D4B5A">
            <w:pPr>
              <w:pStyle w:val="ListEnd"/>
              <w:jc w:val="center"/>
              <w:rPr>
                <w:sz w:val="20"/>
              </w:rPr>
            </w:pPr>
            <w:r w:rsidRPr="00286D0B">
              <w:rPr>
                <w:color w:val="000000"/>
                <w:sz w:val="20"/>
              </w:rPr>
              <w:t>17</w:t>
            </w:r>
          </w:p>
        </w:tc>
        <w:tc>
          <w:tcPr>
            <w:tcW w:w="296" w:type="pct"/>
            <w:tcBorders>
              <w:top w:val="single" w:sz="2" w:space="0" w:color="000000"/>
              <w:left w:val="single" w:sz="2" w:space="0" w:color="000000"/>
              <w:bottom w:val="single" w:sz="2" w:space="0" w:color="000000"/>
              <w:right w:val="single" w:sz="2" w:space="0" w:color="000000"/>
            </w:tcBorders>
            <w:vAlign w:val="center"/>
            <w:hideMark/>
          </w:tcPr>
          <w:p w14:paraId="02723AE1" w14:textId="77777777" w:rsidR="001B6F71" w:rsidRPr="00286D0B" w:rsidRDefault="001B6F71" w:rsidP="003D4B5A">
            <w:pPr>
              <w:pStyle w:val="ListEnd"/>
              <w:jc w:val="center"/>
              <w:rPr>
                <w:sz w:val="20"/>
              </w:rPr>
            </w:pPr>
            <w:r w:rsidRPr="00286D0B">
              <w:rPr>
                <w:color w:val="000000"/>
                <w:sz w:val="20"/>
              </w:rPr>
              <w:t>20</w:t>
            </w:r>
          </w:p>
        </w:tc>
        <w:tc>
          <w:tcPr>
            <w:tcW w:w="317" w:type="pct"/>
            <w:tcBorders>
              <w:top w:val="single" w:sz="2" w:space="0" w:color="000000"/>
              <w:left w:val="single" w:sz="2" w:space="0" w:color="000000"/>
              <w:bottom w:val="single" w:sz="2" w:space="0" w:color="000000"/>
              <w:right w:val="single" w:sz="2" w:space="0" w:color="000000"/>
            </w:tcBorders>
            <w:vAlign w:val="center"/>
            <w:hideMark/>
          </w:tcPr>
          <w:p w14:paraId="734972A5" w14:textId="77777777" w:rsidR="001B6F71" w:rsidRPr="00286D0B" w:rsidRDefault="001B6F71" w:rsidP="003D4B5A">
            <w:pPr>
              <w:pStyle w:val="ListEnd"/>
              <w:jc w:val="center"/>
              <w:rPr>
                <w:sz w:val="20"/>
              </w:rPr>
            </w:pPr>
            <w:r w:rsidRPr="00286D0B">
              <w:rPr>
                <w:color w:val="000000"/>
                <w:sz w:val="20"/>
              </w:rPr>
              <w:t>24</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3C02AE3" w14:textId="77777777" w:rsidR="001B6F71" w:rsidRPr="00286D0B" w:rsidRDefault="001B6F71" w:rsidP="003D4B5A">
            <w:pPr>
              <w:pStyle w:val="ListEnd"/>
              <w:jc w:val="center"/>
              <w:rPr>
                <w:sz w:val="20"/>
              </w:rPr>
            </w:pPr>
            <w:r w:rsidRPr="00286D0B">
              <w:rPr>
                <w:color w:val="000000"/>
                <w:sz w:val="20"/>
              </w:rPr>
              <w:t>27</w:t>
            </w:r>
          </w:p>
        </w:tc>
        <w:tc>
          <w:tcPr>
            <w:tcW w:w="298" w:type="pct"/>
            <w:tcBorders>
              <w:top w:val="single" w:sz="2" w:space="0" w:color="000000"/>
              <w:left w:val="single" w:sz="2" w:space="0" w:color="000000"/>
              <w:bottom w:val="single" w:sz="2" w:space="0" w:color="000000"/>
              <w:right w:val="single" w:sz="2" w:space="0" w:color="000000"/>
            </w:tcBorders>
            <w:vAlign w:val="center"/>
            <w:hideMark/>
          </w:tcPr>
          <w:p w14:paraId="5E3A3C7A" w14:textId="77777777" w:rsidR="001B6F71" w:rsidRPr="00286D0B" w:rsidRDefault="001B6F71" w:rsidP="003D4B5A">
            <w:pPr>
              <w:pStyle w:val="ListEnd"/>
              <w:jc w:val="center"/>
              <w:rPr>
                <w:sz w:val="20"/>
              </w:rPr>
            </w:pPr>
            <w:r w:rsidRPr="00286D0B">
              <w:rPr>
                <w:color w:val="000000"/>
                <w:sz w:val="20"/>
              </w:rPr>
              <w:t>31</w:t>
            </w:r>
          </w:p>
        </w:tc>
        <w:tc>
          <w:tcPr>
            <w:tcW w:w="338" w:type="pct"/>
            <w:tcBorders>
              <w:top w:val="single" w:sz="2" w:space="0" w:color="000000"/>
              <w:left w:val="single" w:sz="2" w:space="0" w:color="000000"/>
              <w:bottom w:val="single" w:sz="2" w:space="0" w:color="000000"/>
              <w:right w:val="single" w:sz="2" w:space="0" w:color="000000"/>
            </w:tcBorders>
            <w:vAlign w:val="center"/>
            <w:hideMark/>
          </w:tcPr>
          <w:p w14:paraId="7B2EF161" w14:textId="77777777" w:rsidR="001B6F71" w:rsidRPr="00286D0B" w:rsidRDefault="001B6F71" w:rsidP="003D4B5A">
            <w:pPr>
              <w:pStyle w:val="ListEnd"/>
              <w:jc w:val="center"/>
              <w:rPr>
                <w:sz w:val="20"/>
              </w:rPr>
            </w:pPr>
            <w:r w:rsidRPr="00286D0B">
              <w:rPr>
                <w:color w:val="000000"/>
                <w:sz w:val="20"/>
              </w:rPr>
              <w:t>34</w:t>
            </w:r>
          </w:p>
        </w:tc>
        <w:tc>
          <w:tcPr>
            <w:tcW w:w="256" w:type="pct"/>
            <w:tcBorders>
              <w:top w:val="single" w:sz="2" w:space="0" w:color="000000"/>
              <w:left w:val="single" w:sz="2" w:space="0" w:color="000000"/>
              <w:bottom w:val="single" w:sz="2" w:space="0" w:color="000000"/>
              <w:right w:val="single" w:sz="2" w:space="0" w:color="000000"/>
            </w:tcBorders>
            <w:vAlign w:val="center"/>
            <w:hideMark/>
          </w:tcPr>
          <w:p w14:paraId="52EF0701" w14:textId="77777777" w:rsidR="001B6F71" w:rsidRPr="00286D0B" w:rsidRDefault="001B6F71" w:rsidP="003D4B5A">
            <w:pPr>
              <w:pStyle w:val="ListEnd"/>
              <w:jc w:val="center"/>
              <w:rPr>
                <w:sz w:val="20"/>
              </w:rPr>
            </w:pPr>
            <w:r w:rsidRPr="00286D0B">
              <w:rPr>
                <w:color w:val="000000"/>
                <w:sz w:val="20"/>
              </w:rPr>
              <w:t>38</w:t>
            </w:r>
          </w:p>
        </w:tc>
        <w:tc>
          <w:tcPr>
            <w:tcW w:w="313" w:type="pct"/>
            <w:tcBorders>
              <w:top w:val="single" w:sz="2" w:space="0" w:color="000000"/>
              <w:left w:val="single" w:sz="2" w:space="0" w:color="000000"/>
              <w:bottom w:val="single" w:sz="2" w:space="0" w:color="000000"/>
              <w:right w:val="single" w:sz="2" w:space="0" w:color="000000"/>
            </w:tcBorders>
            <w:vAlign w:val="center"/>
            <w:hideMark/>
          </w:tcPr>
          <w:p w14:paraId="36EC9971" w14:textId="77777777" w:rsidR="001B6F71" w:rsidRPr="00286D0B" w:rsidRDefault="001B6F71" w:rsidP="003D4B5A">
            <w:pPr>
              <w:pStyle w:val="ListEnd"/>
              <w:jc w:val="center"/>
              <w:rPr>
                <w:sz w:val="20"/>
              </w:rPr>
            </w:pPr>
            <w:r w:rsidRPr="00286D0B">
              <w:rPr>
                <w:color w:val="000000"/>
                <w:sz w:val="20"/>
              </w:rPr>
              <w:t>41</w:t>
            </w:r>
          </w:p>
        </w:tc>
      </w:tr>
      <w:tr w:rsidR="003D4B5A" w:rsidRPr="00E01459" w14:paraId="78FF7630" w14:textId="77777777" w:rsidTr="00286D0B">
        <w:trPr>
          <w:trHeight w:val="295"/>
        </w:trPr>
        <w:tc>
          <w:tcPr>
            <w:tcW w:w="1291" w:type="pct"/>
            <w:tcBorders>
              <w:top w:val="single" w:sz="2" w:space="0" w:color="000000"/>
              <w:left w:val="single" w:sz="2" w:space="0" w:color="000000"/>
              <w:bottom w:val="single" w:sz="2" w:space="0" w:color="000000"/>
              <w:right w:val="single" w:sz="2" w:space="0" w:color="000000"/>
            </w:tcBorders>
            <w:vAlign w:val="center"/>
            <w:hideMark/>
          </w:tcPr>
          <w:p w14:paraId="5061D3ED" w14:textId="77777777" w:rsidR="001B6F71" w:rsidRPr="00286D0B" w:rsidRDefault="001B6F71" w:rsidP="009B7A9A">
            <w:pPr>
              <w:pStyle w:val="ListEnd"/>
              <w:jc w:val="center"/>
              <w:rPr>
                <w:sz w:val="20"/>
              </w:rPr>
            </w:pPr>
            <w:r w:rsidRPr="00286D0B">
              <w:rPr>
                <w:sz w:val="20"/>
              </w:rPr>
              <w:t>500</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40C1A24" w14:textId="77777777" w:rsidR="001B6F71" w:rsidRPr="00286D0B" w:rsidRDefault="001B6F71" w:rsidP="003D4B5A">
            <w:pPr>
              <w:pStyle w:val="ListEnd"/>
              <w:jc w:val="center"/>
              <w:rPr>
                <w:sz w:val="20"/>
              </w:rPr>
            </w:pPr>
            <w:r w:rsidRPr="00286D0B">
              <w:rPr>
                <w:color w:val="000000"/>
                <w:sz w:val="20"/>
              </w:rPr>
              <w:t>4</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F53B842" w14:textId="77777777" w:rsidR="001B6F71" w:rsidRPr="00286D0B" w:rsidRDefault="001B6F71" w:rsidP="003D4B5A">
            <w:pPr>
              <w:pStyle w:val="ListEnd"/>
              <w:jc w:val="center"/>
              <w:rPr>
                <w:sz w:val="20"/>
              </w:rPr>
            </w:pPr>
            <w:r w:rsidRPr="00286D0B">
              <w:rPr>
                <w:color w:val="000000"/>
                <w:sz w:val="20"/>
              </w:rPr>
              <w:t>6</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9D0AC5E" w14:textId="77777777" w:rsidR="001B6F71" w:rsidRPr="00286D0B" w:rsidRDefault="001B6F71" w:rsidP="003D4B5A">
            <w:pPr>
              <w:pStyle w:val="ListEnd"/>
              <w:jc w:val="center"/>
              <w:rPr>
                <w:sz w:val="20"/>
              </w:rPr>
            </w:pPr>
            <w:r w:rsidRPr="00286D0B">
              <w:rPr>
                <w:color w:val="000000"/>
                <w:sz w:val="20"/>
              </w:rPr>
              <w:t>8</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5717DAB" w14:textId="77777777" w:rsidR="001B6F71" w:rsidRPr="00286D0B" w:rsidRDefault="001B6F71" w:rsidP="003D4B5A">
            <w:pPr>
              <w:pStyle w:val="ListEnd"/>
              <w:jc w:val="center"/>
              <w:rPr>
                <w:sz w:val="20"/>
              </w:rPr>
            </w:pPr>
            <w:r w:rsidRPr="00286D0B">
              <w:rPr>
                <w:color w:val="000000"/>
                <w:sz w:val="20"/>
              </w:rPr>
              <w:t>11</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DEEFC22" w14:textId="77777777" w:rsidR="001B6F71" w:rsidRPr="00286D0B" w:rsidRDefault="001B6F71" w:rsidP="003D4B5A">
            <w:pPr>
              <w:pStyle w:val="ListEnd"/>
              <w:jc w:val="center"/>
              <w:rPr>
                <w:sz w:val="20"/>
              </w:rPr>
            </w:pPr>
            <w:r w:rsidRPr="00286D0B">
              <w:rPr>
                <w:color w:val="000000"/>
                <w:sz w:val="20"/>
              </w:rPr>
              <w:t>15</w:t>
            </w:r>
          </w:p>
        </w:tc>
        <w:tc>
          <w:tcPr>
            <w:tcW w:w="334" w:type="pct"/>
            <w:tcBorders>
              <w:top w:val="single" w:sz="2" w:space="0" w:color="000000"/>
              <w:left w:val="single" w:sz="2" w:space="0" w:color="000000"/>
              <w:bottom w:val="single" w:sz="2" w:space="0" w:color="000000"/>
              <w:right w:val="single" w:sz="2" w:space="0" w:color="000000"/>
            </w:tcBorders>
            <w:vAlign w:val="center"/>
            <w:hideMark/>
          </w:tcPr>
          <w:p w14:paraId="544B9D96" w14:textId="77777777" w:rsidR="001B6F71" w:rsidRPr="00286D0B" w:rsidRDefault="001B6F71" w:rsidP="003D4B5A">
            <w:pPr>
              <w:pStyle w:val="ListEnd"/>
              <w:jc w:val="center"/>
              <w:rPr>
                <w:sz w:val="20"/>
              </w:rPr>
            </w:pPr>
            <w:r w:rsidRPr="00286D0B">
              <w:rPr>
                <w:color w:val="000000"/>
                <w:sz w:val="20"/>
              </w:rPr>
              <w:t>19</w:t>
            </w:r>
          </w:p>
        </w:tc>
        <w:tc>
          <w:tcPr>
            <w:tcW w:w="296" w:type="pct"/>
            <w:tcBorders>
              <w:top w:val="single" w:sz="2" w:space="0" w:color="000000"/>
              <w:left w:val="single" w:sz="2" w:space="0" w:color="000000"/>
              <w:bottom w:val="single" w:sz="2" w:space="0" w:color="000000"/>
              <w:right w:val="single" w:sz="2" w:space="0" w:color="000000"/>
            </w:tcBorders>
            <w:vAlign w:val="center"/>
            <w:hideMark/>
          </w:tcPr>
          <w:p w14:paraId="73E9596F" w14:textId="77777777" w:rsidR="001B6F71" w:rsidRPr="00286D0B" w:rsidRDefault="001B6F71" w:rsidP="003D4B5A">
            <w:pPr>
              <w:pStyle w:val="ListEnd"/>
              <w:jc w:val="center"/>
              <w:rPr>
                <w:sz w:val="20"/>
              </w:rPr>
            </w:pPr>
            <w:r w:rsidRPr="00286D0B">
              <w:rPr>
                <w:color w:val="000000"/>
                <w:sz w:val="20"/>
              </w:rPr>
              <w:t>23</w:t>
            </w:r>
          </w:p>
        </w:tc>
        <w:tc>
          <w:tcPr>
            <w:tcW w:w="317" w:type="pct"/>
            <w:tcBorders>
              <w:top w:val="single" w:sz="2" w:space="0" w:color="000000"/>
              <w:left w:val="single" w:sz="2" w:space="0" w:color="000000"/>
              <w:bottom w:val="single" w:sz="2" w:space="0" w:color="000000"/>
              <w:right w:val="single" w:sz="2" w:space="0" w:color="000000"/>
            </w:tcBorders>
            <w:vAlign w:val="center"/>
            <w:hideMark/>
          </w:tcPr>
          <w:p w14:paraId="5A18DE46" w14:textId="77777777" w:rsidR="001B6F71" w:rsidRPr="00286D0B" w:rsidRDefault="001B6F71" w:rsidP="003D4B5A">
            <w:pPr>
              <w:pStyle w:val="ListEnd"/>
              <w:jc w:val="center"/>
              <w:rPr>
                <w:sz w:val="20"/>
              </w:rPr>
            </w:pPr>
            <w:r w:rsidRPr="00286D0B">
              <w:rPr>
                <w:color w:val="000000"/>
                <w:sz w:val="20"/>
              </w:rPr>
              <w:t>27</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7141374" w14:textId="77777777" w:rsidR="001B6F71" w:rsidRPr="00286D0B" w:rsidRDefault="001B6F71" w:rsidP="003D4B5A">
            <w:pPr>
              <w:pStyle w:val="ListEnd"/>
              <w:jc w:val="center"/>
              <w:rPr>
                <w:sz w:val="20"/>
              </w:rPr>
            </w:pPr>
            <w:r w:rsidRPr="00286D0B">
              <w:rPr>
                <w:color w:val="000000"/>
                <w:sz w:val="20"/>
              </w:rPr>
              <w:t>30</w:t>
            </w:r>
          </w:p>
        </w:tc>
        <w:tc>
          <w:tcPr>
            <w:tcW w:w="298" w:type="pct"/>
            <w:tcBorders>
              <w:top w:val="single" w:sz="2" w:space="0" w:color="000000"/>
              <w:left w:val="single" w:sz="2" w:space="0" w:color="000000"/>
              <w:bottom w:val="single" w:sz="2" w:space="0" w:color="000000"/>
              <w:right w:val="single" w:sz="2" w:space="0" w:color="000000"/>
            </w:tcBorders>
            <w:vAlign w:val="center"/>
            <w:hideMark/>
          </w:tcPr>
          <w:p w14:paraId="283AEB76" w14:textId="77777777" w:rsidR="001B6F71" w:rsidRPr="00286D0B" w:rsidRDefault="001B6F71" w:rsidP="003D4B5A">
            <w:pPr>
              <w:pStyle w:val="ListEnd"/>
              <w:jc w:val="center"/>
              <w:rPr>
                <w:sz w:val="20"/>
              </w:rPr>
            </w:pPr>
            <w:r w:rsidRPr="00286D0B">
              <w:rPr>
                <w:color w:val="000000"/>
                <w:sz w:val="20"/>
              </w:rPr>
              <w:t>34</w:t>
            </w:r>
          </w:p>
        </w:tc>
        <w:tc>
          <w:tcPr>
            <w:tcW w:w="338" w:type="pct"/>
            <w:tcBorders>
              <w:top w:val="single" w:sz="2" w:space="0" w:color="000000"/>
              <w:left w:val="single" w:sz="2" w:space="0" w:color="000000"/>
              <w:bottom w:val="single" w:sz="2" w:space="0" w:color="000000"/>
              <w:right w:val="single" w:sz="2" w:space="0" w:color="000000"/>
            </w:tcBorders>
            <w:vAlign w:val="center"/>
            <w:hideMark/>
          </w:tcPr>
          <w:p w14:paraId="7767C8AF" w14:textId="77777777" w:rsidR="001B6F71" w:rsidRPr="00286D0B" w:rsidRDefault="001B6F71" w:rsidP="003D4B5A">
            <w:pPr>
              <w:pStyle w:val="ListEnd"/>
              <w:jc w:val="center"/>
              <w:rPr>
                <w:sz w:val="20"/>
              </w:rPr>
            </w:pPr>
            <w:r w:rsidRPr="00286D0B">
              <w:rPr>
                <w:color w:val="000000"/>
                <w:sz w:val="20"/>
              </w:rPr>
              <w:t>38</w:t>
            </w:r>
          </w:p>
        </w:tc>
        <w:tc>
          <w:tcPr>
            <w:tcW w:w="256" w:type="pct"/>
            <w:tcBorders>
              <w:top w:val="single" w:sz="2" w:space="0" w:color="000000"/>
              <w:left w:val="single" w:sz="2" w:space="0" w:color="000000"/>
              <w:bottom w:val="single" w:sz="2" w:space="0" w:color="000000"/>
              <w:right w:val="single" w:sz="2" w:space="0" w:color="000000"/>
            </w:tcBorders>
            <w:vAlign w:val="center"/>
            <w:hideMark/>
          </w:tcPr>
          <w:p w14:paraId="638AD1F7" w14:textId="77777777" w:rsidR="001B6F71" w:rsidRPr="00286D0B" w:rsidRDefault="001B6F71" w:rsidP="003D4B5A">
            <w:pPr>
              <w:pStyle w:val="ListEnd"/>
              <w:jc w:val="center"/>
              <w:rPr>
                <w:sz w:val="20"/>
              </w:rPr>
            </w:pPr>
            <w:r w:rsidRPr="00286D0B">
              <w:rPr>
                <w:color w:val="000000"/>
                <w:sz w:val="20"/>
              </w:rPr>
              <w:t>42</w:t>
            </w:r>
          </w:p>
        </w:tc>
        <w:tc>
          <w:tcPr>
            <w:tcW w:w="313" w:type="pct"/>
            <w:tcBorders>
              <w:top w:val="single" w:sz="2" w:space="0" w:color="000000"/>
              <w:left w:val="single" w:sz="2" w:space="0" w:color="000000"/>
              <w:bottom w:val="single" w:sz="2" w:space="0" w:color="000000"/>
              <w:right w:val="single" w:sz="2" w:space="0" w:color="000000"/>
            </w:tcBorders>
            <w:vAlign w:val="center"/>
            <w:hideMark/>
          </w:tcPr>
          <w:p w14:paraId="5FA5DC40" w14:textId="77777777" w:rsidR="001B6F71" w:rsidRPr="00286D0B" w:rsidRDefault="001B6F71" w:rsidP="003D4B5A">
            <w:pPr>
              <w:pStyle w:val="ListEnd"/>
              <w:jc w:val="center"/>
              <w:rPr>
                <w:sz w:val="20"/>
              </w:rPr>
            </w:pPr>
            <w:r w:rsidRPr="00286D0B">
              <w:rPr>
                <w:color w:val="000000"/>
                <w:sz w:val="20"/>
              </w:rPr>
              <w:t>45</w:t>
            </w:r>
          </w:p>
        </w:tc>
      </w:tr>
      <w:tr w:rsidR="00286D0B" w:rsidRPr="00E01459" w14:paraId="135C3062" w14:textId="77777777" w:rsidTr="003D4B5A">
        <w:trPr>
          <w:trHeight w:val="115"/>
        </w:trPr>
        <w:tc>
          <w:tcPr>
            <w:tcW w:w="5000" w:type="pct"/>
            <w:gridSpan w:val="14"/>
            <w:tcBorders>
              <w:top w:val="single" w:sz="2" w:space="0" w:color="000000"/>
              <w:left w:val="nil"/>
              <w:bottom w:val="nil"/>
              <w:right w:val="nil"/>
            </w:tcBorders>
            <w:vAlign w:val="center"/>
            <w:hideMark/>
          </w:tcPr>
          <w:p w14:paraId="7B6601B3" w14:textId="77777777" w:rsidR="001B6F71" w:rsidRPr="00286D0B" w:rsidRDefault="00341C10" w:rsidP="00286D0B">
            <w:pPr>
              <w:pStyle w:val="TableFootnoteSymbol"/>
              <w:tabs>
                <w:tab w:val="left" w:pos="175"/>
              </w:tabs>
              <w:ind w:left="180" w:hanging="180"/>
              <w:rPr>
                <w:szCs w:val="20"/>
              </w:rPr>
            </w:pPr>
            <w:r w:rsidRPr="00286D0B">
              <w:rPr>
                <w:szCs w:val="20"/>
                <w:vertAlign w:val="superscript"/>
              </w:rPr>
              <w:t>a</w:t>
            </w:r>
            <w:r w:rsidR="001B6F71" w:rsidRPr="00286D0B">
              <w:rPr>
                <w:szCs w:val="20"/>
              </w:rPr>
              <w:tab/>
              <w:t>Dose adjustment in m</w:t>
            </w:r>
            <w:r w:rsidR="008A4AB5">
              <w:rPr>
                <w:szCs w:val="20"/>
              </w:rPr>
              <w:t>l</w:t>
            </w:r>
            <w:r w:rsidR="001B6F71" w:rsidRPr="00286D0B">
              <w:rPr>
                <w:szCs w:val="20"/>
              </w:rPr>
              <w:t xml:space="preserve"> is based on the slope of the serum IgG trough level response to subcutaneous administration of Xembify</w:t>
            </w:r>
            <w:r w:rsidR="00E817FF" w:rsidRPr="009B7A9A">
              <w:rPr>
                <w:szCs w:val="20"/>
                <w:vertAlign w:val="superscript"/>
              </w:rPr>
              <w:t>®</w:t>
            </w:r>
            <w:r w:rsidR="001B6F71" w:rsidRPr="00286D0B">
              <w:rPr>
                <w:szCs w:val="20"/>
              </w:rPr>
              <w:t xml:space="preserve"> dose increments (about 6.6 mg/d</w:t>
            </w:r>
            <w:r w:rsidR="008A4AB5">
              <w:rPr>
                <w:szCs w:val="20"/>
              </w:rPr>
              <w:t>l</w:t>
            </w:r>
            <w:r w:rsidR="001B6F71" w:rsidRPr="00286D0B">
              <w:rPr>
                <w:szCs w:val="20"/>
              </w:rPr>
              <w:t xml:space="preserve"> per increment of 1 mg/kg per week).</w:t>
            </w:r>
          </w:p>
        </w:tc>
      </w:tr>
      <w:bookmarkEnd w:id="4"/>
    </w:tbl>
    <w:p w14:paraId="52B8D8EC" w14:textId="77777777" w:rsidR="00121B41" w:rsidRDefault="00121B41" w:rsidP="00201DF5">
      <w:pPr>
        <w:rPr>
          <w:szCs w:val="22"/>
        </w:rPr>
      </w:pPr>
    </w:p>
    <w:p w14:paraId="1866ADDA" w14:textId="77777777" w:rsidR="00201DF5" w:rsidRDefault="00201DF5" w:rsidP="00201DF5">
      <w:pPr>
        <w:keepNext/>
        <w:spacing w:line="240" w:lineRule="auto"/>
        <w:rPr>
          <w:bCs/>
          <w:i/>
          <w:iCs/>
          <w:szCs w:val="22"/>
        </w:rPr>
      </w:pPr>
      <w:r w:rsidRPr="00067B16">
        <w:rPr>
          <w:bCs/>
          <w:i/>
          <w:iCs/>
          <w:szCs w:val="22"/>
        </w:rPr>
        <w:t>Paediatric population</w:t>
      </w:r>
    </w:p>
    <w:p w14:paraId="36284F0D" w14:textId="77777777" w:rsidR="00201DF5" w:rsidRPr="00067B16" w:rsidRDefault="00201DF5" w:rsidP="00201DF5">
      <w:pPr>
        <w:keepNext/>
        <w:spacing w:line="240" w:lineRule="auto"/>
        <w:rPr>
          <w:bCs/>
          <w:i/>
          <w:iCs/>
          <w:szCs w:val="22"/>
        </w:rPr>
      </w:pPr>
    </w:p>
    <w:p w14:paraId="436D6ACF" w14:textId="77777777" w:rsidR="00201DF5" w:rsidRDefault="00201DF5" w:rsidP="00201DF5">
      <w:pPr>
        <w:spacing w:line="240" w:lineRule="auto"/>
        <w:rPr>
          <w:szCs w:val="22"/>
        </w:rPr>
      </w:pPr>
      <w:r w:rsidRPr="00763965">
        <w:rPr>
          <w:szCs w:val="22"/>
        </w:rPr>
        <w:t xml:space="preserve">The </w:t>
      </w:r>
      <w:r w:rsidR="00A06770">
        <w:rPr>
          <w:szCs w:val="22"/>
        </w:rPr>
        <w:t>dosage</w:t>
      </w:r>
      <w:r w:rsidRPr="00763965">
        <w:rPr>
          <w:szCs w:val="22"/>
        </w:rPr>
        <w:t xml:space="preserve"> in children and </w:t>
      </w:r>
      <w:r w:rsidRPr="003E07B6">
        <w:rPr>
          <w:szCs w:val="22"/>
        </w:rPr>
        <w:t>adolescents (</w:t>
      </w:r>
      <w:r w:rsidR="00EB050A">
        <w:rPr>
          <w:szCs w:val="22"/>
        </w:rPr>
        <w:t>0</w:t>
      </w:r>
      <w:r w:rsidR="00890283">
        <w:rPr>
          <w:szCs w:val="22"/>
        </w:rPr>
        <w:t xml:space="preserve"> to </w:t>
      </w:r>
      <w:r w:rsidRPr="003E07B6">
        <w:rPr>
          <w:szCs w:val="22"/>
        </w:rPr>
        <w:t>18 years)</w:t>
      </w:r>
      <w:r w:rsidRPr="00763965">
        <w:rPr>
          <w:szCs w:val="22"/>
        </w:rPr>
        <w:t xml:space="preserve"> is not different to that of adults as the </w:t>
      </w:r>
      <w:r w:rsidR="00A06770">
        <w:rPr>
          <w:szCs w:val="22"/>
        </w:rPr>
        <w:t>dosage</w:t>
      </w:r>
      <w:r w:rsidRPr="00763965">
        <w:rPr>
          <w:szCs w:val="22"/>
        </w:rPr>
        <w:t xml:space="preserve"> for each indication is given by body weight and adjusted to the clinical outcome in replacement therapy indications.</w:t>
      </w:r>
    </w:p>
    <w:p w14:paraId="57A74CCE" w14:textId="77777777" w:rsidR="00201DF5" w:rsidRDefault="00201DF5" w:rsidP="00201DF5">
      <w:pPr>
        <w:spacing w:line="240" w:lineRule="auto"/>
        <w:rPr>
          <w:szCs w:val="22"/>
        </w:rPr>
      </w:pPr>
    </w:p>
    <w:p w14:paraId="483A7139" w14:textId="77777777" w:rsidR="00201DF5" w:rsidRDefault="00805A20" w:rsidP="00201DF5">
      <w:pPr>
        <w:spacing w:line="240" w:lineRule="auto"/>
        <w:rPr>
          <w:szCs w:val="22"/>
        </w:rPr>
      </w:pPr>
      <w:r>
        <w:rPr>
          <w:szCs w:val="22"/>
        </w:rPr>
        <w:t>Xembify</w:t>
      </w:r>
      <w:r w:rsidRPr="00805A20">
        <w:rPr>
          <w:szCs w:val="22"/>
          <w:vertAlign w:val="superscript"/>
        </w:rPr>
        <w:t>®</w:t>
      </w:r>
      <w:r>
        <w:rPr>
          <w:szCs w:val="22"/>
        </w:rPr>
        <w:t xml:space="preserve"> </w:t>
      </w:r>
      <w:r w:rsidR="00201DF5">
        <w:rPr>
          <w:szCs w:val="22"/>
        </w:rPr>
        <w:t>was evaluated in 43 paediatric subjects with PID aged 2 to 16 years (inclusive), which included 28 subjects 12 years of age or younger. No paediatric-specific dose requirements were necessary to achieve the desired serum IgG levels.</w:t>
      </w:r>
    </w:p>
    <w:p w14:paraId="05167140" w14:textId="77777777" w:rsidR="00EB050A" w:rsidRDefault="00EB050A" w:rsidP="00201DF5">
      <w:pPr>
        <w:spacing w:line="240" w:lineRule="auto"/>
        <w:rPr>
          <w:szCs w:val="22"/>
        </w:rPr>
      </w:pPr>
    </w:p>
    <w:p w14:paraId="49035A0C" w14:textId="77777777" w:rsidR="00EB050A" w:rsidRDefault="00CF1016" w:rsidP="00201DF5">
      <w:pPr>
        <w:spacing w:line="240" w:lineRule="auto"/>
        <w:rPr>
          <w:szCs w:val="22"/>
        </w:rPr>
      </w:pPr>
      <w:r w:rsidRPr="00CF1016">
        <w:rPr>
          <w:szCs w:val="22"/>
        </w:rPr>
        <w:t xml:space="preserve">No clinical trials have been conducted with </w:t>
      </w:r>
      <w:r w:rsidR="007811EB">
        <w:rPr>
          <w:iCs/>
          <w:noProof/>
          <w:szCs w:val="22"/>
        </w:rPr>
        <w:t>Xembify</w:t>
      </w:r>
      <w:r w:rsidR="007811EB" w:rsidRPr="00805A20">
        <w:rPr>
          <w:iCs/>
          <w:noProof/>
          <w:szCs w:val="22"/>
          <w:vertAlign w:val="superscript"/>
        </w:rPr>
        <w:t>®</w:t>
      </w:r>
      <w:r w:rsidRPr="00CF1016">
        <w:rPr>
          <w:szCs w:val="22"/>
        </w:rPr>
        <w:t xml:space="preserve"> in children of age 0 to &lt; 2 years. However, experience with immunoglobulins suggests a safety profile </w:t>
      </w:r>
      <w:proofErr w:type="gramStart"/>
      <w:r w:rsidRPr="00CF1016">
        <w:rPr>
          <w:szCs w:val="22"/>
        </w:rPr>
        <w:t>similar to</w:t>
      </w:r>
      <w:proofErr w:type="gramEnd"/>
      <w:r w:rsidRPr="00CF1016">
        <w:rPr>
          <w:szCs w:val="22"/>
        </w:rPr>
        <w:t xml:space="preserve"> that for children of age 2-18 years and adults with </w:t>
      </w:r>
      <w:r w:rsidR="007811EB">
        <w:rPr>
          <w:iCs/>
          <w:noProof/>
          <w:szCs w:val="22"/>
        </w:rPr>
        <w:t>Xembify</w:t>
      </w:r>
      <w:r w:rsidR="007811EB" w:rsidRPr="00805A20">
        <w:rPr>
          <w:iCs/>
          <w:noProof/>
          <w:szCs w:val="22"/>
          <w:vertAlign w:val="superscript"/>
        </w:rPr>
        <w:t>®</w:t>
      </w:r>
      <w:r w:rsidRPr="00CF1016">
        <w:rPr>
          <w:szCs w:val="22"/>
        </w:rPr>
        <w:t xml:space="preserve"> is to be expected</w:t>
      </w:r>
      <w:r w:rsidR="00EB050A">
        <w:rPr>
          <w:szCs w:val="22"/>
        </w:rPr>
        <w:t>.</w:t>
      </w:r>
    </w:p>
    <w:p w14:paraId="20A2683C" w14:textId="77777777" w:rsidR="00201DF5" w:rsidRDefault="00201DF5" w:rsidP="00201DF5">
      <w:pPr>
        <w:spacing w:line="240" w:lineRule="auto"/>
        <w:rPr>
          <w:szCs w:val="22"/>
          <w:u w:val="single"/>
        </w:rPr>
      </w:pPr>
    </w:p>
    <w:p w14:paraId="11859287" w14:textId="77777777" w:rsidR="00201DF5" w:rsidRPr="00A3136F" w:rsidRDefault="00201DF5" w:rsidP="00201DF5">
      <w:pPr>
        <w:keepNext/>
        <w:spacing w:line="240" w:lineRule="auto"/>
        <w:rPr>
          <w:szCs w:val="22"/>
          <w:u w:val="single"/>
        </w:rPr>
      </w:pPr>
      <w:r w:rsidRPr="00A3136F">
        <w:rPr>
          <w:szCs w:val="22"/>
          <w:u w:val="single"/>
        </w:rPr>
        <w:lastRenderedPageBreak/>
        <w:t xml:space="preserve">Method of administration </w:t>
      </w:r>
    </w:p>
    <w:p w14:paraId="4C52F885" w14:textId="77777777" w:rsidR="00201DF5" w:rsidRPr="000643D3" w:rsidRDefault="00201DF5" w:rsidP="00201DF5">
      <w:pPr>
        <w:keepNext/>
        <w:spacing w:line="240" w:lineRule="auto"/>
        <w:rPr>
          <w:szCs w:val="22"/>
          <w:u w:val="single"/>
        </w:rPr>
      </w:pPr>
    </w:p>
    <w:p w14:paraId="2614D7FD" w14:textId="77777777" w:rsidR="00201DF5" w:rsidRDefault="00201DF5" w:rsidP="00201DF5">
      <w:pPr>
        <w:spacing w:line="240" w:lineRule="auto"/>
        <w:rPr>
          <w:noProof/>
          <w:szCs w:val="22"/>
        </w:rPr>
      </w:pPr>
      <w:r>
        <w:rPr>
          <w:noProof/>
          <w:szCs w:val="22"/>
        </w:rPr>
        <w:t>For subcutaneous use only.</w:t>
      </w:r>
    </w:p>
    <w:p w14:paraId="08AEDE4E" w14:textId="77777777" w:rsidR="00201DF5" w:rsidRPr="00763965" w:rsidRDefault="00201DF5" w:rsidP="00201DF5">
      <w:pPr>
        <w:spacing w:line="240" w:lineRule="auto"/>
        <w:rPr>
          <w:noProof/>
          <w:szCs w:val="22"/>
        </w:rPr>
      </w:pPr>
    </w:p>
    <w:p w14:paraId="3792FE33" w14:textId="77777777" w:rsidR="00201DF5" w:rsidRDefault="00201DF5" w:rsidP="00DA0CD9">
      <w:pPr>
        <w:spacing w:line="240" w:lineRule="auto"/>
        <w:rPr>
          <w:noProof/>
          <w:szCs w:val="22"/>
        </w:rPr>
      </w:pPr>
      <w:r w:rsidRPr="0050085D">
        <w:rPr>
          <w:noProof/>
          <w:szCs w:val="22"/>
        </w:rPr>
        <w:t>Subcutaneous infusion</w:t>
      </w:r>
      <w:r w:rsidRPr="00763965">
        <w:rPr>
          <w:noProof/>
          <w:szCs w:val="22"/>
        </w:rPr>
        <w:t xml:space="preserve"> for home treatment should be initiated and monitored by a physician experienced in the guidance of patients for home treatment. </w:t>
      </w:r>
      <w:r w:rsidR="00DA0CD9" w:rsidRPr="00DA0CD9">
        <w:rPr>
          <w:noProof/>
          <w:szCs w:val="22"/>
        </w:rPr>
        <w:t xml:space="preserve">Infusion pumps appropriate for subcutaneous administration of immunoglobulins can be used. </w:t>
      </w:r>
      <w:r w:rsidRPr="00763965">
        <w:rPr>
          <w:noProof/>
          <w:szCs w:val="22"/>
        </w:rPr>
        <w:t>The patient must be instructed in the use of a</w:t>
      </w:r>
      <w:r w:rsidR="000F76A2">
        <w:rPr>
          <w:noProof/>
          <w:szCs w:val="22"/>
        </w:rPr>
        <w:t>n infusion pump</w:t>
      </w:r>
      <w:r w:rsidRPr="00763965">
        <w:rPr>
          <w:noProof/>
          <w:szCs w:val="22"/>
        </w:rPr>
        <w:t>, the infusion techniques, the keeping of treatment diary, recognition of and measures to be taken in case of severe adverse reactions.</w:t>
      </w:r>
    </w:p>
    <w:p w14:paraId="1D2EB648" w14:textId="77777777" w:rsidR="00201DF5" w:rsidRPr="00763965" w:rsidRDefault="00201DF5" w:rsidP="00201DF5">
      <w:pPr>
        <w:spacing w:line="240" w:lineRule="auto"/>
        <w:rPr>
          <w:noProof/>
          <w:szCs w:val="22"/>
        </w:rPr>
      </w:pPr>
    </w:p>
    <w:p w14:paraId="2413B423" w14:textId="77777777" w:rsidR="00201DF5" w:rsidRPr="00763965" w:rsidRDefault="00805A20" w:rsidP="00201DF5">
      <w:pPr>
        <w:spacing w:line="240" w:lineRule="auto"/>
        <w:rPr>
          <w:noProof/>
          <w:szCs w:val="22"/>
        </w:rPr>
      </w:pPr>
      <w:r>
        <w:rPr>
          <w:noProof/>
          <w:szCs w:val="22"/>
        </w:rPr>
        <w:t>Xembify</w:t>
      </w:r>
      <w:r w:rsidRPr="00805A20">
        <w:rPr>
          <w:noProof/>
          <w:szCs w:val="22"/>
          <w:vertAlign w:val="superscript"/>
        </w:rPr>
        <w:t>®</w:t>
      </w:r>
      <w:r w:rsidR="00201DF5" w:rsidRPr="00763965">
        <w:rPr>
          <w:noProof/>
          <w:szCs w:val="22"/>
        </w:rPr>
        <w:t xml:space="preserve"> may be injected into sites such as abdomen, thigh, upper arm, and lateral hip.</w:t>
      </w:r>
    </w:p>
    <w:p w14:paraId="22F25D3C" w14:textId="77777777" w:rsidR="00201DF5" w:rsidRDefault="00201DF5" w:rsidP="00201DF5">
      <w:pPr>
        <w:spacing w:line="240" w:lineRule="auto"/>
        <w:rPr>
          <w:noProof/>
          <w:szCs w:val="22"/>
        </w:rPr>
      </w:pPr>
      <w:r>
        <w:rPr>
          <w:noProof/>
          <w:szCs w:val="22"/>
        </w:rPr>
        <w:t>The recommended initial infusion rate depends on the individual needs of the patient and should not exceed</w:t>
      </w:r>
      <w:r w:rsidRPr="00763965">
        <w:rPr>
          <w:noProof/>
          <w:szCs w:val="22"/>
        </w:rPr>
        <w:t xml:space="preserve"> </w:t>
      </w:r>
      <w:r>
        <w:rPr>
          <w:noProof/>
          <w:szCs w:val="22"/>
        </w:rPr>
        <w:t xml:space="preserve">an </w:t>
      </w:r>
      <w:r w:rsidRPr="00763965">
        <w:rPr>
          <w:noProof/>
          <w:szCs w:val="22"/>
        </w:rPr>
        <w:t xml:space="preserve">administration speed of </w:t>
      </w:r>
      <w:r>
        <w:rPr>
          <w:noProof/>
          <w:szCs w:val="22"/>
        </w:rPr>
        <w:t>25</w:t>
      </w:r>
      <w:r w:rsidRPr="00763965">
        <w:rPr>
          <w:noProof/>
          <w:szCs w:val="22"/>
        </w:rPr>
        <w:t xml:space="preserve"> ml/h/</w:t>
      </w:r>
      <w:r>
        <w:rPr>
          <w:noProof/>
          <w:szCs w:val="22"/>
        </w:rPr>
        <w:t>site</w:t>
      </w:r>
      <w:r w:rsidRPr="00763965">
        <w:rPr>
          <w:noProof/>
          <w:szCs w:val="22"/>
        </w:rPr>
        <w:t>.</w:t>
      </w:r>
    </w:p>
    <w:p w14:paraId="46EF9B51" w14:textId="77777777" w:rsidR="00201DF5" w:rsidRPr="00763965" w:rsidRDefault="00201DF5" w:rsidP="00201DF5">
      <w:pPr>
        <w:spacing w:line="240" w:lineRule="auto"/>
        <w:rPr>
          <w:noProof/>
          <w:szCs w:val="22"/>
        </w:rPr>
      </w:pPr>
    </w:p>
    <w:p w14:paraId="71264811" w14:textId="77777777" w:rsidR="00201DF5" w:rsidRDefault="00201DF5" w:rsidP="00201DF5">
      <w:pPr>
        <w:spacing w:line="240" w:lineRule="auto"/>
        <w:rPr>
          <w:noProof/>
          <w:szCs w:val="22"/>
        </w:rPr>
      </w:pPr>
      <w:r>
        <w:rPr>
          <w:noProof/>
          <w:szCs w:val="22"/>
        </w:rPr>
        <w:t xml:space="preserve">If well tolerated (see </w:t>
      </w:r>
      <w:hyperlink w:anchor="Section4_4" w:history="1">
        <w:r w:rsidRPr="00070E7C">
          <w:rPr>
            <w:rStyle w:val="Hyperlink"/>
            <w:noProof/>
            <w:szCs w:val="22"/>
          </w:rPr>
          <w:t>section 4.4</w:t>
        </w:r>
      </w:hyperlink>
      <w:r>
        <w:rPr>
          <w:noProof/>
          <w:szCs w:val="22"/>
        </w:rPr>
        <w:t>) for two infusions, t</w:t>
      </w:r>
      <w:r w:rsidRPr="00763965">
        <w:rPr>
          <w:noProof/>
          <w:szCs w:val="22"/>
        </w:rPr>
        <w:t xml:space="preserve">he infusion speed can </w:t>
      </w:r>
      <w:r>
        <w:rPr>
          <w:noProof/>
          <w:szCs w:val="22"/>
        </w:rPr>
        <w:t>gradually be increased to 35 ml/h/site</w:t>
      </w:r>
      <w:r w:rsidRPr="00763965">
        <w:rPr>
          <w:noProof/>
          <w:szCs w:val="22"/>
        </w:rPr>
        <w:t xml:space="preserve">. </w:t>
      </w:r>
    </w:p>
    <w:p w14:paraId="64A7A59E" w14:textId="77777777" w:rsidR="00201DF5" w:rsidRDefault="00201DF5" w:rsidP="00201DF5">
      <w:pPr>
        <w:spacing w:line="240" w:lineRule="auto"/>
        <w:rPr>
          <w:noProof/>
          <w:szCs w:val="22"/>
        </w:rPr>
      </w:pPr>
    </w:p>
    <w:p w14:paraId="0E89788A" w14:textId="77777777" w:rsidR="00201DF5" w:rsidRPr="00B27AF8" w:rsidRDefault="00201DF5" w:rsidP="00201DF5">
      <w:pPr>
        <w:spacing w:line="240" w:lineRule="auto"/>
        <w:rPr>
          <w:noProof/>
          <w:szCs w:val="22"/>
        </w:rPr>
      </w:pPr>
      <w:r w:rsidRPr="00763965">
        <w:rPr>
          <w:noProof/>
          <w:szCs w:val="22"/>
        </w:rPr>
        <w:t>More than</w:t>
      </w:r>
      <w:r>
        <w:rPr>
          <w:noProof/>
          <w:szCs w:val="22"/>
        </w:rPr>
        <w:t xml:space="preserve"> one</w:t>
      </w:r>
      <w:r w:rsidRPr="00763965">
        <w:rPr>
          <w:noProof/>
          <w:szCs w:val="22"/>
        </w:rPr>
        <w:t xml:space="preserve"> </w:t>
      </w:r>
      <w:r w:rsidRPr="003E07B6">
        <w:rPr>
          <w:noProof/>
          <w:szCs w:val="22"/>
        </w:rPr>
        <w:t>pump</w:t>
      </w:r>
      <w:r w:rsidRPr="00763965">
        <w:rPr>
          <w:noProof/>
          <w:szCs w:val="22"/>
        </w:rPr>
        <w:t xml:space="preserve"> can be used simultaneously. </w:t>
      </w:r>
      <w:r>
        <w:rPr>
          <w:noProof/>
          <w:szCs w:val="22"/>
        </w:rPr>
        <w:t>The amount of product infused into a particular site varies. In infants and children i</w:t>
      </w:r>
      <w:r w:rsidRPr="00763965">
        <w:rPr>
          <w:noProof/>
          <w:szCs w:val="22"/>
        </w:rPr>
        <w:t>nfusion site</w:t>
      </w:r>
      <w:r>
        <w:rPr>
          <w:noProof/>
          <w:szCs w:val="22"/>
        </w:rPr>
        <w:t>s</w:t>
      </w:r>
      <w:r w:rsidRPr="00763965">
        <w:rPr>
          <w:noProof/>
          <w:szCs w:val="22"/>
        </w:rPr>
        <w:t xml:space="preserve"> </w:t>
      </w:r>
      <w:r>
        <w:rPr>
          <w:noProof/>
          <w:szCs w:val="22"/>
        </w:rPr>
        <w:t>may</w:t>
      </w:r>
      <w:r w:rsidRPr="00763965">
        <w:rPr>
          <w:noProof/>
          <w:szCs w:val="22"/>
        </w:rPr>
        <w:t xml:space="preserve"> be changed every 5</w:t>
      </w:r>
      <w:r w:rsidR="008A4AB5">
        <w:rPr>
          <w:noProof/>
          <w:szCs w:val="22"/>
        </w:rPr>
        <w:t xml:space="preserve"> ml to </w:t>
      </w:r>
      <w:r w:rsidRPr="00763965">
        <w:rPr>
          <w:noProof/>
          <w:szCs w:val="22"/>
        </w:rPr>
        <w:t xml:space="preserve">15 ml. </w:t>
      </w:r>
      <w:r>
        <w:rPr>
          <w:noProof/>
          <w:szCs w:val="22"/>
        </w:rPr>
        <w:t>In adults doses</w:t>
      </w:r>
      <w:r w:rsidRPr="00763965">
        <w:rPr>
          <w:noProof/>
          <w:szCs w:val="22"/>
        </w:rPr>
        <w:t xml:space="preserve"> over </w:t>
      </w:r>
      <w:r>
        <w:rPr>
          <w:noProof/>
          <w:szCs w:val="22"/>
        </w:rPr>
        <w:t>30</w:t>
      </w:r>
      <w:r w:rsidRPr="00763965">
        <w:rPr>
          <w:noProof/>
          <w:szCs w:val="22"/>
        </w:rPr>
        <w:t xml:space="preserve"> ml </w:t>
      </w:r>
      <w:r>
        <w:rPr>
          <w:noProof/>
          <w:szCs w:val="22"/>
        </w:rPr>
        <w:t>may</w:t>
      </w:r>
      <w:r w:rsidRPr="00763965">
        <w:rPr>
          <w:noProof/>
          <w:szCs w:val="22"/>
        </w:rPr>
        <w:t xml:space="preserve"> be divided </w:t>
      </w:r>
      <w:r>
        <w:rPr>
          <w:noProof/>
          <w:szCs w:val="22"/>
        </w:rPr>
        <w:t>according to patient preference</w:t>
      </w:r>
      <w:r w:rsidRPr="00763965">
        <w:rPr>
          <w:noProof/>
          <w:szCs w:val="22"/>
        </w:rPr>
        <w:t xml:space="preserve">. </w:t>
      </w:r>
      <w:r w:rsidRPr="003B038D">
        <w:rPr>
          <w:noProof/>
          <w:szCs w:val="22"/>
        </w:rPr>
        <w:t>There is no limit to the number of infusion sites.</w:t>
      </w:r>
      <w:r w:rsidRPr="003B038D">
        <w:t xml:space="preserve"> </w:t>
      </w:r>
      <w:r>
        <w:t>Infusion sites should be at least 5 cm apart.</w:t>
      </w:r>
    </w:p>
    <w:p w14:paraId="4AE20D50" w14:textId="77777777" w:rsidR="00201DF5" w:rsidRPr="006B4557" w:rsidRDefault="00201DF5" w:rsidP="00201DF5">
      <w:pPr>
        <w:spacing w:line="240" w:lineRule="auto"/>
        <w:rPr>
          <w:noProof/>
          <w:szCs w:val="22"/>
        </w:rPr>
      </w:pPr>
    </w:p>
    <w:p w14:paraId="5D25A554" w14:textId="77777777" w:rsidR="00201DF5" w:rsidRPr="008561BA" w:rsidRDefault="00201DF5" w:rsidP="00ED5CBE">
      <w:pPr>
        <w:keepNext/>
        <w:spacing w:line="240" w:lineRule="auto"/>
        <w:ind w:left="562" w:hanging="562"/>
        <w:outlineLvl w:val="1"/>
        <w:rPr>
          <w:b/>
          <w:noProof/>
          <w:szCs w:val="22"/>
        </w:rPr>
      </w:pPr>
      <w:r w:rsidRPr="007B42D3">
        <w:rPr>
          <w:b/>
          <w:noProof/>
          <w:szCs w:val="22"/>
        </w:rPr>
        <w:t>4.3</w:t>
      </w:r>
      <w:r w:rsidRPr="007B42D3">
        <w:rPr>
          <w:b/>
          <w:noProof/>
          <w:szCs w:val="22"/>
        </w:rPr>
        <w:tab/>
        <w:t>Contraindications</w:t>
      </w:r>
    </w:p>
    <w:p w14:paraId="08447D9B" w14:textId="77777777" w:rsidR="00201DF5" w:rsidRDefault="00201DF5" w:rsidP="001E6C47">
      <w:pPr>
        <w:keepNext/>
        <w:spacing w:line="240" w:lineRule="auto"/>
        <w:rPr>
          <w:noProof/>
          <w:szCs w:val="22"/>
        </w:rPr>
      </w:pPr>
    </w:p>
    <w:p w14:paraId="469360F9" w14:textId="77777777" w:rsidR="00BB78D4" w:rsidRDefault="00201DF5" w:rsidP="00201DF5">
      <w:pPr>
        <w:spacing w:line="240" w:lineRule="auto"/>
        <w:rPr>
          <w:noProof/>
          <w:szCs w:val="22"/>
        </w:rPr>
      </w:pPr>
      <w:r w:rsidRPr="002A46D1">
        <w:rPr>
          <w:noProof/>
          <w:szCs w:val="22"/>
        </w:rPr>
        <w:t>Hypersensitivity to the active substance or to any of the excipients</w:t>
      </w:r>
      <w:r>
        <w:rPr>
          <w:noProof/>
          <w:szCs w:val="22"/>
        </w:rPr>
        <w:t xml:space="preserve"> listed in section 6.1</w:t>
      </w:r>
      <w:r w:rsidRPr="002A46D1">
        <w:rPr>
          <w:noProof/>
          <w:szCs w:val="22"/>
        </w:rPr>
        <w:t xml:space="preserve"> (see </w:t>
      </w:r>
      <w:hyperlink w:anchor="Section4_4" w:history="1">
        <w:r w:rsidRPr="00632729">
          <w:rPr>
            <w:rStyle w:val="Hyperlink"/>
            <w:noProof/>
            <w:szCs w:val="22"/>
          </w:rPr>
          <w:t>section 4.4</w:t>
        </w:r>
      </w:hyperlink>
      <w:r w:rsidRPr="002A46D1">
        <w:rPr>
          <w:noProof/>
          <w:szCs w:val="22"/>
        </w:rPr>
        <w:t>).</w:t>
      </w:r>
      <w:r>
        <w:rPr>
          <w:noProof/>
          <w:szCs w:val="22"/>
        </w:rPr>
        <w:t xml:space="preserve"> </w:t>
      </w:r>
    </w:p>
    <w:p w14:paraId="1EFC1D1B" w14:textId="77777777" w:rsidR="00BB78D4" w:rsidRDefault="00BB78D4" w:rsidP="00201DF5">
      <w:pPr>
        <w:spacing w:line="240" w:lineRule="auto"/>
        <w:rPr>
          <w:noProof/>
          <w:szCs w:val="22"/>
        </w:rPr>
      </w:pPr>
    </w:p>
    <w:p w14:paraId="48F556D2" w14:textId="77777777" w:rsidR="00201DF5" w:rsidRPr="002A46D1" w:rsidRDefault="00805A20" w:rsidP="00201DF5">
      <w:pPr>
        <w:spacing w:line="240" w:lineRule="auto"/>
        <w:rPr>
          <w:noProof/>
          <w:szCs w:val="22"/>
        </w:rPr>
      </w:pPr>
      <w:r>
        <w:rPr>
          <w:noProof/>
          <w:szCs w:val="22"/>
        </w:rPr>
        <w:t>Xembify</w:t>
      </w:r>
      <w:r w:rsidRPr="00805A20">
        <w:rPr>
          <w:noProof/>
          <w:szCs w:val="22"/>
          <w:vertAlign w:val="superscript"/>
        </w:rPr>
        <w:t>®</w:t>
      </w:r>
      <w:r>
        <w:rPr>
          <w:noProof/>
          <w:szCs w:val="22"/>
        </w:rPr>
        <w:t xml:space="preserve"> </w:t>
      </w:r>
      <w:r w:rsidR="00201DF5">
        <w:rPr>
          <w:noProof/>
          <w:szCs w:val="22"/>
        </w:rPr>
        <w:t>must not be given intravascularly or intramuscularly.</w:t>
      </w:r>
    </w:p>
    <w:p w14:paraId="0710911B" w14:textId="77777777" w:rsidR="00201DF5" w:rsidRDefault="00201DF5" w:rsidP="00201DF5">
      <w:pPr>
        <w:spacing w:line="240" w:lineRule="auto"/>
        <w:rPr>
          <w:noProof/>
          <w:szCs w:val="22"/>
        </w:rPr>
      </w:pPr>
    </w:p>
    <w:p w14:paraId="219B71FB" w14:textId="77777777" w:rsidR="00201DF5" w:rsidRPr="00771344" w:rsidRDefault="00201DF5" w:rsidP="00201DF5">
      <w:pPr>
        <w:pStyle w:val="Default"/>
        <w:rPr>
          <w:sz w:val="23"/>
          <w:szCs w:val="23"/>
          <w:lang w:val="en-US"/>
        </w:rPr>
      </w:pPr>
      <w:r w:rsidRPr="00771344">
        <w:rPr>
          <w:sz w:val="23"/>
          <w:szCs w:val="23"/>
          <w:lang w:val="en-US"/>
        </w:rPr>
        <w:t xml:space="preserve">Patients who have had an anaphylactic or severe systemic reaction to the administration of </w:t>
      </w:r>
      <w:r w:rsidR="009B6C12">
        <w:rPr>
          <w:sz w:val="23"/>
          <w:szCs w:val="23"/>
          <w:lang w:val="en-US"/>
        </w:rPr>
        <w:t>normal immunoglobulin.</w:t>
      </w:r>
      <w:r w:rsidRPr="00771344">
        <w:rPr>
          <w:sz w:val="23"/>
          <w:szCs w:val="23"/>
          <w:lang w:val="en-US"/>
        </w:rPr>
        <w:t xml:space="preserve"> </w:t>
      </w:r>
    </w:p>
    <w:p w14:paraId="6370745C" w14:textId="77777777" w:rsidR="00201DF5" w:rsidRDefault="00201DF5" w:rsidP="00201DF5">
      <w:pPr>
        <w:pStyle w:val="Default"/>
        <w:rPr>
          <w:sz w:val="23"/>
          <w:szCs w:val="23"/>
          <w:lang w:val="en-US"/>
        </w:rPr>
      </w:pPr>
    </w:p>
    <w:p w14:paraId="6C2CE6E1" w14:textId="77777777" w:rsidR="00201DF5" w:rsidRPr="00201DF5" w:rsidRDefault="00201DF5" w:rsidP="00201DF5">
      <w:pPr>
        <w:spacing w:line="240" w:lineRule="auto"/>
        <w:rPr>
          <w:noProof/>
          <w:szCs w:val="22"/>
          <w:lang w:val="en-US"/>
        </w:rPr>
      </w:pPr>
      <w:r w:rsidRPr="00771344">
        <w:rPr>
          <w:sz w:val="23"/>
          <w:szCs w:val="23"/>
          <w:lang w:val="en-US"/>
        </w:rPr>
        <w:t xml:space="preserve">IgA deficient patients with antibodies against IgA and history of hypersensitivity to </w:t>
      </w:r>
      <w:r w:rsidR="009B6C12">
        <w:rPr>
          <w:sz w:val="23"/>
          <w:szCs w:val="23"/>
          <w:lang w:val="en-US"/>
        </w:rPr>
        <w:t xml:space="preserve">normal immunoglobulin </w:t>
      </w:r>
      <w:r w:rsidRPr="00771344">
        <w:rPr>
          <w:sz w:val="23"/>
          <w:szCs w:val="23"/>
          <w:lang w:val="en-US"/>
        </w:rPr>
        <w:t>treatment.</w:t>
      </w:r>
    </w:p>
    <w:p w14:paraId="11A23070" w14:textId="77777777" w:rsidR="00201DF5" w:rsidRPr="00067B16" w:rsidRDefault="00201DF5" w:rsidP="00201DF5">
      <w:pPr>
        <w:spacing w:line="240" w:lineRule="auto"/>
        <w:rPr>
          <w:noProof/>
          <w:szCs w:val="22"/>
        </w:rPr>
      </w:pPr>
    </w:p>
    <w:p w14:paraId="16290558" w14:textId="77777777" w:rsidR="00201DF5" w:rsidRPr="00067B16" w:rsidRDefault="00201DF5" w:rsidP="00ED5CBE">
      <w:pPr>
        <w:keepNext/>
        <w:spacing w:line="240" w:lineRule="auto"/>
        <w:ind w:left="562" w:hanging="562"/>
        <w:outlineLvl w:val="1"/>
        <w:rPr>
          <w:b/>
          <w:noProof/>
          <w:szCs w:val="22"/>
        </w:rPr>
      </w:pPr>
      <w:r w:rsidRPr="00067B16">
        <w:rPr>
          <w:b/>
          <w:noProof/>
          <w:szCs w:val="22"/>
        </w:rPr>
        <w:t>4.4</w:t>
      </w:r>
      <w:r w:rsidRPr="00067B16">
        <w:rPr>
          <w:b/>
          <w:noProof/>
          <w:szCs w:val="22"/>
        </w:rPr>
        <w:tab/>
      </w:r>
      <w:bookmarkStart w:id="5" w:name="Section4_4"/>
      <w:bookmarkEnd w:id="5"/>
      <w:r w:rsidRPr="00067B16">
        <w:rPr>
          <w:b/>
          <w:noProof/>
          <w:szCs w:val="22"/>
        </w:rPr>
        <w:t>Special warnings and precautions for use</w:t>
      </w:r>
    </w:p>
    <w:p w14:paraId="3EBEAD7A" w14:textId="77777777" w:rsidR="00201DF5" w:rsidRDefault="00201DF5" w:rsidP="00201DF5">
      <w:pPr>
        <w:keepNext/>
        <w:spacing w:line="240" w:lineRule="auto"/>
        <w:ind w:left="567" w:hanging="567"/>
        <w:rPr>
          <w:b/>
          <w:noProof/>
          <w:szCs w:val="22"/>
        </w:rPr>
      </w:pPr>
    </w:p>
    <w:p w14:paraId="3411F71D" w14:textId="77777777" w:rsidR="00201DF5" w:rsidRDefault="00201DF5" w:rsidP="00201DF5">
      <w:pPr>
        <w:spacing w:line="240" w:lineRule="auto"/>
      </w:pPr>
      <w:r>
        <w:t xml:space="preserve">If </w:t>
      </w:r>
      <w:r w:rsidR="00805A20">
        <w:t>Xembify</w:t>
      </w:r>
      <w:r w:rsidR="00805A20" w:rsidRPr="00805A20">
        <w:rPr>
          <w:vertAlign w:val="superscript"/>
        </w:rPr>
        <w:t>®</w:t>
      </w:r>
      <w:r w:rsidR="00805A20">
        <w:t xml:space="preserve"> </w:t>
      </w:r>
      <w:r>
        <w:t>is accidentally administered into a blood vessel patients could develop shock.</w:t>
      </w:r>
    </w:p>
    <w:p w14:paraId="3041EC8D" w14:textId="77777777" w:rsidR="00201DF5" w:rsidRDefault="00201DF5" w:rsidP="00201DF5">
      <w:pPr>
        <w:spacing w:line="240" w:lineRule="auto"/>
      </w:pPr>
    </w:p>
    <w:p w14:paraId="6C1CAEF8" w14:textId="77777777" w:rsidR="00201DF5" w:rsidRDefault="00201DF5" w:rsidP="00201DF5">
      <w:pPr>
        <w:spacing w:line="240" w:lineRule="auto"/>
      </w:pPr>
      <w:r>
        <w:t>The recommended infusion rate given under section 4.2 must be closely followed. Patients must be closely monitored and carefully observed for any symptoms throughout the infusion period.</w:t>
      </w:r>
    </w:p>
    <w:p w14:paraId="23714074" w14:textId="77777777" w:rsidR="00201DF5" w:rsidRDefault="00201DF5" w:rsidP="00201DF5">
      <w:pPr>
        <w:spacing w:line="240" w:lineRule="auto"/>
      </w:pPr>
    </w:p>
    <w:p w14:paraId="4AC26C65" w14:textId="488CE86C" w:rsidR="00201DF5" w:rsidRDefault="00201DF5" w:rsidP="00201DF5">
      <w:pPr>
        <w:spacing w:line="240" w:lineRule="auto"/>
      </w:pPr>
      <w:bookmarkStart w:id="6" w:name="_Hlk89671845"/>
      <w:r>
        <w:t xml:space="preserve">Certain adverse reactions may occur more frequently in patients who receive </w:t>
      </w:r>
      <w:r w:rsidR="00AE67A3">
        <w:t xml:space="preserve">normal immunoglobulin </w:t>
      </w:r>
      <w:r>
        <w:t xml:space="preserve">for the first time or, in rare cases, when the </w:t>
      </w:r>
      <w:r w:rsidR="00AE67A3">
        <w:t xml:space="preserve">normal immunoglobulin </w:t>
      </w:r>
      <w:r>
        <w:t>product is switched or when there has been a long interval since the previous infusion.</w:t>
      </w:r>
      <w:r w:rsidR="00C266C9">
        <w:t xml:space="preserve"> Common adverse reaction reported during initial infusions </w:t>
      </w:r>
      <w:proofErr w:type="gramStart"/>
      <w:r w:rsidR="00C266C9">
        <w:t>were:</w:t>
      </w:r>
      <w:proofErr w:type="gramEnd"/>
      <w:r w:rsidR="00D54596">
        <w:t xml:space="preserve"> local infusion site reactions (erythema, pruritus, nodule, pain, swelling/induration, bruising, mass, rash, urticaria, scab, haemorrhage, extravasation), headache, </w:t>
      </w:r>
      <w:r w:rsidR="0052057A">
        <w:t>arthralgia, back pain,</w:t>
      </w:r>
      <w:r w:rsidR="00D54596">
        <w:t xml:space="preserve"> </w:t>
      </w:r>
      <w:r w:rsidR="0052057A">
        <w:t>diarrhoea, rhinitis, pyrexia, nausea, pruritus, and papule.</w:t>
      </w:r>
    </w:p>
    <w:bookmarkEnd w:id="6"/>
    <w:p w14:paraId="1FC538C2" w14:textId="77777777" w:rsidR="00201DF5" w:rsidRDefault="00201DF5" w:rsidP="00201DF5">
      <w:pPr>
        <w:spacing w:line="240" w:lineRule="auto"/>
      </w:pPr>
    </w:p>
    <w:p w14:paraId="6C1F2AB0" w14:textId="77777777" w:rsidR="00201DF5" w:rsidRDefault="00201DF5" w:rsidP="00201DF5">
      <w:pPr>
        <w:spacing w:line="240" w:lineRule="auto"/>
      </w:pPr>
      <w:r>
        <w:t>Potential complications can often be avoided by:</w:t>
      </w:r>
    </w:p>
    <w:p w14:paraId="02B59555" w14:textId="77777777" w:rsidR="00201DF5" w:rsidRDefault="00201DF5" w:rsidP="001E6C47">
      <w:pPr>
        <w:numPr>
          <w:ilvl w:val="0"/>
          <w:numId w:val="1"/>
        </w:numPr>
        <w:tabs>
          <w:tab w:val="clear" w:pos="567"/>
          <w:tab w:val="left" w:pos="540"/>
        </w:tabs>
        <w:spacing w:line="240" w:lineRule="auto"/>
        <w:ind w:left="547" w:hanging="547"/>
      </w:pPr>
      <w:r>
        <w:t xml:space="preserve">initially injecting the product slowly </w:t>
      </w:r>
      <w:r w:rsidRPr="003B038D">
        <w:t>(</w:t>
      </w:r>
      <w:hyperlink w:anchor="Section4_2" w:history="1">
        <w:r w:rsidRPr="00DF7730">
          <w:rPr>
            <w:rStyle w:val="Hyperlink"/>
          </w:rPr>
          <w:t>see section 4.2</w:t>
        </w:r>
      </w:hyperlink>
      <w:proofErr w:type="gramStart"/>
      <w:r>
        <w:t>);</w:t>
      </w:r>
      <w:proofErr w:type="gramEnd"/>
    </w:p>
    <w:p w14:paraId="0B2E86DE" w14:textId="77777777" w:rsidR="00201DF5" w:rsidRDefault="00201DF5" w:rsidP="001E6C47">
      <w:pPr>
        <w:numPr>
          <w:ilvl w:val="0"/>
          <w:numId w:val="1"/>
        </w:numPr>
        <w:tabs>
          <w:tab w:val="clear" w:pos="567"/>
          <w:tab w:val="left" w:pos="540"/>
        </w:tabs>
        <w:spacing w:line="240" w:lineRule="auto"/>
        <w:ind w:left="547" w:hanging="547"/>
      </w:pPr>
      <w:r>
        <w:t xml:space="preserve">ensuring that patients are carefully monitored for any symptoms throughout the infusion period. </w:t>
      </w:r>
      <w:proofErr w:type="gramStart"/>
      <w:r>
        <w:t>In particular, patients</w:t>
      </w:r>
      <w:proofErr w:type="gramEnd"/>
      <w:r>
        <w:t xml:space="preserve"> naïve to </w:t>
      </w:r>
      <w:r w:rsidR="00AE67A3">
        <w:t>normal immunoglobulin</w:t>
      </w:r>
      <w:r>
        <w:t>, patients switched from an alternative immunoglobulin product or when there has been a long interval since the previous infusion should be monitored during the first infusion and for the first hour after the first infusion, in order to detect potential adverse signs.</w:t>
      </w:r>
    </w:p>
    <w:p w14:paraId="12F8B3D7" w14:textId="77777777" w:rsidR="00201DF5" w:rsidRDefault="00201DF5" w:rsidP="001E6C47">
      <w:pPr>
        <w:numPr>
          <w:ilvl w:val="0"/>
          <w:numId w:val="1"/>
        </w:numPr>
        <w:tabs>
          <w:tab w:val="clear" w:pos="567"/>
          <w:tab w:val="left" w:pos="540"/>
        </w:tabs>
        <w:spacing w:line="240" w:lineRule="auto"/>
        <w:ind w:left="547" w:hanging="547"/>
      </w:pPr>
      <w:r>
        <w:t>All other patients should be observed for at least 20 minutes after administration.</w:t>
      </w:r>
    </w:p>
    <w:p w14:paraId="6A180A9F" w14:textId="77777777" w:rsidR="00201DF5" w:rsidRDefault="00201DF5" w:rsidP="00201DF5">
      <w:pPr>
        <w:spacing w:line="240" w:lineRule="auto"/>
      </w:pPr>
    </w:p>
    <w:p w14:paraId="375C6A50" w14:textId="77777777" w:rsidR="00201DF5" w:rsidRDefault="00201DF5" w:rsidP="00201DF5">
      <w:pPr>
        <w:spacing w:line="240" w:lineRule="auto"/>
      </w:pPr>
      <w:r>
        <w:t xml:space="preserve">In case of adverse reaction, either the rate of administration must be </w:t>
      </w:r>
      <w:proofErr w:type="gramStart"/>
      <w:r>
        <w:t>reduced</w:t>
      </w:r>
      <w:proofErr w:type="gramEnd"/>
      <w:r>
        <w:t xml:space="preserve"> or the infusion stopped. The treatment required depends on the nature and severity of the adverse reaction.</w:t>
      </w:r>
    </w:p>
    <w:p w14:paraId="6F675A79" w14:textId="77777777" w:rsidR="00201DF5" w:rsidRDefault="00201DF5" w:rsidP="00201DF5">
      <w:pPr>
        <w:spacing w:line="240" w:lineRule="auto"/>
      </w:pPr>
      <w:r>
        <w:t>In case of shock, standard medical treatment for shock should be implemented.</w:t>
      </w:r>
    </w:p>
    <w:p w14:paraId="6B06C4DF" w14:textId="77777777" w:rsidR="00201DF5" w:rsidRDefault="00201DF5" w:rsidP="00201DF5">
      <w:pPr>
        <w:spacing w:line="240" w:lineRule="auto"/>
      </w:pPr>
    </w:p>
    <w:p w14:paraId="7DBB9505" w14:textId="77777777" w:rsidR="00201DF5" w:rsidRPr="00C8294E" w:rsidRDefault="00201DF5" w:rsidP="00201DF5">
      <w:pPr>
        <w:keepNext/>
        <w:spacing w:line="240" w:lineRule="auto"/>
        <w:rPr>
          <w:u w:val="single"/>
        </w:rPr>
      </w:pPr>
      <w:r w:rsidRPr="00C8294E">
        <w:rPr>
          <w:u w:val="single"/>
        </w:rPr>
        <w:t>Hypersensitivity</w:t>
      </w:r>
    </w:p>
    <w:p w14:paraId="2050E451" w14:textId="77777777" w:rsidR="00201DF5" w:rsidRDefault="00201DF5" w:rsidP="00201DF5">
      <w:pPr>
        <w:keepNext/>
        <w:spacing w:line="240" w:lineRule="auto"/>
      </w:pPr>
    </w:p>
    <w:p w14:paraId="5A53C8DF" w14:textId="77777777" w:rsidR="00201DF5" w:rsidRDefault="00201DF5" w:rsidP="00201DF5">
      <w:pPr>
        <w:spacing w:line="240" w:lineRule="auto"/>
      </w:pPr>
      <w:r>
        <w:t xml:space="preserve">True allergic reactions are rare. They can particularly occur in patients with anti-IgA antibodies who should be treated with </w:t>
      </w:r>
      <w:proofErr w:type="gramStart"/>
      <w:r>
        <w:t>particular caution</w:t>
      </w:r>
      <w:proofErr w:type="gramEnd"/>
      <w:r>
        <w:t xml:space="preserve">. Patients with anti-IgA antibodies, in whom treatment with subcutaneous IgG products remains the only option, should be treated with </w:t>
      </w:r>
      <w:r w:rsidR="00805A20">
        <w:t>Xembify</w:t>
      </w:r>
      <w:r w:rsidR="00805A20" w:rsidRPr="00805A20">
        <w:rPr>
          <w:vertAlign w:val="superscript"/>
        </w:rPr>
        <w:t>®</w:t>
      </w:r>
      <w:r w:rsidR="00805A20">
        <w:t xml:space="preserve"> </w:t>
      </w:r>
      <w:r>
        <w:t>only under close medical supervision.</w:t>
      </w:r>
    </w:p>
    <w:p w14:paraId="5B4DFDDC" w14:textId="77777777" w:rsidR="00201DF5" w:rsidRDefault="00201DF5" w:rsidP="00201DF5">
      <w:pPr>
        <w:spacing w:line="240" w:lineRule="auto"/>
      </w:pPr>
    </w:p>
    <w:p w14:paraId="5A10BB82" w14:textId="77777777" w:rsidR="00201DF5" w:rsidRDefault="00201DF5" w:rsidP="00201DF5">
      <w:pPr>
        <w:spacing w:line="240" w:lineRule="auto"/>
      </w:pPr>
      <w:r>
        <w:t xml:space="preserve">Rarely, </w:t>
      </w:r>
      <w:r w:rsidR="00AE67A3">
        <w:t>normal immunoglobulin</w:t>
      </w:r>
      <w:r>
        <w:t xml:space="preserve"> can induce a fall in blood pressure with anaphylactic reaction, even in patients who had tolerated previous treatment with </w:t>
      </w:r>
      <w:r w:rsidR="00AE67A3">
        <w:t>normal immunoglobulin</w:t>
      </w:r>
      <w:r>
        <w:t>.</w:t>
      </w:r>
    </w:p>
    <w:p w14:paraId="4EF65B38" w14:textId="77777777" w:rsidR="00201DF5" w:rsidRDefault="00201DF5" w:rsidP="00201DF5">
      <w:pPr>
        <w:spacing w:line="240" w:lineRule="auto"/>
      </w:pPr>
    </w:p>
    <w:p w14:paraId="5C1649E2" w14:textId="77777777" w:rsidR="00201DF5" w:rsidRPr="002A46D1" w:rsidRDefault="00201DF5" w:rsidP="00201DF5">
      <w:pPr>
        <w:pStyle w:val="Default"/>
        <w:keepNext/>
        <w:rPr>
          <w:sz w:val="22"/>
          <w:szCs w:val="22"/>
          <w:u w:val="single"/>
          <w:lang w:val="en-US"/>
        </w:rPr>
      </w:pPr>
      <w:r w:rsidRPr="002A46D1">
        <w:rPr>
          <w:sz w:val="22"/>
          <w:szCs w:val="22"/>
          <w:u w:val="single"/>
          <w:lang w:val="en-US"/>
        </w:rPr>
        <w:t>Thromboembolism</w:t>
      </w:r>
    </w:p>
    <w:p w14:paraId="5E1D5B6F" w14:textId="77777777" w:rsidR="00201DF5" w:rsidRDefault="00201DF5" w:rsidP="00201DF5">
      <w:pPr>
        <w:pStyle w:val="Default"/>
        <w:keepNext/>
        <w:rPr>
          <w:sz w:val="22"/>
          <w:szCs w:val="22"/>
          <w:lang w:val="en-US"/>
        </w:rPr>
      </w:pPr>
    </w:p>
    <w:p w14:paraId="2749A697" w14:textId="77777777" w:rsidR="00201DF5" w:rsidRPr="004F0AAF" w:rsidRDefault="00201DF5" w:rsidP="00201DF5">
      <w:pPr>
        <w:pStyle w:val="Default"/>
        <w:rPr>
          <w:sz w:val="22"/>
          <w:szCs w:val="22"/>
          <w:lang w:val="en-US"/>
        </w:rPr>
      </w:pPr>
      <w:r w:rsidRPr="004F0AAF">
        <w:rPr>
          <w:sz w:val="22"/>
          <w:szCs w:val="22"/>
          <w:lang w:val="en-US"/>
        </w:rPr>
        <w:t xml:space="preserve">Arterial and venous thromboembolic events including myocardial infarction, stroke, deep venous </w:t>
      </w:r>
      <w:proofErr w:type="gramStart"/>
      <w:r w:rsidRPr="004F0AAF">
        <w:rPr>
          <w:sz w:val="22"/>
          <w:szCs w:val="22"/>
          <w:lang w:val="en-US"/>
        </w:rPr>
        <w:t>thrombosis</w:t>
      </w:r>
      <w:proofErr w:type="gramEnd"/>
      <w:r w:rsidRPr="004F0AAF">
        <w:rPr>
          <w:sz w:val="22"/>
          <w:szCs w:val="22"/>
          <w:lang w:val="en-US"/>
        </w:rPr>
        <w:t xml:space="preserve"> and pulmonary embolism have been associated with the use of immunoglobulins. Patients should be sufficiently hydrated before use of immunoglobulins. Caution should be exercised in patients with preexisting risk factors for thrombotic events (such as advanced age, hypertension, diabetes mellitus and a history of vascular disease or thrombotic episodes, patients with acquired or inherited </w:t>
      </w:r>
      <w:proofErr w:type="spellStart"/>
      <w:r w:rsidRPr="004F0AAF">
        <w:rPr>
          <w:sz w:val="22"/>
          <w:szCs w:val="22"/>
          <w:lang w:val="en-US"/>
        </w:rPr>
        <w:t>thrombophilic</w:t>
      </w:r>
      <w:proofErr w:type="spellEnd"/>
      <w:r w:rsidRPr="004F0AAF">
        <w:rPr>
          <w:sz w:val="22"/>
          <w:szCs w:val="22"/>
          <w:lang w:val="en-US"/>
        </w:rPr>
        <w:t xml:space="preserve"> disorders, patients with prolonged periods of immobilization, severely hypovolemic patients, patients with diseases which increase blood viscosity).</w:t>
      </w:r>
    </w:p>
    <w:p w14:paraId="4F88AC99" w14:textId="77777777" w:rsidR="00201DF5" w:rsidRDefault="00201DF5" w:rsidP="00201DF5">
      <w:pPr>
        <w:pStyle w:val="Default"/>
        <w:rPr>
          <w:sz w:val="22"/>
          <w:szCs w:val="22"/>
          <w:lang w:val="en-US"/>
        </w:rPr>
      </w:pPr>
    </w:p>
    <w:p w14:paraId="495236D5" w14:textId="77777777" w:rsidR="00201DF5" w:rsidRDefault="00201DF5" w:rsidP="00201DF5">
      <w:pPr>
        <w:pStyle w:val="Default"/>
        <w:rPr>
          <w:sz w:val="22"/>
          <w:szCs w:val="22"/>
          <w:lang w:val="en-US"/>
        </w:rPr>
      </w:pPr>
      <w:r w:rsidRPr="004F0AAF">
        <w:rPr>
          <w:sz w:val="22"/>
          <w:szCs w:val="22"/>
          <w:lang w:val="en-US"/>
        </w:rPr>
        <w:t>Patients should be informed about first symptoms of thromboembolic events including shortness of breath, pain and swelling of a limb, focal neurological deficits and chest pain and should be advised to contact their physician immediately upon onset of symptoms.</w:t>
      </w:r>
    </w:p>
    <w:p w14:paraId="43147EAF" w14:textId="77777777" w:rsidR="00485A58" w:rsidRDefault="00485A58" w:rsidP="00485A58">
      <w:pPr>
        <w:numPr>
          <w:ilvl w:val="12"/>
          <w:numId w:val="0"/>
        </w:numPr>
        <w:spacing w:line="240" w:lineRule="auto"/>
        <w:ind w:right="-2"/>
        <w:rPr>
          <w:iCs/>
          <w:noProof/>
          <w:szCs w:val="22"/>
          <w:u w:val="single"/>
        </w:rPr>
      </w:pPr>
    </w:p>
    <w:p w14:paraId="1D9F3F63" w14:textId="23C07887" w:rsidR="008B20CA" w:rsidRPr="008B20CA" w:rsidRDefault="008B20CA" w:rsidP="008B20CA">
      <w:pPr>
        <w:numPr>
          <w:ilvl w:val="12"/>
          <w:numId w:val="0"/>
        </w:numPr>
        <w:spacing w:line="240" w:lineRule="auto"/>
        <w:ind w:right="-2"/>
        <w:rPr>
          <w:iCs/>
          <w:noProof/>
          <w:szCs w:val="22"/>
          <w:u w:val="single"/>
        </w:rPr>
      </w:pPr>
      <w:r w:rsidRPr="008B20CA">
        <w:rPr>
          <w:iCs/>
          <w:noProof/>
          <w:szCs w:val="22"/>
          <w:u w:val="single"/>
        </w:rPr>
        <w:t>Renal Failure/Renal Impairment</w:t>
      </w:r>
    </w:p>
    <w:p w14:paraId="0C8EA914" w14:textId="77777777" w:rsidR="008B20CA" w:rsidRDefault="008B20CA" w:rsidP="00485A58">
      <w:pPr>
        <w:numPr>
          <w:ilvl w:val="12"/>
          <w:numId w:val="0"/>
        </w:numPr>
        <w:spacing w:line="240" w:lineRule="auto"/>
        <w:ind w:right="-2"/>
        <w:rPr>
          <w:iCs/>
          <w:noProof/>
          <w:szCs w:val="22"/>
        </w:rPr>
      </w:pPr>
    </w:p>
    <w:p w14:paraId="48A24D87" w14:textId="29DC895E" w:rsidR="00485A58" w:rsidRPr="008B20CA" w:rsidRDefault="00485A58" w:rsidP="00485A58">
      <w:pPr>
        <w:numPr>
          <w:ilvl w:val="12"/>
          <w:numId w:val="0"/>
        </w:numPr>
        <w:spacing w:line="240" w:lineRule="auto"/>
        <w:ind w:right="-2"/>
        <w:rPr>
          <w:iCs/>
          <w:noProof/>
          <w:szCs w:val="22"/>
        </w:rPr>
      </w:pPr>
      <w:r w:rsidRPr="008B20CA">
        <w:rPr>
          <w:iCs/>
          <w:noProof/>
          <w:szCs w:val="22"/>
        </w:rPr>
        <w:t xml:space="preserve">Severe renal adverse reactions have been reported in patients receiving </w:t>
      </w:r>
      <w:r w:rsidR="00444E3D" w:rsidRPr="008B20CA">
        <w:rPr>
          <w:iCs/>
          <w:noProof/>
          <w:szCs w:val="22"/>
        </w:rPr>
        <w:t xml:space="preserve">normal immunoglobulin </w:t>
      </w:r>
      <w:r w:rsidRPr="008B20CA">
        <w:rPr>
          <w:iCs/>
          <w:noProof/>
          <w:szCs w:val="22"/>
        </w:rPr>
        <w:t>treatment, particularly those products containing sucrose (Xembify</w:t>
      </w:r>
      <w:r w:rsidRPr="008B20CA">
        <w:rPr>
          <w:iCs/>
          <w:noProof/>
          <w:szCs w:val="22"/>
          <w:vertAlign w:val="superscript"/>
        </w:rPr>
        <w:t>®</w:t>
      </w:r>
      <w:r w:rsidRPr="008B20CA">
        <w:rPr>
          <w:iCs/>
          <w:noProof/>
          <w:szCs w:val="22"/>
        </w:rPr>
        <w:t xml:space="preserve"> does not contain sucrose). These include acute renal failure, acute tubular necrosis, proximal tubular nephropathy and osmotic nephrosis.</w:t>
      </w:r>
    </w:p>
    <w:p w14:paraId="5D23B345" w14:textId="77777777" w:rsidR="00444E3D" w:rsidRPr="008B20CA" w:rsidRDefault="00444E3D" w:rsidP="00485A58">
      <w:pPr>
        <w:numPr>
          <w:ilvl w:val="12"/>
          <w:numId w:val="0"/>
        </w:numPr>
        <w:spacing w:line="240" w:lineRule="auto"/>
        <w:ind w:right="-2"/>
        <w:rPr>
          <w:iCs/>
          <w:noProof/>
          <w:szCs w:val="22"/>
        </w:rPr>
      </w:pPr>
    </w:p>
    <w:p w14:paraId="6233620C" w14:textId="77777777" w:rsidR="00444E3D" w:rsidRPr="008B20CA" w:rsidRDefault="00485A58" w:rsidP="00485A58">
      <w:pPr>
        <w:numPr>
          <w:ilvl w:val="12"/>
          <w:numId w:val="0"/>
        </w:numPr>
        <w:spacing w:line="240" w:lineRule="auto"/>
        <w:ind w:right="-2"/>
      </w:pPr>
      <w:r w:rsidRPr="008B20CA">
        <w:rPr>
          <w:iCs/>
          <w:noProof/>
          <w:szCs w:val="22"/>
        </w:rPr>
        <w:t>Factors that increase the risk of renal complications include, but are not limited to pre-existing renal insufficiency, diabetes mellitus, hypovolemia, concomitant nephrotoxic medicinal products, age over 65, sepsis, hyperviscosity and paraproteinaemia.</w:t>
      </w:r>
      <w:r w:rsidRPr="008B20CA">
        <w:t xml:space="preserve"> </w:t>
      </w:r>
    </w:p>
    <w:p w14:paraId="2C1C2CA8" w14:textId="48FB19CE" w:rsidR="00485A58" w:rsidRPr="008B20CA" w:rsidRDefault="00485A58" w:rsidP="00485A58">
      <w:pPr>
        <w:numPr>
          <w:ilvl w:val="12"/>
          <w:numId w:val="0"/>
        </w:numPr>
        <w:spacing w:line="240" w:lineRule="auto"/>
        <w:ind w:right="-2"/>
        <w:rPr>
          <w:iCs/>
          <w:noProof/>
          <w:szCs w:val="22"/>
        </w:rPr>
      </w:pPr>
      <w:r w:rsidRPr="008B20CA">
        <w:rPr>
          <w:iCs/>
          <w:noProof/>
          <w:szCs w:val="22"/>
        </w:rPr>
        <w:t>In patients at risk of developing renal dysfunction, monitor renal function and consider lower, more frequent Xembify</w:t>
      </w:r>
      <w:r w:rsidRPr="008B20CA">
        <w:rPr>
          <w:iCs/>
          <w:noProof/>
          <w:szCs w:val="22"/>
          <w:vertAlign w:val="superscript"/>
        </w:rPr>
        <w:t xml:space="preserve">® </w:t>
      </w:r>
      <w:r w:rsidRPr="008B20CA">
        <w:rPr>
          <w:iCs/>
          <w:noProof/>
          <w:szCs w:val="22"/>
        </w:rPr>
        <w:t>dosing. Ensure that patients are</w:t>
      </w:r>
      <w:r w:rsidR="00444E3D" w:rsidRPr="008B20CA">
        <w:rPr>
          <w:iCs/>
          <w:noProof/>
          <w:szCs w:val="22"/>
        </w:rPr>
        <w:t xml:space="preserve"> </w:t>
      </w:r>
      <w:r w:rsidRPr="008B20CA">
        <w:rPr>
          <w:iCs/>
          <w:noProof/>
          <w:szCs w:val="22"/>
        </w:rPr>
        <w:t>not volume depleted prior to administration of Xembify</w:t>
      </w:r>
      <w:r w:rsidRPr="008B20CA">
        <w:rPr>
          <w:iCs/>
          <w:noProof/>
          <w:szCs w:val="22"/>
          <w:vertAlign w:val="superscript"/>
        </w:rPr>
        <w:t>®</w:t>
      </w:r>
      <w:r w:rsidRPr="008B20CA">
        <w:rPr>
          <w:iCs/>
          <w:noProof/>
          <w:szCs w:val="22"/>
        </w:rPr>
        <w:t>.</w:t>
      </w:r>
    </w:p>
    <w:p w14:paraId="720E6DA1" w14:textId="77777777" w:rsidR="00201DF5" w:rsidRPr="00485A58" w:rsidRDefault="00201DF5" w:rsidP="00201DF5">
      <w:pPr>
        <w:pStyle w:val="Default"/>
        <w:rPr>
          <w:sz w:val="22"/>
          <w:szCs w:val="22"/>
          <w:lang w:val="en-GB"/>
        </w:rPr>
      </w:pPr>
    </w:p>
    <w:p w14:paraId="2E90BB0A" w14:textId="77777777" w:rsidR="00201DF5" w:rsidRPr="004F0AAF" w:rsidRDefault="00201DF5" w:rsidP="00201DF5">
      <w:pPr>
        <w:pStyle w:val="Default"/>
        <w:keepNext/>
        <w:rPr>
          <w:sz w:val="22"/>
          <w:szCs w:val="22"/>
          <w:u w:val="single"/>
          <w:lang w:val="en-US"/>
        </w:rPr>
      </w:pPr>
      <w:r w:rsidRPr="004F0AAF">
        <w:rPr>
          <w:sz w:val="22"/>
          <w:szCs w:val="22"/>
          <w:u w:val="single"/>
          <w:lang w:val="en-US"/>
        </w:rPr>
        <w:t>Aseptic Meningitis Syndrome (AMS)</w:t>
      </w:r>
    </w:p>
    <w:p w14:paraId="01644AB9" w14:textId="77777777" w:rsidR="00201DF5" w:rsidRDefault="00201DF5" w:rsidP="00201DF5">
      <w:pPr>
        <w:pStyle w:val="Default"/>
        <w:keepNext/>
        <w:rPr>
          <w:sz w:val="22"/>
          <w:szCs w:val="22"/>
          <w:lang w:val="en-US"/>
        </w:rPr>
      </w:pPr>
    </w:p>
    <w:p w14:paraId="7F9357BF" w14:textId="77777777" w:rsidR="00201DF5" w:rsidRPr="004F0AAF" w:rsidRDefault="00201DF5" w:rsidP="00201DF5">
      <w:pPr>
        <w:pStyle w:val="Default"/>
        <w:rPr>
          <w:sz w:val="22"/>
          <w:szCs w:val="22"/>
          <w:lang w:val="en-US"/>
        </w:rPr>
      </w:pPr>
      <w:r w:rsidRPr="004F0AAF">
        <w:rPr>
          <w:sz w:val="22"/>
          <w:szCs w:val="22"/>
          <w:lang w:val="en-US"/>
        </w:rPr>
        <w:t>Aseptic meningitis syndrome has been reported to occur in association with subcutaneous immunoglobulin treatment; the symptoms usually begin within several hours to 2 days following treatment. Discontinuation of immunoglobulin treatment may result in remission of AMS within several days without sequelae.</w:t>
      </w:r>
    </w:p>
    <w:p w14:paraId="529A3199" w14:textId="083F223D" w:rsidR="00201DF5" w:rsidRDefault="00201DF5" w:rsidP="00201DF5">
      <w:pPr>
        <w:pStyle w:val="Default"/>
        <w:rPr>
          <w:sz w:val="22"/>
          <w:szCs w:val="22"/>
          <w:lang w:val="en-US"/>
        </w:rPr>
      </w:pPr>
      <w:r w:rsidRPr="004F0AAF">
        <w:rPr>
          <w:sz w:val="22"/>
          <w:szCs w:val="22"/>
          <w:lang w:val="en-US"/>
        </w:rPr>
        <w:t>Patients should be informed about first symptoms which encompass severe headache, neck stiffness, drowsiness, fever, photophobia, nausea, and vomiting.</w:t>
      </w:r>
    </w:p>
    <w:p w14:paraId="79112618" w14:textId="21EF5FCE" w:rsidR="00CC1B03" w:rsidRDefault="00CC1B03" w:rsidP="00201DF5">
      <w:pPr>
        <w:pStyle w:val="Default"/>
        <w:rPr>
          <w:sz w:val="22"/>
          <w:szCs w:val="22"/>
          <w:lang w:val="en-US"/>
        </w:rPr>
      </w:pPr>
    </w:p>
    <w:p w14:paraId="10694AB7" w14:textId="57151240" w:rsidR="00CC1B03" w:rsidRPr="008B20CA" w:rsidRDefault="00CC1B03" w:rsidP="00CC1B03">
      <w:pPr>
        <w:pStyle w:val="Default"/>
        <w:rPr>
          <w:sz w:val="22"/>
          <w:szCs w:val="22"/>
          <w:u w:val="single"/>
          <w:lang w:val="en-US"/>
        </w:rPr>
      </w:pPr>
      <w:bookmarkStart w:id="7" w:name="_Hlk89676410"/>
      <w:proofErr w:type="spellStart"/>
      <w:r w:rsidRPr="008B20CA">
        <w:rPr>
          <w:sz w:val="22"/>
          <w:szCs w:val="22"/>
          <w:u w:val="single"/>
          <w:lang w:val="en-US"/>
        </w:rPr>
        <w:t>Haemolysis</w:t>
      </w:r>
      <w:proofErr w:type="spellEnd"/>
      <w:r w:rsidR="0023647E" w:rsidRPr="008B20CA">
        <w:rPr>
          <w:sz w:val="22"/>
          <w:szCs w:val="22"/>
          <w:u w:val="single"/>
          <w:lang w:val="en-US"/>
        </w:rPr>
        <w:t>/</w:t>
      </w:r>
      <w:proofErr w:type="spellStart"/>
      <w:r w:rsidR="0023647E" w:rsidRPr="008B20CA">
        <w:rPr>
          <w:sz w:val="22"/>
          <w:szCs w:val="22"/>
          <w:u w:val="single"/>
          <w:lang w:val="en-US"/>
        </w:rPr>
        <w:t>Haemolytic</w:t>
      </w:r>
      <w:proofErr w:type="spellEnd"/>
      <w:r w:rsidR="0023647E" w:rsidRPr="008B20CA">
        <w:rPr>
          <w:sz w:val="22"/>
          <w:szCs w:val="22"/>
          <w:u w:val="single"/>
          <w:lang w:val="en-US"/>
        </w:rPr>
        <w:t xml:space="preserve"> Anemia</w:t>
      </w:r>
    </w:p>
    <w:bookmarkEnd w:id="7"/>
    <w:p w14:paraId="0986ABE8" w14:textId="77777777" w:rsidR="008B20CA" w:rsidRDefault="008B20CA" w:rsidP="00CC1B03">
      <w:pPr>
        <w:pStyle w:val="Default"/>
        <w:rPr>
          <w:sz w:val="22"/>
          <w:szCs w:val="22"/>
          <w:lang w:val="en-US"/>
        </w:rPr>
      </w:pPr>
    </w:p>
    <w:p w14:paraId="773B29B0" w14:textId="57F91425" w:rsidR="00CC1B03" w:rsidRPr="008B20CA" w:rsidRDefault="00DA6424" w:rsidP="00CC1B03">
      <w:pPr>
        <w:pStyle w:val="Default"/>
        <w:rPr>
          <w:sz w:val="22"/>
          <w:szCs w:val="22"/>
          <w:lang w:val="en-US"/>
        </w:rPr>
      </w:pPr>
      <w:r w:rsidRPr="008B20CA">
        <w:rPr>
          <w:sz w:val="22"/>
          <w:szCs w:val="22"/>
          <w:lang w:val="en-US"/>
        </w:rPr>
        <w:t>Normal immunoglobulin</w:t>
      </w:r>
      <w:r w:rsidR="00CC1B03" w:rsidRPr="008B20CA">
        <w:rPr>
          <w:sz w:val="22"/>
          <w:szCs w:val="22"/>
          <w:lang w:val="en-US"/>
        </w:rPr>
        <w:t xml:space="preserve"> products, including Xembify</w:t>
      </w:r>
      <w:r w:rsidR="00CC1B03" w:rsidRPr="008B20CA">
        <w:rPr>
          <w:sz w:val="22"/>
          <w:szCs w:val="22"/>
          <w:vertAlign w:val="superscript"/>
          <w:lang w:val="en-US"/>
        </w:rPr>
        <w:t>®</w:t>
      </w:r>
      <w:r w:rsidR="00CC1B03" w:rsidRPr="008B20CA">
        <w:rPr>
          <w:sz w:val="22"/>
          <w:szCs w:val="22"/>
          <w:lang w:val="en-US"/>
        </w:rPr>
        <w:t xml:space="preserve"> can contain blood group antibodies that may act as </w:t>
      </w:r>
      <w:proofErr w:type="spellStart"/>
      <w:r w:rsidR="00CC1B03" w:rsidRPr="008B20CA">
        <w:rPr>
          <w:sz w:val="22"/>
          <w:szCs w:val="22"/>
          <w:lang w:val="en-US"/>
        </w:rPr>
        <w:t>haemolysins</w:t>
      </w:r>
      <w:proofErr w:type="spellEnd"/>
      <w:r w:rsidR="00CC1B03" w:rsidRPr="008B20CA">
        <w:rPr>
          <w:sz w:val="22"/>
          <w:szCs w:val="22"/>
          <w:lang w:val="en-US"/>
        </w:rPr>
        <w:t xml:space="preserve"> and induce in vivo coating of red blood cells (RBC) with immunoglobulin. This may cause a positive direct antiglobulin reaction [DAT, (</w:t>
      </w:r>
      <w:proofErr w:type="gramStart"/>
      <w:r w:rsidR="00CC1B03" w:rsidRPr="008B20CA">
        <w:rPr>
          <w:sz w:val="22"/>
          <w:szCs w:val="22"/>
          <w:lang w:val="en-US"/>
        </w:rPr>
        <w:t>Coombs</w:t>
      </w:r>
      <w:proofErr w:type="gramEnd"/>
      <w:r w:rsidR="00CC1B03" w:rsidRPr="008B20CA">
        <w:rPr>
          <w:sz w:val="22"/>
          <w:szCs w:val="22"/>
          <w:lang w:val="en-US"/>
        </w:rPr>
        <w:t xml:space="preserve"> test)] and, rarely, </w:t>
      </w:r>
      <w:proofErr w:type="spellStart"/>
      <w:r w:rsidR="00CC1B03" w:rsidRPr="008B20CA">
        <w:rPr>
          <w:sz w:val="22"/>
          <w:szCs w:val="22"/>
          <w:lang w:val="en-US"/>
        </w:rPr>
        <w:t>haemolysis</w:t>
      </w:r>
      <w:proofErr w:type="spellEnd"/>
      <w:r w:rsidR="00CC1B03" w:rsidRPr="008B20CA">
        <w:rPr>
          <w:sz w:val="22"/>
          <w:szCs w:val="22"/>
          <w:lang w:val="en-US"/>
        </w:rPr>
        <w:t xml:space="preserve">. </w:t>
      </w:r>
      <w:r w:rsidR="00CC1B03" w:rsidRPr="008B20CA">
        <w:rPr>
          <w:sz w:val="22"/>
          <w:szCs w:val="22"/>
          <w:lang w:val="en-US"/>
        </w:rPr>
        <w:lastRenderedPageBreak/>
        <w:t xml:space="preserve">Delayed </w:t>
      </w:r>
      <w:proofErr w:type="spellStart"/>
      <w:r w:rsidR="00CC1B03" w:rsidRPr="008B20CA">
        <w:rPr>
          <w:sz w:val="22"/>
          <w:szCs w:val="22"/>
          <w:lang w:val="en-US"/>
        </w:rPr>
        <w:t>haemolytic</w:t>
      </w:r>
      <w:proofErr w:type="spellEnd"/>
      <w:r w:rsidR="00CC1B03" w:rsidRPr="008B20CA">
        <w:rPr>
          <w:sz w:val="22"/>
          <w:szCs w:val="22"/>
          <w:lang w:val="en-US"/>
        </w:rPr>
        <w:t xml:space="preserve"> </w:t>
      </w:r>
      <w:proofErr w:type="spellStart"/>
      <w:r w:rsidR="00CC1B03" w:rsidRPr="008B20CA">
        <w:rPr>
          <w:sz w:val="22"/>
          <w:szCs w:val="22"/>
          <w:lang w:val="en-US"/>
        </w:rPr>
        <w:t>anaemia</w:t>
      </w:r>
      <w:proofErr w:type="spellEnd"/>
      <w:r w:rsidR="00CC1B03" w:rsidRPr="008B20CA">
        <w:rPr>
          <w:sz w:val="22"/>
          <w:szCs w:val="22"/>
          <w:lang w:val="en-US"/>
        </w:rPr>
        <w:t xml:space="preserve"> can develop </w:t>
      </w:r>
      <w:proofErr w:type="gramStart"/>
      <w:r w:rsidR="00CC1B03" w:rsidRPr="008B20CA">
        <w:rPr>
          <w:sz w:val="22"/>
          <w:szCs w:val="22"/>
          <w:lang w:val="en-US"/>
        </w:rPr>
        <w:t>subsequent to</w:t>
      </w:r>
      <w:proofErr w:type="gramEnd"/>
      <w:r w:rsidR="00CC1B03" w:rsidRPr="008B20CA">
        <w:rPr>
          <w:sz w:val="22"/>
          <w:szCs w:val="22"/>
          <w:lang w:val="en-US"/>
        </w:rPr>
        <w:t xml:space="preserve"> </w:t>
      </w:r>
      <w:r w:rsidR="00353AC6" w:rsidRPr="008B20CA">
        <w:rPr>
          <w:sz w:val="22"/>
          <w:szCs w:val="22"/>
          <w:lang w:val="en-US"/>
        </w:rPr>
        <w:t>normal immunoglobulin</w:t>
      </w:r>
      <w:r w:rsidR="00CC1B03" w:rsidRPr="008B20CA">
        <w:rPr>
          <w:sz w:val="22"/>
          <w:szCs w:val="22"/>
          <w:lang w:val="en-US"/>
        </w:rPr>
        <w:t xml:space="preserve"> therapy due to enhanced RBC sequestration, and acute </w:t>
      </w:r>
      <w:proofErr w:type="spellStart"/>
      <w:r w:rsidR="00CC1B03" w:rsidRPr="008B20CA">
        <w:rPr>
          <w:sz w:val="22"/>
          <w:szCs w:val="22"/>
          <w:lang w:val="en-US"/>
        </w:rPr>
        <w:t>haemolysis</w:t>
      </w:r>
      <w:proofErr w:type="spellEnd"/>
      <w:r w:rsidR="00CC1B03" w:rsidRPr="008B20CA">
        <w:rPr>
          <w:sz w:val="22"/>
          <w:szCs w:val="22"/>
          <w:lang w:val="en-US"/>
        </w:rPr>
        <w:t xml:space="preserve"> consistent with intravascular </w:t>
      </w:r>
      <w:proofErr w:type="spellStart"/>
      <w:r w:rsidR="00CC1B03" w:rsidRPr="008B20CA">
        <w:rPr>
          <w:sz w:val="22"/>
          <w:szCs w:val="22"/>
          <w:lang w:val="en-US"/>
        </w:rPr>
        <w:t>haemolysis</w:t>
      </w:r>
      <w:proofErr w:type="spellEnd"/>
      <w:r w:rsidR="00CC1B03" w:rsidRPr="008B20CA">
        <w:rPr>
          <w:sz w:val="22"/>
          <w:szCs w:val="22"/>
          <w:lang w:val="en-US"/>
        </w:rPr>
        <w:t xml:space="preserve"> has been reported. If signs and/or symptoms of hemolysis are present after </w:t>
      </w:r>
      <w:r w:rsidR="00CC1B03" w:rsidRPr="00B07A44">
        <w:rPr>
          <w:sz w:val="22"/>
          <w:szCs w:val="22"/>
          <w:lang w:val="en-US"/>
        </w:rPr>
        <w:t>Xembify</w:t>
      </w:r>
      <w:r w:rsidR="00CC1B03" w:rsidRPr="00B07A44">
        <w:rPr>
          <w:sz w:val="22"/>
          <w:szCs w:val="22"/>
          <w:vertAlign w:val="superscript"/>
          <w:lang w:val="en-US"/>
        </w:rPr>
        <w:t>®</w:t>
      </w:r>
      <w:r w:rsidR="00CC1B03" w:rsidRPr="008B20CA">
        <w:rPr>
          <w:sz w:val="22"/>
          <w:szCs w:val="22"/>
          <w:lang w:val="en-US"/>
        </w:rPr>
        <w:t xml:space="preserve"> infusion, perform appropriate confirmatory laboratory testing.</w:t>
      </w:r>
    </w:p>
    <w:p w14:paraId="140EA199" w14:textId="105A1AC4" w:rsidR="005948BC" w:rsidRDefault="005948BC" w:rsidP="00CC1B03">
      <w:pPr>
        <w:pStyle w:val="Default"/>
        <w:rPr>
          <w:sz w:val="22"/>
          <w:szCs w:val="22"/>
          <w:lang w:val="en-US"/>
        </w:rPr>
      </w:pPr>
    </w:p>
    <w:p w14:paraId="49B58D20" w14:textId="77777777" w:rsidR="005948BC" w:rsidRPr="00951773" w:rsidRDefault="005948BC" w:rsidP="005948BC">
      <w:pPr>
        <w:pStyle w:val="Default"/>
        <w:rPr>
          <w:sz w:val="22"/>
          <w:szCs w:val="22"/>
          <w:u w:val="single"/>
          <w:lang w:val="en-US"/>
        </w:rPr>
      </w:pPr>
      <w:bookmarkStart w:id="8" w:name="_Hlk89676602"/>
      <w:r w:rsidRPr="00951773">
        <w:rPr>
          <w:sz w:val="22"/>
          <w:szCs w:val="22"/>
          <w:u w:val="single"/>
          <w:lang w:val="en-US"/>
        </w:rPr>
        <w:t>Transfusion-related Acute Lung Injury (TRALI)</w:t>
      </w:r>
      <w:bookmarkEnd w:id="8"/>
    </w:p>
    <w:p w14:paraId="03E21895" w14:textId="77777777" w:rsidR="008B20CA" w:rsidRDefault="008B20CA" w:rsidP="005948BC">
      <w:pPr>
        <w:pStyle w:val="Default"/>
        <w:rPr>
          <w:sz w:val="22"/>
          <w:szCs w:val="22"/>
          <w:lang w:val="en-US"/>
        </w:rPr>
      </w:pPr>
    </w:p>
    <w:p w14:paraId="6BC17CCF" w14:textId="0E7D9C4E" w:rsidR="005948BC" w:rsidRDefault="005948BC" w:rsidP="005948BC">
      <w:pPr>
        <w:pStyle w:val="Default"/>
        <w:rPr>
          <w:sz w:val="22"/>
          <w:szCs w:val="22"/>
          <w:lang w:val="en-US"/>
        </w:rPr>
      </w:pPr>
      <w:r w:rsidRPr="005948BC">
        <w:rPr>
          <w:sz w:val="22"/>
          <w:szCs w:val="22"/>
          <w:lang w:val="en-US"/>
        </w:rPr>
        <w:t>Noncardiogenic pulmonary edema may occur in patients following treatment with human immune globulin products. TRALI is</w:t>
      </w:r>
      <w:r>
        <w:rPr>
          <w:sz w:val="22"/>
          <w:szCs w:val="22"/>
          <w:lang w:val="en-US"/>
        </w:rPr>
        <w:t xml:space="preserve"> </w:t>
      </w:r>
      <w:r w:rsidRPr="005948BC">
        <w:rPr>
          <w:sz w:val="22"/>
          <w:szCs w:val="22"/>
          <w:lang w:val="en-US"/>
        </w:rPr>
        <w:t>characterized by severe respiratory distress, pulmonary edema,</w:t>
      </w:r>
      <w:r>
        <w:rPr>
          <w:sz w:val="22"/>
          <w:szCs w:val="22"/>
          <w:lang w:val="en-US"/>
        </w:rPr>
        <w:t xml:space="preserve"> </w:t>
      </w:r>
      <w:r w:rsidRPr="005948BC">
        <w:rPr>
          <w:sz w:val="22"/>
          <w:szCs w:val="22"/>
          <w:lang w:val="en-US"/>
        </w:rPr>
        <w:t>hypoxemia, normal left ventricular function, and fever. Symptoms</w:t>
      </w:r>
      <w:r>
        <w:rPr>
          <w:sz w:val="22"/>
          <w:szCs w:val="22"/>
          <w:lang w:val="en-US"/>
        </w:rPr>
        <w:t xml:space="preserve"> </w:t>
      </w:r>
      <w:r w:rsidRPr="005948BC">
        <w:rPr>
          <w:sz w:val="22"/>
          <w:szCs w:val="22"/>
          <w:lang w:val="en-US"/>
        </w:rPr>
        <w:t>typically occur within 1 to 6 hours after treatment.</w:t>
      </w:r>
      <w:r>
        <w:rPr>
          <w:sz w:val="22"/>
          <w:szCs w:val="22"/>
          <w:lang w:val="en-US"/>
        </w:rPr>
        <w:t xml:space="preserve"> </w:t>
      </w:r>
      <w:r w:rsidRPr="005948BC">
        <w:rPr>
          <w:sz w:val="22"/>
          <w:szCs w:val="22"/>
          <w:lang w:val="en-US"/>
        </w:rPr>
        <w:t>Monitor patients for pulmonary adverse reactions. If TRALI is suspected, perform</w:t>
      </w:r>
      <w:r>
        <w:rPr>
          <w:sz w:val="22"/>
          <w:szCs w:val="22"/>
          <w:lang w:val="en-US"/>
        </w:rPr>
        <w:t xml:space="preserve"> </w:t>
      </w:r>
      <w:r w:rsidRPr="005948BC">
        <w:rPr>
          <w:sz w:val="22"/>
          <w:szCs w:val="22"/>
          <w:lang w:val="en-US"/>
        </w:rPr>
        <w:t>appropriate tests for the presence of anti-neutrophil and</w:t>
      </w:r>
      <w:r>
        <w:rPr>
          <w:sz w:val="22"/>
          <w:szCs w:val="22"/>
          <w:lang w:val="en-US"/>
        </w:rPr>
        <w:t xml:space="preserve"> </w:t>
      </w:r>
      <w:r w:rsidRPr="005948BC">
        <w:rPr>
          <w:sz w:val="22"/>
          <w:szCs w:val="22"/>
          <w:lang w:val="en-US"/>
        </w:rPr>
        <w:t>anti-HLA antibodies in both the product and</w:t>
      </w:r>
      <w:r>
        <w:rPr>
          <w:sz w:val="22"/>
          <w:szCs w:val="22"/>
          <w:lang w:val="en-US"/>
        </w:rPr>
        <w:t xml:space="preserve"> </w:t>
      </w:r>
      <w:r w:rsidRPr="005948BC">
        <w:rPr>
          <w:sz w:val="22"/>
          <w:szCs w:val="22"/>
          <w:lang w:val="en-US"/>
        </w:rPr>
        <w:t>patient serum. TRALI may be managed using oxygen therapy with adequate ventilatory</w:t>
      </w:r>
      <w:r>
        <w:rPr>
          <w:sz w:val="22"/>
          <w:szCs w:val="22"/>
          <w:lang w:val="en-US"/>
        </w:rPr>
        <w:t xml:space="preserve"> </w:t>
      </w:r>
      <w:r w:rsidRPr="005948BC">
        <w:rPr>
          <w:sz w:val="22"/>
          <w:szCs w:val="22"/>
          <w:lang w:val="en-US"/>
        </w:rPr>
        <w:t>support.</w:t>
      </w:r>
    </w:p>
    <w:p w14:paraId="006D9FAA" w14:textId="77777777" w:rsidR="00201DF5" w:rsidRDefault="00201DF5" w:rsidP="00201DF5">
      <w:pPr>
        <w:pStyle w:val="Default"/>
        <w:rPr>
          <w:sz w:val="22"/>
          <w:szCs w:val="22"/>
          <w:lang w:val="en-US"/>
        </w:rPr>
      </w:pPr>
    </w:p>
    <w:p w14:paraId="0892F183" w14:textId="77777777" w:rsidR="00201DF5" w:rsidRPr="00A14902" w:rsidRDefault="00201DF5" w:rsidP="00201DF5">
      <w:pPr>
        <w:pStyle w:val="Default"/>
        <w:rPr>
          <w:sz w:val="22"/>
          <w:szCs w:val="22"/>
          <w:u w:val="single"/>
          <w:lang w:val="en-US"/>
        </w:rPr>
      </w:pPr>
      <w:r w:rsidRPr="00A14902">
        <w:rPr>
          <w:sz w:val="22"/>
          <w:szCs w:val="22"/>
          <w:u w:val="single"/>
          <w:lang w:val="en-US"/>
        </w:rPr>
        <w:t xml:space="preserve">Important information about some of the ingredients of </w:t>
      </w:r>
      <w:r w:rsidR="00805A20">
        <w:rPr>
          <w:sz w:val="22"/>
          <w:szCs w:val="22"/>
          <w:u w:val="single"/>
          <w:lang w:val="en-US"/>
        </w:rPr>
        <w:t>Xembify</w:t>
      </w:r>
      <w:r w:rsidR="00805A20" w:rsidRPr="00805A20">
        <w:rPr>
          <w:sz w:val="22"/>
          <w:szCs w:val="22"/>
          <w:u w:val="single"/>
          <w:vertAlign w:val="superscript"/>
          <w:lang w:val="en-US"/>
        </w:rPr>
        <w:t>®</w:t>
      </w:r>
      <w:r w:rsidR="00805A20">
        <w:rPr>
          <w:sz w:val="22"/>
          <w:szCs w:val="22"/>
          <w:u w:val="single"/>
          <w:lang w:val="en-US"/>
        </w:rPr>
        <w:t xml:space="preserve"> </w:t>
      </w:r>
    </w:p>
    <w:p w14:paraId="0847DD46" w14:textId="77777777" w:rsidR="00201DF5" w:rsidRDefault="00201DF5" w:rsidP="00201DF5">
      <w:pPr>
        <w:pStyle w:val="Default"/>
        <w:rPr>
          <w:sz w:val="22"/>
          <w:szCs w:val="22"/>
          <w:lang w:val="en-US"/>
        </w:rPr>
      </w:pPr>
    </w:p>
    <w:p w14:paraId="48008BA0" w14:textId="77777777" w:rsidR="00201DF5" w:rsidRPr="0062703B" w:rsidRDefault="00201DF5" w:rsidP="00201DF5">
      <w:pPr>
        <w:pStyle w:val="Default"/>
        <w:rPr>
          <w:color w:val="auto"/>
          <w:sz w:val="22"/>
          <w:szCs w:val="22"/>
          <w:lang w:val="en-US"/>
        </w:rPr>
      </w:pPr>
      <w:r w:rsidRPr="0062703B">
        <w:rPr>
          <w:color w:val="auto"/>
          <w:sz w:val="22"/>
          <w:szCs w:val="22"/>
          <w:lang w:val="en-US"/>
        </w:rPr>
        <w:t>The medicinal product is essentially sodium free.</w:t>
      </w:r>
    </w:p>
    <w:p w14:paraId="57F95C5E" w14:textId="77777777" w:rsidR="00201DF5" w:rsidRDefault="00201DF5" w:rsidP="00201DF5">
      <w:pPr>
        <w:pStyle w:val="Default"/>
        <w:rPr>
          <w:sz w:val="22"/>
          <w:szCs w:val="22"/>
          <w:lang w:val="en-US"/>
        </w:rPr>
      </w:pPr>
    </w:p>
    <w:p w14:paraId="3FC72734" w14:textId="77777777" w:rsidR="00201DF5" w:rsidRDefault="00201DF5" w:rsidP="00201DF5">
      <w:pPr>
        <w:keepNext/>
        <w:spacing w:line="240" w:lineRule="auto"/>
        <w:rPr>
          <w:u w:val="single"/>
        </w:rPr>
      </w:pPr>
      <w:r w:rsidRPr="0045605B">
        <w:rPr>
          <w:u w:val="single"/>
        </w:rPr>
        <w:t>Transmissible agents</w:t>
      </w:r>
    </w:p>
    <w:p w14:paraId="5637DA98" w14:textId="77777777" w:rsidR="00201DF5" w:rsidRDefault="00201DF5" w:rsidP="00201DF5">
      <w:pPr>
        <w:keepNext/>
        <w:autoSpaceDE w:val="0"/>
        <w:autoSpaceDN w:val="0"/>
        <w:adjustRightInd w:val="0"/>
        <w:spacing w:line="240" w:lineRule="auto"/>
        <w:rPr>
          <w:szCs w:val="22"/>
        </w:rPr>
      </w:pPr>
    </w:p>
    <w:p w14:paraId="37C9D7DB" w14:textId="77777777" w:rsidR="00201DF5" w:rsidRPr="007F2C52" w:rsidRDefault="00201DF5" w:rsidP="00201DF5">
      <w:pPr>
        <w:autoSpaceDE w:val="0"/>
        <w:autoSpaceDN w:val="0"/>
        <w:adjustRightInd w:val="0"/>
        <w:spacing w:line="240" w:lineRule="auto"/>
        <w:rPr>
          <w:szCs w:val="22"/>
        </w:rPr>
      </w:pPr>
      <w:r w:rsidRPr="002868D5">
        <w:rPr>
          <w:szCs w:val="22"/>
        </w:rPr>
        <w:t>Standard measures to prevent infections resulting from the use of medicinal products prepared from</w:t>
      </w:r>
      <w:r>
        <w:rPr>
          <w:szCs w:val="22"/>
        </w:rPr>
        <w:t xml:space="preserve"> </w:t>
      </w:r>
      <w:r w:rsidRPr="002868D5">
        <w:rPr>
          <w:szCs w:val="22"/>
        </w:rPr>
        <w:t>human blood or plasma include selection of donors, screening of individual donations and plasma pools</w:t>
      </w:r>
      <w:r>
        <w:rPr>
          <w:szCs w:val="22"/>
        </w:rPr>
        <w:t xml:space="preserve"> </w:t>
      </w:r>
      <w:r w:rsidRPr="002868D5">
        <w:rPr>
          <w:szCs w:val="22"/>
        </w:rPr>
        <w:t>for specific markers of infection and the inclusion of effective manufacturing steps for the inactivation /</w:t>
      </w:r>
      <w:r>
        <w:rPr>
          <w:szCs w:val="22"/>
        </w:rPr>
        <w:t xml:space="preserve"> </w:t>
      </w:r>
      <w:r w:rsidRPr="002868D5">
        <w:rPr>
          <w:szCs w:val="22"/>
        </w:rPr>
        <w:t>removal of viruses. Despite this, when medicinal products prepared from human blood or plasma are</w:t>
      </w:r>
      <w:r>
        <w:rPr>
          <w:szCs w:val="22"/>
        </w:rPr>
        <w:t xml:space="preserve"> </w:t>
      </w:r>
      <w:r w:rsidRPr="002868D5">
        <w:rPr>
          <w:szCs w:val="22"/>
        </w:rPr>
        <w:t xml:space="preserve">administered, the possibility of transmitting infective agents cannot be totally excluded. </w:t>
      </w:r>
      <w:r w:rsidRPr="007F2C52">
        <w:rPr>
          <w:szCs w:val="22"/>
        </w:rPr>
        <w:t>This also applies to unknown or emerging viruses and other pathogens.</w:t>
      </w:r>
    </w:p>
    <w:p w14:paraId="556AAFD8" w14:textId="77777777" w:rsidR="00201DF5" w:rsidRPr="007F2C52" w:rsidRDefault="00201DF5" w:rsidP="00201DF5">
      <w:pPr>
        <w:autoSpaceDE w:val="0"/>
        <w:autoSpaceDN w:val="0"/>
        <w:adjustRightInd w:val="0"/>
        <w:spacing w:line="240" w:lineRule="auto"/>
        <w:rPr>
          <w:szCs w:val="22"/>
        </w:rPr>
      </w:pPr>
    </w:p>
    <w:p w14:paraId="78E8CFA7" w14:textId="77777777" w:rsidR="00201DF5" w:rsidRPr="000B0D1D" w:rsidRDefault="00201DF5" w:rsidP="00201DF5">
      <w:pPr>
        <w:autoSpaceDE w:val="0"/>
        <w:autoSpaceDN w:val="0"/>
        <w:adjustRightInd w:val="0"/>
        <w:spacing w:line="240" w:lineRule="auto"/>
        <w:rPr>
          <w:szCs w:val="22"/>
        </w:rPr>
      </w:pPr>
      <w:r w:rsidRPr="007F2C52">
        <w:rPr>
          <w:szCs w:val="22"/>
        </w:rPr>
        <w:t>The measures taken are considered effective for enveloped viruses such as human immunodeficiency</w:t>
      </w:r>
      <w:r>
        <w:rPr>
          <w:szCs w:val="22"/>
        </w:rPr>
        <w:t xml:space="preserve"> </w:t>
      </w:r>
      <w:r w:rsidRPr="007F2C52">
        <w:rPr>
          <w:szCs w:val="22"/>
        </w:rPr>
        <w:t>virus (HIV), hepatitis B virus</w:t>
      </w:r>
      <w:r>
        <w:rPr>
          <w:szCs w:val="22"/>
        </w:rPr>
        <w:t xml:space="preserve"> (HBV)</w:t>
      </w:r>
      <w:r w:rsidRPr="007F2C52">
        <w:rPr>
          <w:szCs w:val="22"/>
        </w:rPr>
        <w:t xml:space="preserve"> and hepatitis C</w:t>
      </w:r>
      <w:r>
        <w:rPr>
          <w:szCs w:val="22"/>
        </w:rPr>
        <w:t xml:space="preserve"> (HCV)</w:t>
      </w:r>
      <w:r w:rsidRPr="007F2C52">
        <w:rPr>
          <w:szCs w:val="22"/>
        </w:rPr>
        <w:t xml:space="preserve"> virus, and for the non-enveloped hepatitis A</w:t>
      </w:r>
      <w:r>
        <w:rPr>
          <w:szCs w:val="22"/>
        </w:rPr>
        <w:t xml:space="preserve"> virus (HAV)</w:t>
      </w:r>
      <w:r w:rsidRPr="007F2C52">
        <w:rPr>
          <w:szCs w:val="22"/>
        </w:rPr>
        <w:t xml:space="preserve">. </w:t>
      </w:r>
      <w:r w:rsidRPr="000B0D1D">
        <w:rPr>
          <w:szCs w:val="22"/>
        </w:rPr>
        <w:t xml:space="preserve">The measures taken may be of limited value against non-enveloped viruses such as parvovirus B19. </w:t>
      </w:r>
    </w:p>
    <w:p w14:paraId="16731FDF" w14:textId="77777777" w:rsidR="00201DF5" w:rsidRDefault="00201DF5" w:rsidP="00201DF5">
      <w:pPr>
        <w:autoSpaceDE w:val="0"/>
        <w:autoSpaceDN w:val="0"/>
        <w:adjustRightInd w:val="0"/>
        <w:spacing w:line="240" w:lineRule="auto"/>
        <w:jc w:val="both"/>
        <w:rPr>
          <w:szCs w:val="22"/>
        </w:rPr>
      </w:pPr>
    </w:p>
    <w:p w14:paraId="599A7E8F" w14:textId="77777777" w:rsidR="00201DF5" w:rsidRDefault="00201DF5" w:rsidP="00201DF5">
      <w:pPr>
        <w:autoSpaceDE w:val="0"/>
        <w:autoSpaceDN w:val="0"/>
        <w:adjustRightInd w:val="0"/>
        <w:spacing w:line="240" w:lineRule="auto"/>
        <w:rPr>
          <w:szCs w:val="22"/>
        </w:rPr>
      </w:pPr>
      <w:r w:rsidRPr="0064091C">
        <w:rPr>
          <w:szCs w:val="22"/>
        </w:rPr>
        <w:t>There is reassuring clinical experience regarding the lack of hepatitis A or parvovirus B19 transmission</w:t>
      </w:r>
      <w:r>
        <w:rPr>
          <w:szCs w:val="22"/>
        </w:rPr>
        <w:t xml:space="preserve"> </w:t>
      </w:r>
      <w:r w:rsidRPr="0064091C">
        <w:rPr>
          <w:szCs w:val="22"/>
        </w:rPr>
        <w:t>with immunoglobulins and it is also assumed that the antibody content makes an important</w:t>
      </w:r>
      <w:r>
        <w:rPr>
          <w:szCs w:val="22"/>
        </w:rPr>
        <w:t xml:space="preserve"> </w:t>
      </w:r>
      <w:r w:rsidRPr="0064091C">
        <w:rPr>
          <w:szCs w:val="22"/>
        </w:rPr>
        <w:t>contribution to the viral safety.</w:t>
      </w:r>
    </w:p>
    <w:p w14:paraId="16F617E8" w14:textId="77777777" w:rsidR="00201DF5" w:rsidRPr="007F2C52" w:rsidRDefault="00201DF5" w:rsidP="00201DF5">
      <w:pPr>
        <w:autoSpaceDE w:val="0"/>
        <w:autoSpaceDN w:val="0"/>
        <w:adjustRightInd w:val="0"/>
        <w:spacing w:line="240" w:lineRule="auto"/>
        <w:jc w:val="both"/>
        <w:rPr>
          <w:szCs w:val="22"/>
        </w:rPr>
      </w:pPr>
    </w:p>
    <w:p w14:paraId="79FFDE98" w14:textId="77777777" w:rsidR="00201DF5" w:rsidRDefault="00201DF5" w:rsidP="00201DF5">
      <w:pPr>
        <w:autoSpaceDE w:val="0"/>
        <w:autoSpaceDN w:val="0"/>
        <w:adjustRightInd w:val="0"/>
        <w:spacing w:line="240" w:lineRule="auto"/>
      </w:pPr>
      <w:r w:rsidRPr="002868D5">
        <w:t xml:space="preserve">It is strongly recommended that every time that </w:t>
      </w:r>
      <w:r w:rsidR="00805A20">
        <w:t>Xembify</w:t>
      </w:r>
      <w:r w:rsidR="00805A20" w:rsidRPr="00805A20">
        <w:rPr>
          <w:vertAlign w:val="superscript"/>
        </w:rPr>
        <w:t>®</w:t>
      </w:r>
      <w:r>
        <w:t xml:space="preserve"> </w:t>
      </w:r>
      <w:r w:rsidRPr="002868D5">
        <w:t xml:space="preserve">is administered to a patient, the name and batch number of the product are recorded </w:t>
      </w:r>
      <w:proofErr w:type="gramStart"/>
      <w:r w:rsidRPr="002868D5">
        <w:t>in order to</w:t>
      </w:r>
      <w:proofErr w:type="gramEnd"/>
      <w:r w:rsidRPr="002868D5">
        <w:t xml:space="preserve"> maintain a link between the patient and the batch of the product.</w:t>
      </w:r>
    </w:p>
    <w:p w14:paraId="680B59B6" w14:textId="7886A1AD" w:rsidR="00201DF5" w:rsidRDefault="00201DF5" w:rsidP="00201DF5">
      <w:pPr>
        <w:autoSpaceDE w:val="0"/>
        <w:autoSpaceDN w:val="0"/>
        <w:adjustRightInd w:val="0"/>
        <w:spacing w:line="240" w:lineRule="auto"/>
      </w:pPr>
    </w:p>
    <w:p w14:paraId="5FF56015" w14:textId="7AD3B35C" w:rsidR="00444E3D" w:rsidRPr="008B20CA" w:rsidRDefault="00444E3D" w:rsidP="00201DF5">
      <w:pPr>
        <w:autoSpaceDE w:val="0"/>
        <w:autoSpaceDN w:val="0"/>
        <w:adjustRightInd w:val="0"/>
        <w:spacing w:line="240" w:lineRule="auto"/>
        <w:rPr>
          <w:u w:val="single"/>
        </w:rPr>
      </w:pPr>
      <w:r w:rsidRPr="008B20CA">
        <w:rPr>
          <w:u w:val="single"/>
        </w:rPr>
        <w:t>Use in hepatic impairment</w:t>
      </w:r>
    </w:p>
    <w:p w14:paraId="426F6150" w14:textId="77777777" w:rsidR="00444E3D" w:rsidRDefault="00444E3D" w:rsidP="00201DF5">
      <w:pPr>
        <w:autoSpaceDE w:val="0"/>
        <w:autoSpaceDN w:val="0"/>
        <w:adjustRightInd w:val="0"/>
        <w:spacing w:line="240" w:lineRule="auto"/>
      </w:pPr>
    </w:p>
    <w:p w14:paraId="2694CF6D" w14:textId="67FBD035" w:rsidR="00444E3D" w:rsidRDefault="00444E3D" w:rsidP="00201DF5">
      <w:pPr>
        <w:autoSpaceDE w:val="0"/>
        <w:autoSpaceDN w:val="0"/>
        <w:adjustRightInd w:val="0"/>
        <w:spacing w:line="240" w:lineRule="auto"/>
      </w:pPr>
      <w:r w:rsidRPr="00444E3D">
        <w:t xml:space="preserve">There are no known specific considerations </w:t>
      </w:r>
      <w:proofErr w:type="gramStart"/>
      <w:r w:rsidRPr="00444E3D">
        <w:t>with regard to</w:t>
      </w:r>
      <w:proofErr w:type="gramEnd"/>
      <w:r w:rsidRPr="00444E3D">
        <w:t xml:space="preserve"> patients with hepatic impairment.</w:t>
      </w:r>
    </w:p>
    <w:p w14:paraId="72F4265C" w14:textId="77777777" w:rsidR="00444E3D" w:rsidRDefault="00444E3D" w:rsidP="00201DF5">
      <w:pPr>
        <w:autoSpaceDE w:val="0"/>
        <w:autoSpaceDN w:val="0"/>
        <w:adjustRightInd w:val="0"/>
        <w:spacing w:line="240" w:lineRule="auto"/>
      </w:pPr>
    </w:p>
    <w:p w14:paraId="167D9BEC" w14:textId="77777777" w:rsidR="00D948DB" w:rsidRDefault="00D948DB" w:rsidP="00201DF5">
      <w:pPr>
        <w:keepNext/>
        <w:autoSpaceDE w:val="0"/>
        <w:autoSpaceDN w:val="0"/>
        <w:adjustRightInd w:val="0"/>
        <w:spacing w:line="240" w:lineRule="auto"/>
        <w:rPr>
          <w:u w:val="single"/>
        </w:rPr>
      </w:pPr>
      <w:r>
        <w:rPr>
          <w:u w:val="single"/>
        </w:rPr>
        <w:t>Use in the elderly</w:t>
      </w:r>
    </w:p>
    <w:p w14:paraId="6BD3696D" w14:textId="77777777" w:rsidR="00D948DB" w:rsidRDefault="00D948DB" w:rsidP="00201DF5">
      <w:pPr>
        <w:keepNext/>
        <w:autoSpaceDE w:val="0"/>
        <w:autoSpaceDN w:val="0"/>
        <w:adjustRightInd w:val="0"/>
        <w:spacing w:line="240" w:lineRule="auto"/>
        <w:rPr>
          <w:u w:val="single"/>
        </w:rPr>
      </w:pPr>
    </w:p>
    <w:p w14:paraId="28805962" w14:textId="0FAAD4E2" w:rsidR="00D948DB" w:rsidRPr="007655BE" w:rsidRDefault="00D948DB" w:rsidP="00C42AEA">
      <w:pPr>
        <w:autoSpaceDE w:val="0"/>
        <w:autoSpaceDN w:val="0"/>
        <w:adjustRightInd w:val="0"/>
        <w:spacing w:line="240" w:lineRule="auto"/>
      </w:pPr>
      <w:bookmarkStart w:id="9" w:name="_Hlk89672878"/>
      <w:r w:rsidRPr="007655BE">
        <w:t xml:space="preserve">Use caution when administering </w:t>
      </w:r>
      <w:r w:rsidR="00805A20">
        <w:t>Xembify</w:t>
      </w:r>
      <w:r w:rsidR="00805A20" w:rsidRPr="00805A20">
        <w:rPr>
          <w:vertAlign w:val="superscript"/>
        </w:rPr>
        <w:t>®</w:t>
      </w:r>
      <w:r w:rsidRPr="007655BE">
        <w:t xml:space="preserve"> to patients </w:t>
      </w:r>
      <w:proofErr w:type="gramStart"/>
      <w:r w:rsidRPr="007655BE">
        <w:t>age</w:t>
      </w:r>
      <w:proofErr w:type="gramEnd"/>
      <w:r w:rsidRPr="007655BE">
        <w:t xml:space="preserve"> 65 and over who are at increased risk for thrombosis.</w:t>
      </w:r>
      <w:r w:rsidR="00EE04B5">
        <w:t xml:space="preserve"> While older individuals may have decreased renal, hepatic, or cardiac reserve, there are no specific considerations for </w:t>
      </w:r>
      <w:r w:rsidR="00BB6E0F">
        <w:t xml:space="preserve">subcutaneous </w:t>
      </w:r>
      <w:r w:rsidR="00EE04B5">
        <w:t xml:space="preserve">administration </w:t>
      </w:r>
      <w:r w:rsidR="0029557D">
        <w:t>based on age alone apart</w:t>
      </w:r>
      <w:r w:rsidR="00EE04B5">
        <w:t xml:space="preserve"> from </w:t>
      </w:r>
      <w:proofErr w:type="gramStart"/>
      <w:r w:rsidR="0029557D">
        <w:t>aforementioned</w:t>
      </w:r>
      <w:r w:rsidR="00BB6E0F">
        <w:t xml:space="preserve"> thromboembolism</w:t>
      </w:r>
      <w:proofErr w:type="gramEnd"/>
      <w:r w:rsidR="00C42AEA">
        <w:t xml:space="preserve"> </w:t>
      </w:r>
      <w:r w:rsidR="00885B69">
        <w:t>risk</w:t>
      </w:r>
      <w:r w:rsidR="0029557D">
        <w:t>.</w:t>
      </w:r>
      <w:r w:rsidR="00BB6E0F">
        <w:t xml:space="preserve"> No dose adjustments are</w:t>
      </w:r>
      <w:r w:rsidR="00885B69">
        <w:t xml:space="preserve"> specifically</w:t>
      </w:r>
      <w:r w:rsidR="00BB6E0F">
        <w:t xml:space="preserve"> necessary in this age group</w:t>
      </w:r>
      <w:r w:rsidR="00C42AEA">
        <w:t xml:space="preserve"> and choice of dose level is dependent on best medical judgement for each individual patient. Do not exceed the recommended dose of Xembify</w:t>
      </w:r>
      <w:r w:rsidR="00C42AEA" w:rsidRPr="00805A20">
        <w:rPr>
          <w:vertAlign w:val="superscript"/>
        </w:rPr>
        <w:t>®</w:t>
      </w:r>
      <w:r w:rsidR="00C42AEA">
        <w:rPr>
          <w:vertAlign w:val="superscript"/>
        </w:rPr>
        <w:t xml:space="preserve"> </w:t>
      </w:r>
      <w:r w:rsidR="0029557D">
        <w:t>and</w:t>
      </w:r>
      <w:r w:rsidR="00C42AEA">
        <w:t xml:space="preserve"> employ a</w:t>
      </w:r>
      <w:r w:rsidR="0029557D">
        <w:t xml:space="preserve"> conservative infusion rate if indicated</w:t>
      </w:r>
      <w:r w:rsidR="00885B69">
        <w:t xml:space="preserve">. </w:t>
      </w:r>
      <w:r w:rsidR="0029557D">
        <w:t>Assure a</w:t>
      </w:r>
      <w:r w:rsidR="00885B69">
        <w:t>dequate hydration before Xembify</w:t>
      </w:r>
      <w:r w:rsidR="00885B69" w:rsidRPr="00805A20">
        <w:rPr>
          <w:vertAlign w:val="superscript"/>
        </w:rPr>
        <w:t>®</w:t>
      </w:r>
      <w:r w:rsidR="00885B69">
        <w:rPr>
          <w:vertAlign w:val="superscript"/>
        </w:rPr>
        <w:t xml:space="preserve"> </w:t>
      </w:r>
      <w:r w:rsidR="00885B69">
        <w:t>administration.</w:t>
      </w:r>
      <w:r w:rsidR="00C42AEA">
        <w:t xml:space="preserve"> Among</w:t>
      </w:r>
      <w:r w:rsidR="00885B69">
        <w:t xml:space="preserve"> drugs commonly used in the elderly popula</w:t>
      </w:r>
      <w:r w:rsidR="0029557D">
        <w:t>t</w:t>
      </w:r>
      <w:r w:rsidR="00885B69">
        <w:t xml:space="preserve">ion </w:t>
      </w:r>
      <w:r w:rsidR="00C42AEA">
        <w:t xml:space="preserve">there are no anticipated drug-drug interactions </w:t>
      </w:r>
      <w:r w:rsidR="00BB6E0F">
        <w:t>based on metabolic or elimination pathways.</w:t>
      </w:r>
    </w:p>
    <w:bookmarkEnd w:id="9"/>
    <w:p w14:paraId="5EF1D5E6" w14:textId="77777777" w:rsidR="00D948DB" w:rsidRDefault="00D948DB" w:rsidP="001E6C47">
      <w:pPr>
        <w:autoSpaceDE w:val="0"/>
        <w:autoSpaceDN w:val="0"/>
        <w:adjustRightInd w:val="0"/>
        <w:spacing w:line="240" w:lineRule="auto"/>
        <w:rPr>
          <w:u w:val="single"/>
        </w:rPr>
      </w:pPr>
    </w:p>
    <w:p w14:paraId="7EA7B576" w14:textId="77777777" w:rsidR="00201DF5" w:rsidRPr="002A46D1" w:rsidRDefault="00201DF5" w:rsidP="00201DF5">
      <w:pPr>
        <w:keepNext/>
        <w:autoSpaceDE w:val="0"/>
        <w:autoSpaceDN w:val="0"/>
        <w:adjustRightInd w:val="0"/>
        <w:spacing w:line="240" w:lineRule="auto"/>
        <w:rPr>
          <w:u w:val="single"/>
        </w:rPr>
      </w:pPr>
      <w:r w:rsidRPr="002A46D1">
        <w:rPr>
          <w:u w:val="single"/>
        </w:rPr>
        <w:lastRenderedPageBreak/>
        <w:t xml:space="preserve">Paediatric </w:t>
      </w:r>
      <w:r w:rsidR="00D948DB">
        <w:rPr>
          <w:u w:val="single"/>
        </w:rPr>
        <w:t>use</w:t>
      </w:r>
    </w:p>
    <w:p w14:paraId="02E97911" w14:textId="77777777" w:rsidR="00201DF5" w:rsidRDefault="00201DF5" w:rsidP="00201DF5">
      <w:pPr>
        <w:keepNext/>
        <w:autoSpaceDE w:val="0"/>
        <w:autoSpaceDN w:val="0"/>
        <w:adjustRightInd w:val="0"/>
        <w:spacing w:line="240" w:lineRule="auto"/>
      </w:pPr>
    </w:p>
    <w:p w14:paraId="51D624C4" w14:textId="4A1F7139" w:rsidR="00201DF5" w:rsidRDefault="00201DF5" w:rsidP="00201DF5">
      <w:pPr>
        <w:autoSpaceDE w:val="0"/>
        <w:autoSpaceDN w:val="0"/>
        <w:adjustRightInd w:val="0"/>
        <w:spacing w:line="240" w:lineRule="auto"/>
      </w:pPr>
      <w:bookmarkStart w:id="10" w:name="_Hlk89673001"/>
      <w:r>
        <w:t>The listed warnings and precautions apply to both adults and children.</w:t>
      </w:r>
      <w:r w:rsidR="00C42AEA" w:rsidRPr="00C42AEA">
        <w:t xml:space="preserve"> </w:t>
      </w:r>
      <w:bookmarkStart w:id="11" w:name="_Hlk89675828"/>
      <w:r w:rsidR="00C42AEA">
        <w:t xml:space="preserve">Paediatric </w:t>
      </w:r>
      <w:r w:rsidR="00C42AEA" w:rsidRPr="00C42AEA">
        <w:t>patients &lt;2 years of age were not included in studies and subsequent</w:t>
      </w:r>
      <w:r w:rsidR="00C42AEA">
        <w:t>ly there is</w:t>
      </w:r>
      <w:r w:rsidR="00C42AEA" w:rsidRPr="00C42AEA">
        <w:t xml:space="preserve"> lack of data </w:t>
      </w:r>
      <w:r w:rsidR="00C42AEA">
        <w:t>specific to</w:t>
      </w:r>
      <w:r w:rsidR="00C42AEA" w:rsidRPr="00C42AEA">
        <w:t xml:space="preserve"> this population</w:t>
      </w:r>
      <w:r w:rsidR="00444E3D">
        <w:t>.</w:t>
      </w:r>
      <w:bookmarkEnd w:id="11"/>
    </w:p>
    <w:bookmarkEnd w:id="10"/>
    <w:p w14:paraId="1F4D57C3" w14:textId="77777777" w:rsidR="00D948DB" w:rsidRDefault="00D948DB" w:rsidP="00201DF5">
      <w:pPr>
        <w:autoSpaceDE w:val="0"/>
        <w:autoSpaceDN w:val="0"/>
        <w:adjustRightInd w:val="0"/>
        <w:spacing w:line="240" w:lineRule="auto"/>
        <w:rPr>
          <w:i/>
          <w:iCs/>
        </w:rPr>
      </w:pPr>
    </w:p>
    <w:p w14:paraId="752C952D" w14:textId="77777777" w:rsidR="00D948DB" w:rsidRPr="008676DF" w:rsidRDefault="00D948DB" w:rsidP="00D948DB">
      <w:pPr>
        <w:keepNext/>
        <w:autoSpaceDE w:val="0"/>
        <w:autoSpaceDN w:val="0"/>
        <w:adjustRightInd w:val="0"/>
        <w:spacing w:line="240" w:lineRule="auto"/>
        <w:rPr>
          <w:u w:val="single"/>
        </w:rPr>
      </w:pPr>
      <w:r w:rsidRPr="007655BE">
        <w:rPr>
          <w:u w:val="single"/>
        </w:rPr>
        <w:t>Effects on laboratory tests</w:t>
      </w:r>
    </w:p>
    <w:p w14:paraId="4A63C82C" w14:textId="77777777" w:rsidR="00D948DB" w:rsidRDefault="00D948DB" w:rsidP="00D948DB">
      <w:pPr>
        <w:keepNext/>
        <w:autoSpaceDE w:val="0"/>
        <w:autoSpaceDN w:val="0"/>
        <w:adjustRightInd w:val="0"/>
        <w:spacing w:line="240" w:lineRule="auto"/>
        <w:rPr>
          <w:u w:val="single"/>
        </w:rPr>
      </w:pPr>
    </w:p>
    <w:p w14:paraId="71031E51" w14:textId="77777777" w:rsidR="00D948DB" w:rsidRPr="007655BE" w:rsidRDefault="00D948DB" w:rsidP="007655BE">
      <w:pPr>
        <w:autoSpaceDE w:val="0"/>
        <w:autoSpaceDN w:val="0"/>
        <w:adjustRightInd w:val="0"/>
        <w:spacing w:line="240" w:lineRule="auto"/>
      </w:pPr>
      <w:r w:rsidRPr="007655BE">
        <w:t>After injection of immunoglobulin the transitory rise of the various passively transferred antibodies in the patient’s blood may result in misleading positive results in serological testing.</w:t>
      </w:r>
    </w:p>
    <w:p w14:paraId="1FAEFD91" w14:textId="77777777" w:rsidR="00D948DB" w:rsidRPr="007655BE" w:rsidRDefault="00D948DB" w:rsidP="00FA2CA7">
      <w:pPr>
        <w:autoSpaceDE w:val="0"/>
        <w:autoSpaceDN w:val="0"/>
        <w:adjustRightInd w:val="0"/>
        <w:spacing w:line="240" w:lineRule="auto"/>
      </w:pPr>
      <w:r w:rsidRPr="007655BE">
        <w:t>Passive transmission of antibodies to erythrocyte antigens, e.g. A, B, D may interfere with some serological tests for red cell antibodies for example the direct antiglobulin test (DAT, direct Coombs’ test).</w:t>
      </w:r>
    </w:p>
    <w:p w14:paraId="17426C22" w14:textId="77777777" w:rsidR="00201DF5" w:rsidRPr="003F47E9" w:rsidRDefault="00201DF5" w:rsidP="003F47E9">
      <w:pPr>
        <w:autoSpaceDE w:val="0"/>
        <w:autoSpaceDN w:val="0"/>
        <w:adjustRightInd w:val="0"/>
        <w:spacing w:line="240" w:lineRule="auto"/>
        <w:rPr>
          <w:i/>
          <w:iCs/>
        </w:rPr>
      </w:pPr>
    </w:p>
    <w:p w14:paraId="6A3B20A0" w14:textId="77777777" w:rsidR="00201DF5" w:rsidRPr="00ED5CBE" w:rsidRDefault="00201DF5" w:rsidP="00ED5CBE">
      <w:pPr>
        <w:keepNext/>
        <w:spacing w:line="240" w:lineRule="auto"/>
        <w:ind w:left="562" w:hanging="562"/>
        <w:outlineLvl w:val="1"/>
        <w:rPr>
          <w:b/>
          <w:noProof/>
          <w:szCs w:val="22"/>
        </w:rPr>
      </w:pPr>
      <w:r w:rsidRPr="008225EB">
        <w:rPr>
          <w:b/>
          <w:noProof/>
          <w:szCs w:val="22"/>
        </w:rPr>
        <w:t>4.5</w:t>
      </w:r>
      <w:r w:rsidRPr="008225EB">
        <w:rPr>
          <w:b/>
          <w:noProof/>
          <w:szCs w:val="22"/>
        </w:rPr>
        <w:tab/>
      </w:r>
      <w:r w:rsidR="00D948DB" w:rsidRPr="00D948DB">
        <w:rPr>
          <w:b/>
          <w:noProof/>
          <w:szCs w:val="22"/>
        </w:rPr>
        <w:t>I</w:t>
      </w:r>
      <w:r w:rsidR="00D948DB">
        <w:rPr>
          <w:b/>
          <w:noProof/>
          <w:szCs w:val="22"/>
        </w:rPr>
        <w:t>nteractions with other medicines and other forms of interactions</w:t>
      </w:r>
    </w:p>
    <w:p w14:paraId="795F96E1" w14:textId="77777777" w:rsidR="00201DF5" w:rsidRPr="009666E7" w:rsidRDefault="00201DF5" w:rsidP="00201DF5">
      <w:pPr>
        <w:keepNext/>
        <w:spacing w:line="240" w:lineRule="auto"/>
        <w:rPr>
          <w:noProof/>
          <w:szCs w:val="22"/>
        </w:rPr>
      </w:pPr>
    </w:p>
    <w:p w14:paraId="632C2022" w14:textId="77777777" w:rsidR="00201DF5" w:rsidRPr="002A46D1" w:rsidRDefault="00201DF5" w:rsidP="00201DF5">
      <w:pPr>
        <w:keepNext/>
        <w:spacing w:line="240" w:lineRule="auto"/>
        <w:rPr>
          <w:color w:val="000000"/>
          <w:szCs w:val="22"/>
          <w:u w:val="single"/>
          <w:lang w:eastAsia="es-ES"/>
        </w:rPr>
      </w:pPr>
      <w:r w:rsidRPr="002A46D1">
        <w:rPr>
          <w:color w:val="000000"/>
          <w:szCs w:val="22"/>
          <w:u w:val="single"/>
          <w:lang w:eastAsia="es-ES"/>
        </w:rPr>
        <w:t>Live attenuated virus vaccines</w:t>
      </w:r>
    </w:p>
    <w:p w14:paraId="2ED9B5DC" w14:textId="77777777" w:rsidR="00201DF5" w:rsidRPr="002A46D1" w:rsidRDefault="00201DF5" w:rsidP="00201DF5">
      <w:pPr>
        <w:keepNext/>
        <w:spacing w:line="240" w:lineRule="auto"/>
        <w:rPr>
          <w:color w:val="000000"/>
          <w:szCs w:val="22"/>
          <w:lang w:eastAsia="es-ES"/>
        </w:rPr>
      </w:pPr>
    </w:p>
    <w:p w14:paraId="712275E9" w14:textId="77777777" w:rsidR="00201DF5" w:rsidRPr="002A46D1" w:rsidRDefault="00201DF5" w:rsidP="00201DF5">
      <w:pPr>
        <w:spacing w:line="240" w:lineRule="auto"/>
        <w:rPr>
          <w:color w:val="000000"/>
          <w:szCs w:val="22"/>
          <w:lang w:eastAsia="es-ES"/>
        </w:rPr>
      </w:pPr>
      <w:r w:rsidRPr="002A46D1">
        <w:rPr>
          <w:color w:val="000000"/>
          <w:szCs w:val="22"/>
          <w:lang w:eastAsia="es-ES"/>
        </w:rPr>
        <w:t xml:space="preserve">Immunoglobulin administration may impair for a period of at least 6 weeks and up to 3 months the efficacy of live attenuated virus vaccines such as measles, rubella, </w:t>
      </w:r>
      <w:proofErr w:type="gramStart"/>
      <w:r w:rsidRPr="002A46D1">
        <w:rPr>
          <w:color w:val="000000"/>
          <w:szCs w:val="22"/>
          <w:lang w:eastAsia="es-ES"/>
        </w:rPr>
        <w:t>mumps</w:t>
      </w:r>
      <w:proofErr w:type="gramEnd"/>
      <w:r w:rsidRPr="002A46D1">
        <w:rPr>
          <w:color w:val="000000"/>
          <w:szCs w:val="22"/>
          <w:lang w:eastAsia="es-ES"/>
        </w:rPr>
        <w:t xml:space="preserve"> and varicella. After administration of this medicinal product, an interval of 3 months should elapse before vaccination with live attenuated virus vaccines. In the case of measles, this impairment may persist for up to 1 year.</w:t>
      </w:r>
    </w:p>
    <w:p w14:paraId="5212664D" w14:textId="77777777" w:rsidR="00201DF5" w:rsidRDefault="00201DF5" w:rsidP="00201DF5">
      <w:pPr>
        <w:spacing w:line="240" w:lineRule="auto"/>
        <w:rPr>
          <w:color w:val="000000"/>
          <w:szCs w:val="22"/>
          <w:lang w:eastAsia="es-ES"/>
        </w:rPr>
      </w:pPr>
      <w:proofErr w:type="gramStart"/>
      <w:r w:rsidRPr="002A46D1">
        <w:rPr>
          <w:color w:val="000000"/>
          <w:szCs w:val="22"/>
          <w:lang w:eastAsia="es-ES"/>
        </w:rPr>
        <w:t>Therefore</w:t>
      </w:r>
      <w:proofErr w:type="gramEnd"/>
      <w:r w:rsidRPr="002A46D1">
        <w:rPr>
          <w:color w:val="000000"/>
          <w:szCs w:val="22"/>
          <w:lang w:eastAsia="es-ES"/>
        </w:rPr>
        <w:t xml:space="preserve"> patients receiving measles vaccine should have their antibody status checked.</w:t>
      </w:r>
    </w:p>
    <w:p w14:paraId="26EB7F27" w14:textId="77777777" w:rsidR="00201DF5" w:rsidRPr="00412450" w:rsidRDefault="00201DF5" w:rsidP="00201DF5">
      <w:pPr>
        <w:spacing w:line="240" w:lineRule="auto"/>
        <w:rPr>
          <w:noProof/>
          <w:szCs w:val="22"/>
        </w:rPr>
      </w:pPr>
    </w:p>
    <w:p w14:paraId="3379B337" w14:textId="77777777" w:rsidR="00201DF5" w:rsidRPr="00ED5CBE" w:rsidRDefault="00201DF5" w:rsidP="00ED5CBE">
      <w:pPr>
        <w:keepNext/>
        <w:spacing w:line="240" w:lineRule="auto"/>
        <w:ind w:left="562" w:hanging="562"/>
        <w:outlineLvl w:val="1"/>
        <w:rPr>
          <w:b/>
          <w:noProof/>
          <w:szCs w:val="22"/>
        </w:rPr>
      </w:pPr>
      <w:r w:rsidRPr="00BC6DC2">
        <w:rPr>
          <w:b/>
          <w:noProof/>
          <w:szCs w:val="22"/>
        </w:rPr>
        <w:t>4.6</w:t>
      </w:r>
      <w:r w:rsidRPr="00BC6DC2">
        <w:rPr>
          <w:b/>
          <w:noProof/>
          <w:szCs w:val="22"/>
        </w:rPr>
        <w:tab/>
      </w:r>
      <w:r w:rsidRPr="00ED5CBE">
        <w:rPr>
          <w:b/>
          <w:noProof/>
          <w:szCs w:val="22"/>
        </w:rPr>
        <w:t>Fertility, p</w:t>
      </w:r>
      <w:r w:rsidRPr="00157895">
        <w:rPr>
          <w:b/>
          <w:noProof/>
          <w:szCs w:val="22"/>
        </w:rPr>
        <w:t>regnancy and lactation</w:t>
      </w:r>
    </w:p>
    <w:p w14:paraId="5EDD19B9" w14:textId="77777777" w:rsidR="00201DF5" w:rsidRPr="006B4557" w:rsidRDefault="00201DF5" w:rsidP="00201DF5">
      <w:pPr>
        <w:keepNext/>
        <w:spacing w:line="240" w:lineRule="auto"/>
        <w:rPr>
          <w:noProof/>
          <w:szCs w:val="22"/>
        </w:rPr>
      </w:pPr>
    </w:p>
    <w:p w14:paraId="6330B8C1" w14:textId="77777777" w:rsidR="00D948DB" w:rsidRPr="00B677CA" w:rsidRDefault="00D948DB" w:rsidP="00D948DB">
      <w:pPr>
        <w:spacing w:line="240" w:lineRule="auto"/>
        <w:rPr>
          <w:noProof/>
          <w:szCs w:val="22"/>
          <w:u w:val="single"/>
          <w:lang w:val="en-US"/>
        </w:rPr>
      </w:pPr>
      <w:r>
        <w:rPr>
          <w:noProof/>
          <w:szCs w:val="22"/>
          <w:u w:val="single"/>
          <w:lang w:val="en-US"/>
        </w:rPr>
        <w:t>Effects on f</w:t>
      </w:r>
      <w:r w:rsidRPr="00B677CA">
        <w:rPr>
          <w:noProof/>
          <w:szCs w:val="22"/>
          <w:u w:val="single"/>
          <w:lang w:val="en-US"/>
        </w:rPr>
        <w:t>ertility</w:t>
      </w:r>
    </w:p>
    <w:p w14:paraId="5F2CA931" w14:textId="77777777" w:rsidR="00D948DB" w:rsidRPr="00B677CA" w:rsidRDefault="00D948DB" w:rsidP="00D948DB">
      <w:pPr>
        <w:spacing w:line="240" w:lineRule="auto"/>
        <w:rPr>
          <w:noProof/>
          <w:szCs w:val="22"/>
          <w:lang w:val="en-US"/>
        </w:rPr>
      </w:pPr>
    </w:p>
    <w:p w14:paraId="4F6397EA" w14:textId="77777777" w:rsidR="00D948DB" w:rsidRDefault="00D948DB" w:rsidP="00D948DB">
      <w:pPr>
        <w:spacing w:line="240" w:lineRule="auto"/>
        <w:rPr>
          <w:noProof/>
          <w:szCs w:val="22"/>
          <w:lang w:val="en-US"/>
        </w:rPr>
      </w:pPr>
      <w:r w:rsidRPr="00B677CA">
        <w:rPr>
          <w:noProof/>
          <w:szCs w:val="22"/>
          <w:lang w:val="en-US"/>
        </w:rPr>
        <w:t>Clinical experience with immunoglobulins suggests that no harmful effects on fertility are to be expected.</w:t>
      </w:r>
    </w:p>
    <w:p w14:paraId="3AC7C10D" w14:textId="77777777" w:rsidR="00D948DB" w:rsidRDefault="00D948DB" w:rsidP="00D948DB">
      <w:pPr>
        <w:spacing w:line="240" w:lineRule="auto"/>
        <w:rPr>
          <w:noProof/>
          <w:szCs w:val="22"/>
          <w:lang w:val="en-US"/>
        </w:rPr>
      </w:pPr>
    </w:p>
    <w:p w14:paraId="1C45EFC9" w14:textId="77777777" w:rsidR="00201DF5" w:rsidRPr="00B677CA" w:rsidRDefault="00D948DB" w:rsidP="001E6C47">
      <w:pPr>
        <w:keepNext/>
        <w:spacing w:line="240" w:lineRule="auto"/>
        <w:rPr>
          <w:noProof/>
          <w:szCs w:val="22"/>
          <w:u w:val="single"/>
          <w:lang w:val="en-US"/>
        </w:rPr>
      </w:pPr>
      <w:r>
        <w:rPr>
          <w:noProof/>
          <w:szCs w:val="22"/>
          <w:u w:val="single"/>
          <w:lang w:val="en-US"/>
        </w:rPr>
        <w:t>Use in p</w:t>
      </w:r>
      <w:r w:rsidR="00201DF5" w:rsidRPr="00B677CA">
        <w:rPr>
          <w:noProof/>
          <w:szCs w:val="22"/>
          <w:u w:val="single"/>
          <w:lang w:val="en-US"/>
        </w:rPr>
        <w:t>regnancy</w:t>
      </w:r>
    </w:p>
    <w:p w14:paraId="420CA040" w14:textId="77777777" w:rsidR="00201DF5" w:rsidRPr="00B677CA" w:rsidRDefault="00201DF5" w:rsidP="001E6C47">
      <w:pPr>
        <w:keepNext/>
        <w:spacing w:line="240" w:lineRule="auto"/>
        <w:rPr>
          <w:noProof/>
          <w:szCs w:val="22"/>
          <w:lang w:val="en-US"/>
        </w:rPr>
      </w:pPr>
    </w:p>
    <w:p w14:paraId="796C93DC" w14:textId="77777777" w:rsidR="00201DF5" w:rsidRPr="00B677CA" w:rsidRDefault="00201DF5" w:rsidP="00201DF5">
      <w:pPr>
        <w:spacing w:line="240" w:lineRule="auto"/>
        <w:rPr>
          <w:noProof/>
          <w:szCs w:val="22"/>
          <w:lang w:val="en-US"/>
        </w:rPr>
      </w:pPr>
      <w:r w:rsidRPr="00B677CA">
        <w:rPr>
          <w:noProof/>
          <w:szCs w:val="22"/>
          <w:lang w:val="en-US"/>
        </w:rPr>
        <w:t>The safety of this medicinal product for use in human pregnancy has not been established in controlled clinical trials and therefore should only be given with caution to pregnant women and breast-feeding mothers. Immunoglobulin products have been shown to cross the placenta, increasingly during the third trimester. Clinical experience with immunoglobulins suggests that no harmful effects on the course of pregnancy, or on the foetus and the neonate are to be expected.</w:t>
      </w:r>
    </w:p>
    <w:p w14:paraId="55714C3E" w14:textId="77777777" w:rsidR="00201DF5" w:rsidRPr="00B677CA" w:rsidRDefault="00201DF5" w:rsidP="00201DF5">
      <w:pPr>
        <w:spacing w:line="240" w:lineRule="auto"/>
        <w:rPr>
          <w:noProof/>
          <w:szCs w:val="22"/>
          <w:lang w:val="en-US"/>
        </w:rPr>
      </w:pPr>
    </w:p>
    <w:p w14:paraId="7686C0F5" w14:textId="77777777" w:rsidR="00E26057" w:rsidRPr="00B677CA" w:rsidRDefault="00E26057" w:rsidP="001E6C47">
      <w:pPr>
        <w:keepNext/>
        <w:spacing w:line="240" w:lineRule="auto"/>
        <w:rPr>
          <w:noProof/>
          <w:szCs w:val="22"/>
          <w:u w:val="single"/>
          <w:lang w:val="en-US"/>
        </w:rPr>
      </w:pPr>
      <w:r>
        <w:rPr>
          <w:noProof/>
          <w:szCs w:val="22"/>
          <w:u w:val="single"/>
          <w:lang w:val="en-US"/>
        </w:rPr>
        <w:t>Use in lactation</w:t>
      </w:r>
    </w:p>
    <w:p w14:paraId="2AA5806D" w14:textId="77777777" w:rsidR="00201DF5" w:rsidRPr="00B677CA" w:rsidRDefault="00201DF5" w:rsidP="001E6C47">
      <w:pPr>
        <w:keepNext/>
        <w:spacing w:line="240" w:lineRule="auto"/>
        <w:rPr>
          <w:noProof/>
          <w:szCs w:val="22"/>
          <w:lang w:val="en-US"/>
        </w:rPr>
      </w:pPr>
    </w:p>
    <w:p w14:paraId="2A3C8E2C" w14:textId="77777777" w:rsidR="00201DF5" w:rsidRPr="00B677CA" w:rsidRDefault="00201DF5" w:rsidP="00201DF5">
      <w:pPr>
        <w:spacing w:line="240" w:lineRule="auto"/>
        <w:rPr>
          <w:noProof/>
          <w:szCs w:val="22"/>
          <w:lang w:val="en-US"/>
        </w:rPr>
      </w:pPr>
      <w:r w:rsidRPr="00B677CA">
        <w:rPr>
          <w:noProof/>
          <w:szCs w:val="22"/>
          <w:lang w:val="en-US"/>
        </w:rPr>
        <w:t>Immunoglobulins are excreted into the milk and may contribute to protecting the neonate from pathogens which have a mucosal portal of entry.</w:t>
      </w:r>
    </w:p>
    <w:p w14:paraId="7026E6C7" w14:textId="77777777" w:rsidR="00201DF5" w:rsidRPr="00B677CA" w:rsidRDefault="00201DF5" w:rsidP="00201DF5">
      <w:pPr>
        <w:spacing w:line="240" w:lineRule="auto"/>
        <w:rPr>
          <w:noProof/>
          <w:szCs w:val="22"/>
          <w:lang w:val="en-US"/>
        </w:rPr>
      </w:pPr>
    </w:p>
    <w:p w14:paraId="1F70545C" w14:textId="77777777" w:rsidR="00201DF5" w:rsidRPr="00B677CA" w:rsidRDefault="00201DF5" w:rsidP="00201DF5">
      <w:pPr>
        <w:spacing w:line="240" w:lineRule="auto"/>
        <w:rPr>
          <w:noProof/>
          <w:szCs w:val="22"/>
          <w:lang w:val="en-US"/>
        </w:rPr>
      </w:pPr>
    </w:p>
    <w:p w14:paraId="33610ED6" w14:textId="77777777" w:rsidR="00201DF5" w:rsidRPr="00ED5CBE" w:rsidRDefault="00201DF5" w:rsidP="00ED5CBE">
      <w:pPr>
        <w:keepNext/>
        <w:spacing w:line="240" w:lineRule="auto"/>
        <w:ind w:left="562" w:hanging="562"/>
        <w:outlineLvl w:val="1"/>
        <w:rPr>
          <w:b/>
          <w:noProof/>
          <w:szCs w:val="22"/>
        </w:rPr>
      </w:pPr>
      <w:r w:rsidRPr="008225EB">
        <w:rPr>
          <w:b/>
          <w:noProof/>
          <w:szCs w:val="22"/>
        </w:rPr>
        <w:t>4.7</w:t>
      </w:r>
      <w:r w:rsidRPr="008225EB">
        <w:rPr>
          <w:b/>
          <w:noProof/>
          <w:szCs w:val="22"/>
        </w:rPr>
        <w:tab/>
        <w:t>Effects on ability to drive and use machines</w:t>
      </w:r>
    </w:p>
    <w:p w14:paraId="2D82F12C" w14:textId="77777777" w:rsidR="00201DF5" w:rsidRPr="00A3136F" w:rsidRDefault="00201DF5" w:rsidP="00201DF5">
      <w:pPr>
        <w:keepNext/>
        <w:spacing w:line="240" w:lineRule="auto"/>
        <w:rPr>
          <w:noProof/>
          <w:szCs w:val="22"/>
        </w:rPr>
      </w:pPr>
    </w:p>
    <w:p w14:paraId="136AFF20" w14:textId="77777777" w:rsidR="00201DF5" w:rsidRDefault="00201DF5" w:rsidP="00201DF5">
      <w:pPr>
        <w:spacing w:line="240" w:lineRule="auto"/>
        <w:rPr>
          <w:noProof/>
          <w:szCs w:val="22"/>
        </w:rPr>
      </w:pPr>
      <w:r w:rsidRPr="004F0AAF">
        <w:rPr>
          <w:noProof/>
          <w:szCs w:val="22"/>
        </w:rPr>
        <w:t>The ability to drive and operate machines may be impaired by some adverse reactions a</w:t>
      </w:r>
      <w:r>
        <w:rPr>
          <w:noProof/>
          <w:szCs w:val="22"/>
        </w:rPr>
        <w:t xml:space="preserve">ssociated with </w:t>
      </w:r>
      <w:r w:rsidR="00805A20">
        <w:rPr>
          <w:noProof/>
          <w:szCs w:val="22"/>
        </w:rPr>
        <w:t>Xembify</w:t>
      </w:r>
      <w:r w:rsidR="00805A20" w:rsidRPr="00805A20">
        <w:rPr>
          <w:noProof/>
          <w:szCs w:val="22"/>
          <w:vertAlign w:val="superscript"/>
        </w:rPr>
        <w:t>®</w:t>
      </w:r>
      <w:r w:rsidRPr="004F0AAF">
        <w:rPr>
          <w:noProof/>
          <w:szCs w:val="22"/>
        </w:rPr>
        <w:t>. Patients who experience adverse reactions during treatment should wait for these to resolve before driving or operating machines.</w:t>
      </w:r>
    </w:p>
    <w:p w14:paraId="0ACA35CF" w14:textId="77777777" w:rsidR="00201DF5" w:rsidRPr="00067B16" w:rsidRDefault="00201DF5" w:rsidP="00201DF5">
      <w:pPr>
        <w:spacing w:line="240" w:lineRule="auto"/>
        <w:rPr>
          <w:noProof/>
          <w:szCs w:val="22"/>
        </w:rPr>
      </w:pPr>
    </w:p>
    <w:p w14:paraId="0A7F0F1C" w14:textId="77777777" w:rsidR="00201DF5" w:rsidRPr="00067B16" w:rsidRDefault="00201DF5" w:rsidP="00ED5CBE">
      <w:pPr>
        <w:keepNext/>
        <w:spacing w:line="240" w:lineRule="auto"/>
        <w:ind w:left="562" w:hanging="562"/>
        <w:outlineLvl w:val="1"/>
        <w:rPr>
          <w:b/>
          <w:noProof/>
          <w:szCs w:val="22"/>
        </w:rPr>
      </w:pPr>
      <w:r w:rsidRPr="00067B16">
        <w:rPr>
          <w:b/>
          <w:noProof/>
          <w:szCs w:val="22"/>
        </w:rPr>
        <w:t>4.8</w:t>
      </w:r>
      <w:r w:rsidRPr="00067B16">
        <w:rPr>
          <w:b/>
          <w:noProof/>
          <w:szCs w:val="22"/>
        </w:rPr>
        <w:tab/>
      </w:r>
      <w:bookmarkStart w:id="12" w:name="Section4_8"/>
      <w:bookmarkEnd w:id="12"/>
      <w:r w:rsidR="00E26057">
        <w:rPr>
          <w:b/>
          <w:noProof/>
          <w:szCs w:val="22"/>
        </w:rPr>
        <w:t>Adverse effects (</w:t>
      </w:r>
      <w:r w:rsidRPr="00067B16">
        <w:rPr>
          <w:b/>
          <w:noProof/>
          <w:szCs w:val="22"/>
        </w:rPr>
        <w:t>Undesirable effects</w:t>
      </w:r>
      <w:r w:rsidR="00E26057">
        <w:rPr>
          <w:b/>
          <w:noProof/>
          <w:szCs w:val="22"/>
        </w:rPr>
        <w:t>)</w:t>
      </w:r>
    </w:p>
    <w:p w14:paraId="47734E88" w14:textId="77777777" w:rsidR="00201DF5" w:rsidRPr="006B4557" w:rsidRDefault="00201DF5" w:rsidP="00201DF5">
      <w:pPr>
        <w:keepNext/>
        <w:autoSpaceDE w:val="0"/>
        <w:autoSpaceDN w:val="0"/>
        <w:adjustRightInd w:val="0"/>
        <w:spacing w:line="240" w:lineRule="auto"/>
        <w:jc w:val="both"/>
        <w:rPr>
          <w:noProof/>
          <w:szCs w:val="22"/>
        </w:rPr>
      </w:pPr>
    </w:p>
    <w:p w14:paraId="2D989B70" w14:textId="77777777" w:rsidR="00201DF5" w:rsidRDefault="00201DF5" w:rsidP="00201DF5">
      <w:pPr>
        <w:pStyle w:val="BodyTextIndent2"/>
        <w:keepNext/>
        <w:spacing w:after="0" w:line="240" w:lineRule="auto"/>
        <w:ind w:left="0"/>
        <w:rPr>
          <w:color w:val="000000"/>
          <w:szCs w:val="22"/>
          <w:u w:val="single"/>
          <w:lang w:eastAsia="es-ES"/>
        </w:rPr>
      </w:pPr>
      <w:r w:rsidRPr="009666E7">
        <w:rPr>
          <w:color w:val="000000"/>
          <w:szCs w:val="22"/>
          <w:u w:val="single"/>
          <w:lang w:eastAsia="es-ES"/>
        </w:rPr>
        <w:t>Summary of the safety profile</w:t>
      </w:r>
    </w:p>
    <w:p w14:paraId="528FDDF8" w14:textId="77777777" w:rsidR="00201DF5" w:rsidRPr="004A428F" w:rsidRDefault="00201DF5" w:rsidP="00201DF5">
      <w:pPr>
        <w:pStyle w:val="BodyTextIndent2"/>
        <w:keepNext/>
        <w:spacing w:after="0" w:line="240" w:lineRule="auto"/>
        <w:ind w:left="0"/>
        <w:rPr>
          <w:color w:val="000000"/>
          <w:szCs w:val="22"/>
          <w:lang w:eastAsia="es-ES"/>
        </w:rPr>
      </w:pPr>
    </w:p>
    <w:p w14:paraId="74435B77" w14:textId="77777777" w:rsidR="00201DF5" w:rsidRPr="002A46D1" w:rsidRDefault="00201DF5" w:rsidP="00201DF5">
      <w:pPr>
        <w:spacing w:line="240" w:lineRule="auto"/>
        <w:rPr>
          <w:color w:val="000000"/>
          <w:szCs w:val="22"/>
          <w:lang w:eastAsia="es-ES"/>
        </w:rPr>
      </w:pPr>
      <w:r w:rsidRPr="002A46D1">
        <w:rPr>
          <w:color w:val="000000"/>
          <w:szCs w:val="22"/>
          <w:lang w:eastAsia="es-ES"/>
        </w:rPr>
        <w:t>Adverse reactions such as chills, headache, dizziness, fever, vomiting, allergic reactions, nausea, arthralgia, low blood pressure and moderate low back pain may occur occasionally.</w:t>
      </w:r>
    </w:p>
    <w:p w14:paraId="5718E568" w14:textId="77777777" w:rsidR="00201DF5" w:rsidRDefault="00201DF5" w:rsidP="00201DF5">
      <w:pPr>
        <w:spacing w:line="240" w:lineRule="auto"/>
        <w:rPr>
          <w:color w:val="000000"/>
          <w:szCs w:val="22"/>
          <w:lang w:eastAsia="es-ES"/>
        </w:rPr>
      </w:pPr>
    </w:p>
    <w:p w14:paraId="7125A650" w14:textId="77777777" w:rsidR="00201DF5" w:rsidRDefault="00201DF5" w:rsidP="00201DF5">
      <w:pPr>
        <w:spacing w:line="240" w:lineRule="auto"/>
        <w:rPr>
          <w:color w:val="000000"/>
          <w:szCs w:val="22"/>
          <w:lang w:eastAsia="es-ES"/>
        </w:rPr>
      </w:pPr>
      <w:r w:rsidRPr="002A46D1">
        <w:rPr>
          <w:color w:val="000000"/>
          <w:szCs w:val="22"/>
          <w:lang w:eastAsia="es-ES"/>
        </w:rPr>
        <w:lastRenderedPageBreak/>
        <w:t xml:space="preserve">Rarely </w:t>
      </w:r>
      <w:r w:rsidR="00AE67A3">
        <w:rPr>
          <w:color w:val="000000"/>
          <w:szCs w:val="22"/>
          <w:lang w:eastAsia="es-ES"/>
        </w:rPr>
        <w:t>normal immunoglobulin</w:t>
      </w:r>
      <w:r w:rsidRPr="002A46D1">
        <w:rPr>
          <w:color w:val="000000"/>
          <w:szCs w:val="22"/>
          <w:lang w:eastAsia="es-ES"/>
        </w:rPr>
        <w:t xml:space="preserve"> may cause a sudden fall in blood pressure and, in isolated cases, anaphylactic shock, even when the patient has shown no hypersensitivity to previous administration.</w:t>
      </w:r>
    </w:p>
    <w:p w14:paraId="4C6A3B9B" w14:textId="77777777" w:rsidR="00201DF5" w:rsidRPr="002A46D1" w:rsidRDefault="00201DF5" w:rsidP="00201DF5">
      <w:pPr>
        <w:spacing w:line="240" w:lineRule="auto"/>
        <w:rPr>
          <w:color w:val="000000"/>
          <w:szCs w:val="22"/>
          <w:lang w:eastAsia="es-ES"/>
        </w:rPr>
      </w:pPr>
    </w:p>
    <w:p w14:paraId="227D7C8E" w14:textId="77777777" w:rsidR="00201DF5" w:rsidRDefault="00201DF5" w:rsidP="00201DF5">
      <w:pPr>
        <w:spacing w:line="240" w:lineRule="auto"/>
        <w:rPr>
          <w:szCs w:val="22"/>
        </w:rPr>
      </w:pPr>
      <w:r w:rsidRPr="002A46D1">
        <w:rPr>
          <w:color w:val="000000"/>
          <w:szCs w:val="22"/>
          <w:lang w:eastAsia="es-ES"/>
        </w:rPr>
        <w:t>Local reactions at infusion sites: swelling, soreness, redness, induration, local heat, itching, bruising and rash</w:t>
      </w:r>
      <w:r>
        <w:rPr>
          <w:color w:val="000000"/>
          <w:szCs w:val="22"/>
          <w:lang w:eastAsia="es-ES"/>
        </w:rPr>
        <w:t>, may frequently occur</w:t>
      </w:r>
      <w:r w:rsidRPr="002A46D1">
        <w:rPr>
          <w:color w:val="000000"/>
          <w:szCs w:val="22"/>
          <w:lang w:eastAsia="es-ES"/>
        </w:rPr>
        <w:t>.</w:t>
      </w:r>
    </w:p>
    <w:p w14:paraId="432025DB" w14:textId="77777777" w:rsidR="00201DF5" w:rsidRDefault="00201DF5" w:rsidP="00201DF5">
      <w:pPr>
        <w:spacing w:line="240" w:lineRule="auto"/>
        <w:rPr>
          <w:szCs w:val="22"/>
        </w:rPr>
      </w:pPr>
    </w:p>
    <w:p w14:paraId="43592D55" w14:textId="77777777" w:rsidR="00201DF5" w:rsidRPr="00691D42" w:rsidRDefault="00201DF5" w:rsidP="00201DF5">
      <w:pPr>
        <w:spacing w:line="240" w:lineRule="auto"/>
        <w:rPr>
          <w:szCs w:val="22"/>
        </w:rPr>
      </w:pPr>
      <w:r w:rsidRPr="00691D42">
        <w:rPr>
          <w:szCs w:val="22"/>
        </w:rPr>
        <w:t xml:space="preserve">For safety information with respect to transmissible agents, see </w:t>
      </w:r>
      <w:hyperlink w:anchor="Section4_4" w:history="1">
        <w:r w:rsidRPr="00070E7C">
          <w:rPr>
            <w:rStyle w:val="Hyperlink"/>
            <w:szCs w:val="22"/>
          </w:rPr>
          <w:t>section 4.4</w:t>
        </w:r>
      </w:hyperlink>
      <w:r w:rsidRPr="00691D42">
        <w:rPr>
          <w:szCs w:val="22"/>
        </w:rPr>
        <w:t>.</w:t>
      </w:r>
    </w:p>
    <w:p w14:paraId="4F2CE980" w14:textId="77777777" w:rsidR="00201DF5" w:rsidRPr="00691D42" w:rsidRDefault="00201DF5" w:rsidP="00201DF5">
      <w:pPr>
        <w:spacing w:line="240" w:lineRule="auto"/>
        <w:rPr>
          <w:szCs w:val="22"/>
        </w:rPr>
      </w:pPr>
    </w:p>
    <w:p w14:paraId="0906A241" w14:textId="77777777" w:rsidR="00201DF5" w:rsidRPr="00691D42" w:rsidRDefault="00E26057" w:rsidP="00201DF5">
      <w:pPr>
        <w:keepNext/>
        <w:spacing w:line="240" w:lineRule="auto"/>
        <w:rPr>
          <w:rStyle w:val="EstiloArial11pt"/>
          <w:sz w:val="22"/>
          <w:szCs w:val="22"/>
          <w:u w:val="single"/>
        </w:rPr>
      </w:pPr>
      <w:r>
        <w:rPr>
          <w:rStyle w:val="EstiloArial11pt"/>
          <w:sz w:val="22"/>
          <w:szCs w:val="22"/>
          <w:u w:val="single"/>
        </w:rPr>
        <w:t>Clinical trials experience</w:t>
      </w:r>
    </w:p>
    <w:p w14:paraId="5E8B476A" w14:textId="77777777" w:rsidR="00201DF5" w:rsidRPr="00691D42" w:rsidRDefault="00201DF5" w:rsidP="00201DF5">
      <w:pPr>
        <w:keepNext/>
        <w:spacing w:line="240" w:lineRule="auto"/>
        <w:rPr>
          <w:rStyle w:val="EstiloArial11pt"/>
          <w:sz w:val="22"/>
          <w:szCs w:val="22"/>
        </w:rPr>
      </w:pPr>
    </w:p>
    <w:p w14:paraId="203FA95E" w14:textId="77777777" w:rsidR="00201DF5" w:rsidRDefault="00201DF5" w:rsidP="00201DF5">
      <w:pPr>
        <w:spacing w:line="240" w:lineRule="auto"/>
        <w:rPr>
          <w:rStyle w:val="EstiloArial11pt"/>
          <w:sz w:val="22"/>
          <w:szCs w:val="22"/>
        </w:rPr>
      </w:pPr>
      <w:r>
        <w:rPr>
          <w:rStyle w:val="EstiloArial11pt"/>
          <w:sz w:val="22"/>
          <w:szCs w:val="22"/>
        </w:rPr>
        <w:t xml:space="preserve">The safety of </w:t>
      </w:r>
      <w:r w:rsidR="00805A20">
        <w:rPr>
          <w:rStyle w:val="EstiloArial11pt"/>
          <w:sz w:val="22"/>
          <w:szCs w:val="22"/>
        </w:rPr>
        <w:t>Xembify</w:t>
      </w:r>
      <w:r w:rsidR="00805A20" w:rsidRPr="00805A20">
        <w:rPr>
          <w:rStyle w:val="EstiloArial11pt"/>
          <w:sz w:val="22"/>
          <w:szCs w:val="22"/>
          <w:vertAlign w:val="superscript"/>
        </w:rPr>
        <w:t>®</w:t>
      </w:r>
      <w:r w:rsidR="00805A20">
        <w:rPr>
          <w:rStyle w:val="EstiloArial11pt"/>
          <w:sz w:val="22"/>
          <w:szCs w:val="22"/>
        </w:rPr>
        <w:t xml:space="preserve"> </w:t>
      </w:r>
      <w:r>
        <w:rPr>
          <w:rStyle w:val="EstiloArial11pt"/>
          <w:sz w:val="22"/>
          <w:szCs w:val="22"/>
        </w:rPr>
        <w:t xml:space="preserve">administered subcutaneously was evaluated in two prospective, open-label, phase 3, non-controlled multicentre studies in 110 subjects with primary immune deficiency (PID). </w:t>
      </w:r>
    </w:p>
    <w:p w14:paraId="4551384A" w14:textId="77777777" w:rsidR="00201DF5" w:rsidRDefault="00201DF5" w:rsidP="00201DF5">
      <w:pPr>
        <w:spacing w:line="240" w:lineRule="auto"/>
        <w:rPr>
          <w:rStyle w:val="EstiloArial11pt"/>
          <w:sz w:val="22"/>
          <w:szCs w:val="22"/>
        </w:rPr>
      </w:pPr>
    </w:p>
    <w:p w14:paraId="57E9511D" w14:textId="77777777" w:rsidR="00201DF5" w:rsidRDefault="00201DF5" w:rsidP="00201DF5">
      <w:pPr>
        <w:spacing w:line="240" w:lineRule="auto"/>
        <w:rPr>
          <w:rStyle w:val="EstiloArial11pt"/>
          <w:sz w:val="22"/>
          <w:szCs w:val="22"/>
        </w:rPr>
      </w:pPr>
      <w:r>
        <w:rPr>
          <w:rStyle w:val="EstiloArial11pt"/>
          <w:sz w:val="22"/>
          <w:szCs w:val="22"/>
        </w:rPr>
        <w:t xml:space="preserve">Across both studies eight subjects discontinued </w:t>
      </w:r>
      <w:r w:rsidR="00805A20">
        <w:rPr>
          <w:rStyle w:val="EstiloArial11pt"/>
          <w:sz w:val="22"/>
          <w:szCs w:val="22"/>
        </w:rPr>
        <w:t>Xembify</w:t>
      </w:r>
      <w:r w:rsidR="00805A20" w:rsidRPr="00805A20">
        <w:rPr>
          <w:rStyle w:val="EstiloArial11pt"/>
          <w:sz w:val="22"/>
          <w:szCs w:val="22"/>
          <w:vertAlign w:val="superscript"/>
        </w:rPr>
        <w:t>®</w:t>
      </w:r>
      <w:r>
        <w:rPr>
          <w:rStyle w:val="EstiloArial11pt"/>
          <w:sz w:val="22"/>
          <w:szCs w:val="22"/>
        </w:rPr>
        <w:t xml:space="preserve"> due to adverse reactions, all were mild or moderate in severity except for aortic valve incompetence due to congenital anomaly.</w:t>
      </w:r>
    </w:p>
    <w:p w14:paraId="2CD9A465" w14:textId="77777777" w:rsidR="00201DF5" w:rsidRDefault="00201DF5" w:rsidP="00201DF5">
      <w:pPr>
        <w:spacing w:line="240" w:lineRule="auto"/>
        <w:rPr>
          <w:rStyle w:val="EstiloArial11pt"/>
          <w:sz w:val="22"/>
          <w:szCs w:val="22"/>
        </w:rPr>
      </w:pPr>
    </w:p>
    <w:p w14:paraId="34848EE2" w14:textId="77777777" w:rsidR="00201DF5" w:rsidRDefault="00201DF5" w:rsidP="00201DF5">
      <w:pPr>
        <w:spacing w:line="240" w:lineRule="auto"/>
        <w:rPr>
          <w:rStyle w:val="EstiloArial11pt"/>
          <w:sz w:val="22"/>
          <w:szCs w:val="22"/>
        </w:rPr>
      </w:pPr>
      <w:r w:rsidRPr="00691D42">
        <w:rPr>
          <w:rStyle w:val="EstiloArial11pt"/>
          <w:sz w:val="22"/>
          <w:szCs w:val="22"/>
        </w:rPr>
        <w:t>The table</w:t>
      </w:r>
      <w:r w:rsidR="00FA2CA7">
        <w:rPr>
          <w:rStyle w:val="EstiloArial11pt"/>
          <w:sz w:val="22"/>
          <w:szCs w:val="22"/>
        </w:rPr>
        <w:t>s</w:t>
      </w:r>
      <w:r w:rsidRPr="00691D42">
        <w:rPr>
          <w:rStyle w:val="EstiloArial11pt"/>
          <w:sz w:val="22"/>
          <w:szCs w:val="22"/>
        </w:rPr>
        <w:t xml:space="preserve"> presented below </w:t>
      </w:r>
      <w:r w:rsidR="00FA2CA7">
        <w:rPr>
          <w:rStyle w:val="EstiloArial11pt"/>
          <w:sz w:val="22"/>
          <w:szCs w:val="22"/>
        </w:rPr>
        <w:t>are</w:t>
      </w:r>
      <w:r w:rsidRPr="00691D42">
        <w:rPr>
          <w:rStyle w:val="EstiloArial11pt"/>
          <w:sz w:val="22"/>
          <w:szCs w:val="22"/>
        </w:rPr>
        <w:t xml:space="preserve"> according to the MedDRA system organ classification (SOC and Preferred Term Level).</w:t>
      </w:r>
    </w:p>
    <w:p w14:paraId="5C6A45EC" w14:textId="77777777" w:rsidR="00FA2CA7" w:rsidRPr="00691D42" w:rsidRDefault="00FA2CA7" w:rsidP="00201DF5">
      <w:pPr>
        <w:spacing w:line="240" w:lineRule="auto"/>
        <w:rPr>
          <w:rStyle w:val="EstiloArial11pt"/>
          <w:sz w:val="22"/>
          <w:szCs w:val="22"/>
        </w:rPr>
      </w:pPr>
    </w:p>
    <w:p w14:paraId="7409560F" w14:textId="77777777" w:rsidR="00201DF5" w:rsidRDefault="00FA2CA7" w:rsidP="001E6C47">
      <w:pPr>
        <w:spacing w:line="240" w:lineRule="auto"/>
        <w:rPr>
          <w:rStyle w:val="EstiloArial11pt"/>
          <w:sz w:val="22"/>
          <w:szCs w:val="22"/>
        </w:rPr>
      </w:pPr>
      <w:r>
        <w:rPr>
          <w:szCs w:val="22"/>
        </w:rPr>
        <w:t>F</w:t>
      </w:r>
      <w:r w:rsidR="00201DF5" w:rsidRPr="00691D42">
        <w:rPr>
          <w:szCs w:val="22"/>
        </w:rPr>
        <w:t>requencies have been evaluated according to the following convention:</w:t>
      </w:r>
      <w:r w:rsidR="00201DF5" w:rsidRPr="00255B7E">
        <w:rPr>
          <w:rStyle w:val="EstiloArial11pt"/>
          <w:sz w:val="22"/>
          <w:szCs w:val="22"/>
        </w:rPr>
        <w:t xml:space="preserve"> </w:t>
      </w:r>
      <w:r w:rsidR="00201DF5">
        <w:rPr>
          <w:rStyle w:val="EstiloArial11pt"/>
          <w:sz w:val="22"/>
          <w:szCs w:val="22"/>
        </w:rPr>
        <w:t>V</w:t>
      </w:r>
      <w:r w:rsidR="00201DF5" w:rsidRPr="00D576DF">
        <w:rPr>
          <w:rStyle w:val="EstiloArial11pt"/>
          <w:sz w:val="22"/>
          <w:szCs w:val="22"/>
        </w:rPr>
        <w:t>ery common (≥1/10)</w:t>
      </w:r>
      <w:r w:rsidR="00201DF5">
        <w:rPr>
          <w:rStyle w:val="EstiloArial11pt"/>
          <w:sz w:val="22"/>
          <w:szCs w:val="22"/>
        </w:rPr>
        <w:t xml:space="preserve">; </w:t>
      </w:r>
      <w:r w:rsidR="00201DF5" w:rsidRPr="00D576DF">
        <w:rPr>
          <w:rStyle w:val="EstiloArial11pt"/>
          <w:sz w:val="22"/>
          <w:szCs w:val="22"/>
        </w:rPr>
        <w:t>common (≥1/100 to &lt;1/10)</w:t>
      </w:r>
      <w:r w:rsidR="00201DF5">
        <w:rPr>
          <w:rStyle w:val="EstiloArial11pt"/>
          <w:sz w:val="22"/>
          <w:szCs w:val="22"/>
        </w:rPr>
        <w:t xml:space="preserve">; </w:t>
      </w:r>
      <w:r w:rsidR="00201DF5" w:rsidRPr="00D576DF">
        <w:rPr>
          <w:rStyle w:val="EstiloArial11pt"/>
          <w:sz w:val="22"/>
          <w:szCs w:val="22"/>
        </w:rPr>
        <w:t>uncommon (≥1/1,000 to &lt;1/100)</w:t>
      </w:r>
      <w:r w:rsidR="00201DF5">
        <w:rPr>
          <w:rStyle w:val="EstiloArial11pt"/>
          <w:sz w:val="22"/>
          <w:szCs w:val="22"/>
        </w:rPr>
        <w:t xml:space="preserve">; </w:t>
      </w:r>
      <w:r w:rsidR="00201DF5" w:rsidRPr="00D576DF">
        <w:rPr>
          <w:rStyle w:val="EstiloArial11pt"/>
          <w:sz w:val="22"/>
          <w:szCs w:val="22"/>
        </w:rPr>
        <w:t>rare (≥1/10,000 to &lt;1/1,000)</w:t>
      </w:r>
      <w:r w:rsidR="00201DF5">
        <w:rPr>
          <w:rStyle w:val="EstiloArial11pt"/>
          <w:sz w:val="22"/>
          <w:szCs w:val="22"/>
        </w:rPr>
        <w:t xml:space="preserve">; </w:t>
      </w:r>
      <w:r w:rsidR="00201DF5" w:rsidRPr="00D576DF">
        <w:rPr>
          <w:rStyle w:val="EstiloArial11pt"/>
          <w:sz w:val="22"/>
          <w:szCs w:val="22"/>
        </w:rPr>
        <w:t>very rare (&lt;1/10,000)</w:t>
      </w:r>
      <w:r w:rsidR="00201DF5">
        <w:rPr>
          <w:rStyle w:val="EstiloArial11pt"/>
          <w:sz w:val="22"/>
          <w:szCs w:val="22"/>
        </w:rPr>
        <w:t>.</w:t>
      </w:r>
      <w:r>
        <w:rPr>
          <w:rStyle w:val="EstiloArial11pt"/>
          <w:sz w:val="22"/>
          <w:szCs w:val="22"/>
        </w:rPr>
        <w:t xml:space="preserve">  </w:t>
      </w:r>
    </w:p>
    <w:p w14:paraId="253769CC" w14:textId="77777777" w:rsidR="00FA2CA7" w:rsidRDefault="00FA2CA7" w:rsidP="001E6C47">
      <w:pPr>
        <w:spacing w:line="240" w:lineRule="auto"/>
        <w:rPr>
          <w:rStyle w:val="EstiloArial11pt"/>
          <w:sz w:val="22"/>
          <w:szCs w:val="22"/>
        </w:rPr>
      </w:pPr>
    </w:p>
    <w:p w14:paraId="59E283C2" w14:textId="77777777" w:rsidR="00FA2CA7" w:rsidRDefault="00FA2CA7" w:rsidP="001E6C47">
      <w:pPr>
        <w:spacing w:line="240" w:lineRule="auto"/>
        <w:rPr>
          <w:rStyle w:val="EstiloArial11pt"/>
          <w:sz w:val="22"/>
          <w:szCs w:val="22"/>
        </w:rPr>
      </w:pPr>
      <w:r w:rsidRPr="00FA2CA7">
        <w:rPr>
          <w:rStyle w:val="EstiloArial11pt"/>
          <w:sz w:val="22"/>
          <w:szCs w:val="22"/>
        </w:rPr>
        <w:t>T</w:t>
      </w:r>
      <w:r>
        <w:rPr>
          <w:rStyle w:val="EstiloArial11pt"/>
          <w:sz w:val="22"/>
          <w:szCs w:val="22"/>
        </w:rPr>
        <w:t>he table below</w:t>
      </w:r>
      <w:r w:rsidRPr="00FA2CA7">
        <w:rPr>
          <w:rStyle w:val="EstiloArial11pt"/>
          <w:sz w:val="22"/>
          <w:szCs w:val="22"/>
        </w:rPr>
        <w:t xml:space="preserve"> provides a display of all adverse events during </w:t>
      </w:r>
      <w:r w:rsidR="00805A20">
        <w:rPr>
          <w:rStyle w:val="EstiloArial11pt"/>
          <w:sz w:val="22"/>
          <w:szCs w:val="22"/>
        </w:rPr>
        <w:t>Xembify</w:t>
      </w:r>
      <w:r w:rsidR="00805A20" w:rsidRPr="00805A20">
        <w:rPr>
          <w:rStyle w:val="EstiloArial11pt"/>
          <w:sz w:val="22"/>
          <w:szCs w:val="22"/>
          <w:vertAlign w:val="superscript"/>
        </w:rPr>
        <w:t>®</w:t>
      </w:r>
      <w:r w:rsidRPr="00FA2CA7">
        <w:rPr>
          <w:rStyle w:val="EstiloArial11pt"/>
          <w:sz w:val="22"/>
          <w:szCs w:val="22"/>
        </w:rPr>
        <w:t xml:space="preserve"> treatment, regardless of relationship to </w:t>
      </w:r>
      <w:r w:rsidR="00805A20">
        <w:rPr>
          <w:rStyle w:val="EstiloArial11pt"/>
          <w:sz w:val="22"/>
          <w:szCs w:val="22"/>
        </w:rPr>
        <w:t>Xembify</w:t>
      </w:r>
      <w:r w:rsidR="00805A20" w:rsidRPr="00805A20">
        <w:rPr>
          <w:rStyle w:val="EstiloArial11pt"/>
          <w:sz w:val="22"/>
          <w:szCs w:val="22"/>
          <w:vertAlign w:val="superscript"/>
        </w:rPr>
        <w:t>®</w:t>
      </w:r>
      <w:r w:rsidRPr="00FA2CA7">
        <w:rPr>
          <w:rStyle w:val="EstiloArial11pt"/>
          <w:sz w:val="22"/>
          <w:szCs w:val="22"/>
        </w:rPr>
        <w:t xml:space="preserve"> or timeframe relative to infusion excluding infections.</w:t>
      </w:r>
    </w:p>
    <w:p w14:paraId="61E5A2B5" w14:textId="77777777" w:rsidR="00FA2CA7" w:rsidRDefault="00FA2CA7" w:rsidP="001E6C47">
      <w:pPr>
        <w:spacing w:line="240" w:lineRule="auto"/>
        <w:rPr>
          <w:szCs w:val="22"/>
        </w:rPr>
      </w:pPr>
    </w:p>
    <w:p w14:paraId="419FF5E9" w14:textId="77777777" w:rsidR="00A06770" w:rsidRPr="009F701E" w:rsidRDefault="00A06770" w:rsidP="00A06770">
      <w:pPr>
        <w:keepNext/>
        <w:spacing w:after="240" w:line="240" w:lineRule="auto"/>
        <w:rPr>
          <w:b/>
          <w:bCs/>
          <w:szCs w:val="22"/>
        </w:rPr>
      </w:pPr>
      <w:r w:rsidRPr="009F701E">
        <w:rPr>
          <w:b/>
          <w:bCs/>
          <w:szCs w:val="22"/>
        </w:rPr>
        <w:t>Frequency of Adverse</w:t>
      </w:r>
      <w:r>
        <w:rPr>
          <w:b/>
          <w:bCs/>
          <w:szCs w:val="22"/>
        </w:rPr>
        <w:t xml:space="preserve"> Events</w:t>
      </w:r>
      <w:r w:rsidRPr="009F701E">
        <w:rPr>
          <w:b/>
          <w:bCs/>
          <w:szCs w:val="22"/>
        </w:rPr>
        <w:t xml:space="preserve"> with </w:t>
      </w:r>
      <w:r w:rsidR="00805A20">
        <w:rPr>
          <w:b/>
          <w:bCs/>
          <w:szCs w:val="22"/>
        </w:rPr>
        <w:t>Xembify</w:t>
      </w:r>
      <w:r w:rsidR="00805A20" w:rsidRPr="00805A20">
        <w:rPr>
          <w:b/>
          <w:bCs/>
          <w:szCs w:val="22"/>
          <w:vertAlign w:val="superscript"/>
        </w:rPr>
        <w:t>®</w:t>
      </w:r>
      <w:r w:rsidR="00805A20">
        <w:rPr>
          <w:b/>
          <w:bCs/>
          <w:szCs w:val="22"/>
        </w:rPr>
        <w:t xml:space="preserve"> </w:t>
      </w:r>
      <w:r w:rsidRPr="009F701E">
        <w:rPr>
          <w:b/>
          <w:bCs/>
          <w:szCs w:val="22"/>
        </w:rPr>
        <w:t>in 1% or more of Subjects</w:t>
      </w:r>
    </w:p>
    <w:tbl>
      <w:tblPr>
        <w:tblW w:w="917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bottom w:w="28" w:type="dxa"/>
        </w:tblCellMar>
        <w:tblLook w:val="01C0" w:firstRow="0" w:lastRow="1" w:firstColumn="1" w:lastColumn="1" w:noHBand="0" w:noVBand="0"/>
      </w:tblPr>
      <w:tblGrid>
        <w:gridCol w:w="2340"/>
        <w:gridCol w:w="2160"/>
        <w:gridCol w:w="2250"/>
        <w:gridCol w:w="2429"/>
      </w:tblGrid>
      <w:tr w:rsidR="00A06770" w:rsidRPr="00E55A32" w14:paraId="02FC7024" w14:textId="77777777" w:rsidTr="00D42C17">
        <w:trPr>
          <w:cantSplit/>
          <w:tblHeader/>
        </w:trPr>
        <w:tc>
          <w:tcPr>
            <w:tcW w:w="2340" w:type="dxa"/>
            <w:tcBorders>
              <w:bottom w:val="single" w:sz="12" w:space="0" w:color="auto"/>
            </w:tcBorders>
            <w:vAlign w:val="center"/>
          </w:tcPr>
          <w:p w14:paraId="30A9C4A9" w14:textId="77777777" w:rsidR="00A06770" w:rsidRPr="00E55A32" w:rsidRDefault="00A06770" w:rsidP="001E6C47">
            <w:pPr>
              <w:spacing w:line="240" w:lineRule="auto"/>
              <w:rPr>
                <w:b/>
                <w:szCs w:val="22"/>
              </w:rPr>
            </w:pPr>
            <w:r w:rsidRPr="00E55A32">
              <w:rPr>
                <w:b/>
                <w:szCs w:val="22"/>
              </w:rPr>
              <w:t>MedDRA System Organ Class (SOC)</w:t>
            </w:r>
          </w:p>
        </w:tc>
        <w:tc>
          <w:tcPr>
            <w:tcW w:w="2160" w:type="dxa"/>
            <w:tcBorders>
              <w:bottom w:val="single" w:sz="12" w:space="0" w:color="auto"/>
            </w:tcBorders>
            <w:vAlign w:val="center"/>
          </w:tcPr>
          <w:p w14:paraId="7BEA5923" w14:textId="77777777" w:rsidR="00A06770" w:rsidRPr="00E55A32" w:rsidRDefault="00A06770" w:rsidP="00B86AF9">
            <w:pPr>
              <w:keepNext/>
              <w:spacing w:line="240" w:lineRule="auto"/>
              <w:jc w:val="center"/>
              <w:rPr>
                <w:b/>
                <w:szCs w:val="22"/>
              </w:rPr>
            </w:pPr>
            <w:r w:rsidRPr="00E55A32">
              <w:rPr>
                <w:b/>
                <w:szCs w:val="22"/>
              </w:rPr>
              <w:t xml:space="preserve">Adverse </w:t>
            </w:r>
            <w:r>
              <w:rPr>
                <w:b/>
                <w:szCs w:val="22"/>
              </w:rPr>
              <w:t>Event</w:t>
            </w:r>
          </w:p>
        </w:tc>
        <w:tc>
          <w:tcPr>
            <w:tcW w:w="2250" w:type="dxa"/>
            <w:tcBorders>
              <w:bottom w:val="single" w:sz="12" w:space="0" w:color="auto"/>
            </w:tcBorders>
            <w:vAlign w:val="center"/>
          </w:tcPr>
          <w:p w14:paraId="686A9A6F" w14:textId="77777777" w:rsidR="00A06770" w:rsidRDefault="00A06770" w:rsidP="00B86AF9">
            <w:pPr>
              <w:keepNext/>
              <w:spacing w:line="240" w:lineRule="auto"/>
              <w:jc w:val="center"/>
              <w:rPr>
                <w:b/>
                <w:vertAlign w:val="superscript"/>
              </w:rPr>
            </w:pPr>
            <w:r w:rsidRPr="00E55A32">
              <w:rPr>
                <w:b/>
                <w:szCs w:val="22"/>
              </w:rPr>
              <w:t>Frequency</w:t>
            </w:r>
            <w:r>
              <w:rPr>
                <w:b/>
                <w:szCs w:val="22"/>
              </w:rPr>
              <w:t xml:space="preserve"> </w:t>
            </w:r>
            <w:r>
              <w:rPr>
                <w:b/>
              </w:rPr>
              <w:t xml:space="preserve">per </w:t>
            </w:r>
            <w:proofErr w:type="spellStart"/>
            <w:r>
              <w:rPr>
                <w:b/>
              </w:rPr>
              <w:t>subject</w:t>
            </w:r>
            <w:r w:rsidRPr="00771344">
              <w:rPr>
                <w:b/>
                <w:vertAlign w:val="superscript"/>
              </w:rPr>
              <w:t>a</w:t>
            </w:r>
            <w:proofErr w:type="spellEnd"/>
          </w:p>
          <w:p w14:paraId="5CB384F1" w14:textId="77777777" w:rsidR="00A06770" w:rsidRPr="00E55A32" w:rsidRDefault="00A06770" w:rsidP="00B86AF9">
            <w:pPr>
              <w:keepNext/>
              <w:spacing w:line="240" w:lineRule="auto"/>
              <w:jc w:val="center"/>
              <w:rPr>
                <w:b/>
                <w:szCs w:val="22"/>
              </w:rPr>
            </w:pPr>
            <w:r>
              <w:rPr>
                <w:b/>
                <w:szCs w:val="22"/>
              </w:rPr>
              <w:t>(N=110 subjects)</w:t>
            </w:r>
          </w:p>
        </w:tc>
        <w:tc>
          <w:tcPr>
            <w:tcW w:w="2429" w:type="dxa"/>
            <w:tcBorders>
              <w:bottom w:val="single" w:sz="12" w:space="0" w:color="auto"/>
            </w:tcBorders>
          </w:tcPr>
          <w:p w14:paraId="6DFFEB9D" w14:textId="77777777" w:rsidR="00A06770" w:rsidRDefault="00A06770" w:rsidP="00B86AF9">
            <w:pPr>
              <w:keepNext/>
              <w:spacing w:line="240" w:lineRule="auto"/>
              <w:jc w:val="center"/>
              <w:rPr>
                <w:b/>
                <w:szCs w:val="22"/>
                <w:vertAlign w:val="superscript"/>
              </w:rPr>
            </w:pPr>
            <w:r>
              <w:rPr>
                <w:b/>
                <w:szCs w:val="22"/>
              </w:rPr>
              <w:t xml:space="preserve">Frequency per </w:t>
            </w:r>
            <w:proofErr w:type="spellStart"/>
            <w:r>
              <w:rPr>
                <w:b/>
                <w:szCs w:val="22"/>
              </w:rPr>
              <w:t>infusion</w:t>
            </w:r>
            <w:r w:rsidRPr="00771344">
              <w:rPr>
                <w:b/>
                <w:szCs w:val="22"/>
                <w:vertAlign w:val="superscript"/>
              </w:rPr>
              <w:t>b</w:t>
            </w:r>
            <w:proofErr w:type="spellEnd"/>
          </w:p>
          <w:p w14:paraId="0DFECC9E" w14:textId="77777777" w:rsidR="00A06770" w:rsidRPr="00E55A32" w:rsidRDefault="00A06770" w:rsidP="00B86AF9">
            <w:pPr>
              <w:keepNext/>
              <w:spacing w:line="240" w:lineRule="auto"/>
              <w:jc w:val="center"/>
              <w:rPr>
                <w:b/>
                <w:szCs w:val="22"/>
              </w:rPr>
            </w:pPr>
            <w:r>
              <w:rPr>
                <w:b/>
                <w:szCs w:val="22"/>
              </w:rPr>
              <w:t>(N=4098 infusions)</w:t>
            </w:r>
          </w:p>
        </w:tc>
      </w:tr>
      <w:tr w:rsidR="00A06770" w:rsidRPr="00B676EE" w14:paraId="77989EB7" w14:textId="77777777" w:rsidTr="00D42C17">
        <w:trPr>
          <w:cantSplit/>
        </w:trPr>
        <w:tc>
          <w:tcPr>
            <w:tcW w:w="2340" w:type="dxa"/>
            <w:tcBorders>
              <w:top w:val="single" w:sz="12" w:space="0" w:color="auto"/>
            </w:tcBorders>
          </w:tcPr>
          <w:p w14:paraId="2966C509" w14:textId="77777777" w:rsidR="00A06770" w:rsidRDefault="00A06770" w:rsidP="00B86AF9">
            <w:pPr>
              <w:spacing w:line="240" w:lineRule="auto"/>
              <w:rPr>
                <w:color w:val="000000"/>
                <w:sz w:val="18"/>
                <w:szCs w:val="18"/>
              </w:rPr>
            </w:pPr>
            <w:r>
              <w:rPr>
                <w:color w:val="000000"/>
                <w:sz w:val="18"/>
                <w:szCs w:val="18"/>
              </w:rPr>
              <w:t>Infections and infestations</w:t>
            </w:r>
          </w:p>
        </w:tc>
        <w:tc>
          <w:tcPr>
            <w:tcW w:w="2160" w:type="dxa"/>
            <w:tcBorders>
              <w:top w:val="single" w:sz="12" w:space="0" w:color="auto"/>
            </w:tcBorders>
          </w:tcPr>
          <w:p w14:paraId="66A1A756" w14:textId="77777777" w:rsidR="00A06770" w:rsidRPr="00B676EE" w:rsidRDefault="00A06770" w:rsidP="00B86AF9">
            <w:pPr>
              <w:spacing w:line="240" w:lineRule="auto"/>
              <w:rPr>
                <w:color w:val="000000"/>
                <w:sz w:val="18"/>
                <w:szCs w:val="18"/>
                <w:highlight w:val="yellow"/>
              </w:rPr>
            </w:pPr>
            <w:r>
              <w:rPr>
                <w:color w:val="000000"/>
                <w:sz w:val="18"/>
                <w:szCs w:val="18"/>
              </w:rPr>
              <w:t>Rhinitis</w:t>
            </w:r>
          </w:p>
        </w:tc>
        <w:tc>
          <w:tcPr>
            <w:tcW w:w="2250" w:type="dxa"/>
            <w:tcBorders>
              <w:top w:val="single" w:sz="12" w:space="0" w:color="auto"/>
            </w:tcBorders>
          </w:tcPr>
          <w:p w14:paraId="629D8082" w14:textId="77777777" w:rsidR="00A06770" w:rsidRPr="00B676EE" w:rsidRDefault="00A06770" w:rsidP="00B86AF9">
            <w:pPr>
              <w:spacing w:line="240" w:lineRule="auto"/>
              <w:jc w:val="both"/>
              <w:rPr>
                <w:color w:val="000000"/>
                <w:sz w:val="18"/>
                <w:szCs w:val="18"/>
                <w:highlight w:val="yellow"/>
              </w:rPr>
            </w:pPr>
            <w:r>
              <w:rPr>
                <w:color w:val="000000"/>
                <w:sz w:val="18"/>
                <w:szCs w:val="18"/>
              </w:rPr>
              <w:t>4 (3.6%) common</w:t>
            </w:r>
          </w:p>
        </w:tc>
        <w:tc>
          <w:tcPr>
            <w:tcW w:w="2429" w:type="dxa"/>
            <w:tcBorders>
              <w:top w:val="single" w:sz="12" w:space="0" w:color="auto"/>
            </w:tcBorders>
          </w:tcPr>
          <w:p w14:paraId="4F57D524" w14:textId="77777777" w:rsidR="00A06770" w:rsidRPr="00B676EE" w:rsidRDefault="00A06770" w:rsidP="00B86AF9">
            <w:pPr>
              <w:spacing w:line="240" w:lineRule="auto"/>
              <w:rPr>
                <w:color w:val="000000"/>
                <w:sz w:val="18"/>
                <w:szCs w:val="18"/>
                <w:highlight w:val="yellow"/>
              </w:rPr>
            </w:pPr>
            <w:r>
              <w:rPr>
                <w:color w:val="000000"/>
                <w:sz w:val="18"/>
                <w:szCs w:val="18"/>
              </w:rPr>
              <w:t xml:space="preserve">7 (0.0017) </w:t>
            </w:r>
            <w:r w:rsidRPr="00B676EE">
              <w:rPr>
                <w:color w:val="000000"/>
                <w:sz w:val="18"/>
                <w:szCs w:val="18"/>
              </w:rPr>
              <w:t>uncommon</w:t>
            </w:r>
          </w:p>
        </w:tc>
      </w:tr>
      <w:tr w:rsidR="00A06770" w:rsidRPr="005E44A6" w:rsidDel="005755E7" w14:paraId="080CC736" w14:textId="77777777" w:rsidTr="00D42C17">
        <w:trPr>
          <w:cantSplit/>
        </w:trPr>
        <w:tc>
          <w:tcPr>
            <w:tcW w:w="2340" w:type="dxa"/>
            <w:vMerge w:val="restart"/>
          </w:tcPr>
          <w:p w14:paraId="350DCE1D" w14:textId="77777777" w:rsidR="00A06770" w:rsidRPr="00C56F09" w:rsidRDefault="00A06770" w:rsidP="00B86AF9">
            <w:pPr>
              <w:spacing w:line="240" w:lineRule="auto"/>
              <w:rPr>
                <w:color w:val="000000"/>
                <w:sz w:val="18"/>
                <w:szCs w:val="18"/>
              </w:rPr>
            </w:pPr>
            <w:r>
              <w:rPr>
                <w:color w:val="000000"/>
                <w:sz w:val="18"/>
                <w:szCs w:val="18"/>
              </w:rPr>
              <w:t>Blood and lymphatic system disorders</w:t>
            </w:r>
          </w:p>
        </w:tc>
        <w:tc>
          <w:tcPr>
            <w:tcW w:w="2160" w:type="dxa"/>
          </w:tcPr>
          <w:p w14:paraId="6DA8FD48" w14:textId="77777777" w:rsidR="00A06770" w:rsidRPr="00C56F09" w:rsidRDefault="00A06770" w:rsidP="00B86AF9">
            <w:pPr>
              <w:spacing w:line="240" w:lineRule="auto"/>
              <w:rPr>
                <w:color w:val="000000"/>
                <w:sz w:val="18"/>
                <w:szCs w:val="18"/>
              </w:rPr>
            </w:pPr>
            <w:r>
              <w:rPr>
                <w:color w:val="000000"/>
                <w:sz w:val="18"/>
                <w:szCs w:val="18"/>
              </w:rPr>
              <w:t>Lymphadenopathy</w:t>
            </w:r>
          </w:p>
        </w:tc>
        <w:tc>
          <w:tcPr>
            <w:tcW w:w="2250" w:type="dxa"/>
          </w:tcPr>
          <w:p w14:paraId="0709AFB1" w14:textId="77777777" w:rsidR="00A06770" w:rsidRPr="00B676EE" w:rsidRDefault="00A06770" w:rsidP="00B86AF9">
            <w:pPr>
              <w:spacing w:line="240" w:lineRule="auto"/>
              <w:jc w:val="both"/>
              <w:rPr>
                <w:color w:val="000000"/>
                <w:sz w:val="18"/>
                <w:szCs w:val="18"/>
              </w:rPr>
            </w:pPr>
            <w:r>
              <w:rPr>
                <w:color w:val="000000"/>
                <w:sz w:val="18"/>
                <w:szCs w:val="18"/>
              </w:rPr>
              <w:t>2 (1.8%) common</w:t>
            </w:r>
          </w:p>
        </w:tc>
        <w:tc>
          <w:tcPr>
            <w:tcW w:w="2429" w:type="dxa"/>
          </w:tcPr>
          <w:p w14:paraId="19A5C895" w14:textId="77777777" w:rsidR="00A06770" w:rsidRPr="00B676EE" w:rsidRDefault="00A06770" w:rsidP="00B86AF9">
            <w:pPr>
              <w:spacing w:line="240" w:lineRule="auto"/>
              <w:rPr>
                <w:color w:val="000000"/>
                <w:sz w:val="18"/>
                <w:szCs w:val="18"/>
              </w:rPr>
            </w:pPr>
            <w:r>
              <w:rPr>
                <w:color w:val="000000"/>
                <w:sz w:val="18"/>
                <w:szCs w:val="18"/>
              </w:rPr>
              <w:t>2 (0.0005) rare</w:t>
            </w:r>
          </w:p>
        </w:tc>
      </w:tr>
      <w:tr w:rsidR="00A06770" w:rsidRPr="005E44A6" w:rsidDel="005755E7" w14:paraId="6E3EAF2D" w14:textId="77777777" w:rsidTr="00D42C17">
        <w:trPr>
          <w:cantSplit/>
        </w:trPr>
        <w:tc>
          <w:tcPr>
            <w:tcW w:w="2340" w:type="dxa"/>
            <w:vMerge/>
          </w:tcPr>
          <w:p w14:paraId="6D43163E" w14:textId="77777777" w:rsidR="00A06770" w:rsidRPr="00C56F09" w:rsidRDefault="00A06770" w:rsidP="00B86AF9">
            <w:pPr>
              <w:spacing w:line="240" w:lineRule="auto"/>
              <w:rPr>
                <w:color w:val="000000"/>
                <w:sz w:val="18"/>
                <w:szCs w:val="18"/>
              </w:rPr>
            </w:pPr>
          </w:p>
        </w:tc>
        <w:tc>
          <w:tcPr>
            <w:tcW w:w="2160" w:type="dxa"/>
          </w:tcPr>
          <w:p w14:paraId="41B92822" w14:textId="77777777" w:rsidR="00A06770" w:rsidRPr="00C56F09" w:rsidRDefault="00A06770" w:rsidP="00B86AF9">
            <w:pPr>
              <w:spacing w:line="240" w:lineRule="auto"/>
              <w:rPr>
                <w:color w:val="000000"/>
                <w:sz w:val="18"/>
                <w:szCs w:val="18"/>
              </w:rPr>
            </w:pPr>
            <w:r>
              <w:rPr>
                <w:color w:val="000000"/>
                <w:sz w:val="18"/>
                <w:szCs w:val="18"/>
              </w:rPr>
              <w:t>Thrombocytopenia</w:t>
            </w:r>
          </w:p>
        </w:tc>
        <w:tc>
          <w:tcPr>
            <w:tcW w:w="2250" w:type="dxa"/>
          </w:tcPr>
          <w:p w14:paraId="7745717F" w14:textId="77777777" w:rsidR="00A06770" w:rsidRPr="00B676EE" w:rsidRDefault="00A06770" w:rsidP="00B86AF9">
            <w:pPr>
              <w:spacing w:line="240" w:lineRule="auto"/>
              <w:jc w:val="both"/>
              <w:rPr>
                <w:color w:val="000000"/>
                <w:sz w:val="18"/>
                <w:szCs w:val="18"/>
              </w:rPr>
            </w:pPr>
            <w:r>
              <w:rPr>
                <w:color w:val="000000"/>
                <w:sz w:val="18"/>
                <w:szCs w:val="18"/>
              </w:rPr>
              <w:t>2 (1.8%) common</w:t>
            </w:r>
          </w:p>
        </w:tc>
        <w:tc>
          <w:tcPr>
            <w:tcW w:w="2429" w:type="dxa"/>
          </w:tcPr>
          <w:p w14:paraId="3E200A7A" w14:textId="77777777" w:rsidR="00A06770" w:rsidRPr="00B676EE" w:rsidRDefault="00A06770" w:rsidP="00B86AF9">
            <w:pPr>
              <w:spacing w:line="240" w:lineRule="auto"/>
              <w:rPr>
                <w:color w:val="000000"/>
                <w:sz w:val="18"/>
                <w:szCs w:val="18"/>
              </w:rPr>
            </w:pPr>
            <w:r>
              <w:rPr>
                <w:color w:val="000000"/>
                <w:sz w:val="18"/>
                <w:szCs w:val="18"/>
              </w:rPr>
              <w:t>2 (0.0005) rare</w:t>
            </w:r>
          </w:p>
        </w:tc>
      </w:tr>
      <w:tr w:rsidR="00A06770" w:rsidRPr="00B676EE" w14:paraId="07698775" w14:textId="77777777" w:rsidTr="00D42C17">
        <w:trPr>
          <w:cantSplit/>
        </w:trPr>
        <w:tc>
          <w:tcPr>
            <w:tcW w:w="2340" w:type="dxa"/>
          </w:tcPr>
          <w:p w14:paraId="75D34EC6" w14:textId="77777777" w:rsidR="00A06770" w:rsidRDefault="00A06770" w:rsidP="00B86AF9">
            <w:pPr>
              <w:spacing w:line="240" w:lineRule="auto"/>
              <w:rPr>
                <w:color w:val="000000"/>
                <w:sz w:val="18"/>
                <w:szCs w:val="18"/>
              </w:rPr>
            </w:pPr>
            <w:r>
              <w:rPr>
                <w:color w:val="000000"/>
                <w:sz w:val="18"/>
                <w:szCs w:val="18"/>
              </w:rPr>
              <w:t>Immune system disorders</w:t>
            </w:r>
          </w:p>
        </w:tc>
        <w:tc>
          <w:tcPr>
            <w:tcW w:w="2160" w:type="dxa"/>
          </w:tcPr>
          <w:p w14:paraId="468204D4" w14:textId="77777777" w:rsidR="00A06770" w:rsidRPr="00B676EE" w:rsidRDefault="00A06770" w:rsidP="00B86AF9">
            <w:pPr>
              <w:spacing w:line="240" w:lineRule="auto"/>
              <w:rPr>
                <w:color w:val="000000"/>
                <w:sz w:val="18"/>
                <w:szCs w:val="18"/>
                <w:highlight w:val="yellow"/>
              </w:rPr>
            </w:pPr>
            <w:r>
              <w:rPr>
                <w:color w:val="000000"/>
                <w:sz w:val="18"/>
                <w:szCs w:val="18"/>
              </w:rPr>
              <w:t>Seasonal allergy</w:t>
            </w:r>
          </w:p>
        </w:tc>
        <w:tc>
          <w:tcPr>
            <w:tcW w:w="2250" w:type="dxa"/>
          </w:tcPr>
          <w:p w14:paraId="05001F72" w14:textId="77777777" w:rsidR="00A06770" w:rsidRPr="00B676EE" w:rsidRDefault="00A06770" w:rsidP="00B86AF9">
            <w:pPr>
              <w:spacing w:line="240" w:lineRule="auto"/>
              <w:jc w:val="both"/>
              <w:rPr>
                <w:color w:val="000000"/>
                <w:sz w:val="18"/>
                <w:szCs w:val="18"/>
                <w:highlight w:val="yellow"/>
              </w:rPr>
            </w:pPr>
            <w:r>
              <w:rPr>
                <w:color w:val="000000"/>
                <w:sz w:val="18"/>
                <w:szCs w:val="18"/>
              </w:rPr>
              <w:t>3 (2.7%) common</w:t>
            </w:r>
          </w:p>
        </w:tc>
        <w:tc>
          <w:tcPr>
            <w:tcW w:w="2429" w:type="dxa"/>
          </w:tcPr>
          <w:p w14:paraId="70C31780" w14:textId="77777777" w:rsidR="00A06770" w:rsidRPr="00B676EE" w:rsidRDefault="00A06770" w:rsidP="00B86AF9">
            <w:pPr>
              <w:spacing w:line="240" w:lineRule="auto"/>
              <w:rPr>
                <w:color w:val="000000"/>
                <w:sz w:val="18"/>
                <w:szCs w:val="18"/>
                <w:highlight w:val="yellow"/>
              </w:rPr>
            </w:pPr>
            <w:r>
              <w:rPr>
                <w:color w:val="000000"/>
                <w:sz w:val="18"/>
                <w:szCs w:val="18"/>
              </w:rPr>
              <w:t>3 (0.0007) rare</w:t>
            </w:r>
          </w:p>
        </w:tc>
      </w:tr>
      <w:tr w:rsidR="00A06770" w14:paraId="122DA0D3" w14:textId="77777777" w:rsidTr="00D42C17">
        <w:trPr>
          <w:cantSplit/>
        </w:trPr>
        <w:tc>
          <w:tcPr>
            <w:tcW w:w="2340" w:type="dxa"/>
          </w:tcPr>
          <w:p w14:paraId="767E5404" w14:textId="77777777" w:rsidR="00A06770" w:rsidRDefault="00A06770" w:rsidP="00B86AF9">
            <w:pPr>
              <w:spacing w:line="240" w:lineRule="auto"/>
              <w:rPr>
                <w:color w:val="000000"/>
                <w:sz w:val="18"/>
                <w:szCs w:val="18"/>
              </w:rPr>
            </w:pPr>
            <w:r>
              <w:rPr>
                <w:color w:val="000000"/>
                <w:sz w:val="18"/>
                <w:szCs w:val="18"/>
              </w:rPr>
              <w:t>Psychiatric disorders</w:t>
            </w:r>
          </w:p>
        </w:tc>
        <w:tc>
          <w:tcPr>
            <w:tcW w:w="2160" w:type="dxa"/>
          </w:tcPr>
          <w:p w14:paraId="676A065A" w14:textId="77777777" w:rsidR="00A06770" w:rsidRDefault="00A06770" w:rsidP="00B86AF9">
            <w:pPr>
              <w:spacing w:line="240" w:lineRule="auto"/>
              <w:rPr>
                <w:color w:val="000000"/>
                <w:sz w:val="18"/>
                <w:szCs w:val="18"/>
              </w:rPr>
            </w:pPr>
            <w:r>
              <w:rPr>
                <w:color w:val="000000"/>
                <w:sz w:val="18"/>
                <w:szCs w:val="18"/>
              </w:rPr>
              <w:t>Anxiety</w:t>
            </w:r>
          </w:p>
        </w:tc>
        <w:tc>
          <w:tcPr>
            <w:tcW w:w="2250" w:type="dxa"/>
          </w:tcPr>
          <w:p w14:paraId="69828FEC" w14:textId="77777777" w:rsidR="00A06770" w:rsidRDefault="00A06770" w:rsidP="00B86AF9">
            <w:pPr>
              <w:spacing w:line="240" w:lineRule="auto"/>
              <w:jc w:val="both"/>
              <w:rPr>
                <w:color w:val="000000"/>
                <w:sz w:val="18"/>
                <w:szCs w:val="18"/>
              </w:rPr>
            </w:pPr>
            <w:r>
              <w:rPr>
                <w:color w:val="000000"/>
                <w:sz w:val="18"/>
                <w:szCs w:val="18"/>
              </w:rPr>
              <w:t>2 (1.8%) common</w:t>
            </w:r>
          </w:p>
        </w:tc>
        <w:tc>
          <w:tcPr>
            <w:tcW w:w="2429" w:type="dxa"/>
          </w:tcPr>
          <w:p w14:paraId="50D839C8" w14:textId="77777777" w:rsidR="00A06770" w:rsidRDefault="00A06770" w:rsidP="00B86AF9">
            <w:pPr>
              <w:spacing w:line="240" w:lineRule="auto"/>
              <w:rPr>
                <w:color w:val="000000"/>
                <w:sz w:val="18"/>
                <w:szCs w:val="18"/>
              </w:rPr>
            </w:pPr>
            <w:r>
              <w:rPr>
                <w:color w:val="000000"/>
                <w:sz w:val="18"/>
                <w:szCs w:val="18"/>
              </w:rPr>
              <w:t>2 (0.0005) rare</w:t>
            </w:r>
          </w:p>
        </w:tc>
      </w:tr>
      <w:tr w:rsidR="00A06770" w14:paraId="7DA069D8" w14:textId="77777777" w:rsidTr="00D42C17">
        <w:trPr>
          <w:cantSplit/>
        </w:trPr>
        <w:tc>
          <w:tcPr>
            <w:tcW w:w="2340" w:type="dxa"/>
            <w:vMerge w:val="restart"/>
          </w:tcPr>
          <w:p w14:paraId="7B7F7918" w14:textId="77777777" w:rsidR="00A06770" w:rsidRDefault="00A06770" w:rsidP="00B86AF9">
            <w:pPr>
              <w:spacing w:line="240" w:lineRule="auto"/>
              <w:rPr>
                <w:color w:val="000000"/>
                <w:sz w:val="18"/>
                <w:szCs w:val="18"/>
              </w:rPr>
            </w:pPr>
            <w:r>
              <w:rPr>
                <w:color w:val="000000"/>
                <w:sz w:val="18"/>
                <w:szCs w:val="18"/>
              </w:rPr>
              <w:t>Nervous system disorders</w:t>
            </w:r>
          </w:p>
        </w:tc>
        <w:tc>
          <w:tcPr>
            <w:tcW w:w="2160" w:type="dxa"/>
          </w:tcPr>
          <w:p w14:paraId="645581A2" w14:textId="77777777" w:rsidR="00A06770" w:rsidRDefault="00A06770" w:rsidP="00B86AF9">
            <w:pPr>
              <w:spacing w:line="240" w:lineRule="auto"/>
              <w:rPr>
                <w:color w:val="000000"/>
                <w:sz w:val="18"/>
                <w:szCs w:val="18"/>
              </w:rPr>
            </w:pPr>
            <w:r>
              <w:rPr>
                <w:color w:val="000000"/>
                <w:sz w:val="18"/>
                <w:szCs w:val="18"/>
              </w:rPr>
              <w:t>Headache</w:t>
            </w:r>
          </w:p>
        </w:tc>
        <w:tc>
          <w:tcPr>
            <w:tcW w:w="2250" w:type="dxa"/>
          </w:tcPr>
          <w:p w14:paraId="3F5AFDB1" w14:textId="77777777" w:rsidR="00A06770" w:rsidRDefault="00A06770" w:rsidP="00B86AF9">
            <w:pPr>
              <w:spacing w:line="240" w:lineRule="auto"/>
              <w:jc w:val="both"/>
              <w:rPr>
                <w:color w:val="000000"/>
                <w:sz w:val="18"/>
                <w:szCs w:val="18"/>
              </w:rPr>
            </w:pPr>
            <w:r>
              <w:rPr>
                <w:color w:val="000000"/>
                <w:sz w:val="18"/>
                <w:szCs w:val="18"/>
              </w:rPr>
              <w:t>8 (7.3%) common</w:t>
            </w:r>
          </w:p>
        </w:tc>
        <w:tc>
          <w:tcPr>
            <w:tcW w:w="2429" w:type="dxa"/>
          </w:tcPr>
          <w:p w14:paraId="20C340FA" w14:textId="77777777" w:rsidR="00A06770" w:rsidRDefault="00A06770" w:rsidP="00B86AF9">
            <w:pPr>
              <w:spacing w:line="240" w:lineRule="auto"/>
              <w:rPr>
                <w:color w:val="000000"/>
                <w:sz w:val="18"/>
                <w:szCs w:val="18"/>
              </w:rPr>
            </w:pPr>
            <w:r>
              <w:rPr>
                <w:color w:val="000000"/>
                <w:sz w:val="18"/>
                <w:szCs w:val="18"/>
              </w:rPr>
              <w:t xml:space="preserve">22 (0.0054) </w:t>
            </w:r>
            <w:r w:rsidRPr="00B676EE">
              <w:rPr>
                <w:color w:val="000000"/>
                <w:sz w:val="18"/>
                <w:szCs w:val="18"/>
              </w:rPr>
              <w:t>uncommon</w:t>
            </w:r>
          </w:p>
        </w:tc>
      </w:tr>
      <w:tr w:rsidR="00A06770" w14:paraId="52309BED" w14:textId="77777777" w:rsidTr="00D42C17">
        <w:trPr>
          <w:cantSplit/>
        </w:trPr>
        <w:tc>
          <w:tcPr>
            <w:tcW w:w="2340" w:type="dxa"/>
            <w:vMerge/>
          </w:tcPr>
          <w:p w14:paraId="0E09780F" w14:textId="77777777" w:rsidR="00A06770" w:rsidRDefault="00A06770" w:rsidP="00B86AF9">
            <w:pPr>
              <w:spacing w:line="240" w:lineRule="auto"/>
              <w:rPr>
                <w:color w:val="000000"/>
                <w:sz w:val="18"/>
                <w:szCs w:val="18"/>
              </w:rPr>
            </w:pPr>
          </w:p>
        </w:tc>
        <w:tc>
          <w:tcPr>
            <w:tcW w:w="2160" w:type="dxa"/>
          </w:tcPr>
          <w:p w14:paraId="1C4FA334" w14:textId="77777777" w:rsidR="00A06770" w:rsidRDefault="00A06770" w:rsidP="00B86AF9">
            <w:pPr>
              <w:spacing w:line="240" w:lineRule="auto"/>
              <w:rPr>
                <w:color w:val="000000"/>
                <w:sz w:val="18"/>
                <w:szCs w:val="18"/>
              </w:rPr>
            </w:pPr>
            <w:r>
              <w:rPr>
                <w:color w:val="000000"/>
                <w:sz w:val="18"/>
                <w:szCs w:val="18"/>
              </w:rPr>
              <w:t>Migraine</w:t>
            </w:r>
          </w:p>
        </w:tc>
        <w:tc>
          <w:tcPr>
            <w:tcW w:w="2250" w:type="dxa"/>
          </w:tcPr>
          <w:p w14:paraId="3634CDDE" w14:textId="77777777" w:rsidR="00A06770" w:rsidRDefault="00A06770" w:rsidP="00B86AF9">
            <w:pPr>
              <w:spacing w:line="240" w:lineRule="auto"/>
              <w:jc w:val="both"/>
              <w:rPr>
                <w:color w:val="000000"/>
                <w:sz w:val="18"/>
                <w:szCs w:val="18"/>
              </w:rPr>
            </w:pPr>
            <w:r>
              <w:rPr>
                <w:color w:val="000000"/>
                <w:sz w:val="18"/>
                <w:szCs w:val="18"/>
              </w:rPr>
              <w:t>3 (2.7%) common</w:t>
            </w:r>
          </w:p>
        </w:tc>
        <w:tc>
          <w:tcPr>
            <w:tcW w:w="2429" w:type="dxa"/>
          </w:tcPr>
          <w:p w14:paraId="22CA9E88" w14:textId="77777777" w:rsidR="00A06770" w:rsidRDefault="00A06770" w:rsidP="00B86AF9">
            <w:pPr>
              <w:spacing w:line="240" w:lineRule="auto"/>
              <w:rPr>
                <w:color w:val="000000"/>
                <w:sz w:val="18"/>
                <w:szCs w:val="18"/>
              </w:rPr>
            </w:pPr>
            <w:r>
              <w:rPr>
                <w:color w:val="000000"/>
                <w:sz w:val="18"/>
                <w:szCs w:val="18"/>
              </w:rPr>
              <w:t>3 (0.0007) rare</w:t>
            </w:r>
          </w:p>
        </w:tc>
      </w:tr>
      <w:tr w:rsidR="00A06770" w14:paraId="2E40F1F9" w14:textId="77777777" w:rsidTr="00D42C17">
        <w:trPr>
          <w:cantSplit/>
        </w:trPr>
        <w:tc>
          <w:tcPr>
            <w:tcW w:w="2340" w:type="dxa"/>
            <w:vMerge w:val="restart"/>
          </w:tcPr>
          <w:p w14:paraId="2DDAA8BE" w14:textId="77777777" w:rsidR="00A06770" w:rsidRDefault="00A06770" w:rsidP="00B86AF9">
            <w:pPr>
              <w:spacing w:line="240" w:lineRule="auto"/>
              <w:rPr>
                <w:color w:val="000000"/>
                <w:sz w:val="18"/>
                <w:szCs w:val="18"/>
              </w:rPr>
            </w:pPr>
            <w:r>
              <w:rPr>
                <w:color w:val="000000"/>
                <w:sz w:val="18"/>
                <w:szCs w:val="18"/>
              </w:rPr>
              <w:t xml:space="preserve">Respiratory, </w:t>
            </w:r>
            <w:proofErr w:type="gramStart"/>
            <w:r>
              <w:rPr>
                <w:color w:val="000000"/>
                <w:sz w:val="18"/>
                <w:szCs w:val="18"/>
              </w:rPr>
              <w:t>thoracic</w:t>
            </w:r>
            <w:proofErr w:type="gramEnd"/>
            <w:r>
              <w:rPr>
                <w:color w:val="000000"/>
                <w:sz w:val="18"/>
                <w:szCs w:val="18"/>
              </w:rPr>
              <w:t xml:space="preserve"> and mediastinal disorders</w:t>
            </w:r>
          </w:p>
        </w:tc>
        <w:tc>
          <w:tcPr>
            <w:tcW w:w="2160" w:type="dxa"/>
          </w:tcPr>
          <w:p w14:paraId="38884C1A" w14:textId="77777777" w:rsidR="00A06770" w:rsidRDefault="00A06770" w:rsidP="00B86AF9">
            <w:pPr>
              <w:spacing w:line="240" w:lineRule="auto"/>
              <w:rPr>
                <w:color w:val="000000"/>
                <w:sz w:val="18"/>
                <w:szCs w:val="18"/>
              </w:rPr>
            </w:pPr>
            <w:r>
              <w:rPr>
                <w:color w:val="000000"/>
                <w:sz w:val="18"/>
                <w:szCs w:val="18"/>
              </w:rPr>
              <w:t>Cough</w:t>
            </w:r>
          </w:p>
        </w:tc>
        <w:tc>
          <w:tcPr>
            <w:tcW w:w="2250" w:type="dxa"/>
          </w:tcPr>
          <w:p w14:paraId="5FDC5B6F" w14:textId="77777777" w:rsidR="00A06770" w:rsidRDefault="00A06770" w:rsidP="00B86AF9">
            <w:pPr>
              <w:spacing w:line="240" w:lineRule="auto"/>
              <w:jc w:val="both"/>
              <w:rPr>
                <w:color w:val="000000"/>
                <w:sz w:val="18"/>
                <w:szCs w:val="18"/>
              </w:rPr>
            </w:pPr>
            <w:r>
              <w:rPr>
                <w:color w:val="000000"/>
                <w:sz w:val="18"/>
                <w:szCs w:val="18"/>
              </w:rPr>
              <w:t>10 (9.1%) common</w:t>
            </w:r>
          </w:p>
        </w:tc>
        <w:tc>
          <w:tcPr>
            <w:tcW w:w="2429" w:type="dxa"/>
          </w:tcPr>
          <w:p w14:paraId="23AC90EF" w14:textId="77777777" w:rsidR="00A06770" w:rsidRDefault="00A06770" w:rsidP="00B86AF9">
            <w:pPr>
              <w:spacing w:line="240" w:lineRule="auto"/>
              <w:rPr>
                <w:color w:val="000000"/>
                <w:sz w:val="18"/>
                <w:szCs w:val="18"/>
              </w:rPr>
            </w:pPr>
            <w:r>
              <w:rPr>
                <w:color w:val="000000"/>
                <w:sz w:val="18"/>
                <w:szCs w:val="18"/>
              </w:rPr>
              <w:t xml:space="preserve">12 (0.0029) </w:t>
            </w:r>
            <w:r w:rsidRPr="00B676EE">
              <w:rPr>
                <w:color w:val="000000"/>
                <w:sz w:val="18"/>
                <w:szCs w:val="18"/>
              </w:rPr>
              <w:t>uncommon</w:t>
            </w:r>
          </w:p>
        </w:tc>
      </w:tr>
      <w:tr w:rsidR="00A06770" w14:paraId="22CE8B3E" w14:textId="77777777" w:rsidTr="00D42C17">
        <w:trPr>
          <w:cantSplit/>
        </w:trPr>
        <w:tc>
          <w:tcPr>
            <w:tcW w:w="2340" w:type="dxa"/>
            <w:vMerge/>
          </w:tcPr>
          <w:p w14:paraId="0C8FAC6F" w14:textId="77777777" w:rsidR="00A06770" w:rsidRDefault="00A06770" w:rsidP="00B86AF9">
            <w:pPr>
              <w:spacing w:line="240" w:lineRule="auto"/>
              <w:rPr>
                <w:color w:val="000000"/>
                <w:sz w:val="18"/>
                <w:szCs w:val="18"/>
              </w:rPr>
            </w:pPr>
          </w:p>
        </w:tc>
        <w:tc>
          <w:tcPr>
            <w:tcW w:w="2160" w:type="dxa"/>
          </w:tcPr>
          <w:p w14:paraId="7ED6E308" w14:textId="77777777" w:rsidR="00A06770" w:rsidRDefault="00A06770" w:rsidP="00B86AF9">
            <w:pPr>
              <w:spacing w:line="240" w:lineRule="auto"/>
              <w:rPr>
                <w:color w:val="000000"/>
                <w:sz w:val="18"/>
                <w:szCs w:val="18"/>
              </w:rPr>
            </w:pPr>
            <w:r>
              <w:rPr>
                <w:color w:val="000000"/>
                <w:sz w:val="18"/>
                <w:szCs w:val="18"/>
              </w:rPr>
              <w:t>Oropharyngeal pain</w:t>
            </w:r>
          </w:p>
        </w:tc>
        <w:tc>
          <w:tcPr>
            <w:tcW w:w="2250" w:type="dxa"/>
          </w:tcPr>
          <w:p w14:paraId="14D09967" w14:textId="77777777" w:rsidR="00A06770" w:rsidRDefault="00A06770" w:rsidP="00B86AF9">
            <w:pPr>
              <w:spacing w:line="240" w:lineRule="auto"/>
              <w:jc w:val="both"/>
              <w:rPr>
                <w:color w:val="000000"/>
                <w:sz w:val="18"/>
                <w:szCs w:val="18"/>
              </w:rPr>
            </w:pPr>
            <w:r>
              <w:rPr>
                <w:color w:val="000000"/>
                <w:sz w:val="18"/>
                <w:szCs w:val="18"/>
              </w:rPr>
              <w:t>3 (2.7%) common</w:t>
            </w:r>
          </w:p>
        </w:tc>
        <w:tc>
          <w:tcPr>
            <w:tcW w:w="2429" w:type="dxa"/>
          </w:tcPr>
          <w:p w14:paraId="2199C2B0" w14:textId="77777777" w:rsidR="00A06770" w:rsidRDefault="00A06770" w:rsidP="00B86AF9">
            <w:pPr>
              <w:spacing w:line="240" w:lineRule="auto"/>
              <w:rPr>
                <w:color w:val="000000"/>
                <w:sz w:val="18"/>
                <w:szCs w:val="18"/>
              </w:rPr>
            </w:pPr>
            <w:r>
              <w:rPr>
                <w:color w:val="000000"/>
                <w:sz w:val="18"/>
                <w:szCs w:val="18"/>
              </w:rPr>
              <w:t xml:space="preserve">4 (0.0010) </w:t>
            </w:r>
            <w:r w:rsidRPr="00B676EE">
              <w:rPr>
                <w:color w:val="000000"/>
                <w:sz w:val="18"/>
                <w:szCs w:val="18"/>
              </w:rPr>
              <w:t>uncommon</w:t>
            </w:r>
          </w:p>
        </w:tc>
      </w:tr>
      <w:tr w:rsidR="00A06770" w14:paraId="1AE523DA" w14:textId="77777777" w:rsidTr="00D42C17">
        <w:trPr>
          <w:cantSplit/>
        </w:trPr>
        <w:tc>
          <w:tcPr>
            <w:tcW w:w="2340" w:type="dxa"/>
            <w:vMerge/>
          </w:tcPr>
          <w:p w14:paraId="68C090EE" w14:textId="77777777" w:rsidR="00A06770" w:rsidRDefault="00A06770" w:rsidP="00B86AF9">
            <w:pPr>
              <w:spacing w:line="240" w:lineRule="auto"/>
              <w:rPr>
                <w:color w:val="000000"/>
                <w:sz w:val="18"/>
                <w:szCs w:val="18"/>
              </w:rPr>
            </w:pPr>
          </w:p>
        </w:tc>
        <w:tc>
          <w:tcPr>
            <w:tcW w:w="2160" w:type="dxa"/>
          </w:tcPr>
          <w:p w14:paraId="3E84D846" w14:textId="77777777" w:rsidR="00A06770" w:rsidRDefault="00A06770" w:rsidP="00B86AF9">
            <w:pPr>
              <w:spacing w:line="240" w:lineRule="auto"/>
              <w:rPr>
                <w:color w:val="000000"/>
                <w:sz w:val="18"/>
                <w:szCs w:val="18"/>
              </w:rPr>
            </w:pPr>
            <w:r>
              <w:rPr>
                <w:color w:val="000000"/>
                <w:sz w:val="18"/>
                <w:szCs w:val="18"/>
              </w:rPr>
              <w:t>Rhinorrhoea</w:t>
            </w:r>
          </w:p>
        </w:tc>
        <w:tc>
          <w:tcPr>
            <w:tcW w:w="2250" w:type="dxa"/>
          </w:tcPr>
          <w:p w14:paraId="0969B8CB" w14:textId="77777777" w:rsidR="00A06770" w:rsidRDefault="00A06770" w:rsidP="00B86AF9">
            <w:pPr>
              <w:spacing w:line="240" w:lineRule="auto"/>
              <w:jc w:val="both"/>
              <w:rPr>
                <w:color w:val="000000"/>
                <w:sz w:val="18"/>
                <w:szCs w:val="18"/>
              </w:rPr>
            </w:pPr>
            <w:r>
              <w:rPr>
                <w:color w:val="000000"/>
                <w:sz w:val="18"/>
                <w:szCs w:val="18"/>
              </w:rPr>
              <w:t>3 (2.7%) common</w:t>
            </w:r>
          </w:p>
        </w:tc>
        <w:tc>
          <w:tcPr>
            <w:tcW w:w="2429" w:type="dxa"/>
          </w:tcPr>
          <w:p w14:paraId="37E30289" w14:textId="77777777" w:rsidR="00A06770" w:rsidRDefault="00A06770" w:rsidP="00B86AF9">
            <w:pPr>
              <w:spacing w:line="240" w:lineRule="auto"/>
              <w:rPr>
                <w:color w:val="000000"/>
                <w:sz w:val="18"/>
                <w:szCs w:val="18"/>
              </w:rPr>
            </w:pPr>
            <w:r>
              <w:rPr>
                <w:color w:val="000000"/>
                <w:sz w:val="18"/>
                <w:szCs w:val="18"/>
              </w:rPr>
              <w:t xml:space="preserve">4 (0.0010) </w:t>
            </w:r>
            <w:r w:rsidRPr="00B676EE">
              <w:rPr>
                <w:color w:val="000000"/>
                <w:sz w:val="18"/>
                <w:szCs w:val="18"/>
              </w:rPr>
              <w:t>uncommon</w:t>
            </w:r>
          </w:p>
        </w:tc>
      </w:tr>
      <w:tr w:rsidR="00A06770" w14:paraId="7FB5D422" w14:textId="77777777" w:rsidTr="00D42C17">
        <w:trPr>
          <w:cantSplit/>
        </w:trPr>
        <w:tc>
          <w:tcPr>
            <w:tcW w:w="2340" w:type="dxa"/>
            <w:vMerge/>
          </w:tcPr>
          <w:p w14:paraId="639D331E" w14:textId="77777777" w:rsidR="00A06770" w:rsidRDefault="00A06770" w:rsidP="00B86AF9">
            <w:pPr>
              <w:spacing w:line="240" w:lineRule="auto"/>
              <w:rPr>
                <w:color w:val="000000"/>
                <w:sz w:val="18"/>
                <w:szCs w:val="18"/>
              </w:rPr>
            </w:pPr>
          </w:p>
        </w:tc>
        <w:tc>
          <w:tcPr>
            <w:tcW w:w="2160" w:type="dxa"/>
          </w:tcPr>
          <w:p w14:paraId="20BEE655" w14:textId="77777777" w:rsidR="00A06770" w:rsidRDefault="00A06770" w:rsidP="00B86AF9">
            <w:pPr>
              <w:spacing w:line="240" w:lineRule="auto"/>
              <w:rPr>
                <w:color w:val="000000"/>
                <w:sz w:val="18"/>
                <w:szCs w:val="18"/>
              </w:rPr>
            </w:pPr>
            <w:r>
              <w:rPr>
                <w:color w:val="000000"/>
                <w:sz w:val="18"/>
                <w:szCs w:val="18"/>
              </w:rPr>
              <w:t>Asthma</w:t>
            </w:r>
          </w:p>
        </w:tc>
        <w:tc>
          <w:tcPr>
            <w:tcW w:w="2250" w:type="dxa"/>
          </w:tcPr>
          <w:p w14:paraId="56971BF3" w14:textId="77777777" w:rsidR="00A06770" w:rsidRDefault="00A06770" w:rsidP="00B86AF9">
            <w:pPr>
              <w:spacing w:line="240" w:lineRule="auto"/>
              <w:jc w:val="both"/>
              <w:rPr>
                <w:color w:val="000000"/>
                <w:sz w:val="18"/>
                <w:szCs w:val="18"/>
              </w:rPr>
            </w:pPr>
            <w:r>
              <w:rPr>
                <w:color w:val="000000"/>
                <w:sz w:val="18"/>
                <w:szCs w:val="18"/>
              </w:rPr>
              <w:t>3 (2.7%) common</w:t>
            </w:r>
          </w:p>
        </w:tc>
        <w:tc>
          <w:tcPr>
            <w:tcW w:w="2429" w:type="dxa"/>
          </w:tcPr>
          <w:p w14:paraId="7E1827A5" w14:textId="77777777" w:rsidR="00A06770" w:rsidRDefault="00A06770" w:rsidP="00B86AF9">
            <w:pPr>
              <w:spacing w:line="240" w:lineRule="auto"/>
              <w:rPr>
                <w:color w:val="000000"/>
                <w:sz w:val="18"/>
                <w:szCs w:val="18"/>
              </w:rPr>
            </w:pPr>
            <w:r>
              <w:rPr>
                <w:color w:val="000000"/>
                <w:sz w:val="18"/>
                <w:szCs w:val="18"/>
              </w:rPr>
              <w:t>3 (0.0007) rare</w:t>
            </w:r>
          </w:p>
        </w:tc>
      </w:tr>
      <w:tr w:rsidR="00A06770" w14:paraId="1013AA98" w14:textId="77777777" w:rsidTr="00D42C17">
        <w:trPr>
          <w:cantSplit/>
        </w:trPr>
        <w:tc>
          <w:tcPr>
            <w:tcW w:w="2340" w:type="dxa"/>
            <w:vMerge/>
          </w:tcPr>
          <w:p w14:paraId="7D980B77" w14:textId="77777777" w:rsidR="00A06770" w:rsidRDefault="00A06770" w:rsidP="00B86AF9">
            <w:pPr>
              <w:spacing w:line="240" w:lineRule="auto"/>
              <w:rPr>
                <w:color w:val="000000"/>
                <w:sz w:val="18"/>
                <w:szCs w:val="18"/>
              </w:rPr>
            </w:pPr>
          </w:p>
        </w:tc>
        <w:tc>
          <w:tcPr>
            <w:tcW w:w="2160" w:type="dxa"/>
          </w:tcPr>
          <w:p w14:paraId="4CFCE2D2" w14:textId="77777777" w:rsidR="00A06770" w:rsidRDefault="00A06770" w:rsidP="00B86AF9">
            <w:pPr>
              <w:spacing w:line="240" w:lineRule="auto"/>
              <w:rPr>
                <w:color w:val="000000"/>
                <w:sz w:val="18"/>
                <w:szCs w:val="18"/>
              </w:rPr>
            </w:pPr>
            <w:r>
              <w:rPr>
                <w:color w:val="000000"/>
                <w:sz w:val="18"/>
                <w:szCs w:val="18"/>
              </w:rPr>
              <w:t>Epistaxis</w:t>
            </w:r>
          </w:p>
        </w:tc>
        <w:tc>
          <w:tcPr>
            <w:tcW w:w="2250" w:type="dxa"/>
          </w:tcPr>
          <w:p w14:paraId="1C965F3E" w14:textId="77777777" w:rsidR="00A06770" w:rsidRDefault="00A06770" w:rsidP="00B86AF9">
            <w:pPr>
              <w:spacing w:line="240" w:lineRule="auto"/>
              <w:jc w:val="both"/>
              <w:rPr>
                <w:color w:val="000000"/>
                <w:sz w:val="18"/>
                <w:szCs w:val="18"/>
              </w:rPr>
            </w:pPr>
            <w:r>
              <w:rPr>
                <w:color w:val="000000"/>
                <w:sz w:val="18"/>
                <w:szCs w:val="18"/>
              </w:rPr>
              <w:t>2 (1.8%) common</w:t>
            </w:r>
          </w:p>
        </w:tc>
        <w:tc>
          <w:tcPr>
            <w:tcW w:w="2429" w:type="dxa"/>
          </w:tcPr>
          <w:p w14:paraId="4FD095E7" w14:textId="77777777" w:rsidR="00A06770" w:rsidRDefault="00A06770" w:rsidP="00B86AF9">
            <w:pPr>
              <w:spacing w:line="240" w:lineRule="auto"/>
              <w:rPr>
                <w:color w:val="000000"/>
                <w:sz w:val="18"/>
                <w:szCs w:val="18"/>
              </w:rPr>
            </w:pPr>
            <w:r>
              <w:rPr>
                <w:color w:val="000000"/>
                <w:sz w:val="18"/>
                <w:szCs w:val="18"/>
              </w:rPr>
              <w:t xml:space="preserve">5 (0.0012) </w:t>
            </w:r>
            <w:r w:rsidRPr="00B676EE">
              <w:rPr>
                <w:color w:val="000000"/>
                <w:sz w:val="18"/>
                <w:szCs w:val="18"/>
              </w:rPr>
              <w:t>uncommon</w:t>
            </w:r>
          </w:p>
        </w:tc>
      </w:tr>
      <w:tr w:rsidR="00A06770" w:rsidRPr="005E44A6" w:rsidDel="005755E7" w14:paraId="089D0C58" w14:textId="77777777" w:rsidTr="00D42C17">
        <w:trPr>
          <w:cantSplit/>
        </w:trPr>
        <w:tc>
          <w:tcPr>
            <w:tcW w:w="2340" w:type="dxa"/>
            <w:vMerge w:val="restart"/>
          </w:tcPr>
          <w:p w14:paraId="5D843D5E" w14:textId="77777777" w:rsidR="00A06770" w:rsidRPr="00C56F09" w:rsidRDefault="00A06770" w:rsidP="00B86AF9">
            <w:pPr>
              <w:spacing w:line="240" w:lineRule="auto"/>
              <w:rPr>
                <w:color w:val="000000"/>
                <w:sz w:val="18"/>
                <w:szCs w:val="18"/>
              </w:rPr>
            </w:pPr>
            <w:r>
              <w:rPr>
                <w:color w:val="000000"/>
                <w:sz w:val="18"/>
                <w:szCs w:val="18"/>
              </w:rPr>
              <w:t>Gastrointestinal disorders</w:t>
            </w:r>
          </w:p>
        </w:tc>
        <w:tc>
          <w:tcPr>
            <w:tcW w:w="2160" w:type="dxa"/>
          </w:tcPr>
          <w:p w14:paraId="3533292C" w14:textId="77777777" w:rsidR="00A06770" w:rsidRPr="00C56F09" w:rsidRDefault="00A06770" w:rsidP="00B86AF9">
            <w:pPr>
              <w:spacing w:line="240" w:lineRule="auto"/>
              <w:rPr>
                <w:color w:val="000000"/>
                <w:sz w:val="18"/>
                <w:szCs w:val="18"/>
              </w:rPr>
            </w:pPr>
            <w:r>
              <w:rPr>
                <w:color w:val="000000"/>
                <w:sz w:val="18"/>
                <w:szCs w:val="18"/>
              </w:rPr>
              <w:t>Diarrhoea</w:t>
            </w:r>
          </w:p>
        </w:tc>
        <w:tc>
          <w:tcPr>
            <w:tcW w:w="2250" w:type="dxa"/>
          </w:tcPr>
          <w:p w14:paraId="06BF57A7" w14:textId="77777777" w:rsidR="00A06770" w:rsidRPr="00B676EE" w:rsidRDefault="00A06770" w:rsidP="00B86AF9">
            <w:pPr>
              <w:spacing w:line="240" w:lineRule="auto"/>
              <w:jc w:val="both"/>
              <w:rPr>
                <w:color w:val="000000"/>
                <w:sz w:val="18"/>
                <w:szCs w:val="18"/>
              </w:rPr>
            </w:pPr>
            <w:r>
              <w:rPr>
                <w:color w:val="000000"/>
                <w:sz w:val="18"/>
                <w:szCs w:val="18"/>
              </w:rPr>
              <w:t>9 (8.2%) common</w:t>
            </w:r>
          </w:p>
        </w:tc>
        <w:tc>
          <w:tcPr>
            <w:tcW w:w="2429" w:type="dxa"/>
          </w:tcPr>
          <w:p w14:paraId="75924CE6" w14:textId="77777777" w:rsidR="00A06770" w:rsidRPr="00B676EE" w:rsidRDefault="00A06770" w:rsidP="00B86AF9">
            <w:pPr>
              <w:spacing w:line="240" w:lineRule="auto"/>
              <w:rPr>
                <w:color w:val="000000"/>
                <w:sz w:val="18"/>
                <w:szCs w:val="18"/>
              </w:rPr>
            </w:pPr>
            <w:r>
              <w:rPr>
                <w:color w:val="000000"/>
                <w:sz w:val="18"/>
                <w:szCs w:val="18"/>
              </w:rPr>
              <w:t xml:space="preserve">10 (0.0024) </w:t>
            </w:r>
            <w:r w:rsidRPr="00B676EE">
              <w:rPr>
                <w:color w:val="000000"/>
                <w:sz w:val="18"/>
                <w:szCs w:val="18"/>
              </w:rPr>
              <w:t>uncommon</w:t>
            </w:r>
          </w:p>
        </w:tc>
      </w:tr>
      <w:tr w:rsidR="00A06770" w:rsidRPr="005E44A6" w:rsidDel="005755E7" w14:paraId="619CB7BD" w14:textId="77777777" w:rsidTr="00D42C17">
        <w:trPr>
          <w:cantSplit/>
        </w:trPr>
        <w:tc>
          <w:tcPr>
            <w:tcW w:w="2340" w:type="dxa"/>
            <w:vMerge/>
          </w:tcPr>
          <w:p w14:paraId="0BEF37F5" w14:textId="77777777" w:rsidR="00A06770" w:rsidRPr="00771344" w:rsidRDefault="00A06770" w:rsidP="00B86AF9">
            <w:pPr>
              <w:spacing w:line="240" w:lineRule="auto"/>
              <w:rPr>
                <w:color w:val="000000"/>
                <w:sz w:val="18"/>
                <w:szCs w:val="18"/>
              </w:rPr>
            </w:pPr>
          </w:p>
        </w:tc>
        <w:tc>
          <w:tcPr>
            <w:tcW w:w="2160" w:type="dxa"/>
          </w:tcPr>
          <w:p w14:paraId="73425704" w14:textId="77777777" w:rsidR="00A06770" w:rsidRPr="00771344" w:rsidRDefault="00A06770" w:rsidP="00B86AF9">
            <w:pPr>
              <w:spacing w:line="240" w:lineRule="auto"/>
              <w:rPr>
                <w:color w:val="000000"/>
                <w:sz w:val="18"/>
                <w:szCs w:val="18"/>
              </w:rPr>
            </w:pPr>
            <w:r>
              <w:rPr>
                <w:color w:val="000000"/>
                <w:sz w:val="18"/>
                <w:szCs w:val="18"/>
              </w:rPr>
              <w:t>Vomiting</w:t>
            </w:r>
          </w:p>
        </w:tc>
        <w:tc>
          <w:tcPr>
            <w:tcW w:w="2250" w:type="dxa"/>
          </w:tcPr>
          <w:p w14:paraId="53112A51" w14:textId="77777777" w:rsidR="00A06770" w:rsidRPr="00771344" w:rsidRDefault="00A06770" w:rsidP="00B86AF9">
            <w:pPr>
              <w:spacing w:line="240" w:lineRule="auto"/>
              <w:jc w:val="both"/>
              <w:rPr>
                <w:color w:val="000000"/>
                <w:sz w:val="18"/>
                <w:szCs w:val="18"/>
              </w:rPr>
            </w:pPr>
            <w:r>
              <w:rPr>
                <w:color w:val="000000"/>
                <w:sz w:val="18"/>
                <w:szCs w:val="18"/>
              </w:rPr>
              <w:t>5 (4.5%) common</w:t>
            </w:r>
          </w:p>
        </w:tc>
        <w:tc>
          <w:tcPr>
            <w:tcW w:w="2429" w:type="dxa"/>
          </w:tcPr>
          <w:p w14:paraId="549134A0" w14:textId="77777777" w:rsidR="00A06770" w:rsidRPr="00771344" w:rsidRDefault="00A06770" w:rsidP="00B86AF9">
            <w:pPr>
              <w:spacing w:line="240" w:lineRule="auto"/>
              <w:rPr>
                <w:color w:val="000000"/>
                <w:sz w:val="18"/>
                <w:szCs w:val="18"/>
              </w:rPr>
            </w:pPr>
            <w:r>
              <w:rPr>
                <w:color w:val="000000"/>
                <w:sz w:val="18"/>
                <w:szCs w:val="18"/>
              </w:rPr>
              <w:t xml:space="preserve">7 (0.0017) </w:t>
            </w:r>
            <w:r w:rsidRPr="00B676EE">
              <w:rPr>
                <w:color w:val="000000"/>
                <w:sz w:val="18"/>
                <w:szCs w:val="18"/>
              </w:rPr>
              <w:t>uncommon</w:t>
            </w:r>
          </w:p>
        </w:tc>
      </w:tr>
      <w:tr w:rsidR="00A06770" w:rsidRPr="005E44A6" w:rsidDel="005755E7" w14:paraId="3A3DBFD3" w14:textId="77777777" w:rsidTr="00D42C17">
        <w:trPr>
          <w:cantSplit/>
        </w:trPr>
        <w:tc>
          <w:tcPr>
            <w:tcW w:w="2340" w:type="dxa"/>
            <w:vMerge/>
          </w:tcPr>
          <w:p w14:paraId="5441B0CA" w14:textId="77777777" w:rsidR="00A06770" w:rsidRPr="00C56F09" w:rsidRDefault="00A06770" w:rsidP="00B86AF9">
            <w:pPr>
              <w:spacing w:line="240" w:lineRule="auto"/>
              <w:rPr>
                <w:color w:val="000000"/>
                <w:sz w:val="18"/>
                <w:szCs w:val="18"/>
              </w:rPr>
            </w:pPr>
          </w:p>
        </w:tc>
        <w:tc>
          <w:tcPr>
            <w:tcW w:w="2160" w:type="dxa"/>
          </w:tcPr>
          <w:p w14:paraId="77281B22" w14:textId="77777777" w:rsidR="00A06770" w:rsidRPr="00C56F09" w:rsidRDefault="00A06770" w:rsidP="00B86AF9">
            <w:pPr>
              <w:spacing w:line="240" w:lineRule="auto"/>
              <w:rPr>
                <w:color w:val="000000"/>
                <w:sz w:val="18"/>
                <w:szCs w:val="18"/>
              </w:rPr>
            </w:pPr>
            <w:r>
              <w:rPr>
                <w:color w:val="000000"/>
                <w:sz w:val="18"/>
                <w:szCs w:val="18"/>
              </w:rPr>
              <w:t>Nausea</w:t>
            </w:r>
          </w:p>
        </w:tc>
        <w:tc>
          <w:tcPr>
            <w:tcW w:w="2250" w:type="dxa"/>
          </w:tcPr>
          <w:p w14:paraId="58A5DAD1" w14:textId="77777777" w:rsidR="00A06770" w:rsidRPr="00B676EE" w:rsidRDefault="00A06770" w:rsidP="00B86AF9">
            <w:pPr>
              <w:spacing w:line="240" w:lineRule="auto"/>
              <w:jc w:val="both"/>
              <w:rPr>
                <w:color w:val="000000"/>
                <w:sz w:val="18"/>
                <w:szCs w:val="18"/>
              </w:rPr>
            </w:pPr>
            <w:r>
              <w:rPr>
                <w:color w:val="000000"/>
                <w:sz w:val="18"/>
                <w:szCs w:val="18"/>
              </w:rPr>
              <w:t>4 (3.6%) common</w:t>
            </w:r>
          </w:p>
        </w:tc>
        <w:tc>
          <w:tcPr>
            <w:tcW w:w="2429" w:type="dxa"/>
          </w:tcPr>
          <w:p w14:paraId="6DC85A51" w14:textId="77777777" w:rsidR="00A06770" w:rsidRPr="00B676EE" w:rsidRDefault="00A06770" w:rsidP="00B86AF9">
            <w:pPr>
              <w:spacing w:line="240" w:lineRule="auto"/>
              <w:rPr>
                <w:color w:val="000000"/>
                <w:sz w:val="18"/>
                <w:szCs w:val="18"/>
              </w:rPr>
            </w:pPr>
            <w:r>
              <w:rPr>
                <w:color w:val="000000"/>
                <w:sz w:val="18"/>
                <w:szCs w:val="18"/>
              </w:rPr>
              <w:t xml:space="preserve">6 (0.0015) </w:t>
            </w:r>
            <w:r w:rsidRPr="00B676EE">
              <w:rPr>
                <w:color w:val="000000"/>
                <w:sz w:val="18"/>
                <w:szCs w:val="18"/>
              </w:rPr>
              <w:t>uncommon</w:t>
            </w:r>
          </w:p>
        </w:tc>
      </w:tr>
      <w:tr w:rsidR="00A06770" w:rsidRPr="005E44A6" w:rsidDel="005755E7" w14:paraId="5639BD10" w14:textId="77777777" w:rsidTr="00D42C17">
        <w:trPr>
          <w:cantSplit/>
        </w:trPr>
        <w:tc>
          <w:tcPr>
            <w:tcW w:w="2340" w:type="dxa"/>
            <w:vMerge/>
          </w:tcPr>
          <w:p w14:paraId="6DF4D8CB" w14:textId="77777777" w:rsidR="00A06770" w:rsidRPr="00771344" w:rsidRDefault="00A06770" w:rsidP="00B86AF9">
            <w:pPr>
              <w:spacing w:line="240" w:lineRule="auto"/>
              <w:rPr>
                <w:color w:val="000000"/>
                <w:sz w:val="18"/>
                <w:szCs w:val="18"/>
              </w:rPr>
            </w:pPr>
          </w:p>
        </w:tc>
        <w:tc>
          <w:tcPr>
            <w:tcW w:w="2160" w:type="dxa"/>
          </w:tcPr>
          <w:p w14:paraId="652DC719" w14:textId="77777777" w:rsidR="00A06770" w:rsidRPr="00771344" w:rsidRDefault="00A06770" w:rsidP="00B86AF9">
            <w:pPr>
              <w:spacing w:line="240" w:lineRule="auto"/>
              <w:rPr>
                <w:color w:val="000000"/>
                <w:sz w:val="18"/>
                <w:szCs w:val="18"/>
              </w:rPr>
            </w:pPr>
            <w:r>
              <w:rPr>
                <w:color w:val="000000"/>
                <w:sz w:val="18"/>
                <w:szCs w:val="18"/>
              </w:rPr>
              <w:t>Abdominal pain upper</w:t>
            </w:r>
          </w:p>
        </w:tc>
        <w:tc>
          <w:tcPr>
            <w:tcW w:w="2250" w:type="dxa"/>
          </w:tcPr>
          <w:p w14:paraId="283C04E4" w14:textId="77777777" w:rsidR="00A06770" w:rsidRPr="00771344" w:rsidRDefault="00A06770" w:rsidP="00B86AF9">
            <w:pPr>
              <w:spacing w:line="240" w:lineRule="auto"/>
              <w:jc w:val="both"/>
              <w:rPr>
                <w:color w:val="000000"/>
                <w:sz w:val="18"/>
                <w:szCs w:val="18"/>
              </w:rPr>
            </w:pPr>
            <w:r>
              <w:rPr>
                <w:color w:val="000000"/>
                <w:sz w:val="18"/>
                <w:szCs w:val="18"/>
              </w:rPr>
              <w:t>2 (1.8%) common</w:t>
            </w:r>
          </w:p>
        </w:tc>
        <w:tc>
          <w:tcPr>
            <w:tcW w:w="2429" w:type="dxa"/>
          </w:tcPr>
          <w:p w14:paraId="21946D81" w14:textId="77777777" w:rsidR="00A06770" w:rsidRPr="00771344" w:rsidRDefault="00A06770" w:rsidP="00B86AF9">
            <w:pPr>
              <w:spacing w:line="240" w:lineRule="auto"/>
              <w:rPr>
                <w:color w:val="000000"/>
                <w:sz w:val="18"/>
                <w:szCs w:val="18"/>
              </w:rPr>
            </w:pPr>
            <w:r>
              <w:rPr>
                <w:color w:val="000000"/>
                <w:sz w:val="18"/>
                <w:szCs w:val="18"/>
              </w:rPr>
              <w:t>3 (0.0007) rare</w:t>
            </w:r>
          </w:p>
        </w:tc>
      </w:tr>
      <w:tr w:rsidR="00A06770" w14:paraId="692CCA57" w14:textId="77777777" w:rsidTr="00D42C17">
        <w:trPr>
          <w:cantSplit/>
        </w:trPr>
        <w:tc>
          <w:tcPr>
            <w:tcW w:w="2340" w:type="dxa"/>
            <w:vMerge w:val="restart"/>
          </w:tcPr>
          <w:p w14:paraId="0016E86E" w14:textId="77777777" w:rsidR="00A06770" w:rsidRDefault="00A06770" w:rsidP="00CF3126">
            <w:pPr>
              <w:spacing w:line="240" w:lineRule="auto"/>
              <w:rPr>
                <w:color w:val="000000"/>
                <w:sz w:val="18"/>
                <w:szCs w:val="18"/>
              </w:rPr>
            </w:pPr>
            <w:r>
              <w:rPr>
                <w:color w:val="000000"/>
                <w:sz w:val="18"/>
                <w:szCs w:val="18"/>
              </w:rPr>
              <w:t>Skin and subcutaneous tissue disorders</w:t>
            </w:r>
          </w:p>
        </w:tc>
        <w:tc>
          <w:tcPr>
            <w:tcW w:w="2160" w:type="dxa"/>
          </w:tcPr>
          <w:p w14:paraId="09DF80BB" w14:textId="77777777" w:rsidR="00A06770" w:rsidRDefault="00A06770" w:rsidP="00B86AF9">
            <w:pPr>
              <w:spacing w:line="240" w:lineRule="auto"/>
              <w:rPr>
                <w:color w:val="000000"/>
                <w:sz w:val="18"/>
                <w:szCs w:val="18"/>
              </w:rPr>
            </w:pPr>
            <w:r>
              <w:rPr>
                <w:color w:val="000000"/>
                <w:sz w:val="18"/>
                <w:szCs w:val="18"/>
              </w:rPr>
              <w:t>Rash</w:t>
            </w:r>
          </w:p>
        </w:tc>
        <w:tc>
          <w:tcPr>
            <w:tcW w:w="2250" w:type="dxa"/>
          </w:tcPr>
          <w:p w14:paraId="5E5A4553" w14:textId="77777777" w:rsidR="00A06770" w:rsidRDefault="00A06770" w:rsidP="00B86AF9">
            <w:pPr>
              <w:spacing w:line="240" w:lineRule="auto"/>
              <w:jc w:val="both"/>
              <w:rPr>
                <w:color w:val="000000"/>
                <w:sz w:val="18"/>
                <w:szCs w:val="18"/>
              </w:rPr>
            </w:pPr>
            <w:r>
              <w:rPr>
                <w:color w:val="000000"/>
                <w:sz w:val="18"/>
                <w:szCs w:val="18"/>
              </w:rPr>
              <w:t>4 (3.6%) common</w:t>
            </w:r>
          </w:p>
        </w:tc>
        <w:tc>
          <w:tcPr>
            <w:tcW w:w="2429" w:type="dxa"/>
          </w:tcPr>
          <w:p w14:paraId="48225BE9" w14:textId="77777777" w:rsidR="00A06770" w:rsidRDefault="00A06770" w:rsidP="00B86AF9">
            <w:pPr>
              <w:spacing w:line="240" w:lineRule="auto"/>
              <w:rPr>
                <w:color w:val="000000"/>
                <w:sz w:val="18"/>
                <w:szCs w:val="18"/>
              </w:rPr>
            </w:pPr>
            <w:r>
              <w:rPr>
                <w:color w:val="000000"/>
                <w:sz w:val="18"/>
                <w:szCs w:val="18"/>
              </w:rPr>
              <w:t xml:space="preserve">4 (0.0010) </w:t>
            </w:r>
            <w:r w:rsidRPr="00B676EE">
              <w:rPr>
                <w:color w:val="000000"/>
                <w:sz w:val="18"/>
                <w:szCs w:val="18"/>
              </w:rPr>
              <w:t>uncommon</w:t>
            </w:r>
          </w:p>
        </w:tc>
      </w:tr>
      <w:tr w:rsidR="00A06770" w14:paraId="4EFD5641" w14:textId="77777777" w:rsidTr="00D42C17">
        <w:trPr>
          <w:cantSplit/>
        </w:trPr>
        <w:tc>
          <w:tcPr>
            <w:tcW w:w="2340" w:type="dxa"/>
            <w:vMerge/>
          </w:tcPr>
          <w:p w14:paraId="765B5D7E" w14:textId="77777777" w:rsidR="00A06770" w:rsidRDefault="00A06770" w:rsidP="00B86AF9">
            <w:pPr>
              <w:spacing w:line="240" w:lineRule="auto"/>
              <w:rPr>
                <w:color w:val="000000"/>
                <w:sz w:val="18"/>
                <w:szCs w:val="18"/>
              </w:rPr>
            </w:pPr>
          </w:p>
        </w:tc>
        <w:tc>
          <w:tcPr>
            <w:tcW w:w="2160" w:type="dxa"/>
          </w:tcPr>
          <w:p w14:paraId="2A1EAE93" w14:textId="77777777" w:rsidR="00A06770" w:rsidRDefault="00A06770" w:rsidP="00B86AF9">
            <w:pPr>
              <w:spacing w:line="240" w:lineRule="auto"/>
              <w:rPr>
                <w:color w:val="000000"/>
                <w:sz w:val="18"/>
                <w:szCs w:val="18"/>
              </w:rPr>
            </w:pPr>
            <w:r>
              <w:rPr>
                <w:color w:val="000000"/>
                <w:sz w:val="18"/>
                <w:szCs w:val="18"/>
              </w:rPr>
              <w:t>Dermatitis contact</w:t>
            </w:r>
          </w:p>
        </w:tc>
        <w:tc>
          <w:tcPr>
            <w:tcW w:w="2250" w:type="dxa"/>
          </w:tcPr>
          <w:p w14:paraId="761C045B" w14:textId="77777777" w:rsidR="00A06770" w:rsidRDefault="00A06770" w:rsidP="00B86AF9">
            <w:pPr>
              <w:spacing w:line="240" w:lineRule="auto"/>
              <w:jc w:val="both"/>
              <w:rPr>
                <w:color w:val="000000"/>
                <w:sz w:val="18"/>
                <w:szCs w:val="18"/>
              </w:rPr>
            </w:pPr>
            <w:r>
              <w:rPr>
                <w:color w:val="000000"/>
                <w:sz w:val="18"/>
                <w:szCs w:val="18"/>
              </w:rPr>
              <w:t xml:space="preserve">3 (2.7%) common </w:t>
            </w:r>
          </w:p>
        </w:tc>
        <w:tc>
          <w:tcPr>
            <w:tcW w:w="2429" w:type="dxa"/>
          </w:tcPr>
          <w:p w14:paraId="2BE017C9" w14:textId="77777777" w:rsidR="00A06770" w:rsidRDefault="00A06770" w:rsidP="00B86AF9">
            <w:pPr>
              <w:spacing w:line="240" w:lineRule="auto"/>
              <w:rPr>
                <w:color w:val="000000"/>
                <w:sz w:val="18"/>
                <w:szCs w:val="18"/>
              </w:rPr>
            </w:pPr>
            <w:r>
              <w:rPr>
                <w:color w:val="000000"/>
                <w:sz w:val="18"/>
                <w:szCs w:val="18"/>
              </w:rPr>
              <w:t>3 (0.0007) rare</w:t>
            </w:r>
          </w:p>
        </w:tc>
      </w:tr>
      <w:tr w:rsidR="00A06770" w14:paraId="6FC884AE" w14:textId="77777777" w:rsidTr="00D42C17">
        <w:trPr>
          <w:cantSplit/>
        </w:trPr>
        <w:tc>
          <w:tcPr>
            <w:tcW w:w="2340" w:type="dxa"/>
            <w:vMerge/>
          </w:tcPr>
          <w:p w14:paraId="67E2EC74" w14:textId="77777777" w:rsidR="00A06770" w:rsidRDefault="00A06770" w:rsidP="00B86AF9">
            <w:pPr>
              <w:spacing w:line="240" w:lineRule="auto"/>
              <w:rPr>
                <w:color w:val="000000"/>
                <w:sz w:val="18"/>
                <w:szCs w:val="18"/>
              </w:rPr>
            </w:pPr>
          </w:p>
        </w:tc>
        <w:tc>
          <w:tcPr>
            <w:tcW w:w="2160" w:type="dxa"/>
          </w:tcPr>
          <w:p w14:paraId="07960D1D" w14:textId="77777777" w:rsidR="00A06770" w:rsidRDefault="00A06770" w:rsidP="00B86AF9">
            <w:pPr>
              <w:spacing w:line="240" w:lineRule="auto"/>
              <w:rPr>
                <w:color w:val="000000"/>
                <w:sz w:val="18"/>
                <w:szCs w:val="18"/>
              </w:rPr>
            </w:pPr>
            <w:r>
              <w:rPr>
                <w:color w:val="000000"/>
                <w:sz w:val="18"/>
                <w:szCs w:val="18"/>
              </w:rPr>
              <w:t>Papule</w:t>
            </w:r>
          </w:p>
        </w:tc>
        <w:tc>
          <w:tcPr>
            <w:tcW w:w="2250" w:type="dxa"/>
          </w:tcPr>
          <w:p w14:paraId="2281C563" w14:textId="77777777" w:rsidR="00A06770" w:rsidRDefault="00A06770" w:rsidP="00B86AF9">
            <w:pPr>
              <w:spacing w:line="240" w:lineRule="auto"/>
              <w:jc w:val="both"/>
              <w:rPr>
                <w:color w:val="000000"/>
                <w:sz w:val="18"/>
                <w:szCs w:val="18"/>
              </w:rPr>
            </w:pPr>
            <w:r>
              <w:rPr>
                <w:color w:val="000000"/>
                <w:sz w:val="18"/>
                <w:szCs w:val="18"/>
              </w:rPr>
              <w:t>2 (1.8%) common</w:t>
            </w:r>
          </w:p>
        </w:tc>
        <w:tc>
          <w:tcPr>
            <w:tcW w:w="2429" w:type="dxa"/>
          </w:tcPr>
          <w:p w14:paraId="677E351D" w14:textId="77777777" w:rsidR="00A06770" w:rsidRDefault="00A06770" w:rsidP="00B86AF9">
            <w:pPr>
              <w:spacing w:line="240" w:lineRule="auto"/>
              <w:rPr>
                <w:color w:val="000000"/>
                <w:sz w:val="18"/>
                <w:szCs w:val="18"/>
              </w:rPr>
            </w:pPr>
            <w:r>
              <w:rPr>
                <w:color w:val="000000"/>
                <w:sz w:val="18"/>
                <w:szCs w:val="18"/>
              </w:rPr>
              <w:t>2 (0.0005) rare</w:t>
            </w:r>
          </w:p>
        </w:tc>
      </w:tr>
      <w:tr w:rsidR="00A06770" w14:paraId="1FC25E5D" w14:textId="77777777" w:rsidTr="00D42C17">
        <w:trPr>
          <w:cantSplit/>
        </w:trPr>
        <w:tc>
          <w:tcPr>
            <w:tcW w:w="2340" w:type="dxa"/>
            <w:vMerge/>
          </w:tcPr>
          <w:p w14:paraId="7A96FDAB" w14:textId="77777777" w:rsidR="00A06770" w:rsidRDefault="00A06770" w:rsidP="00B86AF9">
            <w:pPr>
              <w:spacing w:line="240" w:lineRule="auto"/>
              <w:rPr>
                <w:color w:val="000000"/>
                <w:sz w:val="18"/>
                <w:szCs w:val="18"/>
              </w:rPr>
            </w:pPr>
          </w:p>
        </w:tc>
        <w:tc>
          <w:tcPr>
            <w:tcW w:w="2160" w:type="dxa"/>
          </w:tcPr>
          <w:p w14:paraId="0D8E9012" w14:textId="77777777" w:rsidR="00A06770" w:rsidRDefault="00A06770" w:rsidP="00B86AF9">
            <w:pPr>
              <w:spacing w:line="240" w:lineRule="auto"/>
              <w:rPr>
                <w:color w:val="000000"/>
                <w:sz w:val="18"/>
                <w:szCs w:val="18"/>
              </w:rPr>
            </w:pPr>
            <w:r>
              <w:rPr>
                <w:color w:val="000000"/>
                <w:sz w:val="18"/>
                <w:szCs w:val="18"/>
              </w:rPr>
              <w:t>Pruritus</w:t>
            </w:r>
          </w:p>
        </w:tc>
        <w:tc>
          <w:tcPr>
            <w:tcW w:w="2250" w:type="dxa"/>
          </w:tcPr>
          <w:p w14:paraId="3139BB43" w14:textId="77777777" w:rsidR="00A06770" w:rsidRDefault="00A06770" w:rsidP="00B86AF9">
            <w:pPr>
              <w:spacing w:line="240" w:lineRule="auto"/>
              <w:jc w:val="both"/>
              <w:rPr>
                <w:color w:val="000000"/>
                <w:sz w:val="18"/>
                <w:szCs w:val="18"/>
              </w:rPr>
            </w:pPr>
            <w:r>
              <w:rPr>
                <w:color w:val="000000"/>
                <w:sz w:val="18"/>
                <w:szCs w:val="18"/>
              </w:rPr>
              <w:t>2 (1.8%) common</w:t>
            </w:r>
          </w:p>
        </w:tc>
        <w:tc>
          <w:tcPr>
            <w:tcW w:w="2429" w:type="dxa"/>
          </w:tcPr>
          <w:p w14:paraId="0ED1C013" w14:textId="77777777" w:rsidR="00A06770" w:rsidRDefault="00A06770" w:rsidP="00B86AF9">
            <w:pPr>
              <w:spacing w:line="240" w:lineRule="auto"/>
              <w:rPr>
                <w:color w:val="000000"/>
                <w:sz w:val="18"/>
                <w:szCs w:val="18"/>
              </w:rPr>
            </w:pPr>
            <w:r>
              <w:rPr>
                <w:color w:val="000000"/>
                <w:sz w:val="18"/>
                <w:szCs w:val="18"/>
              </w:rPr>
              <w:t>2 (0.0005) rare</w:t>
            </w:r>
          </w:p>
        </w:tc>
      </w:tr>
      <w:tr w:rsidR="00A06770" w14:paraId="4D69EA1D" w14:textId="77777777" w:rsidTr="00D42C17">
        <w:trPr>
          <w:cantSplit/>
        </w:trPr>
        <w:tc>
          <w:tcPr>
            <w:tcW w:w="2340" w:type="dxa"/>
            <w:vMerge w:val="restart"/>
          </w:tcPr>
          <w:p w14:paraId="7EAAD7DE" w14:textId="77777777" w:rsidR="00A06770" w:rsidRDefault="00A06770" w:rsidP="00B86AF9">
            <w:pPr>
              <w:spacing w:line="240" w:lineRule="auto"/>
              <w:rPr>
                <w:color w:val="000000"/>
                <w:sz w:val="18"/>
                <w:szCs w:val="18"/>
              </w:rPr>
            </w:pPr>
            <w:r>
              <w:rPr>
                <w:color w:val="000000"/>
                <w:sz w:val="18"/>
                <w:szCs w:val="18"/>
              </w:rPr>
              <w:t>Musculoskeletal and connective tissue disorders</w:t>
            </w:r>
          </w:p>
        </w:tc>
        <w:tc>
          <w:tcPr>
            <w:tcW w:w="2160" w:type="dxa"/>
          </w:tcPr>
          <w:p w14:paraId="7B2867CA" w14:textId="77777777" w:rsidR="00A06770" w:rsidRDefault="00A06770" w:rsidP="00B86AF9">
            <w:pPr>
              <w:spacing w:line="240" w:lineRule="auto"/>
              <w:rPr>
                <w:color w:val="000000"/>
                <w:sz w:val="18"/>
                <w:szCs w:val="18"/>
              </w:rPr>
            </w:pPr>
            <w:r>
              <w:rPr>
                <w:color w:val="000000"/>
                <w:sz w:val="18"/>
                <w:szCs w:val="18"/>
              </w:rPr>
              <w:t>Arthralgia</w:t>
            </w:r>
          </w:p>
        </w:tc>
        <w:tc>
          <w:tcPr>
            <w:tcW w:w="2250" w:type="dxa"/>
          </w:tcPr>
          <w:p w14:paraId="5822B23B" w14:textId="77777777" w:rsidR="00A06770" w:rsidRDefault="00A06770" w:rsidP="00B86AF9">
            <w:pPr>
              <w:spacing w:line="240" w:lineRule="auto"/>
              <w:jc w:val="both"/>
              <w:rPr>
                <w:color w:val="000000"/>
                <w:sz w:val="18"/>
                <w:szCs w:val="18"/>
              </w:rPr>
            </w:pPr>
            <w:r>
              <w:rPr>
                <w:color w:val="000000"/>
                <w:sz w:val="18"/>
                <w:szCs w:val="18"/>
              </w:rPr>
              <w:t>7 (6.4%) common</w:t>
            </w:r>
          </w:p>
        </w:tc>
        <w:tc>
          <w:tcPr>
            <w:tcW w:w="2429" w:type="dxa"/>
          </w:tcPr>
          <w:p w14:paraId="461C7965" w14:textId="77777777" w:rsidR="00A06770" w:rsidRDefault="00A06770" w:rsidP="00B86AF9">
            <w:pPr>
              <w:spacing w:line="240" w:lineRule="auto"/>
              <w:rPr>
                <w:color w:val="000000"/>
                <w:sz w:val="18"/>
                <w:szCs w:val="18"/>
              </w:rPr>
            </w:pPr>
            <w:r>
              <w:rPr>
                <w:color w:val="000000"/>
                <w:sz w:val="18"/>
                <w:szCs w:val="18"/>
              </w:rPr>
              <w:t xml:space="preserve">8 (0.0020) </w:t>
            </w:r>
            <w:r w:rsidRPr="00B676EE">
              <w:rPr>
                <w:color w:val="000000"/>
                <w:sz w:val="18"/>
                <w:szCs w:val="18"/>
              </w:rPr>
              <w:t>uncommon</w:t>
            </w:r>
          </w:p>
        </w:tc>
      </w:tr>
      <w:tr w:rsidR="00A06770" w14:paraId="654163F4" w14:textId="77777777" w:rsidTr="00D42C17">
        <w:trPr>
          <w:cantSplit/>
        </w:trPr>
        <w:tc>
          <w:tcPr>
            <w:tcW w:w="2340" w:type="dxa"/>
            <w:vMerge/>
          </w:tcPr>
          <w:p w14:paraId="73472CE1" w14:textId="77777777" w:rsidR="00A06770" w:rsidRDefault="00A06770" w:rsidP="00B86AF9">
            <w:pPr>
              <w:spacing w:line="240" w:lineRule="auto"/>
              <w:rPr>
                <w:color w:val="000000"/>
                <w:sz w:val="18"/>
                <w:szCs w:val="18"/>
              </w:rPr>
            </w:pPr>
          </w:p>
        </w:tc>
        <w:tc>
          <w:tcPr>
            <w:tcW w:w="2160" w:type="dxa"/>
          </w:tcPr>
          <w:p w14:paraId="0C91A57C" w14:textId="77777777" w:rsidR="00A06770" w:rsidRDefault="00A06770" w:rsidP="00B86AF9">
            <w:pPr>
              <w:spacing w:line="240" w:lineRule="auto"/>
              <w:rPr>
                <w:color w:val="000000"/>
                <w:sz w:val="18"/>
                <w:szCs w:val="18"/>
              </w:rPr>
            </w:pPr>
            <w:r>
              <w:rPr>
                <w:color w:val="000000"/>
                <w:sz w:val="18"/>
                <w:szCs w:val="18"/>
              </w:rPr>
              <w:t>Back pain</w:t>
            </w:r>
          </w:p>
        </w:tc>
        <w:tc>
          <w:tcPr>
            <w:tcW w:w="2250" w:type="dxa"/>
          </w:tcPr>
          <w:p w14:paraId="4A862F55" w14:textId="77777777" w:rsidR="00A06770" w:rsidRDefault="00A06770" w:rsidP="00B86AF9">
            <w:pPr>
              <w:spacing w:line="240" w:lineRule="auto"/>
              <w:jc w:val="both"/>
              <w:rPr>
                <w:color w:val="000000"/>
                <w:sz w:val="18"/>
                <w:szCs w:val="18"/>
              </w:rPr>
            </w:pPr>
            <w:r>
              <w:rPr>
                <w:color w:val="000000"/>
                <w:sz w:val="18"/>
                <w:szCs w:val="18"/>
              </w:rPr>
              <w:t>5 (4.5%) common</w:t>
            </w:r>
          </w:p>
        </w:tc>
        <w:tc>
          <w:tcPr>
            <w:tcW w:w="2429" w:type="dxa"/>
          </w:tcPr>
          <w:p w14:paraId="18D2ACF1" w14:textId="77777777" w:rsidR="00A06770" w:rsidRDefault="00A06770" w:rsidP="00B86AF9">
            <w:pPr>
              <w:spacing w:line="240" w:lineRule="auto"/>
              <w:rPr>
                <w:color w:val="000000"/>
                <w:sz w:val="18"/>
                <w:szCs w:val="18"/>
              </w:rPr>
            </w:pPr>
            <w:r>
              <w:rPr>
                <w:color w:val="000000"/>
                <w:sz w:val="18"/>
                <w:szCs w:val="18"/>
              </w:rPr>
              <w:t xml:space="preserve">6 (0.0015) </w:t>
            </w:r>
            <w:r w:rsidRPr="00B676EE">
              <w:rPr>
                <w:color w:val="000000"/>
                <w:sz w:val="18"/>
                <w:szCs w:val="18"/>
              </w:rPr>
              <w:t>uncommon</w:t>
            </w:r>
          </w:p>
        </w:tc>
      </w:tr>
      <w:tr w:rsidR="00A06770" w14:paraId="3B652199" w14:textId="77777777" w:rsidTr="00D42C17">
        <w:trPr>
          <w:cantSplit/>
        </w:trPr>
        <w:tc>
          <w:tcPr>
            <w:tcW w:w="2340" w:type="dxa"/>
            <w:vMerge/>
          </w:tcPr>
          <w:p w14:paraId="18A46FA5" w14:textId="77777777" w:rsidR="00A06770" w:rsidRDefault="00A06770" w:rsidP="00B86AF9">
            <w:pPr>
              <w:spacing w:line="240" w:lineRule="auto"/>
              <w:rPr>
                <w:color w:val="000000"/>
                <w:sz w:val="18"/>
                <w:szCs w:val="18"/>
              </w:rPr>
            </w:pPr>
          </w:p>
        </w:tc>
        <w:tc>
          <w:tcPr>
            <w:tcW w:w="2160" w:type="dxa"/>
          </w:tcPr>
          <w:p w14:paraId="775BC4E9" w14:textId="77777777" w:rsidR="00A06770" w:rsidRDefault="00A06770" w:rsidP="00B86AF9">
            <w:pPr>
              <w:spacing w:line="240" w:lineRule="auto"/>
              <w:rPr>
                <w:color w:val="000000"/>
                <w:sz w:val="18"/>
                <w:szCs w:val="18"/>
              </w:rPr>
            </w:pPr>
            <w:r>
              <w:rPr>
                <w:color w:val="000000"/>
                <w:sz w:val="18"/>
                <w:szCs w:val="18"/>
              </w:rPr>
              <w:t>Neck pain</w:t>
            </w:r>
          </w:p>
        </w:tc>
        <w:tc>
          <w:tcPr>
            <w:tcW w:w="2250" w:type="dxa"/>
          </w:tcPr>
          <w:p w14:paraId="169E12C9" w14:textId="77777777" w:rsidR="00A06770" w:rsidRDefault="00A06770" w:rsidP="00B86AF9">
            <w:pPr>
              <w:spacing w:line="240" w:lineRule="auto"/>
              <w:jc w:val="both"/>
              <w:rPr>
                <w:color w:val="000000"/>
                <w:sz w:val="18"/>
                <w:szCs w:val="18"/>
              </w:rPr>
            </w:pPr>
            <w:r>
              <w:rPr>
                <w:color w:val="000000"/>
                <w:sz w:val="18"/>
                <w:szCs w:val="18"/>
              </w:rPr>
              <w:t>2 (1.8%) common</w:t>
            </w:r>
          </w:p>
        </w:tc>
        <w:tc>
          <w:tcPr>
            <w:tcW w:w="2429" w:type="dxa"/>
          </w:tcPr>
          <w:p w14:paraId="4943717A" w14:textId="77777777" w:rsidR="00A06770" w:rsidRDefault="00A06770" w:rsidP="00B86AF9">
            <w:pPr>
              <w:spacing w:line="240" w:lineRule="auto"/>
              <w:rPr>
                <w:color w:val="000000"/>
                <w:sz w:val="18"/>
                <w:szCs w:val="18"/>
              </w:rPr>
            </w:pPr>
            <w:r>
              <w:rPr>
                <w:color w:val="000000"/>
                <w:sz w:val="18"/>
                <w:szCs w:val="18"/>
              </w:rPr>
              <w:t>3 (0.0007) rare</w:t>
            </w:r>
          </w:p>
        </w:tc>
      </w:tr>
      <w:tr w:rsidR="00A06770" w14:paraId="6F3B6BE5" w14:textId="77777777" w:rsidTr="00D42C17">
        <w:trPr>
          <w:cantSplit/>
        </w:trPr>
        <w:tc>
          <w:tcPr>
            <w:tcW w:w="2340" w:type="dxa"/>
            <w:vMerge/>
          </w:tcPr>
          <w:p w14:paraId="31C6C0FA" w14:textId="77777777" w:rsidR="00A06770" w:rsidRDefault="00A06770" w:rsidP="00B86AF9">
            <w:pPr>
              <w:spacing w:line="240" w:lineRule="auto"/>
              <w:rPr>
                <w:color w:val="000000"/>
                <w:sz w:val="18"/>
                <w:szCs w:val="18"/>
              </w:rPr>
            </w:pPr>
          </w:p>
        </w:tc>
        <w:tc>
          <w:tcPr>
            <w:tcW w:w="2160" w:type="dxa"/>
          </w:tcPr>
          <w:p w14:paraId="30E5FADB" w14:textId="77777777" w:rsidR="00A06770" w:rsidRDefault="00A06770" w:rsidP="00B86AF9">
            <w:pPr>
              <w:spacing w:line="240" w:lineRule="auto"/>
              <w:rPr>
                <w:color w:val="000000"/>
                <w:sz w:val="18"/>
                <w:szCs w:val="18"/>
              </w:rPr>
            </w:pPr>
            <w:r>
              <w:rPr>
                <w:color w:val="000000"/>
                <w:sz w:val="18"/>
                <w:szCs w:val="18"/>
              </w:rPr>
              <w:t>Pain in extremity</w:t>
            </w:r>
          </w:p>
        </w:tc>
        <w:tc>
          <w:tcPr>
            <w:tcW w:w="2250" w:type="dxa"/>
          </w:tcPr>
          <w:p w14:paraId="01D57AB4" w14:textId="77777777" w:rsidR="00A06770" w:rsidRDefault="00A06770" w:rsidP="00B86AF9">
            <w:pPr>
              <w:spacing w:line="240" w:lineRule="auto"/>
              <w:jc w:val="both"/>
              <w:rPr>
                <w:color w:val="000000"/>
                <w:sz w:val="18"/>
                <w:szCs w:val="18"/>
              </w:rPr>
            </w:pPr>
            <w:r>
              <w:rPr>
                <w:color w:val="000000"/>
                <w:sz w:val="18"/>
                <w:szCs w:val="18"/>
              </w:rPr>
              <w:t>2 (1.8%) common</w:t>
            </w:r>
          </w:p>
        </w:tc>
        <w:tc>
          <w:tcPr>
            <w:tcW w:w="2429" w:type="dxa"/>
          </w:tcPr>
          <w:p w14:paraId="75D10861" w14:textId="77777777" w:rsidR="00A06770" w:rsidRDefault="00A06770" w:rsidP="00B86AF9">
            <w:pPr>
              <w:spacing w:line="240" w:lineRule="auto"/>
              <w:rPr>
                <w:color w:val="000000"/>
                <w:sz w:val="18"/>
                <w:szCs w:val="18"/>
              </w:rPr>
            </w:pPr>
            <w:r>
              <w:rPr>
                <w:color w:val="000000"/>
                <w:sz w:val="18"/>
                <w:szCs w:val="18"/>
              </w:rPr>
              <w:t>2 (0.0005) rare</w:t>
            </w:r>
          </w:p>
        </w:tc>
      </w:tr>
      <w:tr w:rsidR="00A06770" w:rsidRPr="005E44A6" w:rsidDel="005755E7" w14:paraId="53203606" w14:textId="77777777" w:rsidTr="00D42C17">
        <w:trPr>
          <w:cantSplit/>
        </w:trPr>
        <w:tc>
          <w:tcPr>
            <w:tcW w:w="2340" w:type="dxa"/>
            <w:vMerge w:val="restart"/>
          </w:tcPr>
          <w:p w14:paraId="55A72E4B" w14:textId="77777777" w:rsidR="00A06770" w:rsidRDefault="00A06770" w:rsidP="00B86AF9">
            <w:pPr>
              <w:spacing w:line="240" w:lineRule="auto"/>
              <w:rPr>
                <w:color w:val="000000"/>
                <w:sz w:val="18"/>
                <w:szCs w:val="18"/>
              </w:rPr>
            </w:pPr>
            <w:r>
              <w:rPr>
                <w:color w:val="000000"/>
                <w:sz w:val="18"/>
                <w:szCs w:val="18"/>
              </w:rPr>
              <w:t>General disorders and administration site conditions</w:t>
            </w:r>
          </w:p>
        </w:tc>
        <w:tc>
          <w:tcPr>
            <w:tcW w:w="2160" w:type="dxa"/>
          </w:tcPr>
          <w:p w14:paraId="09A7E810" w14:textId="77777777" w:rsidR="00A06770" w:rsidRPr="00771344" w:rsidRDefault="00A06770" w:rsidP="00B86AF9">
            <w:pPr>
              <w:spacing w:line="240" w:lineRule="auto"/>
              <w:rPr>
                <w:strike/>
                <w:sz w:val="18"/>
                <w:szCs w:val="18"/>
                <w:highlight w:val="cyan"/>
              </w:rPr>
            </w:pPr>
            <w:r>
              <w:rPr>
                <w:color w:val="000000"/>
                <w:sz w:val="18"/>
                <w:szCs w:val="18"/>
              </w:rPr>
              <w:t>Infusion site erythema</w:t>
            </w:r>
          </w:p>
        </w:tc>
        <w:tc>
          <w:tcPr>
            <w:tcW w:w="2250" w:type="dxa"/>
          </w:tcPr>
          <w:p w14:paraId="097E681C" w14:textId="77777777" w:rsidR="00A06770" w:rsidRPr="00771344" w:rsidRDefault="00A06770" w:rsidP="00B86AF9">
            <w:pPr>
              <w:spacing w:line="240" w:lineRule="auto"/>
              <w:jc w:val="both"/>
              <w:rPr>
                <w:strike/>
                <w:sz w:val="18"/>
                <w:szCs w:val="18"/>
                <w:highlight w:val="cyan"/>
              </w:rPr>
            </w:pPr>
            <w:r>
              <w:rPr>
                <w:color w:val="000000"/>
                <w:sz w:val="18"/>
                <w:szCs w:val="18"/>
              </w:rPr>
              <w:t>11 (10.0%) very common</w:t>
            </w:r>
          </w:p>
        </w:tc>
        <w:tc>
          <w:tcPr>
            <w:tcW w:w="2429" w:type="dxa"/>
          </w:tcPr>
          <w:p w14:paraId="516CB9C9" w14:textId="77777777" w:rsidR="00A06770" w:rsidRPr="00771344" w:rsidRDefault="00A06770" w:rsidP="00B86AF9">
            <w:pPr>
              <w:spacing w:line="240" w:lineRule="auto"/>
              <w:rPr>
                <w:strike/>
                <w:sz w:val="18"/>
                <w:szCs w:val="18"/>
                <w:highlight w:val="cyan"/>
              </w:rPr>
            </w:pPr>
            <w:r>
              <w:rPr>
                <w:color w:val="000000"/>
                <w:sz w:val="18"/>
                <w:szCs w:val="18"/>
              </w:rPr>
              <w:t xml:space="preserve">27 (0.0066) </w:t>
            </w:r>
            <w:r w:rsidRPr="00B676EE">
              <w:rPr>
                <w:color w:val="000000"/>
                <w:sz w:val="18"/>
                <w:szCs w:val="18"/>
              </w:rPr>
              <w:t>uncommon</w:t>
            </w:r>
          </w:p>
        </w:tc>
      </w:tr>
      <w:tr w:rsidR="00A06770" w:rsidRPr="005E44A6" w:rsidDel="005755E7" w14:paraId="4EE6767A" w14:textId="77777777" w:rsidTr="00D42C17">
        <w:trPr>
          <w:cantSplit/>
        </w:trPr>
        <w:tc>
          <w:tcPr>
            <w:tcW w:w="2340" w:type="dxa"/>
            <w:vMerge/>
          </w:tcPr>
          <w:p w14:paraId="15C57480" w14:textId="77777777" w:rsidR="00A06770" w:rsidRDefault="00A06770" w:rsidP="00B86AF9">
            <w:pPr>
              <w:spacing w:line="240" w:lineRule="auto"/>
              <w:rPr>
                <w:color w:val="000000"/>
                <w:sz w:val="18"/>
                <w:szCs w:val="18"/>
              </w:rPr>
            </w:pPr>
          </w:p>
        </w:tc>
        <w:tc>
          <w:tcPr>
            <w:tcW w:w="2160" w:type="dxa"/>
          </w:tcPr>
          <w:p w14:paraId="531310B1" w14:textId="77777777" w:rsidR="00A06770" w:rsidRPr="00771344" w:rsidRDefault="00A06770" w:rsidP="00B86AF9">
            <w:pPr>
              <w:spacing w:line="240" w:lineRule="auto"/>
              <w:rPr>
                <w:strike/>
                <w:sz w:val="18"/>
                <w:szCs w:val="18"/>
                <w:highlight w:val="cyan"/>
              </w:rPr>
            </w:pPr>
            <w:r>
              <w:rPr>
                <w:color w:val="000000"/>
                <w:sz w:val="18"/>
                <w:szCs w:val="18"/>
              </w:rPr>
              <w:t>Infusion site pruritus</w:t>
            </w:r>
          </w:p>
        </w:tc>
        <w:tc>
          <w:tcPr>
            <w:tcW w:w="2250" w:type="dxa"/>
          </w:tcPr>
          <w:p w14:paraId="1D742700" w14:textId="77777777" w:rsidR="00A06770" w:rsidRPr="00771344" w:rsidRDefault="00A06770" w:rsidP="00B86AF9">
            <w:pPr>
              <w:spacing w:line="240" w:lineRule="auto"/>
              <w:jc w:val="both"/>
              <w:rPr>
                <w:strike/>
                <w:sz w:val="18"/>
                <w:szCs w:val="18"/>
                <w:highlight w:val="cyan"/>
              </w:rPr>
            </w:pPr>
            <w:r>
              <w:rPr>
                <w:color w:val="000000"/>
                <w:sz w:val="18"/>
                <w:szCs w:val="18"/>
              </w:rPr>
              <w:t>9 (8.2%) common</w:t>
            </w:r>
          </w:p>
        </w:tc>
        <w:tc>
          <w:tcPr>
            <w:tcW w:w="2429" w:type="dxa"/>
          </w:tcPr>
          <w:p w14:paraId="0C08F688" w14:textId="77777777" w:rsidR="00A06770" w:rsidRPr="00771344" w:rsidRDefault="00A06770" w:rsidP="00B86AF9">
            <w:pPr>
              <w:spacing w:line="240" w:lineRule="auto"/>
              <w:rPr>
                <w:strike/>
                <w:sz w:val="18"/>
                <w:szCs w:val="18"/>
                <w:highlight w:val="cyan"/>
              </w:rPr>
            </w:pPr>
            <w:r>
              <w:rPr>
                <w:color w:val="000000"/>
                <w:sz w:val="18"/>
                <w:szCs w:val="18"/>
              </w:rPr>
              <w:t xml:space="preserve">20 (0.0049) </w:t>
            </w:r>
            <w:r w:rsidRPr="00B676EE">
              <w:rPr>
                <w:color w:val="000000"/>
                <w:sz w:val="18"/>
                <w:szCs w:val="18"/>
              </w:rPr>
              <w:t>uncommon</w:t>
            </w:r>
          </w:p>
        </w:tc>
      </w:tr>
      <w:tr w:rsidR="00A06770" w:rsidRPr="005E44A6" w:rsidDel="005755E7" w14:paraId="1E213DA2" w14:textId="77777777" w:rsidTr="00D42C17">
        <w:trPr>
          <w:cantSplit/>
        </w:trPr>
        <w:tc>
          <w:tcPr>
            <w:tcW w:w="2340" w:type="dxa"/>
            <w:vMerge/>
          </w:tcPr>
          <w:p w14:paraId="7A5C1390" w14:textId="77777777" w:rsidR="00A06770" w:rsidRDefault="00A06770" w:rsidP="00B86AF9">
            <w:pPr>
              <w:spacing w:line="240" w:lineRule="auto"/>
              <w:rPr>
                <w:color w:val="000000"/>
                <w:sz w:val="18"/>
                <w:szCs w:val="18"/>
              </w:rPr>
            </w:pPr>
          </w:p>
        </w:tc>
        <w:tc>
          <w:tcPr>
            <w:tcW w:w="2160" w:type="dxa"/>
          </w:tcPr>
          <w:p w14:paraId="39677512" w14:textId="77777777" w:rsidR="00A06770" w:rsidRPr="00C56F09" w:rsidRDefault="00A06770" w:rsidP="00B86AF9">
            <w:pPr>
              <w:spacing w:line="240" w:lineRule="auto"/>
              <w:rPr>
                <w:color w:val="000000"/>
                <w:sz w:val="18"/>
                <w:szCs w:val="18"/>
              </w:rPr>
            </w:pPr>
            <w:r>
              <w:rPr>
                <w:color w:val="000000"/>
                <w:sz w:val="18"/>
                <w:szCs w:val="18"/>
              </w:rPr>
              <w:t>Infusion site nodule</w:t>
            </w:r>
          </w:p>
        </w:tc>
        <w:tc>
          <w:tcPr>
            <w:tcW w:w="2250" w:type="dxa"/>
          </w:tcPr>
          <w:p w14:paraId="510313D2" w14:textId="77777777" w:rsidR="00A06770" w:rsidRPr="00B676EE" w:rsidRDefault="00A06770" w:rsidP="00B86AF9">
            <w:pPr>
              <w:spacing w:line="240" w:lineRule="auto"/>
              <w:jc w:val="both"/>
              <w:rPr>
                <w:color w:val="000000"/>
                <w:sz w:val="18"/>
                <w:szCs w:val="18"/>
              </w:rPr>
            </w:pPr>
            <w:r>
              <w:rPr>
                <w:color w:val="000000"/>
                <w:sz w:val="18"/>
                <w:szCs w:val="18"/>
              </w:rPr>
              <w:t>8 (7.3%) common</w:t>
            </w:r>
          </w:p>
        </w:tc>
        <w:tc>
          <w:tcPr>
            <w:tcW w:w="2429" w:type="dxa"/>
          </w:tcPr>
          <w:p w14:paraId="7E1C48C9" w14:textId="77777777" w:rsidR="00A06770" w:rsidRPr="00B676EE" w:rsidRDefault="00A06770" w:rsidP="00B86AF9">
            <w:pPr>
              <w:spacing w:line="240" w:lineRule="auto"/>
              <w:rPr>
                <w:color w:val="000000"/>
                <w:sz w:val="18"/>
                <w:szCs w:val="18"/>
              </w:rPr>
            </w:pPr>
            <w:r>
              <w:rPr>
                <w:color w:val="000000"/>
                <w:sz w:val="18"/>
                <w:szCs w:val="18"/>
              </w:rPr>
              <w:t xml:space="preserve">11 (0.0027) </w:t>
            </w:r>
            <w:r w:rsidRPr="00B676EE">
              <w:rPr>
                <w:color w:val="000000"/>
                <w:sz w:val="18"/>
                <w:szCs w:val="18"/>
              </w:rPr>
              <w:t>uncommon</w:t>
            </w:r>
          </w:p>
        </w:tc>
      </w:tr>
      <w:tr w:rsidR="00A06770" w:rsidRPr="005E44A6" w:rsidDel="005755E7" w14:paraId="4442F7E6" w14:textId="77777777" w:rsidTr="00D42C17">
        <w:trPr>
          <w:cantSplit/>
        </w:trPr>
        <w:tc>
          <w:tcPr>
            <w:tcW w:w="2340" w:type="dxa"/>
            <w:vMerge/>
          </w:tcPr>
          <w:p w14:paraId="7C463801" w14:textId="77777777" w:rsidR="00A06770" w:rsidRDefault="00A06770" w:rsidP="00B86AF9">
            <w:pPr>
              <w:spacing w:line="240" w:lineRule="auto"/>
              <w:rPr>
                <w:color w:val="000000"/>
                <w:sz w:val="18"/>
                <w:szCs w:val="18"/>
              </w:rPr>
            </w:pPr>
          </w:p>
        </w:tc>
        <w:tc>
          <w:tcPr>
            <w:tcW w:w="2160" w:type="dxa"/>
          </w:tcPr>
          <w:p w14:paraId="2CDF7B7F" w14:textId="77777777" w:rsidR="00A06770" w:rsidRPr="00C56F09" w:rsidRDefault="00A06770" w:rsidP="00B86AF9">
            <w:pPr>
              <w:spacing w:line="240" w:lineRule="auto"/>
              <w:rPr>
                <w:color w:val="000000"/>
                <w:sz w:val="18"/>
                <w:szCs w:val="18"/>
              </w:rPr>
            </w:pPr>
            <w:r>
              <w:rPr>
                <w:color w:val="000000"/>
                <w:sz w:val="18"/>
                <w:szCs w:val="18"/>
              </w:rPr>
              <w:t>Infusion site pain</w:t>
            </w:r>
          </w:p>
        </w:tc>
        <w:tc>
          <w:tcPr>
            <w:tcW w:w="2250" w:type="dxa"/>
          </w:tcPr>
          <w:p w14:paraId="149177CE" w14:textId="77777777" w:rsidR="00A06770" w:rsidRPr="00B676EE" w:rsidRDefault="00A06770" w:rsidP="00B86AF9">
            <w:pPr>
              <w:spacing w:line="240" w:lineRule="auto"/>
              <w:jc w:val="both"/>
              <w:rPr>
                <w:color w:val="000000"/>
                <w:sz w:val="18"/>
                <w:szCs w:val="18"/>
              </w:rPr>
            </w:pPr>
            <w:r>
              <w:rPr>
                <w:color w:val="000000"/>
                <w:sz w:val="18"/>
                <w:szCs w:val="18"/>
              </w:rPr>
              <w:t>8 (7.3%) common</w:t>
            </w:r>
          </w:p>
        </w:tc>
        <w:tc>
          <w:tcPr>
            <w:tcW w:w="2429" w:type="dxa"/>
          </w:tcPr>
          <w:p w14:paraId="2BADC3F2" w14:textId="77777777" w:rsidR="00A06770" w:rsidRPr="00B676EE" w:rsidRDefault="00A06770" w:rsidP="00B86AF9">
            <w:pPr>
              <w:spacing w:line="240" w:lineRule="auto"/>
              <w:rPr>
                <w:color w:val="000000"/>
                <w:sz w:val="18"/>
                <w:szCs w:val="18"/>
              </w:rPr>
            </w:pPr>
            <w:r>
              <w:rPr>
                <w:color w:val="000000"/>
                <w:sz w:val="18"/>
                <w:szCs w:val="18"/>
              </w:rPr>
              <w:t xml:space="preserve">8 (0.0020) </w:t>
            </w:r>
            <w:r w:rsidRPr="00B676EE">
              <w:rPr>
                <w:color w:val="000000"/>
                <w:sz w:val="18"/>
                <w:szCs w:val="18"/>
              </w:rPr>
              <w:t>uncommon</w:t>
            </w:r>
          </w:p>
        </w:tc>
      </w:tr>
      <w:tr w:rsidR="00A06770" w:rsidRPr="005E44A6" w:rsidDel="005755E7" w14:paraId="780B41BF" w14:textId="77777777" w:rsidTr="00D42C17">
        <w:trPr>
          <w:cantSplit/>
        </w:trPr>
        <w:tc>
          <w:tcPr>
            <w:tcW w:w="2340" w:type="dxa"/>
            <w:vMerge/>
          </w:tcPr>
          <w:p w14:paraId="582D1C5A" w14:textId="77777777" w:rsidR="00A06770" w:rsidRDefault="00A06770" w:rsidP="00B86AF9">
            <w:pPr>
              <w:spacing w:line="240" w:lineRule="auto"/>
              <w:rPr>
                <w:color w:val="000000"/>
                <w:sz w:val="18"/>
                <w:szCs w:val="18"/>
              </w:rPr>
            </w:pPr>
          </w:p>
        </w:tc>
        <w:tc>
          <w:tcPr>
            <w:tcW w:w="2160" w:type="dxa"/>
          </w:tcPr>
          <w:p w14:paraId="55A594D1" w14:textId="77777777" w:rsidR="00A06770" w:rsidRPr="00C56F09" w:rsidRDefault="00A06770" w:rsidP="00B86AF9">
            <w:pPr>
              <w:spacing w:line="240" w:lineRule="auto"/>
              <w:rPr>
                <w:color w:val="000000"/>
                <w:sz w:val="18"/>
                <w:szCs w:val="18"/>
              </w:rPr>
            </w:pPr>
            <w:r>
              <w:rPr>
                <w:color w:val="000000"/>
                <w:sz w:val="18"/>
                <w:szCs w:val="18"/>
              </w:rPr>
              <w:t>Pyrexia</w:t>
            </w:r>
          </w:p>
        </w:tc>
        <w:tc>
          <w:tcPr>
            <w:tcW w:w="2250" w:type="dxa"/>
          </w:tcPr>
          <w:p w14:paraId="4C4AF3E3" w14:textId="77777777" w:rsidR="00A06770" w:rsidRPr="00B676EE" w:rsidRDefault="00A06770" w:rsidP="00B86AF9">
            <w:pPr>
              <w:spacing w:line="240" w:lineRule="auto"/>
              <w:jc w:val="both"/>
              <w:rPr>
                <w:color w:val="000000"/>
                <w:sz w:val="18"/>
                <w:szCs w:val="18"/>
              </w:rPr>
            </w:pPr>
            <w:r>
              <w:rPr>
                <w:color w:val="000000"/>
                <w:sz w:val="18"/>
                <w:szCs w:val="18"/>
              </w:rPr>
              <w:t>6 (5.5%) common</w:t>
            </w:r>
          </w:p>
        </w:tc>
        <w:tc>
          <w:tcPr>
            <w:tcW w:w="2429" w:type="dxa"/>
          </w:tcPr>
          <w:p w14:paraId="727B1CC2" w14:textId="77777777" w:rsidR="00A06770" w:rsidRPr="00B676EE" w:rsidRDefault="00A06770" w:rsidP="00B86AF9">
            <w:pPr>
              <w:spacing w:line="240" w:lineRule="auto"/>
              <w:rPr>
                <w:color w:val="000000"/>
                <w:sz w:val="18"/>
                <w:szCs w:val="18"/>
              </w:rPr>
            </w:pPr>
            <w:r>
              <w:rPr>
                <w:color w:val="000000"/>
                <w:sz w:val="18"/>
                <w:szCs w:val="18"/>
              </w:rPr>
              <w:t xml:space="preserve">8 (0.0020) </w:t>
            </w:r>
            <w:r w:rsidRPr="00B676EE">
              <w:rPr>
                <w:color w:val="000000"/>
                <w:sz w:val="18"/>
                <w:szCs w:val="18"/>
              </w:rPr>
              <w:t>uncommon</w:t>
            </w:r>
          </w:p>
        </w:tc>
      </w:tr>
      <w:tr w:rsidR="00A06770" w:rsidRPr="005E44A6" w:rsidDel="005755E7" w14:paraId="25BDCB76" w14:textId="77777777" w:rsidTr="00D42C17">
        <w:trPr>
          <w:cantSplit/>
        </w:trPr>
        <w:tc>
          <w:tcPr>
            <w:tcW w:w="2340" w:type="dxa"/>
            <w:vMerge/>
          </w:tcPr>
          <w:p w14:paraId="62E64594" w14:textId="77777777" w:rsidR="00A06770" w:rsidRDefault="00A06770" w:rsidP="00B86AF9">
            <w:pPr>
              <w:spacing w:line="240" w:lineRule="auto"/>
              <w:rPr>
                <w:color w:val="000000"/>
                <w:sz w:val="18"/>
                <w:szCs w:val="18"/>
              </w:rPr>
            </w:pPr>
          </w:p>
        </w:tc>
        <w:tc>
          <w:tcPr>
            <w:tcW w:w="2160" w:type="dxa"/>
          </w:tcPr>
          <w:p w14:paraId="37082F16" w14:textId="77777777" w:rsidR="00A06770" w:rsidRPr="00C56F09" w:rsidRDefault="00A06770" w:rsidP="00B86AF9">
            <w:pPr>
              <w:spacing w:line="240" w:lineRule="auto"/>
              <w:rPr>
                <w:color w:val="000000"/>
                <w:sz w:val="18"/>
                <w:szCs w:val="18"/>
              </w:rPr>
            </w:pPr>
            <w:r>
              <w:rPr>
                <w:color w:val="000000"/>
                <w:sz w:val="18"/>
                <w:szCs w:val="18"/>
              </w:rPr>
              <w:t>Infusion site swelling</w:t>
            </w:r>
          </w:p>
        </w:tc>
        <w:tc>
          <w:tcPr>
            <w:tcW w:w="2250" w:type="dxa"/>
          </w:tcPr>
          <w:p w14:paraId="50031D2F" w14:textId="77777777" w:rsidR="00A06770" w:rsidRPr="00B676EE" w:rsidRDefault="00A06770" w:rsidP="00B86AF9">
            <w:pPr>
              <w:spacing w:line="240" w:lineRule="auto"/>
              <w:jc w:val="both"/>
              <w:rPr>
                <w:color w:val="000000"/>
                <w:sz w:val="18"/>
                <w:szCs w:val="18"/>
              </w:rPr>
            </w:pPr>
            <w:r>
              <w:rPr>
                <w:color w:val="000000"/>
                <w:sz w:val="18"/>
                <w:szCs w:val="18"/>
              </w:rPr>
              <w:t>5 (4.5%) common</w:t>
            </w:r>
          </w:p>
        </w:tc>
        <w:tc>
          <w:tcPr>
            <w:tcW w:w="2429" w:type="dxa"/>
          </w:tcPr>
          <w:p w14:paraId="228364C6" w14:textId="77777777" w:rsidR="00A06770" w:rsidRPr="00B676EE" w:rsidRDefault="00A06770" w:rsidP="00B86AF9">
            <w:pPr>
              <w:spacing w:line="240" w:lineRule="auto"/>
              <w:rPr>
                <w:color w:val="000000"/>
                <w:sz w:val="18"/>
                <w:szCs w:val="18"/>
              </w:rPr>
            </w:pPr>
            <w:r>
              <w:rPr>
                <w:color w:val="000000"/>
                <w:sz w:val="18"/>
                <w:szCs w:val="18"/>
              </w:rPr>
              <w:t xml:space="preserve">13 (0.0032) </w:t>
            </w:r>
            <w:r w:rsidRPr="00B676EE">
              <w:rPr>
                <w:color w:val="000000"/>
                <w:sz w:val="18"/>
                <w:szCs w:val="18"/>
              </w:rPr>
              <w:t>uncommon</w:t>
            </w:r>
          </w:p>
        </w:tc>
      </w:tr>
      <w:tr w:rsidR="00A06770" w:rsidRPr="005E44A6" w:rsidDel="005755E7" w14:paraId="1B32250A" w14:textId="77777777" w:rsidTr="00D42C17">
        <w:trPr>
          <w:cantSplit/>
        </w:trPr>
        <w:tc>
          <w:tcPr>
            <w:tcW w:w="2340" w:type="dxa"/>
            <w:vMerge/>
          </w:tcPr>
          <w:p w14:paraId="7D3324F0" w14:textId="77777777" w:rsidR="00A06770" w:rsidRDefault="00A06770" w:rsidP="00B86AF9">
            <w:pPr>
              <w:spacing w:line="240" w:lineRule="auto"/>
              <w:rPr>
                <w:color w:val="000000"/>
                <w:sz w:val="18"/>
                <w:szCs w:val="18"/>
              </w:rPr>
            </w:pPr>
          </w:p>
        </w:tc>
        <w:tc>
          <w:tcPr>
            <w:tcW w:w="2160" w:type="dxa"/>
          </w:tcPr>
          <w:p w14:paraId="2E1CF86F" w14:textId="77777777" w:rsidR="00A06770" w:rsidRPr="00C56F09" w:rsidRDefault="00A06770" w:rsidP="00B86AF9">
            <w:pPr>
              <w:spacing w:line="240" w:lineRule="auto"/>
              <w:rPr>
                <w:color w:val="000000"/>
                <w:sz w:val="18"/>
                <w:szCs w:val="18"/>
              </w:rPr>
            </w:pPr>
            <w:r>
              <w:rPr>
                <w:color w:val="000000"/>
                <w:sz w:val="18"/>
                <w:szCs w:val="18"/>
              </w:rPr>
              <w:t>Infusion site induration</w:t>
            </w:r>
          </w:p>
        </w:tc>
        <w:tc>
          <w:tcPr>
            <w:tcW w:w="2250" w:type="dxa"/>
          </w:tcPr>
          <w:p w14:paraId="28738DDF" w14:textId="77777777" w:rsidR="00A06770" w:rsidRPr="00B676EE" w:rsidRDefault="00A06770" w:rsidP="00B86AF9">
            <w:pPr>
              <w:spacing w:line="240" w:lineRule="auto"/>
              <w:jc w:val="both"/>
              <w:rPr>
                <w:color w:val="000000"/>
                <w:sz w:val="18"/>
                <w:szCs w:val="18"/>
              </w:rPr>
            </w:pPr>
            <w:r>
              <w:rPr>
                <w:color w:val="000000"/>
                <w:sz w:val="18"/>
                <w:szCs w:val="18"/>
              </w:rPr>
              <w:t>3 (2.7%) common</w:t>
            </w:r>
          </w:p>
        </w:tc>
        <w:tc>
          <w:tcPr>
            <w:tcW w:w="2429" w:type="dxa"/>
          </w:tcPr>
          <w:p w14:paraId="74166BCA" w14:textId="77777777" w:rsidR="00A06770" w:rsidRPr="00B676EE" w:rsidRDefault="00A06770" w:rsidP="00B86AF9">
            <w:pPr>
              <w:spacing w:line="240" w:lineRule="auto"/>
              <w:rPr>
                <w:color w:val="000000"/>
                <w:sz w:val="18"/>
                <w:szCs w:val="18"/>
              </w:rPr>
            </w:pPr>
            <w:r>
              <w:rPr>
                <w:color w:val="000000"/>
                <w:sz w:val="18"/>
                <w:szCs w:val="18"/>
              </w:rPr>
              <w:t xml:space="preserve">6 (0.0015) </w:t>
            </w:r>
            <w:r w:rsidRPr="00B676EE">
              <w:rPr>
                <w:color w:val="000000"/>
                <w:sz w:val="18"/>
                <w:szCs w:val="18"/>
              </w:rPr>
              <w:t>uncommon</w:t>
            </w:r>
          </w:p>
        </w:tc>
      </w:tr>
      <w:tr w:rsidR="00A06770" w:rsidRPr="005E44A6" w:rsidDel="005755E7" w14:paraId="0AA064AF" w14:textId="77777777" w:rsidTr="00D42C17">
        <w:trPr>
          <w:cantSplit/>
        </w:trPr>
        <w:tc>
          <w:tcPr>
            <w:tcW w:w="2340" w:type="dxa"/>
            <w:vMerge/>
          </w:tcPr>
          <w:p w14:paraId="6DC39F76" w14:textId="77777777" w:rsidR="00A06770" w:rsidRDefault="00A06770" w:rsidP="00B86AF9">
            <w:pPr>
              <w:spacing w:line="240" w:lineRule="auto"/>
              <w:rPr>
                <w:color w:val="000000"/>
                <w:sz w:val="18"/>
                <w:szCs w:val="18"/>
              </w:rPr>
            </w:pPr>
          </w:p>
        </w:tc>
        <w:tc>
          <w:tcPr>
            <w:tcW w:w="2160" w:type="dxa"/>
          </w:tcPr>
          <w:p w14:paraId="04C95FDE" w14:textId="77777777" w:rsidR="00A06770" w:rsidRPr="00C56F09" w:rsidRDefault="00A06770" w:rsidP="00B86AF9">
            <w:pPr>
              <w:spacing w:line="240" w:lineRule="auto"/>
              <w:rPr>
                <w:color w:val="000000"/>
                <w:sz w:val="18"/>
                <w:szCs w:val="18"/>
              </w:rPr>
            </w:pPr>
            <w:r>
              <w:rPr>
                <w:color w:val="000000"/>
                <w:sz w:val="18"/>
                <w:szCs w:val="18"/>
              </w:rPr>
              <w:t>Fatigue</w:t>
            </w:r>
          </w:p>
        </w:tc>
        <w:tc>
          <w:tcPr>
            <w:tcW w:w="2250" w:type="dxa"/>
          </w:tcPr>
          <w:p w14:paraId="3C6F6DA3" w14:textId="77777777" w:rsidR="00A06770" w:rsidRPr="00B676EE" w:rsidRDefault="00A06770" w:rsidP="00B86AF9">
            <w:pPr>
              <w:spacing w:line="240" w:lineRule="auto"/>
              <w:jc w:val="both"/>
              <w:rPr>
                <w:color w:val="000000"/>
                <w:sz w:val="18"/>
                <w:szCs w:val="18"/>
              </w:rPr>
            </w:pPr>
            <w:r>
              <w:rPr>
                <w:color w:val="000000"/>
                <w:sz w:val="18"/>
                <w:szCs w:val="18"/>
              </w:rPr>
              <w:t>3 (2.7%) common</w:t>
            </w:r>
          </w:p>
        </w:tc>
        <w:tc>
          <w:tcPr>
            <w:tcW w:w="2429" w:type="dxa"/>
          </w:tcPr>
          <w:p w14:paraId="19CDE394" w14:textId="77777777" w:rsidR="00A06770" w:rsidRPr="00B676EE" w:rsidRDefault="00A06770" w:rsidP="00B86AF9">
            <w:pPr>
              <w:spacing w:line="240" w:lineRule="auto"/>
              <w:rPr>
                <w:color w:val="000000"/>
                <w:sz w:val="18"/>
                <w:szCs w:val="18"/>
              </w:rPr>
            </w:pPr>
            <w:r>
              <w:rPr>
                <w:color w:val="000000"/>
                <w:sz w:val="18"/>
                <w:szCs w:val="18"/>
              </w:rPr>
              <w:t>3 (0.0007) rare</w:t>
            </w:r>
          </w:p>
        </w:tc>
      </w:tr>
      <w:tr w:rsidR="00A06770" w:rsidRPr="005E44A6" w:rsidDel="005755E7" w14:paraId="1F0E90E0" w14:textId="77777777" w:rsidTr="00D42C17">
        <w:trPr>
          <w:cantSplit/>
        </w:trPr>
        <w:tc>
          <w:tcPr>
            <w:tcW w:w="2340" w:type="dxa"/>
            <w:vMerge/>
          </w:tcPr>
          <w:p w14:paraId="46433EBA" w14:textId="77777777" w:rsidR="00A06770" w:rsidRDefault="00A06770" w:rsidP="00B86AF9">
            <w:pPr>
              <w:spacing w:line="240" w:lineRule="auto"/>
              <w:rPr>
                <w:color w:val="000000"/>
                <w:sz w:val="18"/>
                <w:szCs w:val="18"/>
              </w:rPr>
            </w:pPr>
          </w:p>
        </w:tc>
        <w:tc>
          <w:tcPr>
            <w:tcW w:w="2160" w:type="dxa"/>
          </w:tcPr>
          <w:p w14:paraId="1CCA4568" w14:textId="77777777" w:rsidR="00A06770" w:rsidRPr="00C56F09" w:rsidRDefault="00A06770" w:rsidP="00B86AF9">
            <w:pPr>
              <w:spacing w:line="240" w:lineRule="auto"/>
              <w:rPr>
                <w:color w:val="000000"/>
                <w:sz w:val="18"/>
                <w:szCs w:val="18"/>
              </w:rPr>
            </w:pPr>
            <w:r>
              <w:rPr>
                <w:color w:val="000000"/>
                <w:sz w:val="18"/>
                <w:szCs w:val="18"/>
              </w:rPr>
              <w:t>Infusion site bruising</w:t>
            </w:r>
          </w:p>
        </w:tc>
        <w:tc>
          <w:tcPr>
            <w:tcW w:w="2250" w:type="dxa"/>
          </w:tcPr>
          <w:p w14:paraId="16D56679" w14:textId="77777777" w:rsidR="00A06770" w:rsidRPr="00B676EE" w:rsidRDefault="00A06770" w:rsidP="00B86AF9">
            <w:pPr>
              <w:spacing w:line="240" w:lineRule="auto"/>
              <w:jc w:val="both"/>
              <w:rPr>
                <w:color w:val="000000"/>
                <w:sz w:val="18"/>
                <w:szCs w:val="18"/>
              </w:rPr>
            </w:pPr>
            <w:r>
              <w:rPr>
                <w:color w:val="000000"/>
                <w:sz w:val="18"/>
                <w:szCs w:val="18"/>
              </w:rPr>
              <w:t>3 (2.7%) common</w:t>
            </w:r>
          </w:p>
        </w:tc>
        <w:tc>
          <w:tcPr>
            <w:tcW w:w="2429" w:type="dxa"/>
          </w:tcPr>
          <w:p w14:paraId="13C8F292" w14:textId="77777777" w:rsidR="00A06770" w:rsidRPr="00B676EE" w:rsidRDefault="00A06770" w:rsidP="00B86AF9">
            <w:pPr>
              <w:spacing w:line="240" w:lineRule="auto"/>
              <w:rPr>
                <w:color w:val="000000"/>
                <w:sz w:val="18"/>
                <w:szCs w:val="18"/>
              </w:rPr>
            </w:pPr>
            <w:r>
              <w:rPr>
                <w:color w:val="000000"/>
                <w:sz w:val="18"/>
                <w:szCs w:val="18"/>
              </w:rPr>
              <w:t>3 (0.0007) rare</w:t>
            </w:r>
          </w:p>
        </w:tc>
      </w:tr>
      <w:tr w:rsidR="00A06770" w:rsidRPr="005E44A6" w:rsidDel="005755E7" w14:paraId="0E48ED29" w14:textId="77777777" w:rsidTr="00D42C17">
        <w:trPr>
          <w:cantSplit/>
        </w:trPr>
        <w:tc>
          <w:tcPr>
            <w:tcW w:w="2340" w:type="dxa"/>
            <w:vMerge/>
          </w:tcPr>
          <w:p w14:paraId="0CD89FF2" w14:textId="77777777" w:rsidR="00A06770" w:rsidRDefault="00A06770" w:rsidP="00B86AF9">
            <w:pPr>
              <w:spacing w:line="240" w:lineRule="auto"/>
              <w:rPr>
                <w:color w:val="000000"/>
                <w:sz w:val="18"/>
                <w:szCs w:val="18"/>
              </w:rPr>
            </w:pPr>
          </w:p>
        </w:tc>
        <w:tc>
          <w:tcPr>
            <w:tcW w:w="2160" w:type="dxa"/>
          </w:tcPr>
          <w:p w14:paraId="6D7CADB9" w14:textId="77777777" w:rsidR="00A06770" w:rsidRPr="00C56F09" w:rsidRDefault="00A06770" w:rsidP="00B86AF9">
            <w:pPr>
              <w:spacing w:line="240" w:lineRule="auto"/>
              <w:rPr>
                <w:color w:val="000000"/>
                <w:sz w:val="18"/>
                <w:szCs w:val="18"/>
              </w:rPr>
            </w:pPr>
            <w:r>
              <w:rPr>
                <w:color w:val="000000"/>
                <w:sz w:val="18"/>
                <w:szCs w:val="18"/>
              </w:rPr>
              <w:t>Infusion site mass</w:t>
            </w:r>
          </w:p>
        </w:tc>
        <w:tc>
          <w:tcPr>
            <w:tcW w:w="2250" w:type="dxa"/>
          </w:tcPr>
          <w:p w14:paraId="632195DB" w14:textId="77777777" w:rsidR="00A06770" w:rsidRPr="00B676EE" w:rsidRDefault="00A06770" w:rsidP="00B86AF9">
            <w:pPr>
              <w:spacing w:line="240" w:lineRule="auto"/>
              <w:jc w:val="both"/>
              <w:rPr>
                <w:color w:val="000000"/>
                <w:sz w:val="18"/>
                <w:szCs w:val="18"/>
              </w:rPr>
            </w:pPr>
            <w:r>
              <w:rPr>
                <w:color w:val="000000"/>
                <w:sz w:val="18"/>
                <w:szCs w:val="18"/>
              </w:rPr>
              <w:t>3 (2.7%) common</w:t>
            </w:r>
          </w:p>
        </w:tc>
        <w:tc>
          <w:tcPr>
            <w:tcW w:w="2429" w:type="dxa"/>
          </w:tcPr>
          <w:p w14:paraId="1A7ED1F2" w14:textId="77777777" w:rsidR="00A06770" w:rsidRPr="00B676EE" w:rsidRDefault="00A06770" w:rsidP="00B86AF9">
            <w:pPr>
              <w:spacing w:line="240" w:lineRule="auto"/>
              <w:rPr>
                <w:color w:val="000000"/>
                <w:sz w:val="18"/>
                <w:szCs w:val="18"/>
              </w:rPr>
            </w:pPr>
            <w:r>
              <w:rPr>
                <w:color w:val="000000"/>
                <w:sz w:val="18"/>
                <w:szCs w:val="18"/>
              </w:rPr>
              <w:t>3 (0.0007) rare</w:t>
            </w:r>
          </w:p>
        </w:tc>
      </w:tr>
      <w:tr w:rsidR="00A06770" w:rsidRPr="005E44A6" w:rsidDel="005755E7" w14:paraId="554569A3" w14:textId="77777777" w:rsidTr="00D42C17">
        <w:trPr>
          <w:cantSplit/>
        </w:trPr>
        <w:tc>
          <w:tcPr>
            <w:tcW w:w="2340" w:type="dxa"/>
            <w:vMerge/>
          </w:tcPr>
          <w:p w14:paraId="1EBEF2DF" w14:textId="77777777" w:rsidR="00A06770" w:rsidRDefault="00A06770" w:rsidP="00B86AF9">
            <w:pPr>
              <w:spacing w:line="240" w:lineRule="auto"/>
              <w:rPr>
                <w:color w:val="000000"/>
                <w:sz w:val="18"/>
                <w:szCs w:val="18"/>
              </w:rPr>
            </w:pPr>
          </w:p>
        </w:tc>
        <w:tc>
          <w:tcPr>
            <w:tcW w:w="2160" w:type="dxa"/>
          </w:tcPr>
          <w:p w14:paraId="1E781899" w14:textId="77777777" w:rsidR="00A06770" w:rsidRPr="00C56F09" w:rsidRDefault="00A06770" w:rsidP="00B86AF9">
            <w:pPr>
              <w:spacing w:line="240" w:lineRule="auto"/>
              <w:rPr>
                <w:color w:val="000000"/>
                <w:sz w:val="18"/>
                <w:szCs w:val="18"/>
              </w:rPr>
            </w:pPr>
            <w:r>
              <w:rPr>
                <w:color w:val="000000"/>
                <w:sz w:val="18"/>
                <w:szCs w:val="18"/>
              </w:rPr>
              <w:t>Malaise</w:t>
            </w:r>
          </w:p>
        </w:tc>
        <w:tc>
          <w:tcPr>
            <w:tcW w:w="2250" w:type="dxa"/>
          </w:tcPr>
          <w:p w14:paraId="00547948" w14:textId="77777777" w:rsidR="00A06770" w:rsidRPr="00B676EE" w:rsidRDefault="00A06770" w:rsidP="00B86AF9">
            <w:pPr>
              <w:spacing w:line="240" w:lineRule="auto"/>
              <w:jc w:val="both"/>
              <w:rPr>
                <w:color w:val="000000"/>
                <w:sz w:val="18"/>
                <w:szCs w:val="18"/>
              </w:rPr>
            </w:pPr>
            <w:r>
              <w:rPr>
                <w:color w:val="000000"/>
                <w:sz w:val="18"/>
                <w:szCs w:val="18"/>
              </w:rPr>
              <w:t>3 (2.7%) common</w:t>
            </w:r>
          </w:p>
        </w:tc>
        <w:tc>
          <w:tcPr>
            <w:tcW w:w="2429" w:type="dxa"/>
          </w:tcPr>
          <w:p w14:paraId="43BD6E83" w14:textId="77777777" w:rsidR="00A06770" w:rsidRPr="00B676EE" w:rsidRDefault="00A06770" w:rsidP="00B86AF9">
            <w:pPr>
              <w:spacing w:line="240" w:lineRule="auto"/>
              <w:rPr>
                <w:color w:val="000000"/>
                <w:sz w:val="18"/>
                <w:szCs w:val="18"/>
              </w:rPr>
            </w:pPr>
            <w:r>
              <w:rPr>
                <w:color w:val="000000"/>
                <w:sz w:val="18"/>
                <w:szCs w:val="18"/>
              </w:rPr>
              <w:t>3 (0.0007) rare</w:t>
            </w:r>
          </w:p>
        </w:tc>
      </w:tr>
      <w:tr w:rsidR="00A06770" w:rsidRPr="005E44A6" w:rsidDel="005755E7" w14:paraId="63CD186B" w14:textId="77777777" w:rsidTr="00D42C17">
        <w:trPr>
          <w:cantSplit/>
        </w:trPr>
        <w:tc>
          <w:tcPr>
            <w:tcW w:w="2340" w:type="dxa"/>
            <w:vMerge/>
          </w:tcPr>
          <w:p w14:paraId="62F27678" w14:textId="77777777" w:rsidR="00A06770" w:rsidRDefault="00A06770" w:rsidP="00B86AF9">
            <w:pPr>
              <w:spacing w:line="240" w:lineRule="auto"/>
              <w:rPr>
                <w:color w:val="000000"/>
                <w:sz w:val="18"/>
                <w:szCs w:val="18"/>
              </w:rPr>
            </w:pPr>
          </w:p>
        </w:tc>
        <w:tc>
          <w:tcPr>
            <w:tcW w:w="2160" w:type="dxa"/>
          </w:tcPr>
          <w:p w14:paraId="0AB7B4C9" w14:textId="77777777" w:rsidR="00A06770" w:rsidRPr="00C56F09" w:rsidRDefault="00A06770" w:rsidP="00B86AF9">
            <w:pPr>
              <w:spacing w:line="240" w:lineRule="auto"/>
              <w:rPr>
                <w:color w:val="000000"/>
                <w:sz w:val="18"/>
                <w:szCs w:val="18"/>
              </w:rPr>
            </w:pPr>
            <w:r>
              <w:rPr>
                <w:color w:val="000000"/>
                <w:sz w:val="18"/>
                <w:szCs w:val="18"/>
              </w:rPr>
              <w:t>Infusion site rash</w:t>
            </w:r>
          </w:p>
        </w:tc>
        <w:tc>
          <w:tcPr>
            <w:tcW w:w="2250" w:type="dxa"/>
          </w:tcPr>
          <w:p w14:paraId="449F38AB" w14:textId="77777777" w:rsidR="00A06770" w:rsidRPr="00B676EE" w:rsidRDefault="00A06770" w:rsidP="00B86AF9">
            <w:pPr>
              <w:spacing w:line="240" w:lineRule="auto"/>
              <w:jc w:val="both"/>
              <w:rPr>
                <w:color w:val="000000"/>
                <w:sz w:val="18"/>
                <w:szCs w:val="18"/>
              </w:rPr>
            </w:pPr>
            <w:r>
              <w:rPr>
                <w:color w:val="000000"/>
                <w:sz w:val="18"/>
                <w:szCs w:val="18"/>
              </w:rPr>
              <w:t>2 (1.8%) common</w:t>
            </w:r>
          </w:p>
        </w:tc>
        <w:tc>
          <w:tcPr>
            <w:tcW w:w="2429" w:type="dxa"/>
          </w:tcPr>
          <w:p w14:paraId="2B4DD40F" w14:textId="77777777" w:rsidR="00A06770" w:rsidRPr="00B676EE" w:rsidRDefault="00A06770" w:rsidP="00B86AF9">
            <w:pPr>
              <w:spacing w:line="240" w:lineRule="auto"/>
              <w:rPr>
                <w:color w:val="000000"/>
                <w:sz w:val="18"/>
                <w:szCs w:val="18"/>
              </w:rPr>
            </w:pPr>
            <w:r>
              <w:rPr>
                <w:color w:val="000000"/>
                <w:sz w:val="18"/>
                <w:szCs w:val="18"/>
              </w:rPr>
              <w:t xml:space="preserve">5 (0.0012) </w:t>
            </w:r>
            <w:r w:rsidRPr="00B676EE">
              <w:rPr>
                <w:color w:val="000000"/>
                <w:sz w:val="18"/>
                <w:szCs w:val="18"/>
              </w:rPr>
              <w:t>uncommon</w:t>
            </w:r>
          </w:p>
        </w:tc>
      </w:tr>
      <w:tr w:rsidR="00A06770" w:rsidRPr="005E44A6" w:rsidDel="005755E7" w14:paraId="341A4D77" w14:textId="77777777" w:rsidTr="00D42C17">
        <w:trPr>
          <w:cantSplit/>
        </w:trPr>
        <w:tc>
          <w:tcPr>
            <w:tcW w:w="2340" w:type="dxa"/>
            <w:vMerge/>
          </w:tcPr>
          <w:p w14:paraId="4E2E99F6" w14:textId="77777777" w:rsidR="00A06770" w:rsidRDefault="00A06770" w:rsidP="00B86AF9">
            <w:pPr>
              <w:spacing w:line="240" w:lineRule="auto"/>
              <w:rPr>
                <w:color w:val="000000"/>
                <w:sz w:val="18"/>
                <w:szCs w:val="18"/>
              </w:rPr>
            </w:pPr>
          </w:p>
        </w:tc>
        <w:tc>
          <w:tcPr>
            <w:tcW w:w="2160" w:type="dxa"/>
          </w:tcPr>
          <w:p w14:paraId="6CD54B14" w14:textId="77777777" w:rsidR="00A06770" w:rsidRPr="00C56F09" w:rsidRDefault="00A06770" w:rsidP="00B86AF9">
            <w:pPr>
              <w:spacing w:line="240" w:lineRule="auto"/>
              <w:rPr>
                <w:color w:val="000000"/>
                <w:sz w:val="18"/>
                <w:szCs w:val="18"/>
              </w:rPr>
            </w:pPr>
            <w:r>
              <w:rPr>
                <w:color w:val="000000"/>
                <w:sz w:val="18"/>
                <w:szCs w:val="18"/>
              </w:rPr>
              <w:t>Infusion site scab</w:t>
            </w:r>
          </w:p>
        </w:tc>
        <w:tc>
          <w:tcPr>
            <w:tcW w:w="2250" w:type="dxa"/>
          </w:tcPr>
          <w:p w14:paraId="4DAE40DD" w14:textId="77777777" w:rsidR="00A06770" w:rsidRPr="00B676EE" w:rsidRDefault="00A06770" w:rsidP="00B86AF9">
            <w:pPr>
              <w:spacing w:line="240" w:lineRule="auto"/>
              <w:jc w:val="both"/>
              <w:rPr>
                <w:color w:val="000000"/>
                <w:sz w:val="18"/>
                <w:szCs w:val="18"/>
              </w:rPr>
            </w:pPr>
            <w:r>
              <w:rPr>
                <w:color w:val="000000"/>
                <w:sz w:val="18"/>
                <w:szCs w:val="18"/>
              </w:rPr>
              <w:t>2 (1.8%) common</w:t>
            </w:r>
          </w:p>
        </w:tc>
        <w:tc>
          <w:tcPr>
            <w:tcW w:w="2429" w:type="dxa"/>
          </w:tcPr>
          <w:p w14:paraId="30FB4F34" w14:textId="77777777" w:rsidR="00A06770" w:rsidRPr="00B676EE" w:rsidRDefault="00A06770" w:rsidP="00B86AF9">
            <w:pPr>
              <w:spacing w:line="240" w:lineRule="auto"/>
              <w:rPr>
                <w:color w:val="000000"/>
                <w:sz w:val="18"/>
                <w:szCs w:val="18"/>
              </w:rPr>
            </w:pPr>
            <w:r>
              <w:rPr>
                <w:color w:val="000000"/>
                <w:sz w:val="18"/>
                <w:szCs w:val="18"/>
              </w:rPr>
              <w:t xml:space="preserve">5 (0.0012) </w:t>
            </w:r>
            <w:r w:rsidRPr="00B676EE">
              <w:rPr>
                <w:color w:val="000000"/>
                <w:sz w:val="18"/>
                <w:szCs w:val="18"/>
              </w:rPr>
              <w:t>uncommon</w:t>
            </w:r>
          </w:p>
        </w:tc>
      </w:tr>
      <w:tr w:rsidR="00A06770" w:rsidRPr="005E44A6" w:rsidDel="005755E7" w14:paraId="4F8CB2F1" w14:textId="77777777" w:rsidTr="00D42C17">
        <w:trPr>
          <w:cantSplit/>
        </w:trPr>
        <w:tc>
          <w:tcPr>
            <w:tcW w:w="2340" w:type="dxa"/>
            <w:vMerge/>
          </w:tcPr>
          <w:p w14:paraId="701AA452" w14:textId="77777777" w:rsidR="00A06770" w:rsidRDefault="00A06770" w:rsidP="00B86AF9">
            <w:pPr>
              <w:spacing w:line="240" w:lineRule="auto"/>
              <w:rPr>
                <w:color w:val="000000"/>
                <w:sz w:val="18"/>
                <w:szCs w:val="18"/>
              </w:rPr>
            </w:pPr>
          </w:p>
        </w:tc>
        <w:tc>
          <w:tcPr>
            <w:tcW w:w="2160" w:type="dxa"/>
          </w:tcPr>
          <w:p w14:paraId="491ED2AD" w14:textId="77777777" w:rsidR="00A06770" w:rsidRPr="00C56F09" w:rsidRDefault="00A06770" w:rsidP="00B86AF9">
            <w:pPr>
              <w:spacing w:line="240" w:lineRule="auto"/>
              <w:rPr>
                <w:color w:val="000000"/>
                <w:sz w:val="18"/>
                <w:szCs w:val="18"/>
              </w:rPr>
            </w:pPr>
            <w:r>
              <w:rPr>
                <w:color w:val="000000"/>
                <w:sz w:val="18"/>
                <w:szCs w:val="18"/>
              </w:rPr>
              <w:t>Infusion site urticaria</w:t>
            </w:r>
          </w:p>
        </w:tc>
        <w:tc>
          <w:tcPr>
            <w:tcW w:w="2250" w:type="dxa"/>
          </w:tcPr>
          <w:p w14:paraId="3E851E79" w14:textId="77777777" w:rsidR="00A06770" w:rsidRPr="00B676EE" w:rsidRDefault="00A06770" w:rsidP="00B86AF9">
            <w:pPr>
              <w:spacing w:line="240" w:lineRule="auto"/>
              <w:jc w:val="both"/>
              <w:rPr>
                <w:color w:val="000000"/>
                <w:sz w:val="18"/>
                <w:szCs w:val="18"/>
              </w:rPr>
            </w:pPr>
            <w:r>
              <w:rPr>
                <w:color w:val="000000"/>
                <w:sz w:val="18"/>
                <w:szCs w:val="18"/>
              </w:rPr>
              <w:t>2 (1.8%) common</w:t>
            </w:r>
          </w:p>
        </w:tc>
        <w:tc>
          <w:tcPr>
            <w:tcW w:w="2429" w:type="dxa"/>
          </w:tcPr>
          <w:p w14:paraId="13EEE9D1" w14:textId="77777777" w:rsidR="00A06770" w:rsidRPr="00B676EE" w:rsidRDefault="00A06770" w:rsidP="00B86AF9">
            <w:pPr>
              <w:spacing w:line="240" w:lineRule="auto"/>
              <w:rPr>
                <w:color w:val="000000"/>
                <w:sz w:val="18"/>
                <w:szCs w:val="18"/>
              </w:rPr>
            </w:pPr>
            <w:r>
              <w:rPr>
                <w:color w:val="000000"/>
                <w:sz w:val="18"/>
                <w:szCs w:val="18"/>
              </w:rPr>
              <w:t xml:space="preserve">5 (0.0012) </w:t>
            </w:r>
            <w:r w:rsidRPr="00B676EE">
              <w:rPr>
                <w:color w:val="000000"/>
                <w:sz w:val="18"/>
                <w:szCs w:val="18"/>
              </w:rPr>
              <w:t>uncommon</w:t>
            </w:r>
          </w:p>
        </w:tc>
      </w:tr>
      <w:tr w:rsidR="00A06770" w:rsidRPr="005E44A6" w:rsidDel="005755E7" w14:paraId="064525B3" w14:textId="77777777" w:rsidTr="00D42C17">
        <w:trPr>
          <w:cantSplit/>
        </w:trPr>
        <w:tc>
          <w:tcPr>
            <w:tcW w:w="2340" w:type="dxa"/>
            <w:vMerge/>
          </w:tcPr>
          <w:p w14:paraId="63B9B458" w14:textId="77777777" w:rsidR="00A06770" w:rsidRDefault="00A06770" w:rsidP="00B86AF9">
            <w:pPr>
              <w:spacing w:line="240" w:lineRule="auto"/>
              <w:rPr>
                <w:color w:val="000000"/>
                <w:sz w:val="18"/>
                <w:szCs w:val="18"/>
              </w:rPr>
            </w:pPr>
          </w:p>
        </w:tc>
        <w:tc>
          <w:tcPr>
            <w:tcW w:w="2160" w:type="dxa"/>
          </w:tcPr>
          <w:p w14:paraId="66488A47" w14:textId="77777777" w:rsidR="00A06770" w:rsidRPr="009F701E" w:rsidRDefault="00A06770" w:rsidP="00B86AF9">
            <w:pPr>
              <w:spacing w:line="240" w:lineRule="auto"/>
              <w:rPr>
                <w:strike/>
                <w:color w:val="000000"/>
                <w:sz w:val="18"/>
                <w:szCs w:val="18"/>
              </w:rPr>
            </w:pPr>
            <w:r>
              <w:rPr>
                <w:color w:val="000000"/>
                <w:sz w:val="18"/>
                <w:szCs w:val="18"/>
              </w:rPr>
              <w:t>Infusion site haemorrhage</w:t>
            </w:r>
          </w:p>
        </w:tc>
        <w:tc>
          <w:tcPr>
            <w:tcW w:w="2250" w:type="dxa"/>
          </w:tcPr>
          <w:p w14:paraId="07EDBEBB" w14:textId="77777777" w:rsidR="00A06770" w:rsidRPr="009F701E" w:rsidRDefault="00A06770" w:rsidP="00B86AF9">
            <w:pPr>
              <w:spacing w:line="240" w:lineRule="auto"/>
              <w:jc w:val="both"/>
              <w:rPr>
                <w:strike/>
                <w:color w:val="000000"/>
                <w:sz w:val="18"/>
                <w:szCs w:val="18"/>
              </w:rPr>
            </w:pPr>
            <w:r>
              <w:rPr>
                <w:color w:val="000000"/>
                <w:sz w:val="18"/>
                <w:szCs w:val="18"/>
              </w:rPr>
              <w:t>2 (1.8%) common</w:t>
            </w:r>
          </w:p>
        </w:tc>
        <w:tc>
          <w:tcPr>
            <w:tcW w:w="2429" w:type="dxa"/>
          </w:tcPr>
          <w:p w14:paraId="46BAC5DA" w14:textId="77777777" w:rsidR="00A06770" w:rsidRPr="009F701E" w:rsidRDefault="00A06770" w:rsidP="00B86AF9">
            <w:pPr>
              <w:spacing w:line="240" w:lineRule="auto"/>
              <w:rPr>
                <w:strike/>
                <w:color w:val="000000"/>
                <w:sz w:val="18"/>
                <w:szCs w:val="18"/>
              </w:rPr>
            </w:pPr>
            <w:r>
              <w:rPr>
                <w:color w:val="000000"/>
                <w:sz w:val="18"/>
                <w:szCs w:val="18"/>
              </w:rPr>
              <w:t>3 (0.0007) rare</w:t>
            </w:r>
          </w:p>
        </w:tc>
      </w:tr>
      <w:tr w:rsidR="00A06770" w:rsidRPr="005E44A6" w:rsidDel="005755E7" w14:paraId="461A96C8" w14:textId="77777777" w:rsidTr="00D42C17">
        <w:trPr>
          <w:cantSplit/>
        </w:trPr>
        <w:tc>
          <w:tcPr>
            <w:tcW w:w="2340" w:type="dxa"/>
            <w:vMerge/>
          </w:tcPr>
          <w:p w14:paraId="25C3EDEA" w14:textId="77777777" w:rsidR="00A06770" w:rsidRDefault="00A06770" w:rsidP="00B86AF9">
            <w:pPr>
              <w:spacing w:line="240" w:lineRule="auto"/>
              <w:rPr>
                <w:color w:val="000000"/>
                <w:sz w:val="18"/>
                <w:szCs w:val="18"/>
              </w:rPr>
            </w:pPr>
          </w:p>
        </w:tc>
        <w:tc>
          <w:tcPr>
            <w:tcW w:w="2160" w:type="dxa"/>
          </w:tcPr>
          <w:p w14:paraId="688AF216" w14:textId="77777777" w:rsidR="00A06770" w:rsidRPr="009F701E" w:rsidRDefault="00A06770" w:rsidP="00B86AF9">
            <w:pPr>
              <w:spacing w:line="240" w:lineRule="auto"/>
              <w:rPr>
                <w:color w:val="000000"/>
                <w:sz w:val="18"/>
                <w:szCs w:val="18"/>
              </w:rPr>
            </w:pPr>
            <w:r>
              <w:rPr>
                <w:color w:val="000000"/>
                <w:sz w:val="18"/>
                <w:szCs w:val="18"/>
              </w:rPr>
              <w:t>Infusion site extravasation</w:t>
            </w:r>
          </w:p>
        </w:tc>
        <w:tc>
          <w:tcPr>
            <w:tcW w:w="2250" w:type="dxa"/>
          </w:tcPr>
          <w:p w14:paraId="35762C28" w14:textId="77777777" w:rsidR="00A06770" w:rsidRPr="009F701E" w:rsidRDefault="00A06770" w:rsidP="00B86AF9">
            <w:pPr>
              <w:spacing w:line="240" w:lineRule="auto"/>
              <w:jc w:val="both"/>
              <w:rPr>
                <w:color w:val="000000"/>
                <w:sz w:val="18"/>
                <w:szCs w:val="18"/>
              </w:rPr>
            </w:pPr>
            <w:r>
              <w:rPr>
                <w:color w:val="000000"/>
                <w:sz w:val="18"/>
                <w:szCs w:val="18"/>
              </w:rPr>
              <w:t>2 (1.8%) common</w:t>
            </w:r>
          </w:p>
        </w:tc>
        <w:tc>
          <w:tcPr>
            <w:tcW w:w="2429" w:type="dxa"/>
          </w:tcPr>
          <w:p w14:paraId="1188BF2B" w14:textId="77777777" w:rsidR="00A06770" w:rsidRPr="009F701E" w:rsidRDefault="00A06770" w:rsidP="00B86AF9">
            <w:pPr>
              <w:spacing w:line="240" w:lineRule="auto"/>
              <w:rPr>
                <w:color w:val="000000"/>
                <w:sz w:val="18"/>
                <w:szCs w:val="18"/>
              </w:rPr>
            </w:pPr>
            <w:r>
              <w:rPr>
                <w:color w:val="000000"/>
                <w:sz w:val="18"/>
                <w:szCs w:val="18"/>
              </w:rPr>
              <w:t>2 (0.0005) rare</w:t>
            </w:r>
          </w:p>
        </w:tc>
      </w:tr>
      <w:tr w:rsidR="00A06770" w14:paraId="082789D1" w14:textId="77777777" w:rsidTr="00D42C17">
        <w:trPr>
          <w:cantSplit/>
        </w:trPr>
        <w:tc>
          <w:tcPr>
            <w:tcW w:w="2340" w:type="dxa"/>
            <w:vMerge w:val="restart"/>
          </w:tcPr>
          <w:p w14:paraId="05175F69" w14:textId="77777777" w:rsidR="00A06770" w:rsidRDefault="00A06770" w:rsidP="00B86AF9">
            <w:pPr>
              <w:spacing w:line="240" w:lineRule="auto"/>
              <w:rPr>
                <w:color w:val="000000"/>
                <w:sz w:val="18"/>
                <w:szCs w:val="18"/>
              </w:rPr>
            </w:pPr>
            <w:r>
              <w:rPr>
                <w:color w:val="000000"/>
                <w:sz w:val="18"/>
                <w:szCs w:val="18"/>
              </w:rPr>
              <w:t>Investigations</w:t>
            </w:r>
          </w:p>
        </w:tc>
        <w:tc>
          <w:tcPr>
            <w:tcW w:w="2160" w:type="dxa"/>
          </w:tcPr>
          <w:p w14:paraId="6CB3F012" w14:textId="77777777" w:rsidR="00A06770" w:rsidRDefault="00A06770" w:rsidP="00B86AF9">
            <w:pPr>
              <w:spacing w:line="240" w:lineRule="auto"/>
              <w:rPr>
                <w:color w:val="000000"/>
                <w:sz w:val="18"/>
                <w:szCs w:val="18"/>
              </w:rPr>
            </w:pPr>
            <w:r>
              <w:rPr>
                <w:color w:val="000000"/>
                <w:sz w:val="18"/>
                <w:szCs w:val="18"/>
              </w:rPr>
              <w:t>Blood immunoglobulin G decreased</w:t>
            </w:r>
          </w:p>
        </w:tc>
        <w:tc>
          <w:tcPr>
            <w:tcW w:w="2250" w:type="dxa"/>
          </w:tcPr>
          <w:p w14:paraId="4E0DD3D5" w14:textId="77777777" w:rsidR="00A06770" w:rsidRDefault="00A06770" w:rsidP="00B86AF9">
            <w:pPr>
              <w:spacing w:line="240" w:lineRule="auto"/>
              <w:jc w:val="both"/>
              <w:rPr>
                <w:color w:val="000000"/>
                <w:sz w:val="18"/>
                <w:szCs w:val="18"/>
              </w:rPr>
            </w:pPr>
            <w:r>
              <w:rPr>
                <w:color w:val="000000"/>
                <w:sz w:val="18"/>
                <w:szCs w:val="18"/>
              </w:rPr>
              <w:t>2 (1.8%) common</w:t>
            </w:r>
          </w:p>
        </w:tc>
        <w:tc>
          <w:tcPr>
            <w:tcW w:w="2429" w:type="dxa"/>
          </w:tcPr>
          <w:p w14:paraId="03845E6F" w14:textId="77777777" w:rsidR="00A06770" w:rsidRDefault="00A06770" w:rsidP="00B86AF9">
            <w:pPr>
              <w:spacing w:line="240" w:lineRule="auto"/>
              <w:rPr>
                <w:color w:val="000000"/>
                <w:sz w:val="18"/>
                <w:szCs w:val="18"/>
              </w:rPr>
            </w:pPr>
            <w:r>
              <w:rPr>
                <w:color w:val="000000"/>
                <w:sz w:val="18"/>
                <w:szCs w:val="18"/>
              </w:rPr>
              <w:t>2 (0.0005) rare</w:t>
            </w:r>
          </w:p>
        </w:tc>
      </w:tr>
      <w:tr w:rsidR="00A06770" w14:paraId="7DDCFD4A" w14:textId="77777777" w:rsidTr="00D42C17">
        <w:trPr>
          <w:cantSplit/>
        </w:trPr>
        <w:tc>
          <w:tcPr>
            <w:tcW w:w="2340" w:type="dxa"/>
            <w:vMerge/>
          </w:tcPr>
          <w:p w14:paraId="6FDEC0F5" w14:textId="77777777" w:rsidR="00A06770" w:rsidRDefault="00A06770" w:rsidP="00B86AF9">
            <w:pPr>
              <w:spacing w:line="240" w:lineRule="auto"/>
              <w:rPr>
                <w:color w:val="000000"/>
                <w:sz w:val="18"/>
                <w:szCs w:val="18"/>
              </w:rPr>
            </w:pPr>
          </w:p>
        </w:tc>
        <w:tc>
          <w:tcPr>
            <w:tcW w:w="2160" w:type="dxa"/>
          </w:tcPr>
          <w:p w14:paraId="4F9D7362" w14:textId="77777777" w:rsidR="00A06770" w:rsidRDefault="00A06770" w:rsidP="00B86AF9">
            <w:pPr>
              <w:spacing w:line="240" w:lineRule="auto"/>
              <w:rPr>
                <w:color w:val="000000"/>
                <w:sz w:val="18"/>
                <w:szCs w:val="18"/>
              </w:rPr>
            </w:pPr>
            <w:r>
              <w:rPr>
                <w:color w:val="000000"/>
                <w:sz w:val="18"/>
                <w:szCs w:val="18"/>
              </w:rPr>
              <w:t>Protein urine present</w:t>
            </w:r>
          </w:p>
        </w:tc>
        <w:tc>
          <w:tcPr>
            <w:tcW w:w="2250" w:type="dxa"/>
          </w:tcPr>
          <w:p w14:paraId="66606485" w14:textId="77777777" w:rsidR="00A06770" w:rsidRDefault="00A06770" w:rsidP="00B86AF9">
            <w:pPr>
              <w:spacing w:line="240" w:lineRule="auto"/>
              <w:jc w:val="both"/>
              <w:rPr>
                <w:color w:val="000000"/>
                <w:sz w:val="18"/>
                <w:szCs w:val="18"/>
              </w:rPr>
            </w:pPr>
            <w:r>
              <w:rPr>
                <w:color w:val="000000"/>
                <w:sz w:val="18"/>
                <w:szCs w:val="18"/>
              </w:rPr>
              <w:t>2 (1.8%) common</w:t>
            </w:r>
          </w:p>
        </w:tc>
        <w:tc>
          <w:tcPr>
            <w:tcW w:w="2429" w:type="dxa"/>
          </w:tcPr>
          <w:p w14:paraId="1AFD2E11" w14:textId="77777777" w:rsidR="00A06770" w:rsidRDefault="00A06770" w:rsidP="00B86AF9">
            <w:pPr>
              <w:spacing w:line="240" w:lineRule="auto"/>
              <w:rPr>
                <w:color w:val="000000"/>
                <w:sz w:val="18"/>
                <w:szCs w:val="18"/>
              </w:rPr>
            </w:pPr>
            <w:r>
              <w:rPr>
                <w:color w:val="000000"/>
                <w:sz w:val="18"/>
                <w:szCs w:val="18"/>
              </w:rPr>
              <w:t>2 (0.0005) rare</w:t>
            </w:r>
          </w:p>
        </w:tc>
      </w:tr>
      <w:tr w:rsidR="00A06770" w14:paraId="5E92AD11" w14:textId="77777777" w:rsidTr="00D42C17">
        <w:trPr>
          <w:cantSplit/>
        </w:trPr>
        <w:tc>
          <w:tcPr>
            <w:tcW w:w="2340" w:type="dxa"/>
          </w:tcPr>
          <w:p w14:paraId="21EE0C27" w14:textId="77777777" w:rsidR="00A06770" w:rsidRDefault="00A06770" w:rsidP="00B86AF9">
            <w:pPr>
              <w:spacing w:line="240" w:lineRule="auto"/>
              <w:rPr>
                <w:color w:val="000000"/>
                <w:sz w:val="18"/>
                <w:szCs w:val="18"/>
              </w:rPr>
            </w:pPr>
            <w:r>
              <w:rPr>
                <w:color w:val="000000"/>
                <w:sz w:val="18"/>
                <w:szCs w:val="18"/>
              </w:rPr>
              <w:t>Injury, poisoning and procedural complications</w:t>
            </w:r>
          </w:p>
        </w:tc>
        <w:tc>
          <w:tcPr>
            <w:tcW w:w="2160" w:type="dxa"/>
          </w:tcPr>
          <w:p w14:paraId="4454E8D8" w14:textId="77777777" w:rsidR="00A06770" w:rsidRDefault="00A06770" w:rsidP="00B86AF9">
            <w:pPr>
              <w:spacing w:line="240" w:lineRule="auto"/>
              <w:rPr>
                <w:color w:val="000000"/>
                <w:sz w:val="18"/>
                <w:szCs w:val="18"/>
              </w:rPr>
            </w:pPr>
            <w:r>
              <w:rPr>
                <w:color w:val="000000"/>
                <w:sz w:val="18"/>
                <w:szCs w:val="18"/>
              </w:rPr>
              <w:t>Skin abrasion</w:t>
            </w:r>
          </w:p>
        </w:tc>
        <w:tc>
          <w:tcPr>
            <w:tcW w:w="2250" w:type="dxa"/>
          </w:tcPr>
          <w:p w14:paraId="0875748C" w14:textId="77777777" w:rsidR="00A06770" w:rsidRDefault="00A06770" w:rsidP="00B86AF9">
            <w:pPr>
              <w:spacing w:line="240" w:lineRule="auto"/>
              <w:jc w:val="both"/>
              <w:rPr>
                <w:color w:val="000000"/>
                <w:sz w:val="18"/>
                <w:szCs w:val="18"/>
              </w:rPr>
            </w:pPr>
            <w:r>
              <w:rPr>
                <w:color w:val="000000"/>
                <w:sz w:val="18"/>
                <w:szCs w:val="18"/>
              </w:rPr>
              <w:t>2 (1.8%) common</w:t>
            </w:r>
          </w:p>
        </w:tc>
        <w:tc>
          <w:tcPr>
            <w:tcW w:w="2429" w:type="dxa"/>
          </w:tcPr>
          <w:p w14:paraId="1D04DCAD" w14:textId="77777777" w:rsidR="00A06770" w:rsidRDefault="00A06770" w:rsidP="00B86AF9">
            <w:pPr>
              <w:spacing w:line="240" w:lineRule="auto"/>
              <w:rPr>
                <w:color w:val="000000"/>
                <w:sz w:val="18"/>
                <w:szCs w:val="18"/>
              </w:rPr>
            </w:pPr>
            <w:r>
              <w:rPr>
                <w:color w:val="000000"/>
                <w:sz w:val="18"/>
                <w:szCs w:val="18"/>
              </w:rPr>
              <w:t>3 (0.0007) rare</w:t>
            </w:r>
          </w:p>
        </w:tc>
      </w:tr>
    </w:tbl>
    <w:p w14:paraId="3C06454F" w14:textId="77777777" w:rsidR="00A06770" w:rsidRPr="009F701E" w:rsidRDefault="00A06770" w:rsidP="00A06770">
      <w:pPr>
        <w:tabs>
          <w:tab w:val="clear" w:pos="567"/>
          <w:tab w:val="left" w:pos="180"/>
        </w:tabs>
        <w:autoSpaceDE w:val="0"/>
        <w:autoSpaceDN w:val="0"/>
        <w:adjustRightInd w:val="0"/>
        <w:spacing w:line="240" w:lineRule="auto"/>
        <w:ind w:left="180" w:hanging="180"/>
        <w:jc w:val="both"/>
        <w:rPr>
          <w:sz w:val="20"/>
        </w:rPr>
      </w:pPr>
      <w:proofErr w:type="spellStart"/>
      <w:r w:rsidRPr="009F701E">
        <w:rPr>
          <w:sz w:val="20"/>
          <w:vertAlign w:val="superscript"/>
        </w:rPr>
        <w:t>a</w:t>
      </w:r>
      <w:proofErr w:type="spellEnd"/>
      <w:r w:rsidRPr="009F701E">
        <w:rPr>
          <w:sz w:val="20"/>
          <w:vertAlign w:val="superscript"/>
        </w:rPr>
        <w:tab/>
      </w:r>
      <w:proofErr w:type="gramStart"/>
      <w:r w:rsidRPr="009F701E">
        <w:rPr>
          <w:sz w:val="20"/>
        </w:rPr>
        <w:t>The</w:t>
      </w:r>
      <w:proofErr w:type="gramEnd"/>
      <w:r w:rsidRPr="009F701E">
        <w:rPr>
          <w:sz w:val="20"/>
        </w:rPr>
        <w:t xml:space="preserve"> frequency per subject is calculated using the number of subjects with </w:t>
      </w:r>
      <w:r>
        <w:rPr>
          <w:sz w:val="20"/>
        </w:rPr>
        <w:t>adverse events</w:t>
      </w:r>
      <w:r w:rsidRPr="009F701E">
        <w:rPr>
          <w:sz w:val="20"/>
        </w:rPr>
        <w:t xml:space="preserve"> excluding infections divided by the total number of subjects.</w:t>
      </w:r>
    </w:p>
    <w:p w14:paraId="579DC343" w14:textId="77777777" w:rsidR="00FA2CA7" w:rsidRPr="00A06770" w:rsidRDefault="00A06770" w:rsidP="00A06770">
      <w:pPr>
        <w:tabs>
          <w:tab w:val="clear" w:pos="567"/>
          <w:tab w:val="left" w:pos="180"/>
        </w:tabs>
        <w:autoSpaceDE w:val="0"/>
        <w:autoSpaceDN w:val="0"/>
        <w:adjustRightInd w:val="0"/>
        <w:spacing w:line="240" w:lineRule="auto"/>
        <w:ind w:left="180" w:hanging="180"/>
        <w:jc w:val="both"/>
        <w:rPr>
          <w:sz w:val="20"/>
        </w:rPr>
      </w:pPr>
      <w:r w:rsidRPr="009F701E">
        <w:rPr>
          <w:sz w:val="20"/>
          <w:vertAlign w:val="superscript"/>
        </w:rPr>
        <w:t>b</w:t>
      </w:r>
      <w:r w:rsidRPr="009F701E">
        <w:rPr>
          <w:sz w:val="20"/>
          <w:vertAlign w:val="superscript"/>
        </w:rPr>
        <w:tab/>
      </w:r>
      <w:proofErr w:type="gramStart"/>
      <w:r w:rsidRPr="009F701E">
        <w:rPr>
          <w:sz w:val="20"/>
        </w:rPr>
        <w:t>The</w:t>
      </w:r>
      <w:proofErr w:type="gramEnd"/>
      <w:r w:rsidRPr="009F701E">
        <w:rPr>
          <w:sz w:val="20"/>
        </w:rPr>
        <w:t xml:space="preserve"> frequency per infusion is calculated using the number of infusions associated with </w:t>
      </w:r>
      <w:r>
        <w:rPr>
          <w:sz w:val="20"/>
        </w:rPr>
        <w:t>adverse events</w:t>
      </w:r>
      <w:r w:rsidRPr="009F701E">
        <w:rPr>
          <w:sz w:val="20"/>
        </w:rPr>
        <w:t xml:space="preserve"> excluding infections divided by the total number of infusions.</w:t>
      </w:r>
    </w:p>
    <w:p w14:paraId="5A58B9D4" w14:textId="77777777" w:rsidR="00D42C17" w:rsidRPr="00691D42" w:rsidRDefault="00D42C17" w:rsidP="00201DF5">
      <w:pPr>
        <w:spacing w:line="240" w:lineRule="auto"/>
        <w:rPr>
          <w:szCs w:val="22"/>
        </w:rPr>
      </w:pPr>
    </w:p>
    <w:p w14:paraId="18DDE7B7" w14:textId="77777777" w:rsidR="00FA2CA7" w:rsidRPr="00CF3126" w:rsidRDefault="00FA2CA7" w:rsidP="001E6C47">
      <w:pPr>
        <w:spacing w:line="240" w:lineRule="auto"/>
        <w:rPr>
          <w:rStyle w:val="EstiloArial11pt"/>
          <w:sz w:val="22"/>
          <w:szCs w:val="22"/>
        </w:rPr>
      </w:pPr>
      <w:r w:rsidRPr="00CF3126">
        <w:rPr>
          <w:rStyle w:val="EstiloArial11pt"/>
          <w:sz w:val="22"/>
          <w:szCs w:val="22"/>
        </w:rPr>
        <w:t>The table below displays the adverse reactions from the 2 clinical studies.</w:t>
      </w:r>
    </w:p>
    <w:p w14:paraId="140F07F6" w14:textId="77777777" w:rsidR="00FA2CA7" w:rsidRPr="00CF3126" w:rsidRDefault="00FA2CA7" w:rsidP="00CF3126">
      <w:pPr>
        <w:spacing w:line="240" w:lineRule="auto"/>
        <w:rPr>
          <w:rStyle w:val="EstiloArial11pt"/>
          <w:sz w:val="22"/>
        </w:rPr>
      </w:pPr>
    </w:p>
    <w:p w14:paraId="1FB12FDA" w14:textId="77777777" w:rsidR="00201DF5" w:rsidRPr="009F701E" w:rsidRDefault="00201DF5" w:rsidP="00201DF5">
      <w:pPr>
        <w:keepNext/>
        <w:spacing w:after="240" w:line="240" w:lineRule="auto"/>
        <w:rPr>
          <w:b/>
          <w:bCs/>
          <w:szCs w:val="22"/>
        </w:rPr>
      </w:pPr>
      <w:r w:rsidRPr="009F701E">
        <w:rPr>
          <w:b/>
          <w:bCs/>
          <w:szCs w:val="22"/>
        </w:rPr>
        <w:t xml:space="preserve">Frequency of Adverse Reactions (ADRs) with </w:t>
      </w:r>
      <w:r w:rsidR="00805A20">
        <w:rPr>
          <w:b/>
          <w:bCs/>
          <w:szCs w:val="22"/>
        </w:rPr>
        <w:t>Xembify</w:t>
      </w:r>
      <w:r w:rsidR="00805A20" w:rsidRPr="00805A20">
        <w:rPr>
          <w:b/>
          <w:bCs/>
          <w:szCs w:val="22"/>
          <w:vertAlign w:val="superscript"/>
        </w:rPr>
        <w:t>®</w:t>
      </w:r>
      <w:r w:rsidRPr="009F701E">
        <w:rPr>
          <w:b/>
          <w:bCs/>
          <w:szCs w:val="22"/>
        </w:rPr>
        <w:t xml:space="preserve"> in 1% or more of Subjects</w:t>
      </w:r>
    </w:p>
    <w:tbl>
      <w:tblPr>
        <w:tblW w:w="917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bottom w:w="28" w:type="dxa"/>
        </w:tblCellMar>
        <w:tblLook w:val="01C0" w:firstRow="0" w:lastRow="1" w:firstColumn="1" w:lastColumn="1" w:noHBand="0" w:noVBand="0"/>
      </w:tblPr>
      <w:tblGrid>
        <w:gridCol w:w="2340"/>
        <w:gridCol w:w="2160"/>
        <w:gridCol w:w="2250"/>
        <w:gridCol w:w="2429"/>
      </w:tblGrid>
      <w:tr w:rsidR="00201DF5" w:rsidRPr="00E55A32" w14:paraId="6BB4C8CB" w14:textId="77777777" w:rsidTr="0016338F">
        <w:trPr>
          <w:tblHeader/>
        </w:trPr>
        <w:tc>
          <w:tcPr>
            <w:tcW w:w="2340" w:type="dxa"/>
            <w:tcBorders>
              <w:bottom w:val="single" w:sz="12" w:space="0" w:color="auto"/>
            </w:tcBorders>
            <w:vAlign w:val="center"/>
          </w:tcPr>
          <w:p w14:paraId="6B857C9C" w14:textId="77777777" w:rsidR="00201DF5" w:rsidRPr="00E55A32" w:rsidRDefault="00201DF5" w:rsidP="001E6C47">
            <w:pPr>
              <w:spacing w:line="240" w:lineRule="auto"/>
              <w:rPr>
                <w:b/>
                <w:szCs w:val="22"/>
              </w:rPr>
            </w:pPr>
            <w:r w:rsidRPr="00E55A32">
              <w:rPr>
                <w:b/>
                <w:szCs w:val="22"/>
              </w:rPr>
              <w:t>MedDRA System Organ Class (SOC)</w:t>
            </w:r>
          </w:p>
        </w:tc>
        <w:tc>
          <w:tcPr>
            <w:tcW w:w="2160" w:type="dxa"/>
            <w:tcBorders>
              <w:bottom w:val="single" w:sz="12" w:space="0" w:color="auto"/>
            </w:tcBorders>
            <w:vAlign w:val="center"/>
          </w:tcPr>
          <w:p w14:paraId="7B0A5245" w14:textId="77777777" w:rsidR="00201DF5" w:rsidRPr="00E55A32" w:rsidRDefault="00201DF5" w:rsidP="00CD7C87">
            <w:pPr>
              <w:keepNext/>
              <w:spacing w:line="240" w:lineRule="auto"/>
              <w:jc w:val="center"/>
              <w:rPr>
                <w:b/>
                <w:szCs w:val="22"/>
              </w:rPr>
            </w:pPr>
            <w:r w:rsidRPr="00E55A32">
              <w:rPr>
                <w:b/>
                <w:szCs w:val="22"/>
              </w:rPr>
              <w:t>Adverse reaction</w:t>
            </w:r>
          </w:p>
        </w:tc>
        <w:tc>
          <w:tcPr>
            <w:tcW w:w="2250" w:type="dxa"/>
            <w:tcBorders>
              <w:bottom w:val="single" w:sz="12" w:space="0" w:color="auto"/>
            </w:tcBorders>
            <w:vAlign w:val="center"/>
          </w:tcPr>
          <w:p w14:paraId="56032CF5" w14:textId="77777777" w:rsidR="00201DF5" w:rsidRDefault="00201DF5" w:rsidP="00CD7C87">
            <w:pPr>
              <w:keepNext/>
              <w:spacing w:line="240" w:lineRule="auto"/>
              <w:jc w:val="center"/>
              <w:rPr>
                <w:b/>
                <w:vertAlign w:val="superscript"/>
              </w:rPr>
            </w:pPr>
            <w:r w:rsidRPr="00E55A32">
              <w:rPr>
                <w:b/>
                <w:szCs w:val="22"/>
              </w:rPr>
              <w:t>Frequency</w:t>
            </w:r>
            <w:r>
              <w:rPr>
                <w:b/>
                <w:szCs w:val="22"/>
              </w:rPr>
              <w:t xml:space="preserve"> </w:t>
            </w:r>
            <w:r>
              <w:rPr>
                <w:b/>
              </w:rPr>
              <w:t xml:space="preserve">per </w:t>
            </w:r>
            <w:proofErr w:type="spellStart"/>
            <w:r>
              <w:rPr>
                <w:b/>
              </w:rPr>
              <w:t>subject</w:t>
            </w:r>
            <w:r w:rsidRPr="00771344">
              <w:rPr>
                <w:b/>
                <w:vertAlign w:val="superscript"/>
              </w:rPr>
              <w:t>a</w:t>
            </w:r>
            <w:proofErr w:type="spellEnd"/>
          </w:p>
          <w:p w14:paraId="52E091A3" w14:textId="77777777" w:rsidR="00201DF5" w:rsidRPr="00E55A32" w:rsidRDefault="00201DF5" w:rsidP="00CD7C87">
            <w:pPr>
              <w:keepNext/>
              <w:spacing w:line="240" w:lineRule="auto"/>
              <w:jc w:val="center"/>
              <w:rPr>
                <w:b/>
                <w:szCs w:val="22"/>
              </w:rPr>
            </w:pPr>
            <w:r>
              <w:rPr>
                <w:b/>
                <w:szCs w:val="22"/>
              </w:rPr>
              <w:t>(N=110 subjects)</w:t>
            </w:r>
          </w:p>
        </w:tc>
        <w:tc>
          <w:tcPr>
            <w:tcW w:w="2429" w:type="dxa"/>
            <w:tcBorders>
              <w:bottom w:val="single" w:sz="12" w:space="0" w:color="auto"/>
            </w:tcBorders>
          </w:tcPr>
          <w:p w14:paraId="0C4003DE" w14:textId="77777777" w:rsidR="00201DF5" w:rsidRDefault="00201DF5" w:rsidP="00CD7C87">
            <w:pPr>
              <w:keepNext/>
              <w:spacing w:line="240" w:lineRule="auto"/>
              <w:jc w:val="center"/>
              <w:rPr>
                <w:b/>
                <w:szCs w:val="22"/>
                <w:vertAlign w:val="superscript"/>
              </w:rPr>
            </w:pPr>
            <w:r>
              <w:rPr>
                <w:b/>
                <w:szCs w:val="22"/>
              </w:rPr>
              <w:t xml:space="preserve">Frequency per </w:t>
            </w:r>
            <w:proofErr w:type="spellStart"/>
            <w:r>
              <w:rPr>
                <w:b/>
                <w:szCs w:val="22"/>
              </w:rPr>
              <w:t>infusion</w:t>
            </w:r>
            <w:r w:rsidRPr="00771344">
              <w:rPr>
                <w:b/>
                <w:szCs w:val="22"/>
                <w:vertAlign w:val="superscript"/>
              </w:rPr>
              <w:t>b</w:t>
            </w:r>
            <w:proofErr w:type="spellEnd"/>
          </w:p>
          <w:p w14:paraId="0EE11379" w14:textId="77777777" w:rsidR="00201DF5" w:rsidRPr="00E55A32" w:rsidRDefault="00201DF5" w:rsidP="00CD7C87">
            <w:pPr>
              <w:keepNext/>
              <w:spacing w:line="240" w:lineRule="auto"/>
              <w:jc w:val="center"/>
              <w:rPr>
                <w:b/>
                <w:szCs w:val="22"/>
              </w:rPr>
            </w:pPr>
            <w:r>
              <w:rPr>
                <w:b/>
                <w:szCs w:val="22"/>
              </w:rPr>
              <w:t>(N=4098 infusions)</w:t>
            </w:r>
          </w:p>
        </w:tc>
      </w:tr>
      <w:tr w:rsidR="00201DF5" w:rsidRPr="005E44A6" w:rsidDel="005755E7" w14:paraId="3DB75B88" w14:textId="77777777" w:rsidTr="0016338F">
        <w:tc>
          <w:tcPr>
            <w:tcW w:w="2340" w:type="dxa"/>
            <w:tcBorders>
              <w:top w:val="single" w:sz="12" w:space="0" w:color="auto"/>
            </w:tcBorders>
          </w:tcPr>
          <w:p w14:paraId="11880AA9" w14:textId="77777777" w:rsidR="00201DF5" w:rsidRPr="00C56F09" w:rsidRDefault="00201DF5" w:rsidP="00CD7C87">
            <w:pPr>
              <w:spacing w:line="240" w:lineRule="auto"/>
              <w:rPr>
                <w:color w:val="000000"/>
                <w:sz w:val="18"/>
                <w:szCs w:val="18"/>
              </w:rPr>
            </w:pPr>
            <w:r w:rsidRPr="00C56F09">
              <w:rPr>
                <w:color w:val="000000"/>
                <w:sz w:val="18"/>
                <w:szCs w:val="18"/>
              </w:rPr>
              <w:t>Infections and infestations</w:t>
            </w:r>
          </w:p>
        </w:tc>
        <w:tc>
          <w:tcPr>
            <w:tcW w:w="2160" w:type="dxa"/>
            <w:tcBorders>
              <w:top w:val="single" w:sz="12" w:space="0" w:color="auto"/>
            </w:tcBorders>
          </w:tcPr>
          <w:p w14:paraId="2B0DB310" w14:textId="77777777" w:rsidR="00201DF5" w:rsidRPr="00C56F09" w:rsidRDefault="00201DF5" w:rsidP="00CD7C87">
            <w:pPr>
              <w:spacing w:line="240" w:lineRule="auto"/>
              <w:rPr>
                <w:color w:val="000000"/>
                <w:sz w:val="18"/>
                <w:szCs w:val="18"/>
              </w:rPr>
            </w:pPr>
            <w:r w:rsidRPr="00C56F09">
              <w:rPr>
                <w:color w:val="000000"/>
                <w:sz w:val="18"/>
                <w:szCs w:val="18"/>
              </w:rPr>
              <w:t>Rhinitis</w:t>
            </w:r>
          </w:p>
        </w:tc>
        <w:tc>
          <w:tcPr>
            <w:tcW w:w="2250" w:type="dxa"/>
            <w:tcBorders>
              <w:top w:val="single" w:sz="12" w:space="0" w:color="auto"/>
            </w:tcBorders>
          </w:tcPr>
          <w:p w14:paraId="479B3318" w14:textId="77777777" w:rsidR="00201DF5" w:rsidRPr="00B676EE" w:rsidRDefault="00201DF5" w:rsidP="00CD7C87">
            <w:pPr>
              <w:spacing w:line="240" w:lineRule="auto"/>
              <w:jc w:val="both"/>
              <w:rPr>
                <w:color w:val="000000"/>
                <w:sz w:val="18"/>
                <w:szCs w:val="18"/>
              </w:rPr>
            </w:pPr>
            <w:r w:rsidRPr="00B676EE">
              <w:rPr>
                <w:color w:val="000000"/>
                <w:sz w:val="18"/>
                <w:szCs w:val="18"/>
              </w:rPr>
              <w:t>3 (2.7%) common</w:t>
            </w:r>
          </w:p>
        </w:tc>
        <w:tc>
          <w:tcPr>
            <w:tcW w:w="2429" w:type="dxa"/>
            <w:tcBorders>
              <w:top w:val="single" w:sz="12" w:space="0" w:color="auto"/>
            </w:tcBorders>
          </w:tcPr>
          <w:p w14:paraId="28040818" w14:textId="77777777" w:rsidR="00201DF5" w:rsidRPr="00B676EE" w:rsidRDefault="00201DF5" w:rsidP="00CD7C87">
            <w:pPr>
              <w:spacing w:line="240" w:lineRule="auto"/>
              <w:rPr>
                <w:color w:val="000000"/>
                <w:sz w:val="18"/>
                <w:szCs w:val="18"/>
              </w:rPr>
            </w:pPr>
            <w:r w:rsidRPr="00B676EE">
              <w:rPr>
                <w:color w:val="000000"/>
                <w:sz w:val="18"/>
                <w:szCs w:val="18"/>
              </w:rPr>
              <w:t>4 (0.0010) uncommon</w:t>
            </w:r>
          </w:p>
        </w:tc>
      </w:tr>
      <w:tr w:rsidR="00201DF5" w:rsidRPr="005E44A6" w:rsidDel="005755E7" w14:paraId="2FFF352D" w14:textId="77777777" w:rsidTr="00CD7C87">
        <w:tc>
          <w:tcPr>
            <w:tcW w:w="2340" w:type="dxa"/>
          </w:tcPr>
          <w:p w14:paraId="3E3F4FF1" w14:textId="77777777" w:rsidR="00201DF5" w:rsidRPr="00C56F09" w:rsidRDefault="00201DF5" w:rsidP="00CD7C87">
            <w:pPr>
              <w:spacing w:line="240" w:lineRule="auto"/>
              <w:rPr>
                <w:color w:val="000000"/>
                <w:sz w:val="18"/>
                <w:szCs w:val="18"/>
              </w:rPr>
            </w:pPr>
            <w:r w:rsidRPr="00C56F09">
              <w:rPr>
                <w:color w:val="000000"/>
                <w:sz w:val="18"/>
                <w:szCs w:val="18"/>
              </w:rPr>
              <w:t>Nervous system disorders</w:t>
            </w:r>
          </w:p>
        </w:tc>
        <w:tc>
          <w:tcPr>
            <w:tcW w:w="2160" w:type="dxa"/>
          </w:tcPr>
          <w:p w14:paraId="1DEA9ABB" w14:textId="77777777" w:rsidR="00201DF5" w:rsidRPr="00C56F09" w:rsidRDefault="00201DF5" w:rsidP="00CD7C87">
            <w:pPr>
              <w:spacing w:line="240" w:lineRule="auto"/>
              <w:rPr>
                <w:color w:val="000000"/>
                <w:sz w:val="18"/>
                <w:szCs w:val="18"/>
              </w:rPr>
            </w:pPr>
            <w:r w:rsidRPr="00C56F09">
              <w:rPr>
                <w:color w:val="000000"/>
                <w:sz w:val="18"/>
                <w:szCs w:val="18"/>
              </w:rPr>
              <w:t>Headache</w:t>
            </w:r>
          </w:p>
        </w:tc>
        <w:tc>
          <w:tcPr>
            <w:tcW w:w="2250" w:type="dxa"/>
          </w:tcPr>
          <w:p w14:paraId="4C3ECB07" w14:textId="77777777" w:rsidR="00201DF5" w:rsidRPr="00B676EE" w:rsidRDefault="00201DF5" w:rsidP="00CD7C87">
            <w:pPr>
              <w:spacing w:line="240" w:lineRule="auto"/>
              <w:jc w:val="both"/>
              <w:rPr>
                <w:color w:val="000000"/>
                <w:sz w:val="18"/>
                <w:szCs w:val="18"/>
              </w:rPr>
            </w:pPr>
            <w:r w:rsidRPr="00B676EE">
              <w:rPr>
                <w:color w:val="000000"/>
                <w:sz w:val="18"/>
                <w:szCs w:val="18"/>
              </w:rPr>
              <w:t>4 (3.6%) common</w:t>
            </w:r>
          </w:p>
        </w:tc>
        <w:tc>
          <w:tcPr>
            <w:tcW w:w="2429" w:type="dxa"/>
          </w:tcPr>
          <w:p w14:paraId="1FFFB63E" w14:textId="77777777" w:rsidR="00201DF5" w:rsidRPr="00B676EE" w:rsidRDefault="00201DF5" w:rsidP="00CD7C87">
            <w:pPr>
              <w:spacing w:line="240" w:lineRule="auto"/>
              <w:rPr>
                <w:color w:val="000000"/>
                <w:sz w:val="18"/>
                <w:szCs w:val="18"/>
              </w:rPr>
            </w:pPr>
            <w:r w:rsidRPr="00B676EE">
              <w:rPr>
                <w:color w:val="000000"/>
                <w:sz w:val="18"/>
                <w:szCs w:val="18"/>
              </w:rPr>
              <w:t>4 (0.0010) uncommon</w:t>
            </w:r>
          </w:p>
        </w:tc>
      </w:tr>
      <w:tr w:rsidR="00201DF5" w:rsidRPr="005E44A6" w:rsidDel="005755E7" w14:paraId="2199FB68" w14:textId="77777777" w:rsidTr="00CD7C87">
        <w:tc>
          <w:tcPr>
            <w:tcW w:w="2340" w:type="dxa"/>
            <w:vMerge w:val="restart"/>
          </w:tcPr>
          <w:p w14:paraId="6CA7D237" w14:textId="77777777" w:rsidR="00201DF5" w:rsidRPr="00C56F09" w:rsidRDefault="00201DF5" w:rsidP="00CD7C87">
            <w:pPr>
              <w:spacing w:line="240" w:lineRule="auto"/>
              <w:rPr>
                <w:color w:val="000000"/>
                <w:sz w:val="18"/>
                <w:szCs w:val="18"/>
              </w:rPr>
            </w:pPr>
            <w:r w:rsidRPr="00C56F09">
              <w:rPr>
                <w:color w:val="000000"/>
                <w:sz w:val="18"/>
                <w:szCs w:val="18"/>
              </w:rPr>
              <w:t>Gastrointestinal disorders</w:t>
            </w:r>
          </w:p>
        </w:tc>
        <w:tc>
          <w:tcPr>
            <w:tcW w:w="2160" w:type="dxa"/>
          </w:tcPr>
          <w:p w14:paraId="7D388422" w14:textId="77777777" w:rsidR="00201DF5" w:rsidRPr="00C56F09" w:rsidRDefault="00201DF5" w:rsidP="00CD7C87">
            <w:pPr>
              <w:spacing w:line="240" w:lineRule="auto"/>
              <w:rPr>
                <w:color w:val="000000"/>
                <w:sz w:val="18"/>
                <w:szCs w:val="18"/>
              </w:rPr>
            </w:pPr>
            <w:r w:rsidRPr="00C56F09">
              <w:rPr>
                <w:color w:val="000000"/>
                <w:sz w:val="18"/>
                <w:szCs w:val="18"/>
              </w:rPr>
              <w:t>Diarrhoea</w:t>
            </w:r>
          </w:p>
        </w:tc>
        <w:tc>
          <w:tcPr>
            <w:tcW w:w="2250" w:type="dxa"/>
          </w:tcPr>
          <w:p w14:paraId="7C320BCD" w14:textId="77777777" w:rsidR="00201DF5" w:rsidRPr="00B676EE" w:rsidRDefault="00201DF5" w:rsidP="00CD7C87">
            <w:pPr>
              <w:spacing w:line="240" w:lineRule="auto"/>
              <w:jc w:val="both"/>
              <w:rPr>
                <w:color w:val="000000"/>
                <w:sz w:val="18"/>
                <w:szCs w:val="18"/>
              </w:rPr>
            </w:pPr>
            <w:r w:rsidRPr="00B676EE">
              <w:rPr>
                <w:color w:val="000000"/>
                <w:sz w:val="18"/>
                <w:szCs w:val="18"/>
              </w:rPr>
              <w:t>3 (2.7%) common</w:t>
            </w:r>
          </w:p>
        </w:tc>
        <w:tc>
          <w:tcPr>
            <w:tcW w:w="2429" w:type="dxa"/>
          </w:tcPr>
          <w:p w14:paraId="26FBB6A1" w14:textId="77777777" w:rsidR="00201DF5" w:rsidRPr="00B676EE" w:rsidRDefault="00201DF5" w:rsidP="00CD7C87">
            <w:pPr>
              <w:spacing w:line="240" w:lineRule="auto"/>
              <w:rPr>
                <w:color w:val="000000"/>
                <w:sz w:val="18"/>
                <w:szCs w:val="18"/>
              </w:rPr>
            </w:pPr>
            <w:r w:rsidRPr="00B676EE">
              <w:rPr>
                <w:color w:val="000000"/>
                <w:sz w:val="18"/>
                <w:szCs w:val="18"/>
              </w:rPr>
              <w:t>3 (0.0007) rare</w:t>
            </w:r>
          </w:p>
        </w:tc>
      </w:tr>
      <w:tr w:rsidR="00201DF5" w:rsidRPr="005E44A6" w:rsidDel="005755E7" w14:paraId="55C95745" w14:textId="77777777" w:rsidTr="00CD7C87">
        <w:tc>
          <w:tcPr>
            <w:tcW w:w="2340" w:type="dxa"/>
            <w:vMerge/>
          </w:tcPr>
          <w:p w14:paraId="2B4E921C" w14:textId="77777777" w:rsidR="00201DF5" w:rsidRPr="00771344" w:rsidRDefault="00201DF5" w:rsidP="00CD7C87">
            <w:pPr>
              <w:spacing w:line="240" w:lineRule="auto"/>
              <w:rPr>
                <w:color w:val="000000"/>
                <w:sz w:val="18"/>
                <w:szCs w:val="18"/>
              </w:rPr>
            </w:pPr>
          </w:p>
        </w:tc>
        <w:tc>
          <w:tcPr>
            <w:tcW w:w="2160" w:type="dxa"/>
          </w:tcPr>
          <w:p w14:paraId="00480109" w14:textId="77777777" w:rsidR="00201DF5" w:rsidRPr="00771344" w:rsidRDefault="00201DF5" w:rsidP="00CD7C87">
            <w:pPr>
              <w:spacing w:line="240" w:lineRule="auto"/>
              <w:rPr>
                <w:color w:val="000000"/>
                <w:sz w:val="18"/>
                <w:szCs w:val="18"/>
              </w:rPr>
            </w:pPr>
            <w:r w:rsidRPr="00771344">
              <w:rPr>
                <w:color w:val="000000"/>
                <w:sz w:val="18"/>
                <w:szCs w:val="18"/>
              </w:rPr>
              <w:t>Nausea</w:t>
            </w:r>
          </w:p>
        </w:tc>
        <w:tc>
          <w:tcPr>
            <w:tcW w:w="2250" w:type="dxa"/>
          </w:tcPr>
          <w:p w14:paraId="655C66F9" w14:textId="77777777" w:rsidR="00201DF5" w:rsidRPr="00771344" w:rsidRDefault="00201DF5" w:rsidP="00CD7C87">
            <w:pPr>
              <w:spacing w:line="240" w:lineRule="auto"/>
              <w:jc w:val="both"/>
              <w:rPr>
                <w:color w:val="000000"/>
                <w:sz w:val="18"/>
                <w:szCs w:val="18"/>
              </w:rPr>
            </w:pPr>
            <w:r w:rsidRPr="00771344">
              <w:rPr>
                <w:color w:val="000000"/>
                <w:sz w:val="18"/>
                <w:szCs w:val="18"/>
              </w:rPr>
              <w:t>2 (1.8%) common</w:t>
            </w:r>
          </w:p>
        </w:tc>
        <w:tc>
          <w:tcPr>
            <w:tcW w:w="2429" w:type="dxa"/>
          </w:tcPr>
          <w:p w14:paraId="24E73AD9" w14:textId="77777777" w:rsidR="00201DF5" w:rsidRPr="00771344" w:rsidRDefault="00201DF5" w:rsidP="00CD7C87">
            <w:pPr>
              <w:spacing w:line="240" w:lineRule="auto"/>
              <w:rPr>
                <w:color w:val="000000"/>
                <w:sz w:val="18"/>
                <w:szCs w:val="18"/>
              </w:rPr>
            </w:pPr>
            <w:r w:rsidRPr="00771344">
              <w:rPr>
                <w:color w:val="000000"/>
                <w:sz w:val="18"/>
                <w:szCs w:val="18"/>
              </w:rPr>
              <w:t>2 (0.0005) rare</w:t>
            </w:r>
          </w:p>
        </w:tc>
      </w:tr>
      <w:tr w:rsidR="0056405E" w:rsidRPr="005E44A6" w:rsidDel="005755E7" w14:paraId="1914FAF5" w14:textId="77777777" w:rsidTr="00CD7C87">
        <w:tc>
          <w:tcPr>
            <w:tcW w:w="2340" w:type="dxa"/>
            <w:vMerge w:val="restart"/>
          </w:tcPr>
          <w:p w14:paraId="2825D400" w14:textId="77777777" w:rsidR="0056405E" w:rsidRPr="00C56F09" w:rsidRDefault="0056405E" w:rsidP="00CD7C87">
            <w:pPr>
              <w:spacing w:line="240" w:lineRule="auto"/>
              <w:rPr>
                <w:color w:val="000000"/>
                <w:sz w:val="18"/>
                <w:szCs w:val="18"/>
              </w:rPr>
            </w:pPr>
            <w:r w:rsidRPr="00C56F09">
              <w:rPr>
                <w:color w:val="000000"/>
                <w:sz w:val="18"/>
                <w:szCs w:val="18"/>
              </w:rPr>
              <w:t>Skin and subcutaneous tissue disorders</w:t>
            </w:r>
          </w:p>
        </w:tc>
        <w:tc>
          <w:tcPr>
            <w:tcW w:w="2160" w:type="dxa"/>
          </w:tcPr>
          <w:p w14:paraId="4E42C6FC" w14:textId="77777777" w:rsidR="0056405E" w:rsidRPr="00C56F09" w:rsidRDefault="0056405E" w:rsidP="00CD7C87">
            <w:pPr>
              <w:spacing w:line="240" w:lineRule="auto"/>
              <w:rPr>
                <w:color w:val="000000"/>
                <w:sz w:val="18"/>
                <w:szCs w:val="18"/>
              </w:rPr>
            </w:pPr>
            <w:r w:rsidRPr="00C56F09">
              <w:rPr>
                <w:color w:val="000000"/>
                <w:sz w:val="18"/>
                <w:szCs w:val="18"/>
              </w:rPr>
              <w:t>Papule</w:t>
            </w:r>
          </w:p>
        </w:tc>
        <w:tc>
          <w:tcPr>
            <w:tcW w:w="2250" w:type="dxa"/>
          </w:tcPr>
          <w:p w14:paraId="72D89A38" w14:textId="77777777" w:rsidR="0056405E" w:rsidRPr="00B676EE" w:rsidRDefault="0056405E" w:rsidP="00CD7C87">
            <w:pPr>
              <w:spacing w:line="240" w:lineRule="auto"/>
              <w:jc w:val="both"/>
              <w:rPr>
                <w:color w:val="000000"/>
                <w:sz w:val="18"/>
                <w:szCs w:val="18"/>
              </w:rPr>
            </w:pPr>
            <w:r w:rsidRPr="00B676EE">
              <w:rPr>
                <w:color w:val="000000"/>
                <w:sz w:val="18"/>
                <w:szCs w:val="18"/>
              </w:rPr>
              <w:t>2 (1.8%) common</w:t>
            </w:r>
          </w:p>
        </w:tc>
        <w:tc>
          <w:tcPr>
            <w:tcW w:w="2429" w:type="dxa"/>
          </w:tcPr>
          <w:p w14:paraId="7AA14D07" w14:textId="77777777" w:rsidR="0056405E" w:rsidRPr="00B676EE" w:rsidRDefault="0056405E" w:rsidP="00CD7C87">
            <w:pPr>
              <w:spacing w:line="240" w:lineRule="auto"/>
              <w:rPr>
                <w:color w:val="000000"/>
                <w:sz w:val="18"/>
                <w:szCs w:val="18"/>
              </w:rPr>
            </w:pPr>
            <w:r w:rsidRPr="00B676EE">
              <w:rPr>
                <w:color w:val="000000"/>
                <w:sz w:val="18"/>
                <w:szCs w:val="18"/>
              </w:rPr>
              <w:t>2 (0.0005) rare</w:t>
            </w:r>
          </w:p>
        </w:tc>
      </w:tr>
      <w:tr w:rsidR="0056405E" w:rsidRPr="005E44A6" w:rsidDel="005755E7" w14:paraId="39F7BFAC" w14:textId="77777777" w:rsidTr="00CD7C87">
        <w:tc>
          <w:tcPr>
            <w:tcW w:w="2340" w:type="dxa"/>
            <w:vMerge/>
          </w:tcPr>
          <w:p w14:paraId="54EC54C1" w14:textId="77777777" w:rsidR="0056405E" w:rsidRPr="00771344" w:rsidRDefault="0056405E" w:rsidP="00CD7C87">
            <w:pPr>
              <w:spacing w:line="240" w:lineRule="auto"/>
              <w:rPr>
                <w:color w:val="000000"/>
                <w:sz w:val="18"/>
                <w:szCs w:val="18"/>
              </w:rPr>
            </w:pPr>
          </w:p>
        </w:tc>
        <w:tc>
          <w:tcPr>
            <w:tcW w:w="2160" w:type="dxa"/>
          </w:tcPr>
          <w:p w14:paraId="097C6275" w14:textId="77777777" w:rsidR="0056405E" w:rsidRPr="00771344" w:rsidRDefault="0056405E" w:rsidP="00CD7C87">
            <w:pPr>
              <w:spacing w:line="240" w:lineRule="auto"/>
              <w:rPr>
                <w:color w:val="000000"/>
                <w:sz w:val="18"/>
                <w:szCs w:val="18"/>
              </w:rPr>
            </w:pPr>
            <w:r w:rsidRPr="00771344">
              <w:rPr>
                <w:color w:val="000000"/>
                <w:sz w:val="18"/>
                <w:szCs w:val="18"/>
              </w:rPr>
              <w:t>Pruritus</w:t>
            </w:r>
          </w:p>
        </w:tc>
        <w:tc>
          <w:tcPr>
            <w:tcW w:w="2250" w:type="dxa"/>
          </w:tcPr>
          <w:p w14:paraId="03D9DD07" w14:textId="77777777" w:rsidR="0056405E" w:rsidRPr="00771344" w:rsidRDefault="0056405E" w:rsidP="00CD7C87">
            <w:pPr>
              <w:spacing w:line="240" w:lineRule="auto"/>
              <w:jc w:val="both"/>
              <w:rPr>
                <w:color w:val="000000"/>
                <w:sz w:val="18"/>
                <w:szCs w:val="18"/>
              </w:rPr>
            </w:pPr>
            <w:r w:rsidRPr="00771344">
              <w:rPr>
                <w:color w:val="000000"/>
                <w:sz w:val="18"/>
                <w:szCs w:val="18"/>
              </w:rPr>
              <w:t>2 (1.8%) common</w:t>
            </w:r>
          </w:p>
        </w:tc>
        <w:tc>
          <w:tcPr>
            <w:tcW w:w="2429" w:type="dxa"/>
          </w:tcPr>
          <w:p w14:paraId="580103B3" w14:textId="77777777" w:rsidR="0056405E" w:rsidRPr="00771344" w:rsidRDefault="0056405E" w:rsidP="00CD7C87">
            <w:pPr>
              <w:spacing w:line="240" w:lineRule="auto"/>
              <w:rPr>
                <w:color w:val="000000"/>
                <w:sz w:val="18"/>
                <w:szCs w:val="18"/>
              </w:rPr>
            </w:pPr>
            <w:r w:rsidRPr="00771344">
              <w:rPr>
                <w:color w:val="000000"/>
                <w:sz w:val="18"/>
                <w:szCs w:val="18"/>
              </w:rPr>
              <w:t>2 (0.0005) rare</w:t>
            </w:r>
          </w:p>
        </w:tc>
      </w:tr>
      <w:tr w:rsidR="0056405E" w:rsidRPr="005E44A6" w:rsidDel="005755E7" w14:paraId="125F18A9" w14:textId="77777777" w:rsidTr="00CD7C87">
        <w:tc>
          <w:tcPr>
            <w:tcW w:w="2340" w:type="dxa"/>
            <w:vMerge w:val="restart"/>
          </w:tcPr>
          <w:p w14:paraId="7080F48F" w14:textId="77777777" w:rsidR="0056405E" w:rsidRDefault="0056405E" w:rsidP="00CD7C87">
            <w:pPr>
              <w:spacing w:line="240" w:lineRule="auto"/>
              <w:rPr>
                <w:color w:val="000000"/>
                <w:sz w:val="18"/>
                <w:szCs w:val="18"/>
              </w:rPr>
            </w:pPr>
            <w:r>
              <w:rPr>
                <w:color w:val="000000"/>
                <w:sz w:val="18"/>
                <w:szCs w:val="18"/>
              </w:rPr>
              <w:t>Musculoskeletal and connective tissue disorders</w:t>
            </w:r>
          </w:p>
        </w:tc>
        <w:tc>
          <w:tcPr>
            <w:tcW w:w="2160" w:type="dxa"/>
          </w:tcPr>
          <w:p w14:paraId="1E33124E" w14:textId="77777777" w:rsidR="0056405E" w:rsidRPr="00771344" w:rsidRDefault="0056405E" w:rsidP="00CD7C87">
            <w:pPr>
              <w:spacing w:line="240" w:lineRule="auto"/>
              <w:rPr>
                <w:strike/>
                <w:sz w:val="18"/>
                <w:szCs w:val="18"/>
                <w:highlight w:val="cyan"/>
              </w:rPr>
            </w:pPr>
            <w:r w:rsidRPr="00771344">
              <w:rPr>
                <w:sz w:val="18"/>
                <w:szCs w:val="18"/>
              </w:rPr>
              <w:t>Arthralgia</w:t>
            </w:r>
          </w:p>
        </w:tc>
        <w:tc>
          <w:tcPr>
            <w:tcW w:w="2250" w:type="dxa"/>
          </w:tcPr>
          <w:p w14:paraId="2851F3A8" w14:textId="77777777" w:rsidR="0056405E" w:rsidRPr="00771344" w:rsidRDefault="0056405E" w:rsidP="00CD7C87">
            <w:pPr>
              <w:spacing w:line="240" w:lineRule="auto"/>
              <w:jc w:val="both"/>
              <w:rPr>
                <w:strike/>
                <w:sz w:val="18"/>
                <w:szCs w:val="18"/>
                <w:highlight w:val="cyan"/>
              </w:rPr>
            </w:pPr>
            <w:r w:rsidRPr="00771344">
              <w:rPr>
                <w:sz w:val="18"/>
                <w:szCs w:val="18"/>
              </w:rPr>
              <w:t>3 (2.7%) common</w:t>
            </w:r>
          </w:p>
        </w:tc>
        <w:tc>
          <w:tcPr>
            <w:tcW w:w="2429" w:type="dxa"/>
          </w:tcPr>
          <w:p w14:paraId="6AFD4C25" w14:textId="77777777" w:rsidR="0056405E" w:rsidRPr="00771344" w:rsidRDefault="0056405E" w:rsidP="00CD7C87">
            <w:pPr>
              <w:spacing w:line="240" w:lineRule="auto"/>
              <w:rPr>
                <w:strike/>
                <w:sz w:val="18"/>
                <w:szCs w:val="18"/>
                <w:highlight w:val="cyan"/>
              </w:rPr>
            </w:pPr>
            <w:r w:rsidRPr="00771344">
              <w:rPr>
                <w:sz w:val="18"/>
                <w:szCs w:val="18"/>
              </w:rPr>
              <w:t>3 (0.0007) rare</w:t>
            </w:r>
          </w:p>
        </w:tc>
      </w:tr>
      <w:tr w:rsidR="0056405E" w:rsidRPr="005E44A6" w:rsidDel="005755E7" w14:paraId="0E7366D8" w14:textId="77777777" w:rsidTr="00CD7C87">
        <w:tc>
          <w:tcPr>
            <w:tcW w:w="2340" w:type="dxa"/>
            <w:vMerge/>
          </w:tcPr>
          <w:p w14:paraId="6541D08D" w14:textId="77777777" w:rsidR="0056405E" w:rsidRDefault="0056405E" w:rsidP="00CD7C87">
            <w:pPr>
              <w:spacing w:line="240" w:lineRule="auto"/>
              <w:rPr>
                <w:color w:val="000000"/>
                <w:sz w:val="18"/>
                <w:szCs w:val="18"/>
              </w:rPr>
            </w:pPr>
          </w:p>
        </w:tc>
        <w:tc>
          <w:tcPr>
            <w:tcW w:w="2160" w:type="dxa"/>
          </w:tcPr>
          <w:p w14:paraId="28EAA42A" w14:textId="77777777" w:rsidR="0056405E" w:rsidRPr="00771344" w:rsidRDefault="0056405E" w:rsidP="00CD7C87">
            <w:pPr>
              <w:spacing w:line="240" w:lineRule="auto"/>
              <w:rPr>
                <w:strike/>
                <w:sz w:val="18"/>
                <w:szCs w:val="18"/>
                <w:highlight w:val="cyan"/>
              </w:rPr>
            </w:pPr>
            <w:r w:rsidRPr="00771344">
              <w:rPr>
                <w:sz w:val="18"/>
                <w:szCs w:val="18"/>
              </w:rPr>
              <w:t>Back pain</w:t>
            </w:r>
          </w:p>
        </w:tc>
        <w:tc>
          <w:tcPr>
            <w:tcW w:w="2250" w:type="dxa"/>
          </w:tcPr>
          <w:p w14:paraId="4CA8AB29" w14:textId="77777777" w:rsidR="0056405E" w:rsidRPr="00771344" w:rsidRDefault="0056405E" w:rsidP="00CD7C87">
            <w:pPr>
              <w:spacing w:line="240" w:lineRule="auto"/>
              <w:jc w:val="both"/>
              <w:rPr>
                <w:strike/>
                <w:sz w:val="18"/>
                <w:szCs w:val="18"/>
                <w:highlight w:val="cyan"/>
              </w:rPr>
            </w:pPr>
            <w:r w:rsidRPr="00771344">
              <w:rPr>
                <w:sz w:val="18"/>
                <w:szCs w:val="18"/>
              </w:rPr>
              <w:t>3 (2.7%) common</w:t>
            </w:r>
          </w:p>
        </w:tc>
        <w:tc>
          <w:tcPr>
            <w:tcW w:w="2429" w:type="dxa"/>
          </w:tcPr>
          <w:p w14:paraId="7DBB1DCE" w14:textId="77777777" w:rsidR="0056405E" w:rsidRPr="00771344" w:rsidRDefault="0056405E" w:rsidP="00CD7C87">
            <w:pPr>
              <w:spacing w:line="240" w:lineRule="auto"/>
              <w:rPr>
                <w:strike/>
                <w:sz w:val="18"/>
                <w:szCs w:val="18"/>
                <w:highlight w:val="cyan"/>
              </w:rPr>
            </w:pPr>
            <w:r w:rsidRPr="00771344">
              <w:rPr>
                <w:sz w:val="18"/>
                <w:szCs w:val="18"/>
              </w:rPr>
              <w:t>3 (0.0007) rare</w:t>
            </w:r>
          </w:p>
        </w:tc>
      </w:tr>
      <w:tr w:rsidR="0056405E" w:rsidRPr="005E44A6" w:rsidDel="005755E7" w14:paraId="1C301AEA" w14:textId="77777777" w:rsidTr="00CD7C87">
        <w:tc>
          <w:tcPr>
            <w:tcW w:w="2340" w:type="dxa"/>
            <w:vMerge w:val="restart"/>
          </w:tcPr>
          <w:p w14:paraId="7C3D1B72" w14:textId="77777777" w:rsidR="0056405E" w:rsidRDefault="0056405E" w:rsidP="00D42C17">
            <w:pPr>
              <w:keepNext/>
              <w:spacing w:line="240" w:lineRule="auto"/>
              <w:rPr>
                <w:color w:val="000000"/>
                <w:sz w:val="18"/>
                <w:szCs w:val="18"/>
              </w:rPr>
            </w:pPr>
            <w:r>
              <w:rPr>
                <w:color w:val="000000"/>
                <w:sz w:val="18"/>
                <w:szCs w:val="18"/>
              </w:rPr>
              <w:t>General disorders and administration site conditions</w:t>
            </w:r>
          </w:p>
        </w:tc>
        <w:tc>
          <w:tcPr>
            <w:tcW w:w="2160" w:type="dxa"/>
          </w:tcPr>
          <w:p w14:paraId="4F52E058" w14:textId="77777777" w:rsidR="0056405E" w:rsidRPr="00C56F09" w:rsidRDefault="0056405E" w:rsidP="00CD7C87">
            <w:pPr>
              <w:spacing w:line="240" w:lineRule="auto"/>
              <w:rPr>
                <w:color w:val="000000"/>
                <w:sz w:val="18"/>
                <w:szCs w:val="18"/>
              </w:rPr>
            </w:pPr>
            <w:r w:rsidRPr="00C56F09">
              <w:rPr>
                <w:color w:val="000000"/>
                <w:sz w:val="18"/>
                <w:szCs w:val="18"/>
              </w:rPr>
              <w:t>Infusion site erythema</w:t>
            </w:r>
          </w:p>
        </w:tc>
        <w:tc>
          <w:tcPr>
            <w:tcW w:w="2250" w:type="dxa"/>
          </w:tcPr>
          <w:p w14:paraId="39757A98" w14:textId="77777777" w:rsidR="0056405E" w:rsidRPr="00B676EE" w:rsidRDefault="0056405E" w:rsidP="00CD7C87">
            <w:pPr>
              <w:spacing w:line="240" w:lineRule="auto"/>
              <w:jc w:val="both"/>
              <w:rPr>
                <w:color w:val="000000"/>
                <w:sz w:val="18"/>
                <w:szCs w:val="18"/>
              </w:rPr>
            </w:pPr>
            <w:r w:rsidRPr="00B676EE">
              <w:rPr>
                <w:color w:val="000000"/>
                <w:sz w:val="18"/>
                <w:szCs w:val="18"/>
              </w:rPr>
              <w:t>11 (10.0%) very common</w:t>
            </w:r>
          </w:p>
        </w:tc>
        <w:tc>
          <w:tcPr>
            <w:tcW w:w="2429" w:type="dxa"/>
          </w:tcPr>
          <w:p w14:paraId="6AECDEE6" w14:textId="77777777" w:rsidR="0056405E" w:rsidRPr="00B676EE" w:rsidRDefault="0056405E" w:rsidP="00CD7C87">
            <w:pPr>
              <w:spacing w:line="240" w:lineRule="auto"/>
              <w:rPr>
                <w:color w:val="000000"/>
                <w:sz w:val="18"/>
                <w:szCs w:val="18"/>
              </w:rPr>
            </w:pPr>
            <w:r w:rsidRPr="00B676EE">
              <w:rPr>
                <w:color w:val="000000"/>
                <w:sz w:val="18"/>
                <w:szCs w:val="18"/>
              </w:rPr>
              <w:t>27 (0.0066) uncommon</w:t>
            </w:r>
          </w:p>
        </w:tc>
      </w:tr>
      <w:tr w:rsidR="0056405E" w:rsidRPr="005E44A6" w:rsidDel="005755E7" w14:paraId="0F10E289" w14:textId="77777777" w:rsidTr="00CD7C87">
        <w:tc>
          <w:tcPr>
            <w:tcW w:w="2340" w:type="dxa"/>
            <w:vMerge/>
          </w:tcPr>
          <w:p w14:paraId="7C853222" w14:textId="77777777" w:rsidR="0056405E" w:rsidRDefault="0056405E" w:rsidP="00CD7C87">
            <w:pPr>
              <w:spacing w:line="240" w:lineRule="auto"/>
              <w:rPr>
                <w:color w:val="000000"/>
                <w:sz w:val="18"/>
                <w:szCs w:val="18"/>
              </w:rPr>
            </w:pPr>
          </w:p>
        </w:tc>
        <w:tc>
          <w:tcPr>
            <w:tcW w:w="2160" w:type="dxa"/>
          </w:tcPr>
          <w:p w14:paraId="1CE14C39" w14:textId="77777777" w:rsidR="0056405E" w:rsidRPr="00C56F09" w:rsidRDefault="0056405E" w:rsidP="00CD7C87">
            <w:pPr>
              <w:spacing w:line="240" w:lineRule="auto"/>
              <w:rPr>
                <w:color w:val="000000"/>
                <w:sz w:val="18"/>
                <w:szCs w:val="18"/>
              </w:rPr>
            </w:pPr>
            <w:r w:rsidRPr="00C56F09">
              <w:rPr>
                <w:color w:val="000000"/>
                <w:sz w:val="18"/>
                <w:szCs w:val="18"/>
              </w:rPr>
              <w:t>Infusion site pruritus</w:t>
            </w:r>
          </w:p>
        </w:tc>
        <w:tc>
          <w:tcPr>
            <w:tcW w:w="2250" w:type="dxa"/>
          </w:tcPr>
          <w:p w14:paraId="0A35E294" w14:textId="77777777" w:rsidR="0056405E" w:rsidRPr="00B676EE" w:rsidRDefault="0056405E" w:rsidP="00CD7C87">
            <w:pPr>
              <w:spacing w:line="240" w:lineRule="auto"/>
              <w:jc w:val="both"/>
              <w:rPr>
                <w:color w:val="000000"/>
                <w:sz w:val="18"/>
                <w:szCs w:val="18"/>
              </w:rPr>
            </w:pPr>
            <w:r w:rsidRPr="00B676EE">
              <w:rPr>
                <w:color w:val="000000"/>
                <w:sz w:val="18"/>
                <w:szCs w:val="18"/>
              </w:rPr>
              <w:t>9 (8.2%) common</w:t>
            </w:r>
          </w:p>
        </w:tc>
        <w:tc>
          <w:tcPr>
            <w:tcW w:w="2429" w:type="dxa"/>
          </w:tcPr>
          <w:p w14:paraId="50420043" w14:textId="77777777" w:rsidR="0056405E" w:rsidRPr="00B676EE" w:rsidRDefault="0056405E" w:rsidP="00CD7C87">
            <w:pPr>
              <w:spacing w:line="240" w:lineRule="auto"/>
              <w:rPr>
                <w:color w:val="000000"/>
                <w:sz w:val="18"/>
                <w:szCs w:val="18"/>
              </w:rPr>
            </w:pPr>
            <w:r w:rsidRPr="00B676EE">
              <w:rPr>
                <w:color w:val="000000"/>
                <w:sz w:val="18"/>
                <w:szCs w:val="18"/>
              </w:rPr>
              <w:t>20 (0.0049) uncommon</w:t>
            </w:r>
          </w:p>
        </w:tc>
      </w:tr>
      <w:tr w:rsidR="0056405E" w:rsidRPr="005E44A6" w:rsidDel="005755E7" w14:paraId="440B3BA6" w14:textId="77777777" w:rsidTr="00CD7C87">
        <w:tc>
          <w:tcPr>
            <w:tcW w:w="2340" w:type="dxa"/>
            <w:vMerge/>
          </w:tcPr>
          <w:p w14:paraId="15CF4D3B" w14:textId="77777777" w:rsidR="0056405E" w:rsidRDefault="0056405E" w:rsidP="00CD7C87">
            <w:pPr>
              <w:spacing w:line="240" w:lineRule="auto"/>
              <w:rPr>
                <w:color w:val="000000"/>
                <w:sz w:val="18"/>
                <w:szCs w:val="18"/>
              </w:rPr>
            </w:pPr>
          </w:p>
        </w:tc>
        <w:tc>
          <w:tcPr>
            <w:tcW w:w="2160" w:type="dxa"/>
          </w:tcPr>
          <w:p w14:paraId="4CD29165" w14:textId="77777777" w:rsidR="0056405E" w:rsidRPr="00C56F09" w:rsidRDefault="0056405E" w:rsidP="00CD7C87">
            <w:pPr>
              <w:spacing w:line="240" w:lineRule="auto"/>
              <w:rPr>
                <w:color w:val="000000"/>
                <w:sz w:val="18"/>
                <w:szCs w:val="18"/>
              </w:rPr>
            </w:pPr>
            <w:r w:rsidRPr="00C56F09">
              <w:rPr>
                <w:color w:val="000000"/>
                <w:sz w:val="18"/>
                <w:szCs w:val="18"/>
              </w:rPr>
              <w:t>Infusion site nodule</w:t>
            </w:r>
          </w:p>
        </w:tc>
        <w:tc>
          <w:tcPr>
            <w:tcW w:w="2250" w:type="dxa"/>
          </w:tcPr>
          <w:p w14:paraId="4520BC0A" w14:textId="77777777" w:rsidR="0056405E" w:rsidRPr="00B676EE" w:rsidRDefault="0056405E" w:rsidP="00CD7C87">
            <w:pPr>
              <w:spacing w:line="240" w:lineRule="auto"/>
              <w:jc w:val="both"/>
              <w:rPr>
                <w:color w:val="000000"/>
                <w:sz w:val="18"/>
                <w:szCs w:val="18"/>
              </w:rPr>
            </w:pPr>
            <w:r w:rsidRPr="00B676EE">
              <w:rPr>
                <w:color w:val="000000"/>
                <w:sz w:val="18"/>
                <w:szCs w:val="18"/>
              </w:rPr>
              <w:t>7 (6.4%) common</w:t>
            </w:r>
          </w:p>
        </w:tc>
        <w:tc>
          <w:tcPr>
            <w:tcW w:w="2429" w:type="dxa"/>
          </w:tcPr>
          <w:p w14:paraId="13DA9823" w14:textId="77777777" w:rsidR="0056405E" w:rsidRPr="00B676EE" w:rsidRDefault="0056405E" w:rsidP="00CD7C87">
            <w:pPr>
              <w:spacing w:line="240" w:lineRule="auto"/>
              <w:rPr>
                <w:color w:val="000000"/>
                <w:sz w:val="18"/>
                <w:szCs w:val="18"/>
              </w:rPr>
            </w:pPr>
            <w:r w:rsidRPr="00B676EE">
              <w:rPr>
                <w:color w:val="000000"/>
                <w:sz w:val="18"/>
                <w:szCs w:val="18"/>
              </w:rPr>
              <w:t>10 (0.0024) uncommon</w:t>
            </w:r>
          </w:p>
        </w:tc>
      </w:tr>
      <w:tr w:rsidR="0056405E" w:rsidRPr="005E44A6" w:rsidDel="005755E7" w14:paraId="6E9BB97F" w14:textId="77777777" w:rsidTr="00CD7C87">
        <w:tc>
          <w:tcPr>
            <w:tcW w:w="2340" w:type="dxa"/>
            <w:vMerge/>
          </w:tcPr>
          <w:p w14:paraId="7DFC2D56" w14:textId="77777777" w:rsidR="0056405E" w:rsidRDefault="0056405E" w:rsidP="00CD7C87">
            <w:pPr>
              <w:spacing w:line="240" w:lineRule="auto"/>
              <w:rPr>
                <w:color w:val="000000"/>
                <w:sz w:val="18"/>
                <w:szCs w:val="18"/>
              </w:rPr>
            </w:pPr>
          </w:p>
        </w:tc>
        <w:tc>
          <w:tcPr>
            <w:tcW w:w="2160" w:type="dxa"/>
          </w:tcPr>
          <w:p w14:paraId="4E643ADF" w14:textId="77777777" w:rsidR="0056405E" w:rsidRPr="00C56F09" w:rsidRDefault="0056405E" w:rsidP="00CD7C87">
            <w:pPr>
              <w:spacing w:line="240" w:lineRule="auto"/>
              <w:rPr>
                <w:color w:val="000000"/>
                <w:sz w:val="18"/>
                <w:szCs w:val="18"/>
              </w:rPr>
            </w:pPr>
            <w:r w:rsidRPr="00C56F09">
              <w:rPr>
                <w:color w:val="000000"/>
                <w:sz w:val="18"/>
                <w:szCs w:val="18"/>
              </w:rPr>
              <w:t>Infusion site pain</w:t>
            </w:r>
          </w:p>
        </w:tc>
        <w:tc>
          <w:tcPr>
            <w:tcW w:w="2250" w:type="dxa"/>
          </w:tcPr>
          <w:p w14:paraId="763355F3" w14:textId="77777777" w:rsidR="0056405E" w:rsidRPr="00B676EE" w:rsidRDefault="0056405E" w:rsidP="00CD7C87">
            <w:pPr>
              <w:spacing w:line="240" w:lineRule="auto"/>
              <w:jc w:val="both"/>
              <w:rPr>
                <w:color w:val="000000"/>
                <w:sz w:val="18"/>
                <w:szCs w:val="18"/>
              </w:rPr>
            </w:pPr>
            <w:r w:rsidRPr="00B676EE">
              <w:rPr>
                <w:color w:val="000000"/>
                <w:sz w:val="18"/>
                <w:szCs w:val="18"/>
              </w:rPr>
              <w:t>7 (6.4%) common</w:t>
            </w:r>
          </w:p>
        </w:tc>
        <w:tc>
          <w:tcPr>
            <w:tcW w:w="2429" w:type="dxa"/>
          </w:tcPr>
          <w:p w14:paraId="2A753C6C" w14:textId="77777777" w:rsidR="0056405E" w:rsidRPr="00B676EE" w:rsidRDefault="0056405E" w:rsidP="00CD7C87">
            <w:pPr>
              <w:spacing w:line="240" w:lineRule="auto"/>
              <w:rPr>
                <w:color w:val="000000"/>
                <w:sz w:val="18"/>
                <w:szCs w:val="18"/>
              </w:rPr>
            </w:pPr>
            <w:r w:rsidRPr="00B676EE">
              <w:rPr>
                <w:color w:val="000000"/>
                <w:sz w:val="18"/>
                <w:szCs w:val="18"/>
              </w:rPr>
              <w:t>7 (0.0017) uncommon</w:t>
            </w:r>
          </w:p>
        </w:tc>
      </w:tr>
      <w:tr w:rsidR="0056405E" w:rsidRPr="005E44A6" w:rsidDel="005755E7" w14:paraId="4D9C9E6F" w14:textId="77777777" w:rsidTr="00CD7C87">
        <w:tc>
          <w:tcPr>
            <w:tcW w:w="2340" w:type="dxa"/>
            <w:vMerge/>
          </w:tcPr>
          <w:p w14:paraId="67283B2A" w14:textId="77777777" w:rsidR="0056405E" w:rsidRDefault="0056405E" w:rsidP="00CD7C87">
            <w:pPr>
              <w:spacing w:line="240" w:lineRule="auto"/>
              <w:rPr>
                <w:color w:val="000000"/>
                <w:sz w:val="18"/>
                <w:szCs w:val="18"/>
              </w:rPr>
            </w:pPr>
          </w:p>
        </w:tc>
        <w:tc>
          <w:tcPr>
            <w:tcW w:w="2160" w:type="dxa"/>
          </w:tcPr>
          <w:p w14:paraId="0D72A82E" w14:textId="77777777" w:rsidR="0056405E" w:rsidRPr="00C56F09" w:rsidRDefault="0056405E" w:rsidP="00CD7C87">
            <w:pPr>
              <w:spacing w:line="240" w:lineRule="auto"/>
              <w:rPr>
                <w:color w:val="000000"/>
                <w:sz w:val="18"/>
                <w:szCs w:val="18"/>
              </w:rPr>
            </w:pPr>
            <w:r w:rsidRPr="00C56F09">
              <w:rPr>
                <w:color w:val="000000"/>
                <w:sz w:val="18"/>
                <w:szCs w:val="18"/>
              </w:rPr>
              <w:t>Infusion site swelling</w:t>
            </w:r>
          </w:p>
        </w:tc>
        <w:tc>
          <w:tcPr>
            <w:tcW w:w="2250" w:type="dxa"/>
          </w:tcPr>
          <w:p w14:paraId="02AAB219" w14:textId="77777777" w:rsidR="0056405E" w:rsidRPr="00B676EE" w:rsidRDefault="0056405E" w:rsidP="00CD7C87">
            <w:pPr>
              <w:spacing w:line="240" w:lineRule="auto"/>
              <w:jc w:val="both"/>
              <w:rPr>
                <w:color w:val="000000"/>
                <w:sz w:val="18"/>
                <w:szCs w:val="18"/>
              </w:rPr>
            </w:pPr>
            <w:r w:rsidRPr="00B676EE">
              <w:rPr>
                <w:color w:val="000000"/>
                <w:sz w:val="18"/>
                <w:szCs w:val="18"/>
              </w:rPr>
              <w:t>5 (4.5%) common</w:t>
            </w:r>
          </w:p>
        </w:tc>
        <w:tc>
          <w:tcPr>
            <w:tcW w:w="2429" w:type="dxa"/>
          </w:tcPr>
          <w:p w14:paraId="697F2433" w14:textId="77777777" w:rsidR="0056405E" w:rsidRPr="00B676EE" w:rsidRDefault="0056405E" w:rsidP="00CD7C87">
            <w:pPr>
              <w:spacing w:line="240" w:lineRule="auto"/>
              <w:rPr>
                <w:color w:val="000000"/>
                <w:sz w:val="18"/>
                <w:szCs w:val="18"/>
              </w:rPr>
            </w:pPr>
            <w:r w:rsidRPr="00B676EE">
              <w:rPr>
                <w:color w:val="000000"/>
                <w:sz w:val="18"/>
                <w:szCs w:val="18"/>
              </w:rPr>
              <w:t>13 (0.0032) uncommon</w:t>
            </w:r>
          </w:p>
        </w:tc>
      </w:tr>
      <w:tr w:rsidR="0056405E" w:rsidRPr="005E44A6" w:rsidDel="005755E7" w14:paraId="07E2D840" w14:textId="77777777" w:rsidTr="00CD7C87">
        <w:tc>
          <w:tcPr>
            <w:tcW w:w="2340" w:type="dxa"/>
            <w:vMerge/>
          </w:tcPr>
          <w:p w14:paraId="0C76D401" w14:textId="77777777" w:rsidR="0056405E" w:rsidRDefault="0056405E" w:rsidP="00CD7C87">
            <w:pPr>
              <w:spacing w:line="240" w:lineRule="auto"/>
              <w:rPr>
                <w:color w:val="000000"/>
                <w:sz w:val="18"/>
                <w:szCs w:val="18"/>
              </w:rPr>
            </w:pPr>
          </w:p>
        </w:tc>
        <w:tc>
          <w:tcPr>
            <w:tcW w:w="2160" w:type="dxa"/>
          </w:tcPr>
          <w:p w14:paraId="45AFEF5F" w14:textId="77777777" w:rsidR="0056405E" w:rsidRPr="00C56F09" w:rsidRDefault="0056405E" w:rsidP="00CD7C87">
            <w:pPr>
              <w:spacing w:line="240" w:lineRule="auto"/>
              <w:rPr>
                <w:color w:val="000000"/>
                <w:sz w:val="18"/>
                <w:szCs w:val="18"/>
              </w:rPr>
            </w:pPr>
            <w:r w:rsidRPr="00C56F09">
              <w:rPr>
                <w:color w:val="000000"/>
                <w:sz w:val="18"/>
                <w:szCs w:val="18"/>
              </w:rPr>
              <w:t>Infusion site induration</w:t>
            </w:r>
          </w:p>
        </w:tc>
        <w:tc>
          <w:tcPr>
            <w:tcW w:w="2250" w:type="dxa"/>
          </w:tcPr>
          <w:p w14:paraId="097EF485" w14:textId="77777777" w:rsidR="0056405E" w:rsidRPr="00B676EE" w:rsidRDefault="0056405E" w:rsidP="00CD7C87">
            <w:pPr>
              <w:spacing w:line="240" w:lineRule="auto"/>
              <w:jc w:val="both"/>
              <w:rPr>
                <w:color w:val="000000"/>
                <w:sz w:val="18"/>
                <w:szCs w:val="18"/>
              </w:rPr>
            </w:pPr>
            <w:r w:rsidRPr="00B676EE">
              <w:rPr>
                <w:color w:val="000000"/>
                <w:sz w:val="18"/>
                <w:szCs w:val="18"/>
              </w:rPr>
              <w:t>3 (2.7%) common</w:t>
            </w:r>
          </w:p>
        </w:tc>
        <w:tc>
          <w:tcPr>
            <w:tcW w:w="2429" w:type="dxa"/>
          </w:tcPr>
          <w:p w14:paraId="66774018" w14:textId="77777777" w:rsidR="0056405E" w:rsidRPr="00B676EE" w:rsidRDefault="0056405E" w:rsidP="00CD7C87">
            <w:pPr>
              <w:spacing w:line="240" w:lineRule="auto"/>
              <w:rPr>
                <w:color w:val="000000"/>
                <w:sz w:val="18"/>
                <w:szCs w:val="18"/>
              </w:rPr>
            </w:pPr>
            <w:r w:rsidRPr="00B676EE">
              <w:rPr>
                <w:color w:val="000000"/>
                <w:sz w:val="18"/>
                <w:szCs w:val="18"/>
              </w:rPr>
              <w:t>6 (0.0015) uncommon</w:t>
            </w:r>
          </w:p>
        </w:tc>
      </w:tr>
      <w:tr w:rsidR="0056405E" w:rsidRPr="005E44A6" w:rsidDel="005755E7" w14:paraId="127BBD7C" w14:textId="77777777" w:rsidTr="00CD7C87">
        <w:tc>
          <w:tcPr>
            <w:tcW w:w="2340" w:type="dxa"/>
            <w:vMerge/>
          </w:tcPr>
          <w:p w14:paraId="248EC892" w14:textId="77777777" w:rsidR="0056405E" w:rsidRDefault="0056405E" w:rsidP="00CD7C87">
            <w:pPr>
              <w:spacing w:line="240" w:lineRule="auto"/>
              <w:rPr>
                <w:color w:val="000000"/>
                <w:sz w:val="18"/>
                <w:szCs w:val="18"/>
              </w:rPr>
            </w:pPr>
          </w:p>
        </w:tc>
        <w:tc>
          <w:tcPr>
            <w:tcW w:w="2160" w:type="dxa"/>
          </w:tcPr>
          <w:p w14:paraId="14B16128" w14:textId="77777777" w:rsidR="0056405E" w:rsidRPr="00C56F09" w:rsidRDefault="0056405E" w:rsidP="00CD7C87">
            <w:pPr>
              <w:spacing w:line="240" w:lineRule="auto"/>
              <w:rPr>
                <w:color w:val="000000"/>
                <w:sz w:val="18"/>
                <w:szCs w:val="18"/>
              </w:rPr>
            </w:pPr>
            <w:r w:rsidRPr="00C56F09">
              <w:rPr>
                <w:color w:val="000000"/>
                <w:sz w:val="18"/>
                <w:szCs w:val="18"/>
              </w:rPr>
              <w:t>Infusion site bruising</w:t>
            </w:r>
          </w:p>
        </w:tc>
        <w:tc>
          <w:tcPr>
            <w:tcW w:w="2250" w:type="dxa"/>
          </w:tcPr>
          <w:p w14:paraId="73E90662" w14:textId="77777777" w:rsidR="0056405E" w:rsidRPr="00B676EE" w:rsidRDefault="0056405E" w:rsidP="00CD7C87">
            <w:pPr>
              <w:spacing w:line="240" w:lineRule="auto"/>
              <w:jc w:val="both"/>
              <w:rPr>
                <w:color w:val="000000"/>
                <w:sz w:val="18"/>
                <w:szCs w:val="18"/>
              </w:rPr>
            </w:pPr>
            <w:r w:rsidRPr="00B676EE">
              <w:rPr>
                <w:color w:val="000000"/>
                <w:sz w:val="18"/>
                <w:szCs w:val="18"/>
              </w:rPr>
              <w:t>3 (2.7%) common</w:t>
            </w:r>
          </w:p>
        </w:tc>
        <w:tc>
          <w:tcPr>
            <w:tcW w:w="2429" w:type="dxa"/>
          </w:tcPr>
          <w:p w14:paraId="4DA6C90C" w14:textId="77777777" w:rsidR="0056405E" w:rsidRPr="00B676EE" w:rsidRDefault="0056405E" w:rsidP="00CD7C87">
            <w:pPr>
              <w:spacing w:line="240" w:lineRule="auto"/>
              <w:rPr>
                <w:color w:val="000000"/>
                <w:sz w:val="18"/>
                <w:szCs w:val="18"/>
              </w:rPr>
            </w:pPr>
            <w:r w:rsidRPr="00B676EE">
              <w:rPr>
                <w:color w:val="000000"/>
                <w:sz w:val="18"/>
                <w:szCs w:val="18"/>
              </w:rPr>
              <w:t>3 (0.0007) rare</w:t>
            </w:r>
          </w:p>
        </w:tc>
      </w:tr>
      <w:tr w:rsidR="0056405E" w:rsidRPr="005E44A6" w:rsidDel="005755E7" w14:paraId="1CB4AC78" w14:textId="77777777" w:rsidTr="00CD7C87">
        <w:tc>
          <w:tcPr>
            <w:tcW w:w="2340" w:type="dxa"/>
            <w:vMerge/>
          </w:tcPr>
          <w:p w14:paraId="3020F5A5" w14:textId="77777777" w:rsidR="0056405E" w:rsidRDefault="0056405E" w:rsidP="00CD7C87">
            <w:pPr>
              <w:spacing w:line="240" w:lineRule="auto"/>
              <w:rPr>
                <w:color w:val="000000"/>
                <w:sz w:val="18"/>
                <w:szCs w:val="18"/>
              </w:rPr>
            </w:pPr>
          </w:p>
        </w:tc>
        <w:tc>
          <w:tcPr>
            <w:tcW w:w="2160" w:type="dxa"/>
          </w:tcPr>
          <w:p w14:paraId="7B7C8C3C" w14:textId="77777777" w:rsidR="0056405E" w:rsidRPr="00C56F09" w:rsidRDefault="0056405E" w:rsidP="00CD7C87">
            <w:pPr>
              <w:spacing w:line="240" w:lineRule="auto"/>
              <w:rPr>
                <w:color w:val="000000"/>
                <w:sz w:val="18"/>
                <w:szCs w:val="18"/>
              </w:rPr>
            </w:pPr>
            <w:r w:rsidRPr="00C56F09">
              <w:rPr>
                <w:color w:val="000000"/>
                <w:sz w:val="18"/>
                <w:szCs w:val="18"/>
              </w:rPr>
              <w:t>Infusion site mass</w:t>
            </w:r>
          </w:p>
        </w:tc>
        <w:tc>
          <w:tcPr>
            <w:tcW w:w="2250" w:type="dxa"/>
          </w:tcPr>
          <w:p w14:paraId="741CDD12" w14:textId="77777777" w:rsidR="0056405E" w:rsidRPr="00B676EE" w:rsidRDefault="0056405E" w:rsidP="00CD7C87">
            <w:pPr>
              <w:spacing w:line="240" w:lineRule="auto"/>
              <w:jc w:val="both"/>
              <w:rPr>
                <w:color w:val="000000"/>
                <w:sz w:val="18"/>
                <w:szCs w:val="18"/>
              </w:rPr>
            </w:pPr>
            <w:r w:rsidRPr="00B676EE">
              <w:rPr>
                <w:color w:val="000000"/>
                <w:sz w:val="18"/>
                <w:szCs w:val="18"/>
              </w:rPr>
              <w:t>3 (2.7%) common</w:t>
            </w:r>
          </w:p>
        </w:tc>
        <w:tc>
          <w:tcPr>
            <w:tcW w:w="2429" w:type="dxa"/>
          </w:tcPr>
          <w:p w14:paraId="1259DE5F" w14:textId="77777777" w:rsidR="0056405E" w:rsidRPr="00B676EE" w:rsidRDefault="0056405E" w:rsidP="00CD7C87">
            <w:pPr>
              <w:spacing w:line="240" w:lineRule="auto"/>
              <w:rPr>
                <w:color w:val="000000"/>
                <w:sz w:val="18"/>
                <w:szCs w:val="18"/>
              </w:rPr>
            </w:pPr>
            <w:r w:rsidRPr="00B676EE">
              <w:rPr>
                <w:color w:val="000000"/>
                <w:sz w:val="18"/>
                <w:szCs w:val="18"/>
              </w:rPr>
              <w:t>3 (0.0007) rare</w:t>
            </w:r>
          </w:p>
        </w:tc>
      </w:tr>
      <w:tr w:rsidR="0056405E" w:rsidRPr="005E44A6" w:rsidDel="005755E7" w14:paraId="157D042A" w14:textId="77777777" w:rsidTr="00CD7C87">
        <w:tc>
          <w:tcPr>
            <w:tcW w:w="2340" w:type="dxa"/>
            <w:vMerge/>
          </w:tcPr>
          <w:p w14:paraId="5A4935C8" w14:textId="77777777" w:rsidR="0056405E" w:rsidRDefault="0056405E" w:rsidP="00CD7C87">
            <w:pPr>
              <w:spacing w:line="240" w:lineRule="auto"/>
              <w:rPr>
                <w:color w:val="000000"/>
                <w:sz w:val="18"/>
                <w:szCs w:val="18"/>
              </w:rPr>
            </w:pPr>
          </w:p>
        </w:tc>
        <w:tc>
          <w:tcPr>
            <w:tcW w:w="2160" w:type="dxa"/>
          </w:tcPr>
          <w:p w14:paraId="45A130B8" w14:textId="77777777" w:rsidR="0056405E" w:rsidRPr="00C56F09" w:rsidRDefault="0056405E" w:rsidP="00CD7C87">
            <w:pPr>
              <w:spacing w:line="240" w:lineRule="auto"/>
              <w:rPr>
                <w:color w:val="000000"/>
                <w:sz w:val="18"/>
                <w:szCs w:val="18"/>
              </w:rPr>
            </w:pPr>
            <w:r w:rsidRPr="00C56F09">
              <w:rPr>
                <w:color w:val="000000"/>
                <w:sz w:val="18"/>
                <w:szCs w:val="18"/>
              </w:rPr>
              <w:t>Infusion site rash</w:t>
            </w:r>
          </w:p>
        </w:tc>
        <w:tc>
          <w:tcPr>
            <w:tcW w:w="2250" w:type="dxa"/>
          </w:tcPr>
          <w:p w14:paraId="53D6CE5F" w14:textId="77777777" w:rsidR="0056405E" w:rsidRPr="00B676EE" w:rsidRDefault="0056405E" w:rsidP="00CD7C87">
            <w:pPr>
              <w:spacing w:line="240" w:lineRule="auto"/>
              <w:jc w:val="both"/>
              <w:rPr>
                <w:color w:val="000000"/>
                <w:sz w:val="18"/>
                <w:szCs w:val="18"/>
              </w:rPr>
            </w:pPr>
            <w:r w:rsidRPr="00B676EE">
              <w:rPr>
                <w:color w:val="000000"/>
                <w:sz w:val="18"/>
                <w:szCs w:val="18"/>
              </w:rPr>
              <w:t>2 (1.8%) common</w:t>
            </w:r>
          </w:p>
        </w:tc>
        <w:tc>
          <w:tcPr>
            <w:tcW w:w="2429" w:type="dxa"/>
          </w:tcPr>
          <w:p w14:paraId="72B7EFF2" w14:textId="77777777" w:rsidR="0056405E" w:rsidRPr="00B676EE" w:rsidRDefault="0056405E" w:rsidP="00CD7C87">
            <w:pPr>
              <w:spacing w:line="240" w:lineRule="auto"/>
              <w:rPr>
                <w:color w:val="000000"/>
                <w:sz w:val="18"/>
                <w:szCs w:val="18"/>
              </w:rPr>
            </w:pPr>
            <w:r w:rsidRPr="00B676EE">
              <w:rPr>
                <w:color w:val="000000"/>
                <w:sz w:val="18"/>
                <w:szCs w:val="18"/>
              </w:rPr>
              <w:t>5 (0.0012) uncommon</w:t>
            </w:r>
          </w:p>
        </w:tc>
      </w:tr>
      <w:tr w:rsidR="0056405E" w:rsidRPr="005E44A6" w:rsidDel="005755E7" w14:paraId="5046C6F8" w14:textId="77777777" w:rsidTr="00CD7C87">
        <w:tc>
          <w:tcPr>
            <w:tcW w:w="2340" w:type="dxa"/>
            <w:vMerge/>
          </w:tcPr>
          <w:p w14:paraId="78156C70" w14:textId="77777777" w:rsidR="0056405E" w:rsidRDefault="0056405E" w:rsidP="00CD7C87">
            <w:pPr>
              <w:spacing w:line="240" w:lineRule="auto"/>
              <w:rPr>
                <w:color w:val="000000"/>
                <w:sz w:val="18"/>
                <w:szCs w:val="18"/>
              </w:rPr>
            </w:pPr>
          </w:p>
        </w:tc>
        <w:tc>
          <w:tcPr>
            <w:tcW w:w="2160" w:type="dxa"/>
          </w:tcPr>
          <w:p w14:paraId="68EDF2D4" w14:textId="77777777" w:rsidR="0056405E" w:rsidRPr="00C56F09" w:rsidRDefault="0056405E" w:rsidP="00CD7C87">
            <w:pPr>
              <w:spacing w:line="240" w:lineRule="auto"/>
              <w:rPr>
                <w:color w:val="000000"/>
                <w:sz w:val="18"/>
                <w:szCs w:val="18"/>
              </w:rPr>
            </w:pPr>
            <w:r w:rsidRPr="00C56F09">
              <w:rPr>
                <w:color w:val="000000"/>
                <w:sz w:val="18"/>
                <w:szCs w:val="18"/>
              </w:rPr>
              <w:t>Infusion site scab</w:t>
            </w:r>
          </w:p>
        </w:tc>
        <w:tc>
          <w:tcPr>
            <w:tcW w:w="2250" w:type="dxa"/>
          </w:tcPr>
          <w:p w14:paraId="0B89AFD2" w14:textId="77777777" w:rsidR="0056405E" w:rsidRPr="00B676EE" w:rsidRDefault="0056405E" w:rsidP="00CD7C87">
            <w:pPr>
              <w:spacing w:line="240" w:lineRule="auto"/>
              <w:jc w:val="both"/>
              <w:rPr>
                <w:color w:val="000000"/>
                <w:sz w:val="18"/>
                <w:szCs w:val="18"/>
              </w:rPr>
            </w:pPr>
            <w:r w:rsidRPr="00B676EE">
              <w:rPr>
                <w:color w:val="000000"/>
                <w:sz w:val="18"/>
                <w:szCs w:val="18"/>
              </w:rPr>
              <w:t>2 (1.8%) common</w:t>
            </w:r>
          </w:p>
        </w:tc>
        <w:tc>
          <w:tcPr>
            <w:tcW w:w="2429" w:type="dxa"/>
          </w:tcPr>
          <w:p w14:paraId="3C2AC7FB" w14:textId="77777777" w:rsidR="0056405E" w:rsidRPr="00B676EE" w:rsidRDefault="0056405E" w:rsidP="00CD7C87">
            <w:pPr>
              <w:spacing w:line="240" w:lineRule="auto"/>
              <w:rPr>
                <w:color w:val="000000"/>
                <w:sz w:val="18"/>
                <w:szCs w:val="18"/>
              </w:rPr>
            </w:pPr>
            <w:r w:rsidRPr="00B676EE">
              <w:rPr>
                <w:color w:val="000000"/>
                <w:sz w:val="18"/>
                <w:szCs w:val="18"/>
              </w:rPr>
              <w:t>5 (0.0012) uncommon</w:t>
            </w:r>
          </w:p>
        </w:tc>
      </w:tr>
      <w:tr w:rsidR="0056405E" w:rsidRPr="005E44A6" w:rsidDel="005755E7" w14:paraId="35CB3C63" w14:textId="77777777" w:rsidTr="00CD7C87">
        <w:tc>
          <w:tcPr>
            <w:tcW w:w="2340" w:type="dxa"/>
            <w:vMerge/>
          </w:tcPr>
          <w:p w14:paraId="464BE951" w14:textId="77777777" w:rsidR="0056405E" w:rsidRDefault="0056405E" w:rsidP="00CD7C87">
            <w:pPr>
              <w:spacing w:line="240" w:lineRule="auto"/>
              <w:rPr>
                <w:color w:val="000000"/>
                <w:sz w:val="18"/>
                <w:szCs w:val="18"/>
              </w:rPr>
            </w:pPr>
          </w:p>
        </w:tc>
        <w:tc>
          <w:tcPr>
            <w:tcW w:w="2160" w:type="dxa"/>
          </w:tcPr>
          <w:p w14:paraId="69429E5E" w14:textId="77777777" w:rsidR="0056405E" w:rsidRPr="00C56F09" w:rsidRDefault="0056405E" w:rsidP="00CD7C87">
            <w:pPr>
              <w:spacing w:line="240" w:lineRule="auto"/>
              <w:rPr>
                <w:color w:val="000000"/>
                <w:sz w:val="18"/>
                <w:szCs w:val="18"/>
              </w:rPr>
            </w:pPr>
            <w:r w:rsidRPr="00C56F09">
              <w:rPr>
                <w:color w:val="000000"/>
                <w:sz w:val="18"/>
                <w:szCs w:val="18"/>
              </w:rPr>
              <w:t>Infusion site urticaria</w:t>
            </w:r>
          </w:p>
        </w:tc>
        <w:tc>
          <w:tcPr>
            <w:tcW w:w="2250" w:type="dxa"/>
          </w:tcPr>
          <w:p w14:paraId="3BC2631A" w14:textId="77777777" w:rsidR="0056405E" w:rsidRPr="00B676EE" w:rsidRDefault="0056405E" w:rsidP="00CD7C87">
            <w:pPr>
              <w:spacing w:line="240" w:lineRule="auto"/>
              <w:jc w:val="both"/>
              <w:rPr>
                <w:color w:val="000000"/>
                <w:sz w:val="18"/>
                <w:szCs w:val="18"/>
              </w:rPr>
            </w:pPr>
            <w:r w:rsidRPr="00B676EE">
              <w:rPr>
                <w:color w:val="000000"/>
                <w:sz w:val="18"/>
                <w:szCs w:val="18"/>
              </w:rPr>
              <w:t>2 (1.8%) common</w:t>
            </w:r>
          </w:p>
        </w:tc>
        <w:tc>
          <w:tcPr>
            <w:tcW w:w="2429" w:type="dxa"/>
          </w:tcPr>
          <w:p w14:paraId="2B60A5F4" w14:textId="77777777" w:rsidR="0056405E" w:rsidRPr="00B676EE" w:rsidRDefault="0056405E" w:rsidP="00CD7C87">
            <w:pPr>
              <w:spacing w:line="240" w:lineRule="auto"/>
              <w:rPr>
                <w:color w:val="000000"/>
                <w:sz w:val="18"/>
                <w:szCs w:val="18"/>
              </w:rPr>
            </w:pPr>
            <w:r w:rsidRPr="00B676EE">
              <w:rPr>
                <w:color w:val="000000"/>
                <w:sz w:val="18"/>
                <w:szCs w:val="18"/>
              </w:rPr>
              <w:t>5 (0.0012) uncommon</w:t>
            </w:r>
          </w:p>
        </w:tc>
      </w:tr>
      <w:tr w:rsidR="0056405E" w:rsidRPr="005E44A6" w:rsidDel="005755E7" w14:paraId="0CA183B5" w14:textId="77777777" w:rsidTr="00CD7C87">
        <w:tc>
          <w:tcPr>
            <w:tcW w:w="2340" w:type="dxa"/>
            <w:vMerge/>
          </w:tcPr>
          <w:p w14:paraId="50D86506" w14:textId="77777777" w:rsidR="0056405E" w:rsidRDefault="0056405E" w:rsidP="00CD7C87">
            <w:pPr>
              <w:spacing w:line="240" w:lineRule="auto"/>
              <w:rPr>
                <w:color w:val="000000"/>
                <w:sz w:val="18"/>
                <w:szCs w:val="18"/>
              </w:rPr>
            </w:pPr>
          </w:p>
        </w:tc>
        <w:tc>
          <w:tcPr>
            <w:tcW w:w="2160" w:type="dxa"/>
          </w:tcPr>
          <w:p w14:paraId="18A886D3" w14:textId="77777777" w:rsidR="0056405E" w:rsidRPr="00C56F09" w:rsidRDefault="0056405E" w:rsidP="00CD7C87">
            <w:pPr>
              <w:spacing w:line="240" w:lineRule="auto"/>
              <w:rPr>
                <w:color w:val="000000"/>
                <w:sz w:val="18"/>
                <w:szCs w:val="18"/>
              </w:rPr>
            </w:pPr>
            <w:r w:rsidRPr="00C56F09">
              <w:rPr>
                <w:color w:val="000000"/>
                <w:sz w:val="18"/>
                <w:szCs w:val="18"/>
              </w:rPr>
              <w:t>Pyrexia</w:t>
            </w:r>
          </w:p>
        </w:tc>
        <w:tc>
          <w:tcPr>
            <w:tcW w:w="2250" w:type="dxa"/>
          </w:tcPr>
          <w:p w14:paraId="144918DB" w14:textId="77777777" w:rsidR="0056405E" w:rsidRPr="00B676EE" w:rsidRDefault="0056405E" w:rsidP="00CD7C87">
            <w:pPr>
              <w:spacing w:line="240" w:lineRule="auto"/>
              <w:jc w:val="both"/>
              <w:rPr>
                <w:color w:val="000000"/>
                <w:sz w:val="18"/>
                <w:szCs w:val="18"/>
              </w:rPr>
            </w:pPr>
            <w:r w:rsidRPr="00B676EE">
              <w:rPr>
                <w:color w:val="000000"/>
                <w:sz w:val="18"/>
                <w:szCs w:val="18"/>
              </w:rPr>
              <w:t>2 (1.8%) common</w:t>
            </w:r>
          </w:p>
        </w:tc>
        <w:tc>
          <w:tcPr>
            <w:tcW w:w="2429" w:type="dxa"/>
          </w:tcPr>
          <w:p w14:paraId="534B58FB" w14:textId="77777777" w:rsidR="0056405E" w:rsidRPr="00B676EE" w:rsidRDefault="0056405E" w:rsidP="00CD7C87">
            <w:pPr>
              <w:spacing w:line="240" w:lineRule="auto"/>
              <w:rPr>
                <w:color w:val="000000"/>
                <w:sz w:val="18"/>
                <w:szCs w:val="18"/>
              </w:rPr>
            </w:pPr>
            <w:r w:rsidRPr="00B676EE">
              <w:rPr>
                <w:color w:val="000000"/>
                <w:sz w:val="18"/>
                <w:szCs w:val="18"/>
              </w:rPr>
              <w:t>4 (0.0010) uncommon</w:t>
            </w:r>
          </w:p>
        </w:tc>
      </w:tr>
      <w:tr w:rsidR="0056405E" w:rsidRPr="005E44A6" w:rsidDel="005755E7" w14:paraId="26AC47BD" w14:textId="77777777" w:rsidTr="00CD7C87">
        <w:tc>
          <w:tcPr>
            <w:tcW w:w="2340" w:type="dxa"/>
            <w:vMerge/>
          </w:tcPr>
          <w:p w14:paraId="2B466729" w14:textId="77777777" w:rsidR="0056405E" w:rsidRDefault="0056405E" w:rsidP="00CD7C87">
            <w:pPr>
              <w:spacing w:line="240" w:lineRule="auto"/>
              <w:rPr>
                <w:color w:val="000000"/>
                <w:sz w:val="18"/>
                <w:szCs w:val="18"/>
              </w:rPr>
            </w:pPr>
          </w:p>
        </w:tc>
        <w:tc>
          <w:tcPr>
            <w:tcW w:w="2160" w:type="dxa"/>
          </w:tcPr>
          <w:p w14:paraId="46F05068" w14:textId="77777777" w:rsidR="0056405E" w:rsidRPr="009F701E" w:rsidRDefault="0056405E" w:rsidP="00CD7C87">
            <w:pPr>
              <w:spacing w:line="240" w:lineRule="auto"/>
              <w:rPr>
                <w:strike/>
                <w:color w:val="000000"/>
                <w:sz w:val="18"/>
                <w:szCs w:val="18"/>
              </w:rPr>
            </w:pPr>
            <w:r w:rsidRPr="009F701E">
              <w:rPr>
                <w:color w:val="000000"/>
                <w:sz w:val="18"/>
                <w:szCs w:val="18"/>
              </w:rPr>
              <w:t>Infusion site haemorrhage</w:t>
            </w:r>
          </w:p>
        </w:tc>
        <w:tc>
          <w:tcPr>
            <w:tcW w:w="2250" w:type="dxa"/>
          </w:tcPr>
          <w:p w14:paraId="0C498EAF" w14:textId="77777777" w:rsidR="0056405E" w:rsidRPr="009F701E" w:rsidRDefault="0056405E" w:rsidP="00CD7C87">
            <w:pPr>
              <w:spacing w:line="240" w:lineRule="auto"/>
              <w:jc w:val="both"/>
              <w:rPr>
                <w:strike/>
                <w:color w:val="000000"/>
                <w:sz w:val="18"/>
                <w:szCs w:val="18"/>
              </w:rPr>
            </w:pPr>
            <w:r w:rsidRPr="009F701E">
              <w:rPr>
                <w:color w:val="000000"/>
                <w:sz w:val="18"/>
                <w:szCs w:val="18"/>
              </w:rPr>
              <w:t>2 (1.8%) common</w:t>
            </w:r>
          </w:p>
        </w:tc>
        <w:tc>
          <w:tcPr>
            <w:tcW w:w="2429" w:type="dxa"/>
          </w:tcPr>
          <w:p w14:paraId="7CF38E70" w14:textId="77777777" w:rsidR="0056405E" w:rsidRPr="009F701E" w:rsidRDefault="0056405E" w:rsidP="00CD7C87">
            <w:pPr>
              <w:spacing w:line="240" w:lineRule="auto"/>
              <w:rPr>
                <w:strike/>
                <w:color w:val="000000"/>
                <w:sz w:val="18"/>
                <w:szCs w:val="18"/>
              </w:rPr>
            </w:pPr>
            <w:r w:rsidRPr="009F701E">
              <w:rPr>
                <w:color w:val="000000"/>
                <w:sz w:val="18"/>
                <w:szCs w:val="18"/>
              </w:rPr>
              <w:t>3 (0.0007) rare</w:t>
            </w:r>
          </w:p>
        </w:tc>
      </w:tr>
      <w:tr w:rsidR="0056405E" w:rsidRPr="005E44A6" w:rsidDel="005755E7" w14:paraId="4D6A2ABB" w14:textId="77777777" w:rsidTr="00CD7C87">
        <w:tc>
          <w:tcPr>
            <w:tcW w:w="2340" w:type="dxa"/>
            <w:vMerge/>
          </w:tcPr>
          <w:p w14:paraId="3A48EA9D" w14:textId="77777777" w:rsidR="0056405E" w:rsidRDefault="0056405E" w:rsidP="00CD7C87">
            <w:pPr>
              <w:spacing w:line="240" w:lineRule="auto"/>
              <w:rPr>
                <w:color w:val="000000"/>
                <w:sz w:val="18"/>
                <w:szCs w:val="18"/>
              </w:rPr>
            </w:pPr>
          </w:p>
        </w:tc>
        <w:tc>
          <w:tcPr>
            <w:tcW w:w="2160" w:type="dxa"/>
          </w:tcPr>
          <w:p w14:paraId="1A5D516B" w14:textId="77777777" w:rsidR="0056405E" w:rsidRPr="009F701E" w:rsidRDefault="0056405E" w:rsidP="00CD7C87">
            <w:pPr>
              <w:spacing w:line="240" w:lineRule="auto"/>
              <w:rPr>
                <w:color w:val="000000"/>
                <w:sz w:val="18"/>
                <w:szCs w:val="18"/>
              </w:rPr>
            </w:pPr>
            <w:r w:rsidRPr="009F701E">
              <w:rPr>
                <w:color w:val="000000"/>
                <w:sz w:val="18"/>
                <w:szCs w:val="18"/>
              </w:rPr>
              <w:t>Infusion site extravasation</w:t>
            </w:r>
          </w:p>
        </w:tc>
        <w:tc>
          <w:tcPr>
            <w:tcW w:w="2250" w:type="dxa"/>
          </w:tcPr>
          <w:p w14:paraId="09093B2F" w14:textId="77777777" w:rsidR="0056405E" w:rsidRPr="009F701E" w:rsidRDefault="0056405E" w:rsidP="00CD7C87">
            <w:pPr>
              <w:spacing w:line="240" w:lineRule="auto"/>
              <w:jc w:val="both"/>
              <w:rPr>
                <w:color w:val="000000"/>
                <w:sz w:val="18"/>
                <w:szCs w:val="18"/>
              </w:rPr>
            </w:pPr>
            <w:r w:rsidRPr="009F701E">
              <w:rPr>
                <w:color w:val="000000"/>
                <w:sz w:val="18"/>
                <w:szCs w:val="18"/>
              </w:rPr>
              <w:t>2 (1.8%) common</w:t>
            </w:r>
          </w:p>
        </w:tc>
        <w:tc>
          <w:tcPr>
            <w:tcW w:w="2429" w:type="dxa"/>
          </w:tcPr>
          <w:p w14:paraId="42302E39" w14:textId="77777777" w:rsidR="0056405E" w:rsidRPr="009F701E" w:rsidRDefault="0056405E" w:rsidP="00CD7C87">
            <w:pPr>
              <w:spacing w:line="240" w:lineRule="auto"/>
              <w:rPr>
                <w:color w:val="000000"/>
                <w:sz w:val="18"/>
                <w:szCs w:val="18"/>
              </w:rPr>
            </w:pPr>
            <w:r w:rsidRPr="009F701E">
              <w:rPr>
                <w:color w:val="000000"/>
                <w:sz w:val="18"/>
                <w:szCs w:val="18"/>
              </w:rPr>
              <w:t>2 (0.0005) rare</w:t>
            </w:r>
          </w:p>
        </w:tc>
      </w:tr>
      <w:tr w:rsidR="00201DF5" w:rsidRPr="005E44A6" w:rsidDel="005755E7" w14:paraId="0FCC364D" w14:textId="77777777" w:rsidTr="00CD7C87">
        <w:tc>
          <w:tcPr>
            <w:tcW w:w="2340" w:type="dxa"/>
          </w:tcPr>
          <w:p w14:paraId="7CF62298" w14:textId="77777777" w:rsidR="00201DF5" w:rsidRDefault="00201DF5" w:rsidP="00CD7C87">
            <w:pPr>
              <w:spacing w:line="240" w:lineRule="auto"/>
              <w:rPr>
                <w:color w:val="000000"/>
                <w:sz w:val="18"/>
                <w:szCs w:val="18"/>
              </w:rPr>
            </w:pPr>
            <w:r>
              <w:rPr>
                <w:color w:val="000000"/>
                <w:sz w:val="18"/>
                <w:szCs w:val="18"/>
              </w:rPr>
              <w:t>Investigations</w:t>
            </w:r>
          </w:p>
        </w:tc>
        <w:tc>
          <w:tcPr>
            <w:tcW w:w="2160" w:type="dxa"/>
          </w:tcPr>
          <w:p w14:paraId="099A192F" w14:textId="77777777" w:rsidR="00201DF5" w:rsidRPr="00B676EE" w:rsidRDefault="00201DF5" w:rsidP="00CD7C87">
            <w:pPr>
              <w:spacing w:line="240" w:lineRule="auto"/>
              <w:rPr>
                <w:color w:val="000000"/>
                <w:sz w:val="18"/>
                <w:szCs w:val="18"/>
                <w:highlight w:val="yellow"/>
              </w:rPr>
            </w:pPr>
            <w:r w:rsidRPr="00C56F09">
              <w:rPr>
                <w:color w:val="000000"/>
                <w:sz w:val="18"/>
                <w:szCs w:val="18"/>
              </w:rPr>
              <w:t>Blood immunoglobulin G decreased</w:t>
            </w:r>
          </w:p>
        </w:tc>
        <w:tc>
          <w:tcPr>
            <w:tcW w:w="2250" w:type="dxa"/>
          </w:tcPr>
          <w:p w14:paraId="77C4CC34" w14:textId="77777777" w:rsidR="00201DF5" w:rsidRPr="00B676EE" w:rsidRDefault="00201DF5" w:rsidP="00CD7C87">
            <w:pPr>
              <w:spacing w:line="240" w:lineRule="auto"/>
              <w:jc w:val="both"/>
              <w:rPr>
                <w:color w:val="000000"/>
                <w:sz w:val="18"/>
                <w:szCs w:val="18"/>
                <w:highlight w:val="yellow"/>
              </w:rPr>
            </w:pPr>
            <w:r w:rsidRPr="00B676EE">
              <w:rPr>
                <w:color w:val="000000"/>
                <w:sz w:val="18"/>
                <w:szCs w:val="18"/>
              </w:rPr>
              <w:t>2 (1.8%) common</w:t>
            </w:r>
          </w:p>
        </w:tc>
        <w:tc>
          <w:tcPr>
            <w:tcW w:w="2429" w:type="dxa"/>
          </w:tcPr>
          <w:p w14:paraId="53DAE691" w14:textId="77777777" w:rsidR="00201DF5" w:rsidRPr="00B676EE" w:rsidRDefault="00201DF5" w:rsidP="00CD7C87">
            <w:pPr>
              <w:spacing w:line="240" w:lineRule="auto"/>
              <w:rPr>
                <w:color w:val="000000"/>
                <w:sz w:val="18"/>
                <w:szCs w:val="18"/>
                <w:highlight w:val="yellow"/>
              </w:rPr>
            </w:pPr>
            <w:r w:rsidRPr="00B676EE">
              <w:rPr>
                <w:color w:val="000000"/>
                <w:sz w:val="18"/>
                <w:szCs w:val="18"/>
              </w:rPr>
              <w:t>2 (0.0005) rare</w:t>
            </w:r>
          </w:p>
        </w:tc>
      </w:tr>
    </w:tbl>
    <w:p w14:paraId="284BD17C" w14:textId="77777777" w:rsidR="00201DF5" w:rsidRPr="009F701E" w:rsidRDefault="00201DF5" w:rsidP="00201DF5">
      <w:pPr>
        <w:tabs>
          <w:tab w:val="clear" w:pos="567"/>
          <w:tab w:val="left" w:pos="180"/>
        </w:tabs>
        <w:autoSpaceDE w:val="0"/>
        <w:autoSpaceDN w:val="0"/>
        <w:adjustRightInd w:val="0"/>
        <w:spacing w:line="240" w:lineRule="auto"/>
        <w:ind w:left="180" w:hanging="180"/>
        <w:jc w:val="both"/>
        <w:rPr>
          <w:sz w:val="20"/>
        </w:rPr>
      </w:pPr>
      <w:proofErr w:type="spellStart"/>
      <w:r w:rsidRPr="009F701E">
        <w:rPr>
          <w:sz w:val="20"/>
          <w:vertAlign w:val="superscript"/>
        </w:rPr>
        <w:t>a</w:t>
      </w:r>
      <w:proofErr w:type="spellEnd"/>
      <w:r w:rsidRPr="009F701E">
        <w:rPr>
          <w:sz w:val="20"/>
          <w:vertAlign w:val="superscript"/>
        </w:rPr>
        <w:tab/>
      </w:r>
      <w:proofErr w:type="gramStart"/>
      <w:r w:rsidRPr="009F701E">
        <w:rPr>
          <w:sz w:val="20"/>
        </w:rPr>
        <w:t>The</w:t>
      </w:r>
      <w:proofErr w:type="gramEnd"/>
      <w:r w:rsidRPr="009F701E">
        <w:rPr>
          <w:sz w:val="20"/>
        </w:rPr>
        <w:t xml:space="preserve"> frequency per subject is calculated using the number of subjects with ADRs excluding infections for which there was at least a possibility of causal relationship with </w:t>
      </w:r>
      <w:r w:rsidR="00805A20">
        <w:rPr>
          <w:sz w:val="20"/>
        </w:rPr>
        <w:t>Xembify</w:t>
      </w:r>
      <w:r w:rsidR="00805A20" w:rsidRPr="00805A20">
        <w:rPr>
          <w:sz w:val="20"/>
          <w:vertAlign w:val="superscript"/>
        </w:rPr>
        <w:t>®</w:t>
      </w:r>
      <w:r w:rsidRPr="009F701E">
        <w:rPr>
          <w:sz w:val="20"/>
        </w:rPr>
        <w:t xml:space="preserve"> divided by the total number of subjects.</w:t>
      </w:r>
    </w:p>
    <w:p w14:paraId="7FB04DA5" w14:textId="77777777" w:rsidR="00201DF5" w:rsidRPr="009F701E" w:rsidRDefault="00201DF5" w:rsidP="00201DF5">
      <w:pPr>
        <w:tabs>
          <w:tab w:val="clear" w:pos="567"/>
          <w:tab w:val="left" w:pos="180"/>
        </w:tabs>
        <w:autoSpaceDE w:val="0"/>
        <w:autoSpaceDN w:val="0"/>
        <w:adjustRightInd w:val="0"/>
        <w:spacing w:line="240" w:lineRule="auto"/>
        <w:ind w:left="180" w:hanging="180"/>
        <w:jc w:val="both"/>
        <w:rPr>
          <w:sz w:val="20"/>
        </w:rPr>
      </w:pPr>
      <w:r w:rsidRPr="009F701E">
        <w:rPr>
          <w:sz w:val="20"/>
          <w:vertAlign w:val="superscript"/>
        </w:rPr>
        <w:t>b</w:t>
      </w:r>
      <w:r w:rsidRPr="009F701E">
        <w:rPr>
          <w:sz w:val="20"/>
          <w:vertAlign w:val="superscript"/>
        </w:rPr>
        <w:tab/>
      </w:r>
      <w:proofErr w:type="gramStart"/>
      <w:r w:rsidRPr="009F701E">
        <w:rPr>
          <w:sz w:val="20"/>
        </w:rPr>
        <w:t>The</w:t>
      </w:r>
      <w:proofErr w:type="gramEnd"/>
      <w:r w:rsidRPr="009F701E">
        <w:rPr>
          <w:sz w:val="20"/>
        </w:rPr>
        <w:t xml:space="preserve"> frequency per infusion is calculated using the number of infusions associated with ADRs excluding infections for which there was at least a possibility of causal relationship with </w:t>
      </w:r>
      <w:r w:rsidR="00805A20">
        <w:rPr>
          <w:sz w:val="20"/>
        </w:rPr>
        <w:t>Xembify</w:t>
      </w:r>
      <w:r w:rsidR="00805A20" w:rsidRPr="00805A20">
        <w:rPr>
          <w:sz w:val="20"/>
          <w:vertAlign w:val="superscript"/>
        </w:rPr>
        <w:t>®</w:t>
      </w:r>
      <w:r w:rsidRPr="009F701E">
        <w:rPr>
          <w:sz w:val="20"/>
        </w:rPr>
        <w:t xml:space="preserve"> divided by the total number of infusions.</w:t>
      </w:r>
    </w:p>
    <w:p w14:paraId="299FBDB6" w14:textId="77777777" w:rsidR="00201DF5" w:rsidRDefault="00201DF5" w:rsidP="00201DF5">
      <w:pPr>
        <w:autoSpaceDE w:val="0"/>
        <w:autoSpaceDN w:val="0"/>
        <w:adjustRightInd w:val="0"/>
        <w:spacing w:line="240" w:lineRule="auto"/>
        <w:jc w:val="both"/>
        <w:rPr>
          <w:szCs w:val="22"/>
          <w:u w:val="single"/>
        </w:rPr>
      </w:pPr>
    </w:p>
    <w:p w14:paraId="703DB1E0" w14:textId="77777777" w:rsidR="006645C6" w:rsidRDefault="006645C6" w:rsidP="001E6C47">
      <w:pPr>
        <w:keepNext/>
        <w:autoSpaceDE w:val="0"/>
        <w:autoSpaceDN w:val="0"/>
        <w:adjustRightInd w:val="0"/>
        <w:spacing w:line="240" w:lineRule="auto"/>
        <w:jc w:val="both"/>
        <w:rPr>
          <w:szCs w:val="22"/>
          <w:u w:val="single"/>
        </w:rPr>
      </w:pPr>
      <w:proofErr w:type="spellStart"/>
      <w:r w:rsidRPr="006645C6">
        <w:rPr>
          <w:szCs w:val="22"/>
          <w:u w:val="single"/>
        </w:rPr>
        <w:t>Postmarketing</w:t>
      </w:r>
      <w:proofErr w:type="spellEnd"/>
    </w:p>
    <w:p w14:paraId="09DDD883" w14:textId="77777777" w:rsidR="0083039C" w:rsidRPr="006645C6" w:rsidRDefault="0083039C" w:rsidP="001E6C47">
      <w:pPr>
        <w:keepNext/>
        <w:autoSpaceDE w:val="0"/>
        <w:autoSpaceDN w:val="0"/>
        <w:adjustRightInd w:val="0"/>
        <w:spacing w:line="240" w:lineRule="auto"/>
        <w:jc w:val="both"/>
        <w:rPr>
          <w:szCs w:val="22"/>
          <w:u w:val="single"/>
        </w:rPr>
      </w:pPr>
    </w:p>
    <w:p w14:paraId="1EC7D011" w14:textId="77777777" w:rsidR="006645C6" w:rsidRDefault="006645C6" w:rsidP="007655BE">
      <w:pPr>
        <w:autoSpaceDE w:val="0"/>
        <w:autoSpaceDN w:val="0"/>
        <w:adjustRightInd w:val="0"/>
        <w:spacing w:line="240" w:lineRule="auto"/>
        <w:rPr>
          <w:szCs w:val="22"/>
        </w:rPr>
      </w:pPr>
      <w:r w:rsidRPr="007655BE">
        <w:rPr>
          <w:szCs w:val="22"/>
        </w:rPr>
        <w:t xml:space="preserve">Because </w:t>
      </w:r>
      <w:proofErr w:type="spellStart"/>
      <w:r w:rsidRPr="007655BE">
        <w:rPr>
          <w:szCs w:val="22"/>
        </w:rPr>
        <w:t>postmarketing</w:t>
      </w:r>
      <w:proofErr w:type="spellEnd"/>
      <w:r w:rsidRPr="007655BE">
        <w:rPr>
          <w:szCs w:val="22"/>
        </w:rPr>
        <w:t xml:space="preserve"> reporting of adverse reactions is voluntary and from a population of uncertain size, it is not always possible to reliably estimate the frequency of these reactions or establish a causal relationship to product exposure.</w:t>
      </w:r>
    </w:p>
    <w:p w14:paraId="7285D1AC" w14:textId="77777777" w:rsidR="0083039C" w:rsidRPr="007655BE" w:rsidRDefault="0083039C" w:rsidP="007655BE">
      <w:pPr>
        <w:autoSpaceDE w:val="0"/>
        <w:autoSpaceDN w:val="0"/>
        <w:adjustRightInd w:val="0"/>
        <w:spacing w:line="240" w:lineRule="auto"/>
        <w:rPr>
          <w:szCs w:val="22"/>
        </w:rPr>
      </w:pPr>
    </w:p>
    <w:p w14:paraId="12C9A7DA" w14:textId="77777777" w:rsidR="0083039C" w:rsidRDefault="0083039C" w:rsidP="0083039C">
      <w:pPr>
        <w:autoSpaceDE w:val="0"/>
        <w:autoSpaceDN w:val="0"/>
        <w:adjustRightInd w:val="0"/>
        <w:spacing w:line="240" w:lineRule="auto"/>
        <w:jc w:val="both"/>
        <w:rPr>
          <w:szCs w:val="22"/>
        </w:rPr>
      </w:pPr>
      <w:r w:rsidRPr="0083039C">
        <w:rPr>
          <w:szCs w:val="22"/>
        </w:rPr>
        <w:t xml:space="preserve">The following adverse reactions have been identified and reported during the </w:t>
      </w:r>
      <w:proofErr w:type="spellStart"/>
      <w:r w:rsidRPr="0083039C">
        <w:rPr>
          <w:szCs w:val="22"/>
        </w:rPr>
        <w:t>postmarketing</w:t>
      </w:r>
      <w:proofErr w:type="spellEnd"/>
      <w:r w:rsidRPr="0083039C">
        <w:rPr>
          <w:szCs w:val="22"/>
        </w:rPr>
        <w:t xml:space="preserve"> use of </w:t>
      </w:r>
      <w:proofErr w:type="spellStart"/>
      <w:r w:rsidR="00805A20">
        <w:rPr>
          <w:szCs w:val="22"/>
        </w:rPr>
        <w:t>Xembify</w:t>
      </w:r>
      <w:proofErr w:type="spellEnd"/>
      <w:r w:rsidR="00805A20" w:rsidRPr="00805A20">
        <w:rPr>
          <w:szCs w:val="22"/>
          <w:vertAlign w:val="superscript"/>
        </w:rPr>
        <w:t>®</w:t>
      </w:r>
      <w:r>
        <w:rPr>
          <w:szCs w:val="22"/>
        </w:rPr>
        <w:t xml:space="preserve"> </w:t>
      </w:r>
      <w:r w:rsidRPr="0083039C">
        <w:rPr>
          <w:szCs w:val="22"/>
        </w:rPr>
        <w:t>administered subcutaneously.</w:t>
      </w:r>
    </w:p>
    <w:p w14:paraId="5D390D1E" w14:textId="77777777" w:rsidR="00D42C17" w:rsidRPr="0083039C" w:rsidRDefault="00D42C17" w:rsidP="0083039C">
      <w:pPr>
        <w:autoSpaceDE w:val="0"/>
        <w:autoSpaceDN w:val="0"/>
        <w:adjustRightInd w:val="0"/>
        <w:spacing w:line="240" w:lineRule="auto"/>
        <w:jc w:val="both"/>
        <w:rPr>
          <w:szCs w:val="22"/>
        </w:rPr>
      </w:pPr>
    </w:p>
    <w:p w14:paraId="70B91734" w14:textId="16D97328" w:rsidR="0083039C" w:rsidRPr="0083039C" w:rsidRDefault="0083039C" w:rsidP="00D42C17">
      <w:pPr>
        <w:numPr>
          <w:ilvl w:val="0"/>
          <w:numId w:val="1"/>
        </w:numPr>
        <w:tabs>
          <w:tab w:val="clear" w:pos="567"/>
          <w:tab w:val="left" w:pos="540"/>
        </w:tabs>
        <w:spacing w:line="240" w:lineRule="auto"/>
        <w:ind w:left="547" w:hanging="547"/>
        <w:rPr>
          <w:szCs w:val="22"/>
        </w:rPr>
      </w:pPr>
      <w:r w:rsidRPr="0083039C">
        <w:rPr>
          <w:szCs w:val="22"/>
        </w:rPr>
        <w:t>Nervous system disorders: Headache</w:t>
      </w:r>
    </w:p>
    <w:p w14:paraId="07BC27E5" w14:textId="77777777" w:rsidR="0083039C" w:rsidRPr="0083039C" w:rsidRDefault="0083039C" w:rsidP="00D42C17">
      <w:pPr>
        <w:numPr>
          <w:ilvl w:val="0"/>
          <w:numId w:val="1"/>
        </w:numPr>
        <w:tabs>
          <w:tab w:val="clear" w:pos="567"/>
          <w:tab w:val="left" w:pos="540"/>
        </w:tabs>
        <w:spacing w:line="240" w:lineRule="auto"/>
        <w:ind w:left="547" w:hanging="547"/>
        <w:rPr>
          <w:szCs w:val="22"/>
        </w:rPr>
      </w:pPr>
      <w:r w:rsidRPr="0083039C">
        <w:rPr>
          <w:szCs w:val="22"/>
        </w:rPr>
        <w:t>Gastrointestinal disorders: Nausea</w:t>
      </w:r>
    </w:p>
    <w:p w14:paraId="5853355C" w14:textId="77777777" w:rsidR="006645C6" w:rsidRPr="0083039C" w:rsidRDefault="0083039C" w:rsidP="00D42C17">
      <w:pPr>
        <w:numPr>
          <w:ilvl w:val="0"/>
          <w:numId w:val="1"/>
        </w:numPr>
        <w:tabs>
          <w:tab w:val="clear" w:pos="567"/>
          <w:tab w:val="left" w:pos="540"/>
        </w:tabs>
        <w:spacing w:line="240" w:lineRule="auto"/>
        <w:ind w:left="547" w:hanging="547"/>
        <w:rPr>
          <w:szCs w:val="22"/>
        </w:rPr>
      </w:pPr>
      <w:r w:rsidRPr="0083039C">
        <w:rPr>
          <w:szCs w:val="22"/>
        </w:rPr>
        <w:t>General disorders and administration site conditions: infusion or injection site erythema</w:t>
      </w:r>
      <w:r w:rsidR="00CC10E7">
        <w:rPr>
          <w:szCs w:val="22"/>
        </w:rPr>
        <w:t>, infusion site inflammation or injection site swelling.</w:t>
      </w:r>
    </w:p>
    <w:p w14:paraId="0B32FAF8" w14:textId="77777777" w:rsidR="0083039C" w:rsidRDefault="0083039C" w:rsidP="0083039C">
      <w:pPr>
        <w:autoSpaceDE w:val="0"/>
        <w:autoSpaceDN w:val="0"/>
        <w:adjustRightInd w:val="0"/>
        <w:spacing w:line="240" w:lineRule="auto"/>
        <w:jc w:val="both"/>
        <w:rPr>
          <w:szCs w:val="22"/>
          <w:u w:val="single"/>
        </w:rPr>
      </w:pPr>
    </w:p>
    <w:p w14:paraId="3DD2A8D4" w14:textId="77777777" w:rsidR="00201DF5" w:rsidRPr="005D1798" w:rsidRDefault="00201DF5" w:rsidP="001E6C47">
      <w:pPr>
        <w:keepNext/>
        <w:autoSpaceDE w:val="0"/>
        <w:autoSpaceDN w:val="0"/>
        <w:adjustRightInd w:val="0"/>
        <w:spacing w:line="240" w:lineRule="auto"/>
        <w:jc w:val="both"/>
        <w:rPr>
          <w:szCs w:val="22"/>
          <w:u w:val="single"/>
        </w:rPr>
      </w:pPr>
      <w:r w:rsidRPr="005D1798">
        <w:rPr>
          <w:szCs w:val="22"/>
          <w:u w:val="single"/>
        </w:rPr>
        <w:t>Paediatric population</w:t>
      </w:r>
    </w:p>
    <w:p w14:paraId="55A39159" w14:textId="77777777" w:rsidR="00201DF5" w:rsidRPr="00A71E45" w:rsidRDefault="00201DF5" w:rsidP="00201DF5">
      <w:pPr>
        <w:keepNext/>
        <w:autoSpaceDE w:val="0"/>
        <w:autoSpaceDN w:val="0"/>
        <w:adjustRightInd w:val="0"/>
        <w:spacing w:line="240" w:lineRule="auto"/>
        <w:jc w:val="both"/>
        <w:rPr>
          <w:szCs w:val="22"/>
        </w:rPr>
      </w:pPr>
    </w:p>
    <w:p w14:paraId="7F0BF658" w14:textId="77777777" w:rsidR="00201DF5" w:rsidRPr="005D1798" w:rsidRDefault="00201DF5" w:rsidP="00201DF5">
      <w:pPr>
        <w:autoSpaceDE w:val="0"/>
        <w:autoSpaceDN w:val="0"/>
        <w:adjustRightInd w:val="0"/>
        <w:spacing w:line="240" w:lineRule="auto"/>
        <w:jc w:val="both"/>
        <w:rPr>
          <w:szCs w:val="22"/>
        </w:rPr>
      </w:pPr>
      <w:r w:rsidRPr="002A78C5">
        <w:rPr>
          <w:szCs w:val="22"/>
        </w:rPr>
        <w:t xml:space="preserve">The safety profile in the paediatric population was </w:t>
      </w:r>
      <w:proofErr w:type="gramStart"/>
      <w:r w:rsidRPr="002A78C5">
        <w:rPr>
          <w:szCs w:val="22"/>
        </w:rPr>
        <w:t>similar to</w:t>
      </w:r>
      <w:proofErr w:type="gramEnd"/>
      <w:r w:rsidRPr="002A78C5">
        <w:rPr>
          <w:szCs w:val="22"/>
        </w:rPr>
        <w:t xml:space="preserve"> that in adult subjects.</w:t>
      </w:r>
    </w:p>
    <w:p w14:paraId="08F68735" w14:textId="77777777" w:rsidR="00201DF5" w:rsidRPr="00A71E45" w:rsidRDefault="00201DF5" w:rsidP="00201DF5">
      <w:pPr>
        <w:autoSpaceDE w:val="0"/>
        <w:autoSpaceDN w:val="0"/>
        <w:adjustRightInd w:val="0"/>
        <w:spacing w:line="240" w:lineRule="auto"/>
        <w:jc w:val="both"/>
        <w:rPr>
          <w:szCs w:val="22"/>
        </w:rPr>
      </w:pPr>
    </w:p>
    <w:p w14:paraId="74ADABD5" w14:textId="77777777" w:rsidR="00201DF5" w:rsidRPr="00954E3B" w:rsidRDefault="00201DF5" w:rsidP="00201DF5">
      <w:pPr>
        <w:keepNext/>
        <w:spacing w:line="240" w:lineRule="auto"/>
        <w:rPr>
          <w:i/>
          <w:iCs/>
          <w:szCs w:val="22"/>
          <w:u w:val="single"/>
        </w:rPr>
      </w:pPr>
      <w:r w:rsidRPr="00B3208E">
        <w:rPr>
          <w:szCs w:val="22"/>
          <w:u w:val="single"/>
        </w:rPr>
        <w:t xml:space="preserve">Reporting </w:t>
      </w:r>
      <w:r w:rsidR="006645C6">
        <w:rPr>
          <w:szCs w:val="22"/>
          <w:u w:val="single"/>
        </w:rPr>
        <w:t>suspected adverse effects</w:t>
      </w:r>
    </w:p>
    <w:p w14:paraId="45A5F155" w14:textId="77777777" w:rsidR="00201DF5" w:rsidRDefault="00201DF5" w:rsidP="00201DF5">
      <w:pPr>
        <w:keepNext/>
        <w:spacing w:line="240" w:lineRule="auto"/>
        <w:rPr>
          <w:szCs w:val="22"/>
        </w:rPr>
      </w:pPr>
    </w:p>
    <w:p w14:paraId="0A281389" w14:textId="77777777" w:rsidR="006645C6" w:rsidRPr="008225EB" w:rsidRDefault="006645C6" w:rsidP="00201DF5">
      <w:pPr>
        <w:autoSpaceDE w:val="0"/>
        <w:autoSpaceDN w:val="0"/>
        <w:adjustRightInd w:val="0"/>
        <w:spacing w:line="240" w:lineRule="auto"/>
        <w:rPr>
          <w:noProof/>
          <w:szCs w:val="22"/>
        </w:rPr>
      </w:pPr>
      <w:r w:rsidRPr="006645C6">
        <w:rPr>
          <w:szCs w:val="22"/>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9" w:history="1">
        <w:r w:rsidRPr="0097122B">
          <w:rPr>
            <w:rStyle w:val="Hyperlink"/>
            <w:szCs w:val="22"/>
          </w:rPr>
          <w:t>www.tga.gov.au/reporting-problems</w:t>
        </w:r>
      </w:hyperlink>
      <w:r w:rsidRPr="006645C6">
        <w:rPr>
          <w:szCs w:val="22"/>
        </w:rPr>
        <w:t>.</w:t>
      </w:r>
    </w:p>
    <w:p w14:paraId="3E823773" w14:textId="77777777" w:rsidR="00201DF5" w:rsidRPr="00A3136F" w:rsidRDefault="00201DF5" w:rsidP="00201DF5">
      <w:pPr>
        <w:spacing w:line="240" w:lineRule="auto"/>
        <w:rPr>
          <w:noProof/>
          <w:szCs w:val="22"/>
        </w:rPr>
      </w:pPr>
    </w:p>
    <w:p w14:paraId="249617F6" w14:textId="77777777" w:rsidR="00201DF5" w:rsidRPr="00ED5CBE" w:rsidRDefault="00201DF5" w:rsidP="00ED5CBE">
      <w:pPr>
        <w:keepNext/>
        <w:spacing w:line="240" w:lineRule="auto"/>
        <w:ind w:left="562" w:hanging="562"/>
        <w:outlineLvl w:val="1"/>
        <w:rPr>
          <w:b/>
          <w:noProof/>
          <w:szCs w:val="22"/>
        </w:rPr>
      </w:pPr>
      <w:r w:rsidRPr="000643D3">
        <w:rPr>
          <w:b/>
          <w:noProof/>
          <w:szCs w:val="22"/>
        </w:rPr>
        <w:t>4.9</w:t>
      </w:r>
      <w:r w:rsidRPr="000643D3">
        <w:rPr>
          <w:b/>
          <w:noProof/>
          <w:szCs w:val="22"/>
        </w:rPr>
        <w:tab/>
        <w:t>Overdose</w:t>
      </w:r>
    </w:p>
    <w:p w14:paraId="2D220266" w14:textId="77777777" w:rsidR="00201DF5" w:rsidRDefault="00201DF5" w:rsidP="00201DF5">
      <w:pPr>
        <w:keepNext/>
        <w:spacing w:line="240" w:lineRule="auto"/>
        <w:rPr>
          <w:noProof/>
          <w:szCs w:val="22"/>
        </w:rPr>
      </w:pPr>
    </w:p>
    <w:p w14:paraId="0CC2C838" w14:textId="77777777" w:rsidR="00201DF5" w:rsidRDefault="00201DF5" w:rsidP="00201DF5">
      <w:pPr>
        <w:autoSpaceDE w:val="0"/>
        <w:autoSpaceDN w:val="0"/>
        <w:adjustRightInd w:val="0"/>
        <w:spacing w:line="240" w:lineRule="auto"/>
        <w:rPr>
          <w:noProof/>
          <w:szCs w:val="22"/>
        </w:rPr>
      </w:pPr>
      <w:r w:rsidRPr="002A78C5">
        <w:rPr>
          <w:noProof/>
          <w:szCs w:val="22"/>
        </w:rPr>
        <w:t>Consequences of an overdose are not known.</w:t>
      </w:r>
    </w:p>
    <w:p w14:paraId="2787B28F" w14:textId="77777777" w:rsidR="006645C6" w:rsidRDefault="006645C6" w:rsidP="00201DF5">
      <w:pPr>
        <w:autoSpaceDE w:val="0"/>
        <w:autoSpaceDN w:val="0"/>
        <w:adjustRightInd w:val="0"/>
        <w:spacing w:line="240" w:lineRule="auto"/>
        <w:rPr>
          <w:noProof/>
          <w:szCs w:val="22"/>
        </w:rPr>
      </w:pPr>
    </w:p>
    <w:p w14:paraId="1BD9E3DB" w14:textId="77777777" w:rsidR="006645C6" w:rsidRPr="008A1008" w:rsidRDefault="006645C6" w:rsidP="00201DF5">
      <w:pPr>
        <w:autoSpaceDE w:val="0"/>
        <w:autoSpaceDN w:val="0"/>
        <w:adjustRightInd w:val="0"/>
        <w:spacing w:line="240" w:lineRule="auto"/>
        <w:rPr>
          <w:noProof/>
          <w:szCs w:val="22"/>
        </w:rPr>
      </w:pPr>
      <w:r w:rsidRPr="006645C6">
        <w:rPr>
          <w:noProof/>
          <w:szCs w:val="22"/>
        </w:rPr>
        <w:t>For information on the management of overdose, contact the Poisons Information Centre on 13 11 26 (Australia).</w:t>
      </w:r>
    </w:p>
    <w:p w14:paraId="1106FC1D" w14:textId="77777777" w:rsidR="00201DF5" w:rsidRPr="006B4557" w:rsidRDefault="00201DF5" w:rsidP="00201DF5">
      <w:pPr>
        <w:spacing w:line="240" w:lineRule="auto"/>
      </w:pPr>
    </w:p>
    <w:p w14:paraId="540296D0" w14:textId="77777777" w:rsidR="00201DF5" w:rsidRPr="008561BA" w:rsidRDefault="00201DF5" w:rsidP="00201DF5">
      <w:pPr>
        <w:keepNext/>
        <w:spacing w:line="240" w:lineRule="auto"/>
        <w:ind w:left="567" w:hanging="567"/>
        <w:outlineLvl w:val="0"/>
        <w:rPr>
          <w:b/>
        </w:rPr>
      </w:pPr>
      <w:r w:rsidRPr="006B4557">
        <w:rPr>
          <w:b/>
        </w:rPr>
        <w:t>5.</w:t>
      </w:r>
      <w:r w:rsidRPr="006B4557">
        <w:rPr>
          <w:b/>
        </w:rPr>
        <w:tab/>
        <w:t>PHARMACOLOGICAL PROPERTIES</w:t>
      </w:r>
    </w:p>
    <w:p w14:paraId="02607ED6" w14:textId="77777777" w:rsidR="00201DF5" w:rsidRPr="006B4557" w:rsidRDefault="00201DF5" w:rsidP="00201DF5">
      <w:pPr>
        <w:keepNext/>
        <w:spacing w:line="240" w:lineRule="auto"/>
      </w:pPr>
    </w:p>
    <w:p w14:paraId="4AEE7FFA" w14:textId="77777777" w:rsidR="00201DF5" w:rsidRPr="00ED5CBE" w:rsidRDefault="00201DF5" w:rsidP="00ED5CBE">
      <w:pPr>
        <w:keepNext/>
        <w:spacing w:line="240" w:lineRule="auto"/>
        <w:ind w:left="562" w:hanging="562"/>
        <w:outlineLvl w:val="1"/>
        <w:rPr>
          <w:b/>
          <w:noProof/>
          <w:szCs w:val="22"/>
        </w:rPr>
      </w:pPr>
      <w:r w:rsidRPr="00ED5CBE">
        <w:rPr>
          <w:b/>
          <w:noProof/>
          <w:szCs w:val="22"/>
        </w:rPr>
        <w:t>5.1</w:t>
      </w:r>
      <w:r w:rsidRPr="00ED5CBE">
        <w:rPr>
          <w:b/>
          <w:noProof/>
          <w:szCs w:val="22"/>
        </w:rPr>
        <w:tab/>
        <w:t>Pharmacodynamic properties</w:t>
      </w:r>
    </w:p>
    <w:p w14:paraId="3AB0886B" w14:textId="77777777" w:rsidR="00201DF5" w:rsidRPr="006B4557" w:rsidRDefault="00201DF5" w:rsidP="00201DF5">
      <w:pPr>
        <w:keepNext/>
        <w:spacing w:line="240" w:lineRule="auto"/>
      </w:pPr>
    </w:p>
    <w:p w14:paraId="216E3F40" w14:textId="77777777" w:rsidR="00201DF5" w:rsidRDefault="00201DF5" w:rsidP="00201DF5">
      <w:pPr>
        <w:numPr>
          <w:ilvl w:val="12"/>
          <w:numId w:val="0"/>
        </w:numPr>
        <w:spacing w:line="240" w:lineRule="auto"/>
        <w:ind w:right="-2"/>
      </w:pPr>
      <w:r>
        <w:t>Pharmacotherapeutic group: immune sera and immunoglobulins: immunoglobulins, normal human, for extravascular administration, ATC code: J06BA01</w:t>
      </w:r>
    </w:p>
    <w:p w14:paraId="1D7D2D94" w14:textId="77777777" w:rsidR="00201DF5" w:rsidRDefault="00201DF5" w:rsidP="00201DF5">
      <w:pPr>
        <w:numPr>
          <w:ilvl w:val="12"/>
          <w:numId w:val="0"/>
        </w:numPr>
        <w:spacing w:line="240" w:lineRule="auto"/>
        <w:ind w:right="-2"/>
      </w:pPr>
    </w:p>
    <w:p w14:paraId="664A4A80" w14:textId="77777777" w:rsidR="006645C6" w:rsidRDefault="00AE67A3" w:rsidP="006645C6">
      <w:pPr>
        <w:numPr>
          <w:ilvl w:val="12"/>
          <w:numId w:val="0"/>
        </w:numPr>
        <w:spacing w:line="240" w:lineRule="auto"/>
        <w:ind w:right="-2"/>
      </w:pPr>
      <w:r>
        <w:lastRenderedPageBreak/>
        <w:t xml:space="preserve">Normal immunoglobulin </w:t>
      </w:r>
      <w:r w:rsidR="006645C6">
        <w:t>contains mainly immunoglobulin G (IgG) with a broad spectrum of antibodies against infectious agents.</w:t>
      </w:r>
    </w:p>
    <w:p w14:paraId="4B18F222" w14:textId="77777777" w:rsidR="006645C6" w:rsidRDefault="006645C6" w:rsidP="006645C6">
      <w:pPr>
        <w:numPr>
          <w:ilvl w:val="12"/>
          <w:numId w:val="0"/>
        </w:numPr>
        <w:spacing w:line="240" w:lineRule="auto"/>
        <w:ind w:right="-2"/>
      </w:pPr>
    </w:p>
    <w:p w14:paraId="170DCFD5" w14:textId="77777777" w:rsidR="006645C6" w:rsidRDefault="00AE67A3" w:rsidP="006645C6">
      <w:pPr>
        <w:numPr>
          <w:ilvl w:val="12"/>
          <w:numId w:val="0"/>
        </w:numPr>
        <w:spacing w:line="240" w:lineRule="auto"/>
        <w:ind w:right="-2"/>
      </w:pPr>
      <w:r>
        <w:t>Normal immunoglobulin</w:t>
      </w:r>
      <w:r w:rsidR="006645C6">
        <w:t xml:space="preserve"> contains the IgG antibodies present in the normal population. It is usually prepared from pooled plasma from not fewer than 1000 donations. It has a distribution of immunoglobulin G subclasses closely proportional to that in native human plasma. Adequate doses of this medicinal product may restore abnormally low immunoglobulin G levels to the normal range.</w:t>
      </w:r>
    </w:p>
    <w:p w14:paraId="07EACAD1" w14:textId="77777777" w:rsidR="006645C6" w:rsidRDefault="006645C6" w:rsidP="00201DF5">
      <w:pPr>
        <w:numPr>
          <w:ilvl w:val="12"/>
          <w:numId w:val="0"/>
        </w:numPr>
        <w:spacing w:line="240" w:lineRule="auto"/>
        <w:ind w:right="-2"/>
      </w:pPr>
    </w:p>
    <w:p w14:paraId="55735C63" w14:textId="77777777" w:rsidR="006645C6" w:rsidRDefault="006645C6" w:rsidP="001E6C47">
      <w:pPr>
        <w:keepNext/>
        <w:numPr>
          <w:ilvl w:val="12"/>
          <w:numId w:val="0"/>
        </w:numPr>
        <w:spacing w:line="240" w:lineRule="auto"/>
        <w:rPr>
          <w:u w:val="single"/>
        </w:rPr>
      </w:pPr>
      <w:r w:rsidRPr="007655BE">
        <w:rPr>
          <w:u w:val="single"/>
        </w:rPr>
        <w:t>Mechanism of action</w:t>
      </w:r>
    </w:p>
    <w:p w14:paraId="45AC1F1A" w14:textId="77777777" w:rsidR="006645C6" w:rsidRDefault="006645C6" w:rsidP="001E6C47">
      <w:pPr>
        <w:keepNext/>
        <w:numPr>
          <w:ilvl w:val="12"/>
          <w:numId w:val="0"/>
        </w:numPr>
        <w:spacing w:line="240" w:lineRule="auto"/>
        <w:rPr>
          <w:u w:val="single"/>
        </w:rPr>
      </w:pPr>
    </w:p>
    <w:p w14:paraId="7731F9D0" w14:textId="58A2302D" w:rsidR="006645C6" w:rsidRDefault="00805A20" w:rsidP="00201DF5">
      <w:pPr>
        <w:numPr>
          <w:ilvl w:val="12"/>
          <w:numId w:val="0"/>
        </w:numPr>
        <w:spacing w:line="240" w:lineRule="auto"/>
        <w:ind w:right="-2"/>
      </w:pPr>
      <w:r>
        <w:t>Xembify</w:t>
      </w:r>
      <w:r w:rsidRPr="00805A20">
        <w:rPr>
          <w:vertAlign w:val="superscript"/>
        </w:rPr>
        <w:t>®</w:t>
      </w:r>
      <w:r>
        <w:t xml:space="preserve"> </w:t>
      </w:r>
      <w:r w:rsidR="006645C6" w:rsidRPr="007655BE">
        <w:t xml:space="preserve">supplies a broad spectrum of opsonising and neutralising immunoglobulin G (IgG) antibodies against bacteria and their toxins.  The role of these antibodies and the mechanism of action of IgG in </w:t>
      </w:r>
      <w:r>
        <w:t>Xembify</w:t>
      </w:r>
      <w:r w:rsidRPr="00805A20">
        <w:rPr>
          <w:vertAlign w:val="superscript"/>
        </w:rPr>
        <w:t>®</w:t>
      </w:r>
      <w:r w:rsidR="006645C6" w:rsidRPr="007655BE">
        <w:t xml:space="preserve"> in PI</w:t>
      </w:r>
      <w:r w:rsidR="004662BA">
        <w:t>D</w:t>
      </w:r>
      <w:r w:rsidR="006645C6" w:rsidRPr="007655BE">
        <w:t xml:space="preserve"> has not been fully elucidated.</w:t>
      </w:r>
    </w:p>
    <w:p w14:paraId="5349AACE" w14:textId="77777777" w:rsidR="004662BA" w:rsidRDefault="004662BA" w:rsidP="00201DF5">
      <w:pPr>
        <w:numPr>
          <w:ilvl w:val="12"/>
          <w:numId w:val="0"/>
        </w:numPr>
        <w:spacing w:line="240" w:lineRule="auto"/>
        <w:ind w:right="-2"/>
      </w:pPr>
    </w:p>
    <w:p w14:paraId="4C2A7F9F" w14:textId="77777777" w:rsidR="00201DF5" w:rsidRDefault="00201DF5" w:rsidP="00201DF5">
      <w:pPr>
        <w:keepNext/>
        <w:autoSpaceDE w:val="0"/>
        <w:autoSpaceDN w:val="0"/>
        <w:adjustRightInd w:val="0"/>
        <w:spacing w:line="240" w:lineRule="auto"/>
        <w:rPr>
          <w:szCs w:val="22"/>
          <w:u w:val="single"/>
        </w:rPr>
      </w:pPr>
      <w:r w:rsidRPr="008225EB">
        <w:rPr>
          <w:szCs w:val="22"/>
          <w:u w:val="single"/>
        </w:rPr>
        <w:t xml:space="preserve">Clinical efficacy </w:t>
      </w:r>
      <w:r>
        <w:rPr>
          <w:szCs w:val="22"/>
          <w:u w:val="single"/>
        </w:rPr>
        <w:t>in PID</w:t>
      </w:r>
    </w:p>
    <w:p w14:paraId="156EC7FD" w14:textId="77777777" w:rsidR="00201DF5" w:rsidRPr="00A71E45" w:rsidRDefault="00201DF5" w:rsidP="001E6C47">
      <w:pPr>
        <w:keepNext/>
        <w:autoSpaceDE w:val="0"/>
        <w:autoSpaceDN w:val="0"/>
        <w:adjustRightInd w:val="0"/>
        <w:spacing w:line="240" w:lineRule="auto"/>
        <w:rPr>
          <w:szCs w:val="22"/>
        </w:rPr>
      </w:pPr>
    </w:p>
    <w:p w14:paraId="55FAE47D" w14:textId="77777777" w:rsidR="00201DF5" w:rsidRPr="009F701E" w:rsidRDefault="00201DF5" w:rsidP="007655BE">
      <w:pPr>
        <w:spacing w:line="240" w:lineRule="auto"/>
        <w:rPr>
          <w:i/>
          <w:iCs/>
          <w:szCs w:val="22"/>
        </w:rPr>
      </w:pPr>
      <w:r w:rsidRPr="009F701E">
        <w:rPr>
          <w:iCs/>
          <w:szCs w:val="22"/>
        </w:rPr>
        <w:t xml:space="preserve">In the European study, a total of 61 subjects with primary immunodeficiency syndromes aged between 2 years and 69 years were treated with </w:t>
      </w:r>
      <w:r w:rsidR="00805A20">
        <w:rPr>
          <w:iCs/>
          <w:szCs w:val="22"/>
        </w:rPr>
        <w:t>Xembify</w:t>
      </w:r>
      <w:r w:rsidR="00805A20" w:rsidRPr="00805A20">
        <w:rPr>
          <w:iCs/>
          <w:szCs w:val="22"/>
          <w:vertAlign w:val="superscript"/>
        </w:rPr>
        <w:t>®</w:t>
      </w:r>
      <w:r w:rsidRPr="009F701E">
        <w:rPr>
          <w:iCs/>
          <w:szCs w:val="22"/>
        </w:rPr>
        <w:t xml:space="preserve"> for up to 52 weeks. The mean dose administered each week was 125.5 mg/kg body weight (</w:t>
      </w:r>
      <w:proofErr w:type="spellStart"/>
      <w:r w:rsidRPr="009F701E">
        <w:rPr>
          <w:iCs/>
          <w:szCs w:val="22"/>
        </w:rPr>
        <w:t>bw</w:t>
      </w:r>
      <w:proofErr w:type="spellEnd"/>
      <w:r w:rsidRPr="009F701E">
        <w:rPr>
          <w:iCs/>
          <w:szCs w:val="22"/>
        </w:rPr>
        <w:t xml:space="preserve">). Sustained IgG trough levels with mean concentration of 947.64 mg/dl were thereby achieved during the treatment period. Subjects received a total of 3045 weekly </w:t>
      </w:r>
      <w:r w:rsidR="00805A20">
        <w:rPr>
          <w:iCs/>
          <w:szCs w:val="22"/>
        </w:rPr>
        <w:t>Xembify</w:t>
      </w:r>
      <w:r w:rsidR="00805A20" w:rsidRPr="00805A20">
        <w:rPr>
          <w:iCs/>
          <w:szCs w:val="22"/>
          <w:vertAlign w:val="superscript"/>
        </w:rPr>
        <w:t>®</w:t>
      </w:r>
      <w:r w:rsidR="00805A20">
        <w:rPr>
          <w:iCs/>
          <w:szCs w:val="22"/>
        </w:rPr>
        <w:t xml:space="preserve"> </w:t>
      </w:r>
      <w:r w:rsidRPr="009F701E">
        <w:rPr>
          <w:iCs/>
          <w:szCs w:val="22"/>
        </w:rPr>
        <w:t xml:space="preserve">infusions. The annual rate of serious bacterial infections (SBIs) was 0.017 per subject-year (1-sided 99% upper confidence limit 0.036), which reflected one subject with pneumonia </w:t>
      </w:r>
      <w:r w:rsidRPr="009F701E">
        <w:t>treated with oral antibiotics as an outpatient with resolution in 4 days.</w:t>
      </w:r>
      <w:r w:rsidRPr="009F701E" w:rsidDel="00BA6EB5">
        <w:rPr>
          <w:i/>
          <w:iCs/>
          <w:szCs w:val="22"/>
        </w:rPr>
        <w:t xml:space="preserve"> </w:t>
      </w:r>
    </w:p>
    <w:p w14:paraId="151C765D" w14:textId="77777777" w:rsidR="00201DF5" w:rsidRPr="009F701E" w:rsidRDefault="00201DF5" w:rsidP="007655BE">
      <w:pPr>
        <w:spacing w:line="240" w:lineRule="auto"/>
        <w:rPr>
          <w:i/>
          <w:iCs/>
          <w:szCs w:val="22"/>
        </w:rPr>
      </w:pPr>
    </w:p>
    <w:p w14:paraId="7FF59749" w14:textId="77777777" w:rsidR="00201DF5" w:rsidRPr="009F701E" w:rsidRDefault="00201DF5" w:rsidP="007655BE">
      <w:pPr>
        <w:spacing w:line="240" w:lineRule="auto"/>
        <w:rPr>
          <w:iCs/>
          <w:szCs w:val="22"/>
        </w:rPr>
      </w:pPr>
      <w:r w:rsidRPr="009F701E">
        <w:rPr>
          <w:iCs/>
          <w:szCs w:val="22"/>
        </w:rPr>
        <w:t xml:space="preserve">In the North American study, a total of 49 subjects with primary immunodeficiency syndromes aged between 2 years and 72 years were treated with </w:t>
      </w:r>
      <w:r w:rsidR="00805A20">
        <w:rPr>
          <w:iCs/>
          <w:szCs w:val="22"/>
        </w:rPr>
        <w:t>Xembify</w:t>
      </w:r>
      <w:r w:rsidR="00805A20" w:rsidRPr="00805A20">
        <w:rPr>
          <w:iCs/>
          <w:szCs w:val="22"/>
          <w:vertAlign w:val="superscript"/>
        </w:rPr>
        <w:t>®</w:t>
      </w:r>
      <w:r w:rsidRPr="009F701E">
        <w:rPr>
          <w:iCs/>
          <w:szCs w:val="22"/>
        </w:rPr>
        <w:t xml:space="preserve"> for up to 24 weeks. The mean dose administered each week was 178.9 mg/kg b</w:t>
      </w:r>
      <w:r w:rsidR="004662BA">
        <w:rPr>
          <w:iCs/>
          <w:szCs w:val="22"/>
        </w:rPr>
        <w:t xml:space="preserve">ody </w:t>
      </w:r>
      <w:r w:rsidRPr="009F701E">
        <w:rPr>
          <w:iCs/>
          <w:szCs w:val="22"/>
        </w:rPr>
        <w:t>w</w:t>
      </w:r>
      <w:r w:rsidR="004662BA">
        <w:rPr>
          <w:iCs/>
          <w:szCs w:val="22"/>
        </w:rPr>
        <w:t>eight</w:t>
      </w:r>
      <w:r w:rsidRPr="009F701E">
        <w:rPr>
          <w:iCs/>
          <w:szCs w:val="22"/>
        </w:rPr>
        <w:t xml:space="preserve">. Sustained IgG trough levels with a mean concentration of 1244.84 mg/dl were thereby achieved during the treatment period. Subjects received in total 1053 weekly </w:t>
      </w:r>
      <w:r w:rsidR="00805A20">
        <w:rPr>
          <w:iCs/>
          <w:szCs w:val="22"/>
        </w:rPr>
        <w:t>Xembify</w:t>
      </w:r>
      <w:r w:rsidR="00805A20" w:rsidRPr="00805A20">
        <w:rPr>
          <w:iCs/>
          <w:szCs w:val="22"/>
          <w:vertAlign w:val="superscript"/>
        </w:rPr>
        <w:t>®</w:t>
      </w:r>
      <w:r w:rsidRPr="009F701E">
        <w:rPr>
          <w:iCs/>
          <w:szCs w:val="22"/>
        </w:rPr>
        <w:t xml:space="preserve"> infusions. The annual rate of SBIs during </w:t>
      </w:r>
      <w:r w:rsidR="00805A20">
        <w:rPr>
          <w:iCs/>
          <w:szCs w:val="22"/>
        </w:rPr>
        <w:t>Xembify</w:t>
      </w:r>
      <w:r w:rsidR="00805A20" w:rsidRPr="00805A20">
        <w:rPr>
          <w:iCs/>
          <w:szCs w:val="22"/>
          <w:vertAlign w:val="superscript"/>
        </w:rPr>
        <w:t>®</w:t>
      </w:r>
      <w:r w:rsidR="00805A20">
        <w:rPr>
          <w:iCs/>
          <w:szCs w:val="22"/>
        </w:rPr>
        <w:t xml:space="preserve"> </w:t>
      </w:r>
      <w:r w:rsidRPr="009F701E">
        <w:rPr>
          <w:iCs/>
          <w:szCs w:val="22"/>
        </w:rPr>
        <w:t>treatment was 0.049 per subject-year (1-sided 99% upper confidence limit 0.110), which reflected one subject with sepsis due to cat bite.</w:t>
      </w:r>
    </w:p>
    <w:p w14:paraId="0BB9D2FE" w14:textId="77777777" w:rsidR="00201DF5" w:rsidRPr="008225EB" w:rsidRDefault="00201DF5" w:rsidP="00201DF5">
      <w:pPr>
        <w:autoSpaceDE w:val="0"/>
        <w:autoSpaceDN w:val="0"/>
        <w:adjustRightInd w:val="0"/>
        <w:spacing w:line="240" w:lineRule="auto"/>
        <w:rPr>
          <w:szCs w:val="22"/>
        </w:rPr>
      </w:pPr>
    </w:p>
    <w:p w14:paraId="72E01D55" w14:textId="77777777" w:rsidR="00201DF5" w:rsidRDefault="00201DF5" w:rsidP="00201DF5">
      <w:pPr>
        <w:keepNext/>
        <w:spacing w:line="240" w:lineRule="auto"/>
        <w:rPr>
          <w:bCs/>
          <w:iCs/>
          <w:szCs w:val="22"/>
          <w:u w:val="single"/>
        </w:rPr>
      </w:pPr>
      <w:r w:rsidRPr="003C47D1">
        <w:rPr>
          <w:bCs/>
          <w:iCs/>
          <w:szCs w:val="22"/>
          <w:u w:val="single"/>
        </w:rPr>
        <w:t>Paediatric population</w:t>
      </w:r>
    </w:p>
    <w:p w14:paraId="1AD23586" w14:textId="77777777" w:rsidR="00201DF5" w:rsidRPr="00A71E45" w:rsidRDefault="00201DF5" w:rsidP="00201DF5">
      <w:pPr>
        <w:keepNext/>
        <w:spacing w:line="240" w:lineRule="auto"/>
        <w:rPr>
          <w:bCs/>
          <w:iCs/>
          <w:szCs w:val="22"/>
        </w:rPr>
      </w:pPr>
    </w:p>
    <w:p w14:paraId="0D5C2209" w14:textId="535CB4B5" w:rsidR="00201DF5" w:rsidRDefault="00201DF5" w:rsidP="00201DF5">
      <w:pPr>
        <w:numPr>
          <w:ilvl w:val="12"/>
          <w:numId w:val="0"/>
        </w:numPr>
        <w:spacing w:line="240" w:lineRule="auto"/>
        <w:ind w:right="-2"/>
        <w:rPr>
          <w:iCs/>
          <w:noProof/>
          <w:szCs w:val="22"/>
        </w:rPr>
      </w:pPr>
      <w:bookmarkStart w:id="13" w:name="_Hlk89673559"/>
      <w:r w:rsidRPr="00C37CFC">
        <w:rPr>
          <w:iCs/>
          <w:noProof/>
          <w:szCs w:val="22"/>
        </w:rPr>
        <w:t xml:space="preserve">The safety and effectiveness of </w:t>
      </w:r>
      <w:r w:rsidR="00805A20">
        <w:rPr>
          <w:iCs/>
          <w:noProof/>
          <w:szCs w:val="22"/>
        </w:rPr>
        <w:t>Xembify</w:t>
      </w:r>
      <w:r w:rsidR="00805A20" w:rsidRPr="00805A20">
        <w:rPr>
          <w:iCs/>
          <w:noProof/>
          <w:szCs w:val="22"/>
          <w:vertAlign w:val="superscript"/>
        </w:rPr>
        <w:t>®</w:t>
      </w:r>
      <w:r w:rsidRPr="00C37CFC">
        <w:rPr>
          <w:iCs/>
          <w:noProof/>
          <w:szCs w:val="22"/>
        </w:rPr>
        <w:t xml:space="preserve"> have been established in paediatric subjects. </w:t>
      </w:r>
      <w:r w:rsidR="00805A20">
        <w:rPr>
          <w:iCs/>
          <w:noProof/>
          <w:szCs w:val="22"/>
        </w:rPr>
        <w:t>Xembify</w:t>
      </w:r>
      <w:r w:rsidR="00805A20" w:rsidRPr="00805A20">
        <w:rPr>
          <w:iCs/>
          <w:noProof/>
          <w:szCs w:val="22"/>
          <w:vertAlign w:val="superscript"/>
        </w:rPr>
        <w:t>®</w:t>
      </w:r>
      <w:r w:rsidRPr="00C37CFC">
        <w:rPr>
          <w:iCs/>
          <w:noProof/>
          <w:szCs w:val="22"/>
        </w:rPr>
        <w:t xml:space="preserve"> was evaluated in </w:t>
      </w:r>
      <w:r>
        <w:rPr>
          <w:iCs/>
          <w:noProof/>
          <w:szCs w:val="22"/>
        </w:rPr>
        <w:t>28</w:t>
      </w:r>
      <w:r w:rsidRPr="00C37CFC">
        <w:rPr>
          <w:iCs/>
          <w:noProof/>
          <w:szCs w:val="22"/>
        </w:rPr>
        <w:t xml:space="preserve"> paediatric subjects with PI</w:t>
      </w:r>
      <w:r>
        <w:rPr>
          <w:iCs/>
          <w:noProof/>
          <w:szCs w:val="22"/>
        </w:rPr>
        <w:t>D</w:t>
      </w:r>
      <w:r w:rsidRPr="00C37CFC">
        <w:rPr>
          <w:iCs/>
          <w:noProof/>
          <w:szCs w:val="22"/>
        </w:rPr>
        <w:t xml:space="preserve"> </w:t>
      </w:r>
      <w:r>
        <w:rPr>
          <w:iCs/>
          <w:noProof/>
          <w:szCs w:val="22"/>
        </w:rPr>
        <w:t xml:space="preserve">aged </w:t>
      </w:r>
      <w:r w:rsidRPr="00C37CFC">
        <w:rPr>
          <w:iCs/>
          <w:noProof/>
          <w:szCs w:val="22"/>
        </w:rPr>
        <w:t xml:space="preserve">2 </w:t>
      </w:r>
      <w:r>
        <w:rPr>
          <w:iCs/>
          <w:noProof/>
          <w:szCs w:val="22"/>
        </w:rPr>
        <w:t xml:space="preserve">years </w:t>
      </w:r>
      <w:r w:rsidRPr="00C37CFC">
        <w:rPr>
          <w:iCs/>
          <w:noProof/>
          <w:szCs w:val="22"/>
        </w:rPr>
        <w:t xml:space="preserve">to 12 years of age </w:t>
      </w:r>
      <w:r>
        <w:rPr>
          <w:iCs/>
          <w:noProof/>
          <w:szCs w:val="22"/>
        </w:rPr>
        <w:t xml:space="preserve">(inclusive) </w:t>
      </w:r>
      <w:r w:rsidRPr="00C37CFC">
        <w:rPr>
          <w:iCs/>
          <w:noProof/>
          <w:szCs w:val="22"/>
        </w:rPr>
        <w:t xml:space="preserve">and in </w:t>
      </w:r>
      <w:r>
        <w:rPr>
          <w:iCs/>
          <w:noProof/>
          <w:szCs w:val="22"/>
        </w:rPr>
        <w:t xml:space="preserve">15 </w:t>
      </w:r>
      <w:r w:rsidRPr="00C37CFC">
        <w:rPr>
          <w:iCs/>
          <w:noProof/>
          <w:szCs w:val="22"/>
        </w:rPr>
        <w:t xml:space="preserve">paediatric subjects </w:t>
      </w:r>
      <w:r>
        <w:rPr>
          <w:iCs/>
          <w:noProof/>
          <w:szCs w:val="22"/>
        </w:rPr>
        <w:t xml:space="preserve">aged older than </w:t>
      </w:r>
      <w:r w:rsidRPr="00C37CFC">
        <w:rPr>
          <w:iCs/>
          <w:noProof/>
          <w:szCs w:val="22"/>
        </w:rPr>
        <w:t xml:space="preserve">12 </w:t>
      </w:r>
      <w:r>
        <w:rPr>
          <w:iCs/>
          <w:noProof/>
          <w:szCs w:val="22"/>
        </w:rPr>
        <w:t>years to less than 17 years. Th</w:t>
      </w:r>
      <w:r w:rsidRPr="00C37CFC">
        <w:rPr>
          <w:iCs/>
          <w:noProof/>
          <w:szCs w:val="22"/>
        </w:rPr>
        <w:t>ere were no differences in the pharmacokinetics, safety</w:t>
      </w:r>
      <w:r>
        <w:rPr>
          <w:iCs/>
          <w:noProof/>
          <w:szCs w:val="22"/>
        </w:rPr>
        <w:t xml:space="preserve"> </w:t>
      </w:r>
      <w:r w:rsidRPr="00C37CFC">
        <w:rPr>
          <w:iCs/>
          <w:noProof/>
          <w:szCs w:val="22"/>
        </w:rPr>
        <w:t>and efficacy profiles as compared with adult subjects. No paediatric-specific dose requirements were</w:t>
      </w:r>
      <w:r>
        <w:rPr>
          <w:iCs/>
          <w:noProof/>
          <w:szCs w:val="22"/>
        </w:rPr>
        <w:t xml:space="preserve"> </w:t>
      </w:r>
      <w:r w:rsidRPr="00C37CFC">
        <w:rPr>
          <w:iCs/>
          <w:noProof/>
          <w:szCs w:val="22"/>
        </w:rPr>
        <w:t>necessary to achieve the desired serum IgG levels. No differences were seen in the pharmacodynamic</w:t>
      </w:r>
      <w:r>
        <w:rPr>
          <w:iCs/>
          <w:noProof/>
          <w:szCs w:val="22"/>
        </w:rPr>
        <w:t xml:space="preserve"> </w:t>
      </w:r>
      <w:r w:rsidRPr="00C37CFC">
        <w:rPr>
          <w:iCs/>
          <w:noProof/>
          <w:szCs w:val="22"/>
        </w:rPr>
        <w:t>properties between adult and paediatric study patients with PI</w:t>
      </w:r>
      <w:r>
        <w:rPr>
          <w:iCs/>
          <w:noProof/>
          <w:szCs w:val="22"/>
        </w:rPr>
        <w:t>D.</w:t>
      </w:r>
      <w:r w:rsidR="00444E3D" w:rsidRPr="00444E3D">
        <w:t xml:space="preserve"> </w:t>
      </w:r>
      <w:r w:rsidR="00444E3D" w:rsidRPr="008B20CA">
        <w:rPr>
          <w:iCs/>
          <w:noProof/>
          <w:szCs w:val="22"/>
        </w:rPr>
        <w:t>Paediatric patients &lt;2 years of age were not included in studies and subsequently there is lack of data specific to this population.</w:t>
      </w:r>
    </w:p>
    <w:bookmarkEnd w:id="13"/>
    <w:p w14:paraId="22926A45" w14:textId="77777777" w:rsidR="00201DF5" w:rsidRDefault="00201DF5" w:rsidP="00201DF5">
      <w:pPr>
        <w:numPr>
          <w:ilvl w:val="12"/>
          <w:numId w:val="0"/>
        </w:numPr>
        <w:spacing w:line="240" w:lineRule="auto"/>
        <w:ind w:right="-2"/>
        <w:rPr>
          <w:iCs/>
          <w:noProof/>
          <w:szCs w:val="22"/>
        </w:rPr>
      </w:pPr>
    </w:p>
    <w:p w14:paraId="3310ACB3" w14:textId="77777777" w:rsidR="00201DF5" w:rsidRPr="00286D0B" w:rsidRDefault="00201DF5" w:rsidP="00286D0B">
      <w:pPr>
        <w:numPr>
          <w:ilvl w:val="12"/>
          <w:numId w:val="0"/>
        </w:numPr>
        <w:spacing w:line="240" w:lineRule="auto"/>
        <w:ind w:right="-2"/>
      </w:pPr>
    </w:p>
    <w:p w14:paraId="21BE2EDD" w14:textId="77777777" w:rsidR="00201DF5" w:rsidRPr="00EB595B" w:rsidRDefault="00201DF5" w:rsidP="00ED5CBE">
      <w:pPr>
        <w:keepNext/>
        <w:spacing w:line="240" w:lineRule="auto"/>
        <w:ind w:left="562" w:hanging="562"/>
        <w:outlineLvl w:val="1"/>
        <w:rPr>
          <w:b/>
          <w:noProof/>
          <w:szCs w:val="22"/>
        </w:rPr>
      </w:pPr>
      <w:r w:rsidRPr="00EB595B">
        <w:rPr>
          <w:b/>
          <w:noProof/>
          <w:szCs w:val="22"/>
        </w:rPr>
        <w:t>5.2</w:t>
      </w:r>
      <w:r w:rsidRPr="00EB595B">
        <w:rPr>
          <w:b/>
          <w:noProof/>
          <w:szCs w:val="22"/>
        </w:rPr>
        <w:tab/>
        <w:t>Pharmacokinetic properties</w:t>
      </w:r>
    </w:p>
    <w:p w14:paraId="181893FA" w14:textId="77777777" w:rsidR="00201DF5" w:rsidRPr="00AE0D51" w:rsidRDefault="00201DF5" w:rsidP="00201DF5">
      <w:pPr>
        <w:keepNext/>
        <w:numPr>
          <w:ilvl w:val="12"/>
          <w:numId w:val="0"/>
        </w:numPr>
        <w:spacing w:line="240" w:lineRule="auto"/>
        <w:rPr>
          <w:iCs/>
          <w:noProof/>
          <w:szCs w:val="22"/>
        </w:rPr>
      </w:pPr>
    </w:p>
    <w:p w14:paraId="01F1A070" w14:textId="77777777" w:rsidR="00201DF5" w:rsidRDefault="00201DF5" w:rsidP="00201DF5">
      <w:pPr>
        <w:numPr>
          <w:ilvl w:val="12"/>
          <w:numId w:val="0"/>
        </w:numPr>
        <w:spacing w:line="240" w:lineRule="auto"/>
        <w:ind w:right="-2"/>
      </w:pPr>
      <w:r w:rsidRPr="00A71E45">
        <w:t xml:space="preserve">Following subcutaneous administration of </w:t>
      </w:r>
      <w:r w:rsidR="00805A20">
        <w:t>Xembify</w:t>
      </w:r>
      <w:r w:rsidR="00805A20" w:rsidRPr="00805A20">
        <w:rPr>
          <w:vertAlign w:val="superscript"/>
        </w:rPr>
        <w:t>®</w:t>
      </w:r>
      <w:r w:rsidRPr="00A71E45">
        <w:t xml:space="preserve">, peak serum levels are achieved after </w:t>
      </w:r>
      <w:r w:rsidRPr="009F701E">
        <w:t>approximately three days</w:t>
      </w:r>
      <w:r w:rsidRPr="00A71E45">
        <w:t>.</w:t>
      </w:r>
    </w:p>
    <w:p w14:paraId="2DA48829" w14:textId="77777777" w:rsidR="00201DF5" w:rsidRPr="00A71E45" w:rsidRDefault="00201DF5" w:rsidP="00201DF5">
      <w:pPr>
        <w:numPr>
          <w:ilvl w:val="12"/>
          <w:numId w:val="0"/>
        </w:numPr>
        <w:spacing w:line="240" w:lineRule="auto"/>
        <w:ind w:right="-2"/>
      </w:pPr>
    </w:p>
    <w:p w14:paraId="1C084B77" w14:textId="77777777" w:rsidR="00201DF5" w:rsidRPr="008561BA" w:rsidRDefault="00201DF5" w:rsidP="00201DF5">
      <w:pPr>
        <w:numPr>
          <w:ilvl w:val="12"/>
          <w:numId w:val="0"/>
        </w:numPr>
        <w:spacing w:line="240" w:lineRule="auto"/>
        <w:ind w:right="-2"/>
        <w:rPr>
          <w:color w:val="000000"/>
          <w:szCs w:val="22"/>
          <w:lang w:eastAsia="es-ES"/>
        </w:rPr>
      </w:pPr>
      <w:r w:rsidRPr="008561BA">
        <w:rPr>
          <w:color w:val="000000"/>
          <w:szCs w:val="22"/>
          <w:lang w:eastAsia="es-ES"/>
        </w:rPr>
        <w:t xml:space="preserve">In a clinical trial with </w:t>
      </w:r>
      <w:r w:rsidR="00805A20">
        <w:rPr>
          <w:color w:val="000000"/>
          <w:szCs w:val="22"/>
          <w:lang w:eastAsia="es-ES"/>
        </w:rPr>
        <w:t>Xembify</w:t>
      </w:r>
      <w:r w:rsidR="00805A20" w:rsidRPr="00805A20">
        <w:rPr>
          <w:color w:val="000000"/>
          <w:szCs w:val="22"/>
          <w:vertAlign w:val="superscript"/>
          <w:lang w:eastAsia="es-ES"/>
        </w:rPr>
        <w:t>®</w:t>
      </w:r>
      <w:r w:rsidR="00805A20">
        <w:rPr>
          <w:color w:val="000000"/>
          <w:szCs w:val="22"/>
          <w:lang w:eastAsia="es-ES"/>
        </w:rPr>
        <w:t xml:space="preserve"> </w:t>
      </w:r>
      <w:r w:rsidRPr="008561BA">
        <w:rPr>
          <w:color w:val="000000"/>
          <w:szCs w:val="22"/>
          <w:lang w:eastAsia="es-ES"/>
        </w:rPr>
        <w:t xml:space="preserve">(n = 61) in Europe, the subjects achieved sustained IgG trough levels (median 909.10 mg/dl) over a period of 52 weeks when receiving median weekly doses of 113.0 mg/kg. Data from the clinical trial of </w:t>
      </w:r>
      <w:r w:rsidR="00805A20">
        <w:rPr>
          <w:color w:val="000000"/>
          <w:szCs w:val="22"/>
          <w:lang w:eastAsia="es-ES"/>
        </w:rPr>
        <w:t>Xembify</w:t>
      </w:r>
      <w:r w:rsidR="00805A20" w:rsidRPr="00805A20">
        <w:rPr>
          <w:color w:val="000000"/>
          <w:szCs w:val="22"/>
          <w:vertAlign w:val="superscript"/>
          <w:lang w:eastAsia="es-ES"/>
        </w:rPr>
        <w:t>®</w:t>
      </w:r>
      <w:r w:rsidR="00805A20">
        <w:rPr>
          <w:color w:val="000000"/>
          <w:szCs w:val="22"/>
          <w:lang w:eastAsia="es-ES"/>
        </w:rPr>
        <w:t xml:space="preserve"> </w:t>
      </w:r>
      <w:r w:rsidRPr="008561BA">
        <w:rPr>
          <w:color w:val="000000"/>
          <w:szCs w:val="22"/>
          <w:lang w:eastAsia="es-ES"/>
        </w:rPr>
        <w:t>show that serum IgG trough levels can be maintained by dosing regimens of 400 to 848 mg/kg body weight/4 weeks.</w:t>
      </w:r>
    </w:p>
    <w:p w14:paraId="0543D20D" w14:textId="77777777" w:rsidR="00201DF5" w:rsidRPr="008561BA" w:rsidRDefault="00201DF5" w:rsidP="00201DF5">
      <w:pPr>
        <w:numPr>
          <w:ilvl w:val="12"/>
          <w:numId w:val="0"/>
        </w:numPr>
        <w:spacing w:line="240" w:lineRule="auto"/>
        <w:ind w:right="-2"/>
        <w:rPr>
          <w:color w:val="000000"/>
          <w:szCs w:val="22"/>
          <w:lang w:eastAsia="es-ES"/>
        </w:rPr>
      </w:pPr>
    </w:p>
    <w:p w14:paraId="15DDEA95" w14:textId="77777777" w:rsidR="00201DF5" w:rsidRPr="008561BA" w:rsidRDefault="00201DF5" w:rsidP="00201DF5">
      <w:pPr>
        <w:numPr>
          <w:ilvl w:val="12"/>
          <w:numId w:val="0"/>
        </w:numPr>
        <w:spacing w:line="240" w:lineRule="auto"/>
        <w:ind w:right="-2"/>
        <w:rPr>
          <w:color w:val="000000"/>
          <w:szCs w:val="22"/>
          <w:lang w:eastAsia="es-ES"/>
        </w:rPr>
      </w:pPr>
      <w:r w:rsidRPr="008561BA">
        <w:rPr>
          <w:color w:val="000000"/>
          <w:szCs w:val="22"/>
          <w:lang w:eastAsia="es-ES"/>
        </w:rPr>
        <w:t xml:space="preserve">The pharmacokinetics of </w:t>
      </w:r>
      <w:r w:rsidR="00805A20">
        <w:rPr>
          <w:color w:val="000000"/>
          <w:szCs w:val="22"/>
          <w:lang w:eastAsia="es-ES"/>
        </w:rPr>
        <w:t>Xembify</w:t>
      </w:r>
      <w:r w:rsidR="00805A20" w:rsidRPr="00805A20">
        <w:rPr>
          <w:color w:val="000000"/>
          <w:szCs w:val="22"/>
          <w:vertAlign w:val="superscript"/>
          <w:lang w:eastAsia="es-ES"/>
        </w:rPr>
        <w:t>®</w:t>
      </w:r>
      <w:r w:rsidRPr="008561BA">
        <w:rPr>
          <w:color w:val="000000"/>
          <w:szCs w:val="22"/>
          <w:lang w:eastAsia="es-ES"/>
        </w:rPr>
        <w:t xml:space="preserve"> were evaluated in the phase 3 efficacy and safety study in 27 adult patients with PI. The pharmacokinetic results are presented in the table below.</w:t>
      </w:r>
    </w:p>
    <w:p w14:paraId="7D7D0FE5" w14:textId="77777777" w:rsidR="00201DF5" w:rsidRPr="008561BA" w:rsidRDefault="00201DF5" w:rsidP="00201DF5">
      <w:pPr>
        <w:numPr>
          <w:ilvl w:val="12"/>
          <w:numId w:val="0"/>
        </w:numPr>
        <w:spacing w:line="240" w:lineRule="auto"/>
        <w:ind w:right="-2"/>
        <w:rPr>
          <w:color w:val="000000"/>
          <w:szCs w:val="22"/>
          <w:lang w:eastAsia="es-ES"/>
        </w:rPr>
      </w:pPr>
    </w:p>
    <w:p w14:paraId="41D7C61E" w14:textId="77777777" w:rsidR="00201DF5" w:rsidRPr="00440323" w:rsidRDefault="00201DF5" w:rsidP="00E817FF">
      <w:pPr>
        <w:pStyle w:val="TableTitle"/>
      </w:pPr>
      <w:r w:rsidRPr="006C4336">
        <w:lastRenderedPageBreak/>
        <w:t xml:space="preserve">Pharmacokinetic Parameters of Serum Total IgG for </w:t>
      </w:r>
      <w:r w:rsidR="00805A20">
        <w:t>Xembify</w:t>
      </w:r>
      <w:r w:rsidR="00805A20" w:rsidRPr="00805A20">
        <w:rPr>
          <w:vertAlign w:val="superscript"/>
        </w:rPr>
        <w:t>®</w:t>
      </w:r>
      <w:r w:rsidR="00805A20">
        <w:t xml:space="preserve"> </w:t>
      </w:r>
      <w:r w:rsidRPr="002706BF">
        <w:t>(PK Population)</w:t>
      </w:r>
    </w:p>
    <w:tbl>
      <w:tblPr>
        <w:tblW w:w="8328" w:type="dxa"/>
        <w:tblInd w:w="10" w:type="dxa"/>
        <w:tblLayout w:type="fixed"/>
        <w:tblCellMar>
          <w:left w:w="0" w:type="dxa"/>
          <w:right w:w="0" w:type="dxa"/>
        </w:tblCellMar>
        <w:tblLook w:val="04A0" w:firstRow="1" w:lastRow="0" w:firstColumn="1" w:lastColumn="0" w:noHBand="0" w:noVBand="1"/>
      </w:tblPr>
      <w:tblGrid>
        <w:gridCol w:w="2610"/>
        <w:gridCol w:w="2070"/>
        <w:gridCol w:w="1980"/>
        <w:gridCol w:w="1668"/>
      </w:tblGrid>
      <w:tr w:rsidR="00201DF5" w:rsidRPr="0008549A" w14:paraId="747A0204" w14:textId="77777777" w:rsidTr="009511B8">
        <w:trPr>
          <w:cantSplit/>
          <w:tblHeader/>
        </w:trPr>
        <w:tc>
          <w:tcPr>
            <w:tcW w:w="2610" w:type="dxa"/>
            <w:vMerge w:val="restart"/>
            <w:tcBorders>
              <w:top w:val="single" w:sz="4" w:space="0" w:color="auto"/>
              <w:left w:val="single" w:sz="4" w:space="0" w:color="auto"/>
              <w:right w:val="single" w:sz="4" w:space="0" w:color="auto"/>
            </w:tcBorders>
            <w:shd w:val="clear" w:color="auto" w:fill="FFFFFF"/>
            <w:tcMar>
              <w:top w:w="0" w:type="dxa"/>
              <w:left w:w="10" w:type="dxa"/>
              <w:bottom w:w="0" w:type="dxa"/>
              <w:right w:w="10" w:type="dxa"/>
            </w:tcMar>
            <w:vAlign w:val="bottom"/>
          </w:tcPr>
          <w:p w14:paraId="0DD8458B" w14:textId="77777777" w:rsidR="00201DF5" w:rsidRPr="0008549A" w:rsidRDefault="00201DF5" w:rsidP="00CD7C87">
            <w:pPr>
              <w:jc w:val="center"/>
              <w:rPr>
                <w:b/>
                <w:sz w:val="20"/>
              </w:rPr>
            </w:pPr>
            <w:r w:rsidRPr="0008549A">
              <w:rPr>
                <w:b/>
                <w:sz w:val="20"/>
              </w:rPr>
              <w:t xml:space="preserve">Statistic </w:t>
            </w:r>
          </w:p>
        </w:tc>
        <w:tc>
          <w:tcPr>
            <w:tcW w:w="571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bottom"/>
            <w:hideMark/>
          </w:tcPr>
          <w:p w14:paraId="3CF09467" w14:textId="77777777" w:rsidR="00201DF5" w:rsidRPr="0008549A" w:rsidRDefault="00201DF5" w:rsidP="00CD7C87">
            <w:pPr>
              <w:jc w:val="center"/>
              <w:rPr>
                <w:b/>
                <w:sz w:val="20"/>
              </w:rPr>
            </w:pPr>
            <w:r w:rsidRPr="0008549A">
              <w:rPr>
                <w:b/>
                <w:sz w:val="20"/>
              </w:rPr>
              <w:t>Pharmacokinetic Parameters</w:t>
            </w:r>
          </w:p>
        </w:tc>
      </w:tr>
      <w:tr w:rsidR="00201DF5" w:rsidRPr="0008549A" w14:paraId="0AC1D400" w14:textId="77777777" w:rsidTr="009511B8">
        <w:trPr>
          <w:cantSplit/>
          <w:tblHeader/>
        </w:trPr>
        <w:tc>
          <w:tcPr>
            <w:tcW w:w="2610" w:type="dxa"/>
            <w:vMerge/>
            <w:tcBorders>
              <w:left w:val="single" w:sz="4" w:space="0" w:color="auto"/>
              <w:bottom w:val="single" w:sz="12" w:space="0" w:color="auto"/>
              <w:right w:val="single" w:sz="4" w:space="0" w:color="auto"/>
            </w:tcBorders>
            <w:shd w:val="clear" w:color="auto" w:fill="FFFFFF"/>
            <w:tcMar>
              <w:top w:w="0" w:type="dxa"/>
              <w:left w:w="10" w:type="dxa"/>
              <w:bottom w:w="0" w:type="dxa"/>
              <w:right w:w="10" w:type="dxa"/>
            </w:tcMar>
            <w:vAlign w:val="bottom"/>
            <w:hideMark/>
          </w:tcPr>
          <w:p w14:paraId="07AC420D" w14:textId="77777777" w:rsidR="00201DF5" w:rsidRPr="0008549A" w:rsidRDefault="00201DF5" w:rsidP="00CD7C87">
            <w:pPr>
              <w:jc w:val="center"/>
              <w:rPr>
                <w:b/>
                <w:sz w:val="20"/>
              </w:rPr>
            </w:pPr>
          </w:p>
        </w:tc>
        <w:tc>
          <w:tcPr>
            <w:tcW w:w="2070" w:type="dxa"/>
            <w:tcBorders>
              <w:top w:val="single" w:sz="4" w:space="0" w:color="auto"/>
              <w:left w:val="single" w:sz="4" w:space="0" w:color="auto"/>
              <w:bottom w:val="single" w:sz="12" w:space="0" w:color="auto"/>
              <w:right w:val="single" w:sz="4" w:space="0" w:color="auto"/>
            </w:tcBorders>
            <w:shd w:val="clear" w:color="auto" w:fill="FFFFFF"/>
            <w:tcMar>
              <w:top w:w="0" w:type="dxa"/>
              <w:left w:w="10" w:type="dxa"/>
              <w:bottom w:w="0" w:type="dxa"/>
              <w:right w:w="10" w:type="dxa"/>
            </w:tcMar>
            <w:vAlign w:val="bottom"/>
            <w:hideMark/>
          </w:tcPr>
          <w:p w14:paraId="766EA417" w14:textId="77777777" w:rsidR="00201DF5" w:rsidRPr="0008549A" w:rsidRDefault="00201DF5" w:rsidP="00CD7C87">
            <w:pPr>
              <w:jc w:val="center"/>
              <w:rPr>
                <w:b/>
                <w:sz w:val="20"/>
              </w:rPr>
            </w:pPr>
            <w:r w:rsidRPr="0008549A">
              <w:rPr>
                <w:b/>
                <w:sz w:val="20"/>
              </w:rPr>
              <w:t>AUC</w:t>
            </w:r>
            <w:r w:rsidRPr="0008549A">
              <w:rPr>
                <w:b/>
                <w:sz w:val="20"/>
                <w:vertAlign w:val="subscript"/>
              </w:rPr>
              <w:t>0-7 days</w:t>
            </w:r>
          </w:p>
          <w:p w14:paraId="0D9A0F7A" w14:textId="77777777" w:rsidR="00201DF5" w:rsidRPr="0008549A" w:rsidRDefault="00201DF5" w:rsidP="00CD7C87">
            <w:pPr>
              <w:jc w:val="center"/>
              <w:rPr>
                <w:b/>
                <w:sz w:val="20"/>
              </w:rPr>
            </w:pPr>
            <w:r w:rsidRPr="0008549A">
              <w:rPr>
                <w:b/>
                <w:sz w:val="20"/>
              </w:rPr>
              <w:t>(h*mg/d</w:t>
            </w:r>
            <w:r>
              <w:rPr>
                <w:b/>
                <w:sz w:val="20"/>
              </w:rPr>
              <w:t>l</w:t>
            </w:r>
            <w:r w:rsidRPr="0008549A">
              <w:rPr>
                <w:b/>
                <w:sz w:val="20"/>
              </w:rPr>
              <w:t>)</w:t>
            </w:r>
          </w:p>
        </w:tc>
        <w:tc>
          <w:tcPr>
            <w:tcW w:w="1980" w:type="dxa"/>
            <w:tcBorders>
              <w:top w:val="single" w:sz="4" w:space="0" w:color="auto"/>
              <w:left w:val="single" w:sz="4" w:space="0" w:color="auto"/>
              <w:bottom w:val="single" w:sz="12" w:space="0" w:color="auto"/>
              <w:right w:val="single" w:sz="4" w:space="0" w:color="auto"/>
            </w:tcBorders>
            <w:shd w:val="clear" w:color="auto" w:fill="FFFFFF"/>
            <w:tcMar>
              <w:top w:w="0" w:type="dxa"/>
              <w:left w:w="10" w:type="dxa"/>
              <w:bottom w:w="0" w:type="dxa"/>
              <w:right w:w="10" w:type="dxa"/>
            </w:tcMar>
            <w:vAlign w:val="bottom"/>
            <w:hideMark/>
          </w:tcPr>
          <w:p w14:paraId="6A507E61" w14:textId="77777777" w:rsidR="00201DF5" w:rsidRPr="0008549A" w:rsidRDefault="00201DF5" w:rsidP="00CD7C87">
            <w:pPr>
              <w:jc w:val="center"/>
              <w:rPr>
                <w:b/>
                <w:sz w:val="20"/>
              </w:rPr>
            </w:pPr>
            <w:proofErr w:type="spellStart"/>
            <w:r w:rsidRPr="0008549A">
              <w:rPr>
                <w:b/>
                <w:sz w:val="20"/>
              </w:rPr>
              <w:t>C</w:t>
            </w:r>
            <w:r w:rsidRPr="0008549A">
              <w:rPr>
                <w:b/>
                <w:sz w:val="20"/>
                <w:vertAlign w:val="subscript"/>
              </w:rPr>
              <w:t>max</w:t>
            </w:r>
            <w:proofErr w:type="spellEnd"/>
            <w:r w:rsidRPr="0008549A">
              <w:rPr>
                <w:b/>
                <w:sz w:val="20"/>
              </w:rPr>
              <w:t xml:space="preserve"> </w:t>
            </w:r>
          </w:p>
          <w:p w14:paraId="2D0D3EE2" w14:textId="77777777" w:rsidR="00201DF5" w:rsidRPr="0008549A" w:rsidRDefault="00201DF5" w:rsidP="00CD7C87">
            <w:pPr>
              <w:jc w:val="center"/>
              <w:rPr>
                <w:b/>
                <w:sz w:val="20"/>
              </w:rPr>
            </w:pPr>
            <w:r w:rsidRPr="0008549A">
              <w:rPr>
                <w:b/>
                <w:sz w:val="20"/>
              </w:rPr>
              <w:t>(mg/d</w:t>
            </w:r>
            <w:r>
              <w:rPr>
                <w:b/>
                <w:sz w:val="20"/>
              </w:rPr>
              <w:t>l</w:t>
            </w:r>
            <w:r w:rsidRPr="0008549A">
              <w:rPr>
                <w:b/>
                <w:sz w:val="20"/>
              </w:rPr>
              <w:t>)</w:t>
            </w:r>
          </w:p>
        </w:tc>
        <w:tc>
          <w:tcPr>
            <w:tcW w:w="1668" w:type="dxa"/>
            <w:tcBorders>
              <w:top w:val="single" w:sz="4" w:space="0" w:color="auto"/>
              <w:left w:val="single" w:sz="4" w:space="0" w:color="auto"/>
              <w:bottom w:val="single" w:sz="12" w:space="0" w:color="auto"/>
              <w:right w:val="single" w:sz="4" w:space="0" w:color="auto"/>
            </w:tcBorders>
            <w:shd w:val="clear" w:color="auto" w:fill="FFFFFF"/>
            <w:tcMar>
              <w:top w:w="0" w:type="dxa"/>
              <w:left w:w="10" w:type="dxa"/>
              <w:bottom w:w="0" w:type="dxa"/>
              <w:right w:w="10" w:type="dxa"/>
            </w:tcMar>
            <w:vAlign w:val="bottom"/>
            <w:hideMark/>
          </w:tcPr>
          <w:p w14:paraId="7032304D" w14:textId="77777777" w:rsidR="00201DF5" w:rsidRPr="0008549A" w:rsidRDefault="00201DF5" w:rsidP="00CD7C87">
            <w:pPr>
              <w:jc w:val="center"/>
              <w:rPr>
                <w:b/>
                <w:sz w:val="20"/>
              </w:rPr>
            </w:pPr>
            <w:proofErr w:type="spellStart"/>
            <w:r w:rsidRPr="0008549A">
              <w:rPr>
                <w:b/>
                <w:sz w:val="20"/>
              </w:rPr>
              <w:t>T</w:t>
            </w:r>
            <w:r w:rsidRPr="0008549A">
              <w:rPr>
                <w:b/>
                <w:sz w:val="20"/>
                <w:vertAlign w:val="subscript"/>
              </w:rPr>
              <w:t>max</w:t>
            </w:r>
            <w:proofErr w:type="spellEnd"/>
            <w:r w:rsidRPr="0008549A">
              <w:rPr>
                <w:b/>
                <w:sz w:val="20"/>
              </w:rPr>
              <w:t xml:space="preserve"> </w:t>
            </w:r>
          </w:p>
          <w:p w14:paraId="5073EFC2" w14:textId="77777777" w:rsidR="00201DF5" w:rsidRPr="0008549A" w:rsidRDefault="00201DF5" w:rsidP="00CD7C87">
            <w:pPr>
              <w:jc w:val="center"/>
              <w:rPr>
                <w:b/>
                <w:sz w:val="20"/>
              </w:rPr>
            </w:pPr>
            <w:r w:rsidRPr="0008549A">
              <w:rPr>
                <w:b/>
                <w:sz w:val="20"/>
              </w:rPr>
              <w:t>(h)</w:t>
            </w:r>
          </w:p>
        </w:tc>
      </w:tr>
      <w:tr w:rsidR="00201DF5" w:rsidRPr="0008549A" w14:paraId="4387B13F" w14:textId="77777777" w:rsidTr="009511B8">
        <w:trPr>
          <w:cantSplit/>
        </w:trPr>
        <w:tc>
          <w:tcPr>
            <w:tcW w:w="2610" w:type="dxa"/>
            <w:tcBorders>
              <w:top w:val="single" w:sz="12"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48EEB467" w14:textId="77777777" w:rsidR="00201DF5" w:rsidRPr="0008549A" w:rsidRDefault="00201DF5" w:rsidP="00CD7C87">
            <w:pPr>
              <w:ind w:firstLine="166"/>
              <w:rPr>
                <w:sz w:val="20"/>
              </w:rPr>
            </w:pPr>
            <w:r w:rsidRPr="0008549A">
              <w:rPr>
                <w:sz w:val="20"/>
              </w:rPr>
              <w:t>n</w:t>
            </w:r>
          </w:p>
        </w:tc>
        <w:tc>
          <w:tcPr>
            <w:tcW w:w="2070" w:type="dxa"/>
            <w:tcBorders>
              <w:top w:val="single" w:sz="12"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088BBA4C" w14:textId="77777777" w:rsidR="00201DF5" w:rsidRPr="0008549A" w:rsidRDefault="00201DF5" w:rsidP="00CD7C87">
            <w:pPr>
              <w:jc w:val="center"/>
              <w:rPr>
                <w:sz w:val="20"/>
              </w:rPr>
            </w:pPr>
            <w:r w:rsidRPr="0008549A">
              <w:rPr>
                <w:sz w:val="20"/>
              </w:rPr>
              <w:t>27</w:t>
            </w:r>
          </w:p>
        </w:tc>
        <w:tc>
          <w:tcPr>
            <w:tcW w:w="1980" w:type="dxa"/>
            <w:tcBorders>
              <w:top w:val="single" w:sz="12"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7376B825" w14:textId="77777777" w:rsidR="00201DF5" w:rsidRPr="0008549A" w:rsidRDefault="00201DF5" w:rsidP="00CD7C87">
            <w:pPr>
              <w:jc w:val="center"/>
              <w:rPr>
                <w:sz w:val="20"/>
              </w:rPr>
            </w:pPr>
            <w:r w:rsidRPr="0008549A">
              <w:rPr>
                <w:sz w:val="20"/>
              </w:rPr>
              <w:t>27</w:t>
            </w:r>
          </w:p>
        </w:tc>
        <w:tc>
          <w:tcPr>
            <w:tcW w:w="1668" w:type="dxa"/>
            <w:tcBorders>
              <w:top w:val="single" w:sz="12"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2C8348AC" w14:textId="77777777" w:rsidR="00201DF5" w:rsidRPr="0008549A" w:rsidRDefault="00201DF5" w:rsidP="00CD7C87">
            <w:pPr>
              <w:jc w:val="center"/>
              <w:rPr>
                <w:sz w:val="20"/>
              </w:rPr>
            </w:pPr>
            <w:r w:rsidRPr="0008549A">
              <w:rPr>
                <w:sz w:val="20"/>
              </w:rPr>
              <w:t>27</w:t>
            </w:r>
          </w:p>
        </w:tc>
      </w:tr>
      <w:tr w:rsidR="00201DF5" w:rsidRPr="0008549A" w14:paraId="398EF5AA" w14:textId="77777777" w:rsidTr="009511B8">
        <w:trPr>
          <w:cantSplit/>
        </w:trPr>
        <w:tc>
          <w:tcPr>
            <w:tcW w:w="2610"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47A791A8" w14:textId="77777777" w:rsidR="00201DF5" w:rsidRPr="0008549A" w:rsidRDefault="00201DF5" w:rsidP="00CD7C87">
            <w:pPr>
              <w:ind w:firstLine="166"/>
              <w:rPr>
                <w:sz w:val="20"/>
              </w:rPr>
            </w:pPr>
            <w:r w:rsidRPr="0008549A">
              <w:rPr>
                <w:sz w:val="20"/>
              </w:rPr>
              <w:t>Mean (SD)</w:t>
            </w: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028BB6B9" w14:textId="77777777" w:rsidR="00201DF5" w:rsidRPr="0008549A" w:rsidRDefault="00201DF5" w:rsidP="00CD7C87">
            <w:pPr>
              <w:jc w:val="center"/>
              <w:rPr>
                <w:sz w:val="20"/>
              </w:rPr>
            </w:pPr>
            <w:r w:rsidRPr="0008549A">
              <w:rPr>
                <w:sz w:val="20"/>
              </w:rPr>
              <w:t>177445.7 (31081.89)</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44ED7EC5" w14:textId="77777777" w:rsidR="00201DF5" w:rsidRPr="0008549A" w:rsidRDefault="00201DF5" w:rsidP="00CD7C87">
            <w:pPr>
              <w:jc w:val="center"/>
              <w:rPr>
                <w:sz w:val="20"/>
              </w:rPr>
            </w:pPr>
            <w:r w:rsidRPr="0008549A">
              <w:rPr>
                <w:sz w:val="20"/>
              </w:rPr>
              <w:t>1126.6 (190.11)</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662521CF" w14:textId="77777777" w:rsidR="00201DF5" w:rsidRPr="0008549A" w:rsidRDefault="00201DF5" w:rsidP="00CD7C87">
            <w:pPr>
              <w:jc w:val="center"/>
              <w:rPr>
                <w:sz w:val="20"/>
              </w:rPr>
            </w:pPr>
            <w:r w:rsidRPr="0008549A">
              <w:rPr>
                <w:sz w:val="20"/>
              </w:rPr>
              <w:t>50.78 (44.596)</w:t>
            </w:r>
          </w:p>
        </w:tc>
      </w:tr>
      <w:tr w:rsidR="00201DF5" w:rsidRPr="0008549A" w14:paraId="619E6443" w14:textId="77777777" w:rsidTr="009511B8">
        <w:trPr>
          <w:cantSplit/>
        </w:trPr>
        <w:tc>
          <w:tcPr>
            <w:tcW w:w="2610"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3C735113" w14:textId="77777777" w:rsidR="00201DF5" w:rsidRPr="0008549A" w:rsidRDefault="00201DF5" w:rsidP="00CD7C87">
            <w:pPr>
              <w:ind w:firstLine="166"/>
              <w:rPr>
                <w:sz w:val="20"/>
              </w:rPr>
            </w:pPr>
            <w:r w:rsidRPr="0008549A">
              <w:rPr>
                <w:sz w:val="20"/>
              </w:rPr>
              <w:t>CV%</w:t>
            </w: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2EFA2955" w14:textId="77777777" w:rsidR="00201DF5" w:rsidRPr="0008549A" w:rsidRDefault="00201DF5" w:rsidP="00CD7C87">
            <w:pPr>
              <w:jc w:val="center"/>
              <w:rPr>
                <w:sz w:val="20"/>
              </w:rPr>
            </w:pPr>
            <w:r w:rsidRPr="0008549A">
              <w:rPr>
                <w:sz w:val="20"/>
              </w:rPr>
              <w:t>18</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4E107D24" w14:textId="77777777" w:rsidR="00201DF5" w:rsidRPr="0008549A" w:rsidRDefault="00201DF5" w:rsidP="00CD7C87">
            <w:pPr>
              <w:jc w:val="center"/>
              <w:rPr>
                <w:sz w:val="20"/>
              </w:rPr>
            </w:pPr>
            <w:r w:rsidRPr="0008549A">
              <w:rPr>
                <w:sz w:val="20"/>
              </w:rPr>
              <w:t>17</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699DB10E" w14:textId="77777777" w:rsidR="00201DF5" w:rsidRPr="0008549A" w:rsidRDefault="00201DF5" w:rsidP="00CD7C87">
            <w:pPr>
              <w:jc w:val="center"/>
              <w:rPr>
                <w:sz w:val="20"/>
              </w:rPr>
            </w:pPr>
            <w:r w:rsidRPr="0008549A">
              <w:rPr>
                <w:sz w:val="20"/>
              </w:rPr>
              <w:t>87.8</w:t>
            </w:r>
          </w:p>
        </w:tc>
      </w:tr>
      <w:tr w:rsidR="00201DF5" w:rsidRPr="0008549A" w14:paraId="3DA1F10A" w14:textId="77777777" w:rsidTr="009511B8">
        <w:trPr>
          <w:cantSplit/>
        </w:trPr>
        <w:tc>
          <w:tcPr>
            <w:tcW w:w="2610"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14795A0D" w14:textId="77777777" w:rsidR="00201DF5" w:rsidRPr="0008549A" w:rsidRDefault="00201DF5" w:rsidP="00CD7C87">
            <w:pPr>
              <w:ind w:firstLine="166"/>
              <w:rPr>
                <w:sz w:val="20"/>
              </w:rPr>
            </w:pPr>
            <w:r w:rsidRPr="0008549A">
              <w:rPr>
                <w:sz w:val="20"/>
              </w:rPr>
              <w:t>Median</w:t>
            </w: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0E8053EE" w14:textId="77777777" w:rsidR="00201DF5" w:rsidRPr="0008549A" w:rsidRDefault="00201DF5" w:rsidP="00CD7C87">
            <w:pPr>
              <w:jc w:val="center"/>
              <w:rPr>
                <w:sz w:val="20"/>
              </w:rPr>
            </w:pPr>
            <w:r w:rsidRPr="0008549A">
              <w:rPr>
                <w:sz w:val="20"/>
              </w:rPr>
              <w:t>172369.0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6C209592" w14:textId="77777777" w:rsidR="00201DF5" w:rsidRPr="0008549A" w:rsidRDefault="00201DF5" w:rsidP="00CD7C87">
            <w:pPr>
              <w:jc w:val="center"/>
              <w:rPr>
                <w:sz w:val="20"/>
              </w:rPr>
            </w:pPr>
            <w:r w:rsidRPr="0008549A">
              <w:rPr>
                <w:sz w:val="20"/>
              </w:rPr>
              <w:t>1080.0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3916E026" w14:textId="77777777" w:rsidR="00201DF5" w:rsidRPr="0008549A" w:rsidRDefault="00201DF5" w:rsidP="00CD7C87">
            <w:pPr>
              <w:jc w:val="center"/>
              <w:rPr>
                <w:sz w:val="20"/>
              </w:rPr>
            </w:pPr>
            <w:r w:rsidRPr="0008549A">
              <w:rPr>
                <w:sz w:val="20"/>
              </w:rPr>
              <w:t>68.80</w:t>
            </w:r>
          </w:p>
        </w:tc>
      </w:tr>
      <w:tr w:rsidR="00201DF5" w:rsidRPr="0008549A" w14:paraId="41391A19" w14:textId="77777777" w:rsidTr="009511B8">
        <w:trPr>
          <w:cantSplit/>
        </w:trPr>
        <w:tc>
          <w:tcPr>
            <w:tcW w:w="2610"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08A8E14E" w14:textId="77777777" w:rsidR="00201DF5" w:rsidRPr="0008549A" w:rsidRDefault="00201DF5" w:rsidP="00CD7C87">
            <w:pPr>
              <w:ind w:firstLine="166"/>
              <w:rPr>
                <w:sz w:val="20"/>
              </w:rPr>
            </w:pPr>
            <w:r w:rsidRPr="0008549A">
              <w:rPr>
                <w:sz w:val="20"/>
              </w:rPr>
              <w:t>Min, Max</w:t>
            </w: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51D82A8D" w14:textId="77777777" w:rsidR="00201DF5" w:rsidRPr="0008549A" w:rsidRDefault="00201DF5" w:rsidP="00CD7C87">
            <w:pPr>
              <w:jc w:val="center"/>
              <w:rPr>
                <w:sz w:val="20"/>
              </w:rPr>
            </w:pPr>
            <w:r w:rsidRPr="0008549A">
              <w:rPr>
                <w:sz w:val="20"/>
              </w:rPr>
              <w:t>132728, 250410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6CE54C6B" w14:textId="77777777" w:rsidR="00201DF5" w:rsidRPr="0008549A" w:rsidRDefault="00201DF5" w:rsidP="00CD7C87">
            <w:pPr>
              <w:jc w:val="center"/>
              <w:rPr>
                <w:sz w:val="20"/>
              </w:rPr>
            </w:pPr>
            <w:r w:rsidRPr="0008549A">
              <w:rPr>
                <w:sz w:val="20"/>
              </w:rPr>
              <w:t>828, 1610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33B1A5F9" w14:textId="77777777" w:rsidR="00201DF5" w:rsidRPr="0008549A" w:rsidRDefault="00201DF5" w:rsidP="00CD7C87">
            <w:pPr>
              <w:jc w:val="center"/>
              <w:rPr>
                <w:sz w:val="20"/>
              </w:rPr>
            </w:pPr>
            <w:r w:rsidRPr="0008549A">
              <w:rPr>
                <w:sz w:val="20"/>
              </w:rPr>
              <w:t>0.0, 166.8</w:t>
            </w:r>
          </w:p>
        </w:tc>
      </w:tr>
      <w:tr w:rsidR="00201DF5" w:rsidRPr="0008549A" w14:paraId="0289DBDD" w14:textId="77777777" w:rsidTr="009511B8">
        <w:trPr>
          <w:cantSplit/>
        </w:trPr>
        <w:tc>
          <w:tcPr>
            <w:tcW w:w="2610"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46AB065A" w14:textId="77777777" w:rsidR="00201DF5" w:rsidRPr="0008549A" w:rsidRDefault="00201DF5" w:rsidP="00CD7C87">
            <w:pPr>
              <w:ind w:firstLine="166"/>
              <w:rPr>
                <w:sz w:val="20"/>
              </w:rPr>
            </w:pPr>
            <w:r w:rsidRPr="0008549A">
              <w:rPr>
                <w:sz w:val="20"/>
              </w:rPr>
              <w:t>Geometric Mean</w:t>
            </w: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2A1F794C" w14:textId="77777777" w:rsidR="00201DF5" w:rsidRPr="0008549A" w:rsidRDefault="00201DF5" w:rsidP="00CD7C87">
            <w:pPr>
              <w:jc w:val="center"/>
              <w:rPr>
                <w:sz w:val="20"/>
              </w:rPr>
            </w:pPr>
            <w:r w:rsidRPr="0008549A">
              <w:rPr>
                <w:sz w:val="20"/>
              </w:rPr>
              <w:t>175002.1</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147D20D8" w14:textId="77777777" w:rsidR="00201DF5" w:rsidRPr="0008549A" w:rsidRDefault="00201DF5" w:rsidP="00CD7C87">
            <w:pPr>
              <w:jc w:val="center"/>
              <w:rPr>
                <w:sz w:val="20"/>
              </w:rPr>
            </w:pPr>
            <w:r w:rsidRPr="0008549A">
              <w:rPr>
                <w:sz w:val="20"/>
              </w:rPr>
              <w:t>1112.2</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1F61B5D8" w14:textId="77777777" w:rsidR="00201DF5" w:rsidRPr="0008549A" w:rsidRDefault="00201DF5" w:rsidP="00CD7C87">
            <w:pPr>
              <w:jc w:val="center"/>
              <w:rPr>
                <w:sz w:val="20"/>
              </w:rPr>
            </w:pPr>
          </w:p>
        </w:tc>
      </w:tr>
      <w:tr w:rsidR="00201DF5" w:rsidRPr="0008549A" w14:paraId="149D571C" w14:textId="77777777" w:rsidTr="009511B8">
        <w:trPr>
          <w:cantSplit/>
        </w:trPr>
        <w:tc>
          <w:tcPr>
            <w:tcW w:w="2610"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7DC47031" w14:textId="77777777" w:rsidR="00201DF5" w:rsidRPr="0008549A" w:rsidRDefault="00201DF5" w:rsidP="00CD7C87">
            <w:pPr>
              <w:ind w:firstLine="166"/>
              <w:rPr>
                <w:sz w:val="20"/>
              </w:rPr>
            </w:pPr>
            <w:r w:rsidRPr="0008549A">
              <w:rPr>
                <w:sz w:val="20"/>
              </w:rPr>
              <w:t>90% CI for Geometric Mean</w:t>
            </w: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74110FDF" w14:textId="77777777" w:rsidR="00201DF5" w:rsidRPr="0008549A" w:rsidRDefault="00201DF5" w:rsidP="00CD7C87">
            <w:pPr>
              <w:jc w:val="center"/>
              <w:rPr>
                <w:sz w:val="20"/>
              </w:rPr>
            </w:pPr>
            <w:r w:rsidRPr="0008549A">
              <w:rPr>
                <w:sz w:val="20"/>
              </w:rPr>
              <w:t>165652.5, 184879.5</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4D9AC989" w14:textId="77777777" w:rsidR="00201DF5" w:rsidRPr="0008549A" w:rsidRDefault="00201DF5" w:rsidP="00CD7C87">
            <w:pPr>
              <w:jc w:val="center"/>
              <w:rPr>
                <w:sz w:val="20"/>
              </w:rPr>
            </w:pPr>
            <w:r w:rsidRPr="0008549A">
              <w:rPr>
                <w:sz w:val="20"/>
              </w:rPr>
              <w:t>1055.1, 1172.4</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4632596C" w14:textId="77777777" w:rsidR="00201DF5" w:rsidRPr="0008549A" w:rsidRDefault="00201DF5" w:rsidP="00CD7C87">
            <w:pPr>
              <w:jc w:val="center"/>
              <w:rPr>
                <w:sz w:val="20"/>
              </w:rPr>
            </w:pPr>
          </w:p>
        </w:tc>
      </w:tr>
      <w:tr w:rsidR="00201DF5" w:rsidRPr="0008549A" w14:paraId="336FF8F6" w14:textId="77777777" w:rsidTr="009511B8">
        <w:trPr>
          <w:cantSplit/>
        </w:trPr>
        <w:tc>
          <w:tcPr>
            <w:tcW w:w="8328" w:type="dxa"/>
            <w:gridSpan w:val="4"/>
            <w:tcBorders>
              <w:top w:val="single" w:sz="4" w:space="0" w:color="auto"/>
            </w:tcBorders>
            <w:shd w:val="clear" w:color="auto" w:fill="FFFFFF"/>
            <w:tcMar>
              <w:top w:w="0" w:type="dxa"/>
              <w:left w:w="10" w:type="dxa"/>
              <w:bottom w:w="0" w:type="dxa"/>
              <w:right w:w="10" w:type="dxa"/>
            </w:tcMar>
          </w:tcPr>
          <w:p w14:paraId="73237C99" w14:textId="77777777" w:rsidR="00201DF5" w:rsidRPr="0008549A" w:rsidRDefault="00201DF5" w:rsidP="00CD7C87">
            <w:pPr>
              <w:spacing w:after="60"/>
              <w:rPr>
                <w:sz w:val="20"/>
              </w:rPr>
            </w:pPr>
            <w:r w:rsidRPr="0008549A">
              <w:rPr>
                <w:sz w:val="20"/>
              </w:rPr>
              <w:t>CI = confidence interval; CV = coefficient of variation; SD = standard deviation</w:t>
            </w:r>
          </w:p>
        </w:tc>
      </w:tr>
    </w:tbl>
    <w:p w14:paraId="69AEC71D" w14:textId="77777777" w:rsidR="00201DF5" w:rsidRPr="008561BA" w:rsidRDefault="00201DF5" w:rsidP="00201DF5">
      <w:pPr>
        <w:numPr>
          <w:ilvl w:val="12"/>
          <w:numId w:val="0"/>
        </w:numPr>
        <w:spacing w:line="240" w:lineRule="auto"/>
        <w:ind w:right="-2"/>
        <w:rPr>
          <w:color w:val="000000"/>
          <w:szCs w:val="22"/>
          <w:lang w:eastAsia="es-ES"/>
        </w:rPr>
      </w:pPr>
    </w:p>
    <w:p w14:paraId="711983E4" w14:textId="77777777" w:rsidR="00201DF5" w:rsidRDefault="00201DF5" w:rsidP="00201DF5">
      <w:pPr>
        <w:numPr>
          <w:ilvl w:val="12"/>
          <w:numId w:val="0"/>
        </w:numPr>
        <w:spacing w:line="240" w:lineRule="auto"/>
        <w:ind w:right="-2"/>
        <w:rPr>
          <w:color w:val="000000"/>
          <w:szCs w:val="22"/>
          <w:lang w:eastAsia="es-ES"/>
        </w:rPr>
      </w:pPr>
    </w:p>
    <w:p w14:paraId="7AE5B24B" w14:textId="77777777" w:rsidR="00201DF5" w:rsidRDefault="00201DF5" w:rsidP="00201DF5">
      <w:pPr>
        <w:pStyle w:val="BodyTextIndent2"/>
        <w:spacing w:after="0" w:line="240" w:lineRule="auto"/>
        <w:ind w:left="0"/>
        <w:rPr>
          <w:color w:val="000000"/>
          <w:szCs w:val="22"/>
          <w:lang w:eastAsia="es-ES"/>
        </w:rPr>
      </w:pPr>
      <w:r w:rsidRPr="00A71E45">
        <w:rPr>
          <w:color w:val="000000"/>
          <w:szCs w:val="22"/>
          <w:lang w:eastAsia="es-ES"/>
        </w:rPr>
        <w:t>IgG and IgG-complexes are broken down in cells of the reticuloendothelial system.</w:t>
      </w:r>
    </w:p>
    <w:p w14:paraId="58F5D9CF" w14:textId="77777777" w:rsidR="00201DF5" w:rsidRDefault="00201DF5" w:rsidP="00201DF5">
      <w:pPr>
        <w:pStyle w:val="BodyTextIndent2"/>
        <w:spacing w:after="0" w:line="240" w:lineRule="auto"/>
        <w:ind w:left="0"/>
        <w:rPr>
          <w:color w:val="000000"/>
          <w:szCs w:val="22"/>
          <w:lang w:eastAsia="es-ES"/>
        </w:rPr>
      </w:pPr>
    </w:p>
    <w:p w14:paraId="6AB1D00F" w14:textId="77777777" w:rsidR="00201DF5" w:rsidRPr="001815A8" w:rsidRDefault="00201DF5" w:rsidP="00201DF5">
      <w:pPr>
        <w:keepNext/>
        <w:spacing w:line="240" w:lineRule="auto"/>
        <w:rPr>
          <w:bCs/>
          <w:iCs/>
          <w:szCs w:val="22"/>
          <w:u w:val="single"/>
        </w:rPr>
      </w:pPr>
      <w:r w:rsidRPr="001815A8">
        <w:rPr>
          <w:bCs/>
          <w:iCs/>
          <w:szCs w:val="22"/>
          <w:u w:val="single"/>
        </w:rPr>
        <w:t xml:space="preserve">Once </w:t>
      </w:r>
      <w:r w:rsidR="00341C10">
        <w:rPr>
          <w:bCs/>
          <w:iCs/>
          <w:szCs w:val="22"/>
          <w:u w:val="single"/>
        </w:rPr>
        <w:t>w</w:t>
      </w:r>
      <w:r w:rsidR="00341C10" w:rsidRPr="001815A8">
        <w:rPr>
          <w:bCs/>
          <w:iCs/>
          <w:szCs w:val="22"/>
          <w:u w:val="single"/>
        </w:rPr>
        <w:t>eekly</w:t>
      </w:r>
      <w:r w:rsidRPr="001815A8">
        <w:rPr>
          <w:bCs/>
          <w:iCs/>
          <w:szCs w:val="22"/>
          <w:u w:val="single"/>
        </w:rPr>
        <w:t xml:space="preserve">, </w:t>
      </w:r>
      <w:proofErr w:type="gramStart"/>
      <w:r w:rsidR="00341C10">
        <w:rPr>
          <w:bCs/>
          <w:iCs/>
          <w:szCs w:val="22"/>
          <w:u w:val="single"/>
        </w:rPr>
        <w:t>b</w:t>
      </w:r>
      <w:r w:rsidR="00341C10" w:rsidRPr="001815A8">
        <w:rPr>
          <w:bCs/>
          <w:iCs/>
          <w:szCs w:val="22"/>
          <w:u w:val="single"/>
        </w:rPr>
        <w:t>iweekly</w:t>
      </w:r>
      <w:proofErr w:type="gramEnd"/>
      <w:r w:rsidR="00341C10" w:rsidRPr="001815A8">
        <w:rPr>
          <w:bCs/>
          <w:iCs/>
          <w:szCs w:val="22"/>
          <w:u w:val="single"/>
        </w:rPr>
        <w:t xml:space="preserve"> </w:t>
      </w:r>
      <w:r w:rsidRPr="001815A8">
        <w:rPr>
          <w:bCs/>
          <w:iCs/>
          <w:szCs w:val="22"/>
          <w:u w:val="single"/>
        </w:rPr>
        <w:t xml:space="preserve">or more </w:t>
      </w:r>
      <w:r w:rsidR="00341C10">
        <w:rPr>
          <w:bCs/>
          <w:iCs/>
          <w:szCs w:val="22"/>
          <w:u w:val="single"/>
        </w:rPr>
        <w:t>f</w:t>
      </w:r>
      <w:r w:rsidR="00341C10" w:rsidRPr="001815A8">
        <w:rPr>
          <w:bCs/>
          <w:iCs/>
          <w:szCs w:val="22"/>
          <w:u w:val="single"/>
        </w:rPr>
        <w:t xml:space="preserve">requent </w:t>
      </w:r>
      <w:r w:rsidR="00341C10">
        <w:rPr>
          <w:bCs/>
          <w:iCs/>
          <w:szCs w:val="22"/>
          <w:u w:val="single"/>
        </w:rPr>
        <w:t>d</w:t>
      </w:r>
      <w:r w:rsidR="00341C10" w:rsidRPr="001815A8">
        <w:rPr>
          <w:bCs/>
          <w:iCs/>
          <w:szCs w:val="22"/>
          <w:u w:val="single"/>
        </w:rPr>
        <w:t xml:space="preserve">osing </w:t>
      </w:r>
      <w:r w:rsidRPr="001815A8">
        <w:rPr>
          <w:bCs/>
          <w:iCs/>
          <w:szCs w:val="22"/>
          <w:u w:val="single"/>
        </w:rPr>
        <w:t>(2</w:t>
      </w:r>
      <w:r w:rsidR="00890283">
        <w:rPr>
          <w:bCs/>
          <w:iCs/>
          <w:szCs w:val="22"/>
          <w:u w:val="single"/>
        </w:rPr>
        <w:t xml:space="preserve"> to </w:t>
      </w:r>
      <w:r w:rsidRPr="001815A8">
        <w:rPr>
          <w:bCs/>
          <w:iCs/>
          <w:szCs w:val="22"/>
          <w:u w:val="single"/>
        </w:rPr>
        <w:t>7 times per week)</w:t>
      </w:r>
    </w:p>
    <w:p w14:paraId="4287C4F0" w14:textId="77777777" w:rsidR="00201DF5" w:rsidRDefault="00201DF5" w:rsidP="00201DF5">
      <w:pPr>
        <w:keepNext/>
        <w:spacing w:line="240" w:lineRule="auto"/>
        <w:rPr>
          <w:bCs/>
          <w:iCs/>
          <w:szCs w:val="22"/>
        </w:rPr>
      </w:pPr>
    </w:p>
    <w:p w14:paraId="6D9AFDD5" w14:textId="77777777" w:rsidR="00201DF5" w:rsidRPr="009F701E" w:rsidRDefault="00201DF5" w:rsidP="001E6C47">
      <w:pPr>
        <w:spacing w:line="240" w:lineRule="auto"/>
        <w:rPr>
          <w:bCs/>
          <w:iCs/>
          <w:szCs w:val="22"/>
        </w:rPr>
      </w:pPr>
      <w:r w:rsidRPr="009F701E">
        <w:rPr>
          <w:bCs/>
          <w:iCs/>
          <w:szCs w:val="22"/>
        </w:rPr>
        <w:t xml:space="preserve">Pharmacokinetic (PK) characterization of biweekly or more frequent dosing of </w:t>
      </w:r>
      <w:r w:rsidR="00805A20">
        <w:rPr>
          <w:bCs/>
          <w:iCs/>
          <w:szCs w:val="22"/>
        </w:rPr>
        <w:t>Xembify</w:t>
      </w:r>
      <w:r w:rsidR="00805A20" w:rsidRPr="00805A20">
        <w:rPr>
          <w:bCs/>
          <w:iCs/>
          <w:szCs w:val="22"/>
          <w:vertAlign w:val="superscript"/>
        </w:rPr>
        <w:t>®</w:t>
      </w:r>
      <w:r w:rsidRPr="009F701E">
        <w:rPr>
          <w:bCs/>
          <w:iCs/>
          <w:szCs w:val="22"/>
        </w:rPr>
        <w:t xml:space="preserve"> was undertaken</w:t>
      </w:r>
      <w:r>
        <w:rPr>
          <w:bCs/>
          <w:iCs/>
          <w:szCs w:val="22"/>
        </w:rPr>
        <w:t xml:space="preserve"> </w:t>
      </w:r>
      <w:r w:rsidRPr="009F701E">
        <w:rPr>
          <w:bCs/>
          <w:iCs/>
          <w:szCs w:val="22"/>
        </w:rPr>
        <w:t xml:space="preserve">using population PK-based modelling and simulation. Serum IgG concentration data consisted of </w:t>
      </w:r>
      <w:r>
        <w:rPr>
          <w:bCs/>
          <w:iCs/>
          <w:szCs w:val="22"/>
        </w:rPr>
        <w:t xml:space="preserve">1841 </w:t>
      </w:r>
      <w:r w:rsidRPr="009F701E">
        <w:rPr>
          <w:bCs/>
          <w:iCs/>
          <w:szCs w:val="22"/>
        </w:rPr>
        <w:t xml:space="preserve">samples from </w:t>
      </w:r>
      <w:r>
        <w:rPr>
          <w:bCs/>
          <w:iCs/>
          <w:szCs w:val="22"/>
        </w:rPr>
        <w:t>95</w:t>
      </w:r>
      <w:r w:rsidRPr="009F701E">
        <w:rPr>
          <w:bCs/>
          <w:iCs/>
          <w:szCs w:val="22"/>
        </w:rPr>
        <w:t xml:space="preserve"> unique paediatric and adult subjects with PI</w:t>
      </w:r>
      <w:r>
        <w:rPr>
          <w:bCs/>
          <w:iCs/>
          <w:szCs w:val="22"/>
        </w:rPr>
        <w:t>D</w:t>
      </w:r>
      <w:r w:rsidRPr="009F701E">
        <w:rPr>
          <w:bCs/>
          <w:iCs/>
          <w:szCs w:val="22"/>
        </w:rPr>
        <w:t>. Compared with weekly administration,</w:t>
      </w:r>
      <w:r>
        <w:rPr>
          <w:bCs/>
          <w:iCs/>
          <w:szCs w:val="22"/>
        </w:rPr>
        <w:t xml:space="preserve"> </w:t>
      </w:r>
      <w:r w:rsidRPr="009F701E">
        <w:rPr>
          <w:bCs/>
          <w:iCs/>
          <w:szCs w:val="22"/>
        </w:rPr>
        <w:t xml:space="preserve">PK modelling and simulation predicted that administration of </w:t>
      </w:r>
      <w:r w:rsidR="00805A20">
        <w:rPr>
          <w:bCs/>
          <w:iCs/>
          <w:szCs w:val="22"/>
        </w:rPr>
        <w:t>Xembify</w:t>
      </w:r>
      <w:r w:rsidR="00805A20" w:rsidRPr="00805A20">
        <w:rPr>
          <w:bCs/>
          <w:iCs/>
          <w:szCs w:val="22"/>
          <w:vertAlign w:val="superscript"/>
        </w:rPr>
        <w:t>®</w:t>
      </w:r>
      <w:r w:rsidRPr="009F701E">
        <w:rPr>
          <w:bCs/>
          <w:iCs/>
          <w:szCs w:val="22"/>
        </w:rPr>
        <w:t xml:space="preserve"> on a biweekly basis at double the</w:t>
      </w:r>
      <w:r>
        <w:rPr>
          <w:bCs/>
          <w:iCs/>
          <w:szCs w:val="22"/>
        </w:rPr>
        <w:t xml:space="preserve"> </w:t>
      </w:r>
      <w:r w:rsidRPr="009F701E">
        <w:rPr>
          <w:bCs/>
          <w:iCs/>
          <w:szCs w:val="22"/>
        </w:rPr>
        <w:t>weekly dose results in overlapping IgG exposure across an entire 2-week interval. In addition, PK</w:t>
      </w:r>
      <w:r>
        <w:rPr>
          <w:bCs/>
          <w:iCs/>
          <w:szCs w:val="22"/>
        </w:rPr>
        <w:t xml:space="preserve"> </w:t>
      </w:r>
      <w:r w:rsidRPr="009F701E">
        <w:rPr>
          <w:bCs/>
          <w:iCs/>
          <w:szCs w:val="22"/>
        </w:rPr>
        <w:t xml:space="preserve">modelling and simulation predicted that for the same total weekly dose, </w:t>
      </w:r>
      <w:r w:rsidR="00805A20">
        <w:rPr>
          <w:bCs/>
          <w:iCs/>
          <w:szCs w:val="22"/>
        </w:rPr>
        <w:t>Xembify</w:t>
      </w:r>
      <w:r w:rsidR="00805A20" w:rsidRPr="00805A20">
        <w:rPr>
          <w:bCs/>
          <w:iCs/>
          <w:szCs w:val="22"/>
          <w:vertAlign w:val="superscript"/>
        </w:rPr>
        <w:t>®</w:t>
      </w:r>
      <w:r w:rsidRPr="009F701E">
        <w:rPr>
          <w:bCs/>
          <w:iCs/>
          <w:szCs w:val="22"/>
        </w:rPr>
        <w:t xml:space="preserve"> infusions given 2-7</w:t>
      </w:r>
      <w:r>
        <w:rPr>
          <w:bCs/>
          <w:iCs/>
          <w:szCs w:val="22"/>
        </w:rPr>
        <w:t xml:space="preserve"> </w:t>
      </w:r>
      <w:r w:rsidRPr="009F701E">
        <w:rPr>
          <w:bCs/>
          <w:iCs/>
          <w:szCs w:val="22"/>
        </w:rPr>
        <w:t xml:space="preserve">times per week (frequent dosing) results also in overlapping IgG exposure across </w:t>
      </w:r>
      <w:r>
        <w:rPr>
          <w:bCs/>
          <w:iCs/>
          <w:szCs w:val="22"/>
        </w:rPr>
        <w:t xml:space="preserve">the entire treatment </w:t>
      </w:r>
      <w:r w:rsidRPr="009F701E">
        <w:rPr>
          <w:bCs/>
          <w:iCs/>
          <w:szCs w:val="22"/>
        </w:rPr>
        <w:t>interval.</w:t>
      </w:r>
    </w:p>
    <w:p w14:paraId="6E08BBA1" w14:textId="77777777" w:rsidR="00201DF5" w:rsidRDefault="00201DF5" w:rsidP="00201DF5">
      <w:pPr>
        <w:pStyle w:val="BodyTextIndent2"/>
        <w:spacing w:after="0" w:line="240" w:lineRule="auto"/>
        <w:ind w:left="0"/>
        <w:rPr>
          <w:bCs/>
          <w:iCs/>
          <w:szCs w:val="22"/>
          <w:u w:val="single"/>
        </w:rPr>
      </w:pPr>
    </w:p>
    <w:p w14:paraId="6012F504" w14:textId="77777777" w:rsidR="00201DF5" w:rsidRPr="005D1798" w:rsidRDefault="00201DF5" w:rsidP="00201DF5">
      <w:pPr>
        <w:keepNext/>
        <w:spacing w:line="240" w:lineRule="auto"/>
        <w:rPr>
          <w:color w:val="000000"/>
          <w:szCs w:val="22"/>
          <w:u w:val="single"/>
          <w:lang w:eastAsia="es-ES"/>
        </w:rPr>
      </w:pPr>
      <w:r w:rsidRPr="005D1798">
        <w:rPr>
          <w:bCs/>
          <w:iCs/>
          <w:szCs w:val="22"/>
          <w:u w:val="single"/>
        </w:rPr>
        <w:t>Paediatric</w:t>
      </w:r>
      <w:r w:rsidRPr="005D1798">
        <w:rPr>
          <w:color w:val="000000"/>
          <w:szCs w:val="22"/>
          <w:u w:val="single"/>
          <w:lang w:eastAsia="es-ES"/>
        </w:rPr>
        <w:t xml:space="preserve"> population</w:t>
      </w:r>
    </w:p>
    <w:p w14:paraId="524E7916" w14:textId="77777777" w:rsidR="00201DF5" w:rsidRDefault="00201DF5" w:rsidP="00201DF5">
      <w:pPr>
        <w:pStyle w:val="BodyTextIndent2"/>
        <w:keepNext/>
        <w:spacing w:after="0" w:line="240" w:lineRule="auto"/>
        <w:ind w:left="0"/>
        <w:rPr>
          <w:color w:val="000000"/>
          <w:szCs w:val="22"/>
          <w:lang w:eastAsia="es-ES"/>
        </w:rPr>
      </w:pPr>
    </w:p>
    <w:p w14:paraId="27882AA5" w14:textId="77777777" w:rsidR="00201DF5" w:rsidRDefault="00201DF5" w:rsidP="00201DF5">
      <w:pPr>
        <w:pStyle w:val="BodyTextIndent2"/>
        <w:spacing w:after="0" w:line="240" w:lineRule="auto"/>
        <w:ind w:left="0"/>
      </w:pPr>
      <w:r>
        <w:t>There are no theoretical or observed differences in the action of immunoglobulins in children compared to adults.</w:t>
      </w:r>
    </w:p>
    <w:p w14:paraId="2DD8B3C4" w14:textId="77777777" w:rsidR="00201DF5" w:rsidRPr="00157895" w:rsidRDefault="00201DF5" w:rsidP="00201DF5">
      <w:pPr>
        <w:pStyle w:val="BodyTextIndent2"/>
        <w:spacing w:after="0" w:line="240" w:lineRule="auto"/>
        <w:ind w:left="0"/>
        <w:rPr>
          <w:iCs/>
          <w:noProof/>
        </w:rPr>
      </w:pPr>
    </w:p>
    <w:p w14:paraId="6D75260A" w14:textId="77777777" w:rsidR="00201DF5" w:rsidRPr="008561BA" w:rsidRDefault="00201DF5" w:rsidP="00ED5CBE">
      <w:pPr>
        <w:keepNext/>
        <w:spacing w:line="240" w:lineRule="auto"/>
        <w:ind w:left="562" w:hanging="562"/>
        <w:outlineLvl w:val="1"/>
        <w:rPr>
          <w:b/>
          <w:noProof/>
          <w:szCs w:val="22"/>
        </w:rPr>
      </w:pPr>
      <w:r w:rsidRPr="001F6423">
        <w:rPr>
          <w:b/>
          <w:noProof/>
          <w:szCs w:val="22"/>
        </w:rPr>
        <w:t>5.3</w:t>
      </w:r>
      <w:r w:rsidRPr="001F6423">
        <w:rPr>
          <w:b/>
          <w:noProof/>
          <w:szCs w:val="22"/>
        </w:rPr>
        <w:tab/>
        <w:t>Preclinical safety data</w:t>
      </w:r>
    </w:p>
    <w:p w14:paraId="4241448B" w14:textId="77777777" w:rsidR="00201DF5" w:rsidRPr="001F6423" w:rsidRDefault="00201DF5" w:rsidP="00201DF5">
      <w:pPr>
        <w:keepNext/>
        <w:spacing w:line="240" w:lineRule="auto"/>
        <w:rPr>
          <w:noProof/>
          <w:szCs w:val="22"/>
        </w:rPr>
      </w:pPr>
    </w:p>
    <w:p w14:paraId="68233D53" w14:textId="77777777" w:rsidR="004662BA" w:rsidRDefault="004662BA" w:rsidP="00201DF5">
      <w:pPr>
        <w:pStyle w:val="BodyTextIndent2"/>
        <w:spacing w:after="0" w:line="240" w:lineRule="auto"/>
        <w:ind w:left="0"/>
        <w:rPr>
          <w:szCs w:val="22"/>
          <w:lang w:eastAsia="es-ES"/>
        </w:rPr>
      </w:pPr>
    </w:p>
    <w:p w14:paraId="2AF48187" w14:textId="77777777" w:rsidR="004662BA" w:rsidRDefault="004662BA" w:rsidP="001E6C47">
      <w:pPr>
        <w:pStyle w:val="BodyTextIndent2"/>
        <w:keepNext/>
        <w:spacing w:after="0" w:line="240" w:lineRule="auto"/>
        <w:ind w:left="0"/>
        <w:rPr>
          <w:szCs w:val="22"/>
          <w:u w:val="single"/>
          <w:lang w:eastAsia="es-ES"/>
        </w:rPr>
      </w:pPr>
      <w:r w:rsidRPr="007655BE">
        <w:rPr>
          <w:szCs w:val="22"/>
          <w:u w:val="single"/>
          <w:lang w:eastAsia="es-ES"/>
        </w:rPr>
        <w:t>Genotoxicity</w:t>
      </w:r>
    </w:p>
    <w:p w14:paraId="0119F2DC" w14:textId="77777777" w:rsidR="004662BA" w:rsidRDefault="004662BA" w:rsidP="001E6C47">
      <w:pPr>
        <w:pStyle w:val="BodyTextIndent2"/>
        <w:keepNext/>
        <w:spacing w:after="0" w:line="240" w:lineRule="auto"/>
        <w:ind w:left="0"/>
        <w:rPr>
          <w:szCs w:val="22"/>
          <w:u w:val="single"/>
          <w:lang w:eastAsia="es-ES"/>
        </w:rPr>
      </w:pPr>
    </w:p>
    <w:p w14:paraId="5B869B17" w14:textId="77777777" w:rsidR="004662BA" w:rsidRDefault="004662BA" w:rsidP="00201DF5">
      <w:pPr>
        <w:pStyle w:val="BodyTextIndent2"/>
        <w:spacing w:after="0" w:line="240" w:lineRule="auto"/>
        <w:ind w:left="0"/>
        <w:rPr>
          <w:szCs w:val="22"/>
          <w:lang w:eastAsia="es-ES"/>
        </w:rPr>
      </w:pPr>
      <w:r>
        <w:rPr>
          <w:szCs w:val="22"/>
          <w:lang w:eastAsia="es-ES"/>
        </w:rPr>
        <w:t>No data available.</w:t>
      </w:r>
    </w:p>
    <w:p w14:paraId="55F8B1E6" w14:textId="77777777" w:rsidR="004662BA" w:rsidRDefault="004662BA" w:rsidP="00201DF5">
      <w:pPr>
        <w:pStyle w:val="BodyTextIndent2"/>
        <w:spacing w:after="0" w:line="240" w:lineRule="auto"/>
        <w:ind w:left="0"/>
        <w:rPr>
          <w:szCs w:val="22"/>
          <w:lang w:eastAsia="es-ES"/>
        </w:rPr>
      </w:pPr>
    </w:p>
    <w:p w14:paraId="40CDA31D" w14:textId="77777777" w:rsidR="004662BA" w:rsidRPr="007655BE" w:rsidRDefault="004662BA" w:rsidP="001E6C47">
      <w:pPr>
        <w:pStyle w:val="BodyTextIndent2"/>
        <w:keepNext/>
        <w:spacing w:after="0" w:line="240" w:lineRule="auto"/>
        <w:ind w:left="0"/>
        <w:rPr>
          <w:szCs w:val="22"/>
          <w:u w:val="single"/>
          <w:lang w:eastAsia="es-ES"/>
        </w:rPr>
      </w:pPr>
      <w:r w:rsidRPr="007655BE">
        <w:rPr>
          <w:szCs w:val="22"/>
          <w:u w:val="single"/>
          <w:lang w:eastAsia="es-ES"/>
        </w:rPr>
        <w:t>Carcinogenicity</w:t>
      </w:r>
    </w:p>
    <w:p w14:paraId="2BF77238" w14:textId="77777777" w:rsidR="004662BA" w:rsidRDefault="004662BA" w:rsidP="001E6C47">
      <w:pPr>
        <w:pStyle w:val="BodyTextIndent2"/>
        <w:keepNext/>
        <w:spacing w:after="0" w:line="240" w:lineRule="auto"/>
        <w:ind w:left="0"/>
        <w:rPr>
          <w:szCs w:val="22"/>
          <w:lang w:eastAsia="es-ES"/>
        </w:rPr>
      </w:pPr>
    </w:p>
    <w:p w14:paraId="4EE58A49" w14:textId="77777777" w:rsidR="004662BA" w:rsidRPr="004662BA" w:rsidRDefault="004662BA" w:rsidP="00201DF5">
      <w:pPr>
        <w:pStyle w:val="BodyTextIndent2"/>
        <w:spacing w:after="0" w:line="240" w:lineRule="auto"/>
        <w:ind w:left="0"/>
        <w:rPr>
          <w:szCs w:val="22"/>
          <w:lang w:eastAsia="es-ES"/>
        </w:rPr>
      </w:pPr>
      <w:r>
        <w:rPr>
          <w:szCs w:val="22"/>
          <w:lang w:eastAsia="es-ES"/>
        </w:rPr>
        <w:t>No data available.</w:t>
      </w:r>
    </w:p>
    <w:p w14:paraId="56F6F859" w14:textId="77777777" w:rsidR="00201DF5" w:rsidRPr="006B4557" w:rsidRDefault="00201DF5" w:rsidP="00201DF5">
      <w:pPr>
        <w:spacing w:line="240" w:lineRule="auto"/>
        <w:rPr>
          <w:noProof/>
          <w:szCs w:val="22"/>
        </w:rPr>
      </w:pPr>
    </w:p>
    <w:p w14:paraId="5BA24266" w14:textId="77777777" w:rsidR="00201DF5" w:rsidRPr="008561BA" w:rsidRDefault="00201DF5" w:rsidP="00201DF5">
      <w:pPr>
        <w:keepNext/>
        <w:spacing w:line="240" w:lineRule="auto"/>
        <w:ind w:left="567" w:hanging="567"/>
        <w:outlineLvl w:val="0"/>
        <w:rPr>
          <w:b/>
        </w:rPr>
      </w:pPr>
      <w:r w:rsidRPr="008561BA">
        <w:rPr>
          <w:b/>
        </w:rPr>
        <w:t>6.</w:t>
      </w:r>
      <w:r w:rsidRPr="008561BA">
        <w:rPr>
          <w:b/>
        </w:rPr>
        <w:tab/>
        <w:t>PHARMACEUTICAL PARTICULARS</w:t>
      </w:r>
    </w:p>
    <w:p w14:paraId="7ADA3B9C" w14:textId="77777777" w:rsidR="00201DF5" w:rsidRPr="006B4557" w:rsidRDefault="00201DF5" w:rsidP="00201DF5">
      <w:pPr>
        <w:keepNext/>
        <w:spacing w:line="240" w:lineRule="auto"/>
        <w:rPr>
          <w:noProof/>
          <w:szCs w:val="22"/>
        </w:rPr>
      </w:pPr>
    </w:p>
    <w:p w14:paraId="212DD9D8" w14:textId="77777777" w:rsidR="00201DF5" w:rsidRPr="00ED5CBE" w:rsidRDefault="00201DF5" w:rsidP="00ED5CBE">
      <w:pPr>
        <w:keepNext/>
        <w:spacing w:line="240" w:lineRule="auto"/>
        <w:ind w:left="562" w:hanging="562"/>
        <w:outlineLvl w:val="1"/>
        <w:rPr>
          <w:b/>
          <w:noProof/>
          <w:szCs w:val="22"/>
        </w:rPr>
      </w:pPr>
      <w:r w:rsidRPr="006B4557">
        <w:rPr>
          <w:b/>
          <w:noProof/>
          <w:szCs w:val="22"/>
        </w:rPr>
        <w:t>6.1</w:t>
      </w:r>
      <w:r w:rsidRPr="006B4557">
        <w:rPr>
          <w:b/>
          <w:noProof/>
          <w:szCs w:val="22"/>
        </w:rPr>
        <w:tab/>
      </w:r>
      <w:bookmarkStart w:id="14" w:name="Section6_1"/>
      <w:bookmarkEnd w:id="14"/>
      <w:r w:rsidRPr="006B4557">
        <w:rPr>
          <w:b/>
          <w:noProof/>
          <w:szCs w:val="22"/>
        </w:rPr>
        <w:t>List of excipients</w:t>
      </w:r>
    </w:p>
    <w:p w14:paraId="770AE4D8" w14:textId="77777777" w:rsidR="00201DF5" w:rsidRPr="006B4557" w:rsidRDefault="00201DF5" w:rsidP="00201DF5">
      <w:pPr>
        <w:keepNext/>
        <w:spacing w:line="240" w:lineRule="auto"/>
        <w:rPr>
          <w:i/>
          <w:noProof/>
          <w:szCs w:val="22"/>
        </w:rPr>
      </w:pPr>
    </w:p>
    <w:p w14:paraId="77FA2734" w14:textId="77777777" w:rsidR="00201DF5" w:rsidRDefault="00201DF5" w:rsidP="00201DF5">
      <w:pPr>
        <w:spacing w:line="240" w:lineRule="auto"/>
        <w:rPr>
          <w:noProof/>
          <w:szCs w:val="22"/>
        </w:rPr>
      </w:pPr>
      <w:r>
        <w:rPr>
          <w:noProof/>
          <w:szCs w:val="22"/>
        </w:rPr>
        <w:t>Water for injections</w:t>
      </w:r>
    </w:p>
    <w:p w14:paraId="52BEF618" w14:textId="77777777" w:rsidR="00201DF5" w:rsidRDefault="00201DF5" w:rsidP="00201DF5">
      <w:pPr>
        <w:spacing w:line="240" w:lineRule="auto"/>
        <w:rPr>
          <w:noProof/>
          <w:szCs w:val="22"/>
        </w:rPr>
      </w:pPr>
      <w:r>
        <w:rPr>
          <w:noProof/>
          <w:szCs w:val="22"/>
        </w:rPr>
        <w:t>Glycine</w:t>
      </w:r>
    </w:p>
    <w:p w14:paraId="02F3C878" w14:textId="77777777" w:rsidR="00201DF5" w:rsidRDefault="00201DF5" w:rsidP="00201DF5">
      <w:pPr>
        <w:spacing w:line="240" w:lineRule="auto"/>
        <w:rPr>
          <w:noProof/>
          <w:szCs w:val="22"/>
        </w:rPr>
      </w:pPr>
      <w:r>
        <w:rPr>
          <w:noProof/>
          <w:szCs w:val="22"/>
        </w:rPr>
        <w:t>Polysorbate 80</w:t>
      </w:r>
    </w:p>
    <w:p w14:paraId="5D5E5D96" w14:textId="77777777" w:rsidR="00201DF5" w:rsidRPr="006B4557" w:rsidRDefault="00201DF5" w:rsidP="00201DF5">
      <w:pPr>
        <w:spacing w:line="240" w:lineRule="auto"/>
        <w:rPr>
          <w:noProof/>
          <w:szCs w:val="22"/>
        </w:rPr>
      </w:pPr>
    </w:p>
    <w:p w14:paraId="083933F7" w14:textId="77777777" w:rsidR="00201DF5" w:rsidRPr="00ED5CBE" w:rsidRDefault="00201DF5" w:rsidP="00ED5CBE">
      <w:pPr>
        <w:keepNext/>
        <w:spacing w:line="240" w:lineRule="auto"/>
        <w:ind w:left="562" w:hanging="562"/>
        <w:outlineLvl w:val="1"/>
        <w:rPr>
          <w:b/>
          <w:noProof/>
          <w:szCs w:val="22"/>
        </w:rPr>
      </w:pPr>
      <w:r w:rsidRPr="006B4557">
        <w:rPr>
          <w:b/>
          <w:noProof/>
          <w:szCs w:val="22"/>
        </w:rPr>
        <w:t>6.2</w:t>
      </w:r>
      <w:r w:rsidRPr="006B4557">
        <w:rPr>
          <w:b/>
          <w:noProof/>
          <w:szCs w:val="22"/>
        </w:rPr>
        <w:tab/>
        <w:t>Incompatibilities</w:t>
      </w:r>
    </w:p>
    <w:p w14:paraId="158B4780" w14:textId="77777777" w:rsidR="00201DF5" w:rsidRDefault="00201DF5" w:rsidP="00201DF5">
      <w:pPr>
        <w:keepNext/>
        <w:spacing w:line="240" w:lineRule="auto"/>
        <w:rPr>
          <w:noProof/>
          <w:szCs w:val="22"/>
        </w:rPr>
      </w:pPr>
    </w:p>
    <w:p w14:paraId="1B42B8E4" w14:textId="77777777" w:rsidR="00201DF5" w:rsidRDefault="00201DF5" w:rsidP="00201DF5">
      <w:pPr>
        <w:spacing w:line="240" w:lineRule="auto"/>
        <w:rPr>
          <w:noProof/>
          <w:szCs w:val="22"/>
        </w:rPr>
      </w:pPr>
      <w:r w:rsidRPr="00A71E45">
        <w:rPr>
          <w:noProof/>
          <w:szCs w:val="22"/>
        </w:rPr>
        <w:t>In the absence of compatibility studies, this medicinal product must not be mixed with other medicinal products.</w:t>
      </w:r>
    </w:p>
    <w:p w14:paraId="69BBCFED" w14:textId="77777777" w:rsidR="00201DF5" w:rsidRPr="006B4557" w:rsidRDefault="00201DF5" w:rsidP="00201DF5">
      <w:pPr>
        <w:spacing w:line="240" w:lineRule="auto"/>
        <w:rPr>
          <w:noProof/>
          <w:szCs w:val="22"/>
        </w:rPr>
      </w:pPr>
    </w:p>
    <w:p w14:paraId="6524B3C7" w14:textId="77777777" w:rsidR="00201DF5" w:rsidRPr="00ED5CBE" w:rsidRDefault="00201DF5" w:rsidP="00ED5CBE">
      <w:pPr>
        <w:keepNext/>
        <w:spacing w:line="240" w:lineRule="auto"/>
        <w:ind w:left="562" w:hanging="562"/>
        <w:outlineLvl w:val="1"/>
        <w:rPr>
          <w:b/>
          <w:noProof/>
          <w:szCs w:val="22"/>
        </w:rPr>
      </w:pPr>
      <w:r w:rsidRPr="006B4557">
        <w:rPr>
          <w:b/>
          <w:noProof/>
          <w:szCs w:val="22"/>
        </w:rPr>
        <w:lastRenderedPageBreak/>
        <w:t>6.3</w:t>
      </w:r>
      <w:r w:rsidRPr="006B4557">
        <w:rPr>
          <w:b/>
          <w:noProof/>
          <w:szCs w:val="22"/>
        </w:rPr>
        <w:tab/>
        <w:t>Shelf life</w:t>
      </w:r>
    </w:p>
    <w:p w14:paraId="4C11BCB9" w14:textId="77777777" w:rsidR="00201DF5" w:rsidRPr="006B4557" w:rsidRDefault="00201DF5" w:rsidP="00201DF5">
      <w:pPr>
        <w:keepNext/>
        <w:spacing w:line="240" w:lineRule="auto"/>
        <w:rPr>
          <w:noProof/>
          <w:szCs w:val="22"/>
        </w:rPr>
      </w:pPr>
    </w:p>
    <w:p w14:paraId="5F81E078" w14:textId="77777777" w:rsidR="00201DF5" w:rsidRDefault="00987456" w:rsidP="00201DF5">
      <w:pPr>
        <w:tabs>
          <w:tab w:val="clear" w:pos="567"/>
        </w:tabs>
        <w:autoSpaceDE w:val="0"/>
        <w:autoSpaceDN w:val="0"/>
        <w:adjustRightInd w:val="0"/>
        <w:spacing w:line="240" w:lineRule="auto"/>
        <w:rPr>
          <w:szCs w:val="22"/>
        </w:rPr>
      </w:pPr>
      <w:r>
        <w:rPr>
          <w:szCs w:val="22"/>
        </w:rPr>
        <w:t>3</w:t>
      </w:r>
      <w:r w:rsidR="00201DF5" w:rsidRPr="0045605B">
        <w:rPr>
          <w:szCs w:val="22"/>
        </w:rPr>
        <w:t xml:space="preserve"> years</w:t>
      </w:r>
      <w:r w:rsidR="00201DF5">
        <w:rPr>
          <w:szCs w:val="22"/>
        </w:rPr>
        <w:t xml:space="preserve"> </w:t>
      </w:r>
    </w:p>
    <w:p w14:paraId="148D3E94" w14:textId="77777777" w:rsidR="00201DF5" w:rsidRDefault="00201DF5" w:rsidP="00201DF5">
      <w:pPr>
        <w:tabs>
          <w:tab w:val="clear" w:pos="567"/>
        </w:tabs>
        <w:autoSpaceDE w:val="0"/>
        <w:autoSpaceDN w:val="0"/>
        <w:adjustRightInd w:val="0"/>
        <w:spacing w:line="240" w:lineRule="auto"/>
        <w:rPr>
          <w:szCs w:val="22"/>
        </w:rPr>
      </w:pPr>
    </w:p>
    <w:p w14:paraId="09A66539" w14:textId="77777777" w:rsidR="00201DF5" w:rsidRPr="007B7897" w:rsidRDefault="00201DF5" w:rsidP="00ED5CBE">
      <w:pPr>
        <w:keepNext/>
        <w:spacing w:line="240" w:lineRule="auto"/>
        <w:ind w:left="562" w:hanging="562"/>
        <w:outlineLvl w:val="1"/>
        <w:rPr>
          <w:b/>
          <w:noProof/>
          <w:szCs w:val="22"/>
        </w:rPr>
      </w:pPr>
      <w:r w:rsidRPr="007B7897">
        <w:rPr>
          <w:b/>
          <w:noProof/>
          <w:szCs w:val="22"/>
        </w:rPr>
        <w:t>6.4</w:t>
      </w:r>
      <w:r w:rsidRPr="007B7897">
        <w:rPr>
          <w:b/>
          <w:noProof/>
          <w:szCs w:val="22"/>
        </w:rPr>
        <w:tab/>
        <w:t>Special precautions for storage</w:t>
      </w:r>
    </w:p>
    <w:p w14:paraId="4F85EAB0" w14:textId="77777777" w:rsidR="00201DF5" w:rsidRPr="007B7897" w:rsidRDefault="00201DF5" w:rsidP="00201DF5">
      <w:pPr>
        <w:keepNext/>
        <w:tabs>
          <w:tab w:val="clear" w:pos="567"/>
        </w:tabs>
        <w:autoSpaceDE w:val="0"/>
        <w:autoSpaceDN w:val="0"/>
        <w:adjustRightInd w:val="0"/>
        <w:spacing w:line="240" w:lineRule="auto"/>
        <w:rPr>
          <w:szCs w:val="22"/>
        </w:rPr>
      </w:pPr>
    </w:p>
    <w:p w14:paraId="5F893781" w14:textId="77777777" w:rsidR="00201DF5" w:rsidRDefault="00201DF5" w:rsidP="00DD088F">
      <w:pPr>
        <w:numPr>
          <w:ilvl w:val="0"/>
          <w:numId w:val="1"/>
        </w:numPr>
        <w:tabs>
          <w:tab w:val="clear" w:pos="567"/>
          <w:tab w:val="left" w:pos="540"/>
        </w:tabs>
        <w:spacing w:line="240" w:lineRule="auto"/>
        <w:ind w:left="540" w:hanging="540"/>
        <w:rPr>
          <w:szCs w:val="22"/>
        </w:rPr>
      </w:pPr>
      <w:r w:rsidRPr="00A71E45">
        <w:rPr>
          <w:noProof/>
          <w:szCs w:val="22"/>
        </w:rPr>
        <w:t>Store</w:t>
      </w:r>
      <w:r w:rsidRPr="00A71E45">
        <w:rPr>
          <w:szCs w:val="22"/>
        </w:rPr>
        <w:t xml:space="preserve"> </w:t>
      </w:r>
      <w:r>
        <w:rPr>
          <w:szCs w:val="22"/>
        </w:rPr>
        <w:t>in a refrigerator</w:t>
      </w:r>
      <w:r w:rsidRPr="00A71E45">
        <w:rPr>
          <w:szCs w:val="22"/>
        </w:rPr>
        <w:t xml:space="preserve"> </w:t>
      </w:r>
      <w:r>
        <w:rPr>
          <w:szCs w:val="22"/>
        </w:rPr>
        <w:t>(</w:t>
      </w:r>
      <w:r w:rsidRPr="00A71E45">
        <w:rPr>
          <w:szCs w:val="22"/>
        </w:rPr>
        <w:t>2</w:t>
      </w:r>
      <w:r>
        <w:rPr>
          <w:szCs w:val="22"/>
        </w:rPr>
        <w:t xml:space="preserve">ºC </w:t>
      </w:r>
      <w:r w:rsidR="00890283">
        <w:rPr>
          <w:szCs w:val="22"/>
        </w:rPr>
        <w:t>to</w:t>
      </w:r>
      <w:r>
        <w:rPr>
          <w:szCs w:val="22"/>
        </w:rPr>
        <w:t xml:space="preserve"> </w:t>
      </w:r>
      <w:r w:rsidRPr="00A71E45">
        <w:rPr>
          <w:szCs w:val="22"/>
        </w:rPr>
        <w:t>8°C</w:t>
      </w:r>
      <w:r>
        <w:rPr>
          <w:szCs w:val="22"/>
        </w:rPr>
        <w:t>)</w:t>
      </w:r>
      <w:r w:rsidRPr="00A71E45">
        <w:rPr>
          <w:szCs w:val="22"/>
        </w:rPr>
        <w:t>.</w:t>
      </w:r>
    </w:p>
    <w:p w14:paraId="2E233A56" w14:textId="77777777" w:rsidR="00201DF5" w:rsidRPr="00A71E45" w:rsidRDefault="00201DF5" w:rsidP="00DD088F">
      <w:pPr>
        <w:numPr>
          <w:ilvl w:val="1"/>
          <w:numId w:val="1"/>
        </w:numPr>
        <w:tabs>
          <w:tab w:val="clear" w:pos="567"/>
          <w:tab w:val="left" w:pos="540"/>
        </w:tabs>
        <w:spacing w:line="240" w:lineRule="auto"/>
        <w:ind w:left="990"/>
        <w:rPr>
          <w:szCs w:val="22"/>
        </w:rPr>
      </w:pPr>
      <w:r w:rsidRPr="00A71E45">
        <w:rPr>
          <w:noProof/>
          <w:szCs w:val="22"/>
        </w:rPr>
        <w:t>Additionally</w:t>
      </w:r>
      <w:r w:rsidRPr="00A71E45">
        <w:rPr>
          <w:szCs w:val="22"/>
        </w:rPr>
        <w:t xml:space="preserve">, </w:t>
      </w:r>
      <w:r w:rsidR="00805A20">
        <w:rPr>
          <w:szCs w:val="22"/>
        </w:rPr>
        <w:t>Xembify</w:t>
      </w:r>
      <w:r w:rsidR="00805A20" w:rsidRPr="00805A20">
        <w:rPr>
          <w:szCs w:val="22"/>
          <w:vertAlign w:val="superscript"/>
        </w:rPr>
        <w:t>®</w:t>
      </w:r>
      <w:r w:rsidRPr="00A71E45">
        <w:rPr>
          <w:szCs w:val="22"/>
        </w:rPr>
        <w:t xml:space="preserve"> may be stored at temperatures not to exceed 25°C for up to 6 months any time prior to the expiration date. </w:t>
      </w:r>
    </w:p>
    <w:p w14:paraId="1881D35B" w14:textId="77777777" w:rsidR="00201DF5" w:rsidRPr="00A71E45" w:rsidRDefault="00201DF5" w:rsidP="00DD088F">
      <w:pPr>
        <w:numPr>
          <w:ilvl w:val="1"/>
          <w:numId w:val="1"/>
        </w:numPr>
        <w:tabs>
          <w:tab w:val="clear" w:pos="567"/>
          <w:tab w:val="left" w:pos="540"/>
        </w:tabs>
        <w:spacing w:line="240" w:lineRule="auto"/>
        <w:ind w:left="990"/>
        <w:rPr>
          <w:szCs w:val="22"/>
        </w:rPr>
      </w:pPr>
      <w:r w:rsidRPr="00A71E45">
        <w:rPr>
          <w:noProof/>
          <w:szCs w:val="22"/>
        </w:rPr>
        <w:t>Following</w:t>
      </w:r>
      <w:r w:rsidRPr="00A71E45">
        <w:rPr>
          <w:szCs w:val="22"/>
        </w:rPr>
        <w:t xml:space="preserve"> 25°C storage, use the product immediately or discard.</w:t>
      </w:r>
    </w:p>
    <w:p w14:paraId="479602EE" w14:textId="77777777" w:rsidR="00201DF5" w:rsidRPr="00A71E45" w:rsidRDefault="00201DF5" w:rsidP="00DD088F">
      <w:pPr>
        <w:numPr>
          <w:ilvl w:val="0"/>
          <w:numId w:val="1"/>
        </w:numPr>
        <w:tabs>
          <w:tab w:val="clear" w:pos="567"/>
          <w:tab w:val="left" w:pos="540"/>
        </w:tabs>
        <w:spacing w:line="240" w:lineRule="auto"/>
        <w:ind w:left="540" w:hanging="540"/>
        <w:rPr>
          <w:noProof/>
          <w:szCs w:val="22"/>
        </w:rPr>
      </w:pPr>
      <w:r w:rsidRPr="00A71E45">
        <w:rPr>
          <w:noProof/>
          <w:szCs w:val="22"/>
        </w:rPr>
        <w:t>Do not freeze.</w:t>
      </w:r>
    </w:p>
    <w:p w14:paraId="60FB3921" w14:textId="77777777" w:rsidR="00201DF5" w:rsidRDefault="00201DF5" w:rsidP="00DD088F">
      <w:pPr>
        <w:numPr>
          <w:ilvl w:val="0"/>
          <w:numId w:val="1"/>
        </w:numPr>
        <w:tabs>
          <w:tab w:val="clear" w:pos="567"/>
          <w:tab w:val="left" w:pos="540"/>
        </w:tabs>
        <w:spacing w:line="240" w:lineRule="auto"/>
        <w:ind w:left="540" w:hanging="540"/>
        <w:rPr>
          <w:noProof/>
          <w:szCs w:val="22"/>
          <w:lang w:val="en-US"/>
        </w:rPr>
      </w:pPr>
      <w:r w:rsidRPr="009F701E">
        <w:rPr>
          <w:noProof/>
          <w:szCs w:val="22"/>
          <w:lang w:val="en-US"/>
        </w:rPr>
        <w:t>Keep t</w:t>
      </w:r>
      <w:r>
        <w:rPr>
          <w:noProof/>
          <w:szCs w:val="22"/>
          <w:lang w:val="en-US"/>
        </w:rPr>
        <w:t>h</w:t>
      </w:r>
      <w:r w:rsidRPr="009F701E">
        <w:rPr>
          <w:noProof/>
          <w:szCs w:val="22"/>
          <w:lang w:val="en-US"/>
        </w:rPr>
        <w:t>e vial in the</w:t>
      </w:r>
      <w:r>
        <w:rPr>
          <w:noProof/>
          <w:szCs w:val="22"/>
          <w:lang w:val="en-US"/>
        </w:rPr>
        <w:t xml:space="preserve"> outer carton in order to protect from light.</w:t>
      </w:r>
      <w:r w:rsidR="003B7075">
        <w:rPr>
          <w:noProof/>
          <w:szCs w:val="22"/>
          <w:lang w:val="en-US"/>
        </w:rPr>
        <w:t xml:space="preserve"> Tape over carton ends must be unbroken.</w:t>
      </w:r>
    </w:p>
    <w:p w14:paraId="20CB8A92" w14:textId="77777777" w:rsidR="0040045B" w:rsidRDefault="0040045B" w:rsidP="00DD088F">
      <w:pPr>
        <w:numPr>
          <w:ilvl w:val="0"/>
          <w:numId w:val="1"/>
        </w:numPr>
        <w:tabs>
          <w:tab w:val="clear" w:pos="567"/>
          <w:tab w:val="left" w:pos="540"/>
        </w:tabs>
        <w:spacing w:line="240" w:lineRule="auto"/>
        <w:ind w:left="540" w:hanging="540"/>
        <w:rPr>
          <w:noProof/>
          <w:szCs w:val="22"/>
        </w:rPr>
      </w:pPr>
      <w:r w:rsidRPr="005D1798">
        <w:rPr>
          <w:noProof/>
          <w:szCs w:val="22"/>
        </w:rPr>
        <w:t xml:space="preserve">Administer within 8 hours after beginning infusion preparation (ie, once </w:t>
      </w:r>
      <w:r w:rsidR="00805A20">
        <w:rPr>
          <w:noProof/>
          <w:szCs w:val="22"/>
        </w:rPr>
        <w:t>Xembify</w:t>
      </w:r>
      <w:r w:rsidR="00805A20" w:rsidRPr="00805A20">
        <w:rPr>
          <w:noProof/>
          <w:szCs w:val="22"/>
          <w:vertAlign w:val="superscript"/>
        </w:rPr>
        <w:t>®</w:t>
      </w:r>
      <w:r w:rsidRPr="005D1798">
        <w:rPr>
          <w:noProof/>
          <w:szCs w:val="22"/>
        </w:rPr>
        <w:t xml:space="preserve"> is transferred from the vial into a syringe).</w:t>
      </w:r>
    </w:p>
    <w:p w14:paraId="3B8FC5E0" w14:textId="77777777" w:rsidR="003B7075" w:rsidRPr="0040045B" w:rsidRDefault="003B7075" w:rsidP="00DD088F">
      <w:pPr>
        <w:numPr>
          <w:ilvl w:val="0"/>
          <w:numId w:val="1"/>
        </w:numPr>
        <w:tabs>
          <w:tab w:val="clear" w:pos="567"/>
          <w:tab w:val="left" w:pos="540"/>
        </w:tabs>
        <w:spacing w:line="240" w:lineRule="auto"/>
        <w:ind w:left="540" w:hanging="540"/>
        <w:rPr>
          <w:noProof/>
          <w:szCs w:val="22"/>
        </w:rPr>
      </w:pPr>
      <w:r>
        <w:rPr>
          <w:noProof/>
          <w:szCs w:val="22"/>
        </w:rPr>
        <w:t>Do not use if band around vial neck and cap is damaged or missing.</w:t>
      </w:r>
    </w:p>
    <w:p w14:paraId="15A6FD1E" w14:textId="77777777" w:rsidR="00201DF5" w:rsidRDefault="00201DF5" w:rsidP="00201DF5">
      <w:pPr>
        <w:tabs>
          <w:tab w:val="clear" w:pos="567"/>
          <w:tab w:val="left" w:pos="540"/>
        </w:tabs>
        <w:spacing w:line="240" w:lineRule="auto"/>
        <w:rPr>
          <w:noProof/>
          <w:szCs w:val="22"/>
        </w:rPr>
      </w:pPr>
    </w:p>
    <w:p w14:paraId="42491A1A" w14:textId="77777777" w:rsidR="00201DF5" w:rsidRPr="00B3208E" w:rsidRDefault="00201DF5" w:rsidP="00ED5CBE">
      <w:pPr>
        <w:keepNext/>
        <w:spacing w:line="240" w:lineRule="auto"/>
        <w:ind w:left="562" w:hanging="562"/>
        <w:outlineLvl w:val="1"/>
        <w:rPr>
          <w:b/>
          <w:noProof/>
          <w:szCs w:val="22"/>
        </w:rPr>
      </w:pPr>
      <w:r w:rsidRPr="00067B16">
        <w:rPr>
          <w:b/>
          <w:noProof/>
          <w:szCs w:val="22"/>
        </w:rPr>
        <w:t>6.5</w:t>
      </w:r>
      <w:r w:rsidRPr="00067B16">
        <w:rPr>
          <w:b/>
          <w:noProof/>
          <w:szCs w:val="22"/>
        </w:rPr>
        <w:tab/>
        <w:t xml:space="preserve">Nature and contents of container </w:t>
      </w:r>
    </w:p>
    <w:p w14:paraId="097B25C0" w14:textId="77777777" w:rsidR="00201DF5" w:rsidRPr="008561BA" w:rsidRDefault="00201DF5" w:rsidP="00201DF5">
      <w:pPr>
        <w:keepNext/>
        <w:tabs>
          <w:tab w:val="clear" w:pos="567"/>
          <w:tab w:val="left" w:pos="540"/>
        </w:tabs>
        <w:spacing w:line="240" w:lineRule="auto"/>
        <w:rPr>
          <w:noProof/>
          <w:szCs w:val="22"/>
        </w:rPr>
      </w:pPr>
    </w:p>
    <w:p w14:paraId="5463E31B" w14:textId="77777777" w:rsidR="00201DF5" w:rsidRDefault="00D83597" w:rsidP="00201DF5">
      <w:pPr>
        <w:spacing w:line="240" w:lineRule="auto"/>
        <w:rPr>
          <w:szCs w:val="22"/>
        </w:rPr>
      </w:pPr>
      <w:r>
        <w:rPr>
          <w:szCs w:val="22"/>
        </w:rPr>
        <w:t>Container type: C</w:t>
      </w:r>
      <w:r w:rsidR="00201DF5" w:rsidRPr="008A7AB7">
        <w:rPr>
          <w:szCs w:val="22"/>
        </w:rPr>
        <w:t xml:space="preserve">lear glass vial with a </w:t>
      </w:r>
      <w:proofErr w:type="spellStart"/>
      <w:r w:rsidR="00201DF5" w:rsidRPr="008A7AB7">
        <w:rPr>
          <w:szCs w:val="22"/>
        </w:rPr>
        <w:t>chlorobutyl</w:t>
      </w:r>
      <w:proofErr w:type="spellEnd"/>
      <w:r w:rsidR="00201DF5" w:rsidRPr="008A7AB7">
        <w:rPr>
          <w:szCs w:val="22"/>
        </w:rPr>
        <w:t xml:space="preserve"> stopper, an </w:t>
      </w:r>
      <w:proofErr w:type="spellStart"/>
      <w:r w:rsidR="00201DF5" w:rsidRPr="008A7AB7">
        <w:rPr>
          <w:szCs w:val="22"/>
        </w:rPr>
        <w:t>aluminum</w:t>
      </w:r>
      <w:proofErr w:type="spellEnd"/>
      <w:r w:rsidR="00201DF5" w:rsidRPr="008A7AB7">
        <w:rPr>
          <w:szCs w:val="22"/>
        </w:rPr>
        <w:t xml:space="preserve"> </w:t>
      </w:r>
      <w:proofErr w:type="spellStart"/>
      <w:r w:rsidR="00201DF5" w:rsidRPr="008A7AB7">
        <w:rPr>
          <w:szCs w:val="22"/>
        </w:rPr>
        <w:t>overseal</w:t>
      </w:r>
      <w:proofErr w:type="spellEnd"/>
      <w:r w:rsidR="00201DF5">
        <w:rPr>
          <w:szCs w:val="22"/>
        </w:rPr>
        <w:t>,</w:t>
      </w:r>
      <w:r w:rsidR="00201DF5" w:rsidRPr="008A7AB7">
        <w:rPr>
          <w:szCs w:val="22"/>
        </w:rPr>
        <w:t xml:space="preserve"> plastic top</w:t>
      </w:r>
      <w:r w:rsidR="00201DF5">
        <w:rPr>
          <w:szCs w:val="22"/>
        </w:rPr>
        <w:t xml:space="preserve"> and </w:t>
      </w:r>
      <w:r w:rsidR="00201DF5">
        <w:rPr>
          <w:rFonts w:cs="TradeGothic-CondEighteen"/>
          <w:szCs w:val="22"/>
          <w:lang w:val="en-US"/>
        </w:rPr>
        <w:t>shrink band that guarantee the intactness of packaging</w:t>
      </w:r>
      <w:r w:rsidR="00201DF5" w:rsidRPr="008A7AB7">
        <w:rPr>
          <w:szCs w:val="22"/>
        </w:rPr>
        <w:t>.</w:t>
      </w:r>
      <w:r>
        <w:rPr>
          <w:szCs w:val="22"/>
        </w:rPr>
        <w:t xml:space="preserve">  </w:t>
      </w:r>
    </w:p>
    <w:p w14:paraId="170C7108" w14:textId="77777777" w:rsidR="00D83597" w:rsidRDefault="00D83597" w:rsidP="00201DF5">
      <w:pPr>
        <w:spacing w:line="240" w:lineRule="auto"/>
        <w:rPr>
          <w:szCs w:val="22"/>
        </w:rPr>
      </w:pPr>
    </w:p>
    <w:p w14:paraId="5358FACD" w14:textId="77777777" w:rsidR="00D83597" w:rsidRDefault="00805A20" w:rsidP="00201DF5">
      <w:pPr>
        <w:spacing w:line="240" w:lineRule="auto"/>
        <w:rPr>
          <w:szCs w:val="22"/>
        </w:rPr>
      </w:pPr>
      <w:r>
        <w:rPr>
          <w:szCs w:val="22"/>
        </w:rPr>
        <w:t>Xembify</w:t>
      </w:r>
      <w:r w:rsidRPr="00805A20">
        <w:rPr>
          <w:szCs w:val="22"/>
          <w:vertAlign w:val="superscript"/>
        </w:rPr>
        <w:t>®</w:t>
      </w:r>
      <w:r>
        <w:rPr>
          <w:szCs w:val="22"/>
        </w:rPr>
        <w:t xml:space="preserve"> </w:t>
      </w:r>
      <w:r w:rsidR="00D83597" w:rsidRPr="00D83597">
        <w:rPr>
          <w:szCs w:val="22"/>
        </w:rPr>
        <w:t>is not made with natural rubber latex.</w:t>
      </w:r>
    </w:p>
    <w:p w14:paraId="179A5B79" w14:textId="77777777" w:rsidR="004E52A8" w:rsidRDefault="004E52A8" w:rsidP="00201DF5">
      <w:pPr>
        <w:spacing w:line="240" w:lineRule="auto"/>
        <w:rPr>
          <w:szCs w:val="22"/>
        </w:rPr>
      </w:pPr>
    </w:p>
    <w:p w14:paraId="17B3F1FF" w14:textId="77777777" w:rsidR="00201DF5" w:rsidRDefault="004E52A8" w:rsidP="00201DF5">
      <w:pPr>
        <w:spacing w:line="240" w:lineRule="auto"/>
        <w:rPr>
          <w:szCs w:val="22"/>
        </w:rPr>
      </w:pPr>
      <w:r w:rsidRPr="004E52A8">
        <w:rPr>
          <w:szCs w:val="22"/>
        </w:rPr>
        <w:t>Product is for single use in one patient only. Discard any residue</w:t>
      </w:r>
      <w:r>
        <w:rPr>
          <w:szCs w:val="22"/>
        </w:rPr>
        <w:t>.</w:t>
      </w:r>
    </w:p>
    <w:p w14:paraId="6D579096" w14:textId="77777777" w:rsidR="004E52A8" w:rsidRPr="008A7AB7" w:rsidRDefault="004E52A8" w:rsidP="00201DF5">
      <w:pPr>
        <w:spacing w:line="240" w:lineRule="auto"/>
        <w:rPr>
          <w:szCs w:val="22"/>
        </w:rPr>
      </w:pPr>
    </w:p>
    <w:p w14:paraId="5352B93C" w14:textId="77777777" w:rsidR="00201DF5" w:rsidRPr="008A7AB7" w:rsidRDefault="00201DF5" w:rsidP="00201DF5">
      <w:pPr>
        <w:spacing w:line="240" w:lineRule="auto"/>
        <w:rPr>
          <w:szCs w:val="22"/>
        </w:rPr>
      </w:pPr>
      <w:r>
        <w:rPr>
          <w:szCs w:val="22"/>
        </w:rPr>
        <w:t>Pack size of</w:t>
      </w:r>
      <w:r w:rsidRPr="008A7AB7">
        <w:rPr>
          <w:szCs w:val="22"/>
        </w:rPr>
        <w:t xml:space="preserve"> 1 vial:</w:t>
      </w:r>
      <w:r w:rsidR="00D83597">
        <w:rPr>
          <w:szCs w:val="22"/>
        </w:rPr>
        <w:t xml:space="preserve"> 1 g / 5 </w:t>
      </w:r>
      <w:r w:rsidR="008A4AB5">
        <w:rPr>
          <w:szCs w:val="22"/>
        </w:rPr>
        <w:t xml:space="preserve">ml </w:t>
      </w:r>
      <w:r w:rsidR="00D83597">
        <w:rPr>
          <w:szCs w:val="22"/>
        </w:rPr>
        <w:t xml:space="preserve">in one carton; 2 g / 10 </w:t>
      </w:r>
      <w:r w:rsidR="008A4AB5">
        <w:rPr>
          <w:szCs w:val="22"/>
        </w:rPr>
        <w:t xml:space="preserve">ml </w:t>
      </w:r>
      <w:r w:rsidR="00D83597">
        <w:rPr>
          <w:szCs w:val="22"/>
        </w:rPr>
        <w:t xml:space="preserve">in one carton; 4 g / 20 </w:t>
      </w:r>
      <w:r w:rsidR="008A4AB5">
        <w:rPr>
          <w:szCs w:val="22"/>
        </w:rPr>
        <w:t xml:space="preserve">ml </w:t>
      </w:r>
      <w:r w:rsidR="00D83597">
        <w:rPr>
          <w:szCs w:val="22"/>
        </w:rPr>
        <w:t xml:space="preserve">in one carton; and 10 g / 50 </w:t>
      </w:r>
      <w:r w:rsidR="008A4AB5">
        <w:rPr>
          <w:szCs w:val="22"/>
        </w:rPr>
        <w:t xml:space="preserve">ml </w:t>
      </w:r>
      <w:r w:rsidR="00D83597">
        <w:rPr>
          <w:szCs w:val="22"/>
        </w:rPr>
        <w:t>in one carton</w:t>
      </w:r>
    </w:p>
    <w:p w14:paraId="27991E9F" w14:textId="77777777" w:rsidR="00201DF5" w:rsidRPr="008225EB" w:rsidRDefault="00201DF5" w:rsidP="00201DF5">
      <w:pPr>
        <w:spacing w:line="240" w:lineRule="auto"/>
        <w:rPr>
          <w:noProof/>
          <w:szCs w:val="22"/>
        </w:rPr>
      </w:pPr>
      <w:r>
        <w:rPr>
          <w:szCs w:val="22"/>
        </w:rPr>
        <w:t xml:space="preserve">  </w:t>
      </w:r>
    </w:p>
    <w:p w14:paraId="38387BD9" w14:textId="77777777" w:rsidR="00201DF5" w:rsidRPr="00073181" w:rsidRDefault="00201DF5" w:rsidP="00073181">
      <w:pPr>
        <w:keepNext/>
        <w:spacing w:line="240" w:lineRule="auto"/>
        <w:ind w:left="562" w:hanging="562"/>
        <w:outlineLvl w:val="1"/>
        <w:rPr>
          <w:b/>
          <w:noProof/>
          <w:szCs w:val="22"/>
        </w:rPr>
      </w:pPr>
      <w:r w:rsidRPr="00A3136F">
        <w:rPr>
          <w:b/>
          <w:noProof/>
          <w:szCs w:val="22"/>
        </w:rPr>
        <w:t>6.6</w:t>
      </w:r>
      <w:r w:rsidRPr="00A3136F">
        <w:rPr>
          <w:b/>
          <w:noProof/>
          <w:szCs w:val="22"/>
        </w:rPr>
        <w:tab/>
        <w:t>Sp</w:t>
      </w:r>
      <w:r>
        <w:rPr>
          <w:b/>
          <w:noProof/>
          <w:szCs w:val="22"/>
        </w:rPr>
        <w:t>ecial precautions for disposal</w:t>
      </w:r>
    </w:p>
    <w:p w14:paraId="69F4159C" w14:textId="77777777" w:rsidR="00201DF5" w:rsidRDefault="00201DF5" w:rsidP="00201DF5">
      <w:pPr>
        <w:keepNext/>
        <w:spacing w:line="240" w:lineRule="auto"/>
        <w:rPr>
          <w:noProof/>
          <w:szCs w:val="22"/>
        </w:rPr>
      </w:pPr>
    </w:p>
    <w:p w14:paraId="53EE0372" w14:textId="77777777" w:rsidR="000D3E1F" w:rsidRDefault="00D83597" w:rsidP="00201DF5">
      <w:pPr>
        <w:spacing w:line="240" w:lineRule="auto"/>
        <w:rPr>
          <w:noProof/>
          <w:szCs w:val="22"/>
        </w:rPr>
      </w:pPr>
      <w:r w:rsidRPr="00D83597">
        <w:rPr>
          <w:noProof/>
          <w:szCs w:val="22"/>
        </w:rPr>
        <w:t>In Australia, any unused medicine or waste material should be disposed of in accordance with local requirements.</w:t>
      </w:r>
    </w:p>
    <w:p w14:paraId="6D071D54" w14:textId="77777777" w:rsidR="000D3E1F" w:rsidRDefault="000D3E1F" w:rsidP="00201DF5">
      <w:pPr>
        <w:spacing w:line="240" w:lineRule="auto"/>
        <w:rPr>
          <w:noProof/>
          <w:szCs w:val="22"/>
        </w:rPr>
      </w:pPr>
    </w:p>
    <w:p w14:paraId="44FD1574" w14:textId="77777777" w:rsidR="000D3E1F" w:rsidRPr="007655BE" w:rsidRDefault="000D3E1F" w:rsidP="007655BE">
      <w:pPr>
        <w:keepNext/>
        <w:spacing w:line="240" w:lineRule="auto"/>
        <w:ind w:left="562" w:hanging="562"/>
        <w:outlineLvl w:val="1"/>
        <w:rPr>
          <w:b/>
          <w:noProof/>
          <w:szCs w:val="22"/>
        </w:rPr>
      </w:pPr>
      <w:r w:rsidRPr="007655BE">
        <w:rPr>
          <w:b/>
          <w:noProof/>
          <w:szCs w:val="22"/>
        </w:rPr>
        <w:t>6.7</w:t>
      </w:r>
      <w:r w:rsidRPr="007655BE">
        <w:rPr>
          <w:b/>
          <w:noProof/>
          <w:szCs w:val="22"/>
        </w:rPr>
        <w:tab/>
        <w:t>Physicochemical properties</w:t>
      </w:r>
    </w:p>
    <w:p w14:paraId="3C2CD962" w14:textId="77777777" w:rsidR="000D3E1F" w:rsidRDefault="000D3E1F" w:rsidP="001E6C47">
      <w:pPr>
        <w:keepNext/>
        <w:spacing w:line="240" w:lineRule="auto"/>
        <w:rPr>
          <w:noProof/>
          <w:szCs w:val="22"/>
        </w:rPr>
      </w:pPr>
    </w:p>
    <w:p w14:paraId="1F9C6111" w14:textId="77777777" w:rsidR="000D3E1F" w:rsidRDefault="000D3E1F" w:rsidP="001E6C47">
      <w:pPr>
        <w:keepNext/>
        <w:spacing w:line="240" w:lineRule="auto"/>
        <w:rPr>
          <w:noProof/>
          <w:szCs w:val="22"/>
          <w:u w:val="single"/>
        </w:rPr>
      </w:pPr>
      <w:r>
        <w:rPr>
          <w:noProof/>
          <w:szCs w:val="22"/>
          <w:u w:val="single"/>
        </w:rPr>
        <w:t>Chemical structure</w:t>
      </w:r>
    </w:p>
    <w:p w14:paraId="4D448232" w14:textId="77777777" w:rsidR="000D3E1F" w:rsidRDefault="000D3E1F" w:rsidP="001E6C47">
      <w:pPr>
        <w:keepNext/>
        <w:spacing w:line="240" w:lineRule="auto"/>
        <w:rPr>
          <w:noProof/>
          <w:szCs w:val="22"/>
          <w:u w:val="single"/>
        </w:rPr>
      </w:pPr>
    </w:p>
    <w:p w14:paraId="58439AC5" w14:textId="77777777" w:rsidR="000D3E1F" w:rsidRDefault="000D3E1F" w:rsidP="000D3E1F">
      <w:pPr>
        <w:spacing w:line="240" w:lineRule="auto"/>
        <w:rPr>
          <w:noProof/>
          <w:szCs w:val="22"/>
        </w:rPr>
      </w:pPr>
      <w:r>
        <w:rPr>
          <w:noProof/>
          <w:szCs w:val="22"/>
        </w:rPr>
        <w:t>I</w:t>
      </w:r>
      <w:r w:rsidRPr="007655BE">
        <w:rPr>
          <w:noProof/>
          <w:szCs w:val="22"/>
        </w:rPr>
        <w:t>mmunoglobulin (IgG) is a glycoprotein of approximately 150 kD consisting of four disulfide-linked polypeptide chains: two light chains of 25 kD and two heavy chains of 55 kD. Disulfide linkage of the amino terminal portions of each pair of light and heavy chain forms an antigen binding site, resulting in two such sites per molecule. The carboxyl terminal portions of the heavy chains are likewise disulfide-linked, forming the carbohydrate-bearing Fc portion of the molecule that can interact with complement, and for which various phagocytes and B lymphocytes bear receptors. The three resulting domains of the protein are arranged in the shape of a "Y".</w:t>
      </w:r>
      <w:r w:rsidR="004F0362" w:rsidRPr="004F0362">
        <w:rPr>
          <w:noProof/>
          <w:szCs w:val="22"/>
        </w:rPr>
        <w:t xml:space="preserve"> </w:t>
      </w:r>
      <w:r w:rsidR="004F0362" w:rsidRPr="00C75270">
        <w:rPr>
          <w:noProof/>
          <w:szCs w:val="22"/>
        </w:rPr>
        <w:t>The IgG molecule contains 2.9% carbohydrate by weight and has an isoelectric point of 6.8.</w:t>
      </w:r>
    </w:p>
    <w:p w14:paraId="349552E8" w14:textId="77777777" w:rsidR="000D3E1F" w:rsidRDefault="000D3E1F" w:rsidP="000D3E1F">
      <w:pPr>
        <w:spacing w:line="240" w:lineRule="auto"/>
        <w:rPr>
          <w:noProof/>
          <w:szCs w:val="22"/>
        </w:rPr>
      </w:pPr>
    </w:p>
    <w:p w14:paraId="5F9A51DD" w14:textId="77777777" w:rsidR="000D3E1F" w:rsidRPr="007655BE" w:rsidRDefault="000D3E1F" w:rsidP="000D3E1F">
      <w:pPr>
        <w:spacing w:line="240" w:lineRule="auto"/>
        <w:rPr>
          <w:noProof/>
          <w:szCs w:val="22"/>
        </w:rPr>
      </w:pPr>
      <w:r w:rsidRPr="007655BE">
        <w:rPr>
          <w:noProof/>
          <w:szCs w:val="22"/>
        </w:rPr>
        <w:t>The amino terminal portions of all four chains in IgG contain regions with variable amino acid sequences, responsible for conferring the broad specificity of a population of antibody molecules against diverse antigens. In addition, IgG light and heavy chains contain alternate constant regions which divide the antibody population into four distinct subclasses: IgG1, IgG2, IgG3 and IgG4.</w:t>
      </w:r>
    </w:p>
    <w:p w14:paraId="3E438558" w14:textId="77777777" w:rsidR="000D3E1F" w:rsidRDefault="000D3E1F" w:rsidP="001E6C47">
      <w:pPr>
        <w:keepNext/>
        <w:spacing w:line="240" w:lineRule="auto"/>
        <w:rPr>
          <w:noProof/>
          <w:szCs w:val="22"/>
          <w:u w:val="single"/>
        </w:rPr>
      </w:pPr>
      <w:r w:rsidRPr="007655BE">
        <w:rPr>
          <w:noProof/>
          <w:szCs w:val="22"/>
        </w:rPr>
        <w:cr/>
      </w:r>
      <w:r w:rsidRPr="007655BE">
        <w:rPr>
          <w:noProof/>
          <w:szCs w:val="22"/>
          <w:u w:val="single"/>
        </w:rPr>
        <w:t>CAS number</w:t>
      </w:r>
    </w:p>
    <w:p w14:paraId="3F5F56B0" w14:textId="77777777" w:rsidR="000D3E1F" w:rsidRPr="007655BE" w:rsidRDefault="000D3E1F" w:rsidP="001E6C47">
      <w:pPr>
        <w:keepNext/>
        <w:spacing w:line="240" w:lineRule="auto"/>
        <w:rPr>
          <w:noProof/>
          <w:szCs w:val="22"/>
          <w:u w:val="single"/>
        </w:rPr>
      </w:pPr>
    </w:p>
    <w:p w14:paraId="478D6FFC" w14:textId="77777777" w:rsidR="00201DF5" w:rsidRPr="006B4557" w:rsidRDefault="000D3E1F" w:rsidP="00201DF5">
      <w:pPr>
        <w:spacing w:line="240" w:lineRule="auto"/>
      </w:pPr>
      <w:r w:rsidRPr="000D3E1F">
        <w:rPr>
          <w:noProof/>
          <w:szCs w:val="22"/>
        </w:rPr>
        <w:t>227945-81-5</w:t>
      </w:r>
    </w:p>
    <w:p w14:paraId="180DEC6B" w14:textId="77777777" w:rsidR="00201DF5" w:rsidRPr="00BC6DC2" w:rsidRDefault="00201DF5" w:rsidP="00201DF5">
      <w:pPr>
        <w:spacing w:line="240" w:lineRule="auto"/>
        <w:rPr>
          <w:noProof/>
          <w:szCs w:val="22"/>
        </w:rPr>
      </w:pPr>
    </w:p>
    <w:p w14:paraId="69337E7D" w14:textId="77777777" w:rsidR="004F0362" w:rsidRDefault="00201DF5" w:rsidP="00ED5CBE">
      <w:pPr>
        <w:keepNext/>
        <w:spacing w:line="240" w:lineRule="auto"/>
        <w:ind w:left="562" w:hanging="562"/>
        <w:outlineLvl w:val="0"/>
        <w:rPr>
          <w:b/>
          <w:noProof/>
          <w:szCs w:val="22"/>
        </w:rPr>
      </w:pPr>
      <w:r w:rsidRPr="00157895">
        <w:rPr>
          <w:b/>
          <w:noProof/>
          <w:szCs w:val="22"/>
        </w:rPr>
        <w:lastRenderedPageBreak/>
        <w:t>7.</w:t>
      </w:r>
      <w:r w:rsidRPr="00157895">
        <w:rPr>
          <w:b/>
          <w:noProof/>
          <w:szCs w:val="22"/>
        </w:rPr>
        <w:tab/>
      </w:r>
      <w:r w:rsidR="004F0362">
        <w:rPr>
          <w:b/>
          <w:noProof/>
          <w:szCs w:val="22"/>
        </w:rPr>
        <w:t>MEDICINE SCHEDULE (POISONS STANDARD)</w:t>
      </w:r>
    </w:p>
    <w:p w14:paraId="77887565" w14:textId="77777777" w:rsidR="004F0362" w:rsidRDefault="004F0362" w:rsidP="001E6C47">
      <w:pPr>
        <w:keepNext/>
        <w:spacing w:line="240" w:lineRule="auto"/>
        <w:rPr>
          <w:b/>
          <w:noProof/>
          <w:szCs w:val="22"/>
        </w:rPr>
      </w:pPr>
    </w:p>
    <w:p w14:paraId="490CAAC9" w14:textId="77777777" w:rsidR="004F0362" w:rsidRPr="007655BE" w:rsidRDefault="004F0362" w:rsidP="007655BE">
      <w:pPr>
        <w:spacing w:line="240" w:lineRule="auto"/>
        <w:rPr>
          <w:noProof/>
          <w:szCs w:val="22"/>
        </w:rPr>
      </w:pPr>
      <w:r w:rsidRPr="007655BE">
        <w:rPr>
          <w:noProof/>
          <w:szCs w:val="22"/>
        </w:rPr>
        <w:t>S4 (Prescription Only Medicine)</w:t>
      </w:r>
    </w:p>
    <w:p w14:paraId="0600CE0B" w14:textId="77777777" w:rsidR="004F0362" w:rsidRDefault="004F0362" w:rsidP="007655BE">
      <w:pPr>
        <w:spacing w:line="240" w:lineRule="auto"/>
        <w:rPr>
          <w:b/>
          <w:noProof/>
          <w:szCs w:val="22"/>
        </w:rPr>
      </w:pPr>
    </w:p>
    <w:p w14:paraId="67ED3A7C" w14:textId="77777777" w:rsidR="00201DF5" w:rsidRDefault="004F0362" w:rsidP="004F0362">
      <w:pPr>
        <w:keepNext/>
        <w:spacing w:line="240" w:lineRule="auto"/>
        <w:ind w:left="562" w:hanging="562"/>
        <w:outlineLvl w:val="0"/>
        <w:rPr>
          <w:noProof/>
          <w:szCs w:val="22"/>
        </w:rPr>
      </w:pPr>
      <w:r>
        <w:rPr>
          <w:b/>
          <w:noProof/>
          <w:szCs w:val="22"/>
        </w:rPr>
        <w:t>8.</w:t>
      </w:r>
      <w:r>
        <w:rPr>
          <w:b/>
          <w:noProof/>
          <w:szCs w:val="22"/>
        </w:rPr>
        <w:tab/>
        <w:t>SPONSOR</w:t>
      </w:r>
      <w:r>
        <w:rPr>
          <w:noProof/>
          <w:szCs w:val="22"/>
        </w:rPr>
        <w:t xml:space="preserve"> </w:t>
      </w:r>
    </w:p>
    <w:p w14:paraId="12E9939F" w14:textId="77777777" w:rsidR="004F0362" w:rsidRPr="001F6423" w:rsidRDefault="004F0362" w:rsidP="007655BE">
      <w:pPr>
        <w:keepNext/>
        <w:spacing w:line="240" w:lineRule="auto"/>
        <w:ind w:left="562" w:hanging="562"/>
        <w:outlineLvl w:val="0"/>
        <w:rPr>
          <w:noProof/>
          <w:szCs w:val="22"/>
        </w:rPr>
      </w:pPr>
    </w:p>
    <w:p w14:paraId="25D0F5CF" w14:textId="77777777" w:rsidR="004F0362" w:rsidRPr="004F0362" w:rsidRDefault="004F0362" w:rsidP="004F0362">
      <w:pPr>
        <w:keepNext/>
        <w:spacing w:line="240" w:lineRule="auto"/>
        <w:rPr>
          <w:szCs w:val="22"/>
        </w:rPr>
      </w:pPr>
      <w:r w:rsidRPr="004F0362">
        <w:rPr>
          <w:szCs w:val="22"/>
        </w:rPr>
        <w:t>Grifols Australia Pty Ltd</w:t>
      </w:r>
    </w:p>
    <w:p w14:paraId="5C72BEC5" w14:textId="77777777" w:rsidR="004F0362" w:rsidRPr="004F0362" w:rsidRDefault="004F0362" w:rsidP="004F0362">
      <w:pPr>
        <w:keepNext/>
        <w:spacing w:line="240" w:lineRule="auto"/>
        <w:rPr>
          <w:szCs w:val="22"/>
        </w:rPr>
      </w:pPr>
      <w:r w:rsidRPr="004F0362">
        <w:rPr>
          <w:szCs w:val="22"/>
        </w:rPr>
        <w:t>5/80 Fairbank Road,</w:t>
      </w:r>
    </w:p>
    <w:p w14:paraId="390D6ABA" w14:textId="77777777" w:rsidR="004F0362" w:rsidRPr="004F0362" w:rsidRDefault="004F0362" w:rsidP="004F0362">
      <w:pPr>
        <w:keepNext/>
        <w:spacing w:line="240" w:lineRule="auto"/>
        <w:rPr>
          <w:szCs w:val="22"/>
        </w:rPr>
      </w:pPr>
      <w:r w:rsidRPr="004F0362">
        <w:rPr>
          <w:szCs w:val="22"/>
        </w:rPr>
        <w:t>Clayton South, Victoria 3169</w:t>
      </w:r>
    </w:p>
    <w:p w14:paraId="52C42F45" w14:textId="77777777" w:rsidR="004F0362" w:rsidRDefault="004F0362" w:rsidP="004F0362">
      <w:pPr>
        <w:keepNext/>
        <w:spacing w:line="240" w:lineRule="auto"/>
        <w:rPr>
          <w:szCs w:val="22"/>
        </w:rPr>
      </w:pPr>
      <w:r w:rsidRPr="004F0362">
        <w:rPr>
          <w:szCs w:val="22"/>
        </w:rPr>
        <w:t>Australia</w:t>
      </w:r>
    </w:p>
    <w:p w14:paraId="4B5651C4" w14:textId="77777777" w:rsidR="004F0362" w:rsidRPr="004F0362" w:rsidRDefault="004F0362" w:rsidP="001E6C47">
      <w:pPr>
        <w:spacing w:line="240" w:lineRule="auto"/>
        <w:rPr>
          <w:szCs w:val="22"/>
        </w:rPr>
      </w:pPr>
    </w:p>
    <w:p w14:paraId="498BB507" w14:textId="77777777" w:rsidR="004F0362" w:rsidRDefault="004F0362" w:rsidP="004F0362">
      <w:pPr>
        <w:keepNext/>
        <w:spacing w:line="240" w:lineRule="auto"/>
        <w:rPr>
          <w:szCs w:val="22"/>
          <w:u w:val="single"/>
        </w:rPr>
      </w:pPr>
      <w:r w:rsidRPr="007655BE">
        <w:rPr>
          <w:szCs w:val="22"/>
          <w:u w:val="single"/>
        </w:rPr>
        <w:t>For Medical/Technical Enquiries</w:t>
      </w:r>
    </w:p>
    <w:p w14:paraId="0FACABCE" w14:textId="77777777" w:rsidR="004F0362" w:rsidRPr="007655BE" w:rsidRDefault="004F0362" w:rsidP="004F0362">
      <w:pPr>
        <w:keepNext/>
        <w:spacing w:line="240" w:lineRule="auto"/>
        <w:rPr>
          <w:szCs w:val="22"/>
          <w:u w:val="single"/>
        </w:rPr>
      </w:pPr>
    </w:p>
    <w:p w14:paraId="6E47C4A4" w14:textId="77777777" w:rsidR="00201DF5" w:rsidRDefault="004F0362" w:rsidP="00201DF5">
      <w:pPr>
        <w:spacing w:line="240" w:lineRule="auto"/>
        <w:rPr>
          <w:noProof/>
          <w:szCs w:val="22"/>
        </w:rPr>
      </w:pPr>
      <w:r w:rsidRPr="004F0362">
        <w:rPr>
          <w:szCs w:val="22"/>
        </w:rPr>
        <w:t>TOLL FREE: 1800 339 479</w:t>
      </w:r>
    </w:p>
    <w:p w14:paraId="524FBA5E" w14:textId="77777777" w:rsidR="00201DF5" w:rsidRPr="008225EB" w:rsidRDefault="00201DF5" w:rsidP="00201DF5">
      <w:pPr>
        <w:spacing w:line="240" w:lineRule="auto"/>
        <w:rPr>
          <w:noProof/>
          <w:szCs w:val="22"/>
        </w:rPr>
      </w:pPr>
    </w:p>
    <w:p w14:paraId="57AD8C7A" w14:textId="77777777" w:rsidR="00201DF5" w:rsidRPr="00ED5CBE" w:rsidRDefault="00201DF5" w:rsidP="00ED5CBE">
      <w:pPr>
        <w:keepNext/>
        <w:spacing w:line="240" w:lineRule="auto"/>
        <w:ind w:left="562" w:hanging="562"/>
        <w:outlineLvl w:val="0"/>
        <w:rPr>
          <w:b/>
          <w:noProof/>
          <w:szCs w:val="22"/>
        </w:rPr>
      </w:pPr>
      <w:r w:rsidRPr="008225EB">
        <w:rPr>
          <w:b/>
          <w:noProof/>
          <w:szCs w:val="22"/>
        </w:rPr>
        <w:t>9.</w:t>
      </w:r>
      <w:r w:rsidRPr="008225EB">
        <w:rPr>
          <w:b/>
          <w:noProof/>
          <w:szCs w:val="22"/>
        </w:rPr>
        <w:tab/>
        <w:t xml:space="preserve">DATE OF FIRST </w:t>
      </w:r>
      <w:r w:rsidR="004F0362">
        <w:rPr>
          <w:b/>
          <w:noProof/>
          <w:szCs w:val="22"/>
        </w:rPr>
        <w:t>APPROVAL</w:t>
      </w:r>
    </w:p>
    <w:p w14:paraId="37F3067A" w14:textId="77777777" w:rsidR="00201DF5" w:rsidRPr="00A3136F" w:rsidRDefault="00201DF5" w:rsidP="001E6C47">
      <w:pPr>
        <w:keepNext/>
        <w:spacing w:line="240" w:lineRule="auto"/>
        <w:rPr>
          <w:i/>
          <w:noProof/>
          <w:szCs w:val="22"/>
        </w:rPr>
      </w:pPr>
    </w:p>
    <w:p w14:paraId="014C4E37" w14:textId="295DF7FA" w:rsidR="00201DF5" w:rsidRPr="00067B16" w:rsidRDefault="00201DF5" w:rsidP="00201DF5">
      <w:pPr>
        <w:spacing w:line="240" w:lineRule="auto"/>
        <w:rPr>
          <w:i/>
          <w:noProof/>
          <w:szCs w:val="22"/>
        </w:rPr>
      </w:pPr>
      <w:r w:rsidRPr="000643D3">
        <w:rPr>
          <w:noProof/>
          <w:szCs w:val="22"/>
        </w:rPr>
        <w:t>Date of first authorisation</w:t>
      </w:r>
      <w:r w:rsidRPr="004D5A8F">
        <w:rPr>
          <w:noProof/>
          <w:szCs w:val="22"/>
        </w:rPr>
        <w:t xml:space="preserve">: </w:t>
      </w:r>
      <w:r w:rsidR="007D6ED5">
        <w:rPr>
          <w:noProof/>
          <w:szCs w:val="22"/>
        </w:rPr>
        <w:t>30 June 2022</w:t>
      </w:r>
    </w:p>
    <w:p w14:paraId="676149ED" w14:textId="77777777" w:rsidR="00201DF5" w:rsidRPr="006B4557" w:rsidRDefault="00201DF5" w:rsidP="00201DF5">
      <w:pPr>
        <w:spacing w:line="240" w:lineRule="auto"/>
        <w:rPr>
          <w:noProof/>
          <w:szCs w:val="22"/>
        </w:rPr>
      </w:pPr>
    </w:p>
    <w:p w14:paraId="1A5E00E9" w14:textId="77777777" w:rsidR="00201DF5" w:rsidRPr="00ED5CBE" w:rsidRDefault="00201DF5" w:rsidP="00ED5CBE">
      <w:pPr>
        <w:spacing w:line="240" w:lineRule="auto"/>
        <w:ind w:left="562" w:hanging="562"/>
        <w:rPr>
          <w:b/>
          <w:noProof/>
          <w:szCs w:val="22"/>
        </w:rPr>
      </w:pPr>
    </w:p>
    <w:p w14:paraId="2355BA98" w14:textId="77777777" w:rsidR="00201DF5" w:rsidRDefault="00201DF5" w:rsidP="00ED5CBE">
      <w:pPr>
        <w:keepNext/>
        <w:spacing w:line="240" w:lineRule="auto"/>
        <w:ind w:left="562" w:hanging="562"/>
        <w:outlineLvl w:val="0"/>
        <w:rPr>
          <w:b/>
          <w:noProof/>
          <w:szCs w:val="22"/>
        </w:rPr>
      </w:pPr>
      <w:r w:rsidRPr="00067B16">
        <w:rPr>
          <w:b/>
          <w:noProof/>
          <w:szCs w:val="22"/>
        </w:rPr>
        <w:t>10.</w:t>
      </w:r>
      <w:r w:rsidRPr="00067B16">
        <w:rPr>
          <w:b/>
          <w:noProof/>
          <w:szCs w:val="22"/>
        </w:rPr>
        <w:tab/>
        <w:t>DATE OF REVISION</w:t>
      </w:r>
    </w:p>
    <w:p w14:paraId="2AE42BCB" w14:textId="77777777" w:rsidR="004F0362" w:rsidRPr="00067B16" w:rsidRDefault="004F0362" w:rsidP="00ED5CBE">
      <w:pPr>
        <w:keepNext/>
        <w:spacing w:line="240" w:lineRule="auto"/>
        <w:ind w:left="562" w:hanging="562"/>
        <w:outlineLvl w:val="0"/>
        <w:rPr>
          <w:b/>
          <w:noProof/>
          <w:szCs w:val="22"/>
        </w:rPr>
      </w:pPr>
    </w:p>
    <w:p w14:paraId="0E70C4AB" w14:textId="3021D518" w:rsidR="00201DF5" w:rsidRPr="006B4557" w:rsidRDefault="007D6ED5" w:rsidP="00201DF5">
      <w:pPr>
        <w:numPr>
          <w:ilvl w:val="12"/>
          <w:numId w:val="0"/>
        </w:numPr>
        <w:spacing w:line="240" w:lineRule="auto"/>
        <w:ind w:right="-2"/>
      </w:pPr>
      <w:r>
        <w:rPr>
          <w:noProof/>
          <w:szCs w:val="22"/>
        </w:rPr>
        <w:t>30 June 2022</w:t>
      </w:r>
    </w:p>
    <w:p w14:paraId="17359742" w14:textId="77777777" w:rsidR="00201DF5" w:rsidRDefault="00201DF5" w:rsidP="00ED5CBE">
      <w:pPr>
        <w:rPr>
          <w:b/>
          <w:noProof/>
        </w:rPr>
      </w:pPr>
    </w:p>
    <w:sectPr w:rsidR="00201DF5" w:rsidSect="00CD7C87">
      <w:footerReference w:type="default" r:id="rId10"/>
      <w:headerReference w:type="first" r:id="rId11"/>
      <w:footerReference w:type="first" r:id="rId12"/>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C7B44" w14:textId="77777777" w:rsidR="004E2924" w:rsidRDefault="004E2924">
      <w:r>
        <w:separator/>
      </w:r>
    </w:p>
  </w:endnote>
  <w:endnote w:type="continuationSeparator" w:id="0">
    <w:p w14:paraId="27735AA7" w14:textId="77777777" w:rsidR="004E2924" w:rsidRDefault="004E2924">
      <w:r>
        <w:continuationSeparator/>
      </w:r>
    </w:p>
  </w:endnote>
  <w:endnote w:type="continuationNotice" w:id="1">
    <w:p w14:paraId="5DA273DE" w14:textId="77777777" w:rsidR="004E2924" w:rsidRDefault="004E29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TradeGothic-CondEightee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45D04" w14:textId="77777777" w:rsidR="001329E8" w:rsidRDefault="001329E8">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10</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A0997" w14:textId="77777777" w:rsidR="001329E8" w:rsidRDefault="001329E8">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76256" w14:textId="77777777" w:rsidR="004E2924" w:rsidRDefault="004E2924">
      <w:r>
        <w:separator/>
      </w:r>
    </w:p>
  </w:footnote>
  <w:footnote w:type="continuationSeparator" w:id="0">
    <w:p w14:paraId="663D2239" w14:textId="77777777" w:rsidR="004E2924" w:rsidRDefault="004E2924">
      <w:r>
        <w:continuationSeparator/>
      </w:r>
    </w:p>
  </w:footnote>
  <w:footnote w:type="continuationNotice" w:id="1">
    <w:p w14:paraId="6700B9B3" w14:textId="77777777" w:rsidR="004E2924" w:rsidRDefault="004E29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shd w:val="clear" w:color="auto" w:fill="E4F2E0"/>
      <w:tblLook w:val="04A0" w:firstRow="1" w:lastRow="0" w:firstColumn="1" w:lastColumn="0" w:noHBand="0" w:noVBand="1"/>
    </w:tblPr>
    <w:tblGrid>
      <w:gridCol w:w="8720"/>
    </w:tblGrid>
    <w:tr w:rsidR="002B535D" w:rsidRPr="002B535D" w14:paraId="74B28252" w14:textId="77777777" w:rsidTr="00E276BF">
      <w:tc>
        <w:tcPr>
          <w:tcW w:w="8720" w:type="dxa"/>
          <w:shd w:val="clear" w:color="auto" w:fill="E4F2E0"/>
        </w:tcPr>
        <w:p w14:paraId="142BF068" w14:textId="77777777" w:rsidR="002B535D" w:rsidRPr="002B535D" w:rsidRDefault="002B535D" w:rsidP="002B535D">
          <w:pPr>
            <w:pStyle w:val="Header"/>
            <w:rPr>
              <w:lang w:val="en-AU"/>
            </w:rPr>
          </w:pPr>
          <w:r w:rsidRPr="002B535D">
            <w:rPr>
              <w:b/>
              <w:lang w:val="en-AU"/>
            </w:rPr>
            <w:t xml:space="preserve">Attachment 1: Product information for </w:t>
          </w:r>
          <w:proofErr w:type="spellStart"/>
          <w:r w:rsidRPr="002B535D">
            <w:rPr>
              <w:b/>
              <w:lang w:val="en-AU"/>
            </w:rPr>
            <w:t>AusPAR</w:t>
          </w:r>
          <w:proofErr w:type="spellEnd"/>
          <w:r w:rsidRPr="002B535D">
            <w:rPr>
              <w:b/>
              <w:lang w:val="en-AU"/>
            </w:rPr>
            <w:t xml:space="preserve"> - </w:t>
          </w:r>
          <w:proofErr w:type="spellStart"/>
          <w:r w:rsidRPr="002B535D">
            <w:rPr>
              <w:b/>
              <w:lang w:val="en-AU"/>
            </w:rPr>
            <w:t>Xembify</w:t>
          </w:r>
          <w:proofErr w:type="spellEnd"/>
          <w:r w:rsidRPr="002B535D">
            <w:rPr>
              <w:b/>
              <w:lang w:val="en-AU"/>
            </w:rPr>
            <w:t xml:space="preserve"> – Human Normal Immunoglobulin - Grifols Australia Pty Ltd PM-2020-06238-1-2 Final 23 January 2023. This is the Product Information that was approved with the submission described in this </w:t>
          </w:r>
          <w:proofErr w:type="spellStart"/>
          <w:r w:rsidRPr="002B535D">
            <w:rPr>
              <w:b/>
              <w:lang w:val="en-AU"/>
            </w:rPr>
            <w:t>AusPAR</w:t>
          </w:r>
          <w:proofErr w:type="spellEnd"/>
          <w:r w:rsidRPr="002B535D">
            <w:rPr>
              <w:b/>
              <w:lang w:val="en-AU"/>
            </w:rPr>
            <w:t>. It may have been superseded. For the most recent PI, please refer to the TGA website at &lt;</w:t>
          </w:r>
          <w:hyperlink r:id="rId1" w:history="1">
            <w:r w:rsidRPr="002B535D">
              <w:rPr>
                <w:rStyle w:val="Hyperlink"/>
                <w:b/>
                <w:lang w:val="en-AU"/>
              </w:rPr>
              <w:t>https://www.tga.gov.au/products/australian-register-therapeutic-goods-artg/product-information-one</w:t>
            </w:r>
          </w:hyperlink>
          <w:hyperlink r:id="rId2" w:history="1"/>
          <w:r w:rsidRPr="002B535D">
            <w:rPr>
              <w:lang w:val="en-AU"/>
            </w:rPr>
            <w:t>&gt;</w:t>
          </w:r>
        </w:p>
      </w:tc>
    </w:tr>
  </w:tbl>
  <w:p w14:paraId="7C6F53CA" w14:textId="77777777" w:rsidR="002B535D" w:rsidRDefault="002B535D">
    <w:pPr>
      <w:pStyle w:val="Header"/>
    </w:pPr>
  </w:p>
  <w:p w14:paraId="60314F3A" w14:textId="61CC79F3" w:rsidR="001329E8" w:rsidRDefault="001329E8">
    <w:pPr>
      <w:pStyle w:val="Header"/>
    </w:pPr>
    <w:proofErr w:type="spellStart"/>
    <w:r>
      <w:t>Xembify</w:t>
    </w:r>
    <w:proofErr w:type="spellEnd"/>
    <w:r w:rsidRPr="00805A20">
      <w:rPr>
        <w:vertAlign w:val="superscript"/>
      </w:rPr>
      <w:t>®</w:t>
    </w:r>
    <w:r>
      <w:t xml:space="preserve"> Product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490C"/>
    <w:multiLevelType w:val="singleLevel"/>
    <w:tmpl w:val="7D709458"/>
    <w:lvl w:ilvl="0">
      <w:start w:val="1"/>
      <w:numFmt w:val="bullet"/>
      <w:pStyle w:val="ListBullet"/>
      <w:lvlText w:val="•"/>
      <w:lvlJc w:val="left"/>
      <w:pPr>
        <w:tabs>
          <w:tab w:val="num" w:pos="360"/>
        </w:tabs>
        <w:ind w:left="360" w:hanging="360"/>
      </w:pPr>
      <w:rPr>
        <w:rFonts w:ascii="Times New Roman" w:hAnsi="Times New Roman" w:cs="Times New Roman"/>
        <w:b w:val="0"/>
        <w:i w:val="0"/>
        <w:caps w:val="0"/>
        <w:sz w:val="32"/>
        <w:u w:val="none"/>
        <w:vertAlign w:val="baseline"/>
      </w:rPr>
    </w:lvl>
  </w:abstractNum>
  <w:abstractNum w:abstractNumId="1" w15:restartNumberingAfterBreak="0">
    <w:nsid w:val="1A7F26A9"/>
    <w:multiLevelType w:val="hybridMultilevel"/>
    <w:tmpl w:val="E47E6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67F90"/>
    <w:multiLevelType w:val="hybridMultilevel"/>
    <w:tmpl w:val="AE0C9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620A5E"/>
    <w:multiLevelType w:val="singleLevel"/>
    <w:tmpl w:val="5824F712"/>
    <w:lvl w:ilvl="0">
      <w:start w:val="1"/>
      <w:numFmt w:val="decimal"/>
      <w:pStyle w:val="ListNumber"/>
      <w:lvlText w:val="%1."/>
      <w:lvlJc w:val="left"/>
      <w:pPr>
        <w:tabs>
          <w:tab w:val="num" w:pos="360"/>
        </w:tabs>
        <w:ind w:left="360" w:hanging="360"/>
      </w:pPr>
      <w:rPr>
        <w:rFonts w:ascii="Times New Roman" w:hAnsi="Times New Roman" w:cs="Times New Roman" w:hint="default"/>
        <w:b w:val="0"/>
        <w:i w:val="0"/>
        <w:caps w:val="0"/>
        <w:sz w:val="24"/>
        <w:u w:val="none"/>
        <w:vertAlign w:val="baseline"/>
      </w:rPr>
    </w:lvl>
  </w:abstractNum>
  <w:abstractNum w:abstractNumId="4" w15:restartNumberingAfterBreak="0">
    <w:nsid w:val="455C2FA4"/>
    <w:multiLevelType w:val="hybridMultilevel"/>
    <w:tmpl w:val="DCDA1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BD3D21"/>
    <w:multiLevelType w:val="hybridMultilevel"/>
    <w:tmpl w:val="71D0A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567473"/>
    <w:multiLevelType w:val="hybridMultilevel"/>
    <w:tmpl w:val="14DEF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5761EC"/>
    <w:multiLevelType w:val="singleLevel"/>
    <w:tmpl w:val="F926DA4A"/>
    <w:lvl w:ilvl="0">
      <w:start w:val="1"/>
      <w:numFmt w:val="lowerLetter"/>
      <w:pStyle w:val="TableFootnoteLetter"/>
      <w:lvlText w:val="%1"/>
      <w:lvlJc w:val="left"/>
      <w:pPr>
        <w:tabs>
          <w:tab w:val="num" w:pos="360"/>
        </w:tabs>
        <w:ind w:left="360" w:hanging="360"/>
      </w:pPr>
    </w:lvl>
  </w:abstractNum>
  <w:abstractNum w:abstractNumId="8" w15:restartNumberingAfterBreak="0">
    <w:nsid w:val="6A243568"/>
    <w:multiLevelType w:val="hybridMultilevel"/>
    <w:tmpl w:val="0B309156"/>
    <w:lvl w:ilvl="0" w:tplc="40E4E0E0">
      <w:numFmt w:val="bullet"/>
      <w:lvlText w:val="•"/>
      <w:lvlJc w:val="left"/>
      <w:pPr>
        <w:ind w:left="930" w:hanging="57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DF6318"/>
    <w:multiLevelType w:val="hybridMultilevel"/>
    <w:tmpl w:val="D3CA8AB4"/>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num w:numId="1">
    <w:abstractNumId w:val="1"/>
  </w:num>
  <w:num w:numId="2">
    <w:abstractNumId w:val="0"/>
  </w:num>
  <w:num w:numId="3">
    <w:abstractNumId w:val="3"/>
  </w:num>
  <w:num w:numId="4">
    <w:abstractNumId w:val="7"/>
  </w:num>
  <w:num w:numId="5">
    <w:abstractNumId w:val="9"/>
  </w:num>
  <w:num w:numId="6">
    <w:abstractNumId w:val="5"/>
  </w:num>
  <w:num w:numId="7">
    <w:abstractNumId w:val="6"/>
  </w:num>
  <w:num w:numId="8">
    <w:abstractNumId w:val="2"/>
  </w:num>
  <w:num w:numId="9">
    <w:abstractNumId w:val="4"/>
  </w:num>
  <w:num w:numId="1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812D16"/>
    <w:rsid w:val="00000D62"/>
    <w:rsid w:val="00000E2C"/>
    <w:rsid w:val="00001587"/>
    <w:rsid w:val="00001718"/>
    <w:rsid w:val="0000362A"/>
    <w:rsid w:val="00005701"/>
    <w:rsid w:val="00006A78"/>
    <w:rsid w:val="00007528"/>
    <w:rsid w:val="00010DFF"/>
    <w:rsid w:val="0001164F"/>
    <w:rsid w:val="00012383"/>
    <w:rsid w:val="00013764"/>
    <w:rsid w:val="00014869"/>
    <w:rsid w:val="000150D3"/>
    <w:rsid w:val="000166C1"/>
    <w:rsid w:val="00017749"/>
    <w:rsid w:val="000178B9"/>
    <w:rsid w:val="00017BA0"/>
    <w:rsid w:val="0002006B"/>
    <w:rsid w:val="00020AE8"/>
    <w:rsid w:val="00021936"/>
    <w:rsid w:val="00022461"/>
    <w:rsid w:val="00022D58"/>
    <w:rsid w:val="00023A2C"/>
    <w:rsid w:val="0002441E"/>
    <w:rsid w:val="00025B3B"/>
    <w:rsid w:val="00025EBE"/>
    <w:rsid w:val="00026BF2"/>
    <w:rsid w:val="000271F6"/>
    <w:rsid w:val="000278E9"/>
    <w:rsid w:val="00030445"/>
    <w:rsid w:val="000305F2"/>
    <w:rsid w:val="000318C7"/>
    <w:rsid w:val="00033D26"/>
    <w:rsid w:val="00033FDB"/>
    <w:rsid w:val="00034277"/>
    <w:rsid w:val="000344F6"/>
    <w:rsid w:val="000367FB"/>
    <w:rsid w:val="0004177E"/>
    <w:rsid w:val="000418AA"/>
    <w:rsid w:val="00042263"/>
    <w:rsid w:val="00042576"/>
    <w:rsid w:val="00043505"/>
    <w:rsid w:val="00043C70"/>
    <w:rsid w:val="00044042"/>
    <w:rsid w:val="00044E7B"/>
    <w:rsid w:val="00044FA1"/>
    <w:rsid w:val="000474D2"/>
    <w:rsid w:val="000479C5"/>
    <w:rsid w:val="000507C7"/>
    <w:rsid w:val="00050DD5"/>
    <w:rsid w:val="00050DFD"/>
    <w:rsid w:val="00051147"/>
    <w:rsid w:val="0005274A"/>
    <w:rsid w:val="00053809"/>
    <w:rsid w:val="00053875"/>
    <w:rsid w:val="00053914"/>
    <w:rsid w:val="00054756"/>
    <w:rsid w:val="000560C5"/>
    <w:rsid w:val="0005645B"/>
    <w:rsid w:val="00056C49"/>
    <w:rsid w:val="00056D9F"/>
    <w:rsid w:val="00056FE0"/>
    <w:rsid w:val="000603C8"/>
    <w:rsid w:val="000608A4"/>
    <w:rsid w:val="00060AA1"/>
    <w:rsid w:val="0006278E"/>
    <w:rsid w:val="0006306D"/>
    <w:rsid w:val="000631FD"/>
    <w:rsid w:val="000643D3"/>
    <w:rsid w:val="00067B16"/>
    <w:rsid w:val="00071F8A"/>
    <w:rsid w:val="00073181"/>
    <w:rsid w:val="00073E04"/>
    <w:rsid w:val="00075C18"/>
    <w:rsid w:val="0007628D"/>
    <w:rsid w:val="00076FBB"/>
    <w:rsid w:val="00077067"/>
    <w:rsid w:val="00077C94"/>
    <w:rsid w:val="00081DAB"/>
    <w:rsid w:val="00083051"/>
    <w:rsid w:val="0008427B"/>
    <w:rsid w:val="00092829"/>
    <w:rsid w:val="00092B09"/>
    <w:rsid w:val="00093333"/>
    <w:rsid w:val="0009351E"/>
    <w:rsid w:val="00093CA0"/>
    <w:rsid w:val="0009479A"/>
    <w:rsid w:val="00094AD6"/>
    <w:rsid w:val="00095D61"/>
    <w:rsid w:val="00095E44"/>
    <w:rsid w:val="000968FE"/>
    <w:rsid w:val="00096D8D"/>
    <w:rsid w:val="0009755A"/>
    <w:rsid w:val="000A015F"/>
    <w:rsid w:val="000A094F"/>
    <w:rsid w:val="000A1232"/>
    <w:rsid w:val="000A1FB9"/>
    <w:rsid w:val="000A40D0"/>
    <w:rsid w:val="000A582B"/>
    <w:rsid w:val="000B0097"/>
    <w:rsid w:val="000B0D1D"/>
    <w:rsid w:val="000B101F"/>
    <w:rsid w:val="000B1F4B"/>
    <w:rsid w:val="000B217E"/>
    <w:rsid w:val="000B2F27"/>
    <w:rsid w:val="000B2F58"/>
    <w:rsid w:val="000B37A8"/>
    <w:rsid w:val="000B51D9"/>
    <w:rsid w:val="000B7FD3"/>
    <w:rsid w:val="000C03FB"/>
    <w:rsid w:val="000C0A0F"/>
    <w:rsid w:val="000C308F"/>
    <w:rsid w:val="000C3F68"/>
    <w:rsid w:val="000C42CF"/>
    <w:rsid w:val="000C4E01"/>
    <w:rsid w:val="000C58D4"/>
    <w:rsid w:val="000C5A4E"/>
    <w:rsid w:val="000C635D"/>
    <w:rsid w:val="000C7F49"/>
    <w:rsid w:val="000D0931"/>
    <w:rsid w:val="000D16A2"/>
    <w:rsid w:val="000D1AEE"/>
    <w:rsid w:val="000D1F4F"/>
    <w:rsid w:val="000D2A03"/>
    <w:rsid w:val="000D3264"/>
    <w:rsid w:val="000D3523"/>
    <w:rsid w:val="000D3E1F"/>
    <w:rsid w:val="000D49F7"/>
    <w:rsid w:val="000D4D07"/>
    <w:rsid w:val="000D646E"/>
    <w:rsid w:val="000D7535"/>
    <w:rsid w:val="000E165D"/>
    <w:rsid w:val="000E1BAF"/>
    <w:rsid w:val="000E223E"/>
    <w:rsid w:val="000E2491"/>
    <w:rsid w:val="000E2EA9"/>
    <w:rsid w:val="000E46A3"/>
    <w:rsid w:val="000E4E88"/>
    <w:rsid w:val="000E52E2"/>
    <w:rsid w:val="000E5464"/>
    <w:rsid w:val="000E5726"/>
    <w:rsid w:val="000E6C94"/>
    <w:rsid w:val="000F016A"/>
    <w:rsid w:val="000F05BF"/>
    <w:rsid w:val="000F0CD4"/>
    <w:rsid w:val="000F1BB2"/>
    <w:rsid w:val="000F217A"/>
    <w:rsid w:val="000F3F94"/>
    <w:rsid w:val="000F409D"/>
    <w:rsid w:val="000F5B21"/>
    <w:rsid w:val="000F739C"/>
    <w:rsid w:val="000F76A2"/>
    <w:rsid w:val="00103501"/>
    <w:rsid w:val="00103A14"/>
    <w:rsid w:val="00103B2D"/>
    <w:rsid w:val="00103CD2"/>
    <w:rsid w:val="00104061"/>
    <w:rsid w:val="00106269"/>
    <w:rsid w:val="00107236"/>
    <w:rsid w:val="001101A2"/>
    <w:rsid w:val="001106F7"/>
    <w:rsid w:val="001108A9"/>
    <w:rsid w:val="00110B72"/>
    <w:rsid w:val="00110C0F"/>
    <w:rsid w:val="00110CAF"/>
    <w:rsid w:val="00112EDA"/>
    <w:rsid w:val="001135D4"/>
    <w:rsid w:val="00114174"/>
    <w:rsid w:val="0011476D"/>
    <w:rsid w:val="00117C1D"/>
    <w:rsid w:val="001207DE"/>
    <w:rsid w:val="00120B4D"/>
    <w:rsid w:val="00121B41"/>
    <w:rsid w:val="00122095"/>
    <w:rsid w:val="00122504"/>
    <w:rsid w:val="00123688"/>
    <w:rsid w:val="001266A8"/>
    <w:rsid w:val="00127F47"/>
    <w:rsid w:val="00131462"/>
    <w:rsid w:val="001329E8"/>
    <w:rsid w:val="00133572"/>
    <w:rsid w:val="001364FB"/>
    <w:rsid w:val="001365F2"/>
    <w:rsid w:val="00136BC7"/>
    <w:rsid w:val="00136D7A"/>
    <w:rsid w:val="00136DFC"/>
    <w:rsid w:val="00141470"/>
    <w:rsid w:val="00141540"/>
    <w:rsid w:val="00142555"/>
    <w:rsid w:val="001449DF"/>
    <w:rsid w:val="00145167"/>
    <w:rsid w:val="00145571"/>
    <w:rsid w:val="0014569B"/>
    <w:rsid w:val="001470E0"/>
    <w:rsid w:val="00147392"/>
    <w:rsid w:val="00150060"/>
    <w:rsid w:val="001501D7"/>
    <w:rsid w:val="0015212E"/>
    <w:rsid w:val="001542F8"/>
    <w:rsid w:val="00154C69"/>
    <w:rsid w:val="00155125"/>
    <w:rsid w:val="001552F1"/>
    <w:rsid w:val="00155C63"/>
    <w:rsid w:val="0015704C"/>
    <w:rsid w:val="00157895"/>
    <w:rsid w:val="001606B5"/>
    <w:rsid w:val="00161701"/>
    <w:rsid w:val="00161E87"/>
    <w:rsid w:val="001628E6"/>
    <w:rsid w:val="0016338F"/>
    <w:rsid w:val="0016342F"/>
    <w:rsid w:val="0016566C"/>
    <w:rsid w:val="00166025"/>
    <w:rsid w:val="001679D2"/>
    <w:rsid w:val="00167EED"/>
    <w:rsid w:val="001727F0"/>
    <w:rsid w:val="00172B06"/>
    <w:rsid w:val="0017347E"/>
    <w:rsid w:val="001736BD"/>
    <w:rsid w:val="001746D8"/>
    <w:rsid w:val="001752D8"/>
    <w:rsid w:val="001757AB"/>
    <w:rsid w:val="00175931"/>
    <w:rsid w:val="00176B25"/>
    <w:rsid w:val="00181FCD"/>
    <w:rsid w:val="0018238B"/>
    <w:rsid w:val="00182FA8"/>
    <w:rsid w:val="00183419"/>
    <w:rsid w:val="0018394A"/>
    <w:rsid w:val="00184046"/>
    <w:rsid w:val="00184A56"/>
    <w:rsid w:val="00184DCC"/>
    <w:rsid w:val="00186A9D"/>
    <w:rsid w:val="001874A6"/>
    <w:rsid w:val="0018765B"/>
    <w:rsid w:val="00190913"/>
    <w:rsid w:val="00190957"/>
    <w:rsid w:val="00190C6D"/>
    <w:rsid w:val="00192F8A"/>
    <w:rsid w:val="00193DD3"/>
    <w:rsid w:val="001948AA"/>
    <w:rsid w:val="00195381"/>
    <w:rsid w:val="00195F65"/>
    <w:rsid w:val="0019709C"/>
    <w:rsid w:val="001971A8"/>
    <w:rsid w:val="001A07E2"/>
    <w:rsid w:val="001A19CF"/>
    <w:rsid w:val="001A2018"/>
    <w:rsid w:val="001A43AA"/>
    <w:rsid w:val="001A56F1"/>
    <w:rsid w:val="001A5D0E"/>
    <w:rsid w:val="001B0071"/>
    <w:rsid w:val="001B01C8"/>
    <w:rsid w:val="001B0211"/>
    <w:rsid w:val="001B0416"/>
    <w:rsid w:val="001B0A06"/>
    <w:rsid w:val="001B0B52"/>
    <w:rsid w:val="001B13F6"/>
    <w:rsid w:val="001B1747"/>
    <w:rsid w:val="001B1A74"/>
    <w:rsid w:val="001B2D44"/>
    <w:rsid w:val="001B3C21"/>
    <w:rsid w:val="001B65AB"/>
    <w:rsid w:val="001B6F71"/>
    <w:rsid w:val="001B752A"/>
    <w:rsid w:val="001C12FB"/>
    <w:rsid w:val="001C13A1"/>
    <w:rsid w:val="001C2550"/>
    <w:rsid w:val="001C2DB4"/>
    <w:rsid w:val="001C3228"/>
    <w:rsid w:val="001C35E9"/>
    <w:rsid w:val="001C36BD"/>
    <w:rsid w:val="001C3733"/>
    <w:rsid w:val="001C3DD6"/>
    <w:rsid w:val="001C49B3"/>
    <w:rsid w:val="001C5B30"/>
    <w:rsid w:val="001C67B4"/>
    <w:rsid w:val="001D1DB8"/>
    <w:rsid w:val="001D3C05"/>
    <w:rsid w:val="001D6AF4"/>
    <w:rsid w:val="001E0CC1"/>
    <w:rsid w:val="001E0EA4"/>
    <w:rsid w:val="001E1C10"/>
    <w:rsid w:val="001E392A"/>
    <w:rsid w:val="001E3CC0"/>
    <w:rsid w:val="001E3E13"/>
    <w:rsid w:val="001E4C66"/>
    <w:rsid w:val="001E6C47"/>
    <w:rsid w:val="001E77C3"/>
    <w:rsid w:val="001F090B"/>
    <w:rsid w:val="001F180A"/>
    <w:rsid w:val="001F1A28"/>
    <w:rsid w:val="001F1AD0"/>
    <w:rsid w:val="001F2AA4"/>
    <w:rsid w:val="001F35E8"/>
    <w:rsid w:val="001F4014"/>
    <w:rsid w:val="001F445E"/>
    <w:rsid w:val="001F6423"/>
    <w:rsid w:val="001F7C05"/>
    <w:rsid w:val="00201213"/>
    <w:rsid w:val="0020165E"/>
    <w:rsid w:val="00201DF5"/>
    <w:rsid w:val="0020272E"/>
    <w:rsid w:val="00202E50"/>
    <w:rsid w:val="00205180"/>
    <w:rsid w:val="00205D6D"/>
    <w:rsid w:val="002060DB"/>
    <w:rsid w:val="00207B3C"/>
    <w:rsid w:val="00207F81"/>
    <w:rsid w:val="0021034A"/>
    <w:rsid w:val="002109F4"/>
    <w:rsid w:val="0021170D"/>
    <w:rsid w:val="00211ACF"/>
    <w:rsid w:val="00211FDA"/>
    <w:rsid w:val="0021241B"/>
    <w:rsid w:val="002140FD"/>
    <w:rsid w:val="00215D96"/>
    <w:rsid w:val="00215FDA"/>
    <w:rsid w:val="002160C2"/>
    <w:rsid w:val="00216FD1"/>
    <w:rsid w:val="002178E2"/>
    <w:rsid w:val="00222BB9"/>
    <w:rsid w:val="002258D6"/>
    <w:rsid w:val="00226672"/>
    <w:rsid w:val="002274FB"/>
    <w:rsid w:val="002309D2"/>
    <w:rsid w:val="00231B61"/>
    <w:rsid w:val="00232285"/>
    <w:rsid w:val="0023315B"/>
    <w:rsid w:val="00234313"/>
    <w:rsid w:val="002347FE"/>
    <w:rsid w:val="0023503A"/>
    <w:rsid w:val="00236403"/>
    <w:rsid w:val="0023647E"/>
    <w:rsid w:val="00240142"/>
    <w:rsid w:val="0024178D"/>
    <w:rsid w:val="002422A0"/>
    <w:rsid w:val="0024392B"/>
    <w:rsid w:val="002450C6"/>
    <w:rsid w:val="00245DCF"/>
    <w:rsid w:val="00246C65"/>
    <w:rsid w:val="0024721F"/>
    <w:rsid w:val="0024752C"/>
    <w:rsid w:val="00251A10"/>
    <w:rsid w:val="00252BFF"/>
    <w:rsid w:val="00253732"/>
    <w:rsid w:val="002542A8"/>
    <w:rsid w:val="00255B7E"/>
    <w:rsid w:val="00256062"/>
    <w:rsid w:val="0025630B"/>
    <w:rsid w:val="00260A11"/>
    <w:rsid w:val="0026169A"/>
    <w:rsid w:val="00262763"/>
    <w:rsid w:val="002636AC"/>
    <w:rsid w:val="00264BEA"/>
    <w:rsid w:val="00266414"/>
    <w:rsid w:val="00267850"/>
    <w:rsid w:val="00267D32"/>
    <w:rsid w:val="00271032"/>
    <w:rsid w:val="00273E3E"/>
    <w:rsid w:val="00274147"/>
    <w:rsid w:val="00275189"/>
    <w:rsid w:val="002756DC"/>
    <w:rsid w:val="00275DE6"/>
    <w:rsid w:val="00276412"/>
    <w:rsid w:val="00276437"/>
    <w:rsid w:val="00277A82"/>
    <w:rsid w:val="00277B72"/>
    <w:rsid w:val="00280053"/>
    <w:rsid w:val="0028063F"/>
    <w:rsid w:val="00280740"/>
    <w:rsid w:val="00283B02"/>
    <w:rsid w:val="00283C5D"/>
    <w:rsid w:val="002844B0"/>
    <w:rsid w:val="00286322"/>
    <w:rsid w:val="002868D5"/>
    <w:rsid w:val="00286BEE"/>
    <w:rsid w:val="00286D0B"/>
    <w:rsid w:val="00287AD5"/>
    <w:rsid w:val="00291023"/>
    <w:rsid w:val="00291A54"/>
    <w:rsid w:val="00292B5A"/>
    <w:rsid w:val="00293A14"/>
    <w:rsid w:val="0029557D"/>
    <w:rsid w:val="00296B03"/>
    <w:rsid w:val="00296C1F"/>
    <w:rsid w:val="002A3565"/>
    <w:rsid w:val="002A41E6"/>
    <w:rsid w:val="002A44C8"/>
    <w:rsid w:val="002A46D1"/>
    <w:rsid w:val="002A57EC"/>
    <w:rsid w:val="002A5E48"/>
    <w:rsid w:val="002B0059"/>
    <w:rsid w:val="002B036D"/>
    <w:rsid w:val="002B0455"/>
    <w:rsid w:val="002B261C"/>
    <w:rsid w:val="002B2BEE"/>
    <w:rsid w:val="002B35C5"/>
    <w:rsid w:val="002B3935"/>
    <w:rsid w:val="002B406A"/>
    <w:rsid w:val="002B41D4"/>
    <w:rsid w:val="002B535D"/>
    <w:rsid w:val="002B543F"/>
    <w:rsid w:val="002B7D73"/>
    <w:rsid w:val="002C06E3"/>
    <w:rsid w:val="002C0801"/>
    <w:rsid w:val="002C13E0"/>
    <w:rsid w:val="002C145F"/>
    <w:rsid w:val="002C1867"/>
    <w:rsid w:val="002C33B3"/>
    <w:rsid w:val="002C44B0"/>
    <w:rsid w:val="002C4E07"/>
    <w:rsid w:val="002D0586"/>
    <w:rsid w:val="002D1023"/>
    <w:rsid w:val="002D13D4"/>
    <w:rsid w:val="002D1459"/>
    <w:rsid w:val="002D1470"/>
    <w:rsid w:val="002D21CF"/>
    <w:rsid w:val="002D2DF3"/>
    <w:rsid w:val="002D3A66"/>
    <w:rsid w:val="002D3DB7"/>
    <w:rsid w:val="002D4705"/>
    <w:rsid w:val="002D5B65"/>
    <w:rsid w:val="002D6396"/>
    <w:rsid w:val="002D7E5E"/>
    <w:rsid w:val="002E07BA"/>
    <w:rsid w:val="002E07EF"/>
    <w:rsid w:val="002E0D06"/>
    <w:rsid w:val="002E1810"/>
    <w:rsid w:val="002E40F2"/>
    <w:rsid w:val="002E432F"/>
    <w:rsid w:val="002E4E94"/>
    <w:rsid w:val="002F1F28"/>
    <w:rsid w:val="002F3C0C"/>
    <w:rsid w:val="002F43CA"/>
    <w:rsid w:val="002F4517"/>
    <w:rsid w:val="002F527C"/>
    <w:rsid w:val="002F57AA"/>
    <w:rsid w:val="002F6E4F"/>
    <w:rsid w:val="002F6EF7"/>
    <w:rsid w:val="002F714C"/>
    <w:rsid w:val="002F77BF"/>
    <w:rsid w:val="003004A2"/>
    <w:rsid w:val="003024D1"/>
    <w:rsid w:val="00302FA5"/>
    <w:rsid w:val="003039E0"/>
    <w:rsid w:val="00303DD5"/>
    <w:rsid w:val="00307B74"/>
    <w:rsid w:val="00310764"/>
    <w:rsid w:val="00310B6D"/>
    <w:rsid w:val="00311BFD"/>
    <w:rsid w:val="003122EC"/>
    <w:rsid w:val="00312477"/>
    <w:rsid w:val="00312DA2"/>
    <w:rsid w:val="00313735"/>
    <w:rsid w:val="00314718"/>
    <w:rsid w:val="0031488A"/>
    <w:rsid w:val="003175E1"/>
    <w:rsid w:val="00320203"/>
    <w:rsid w:val="00320FEB"/>
    <w:rsid w:val="00322002"/>
    <w:rsid w:val="0032402F"/>
    <w:rsid w:val="003247B0"/>
    <w:rsid w:val="00325E81"/>
    <w:rsid w:val="00326948"/>
    <w:rsid w:val="00327052"/>
    <w:rsid w:val="0033486D"/>
    <w:rsid w:val="003360EC"/>
    <w:rsid w:val="003367C4"/>
    <w:rsid w:val="00336D8E"/>
    <w:rsid w:val="003376B3"/>
    <w:rsid w:val="003419EE"/>
    <w:rsid w:val="00341C10"/>
    <w:rsid w:val="00345F9C"/>
    <w:rsid w:val="00347085"/>
    <w:rsid w:val="00347776"/>
    <w:rsid w:val="00351A91"/>
    <w:rsid w:val="003520C4"/>
    <w:rsid w:val="003533AE"/>
    <w:rsid w:val="00353AC6"/>
    <w:rsid w:val="00353B82"/>
    <w:rsid w:val="00355748"/>
    <w:rsid w:val="00355E14"/>
    <w:rsid w:val="00357C5E"/>
    <w:rsid w:val="0036044C"/>
    <w:rsid w:val="003608BD"/>
    <w:rsid w:val="00361280"/>
    <w:rsid w:val="003614C5"/>
    <w:rsid w:val="003615F1"/>
    <w:rsid w:val="00361A6E"/>
    <w:rsid w:val="00362E7E"/>
    <w:rsid w:val="00363D7F"/>
    <w:rsid w:val="0036655E"/>
    <w:rsid w:val="00367C66"/>
    <w:rsid w:val="003700B2"/>
    <w:rsid w:val="0037233D"/>
    <w:rsid w:val="003736EF"/>
    <w:rsid w:val="003737E3"/>
    <w:rsid w:val="003744DA"/>
    <w:rsid w:val="00375A84"/>
    <w:rsid w:val="00380A1A"/>
    <w:rsid w:val="00380D80"/>
    <w:rsid w:val="00381F1D"/>
    <w:rsid w:val="0038255D"/>
    <w:rsid w:val="00383A5F"/>
    <w:rsid w:val="0038500E"/>
    <w:rsid w:val="00386765"/>
    <w:rsid w:val="00386D66"/>
    <w:rsid w:val="0038761D"/>
    <w:rsid w:val="00387D51"/>
    <w:rsid w:val="003906F8"/>
    <w:rsid w:val="003935EE"/>
    <w:rsid w:val="003935F0"/>
    <w:rsid w:val="00393EE9"/>
    <w:rsid w:val="0039408A"/>
    <w:rsid w:val="00394527"/>
    <w:rsid w:val="003945F5"/>
    <w:rsid w:val="003947F4"/>
    <w:rsid w:val="00394C5D"/>
    <w:rsid w:val="00395F8D"/>
    <w:rsid w:val="00396173"/>
    <w:rsid w:val="0039654A"/>
    <w:rsid w:val="0039673D"/>
    <w:rsid w:val="00396961"/>
    <w:rsid w:val="003975DA"/>
    <w:rsid w:val="00397893"/>
    <w:rsid w:val="003A2407"/>
    <w:rsid w:val="003A2CF0"/>
    <w:rsid w:val="003A33D3"/>
    <w:rsid w:val="003A3880"/>
    <w:rsid w:val="003A4691"/>
    <w:rsid w:val="003A4B52"/>
    <w:rsid w:val="003A5BC5"/>
    <w:rsid w:val="003A5D55"/>
    <w:rsid w:val="003A6359"/>
    <w:rsid w:val="003A75E6"/>
    <w:rsid w:val="003B038D"/>
    <w:rsid w:val="003B21E4"/>
    <w:rsid w:val="003B23A9"/>
    <w:rsid w:val="003B255B"/>
    <w:rsid w:val="003B27AA"/>
    <w:rsid w:val="003B3317"/>
    <w:rsid w:val="003B3BE2"/>
    <w:rsid w:val="003B4B2F"/>
    <w:rsid w:val="003B52D4"/>
    <w:rsid w:val="003B7075"/>
    <w:rsid w:val="003C08EA"/>
    <w:rsid w:val="003C1CA5"/>
    <w:rsid w:val="003C1EC7"/>
    <w:rsid w:val="003C26C7"/>
    <w:rsid w:val="003C276A"/>
    <w:rsid w:val="003C37F4"/>
    <w:rsid w:val="003C3D8E"/>
    <w:rsid w:val="003C47D1"/>
    <w:rsid w:val="003C64A0"/>
    <w:rsid w:val="003C6F0B"/>
    <w:rsid w:val="003C78B7"/>
    <w:rsid w:val="003C7BA3"/>
    <w:rsid w:val="003D2C18"/>
    <w:rsid w:val="003D4B5A"/>
    <w:rsid w:val="003D4E9C"/>
    <w:rsid w:val="003D7A49"/>
    <w:rsid w:val="003E07B6"/>
    <w:rsid w:val="003E0D78"/>
    <w:rsid w:val="003E1CB1"/>
    <w:rsid w:val="003E257E"/>
    <w:rsid w:val="003E2AD5"/>
    <w:rsid w:val="003E2E9F"/>
    <w:rsid w:val="003E3A1D"/>
    <w:rsid w:val="003E44D8"/>
    <w:rsid w:val="003E5071"/>
    <w:rsid w:val="003E6CA0"/>
    <w:rsid w:val="003F1F41"/>
    <w:rsid w:val="003F2FDE"/>
    <w:rsid w:val="003F330B"/>
    <w:rsid w:val="003F3E12"/>
    <w:rsid w:val="003F47E9"/>
    <w:rsid w:val="003F6FDF"/>
    <w:rsid w:val="0040045B"/>
    <w:rsid w:val="004016F5"/>
    <w:rsid w:val="00401FAE"/>
    <w:rsid w:val="00403B1D"/>
    <w:rsid w:val="00403E50"/>
    <w:rsid w:val="004045AA"/>
    <w:rsid w:val="00405190"/>
    <w:rsid w:val="0040549A"/>
    <w:rsid w:val="00405CC9"/>
    <w:rsid w:val="004069F3"/>
    <w:rsid w:val="0040711E"/>
    <w:rsid w:val="00407D67"/>
    <w:rsid w:val="00407FE1"/>
    <w:rsid w:val="004123BB"/>
    <w:rsid w:val="00412450"/>
    <w:rsid w:val="004138DE"/>
    <w:rsid w:val="00413B39"/>
    <w:rsid w:val="00414B2F"/>
    <w:rsid w:val="00415E58"/>
    <w:rsid w:val="00416231"/>
    <w:rsid w:val="00416AD6"/>
    <w:rsid w:val="00420412"/>
    <w:rsid w:val="004208AB"/>
    <w:rsid w:val="004219EF"/>
    <w:rsid w:val="00421A72"/>
    <w:rsid w:val="00421DE3"/>
    <w:rsid w:val="00424101"/>
    <w:rsid w:val="004241EE"/>
    <w:rsid w:val="004242B9"/>
    <w:rsid w:val="00424348"/>
    <w:rsid w:val="0042507F"/>
    <w:rsid w:val="00426CD9"/>
    <w:rsid w:val="00426FAA"/>
    <w:rsid w:val="00430FEB"/>
    <w:rsid w:val="004310EE"/>
    <w:rsid w:val="00431D91"/>
    <w:rsid w:val="00433677"/>
    <w:rsid w:val="004340D5"/>
    <w:rsid w:val="004346BB"/>
    <w:rsid w:val="00434880"/>
    <w:rsid w:val="0043493B"/>
    <w:rsid w:val="00434A21"/>
    <w:rsid w:val="0043526D"/>
    <w:rsid w:val="00435A6D"/>
    <w:rsid w:val="00436B85"/>
    <w:rsid w:val="00437F8E"/>
    <w:rsid w:val="00442C42"/>
    <w:rsid w:val="00443476"/>
    <w:rsid w:val="00443A73"/>
    <w:rsid w:val="004446F1"/>
    <w:rsid w:val="00444E3D"/>
    <w:rsid w:val="00445C0E"/>
    <w:rsid w:val="004460E9"/>
    <w:rsid w:val="004462B5"/>
    <w:rsid w:val="00446E12"/>
    <w:rsid w:val="00446F09"/>
    <w:rsid w:val="00447B6F"/>
    <w:rsid w:val="0045060F"/>
    <w:rsid w:val="00453623"/>
    <w:rsid w:val="00453C11"/>
    <w:rsid w:val="0045528B"/>
    <w:rsid w:val="004557B0"/>
    <w:rsid w:val="0045605B"/>
    <w:rsid w:val="00457946"/>
    <w:rsid w:val="00457D8B"/>
    <w:rsid w:val="00460241"/>
    <w:rsid w:val="00460A17"/>
    <w:rsid w:val="00462F79"/>
    <w:rsid w:val="00463ECE"/>
    <w:rsid w:val="00464C6E"/>
    <w:rsid w:val="00465EBC"/>
    <w:rsid w:val="004662BA"/>
    <w:rsid w:val="004665FB"/>
    <w:rsid w:val="00467677"/>
    <w:rsid w:val="0047006D"/>
    <w:rsid w:val="00470CB5"/>
    <w:rsid w:val="00471D19"/>
    <w:rsid w:val="00471EAB"/>
    <w:rsid w:val="004723EE"/>
    <w:rsid w:val="00475A92"/>
    <w:rsid w:val="0047673F"/>
    <w:rsid w:val="00477BB9"/>
    <w:rsid w:val="00482DD3"/>
    <w:rsid w:val="004846BD"/>
    <w:rsid w:val="004859EE"/>
    <w:rsid w:val="00485A58"/>
    <w:rsid w:val="00487366"/>
    <w:rsid w:val="004873E4"/>
    <w:rsid w:val="0049072C"/>
    <w:rsid w:val="00490FD1"/>
    <w:rsid w:val="00491AD2"/>
    <w:rsid w:val="004935C0"/>
    <w:rsid w:val="00493B43"/>
    <w:rsid w:val="00494EB1"/>
    <w:rsid w:val="004958F0"/>
    <w:rsid w:val="00496414"/>
    <w:rsid w:val="00496F25"/>
    <w:rsid w:val="00497A38"/>
    <w:rsid w:val="004A0113"/>
    <w:rsid w:val="004A3241"/>
    <w:rsid w:val="004A428F"/>
    <w:rsid w:val="004A45BD"/>
    <w:rsid w:val="004A4656"/>
    <w:rsid w:val="004A5669"/>
    <w:rsid w:val="004A77B0"/>
    <w:rsid w:val="004B08A9"/>
    <w:rsid w:val="004B125E"/>
    <w:rsid w:val="004B1CED"/>
    <w:rsid w:val="004B2885"/>
    <w:rsid w:val="004B34A7"/>
    <w:rsid w:val="004B3B06"/>
    <w:rsid w:val="004B4643"/>
    <w:rsid w:val="004B472A"/>
    <w:rsid w:val="004B600B"/>
    <w:rsid w:val="004B7233"/>
    <w:rsid w:val="004B745E"/>
    <w:rsid w:val="004B7F67"/>
    <w:rsid w:val="004C06BE"/>
    <w:rsid w:val="004C0938"/>
    <w:rsid w:val="004C1994"/>
    <w:rsid w:val="004C3E52"/>
    <w:rsid w:val="004C70FC"/>
    <w:rsid w:val="004C7F80"/>
    <w:rsid w:val="004D100A"/>
    <w:rsid w:val="004D2675"/>
    <w:rsid w:val="004D4080"/>
    <w:rsid w:val="004D4FBC"/>
    <w:rsid w:val="004D5A8F"/>
    <w:rsid w:val="004D65F3"/>
    <w:rsid w:val="004E05FD"/>
    <w:rsid w:val="004E12DD"/>
    <w:rsid w:val="004E1A0D"/>
    <w:rsid w:val="004E22D0"/>
    <w:rsid w:val="004E23F5"/>
    <w:rsid w:val="004E2924"/>
    <w:rsid w:val="004E4864"/>
    <w:rsid w:val="004E52A8"/>
    <w:rsid w:val="004E5418"/>
    <w:rsid w:val="004E6025"/>
    <w:rsid w:val="004E63E5"/>
    <w:rsid w:val="004E6B76"/>
    <w:rsid w:val="004E7120"/>
    <w:rsid w:val="004F0362"/>
    <w:rsid w:val="004F0AAF"/>
    <w:rsid w:val="004F0C14"/>
    <w:rsid w:val="004F1437"/>
    <w:rsid w:val="004F1F4D"/>
    <w:rsid w:val="004F3540"/>
    <w:rsid w:val="004F454D"/>
    <w:rsid w:val="004F52DB"/>
    <w:rsid w:val="004F5624"/>
    <w:rsid w:val="004F5DA4"/>
    <w:rsid w:val="004F62B2"/>
    <w:rsid w:val="004F6424"/>
    <w:rsid w:val="004F7266"/>
    <w:rsid w:val="0050085D"/>
    <w:rsid w:val="00501DBA"/>
    <w:rsid w:val="005040CD"/>
    <w:rsid w:val="00504796"/>
    <w:rsid w:val="00505229"/>
    <w:rsid w:val="00507F98"/>
    <w:rsid w:val="005108A3"/>
    <w:rsid w:val="00510F6E"/>
    <w:rsid w:val="00511422"/>
    <w:rsid w:val="005118AE"/>
    <w:rsid w:val="00512A62"/>
    <w:rsid w:val="00513DB0"/>
    <w:rsid w:val="00514BDB"/>
    <w:rsid w:val="0051587A"/>
    <w:rsid w:val="005158FA"/>
    <w:rsid w:val="005159E2"/>
    <w:rsid w:val="005169AD"/>
    <w:rsid w:val="00516B8D"/>
    <w:rsid w:val="00517D10"/>
    <w:rsid w:val="0052057A"/>
    <w:rsid w:val="005208B9"/>
    <w:rsid w:val="005221F0"/>
    <w:rsid w:val="00524807"/>
    <w:rsid w:val="005252FE"/>
    <w:rsid w:val="00525FF9"/>
    <w:rsid w:val="005267A0"/>
    <w:rsid w:val="00530362"/>
    <w:rsid w:val="00531484"/>
    <w:rsid w:val="00532C41"/>
    <w:rsid w:val="00532D3F"/>
    <w:rsid w:val="0053386D"/>
    <w:rsid w:val="00534700"/>
    <w:rsid w:val="0053791F"/>
    <w:rsid w:val="005446DB"/>
    <w:rsid w:val="00547538"/>
    <w:rsid w:val="00547731"/>
    <w:rsid w:val="00550A34"/>
    <w:rsid w:val="00553BFA"/>
    <w:rsid w:val="00554D05"/>
    <w:rsid w:val="00555005"/>
    <w:rsid w:val="00556464"/>
    <w:rsid w:val="00560616"/>
    <w:rsid w:val="0056077E"/>
    <w:rsid w:val="00560EDA"/>
    <w:rsid w:val="005629EE"/>
    <w:rsid w:val="0056405E"/>
    <w:rsid w:val="005648FA"/>
    <w:rsid w:val="00564D50"/>
    <w:rsid w:val="00567346"/>
    <w:rsid w:val="0057176C"/>
    <w:rsid w:val="00572FE2"/>
    <w:rsid w:val="005734F9"/>
    <w:rsid w:val="0057371B"/>
    <w:rsid w:val="005749FD"/>
    <w:rsid w:val="00575EB8"/>
    <w:rsid w:val="00576EF3"/>
    <w:rsid w:val="00581446"/>
    <w:rsid w:val="00581A8D"/>
    <w:rsid w:val="00582A9B"/>
    <w:rsid w:val="005832AB"/>
    <w:rsid w:val="0058437C"/>
    <w:rsid w:val="00584D48"/>
    <w:rsid w:val="005877A3"/>
    <w:rsid w:val="005902A3"/>
    <w:rsid w:val="00590DC9"/>
    <w:rsid w:val="005918D1"/>
    <w:rsid w:val="005935F4"/>
    <w:rsid w:val="00593E0A"/>
    <w:rsid w:val="005948BC"/>
    <w:rsid w:val="005949C4"/>
    <w:rsid w:val="00594E7C"/>
    <w:rsid w:val="00595EB6"/>
    <w:rsid w:val="00596E5E"/>
    <w:rsid w:val="005A167F"/>
    <w:rsid w:val="005A18BA"/>
    <w:rsid w:val="005A3288"/>
    <w:rsid w:val="005A346E"/>
    <w:rsid w:val="005A5972"/>
    <w:rsid w:val="005A73CF"/>
    <w:rsid w:val="005B27A0"/>
    <w:rsid w:val="005B3F6F"/>
    <w:rsid w:val="005B436E"/>
    <w:rsid w:val="005B544D"/>
    <w:rsid w:val="005B6736"/>
    <w:rsid w:val="005B798B"/>
    <w:rsid w:val="005C1309"/>
    <w:rsid w:val="005C1FAE"/>
    <w:rsid w:val="005C39E8"/>
    <w:rsid w:val="005C447C"/>
    <w:rsid w:val="005C45E3"/>
    <w:rsid w:val="005C5660"/>
    <w:rsid w:val="005C5890"/>
    <w:rsid w:val="005C72E3"/>
    <w:rsid w:val="005D0B84"/>
    <w:rsid w:val="005D1798"/>
    <w:rsid w:val="005D4B68"/>
    <w:rsid w:val="005D5496"/>
    <w:rsid w:val="005E0D9B"/>
    <w:rsid w:val="005E0E9E"/>
    <w:rsid w:val="005E11C1"/>
    <w:rsid w:val="005E2563"/>
    <w:rsid w:val="005E2A4A"/>
    <w:rsid w:val="005E2FC6"/>
    <w:rsid w:val="005E3864"/>
    <w:rsid w:val="005E394C"/>
    <w:rsid w:val="005E42BF"/>
    <w:rsid w:val="005E44A6"/>
    <w:rsid w:val="005E4E70"/>
    <w:rsid w:val="005E65BB"/>
    <w:rsid w:val="005E7252"/>
    <w:rsid w:val="005F03D2"/>
    <w:rsid w:val="005F0DA0"/>
    <w:rsid w:val="005F103E"/>
    <w:rsid w:val="005F202D"/>
    <w:rsid w:val="005F2767"/>
    <w:rsid w:val="005F3794"/>
    <w:rsid w:val="005F3CCB"/>
    <w:rsid w:val="005F4914"/>
    <w:rsid w:val="005F58A2"/>
    <w:rsid w:val="005F62B7"/>
    <w:rsid w:val="005F6869"/>
    <w:rsid w:val="005F6BB9"/>
    <w:rsid w:val="005F7B8A"/>
    <w:rsid w:val="00600119"/>
    <w:rsid w:val="00600A6E"/>
    <w:rsid w:val="00601CB4"/>
    <w:rsid w:val="00603148"/>
    <w:rsid w:val="006048DF"/>
    <w:rsid w:val="00605AD5"/>
    <w:rsid w:val="00606624"/>
    <w:rsid w:val="00606FC7"/>
    <w:rsid w:val="0060727C"/>
    <w:rsid w:val="00610456"/>
    <w:rsid w:val="00611473"/>
    <w:rsid w:val="00611815"/>
    <w:rsid w:val="00611B36"/>
    <w:rsid w:val="006120D6"/>
    <w:rsid w:val="00613A34"/>
    <w:rsid w:val="0061576A"/>
    <w:rsid w:val="00615ADA"/>
    <w:rsid w:val="006221CD"/>
    <w:rsid w:val="00622F5A"/>
    <w:rsid w:val="006235C7"/>
    <w:rsid w:val="00623B09"/>
    <w:rsid w:val="00625AC9"/>
    <w:rsid w:val="006266A9"/>
    <w:rsid w:val="00626BD7"/>
    <w:rsid w:val="0062703B"/>
    <w:rsid w:val="00630426"/>
    <w:rsid w:val="006305C0"/>
    <w:rsid w:val="006316C1"/>
    <w:rsid w:val="006318C9"/>
    <w:rsid w:val="00631ED4"/>
    <w:rsid w:val="00632729"/>
    <w:rsid w:val="00632964"/>
    <w:rsid w:val="00633258"/>
    <w:rsid w:val="00633BC7"/>
    <w:rsid w:val="00634082"/>
    <w:rsid w:val="00635AC7"/>
    <w:rsid w:val="00635E9C"/>
    <w:rsid w:val="006368B6"/>
    <w:rsid w:val="00637B41"/>
    <w:rsid w:val="0064091C"/>
    <w:rsid w:val="006414EE"/>
    <w:rsid w:val="00642524"/>
    <w:rsid w:val="00642D0A"/>
    <w:rsid w:val="0064630E"/>
    <w:rsid w:val="00646FE1"/>
    <w:rsid w:val="00647075"/>
    <w:rsid w:val="0065581D"/>
    <w:rsid w:val="00655C2F"/>
    <w:rsid w:val="00657880"/>
    <w:rsid w:val="00660403"/>
    <w:rsid w:val="00661140"/>
    <w:rsid w:val="006615A2"/>
    <w:rsid w:val="006615E0"/>
    <w:rsid w:val="00661A9F"/>
    <w:rsid w:val="006645C6"/>
    <w:rsid w:val="00670400"/>
    <w:rsid w:val="00670ABE"/>
    <w:rsid w:val="006710DD"/>
    <w:rsid w:val="00673200"/>
    <w:rsid w:val="00674A37"/>
    <w:rsid w:val="0067501E"/>
    <w:rsid w:val="006773D2"/>
    <w:rsid w:val="006776EE"/>
    <w:rsid w:val="00680581"/>
    <w:rsid w:val="0068131F"/>
    <w:rsid w:val="00681A41"/>
    <w:rsid w:val="006821B2"/>
    <w:rsid w:val="006838C0"/>
    <w:rsid w:val="006838EB"/>
    <w:rsid w:val="00685901"/>
    <w:rsid w:val="00685BB9"/>
    <w:rsid w:val="00690127"/>
    <w:rsid w:val="00691BFF"/>
    <w:rsid w:val="00691D42"/>
    <w:rsid w:val="0069406C"/>
    <w:rsid w:val="006940CC"/>
    <w:rsid w:val="006953C1"/>
    <w:rsid w:val="0069562C"/>
    <w:rsid w:val="00696EB2"/>
    <w:rsid w:val="006973AF"/>
    <w:rsid w:val="006A0035"/>
    <w:rsid w:val="006A16E9"/>
    <w:rsid w:val="006A5450"/>
    <w:rsid w:val="006A785D"/>
    <w:rsid w:val="006A7966"/>
    <w:rsid w:val="006B0199"/>
    <w:rsid w:val="006B0896"/>
    <w:rsid w:val="006B0A32"/>
    <w:rsid w:val="006B0BD8"/>
    <w:rsid w:val="006B2463"/>
    <w:rsid w:val="006B4557"/>
    <w:rsid w:val="006B71DB"/>
    <w:rsid w:val="006C0251"/>
    <w:rsid w:val="006C2034"/>
    <w:rsid w:val="006C2B9A"/>
    <w:rsid w:val="006C39BB"/>
    <w:rsid w:val="006C4502"/>
    <w:rsid w:val="006C48DE"/>
    <w:rsid w:val="006C5454"/>
    <w:rsid w:val="006C5467"/>
    <w:rsid w:val="006C6114"/>
    <w:rsid w:val="006C719F"/>
    <w:rsid w:val="006D180D"/>
    <w:rsid w:val="006D2288"/>
    <w:rsid w:val="006D3418"/>
    <w:rsid w:val="006D4464"/>
    <w:rsid w:val="006D56BC"/>
    <w:rsid w:val="006D5E91"/>
    <w:rsid w:val="006D6309"/>
    <w:rsid w:val="006E14E6"/>
    <w:rsid w:val="006E1AEE"/>
    <w:rsid w:val="006E289E"/>
    <w:rsid w:val="006E2F52"/>
    <w:rsid w:val="006E32A9"/>
    <w:rsid w:val="006E3B9C"/>
    <w:rsid w:val="006E48F4"/>
    <w:rsid w:val="006E50FB"/>
    <w:rsid w:val="006E51A2"/>
    <w:rsid w:val="006E5D6E"/>
    <w:rsid w:val="006E73AF"/>
    <w:rsid w:val="006F0DE2"/>
    <w:rsid w:val="006F11BD"/>
    <w:rsid w:val="006F25B4"/>
    <w:rsid w:val="006F32C7"/>
    <w:rsid w:val="006F3495"/>
    <w:rsid w:val="006F417D"/>
    <w:rsid w:val="006F5074"/>
    <w:rsid w:val="006F5C83"/>
    <w:rsid w:val="006F67CC"/>
    <w:rsid w:val="006F6B89"/>
    <w:rsid w:val="007000BE"/>
    <w:rsid w:val="00701C2D"/>
    <w:rsid w:val="00702162"/>
    <w:rsid w:val="00703725"/>
    <w:rsid w:val="00703930"/>
    <w:rsid w:val="00704D5E"/>
    <w:rsid w:val="0070523C"/>
    <w:rsid w:val="0070610E"/>
    <w:rsid w:val="007071C3"/>
    <w:rsid w:val="00707759"/>
    <w:rsid w:val="00710081"/>
    <w:rsid w:val="00710B0D"/>
    <w:rsid w:val="007114BD"/>
    <w:rsid w:val="00711F6A"/>
    <w:rsid w:val="00713A85"/>
    <w:rsid w:val="00713CB5"/>
    <w:rsid w:val="00714E3F"/>
    <w:rsid w:val="0071558B"/>
    <w:rsid w:val="0071776A"/>
    <w:rsid w:val="00717EE9"/>
    <w:rsid w:val="00721189"/>
    <w:rsid w:val="007221C3"/>
    <w:rsid w:val="00722244"/>
    <w:rsid w:val="00722F2C"/>
    <w:rsid w:val="00723E5B"/>
    <w:rsid w:val="00724BA8"/>
    <w:rsid w:val="007251C3"/>
    <w:rsid w:val="007254D1"/>
    <w:rsid w:val="00725B32"/>
    <w:rsid w:val="00725B3C"/>
    <w:rsid w:val="0072690B"/>
    <w:rsid w:val="00726BBB"/>
    <w:rsid w:val="00731DBB"/>
    <w:rsid w:val="00732EDB"/>
    <w:rsid w:val="00732F84"/>
    <w:rsid w:val="00733D54"/>
    <w:rsid w:val="00734DB2"/>
    <w:rsid w:val="00736A4F"/>
    <w:rsid w:val="00736F51"/>
    <w:rsid w:val="00737753"/>
    <w:rsid w:val="00737768"/>
    <w:rsid w:val="00737AA4"/>
    <w:rsid w:val="00740CE9"/>
    <w:rsid w:val="007415DC"/>
    <w:rsid w:val="007418DF"/>
    <w:rsid w:val="007428E3"/>
    <w:rsid w:val="0074394E"/>
    <w:rsid w:val="00743D1B"/>
    <w:rsid w:val="0074422D"/>
    <w:rsid w:val="0074729A"/>
    <w:rsid w:val="00750D0A"/>
    <w:rsid w:val="00751D93"/>
    <w:rsid w:val="00752300"/>
    <w:rsid w:val="007525D4"/>
    <w:rsid w:val="00753BF5"/>
    <w:rsid w:val="00754234"/>
    <w:rsid w:val="007546F8"/>
    <w:rsid w:val="0075579B"/>
    <w:rsid w:val="00755BAB"/>
    <w:rsid w:val="0076080E"/>
    <w:rsid w:val="00762036"/>
    <w:rsid w:val="0076292A"/>
    <w:rsid w:val="00763965"/>
    <w:rsid w:val="0076411D"/>
    <w:rsid w:val="0076418B"/>
    <w:rsid w:val="007655BE"/>
    <w:rsid w:val="00766DD5"/>
    <w:rsid w:val="00766E64"/>
    <w:rsid w:val="007670F8"/>
    <w:rsid w:val="007671D4"/>
    <w:rsid w:val="0076751D"/>
    <w:rsid w:val="00770A85"/>
    <w:rsid w:val="0077195E"/>
    <w:rsid w:val="007735C9"/>
    <w:rsid w:val="00773DC9"/>
    <w:rsid w:val="007748F3"/>
    <w:rsid w:val="0077572E"/>
    <w:rsid w:val="00775A0E"/>
    <w:rsid w:val="0077768F"/>
    <w:rsid w:val="00777BE4"/>
    <w:rsid w:val="0078031B"/>
    <w:rsid w:val="007811EB"/>
    <w:rsid w:val="00784DB5"/>
    <w:rsid w:val="00784F44"/>
    <w:rsid w:val="00785419"/>
    <w:rsid w:val="00785AD0"/>
    <w:rsid w:val="00786672"/>
    <w:rsid w:val="007872CF"/>
    <w:rsid w:val="007876B2"/>
    <w:rsid w:val="00790877"/>
    <w:rsid w:val="007910AA"/>
    <w:rsid w:val="0079201C"/>
    <w:rsid w:val="0079307F"/>
    <w:rsid w:val="007940C5"/>
    <w:rsid w:val="007947C4"/>
    <w:rsid w:val="007957F5"/>
    <w:rsid w:val="00795CE1"/>
    <w:rsid w:val="007962FD"/>
    <w:rsid w:val="007A0646"/>
    <w:rsid w:val="007A06AC"/>
    <w:rsid w:val="007A37C1"/>
    <w:rsid w:val="007A3A60"/>
    <w:rsid w:val="007A4387"/>
    <w:rsid w:val="007A4636"/>
    <w:rsid w:val="007A5698"/>
    <w:rsid w:val="007B1014"/>
    <w:rsid w:val="007B103F"/>
    <w:rsid w:val="007B1484"/>
    <w:rsid w:val="007B1A10"/>
    <w:rsid w:val="007B213E"/>
    <w:rsid w:val="007B219A"/>
    <w:rsid w:val="007B31AB"/>
    <w:rsid w:val="007B3268"/>
    <w:rsid w:val="007B36AA"/>
    <w:rsid w:val="007B40CD"/>
    <w:rsid w:val="007B42D3"/>
    <w:rsid w:val="007B46D9"/>
    <w:rsid w:val="007B5BFC"/>
    <w:rsid w:val="007B6659"/>
    <w:rsid w:val="007B6C39"/>
    <w:rsid w:val="007B76AB"/>
    <w:rsid w:val="007B7897"/>
    <w:rsid w:val="007B7BBF"/>
    <w:rsid w:val="007B7DBD"/>
    <w:rsid w:val="007C45D3"/>
    <w:rsid w:val="007C4C40"/>
    <w:rsid w:val="007C597B"/>
    <w:rsid w:val="007C760C"/>
    <w:rsid w:val="007D08FD"/>
    <w:rsid w:val="007D1584"/>
    <w:rsid w:val="007D1F95"/>
    <w:rsid w:val="007D2044"/>
    <w:rsid w:val="007D44C8"/>
    <w:rsid w:val="007D4A1E"/>
    <w:rsid w:val="007D4F33"/>
    <w:rsid w:val="007D554B"/>
    <w:rsid w:val="007D65C7"/>
    <w:rsid w:val="007D6ED5"/>
    <w:rsid w:val="007D74D2"/>
    <w:rsid w:val="007D79B5"/>
    <w:rsid w:val="007E2334"/>
    <w:rsid w:val="007E23CE"/>
    <w:rsid w:val="007E2981"/>
    <w:rsid w:val="007E2CE7"/>
    <w:rsid w:val="007E43D0"/>
    <w:rsid w:val="007E4F00"/>
    <w:rsid w:val="007E54F8"/>
    <w:rsid w:val="007E5987"/>
    <w:rsid w:val="007E5BD8"/>
    <w:rsid w:val="007E63A4"/>
    <w:rsid w:val="007E7BF9"/>
    <w:rsid w:val="007F02BC"/>
    <w:rsid w:val="007F191E"/>
    <w:rsid w:val="007F1D17"/>
    <w:rsid w:val="007F20D7"/>
    <w:rsid w:val="007F2C52"/>
    <w:rsid w:val="007F2E65"/>
    <w:rsid w:val="007F43BA"/>
    <w:rsid w:val="007F45D1"/>
    <w:rsid w:val="007F64BE"/>
    <w:rsid w:val="007F6DC3"/>
    <w:rsid w:val="007F7454"/>
    <w:rsid w:val="007F798B"/>
    <w:rsid w:val="0080006A"/>
    <w:rsid w:val="008006B4"/>
    <w:rsid w:val="008015B6"/>
    <w:rsid w:val="008028AE"/>
    <w:rsid w:val="00802C88"/>
    <w:rsid w:val="0080300B"/>
    <w:rsid w:val="00803FD4"/>
    <w:rsid w:val="0080481C"/>
    <w:rsid w:val="00804C54"/>
    <w:rsid w:val="008056DD"/>
    <w:rsid w:val="00805A20"/>
    <w:rsid w:val="00807B4E"/>
    <w:rsid w:val="0081104C"/>
    <w:rsid w:val="008121F2"/>
    <w:rsid w:val="00812D16"/>
    <w:rsid w:val="0081569A"/>
    <w:rsid w:val="00816C51"/>
    <w:rsid w:val="00821865"/>
    <w:rsid w:val="008225EB"/>
    <w:rsid w:val="00822FF1"/>
    <w:rsid w:val="0082327D"/>
    <w:rsid w:val="0082433D"/>
    <w:rsid w:val="00825B3E"/>
    <w:rsid w:val="00826509"/>
    <w:rsid w:val="00827686"/>
    <w:rsid w:val="0083039C"/>
    <w:rsid w:val="0083354D"/>
    <w:rsid w:val="00834AE8"/>
    <w:rsid w:val="0083561B"/>
    <w:rsid w:val="00835D9A"/>
    <w:rsid w:val="00837D78"/>
    <w:rsid w:val="00840D79"/>
    <w:rsid w:val="00842A21"/>
    <w:rsid w:val="00843D18"/>
    <w:rsid w:val="00845326"/>
    <w:rsid w:val="00845DAD"/>
    <w:rsid w:val="008478E3"/>
    <w:rsid w:val="00850B6D"/>
    <w:rsid w:val="00851377"/>
    <w:rsid w:val="0085437C"/>
    <w:rsid w:val="00854B2F"/>
    <w:rsid w:val="00855481"/>
    <w:rsid w:val="00856354"/>
    <w:rsid w:val="008568E1"/>
    <w:rsid w:val="00856BE9"/>
    <w:rsid w:val="00857389"/>
    <w:rsid w:val="008578F8"/>
    <w:rsid w:val="00860566"/>
    <w:rsid w:val="008606BC"/>
    <w:rsid w:val="00860B8A"/>
    <w:rsid w:val="0086165C"/>
    <w:rsid w:val="00861B26"/>
    <w:rsid w:val="00862343"/>
    <w:rsid w:val="00862CA9"/>
    <w:rsid w:val="00862EED"/>
    <w:rsid w:val="00863124"/>
    <w:rsid w:val="00864270"/>
    <w:rsid w:val="008643FC"/>
    <w:rsid w:val="008649B9"/>
    <w:rsid w:val="00864EB9"/>
    <w:rsid w:val="008676DF"/>
    <w:rsid w:val="0086784F"/>
    <w:rsid w:val="0087029C"/>
    <w:rsid w:val="00870394"/>
    <w:rsid w:val="00870584"/>
    <w:rsid w:val="0087073B"/>
    <w:rsid w:val="00872257"/>
    <w:rsid w:val="00873967"/>
    <w:rsid w:val="00873C2A"/>
    <w:rsid w:val="008762DC"/>
    <w:rsid w:val="008770D4"/>
    <w:rsid w:val="00877452"/>
    <w:rsid w:val="008800E5"/>
    <w:rsid w:val="0088111B"/>
    <w:rsid w:val="0088127F"/>
    <w:rsid w:val="008815EF"/>
    <w:rsid w:val="0088464B"/>
    <w:rsid w:val="00885273"/>
    <w:rsid w:val="008852D8"/>
    <w:rsid w:val="00885B69"/>
    <w:rsid w:val="00885F2C"/>
    <w:rsid w:val="00885F94"/>
    <w:rsid w:val="00886386"/>
    <w:rsid w:val="008868CA"/>
    <w:rsid w:val="0088701C"/>
    <w:rsid w:val="00890283"/>
    <w:rsid w:val="00891171"/>
    <w:rsid w:val="00892459"/>
    <w:rsid w:val="008929AA"/>
    <w:rsid w:val="00892AA5"/>
    <w:rsid w:val="008933DD"/>
    <w:rsid w:val="0089499B"/>
    <w:rsid w:val="00894ACA"/>
    <w:rsid w:val="00894EC5"/>
    <w:rsid w:val="00895B3B"/>
    <w:rsid w:val="00896658"/>
    <w:rsid w:val="008967B5"/>
    <w:rsid w:val="00896E58"/>
    <w:rsid w:val="008979D5"/>
    <w:rsid w:val="00897C2D"/>
    <w:rsid w:val="008A03AC"/>
    <w:rsid w:val="008A1008"/>
    <w:rsid w:val="008A2CDC"/>
    <w:rsid w:val="008A345A"/>
    <w:rsid w:val="008A3D32"/>
    <w:rsid w:val="008A3DB9"/>
    <w:rsid w:val="008A4AB5"/>
    <w:rsid w:val="008A6A5C"/>
    <w:rsid w:val="008A7316"/>
    <w:rsid w:val="008A7379"/>
    <w:rsid w:val="008A7AB7"/>
    <w:rsid w:val="008B20CA"/>
    <w:rsid w:val="008B30C6"/>
    <w:rsid w:val="008B382C"/>
    <w:rsid w:val="008B4492"/>
    <w:rsid w:val="008B4A1C"/>
    <w:rsid w:val="008B500A"/>
    <w:rsid w:val="008B5630"/>
    <w:rsid w:val="008B6411"/>
    <w:rsid w:val="008B6518"/>
    <w:rsid w:val="008B7979"/>
    <w:rsid w:val="008C0B75"/>
    <w:rsid w:val="008C1610"/>
    <w:rsid w:val="008C2353"/>
    <w:rsid w:val="008C2F1E"/>
    <w:rsid w:val="008C30E5"/>
    <w:rsid w:val="008C34F0"/>
    <w:rsid w:val="008C3B5B"/>
    <w:rsid w:val="008C409F"/>
    <w:rsid w:val="008C602D"/>
    <w:rsid w:val="008C6BCC"/>
    <w:rsid w:val="008C7538"/>
    <w:rsid w:val="008D07D6"/>
    <w:rsid w:val="008D098D"/>
    <w:rsid w:val="008D0E85"/>
    <w:rsid w:val="008D135A"/>
    <w:rsid w:val="008D138B"/>
    <w:rsid w:val="008D1D9D"/>
    <w:rsid w:val="008D2205"/>
    <w:rsid w:val="008D2331"/>
    <w:rsid w:val="008D2C22"/>
    <w:rsid w:val="008D347F"/>
    <w:rsid w:val="008D35AD"/>
    <w:rsid w:val="008D36CD"/>
    <w:rsid w:val="008D3882"/>
    <w:rsid w:val="008D4380"/>
    <w:rsid w:val="008D46F1"/>
    <w:rsid w:val="008D48D1"/>
    <w:rsid w:val="008D5317"/>
    <w:rsid w:val="008D5AE6"/>
    <w:rsid w:val="008D6BE8"/>
    <w:rsid w:val="008E004C"/>
    <w:rsid w:val="008E27E9"/>
    <w:rsid w:val="008E42DE"/>
    <w:rsid w:val="008E4881"/>
    <w:rsid w:val="008E4E6A"/>
    <w:rsid w:val="008E7964"/>
    <w:rsid w:val="008E7C01"/>
    <w:rsid w:val="008F006E"/>
    <w:rsid w:val="008F02EA"/>
    <w:rsid w:val="008F1DB4"/>
    <w:rsid w:val="008F2C49"/>
    <w:rsid w:val="008F36F0"/>
    <w:rsid w:val="008F4237"/>
    <w:rsid w:val="008F66BC"/>
    <w:rsid w:val="008F67DB"/>
    <w:rsid w:val="008F7655"/>
    <w:rsid w:val="008F7854"/>
    <w:rsid w:val="008F7CFF"/>
    <w:rsid w:val="008F7ED1"/>
    <w:rsid w:val="00901C8D"/>
    <w:rsid w:val="009043BB"/>
    <w:rsid w:val="009048C6"/>
    <w:rsid w:val="00904A4D"/>
    <w:rsid w:val="00905643"/>
    <w:rsid w:val="00905EE9"/>
    <w:rsid w:val="009065F4"/>
    <w:rsid w:val="009075A7"/>
    <w:rsid w:val="00907DFB"/>
    <w:rsid w:val="00910624"/>
    <w:rsid w:val="00910FBA"/>
    <w:rsid w:val="00911D39"/>
    <w:rsid w:val="00912B9F"/>
    <w:rsid w:val="00915478"/>
    <w:rsid w:val="0091673A"/>
    <w:rsid w:val="00917C0F"/>
    <w:rsid w:val="0092040E"/>
    <w:rsid w:val="009205FE"/>
    <w:rsid w:val="00920BE5"/>
    <w:rsid w:val="00920C6C"/>
    <w:rsid w:val="00921897"/>
    <w:rsid w:val="00921C6D"/>
    <w:rsid w:val="009224F0"/>
    <w:rsid w:val="009227D9"/>
    <w:rsid w:val="00922EE6"/>
    <w:rsid w:val="00923AF9"/>
    <w:rsid w:val="00923C44"/>
    <w:rsid w:val="009244B3"/>
    <w:rsid w:val="00926A34"/>
    <w:rsid w:val="00927791"/>
    <w:rsid w:val="00930607"/>
    <w:rsid w:val="009306CA"/>
    <w:rsid w:val="00930D0A"/>
    <w:rsid w:val="00931D21"/>
    <w:rsid w:val="009329BA"/>
    <w:rsid w:val="0093304D"/>
    <w:rsid w:val="00935366"/>
    <w:rsid w:val="00936939"/>
    <w:rsid w:val="0094053B"/>
    <w:rsid w:val="00942040"/>
    <w:rsid w:val="00942C9F"/>
    <w:rsid w:val="00943606"/>
    <w:rsid w:val="00943A17"/>
    <w:rsid w:val="0094423E"/>
    <w:rsid w:val="00945521"/>
    <w:rsid w:val="00945631"/>
    <w:rsid w:val="00945682"/>
    <w:rsid w:val="0094642D"/>
    <w:rsid w:val="009473B0"/>
    <w:rsid w:val="00947549"/>
    <w:rsid w:val="009479AC"/>
    <w:rsid w:val="00947CF3"/>
    <w:rsid w:val="009511B8"/>
    <w:rsid w:val="00951773"/>
    <w:rsid w:val="00954AE8"/>
    <w:rsid w:val="00954E3B"/>
    <w:rsid w:val="0095793C"/>
    <w:rsid w:val="00957D1C"/>
    <w:rsid w:val="00957E9A"/>
    <w:rsid w:val="0096111E"/>
    <w:rsid w:val="00961125"/>
    <w:rsid w:val="009623D8"/>
    <w:rsid w:val="00963362"/>
    <w:rsid w:val="00963BD1"/>
    <w:rsid w:val="0096522C"/>
    <w:rsid w:val="009666E7"/>
    <w:rsid w:val="00966B1F"/>
    <w:rsid w:val="00970691"/>
    <w:rsid w:val="00970A7E"/>
    <w:rsid w:val="0097116E"/>
    <w:rsid w:val="00972AAF"/>
    <w:rsid w:val="00974518"/>
    <w:rsid w:val="00975CEA"/>
    <w:rsid w:val="00977409"/>
    <w:rsid w:val="00980FE0"/>
    <w:rsid w:val="009821D5"/>
    <w:rsid w:val="00984E32"/>
    <w:rsid w:val="00985881"/>
    <w:rsid w:val="00985F8B"/>
    <w:rsid w:val="00986D35"/>
    <w:rsid w:val="00987456"/>
    <w:rsid w:val="00990C3B"/>
    <w:rsid w:val="00991CBD"/>
    <w:rsid w:val="009921E6"/>
    <w:rsid w:val="009928B7"/>
    <w:rsid w:val="0099321A"/>
    <w:rsid w:val="009947E8"/>
    <w:rsid w:val="00995C18"/>
    <w:rsid w:val="009960B7"/>
    <w:rsid w:val="00996F08"/>
    <w:rsid w:val="00996FD1"/>
    <w:rsid w:val="009972FE"/>
    <w:rsid w:val="00997A66"/>
    <w:rsid w:val="009A01F7"/>
    <w:rsid w:val="009A21F7"/>
    <w:rsid w:val="009A2772"/>
    <w:rsid w:val="009B423B"/>
    <w:rsid w:val="009B4F13"/>
    <w:rsid w:val="009B536C"/>
    <w:rsid w:val="009B5C19"/>
    <w:rsid w:val="009B6496"/>
    <w:rsid w:val="009B6C12"/>
    <w:rsid w:val="009B7A9A"/>
    <w:rsid w:val="009C01DA"/>
    <w:rsid w:val="009C1528"/>
    <w:rsid w:val="009C20CC"/>
    <w:rsid w:val="009C2BDF"/>
    <w:rsid w:val="009C3558"/>
    <w:rsid w:val="009C562E"/>
    <w:rsid w:val="009C5E44"/>
    <w:rsid w:val="009C7531"/>
    <w:rsid w:val="009D11BC"/>
    <w:rsid w:val="009D220C"/>
    <w:rsid w:val="009D221F"/>
    <w:rsid w:val="009D2CBD"/>
    <w:rsid w:val="009D4FD2"/>
    <w:rsid w:val="009E09F0"/>
    <w:rsid w:val="009E135D"/>
    <w:rsid w:val="009E19E8"/>
    <w:rsid w:val="009E2C98"/>
    <w:rsid w:val="009E377C"/>
    <w:rsid w:val="009E411C"/>
    <w:rsid w:val="009E458A"/>
    <w:rsid w:val="009E51D2"/>
    <w:rsid w:val="009E5316"/>
    <w:rsid w:val="009E5803"/>
    <w:rsid w:val="009E5D7C"/>
    <w:rsid w:val="009E5DFC"/>
    <w:rsid w:val="009E73E8"/>
    <w:rsid w:val="009F0528"/>
    <w:rsid w:val="009F112F"/>
    <w:rsid w:val="009F1789"/>
    <w:rsid w:val="009F24B4"/>
    <w:rsid w:val="009F2B22"/>
    <w:rsid w:val="009F2E3B"/>
    <w:rsid w:val="009F30EA"/>
    <w:rsid w:val="009F36D2"/>
    <w:rsid w:val="009F3B6B"/>
    <w:rsid w:val="009F4504"/>
    <w:rsid w:val="009F502C"/>
    <w:rsid w:val="009F603B"/>
    <w:rsid w:val="009F6987"/>
    <w:rsid w:val="009F720F"/>
    <w:rsid w:val="00A010E7"/>
    <w:rsid w:val="00A01A17"/>
    <w:rsid w:val="00A01A60"/>
    <w:rsid w:val="00A03DB6"/>
    <w:rsid w:val="00A04071"/>
    <w:rsid w:val="00A0616C"/>
    <w:rsid w:val="00A06770"/>
    <w:rsid w:val="00A06E6E"/>
    <w:rsid w:val="00A076F9"/>
    <w:rsid w:val="00A07997"/>
    <w:rsid w:val="00A07F87"/>
    <w:rsid w:val="00A121C3"/>
    <w:rsid w:val="00A13659"/>
    <w:rsid w:val="00A14902"/>
    <w:rsid w:val="00A15EC8"/>
    <w:rsid w:val="00A1637F"/>
    <w:rsid w:val="00A16C21"/>
    <w:rsid w:val="00A17791"/>
    <w:rsid w:val="00A20237"/>
    <w:rsid w:val="00A206ED"/>
    <w:rsid w:val="00A20806"/>
    <w:rsid w:val="00A20C7F"/>
    <w:rsid w:val="00A216D5"/>
    <w:rsid w:val="00A21D41"/>
    <w:rsid w:val="00A22DBA"/>
    <w:rsid w:val="00A2329D"/>
    <w:rsid w:val="00A24240"/>
    <w:rsid w:val="00A2490E"/>
    <w:rsid w:val="00A25442"/>
    <w:rsid w:val="00A25BFF"/>
    <w:rsid w:val="00A26648"/>
    <w:rsid w:val="00A26F79"/>
    <w:rsid w:val="00A27522"/>
    <w:rsid w:val="00A3136F"/>
    <w:rsid w:val="00A3269D"/>
    <w:rsid w:val="00A32720"/>
    <w:rsid w:val="00A34D0C"/>
    <w:rsid w:val="00A34D76"/>
    <w:rsid w:val="00A365D0"/>
    <w:rsid w:val="00A36730"/>
    <w:rsid w:val="00A36807"/>
    <w:rsid w:val="00A402B8"/>
    <w:rsid w:val="00A4043E"/>
    <w:rsid w:val="00A437D9"/>
    <w:rsid w:val="00A43C16"/>
    <w:rsid w:val="00A43F52"/>
    <w:rsid w:val="00A443A6"/>
    <w:rsid w:val="00A45A1A"/>
    <w:rsid w:val="00A45E61"/>
    <w:rsid w:val="00A47F32"/>
    <w:rsid w:val="00A5305F"/>
    <w:rsid w:val="00A53220"/>
    <w:rsid w:val="00A53839"/>
    <w:rsid w:val="00A538E6"/>
    <w:rsid w:val="00A56102"/>
    <w:rsid w:val="00A56800"/>
    <w:rsid w:val="00A56D7E"/>
    <w:rsid w:val="00A57404"/>
    <w:rsid w:val="00A575BD"/>
    <w:rsid w:val="00A60EEC"/>
    <w:rsid w:val="00A6241A"/>
    <w:rsid w:val="00A63B83"/>
    <w:rsid w:val="00A652BC"/>
    <w:rsid w:val="00A65BD9"/>
    <w:rsid w:val="00A66718"/>
    <w:rsid w:val="00A66CCF"/>
    <w:rsid w:val="00A66D00"/>
    <w:rsid w:val="00A671EF"/>
    <w:rsid w:val="00A70B31"/>
    <w:rsid w:val="00A71E45"/>
    <w:rsid w:val="00A72F8E"/>
    <w:rsid w:val="00A73247"/>
    <w:rsid w:val="00A73A74"/>
    <w:rsid w:val="00A73EC4"/>
    <w:rsid w:val="00A7577A"/>
    <w:rsid w:val="00A759FE"/>
    <w:rsid w:val="00A75FE1"/>
    <w:rsid w:val="00A7676C"/>
    <w:rsid w:val="00A76D67"/>
    <w:rsid w:val="00A77562"/>
    <w:rsid w:val="00A776B8"/>
    <w:rsid w:val="00A81A0A"/>
    <w:rsid w:val="00A81EB6"/>
    <w:rsid w:val="00A83685"/>
    <w:rsid w:val="00A837FE"/>
    <w:rsid w:val="00A84B5C"/>
    <w:rsid w:val="00A85357"/>
    <w:rsid w:val="00A87DF1"/>
    <w:rsid w:val="00A902DD"/>
    <w:rsid w:val="00A910F1"/>
    <w:rsid w:val="00A91617"/>
    <w:rsid w:val="00A95D01"/>
    <w:rsid w:val="00A95FAD"/>
    <w:rsid w:val="00A96FA8"/>
    <w:rsid w:val="00A9770A"/>
    <w:rsid w:val="00AA0413"/>
    <w:rsid w:val="00AA0A43"/>
    <w:rsid w:val="00AA0DD3"/>
    <w:rsid w:val="00AA16B6"/>
    <w:rsid w:val="00AA1C07"/>
    <w:rsid w:val="00AA29DE"/>
    <w:rsid w:val="00AA3688"/>
    <w:rsid w:val="00AA4F46"/>
    <w:rsid w:val="00AA5887"/>
    <w:rsid w:val="00AA5BF0"/>
    <w:rsid w:val="00AB0B0A"/>
    <w:rsid w:val="00AB0D22"/>
    <w:rsid w:val="00AB19F8"/>
    <w:rsid w:val="00AB2A61"/>
    <w:rsid w:val="00AB3A12"/>
    <w:rsid w:val="00AB5A8D"/>
    <w:rsid w:val="00AB6642"/>
    <w:rsid w:val="00AB676A"/>
    <w:rsid w:val="00AC1510"/>
    <w:rsid w:val="00AC164A"/>
    <w:rsid w:val="00AC2EFE"/>
    <w:rsid w:val="00AC3930"/>
    <w:rsid w:val="00AC3AB1"/>
    <w:rsid w:val="00AC68C6"/>
    <w:rsid w:val="00AC71AC"/>
    <w:rsid w:val="00AC79C1"/>
    <w:rsid w:val="00AC7B15"/>
    <w:rsid w:val="00AC7CA4"/>
    <w:rsid w:val="00AC7CE6"/>
    <w:rsid w:val="00AC7D5E"/>
    <w:rsid w:val="00AD19BE"/>
    <w:rsid w:val="00AD1A66"/>
    <w:rsid w:val="00AD30AC"/>
    <w:rsid w:val="00AD493B"/>
    <w:rsid w:val="00AD4A64"/>
    <w:rsid w:val="00AD4D4E"/>
    <w:rsid w:val="00AD598F"/>
    <w:rsid w:val="00AD5DFA"/>
    <w:rsid w:val="00AD6D09"/>
    <w:rsid w:val="00AE02B7"/>
    <w:rsid w:val="00AE0374"/>
    <w:rsid w:val="00AE07DA"/>
    <w:rsid w:val="00AE098E"/>
    <w:rsid w:val="00AE0BBA"/>
    <w:rsid w:val="00AE0D51"/>
    <w:rsid w:val="00AE2291"/>
    <w:rsid w:val="00AE25C8"/>
    <w:rsid w:val="00AE4113"/>
    <w:rsid w:val="00AE4380"/>
    <w:rsid w:val="00AE4CD9"/>
    <w:rsid w:val="00AE4FAC"/>
    <w:rsid w:val="00AE5525"/>
    <w:rsid w:val="00AE6381"/>
    <w:rsid w:val="00AE656F"/>
    <w:rsid w:val="00AE67A3"/>
    <w:rsid w:val="00AE7D78"/>
    <w:rsid w:val="00AF09D9"/>
    <w:rsid w:val="00AF0C60"/>
    <w:rsid w:val="00AF41F6"/>
    <w:rsid w:val="00AF438E"/>
    <w:rsid w:val="00AF45CA"/>
    <w:rsid w:val="00AF5CEE"/>
    <w:rsid w:val="00AF7506"/>
    <w:rsid w:val="00B007DD"/>
    <w:rsid w:val="00B0098A"/>
    <w:rsid w:val="00B01016"/>
    <w:rsid w:val="00B0146E"/>
    <w:rsid w:val="00B02160"/>
    <w:rsid w:val="00B027CB"/>
    <w:rsid w:val="00B02D39"/>
    <w:rsid w:val="00B0352B"/>
    <w:rsid w:val="00B06C6E"/>
    <w:rsid w:val="00B073E6"/>
    <w:rsid w:val="00B074F8"/>
    <w:rsid w:val="00B07A44"/>
    <w:rsid w:val="00B10805"/>
    <w:rsid w:val="00B11A3D"/>
    <w:rsid w:val="00B121B0"/>
    <w:rsid w:val="00B13B87"/>
    <w:rsid w:val="00B15D67"/>
    <w:rsid w:val="00B17FAB"/>
    <w:rsid w:val="00B2030C"/>
    <w:rsid w:val="00B22C5F"/>
    <w:rsid w:val="00B2334C"/>
    <w:rsid w:val="00B23687"/>
    <w:rsid w:val="00B24D8F"/>
    <w:rsid w:val="00B25379"/>
    <w:rsid w:val="00B25710"/>
    <w:rsid w:val="00B2721F"/>
    <w:rsid w:val="00B27AF8"/>
    <w:rsid w:val="00B27B03"/>
    <w:rsid w:val="00B30BEF"/>
    <w:rsid w:val="00B31B62"/>
    <w:rsid w:val="00B3208E"/>
    <w:rsid w:val="00B33711"/>
    <w:rsid w:val="00B34889"/>
    <w:rsid w:val="00B35ED7"/>
    <w:rsid w:val="00B35F32"/>
    <w:rsid w:val="00B37550"/>
    <w:rsid w:val="00B402C6"/>
    <w:rsid w:val="00B41445"/>
    <w:rsid w:val="00B41DC1"/>
    <w:rsid w:val="00B424B8"/>
    <w:rsid w:val="00B42F69"/>
    <w:rsid w:val="00B4331B"/>
    <w:rsid w:val="00B46EC7"/>
    <w:rsid w:val="00B50A91"/>
    <w:rsid w:val="00B5160B"/>
    <w:rsid w:val="00B51761"/>
    <w:rsid w:val="00B51871"/>
    <w:rsid w:val="00B52022"/>
    <w:rsid w:val="00B5214B"/>
    <w:rsid w:val="00B52187"/>
    <w:rsid w:val="00B533A4"/>
    <w:rsid w:val="00B53F0D"/>
    <w:rsid w:val="00B54691"/>
    <w:rsid w:val="00B57213"/>
    <w:rsid w:val="00B6039F"/>
    <w:rsid w:val="00B60CCD"/>
    <w:rsid w:val="00B62854"/>
    <w:rsid w:val="00B62BC2"/>
    <w:rsid w:val="00B62EF1"/>
    <w:rsid w:val="00B640CC"/>
    <w:rsid w:val="00B645B6"/>
    <w:rsid w:val="00B64B2F"/>
    <w:rsid w:val="00B65A6F"/>
    <w:rsid w:val="00B667BF"/>
    <w:rsid w:val="00B674D6"/>
    <w:rsid w:val="00B6797D"/>
    <w:rsid w:val="00B717D4"/>
    <w:rsid w:val="00B71AAB"/>
    <w:rsid w:val="00B72A04"/>
    <w:rsid w:val="00B735B8"/>
    <w:rsid w:val="00B7370A"/>
    <w:rsid w:val="00B74051"/>
    <w:rsid w:val="00B74858"/>
    <w:rsid w:val="00B752EB"/>
    <w:rsid w:val="00B7554D"/>
    <w:rsid w:val="00B75D32"/>
    <w:rsid w:val="00B76BE1"/>
    <w:rsid w:val="00B77BE4"/>
    <w:rsid w:val="00B77CA8"/>
    <w:rsid w:val="00B812BE"/>
    <w:rsid w:val="00B813D5"/>
    <w:rsid w:val="00B81F67"/>
    <w:rsid w:val="00B8218F"/>
    <w:rsid w:val="00B824CD"/>
    <w:rsid w:val="00B8258D"/>
    <w:rsid w:val="00B825B4"/>
    <w:rsid w:val="00B84E7E"/>
    <w:rsid w:val="00B856FD"/>
    <w:rsid w:val="00B86608"/>
    <w:rsid w:val="00B86720"/>
    <w:rsid w:val="00B86AF9"/>
    <w:rsid w:val="00B87847"/>
    <w:rsid w:val="00B90477"/>
    <w:rsid w:val="00B91F98"/>
    <w:rsid w:val="00B92AA5"/>
    <w:rsid w:val="00B93904"/>
    <w:rsid w:val="00B93FE8"/>
    <w:rsid w:val="00B955FE"/>
    <w:rsid w:val="00B965F4"/>
    <w:rsid w:val="00B96744"/>
    <w:rsid w:val="00B97848"/>
    <w:rsid w:val="00BA0061"/>
    <w:rsid w:val="00BA0B9F"/>
    <w:rsid w:val="00BA1FCC"/>
    <w:rsid w:val="00BA2728"/>
    <w:rsid w:val="00BA3102"/>
    <w:rsid w:val="00BA3287"/>
    <w:rsid w:val="00BA4F39"/>
    <w:rsid w:val="00BA6419"/>
    <w:rsid w:val="00BA6550"/>
    <w:rsid w:val="00BA69FA"/>
    <w:rsid w:val="00BA7CDC"/>
    <w:rsid w:val="00BB1D25"/>
    <w:rsid w:val="00BB3642"/>
    <w:rsid w:val="00BB4A3B"/>
    <w:rsid w:val="00BB4C43"/>
    <w:rsid w:val="00BB59F6"/>
    <w:rsid w:val="00BB5EF0"/>
    <w:rsid w:val="00BB62FF"/>
    <w:rsid w:val="00BB66AB"/>
    <w:rsid w:val="00BB6D68"/>
    <w:rsid w:val="00BB6E0F"/>
    <w:rsid w:val="00BB78D4"/>
    <w:rsid w:val="00BC0AD6"/>
    <w:rsid w:val="00BC122E"/>
    <w:rsid w:val="00BC29CD"/>
    <w:rsid w:val="00BC3584"/>
    <w:rsid w:val="00BC4B0F"/>
    <w:rsid w:val="00BC5164"/>
    <w:rsid w:val="00BC5838"/>
    <w:rsid w:val="00BC681A"/>
    <w:rsid w:val="00BC6DC2"/>
    <w:rsid w:val="00BC70EA"/>
    <w:rsid w:val="00BC7889"/>
    <w:rsid w:val="00BC7BEC"/>
    <w:rsid w:val="00BD113D"/>
    <w:rsid w:val="00BD27A9"/>
    <w:rsid w:val="00BD3AE5"/>
    <w:rsid w:val="00BE3599"/>
    <w:rsid w:val="00BE4DF3"/>
    <w:rsid w:val="00BE4ED6"/>
    <w:rsid w:val="00BE54F3"/>
    <w:rsid w:val="00BE5F67"/>
    <w:rsid w:val="00BE7920"/>
    <w:rsid w:val="00BF032B"/>
    <w:rsid w:val="00BF048C"/>
    <w:rsid w:val="00BF1E29"/>
    <w:rsid w:val="00BF1E46"/>
    <w:rsid w:val="00BF288E"/>
    <w:rsid w:val="00BF2CD1"/>
    <w:rsid w:val="00BF4B6A"/>
    <w:rsid w:val="00BF5135"/>
    <w:rsid w:val="00BF5EE7"/>
    <w:rsid w:val="00C00312"/>
    <w:rsid w:val="00C009F5"/>
    <w:rsid w:val="00C01129"/>
    <w:rsid w:val="00C01281"/>
    <w:rsid w:val="00C02239"/>
    <w:rsid w:val="00C022E1"/>
    <w:rsid w:val="00C0398D"/>
    <w:rsid w:val="00C05354"/>
    <w:rsid w:val="00C0578D"/>
    <w:rsid w:val="00C05C3D"/>
    <w:rsid w:val="00C071AC"/>
    <w:rsid w:val="00C109A2"/>
    <w:rsid w:val="00C11392"/>
    <w:rsid w:val="00C11E4C"/>
    <w:rsid w:val="00C14954"/>
    <w:rsid w:val="00C179B0"/>
    <w:rsid w:val="00C17CFD"/>
    <w:rsid w:val="00C20245"/>
    <w:rsid w:val="00C202D0"/>
    <w:rsid w:val="00C20CA6"/>
    <w:rsid w:val="00C21394"/>
    <w:rsid w:val="00C214EE"/>
    <w:rsid w:val="00C226F9"/>
    <w:rsid w:val="00C22C40"/>
    <w:rsid w:val="00C23398"/>
    <w:rsid w:val="00C23B23"/>
    <w:rsid w:val="00C2428B"/>
    <w:rsid w:val="00C25583"/>
    <w:rsid w:val="00C258A3"/>
    <w:rsid w:val="00C266C9"/>
    <w:rsid w:val="00C26C22"/>
    <w:rsid w:val="00C27739"/>
    <w:rsid w:val="00C27B03"/>
    <w:rsid w:val="00C305BA"/>
    <w:rsid w:val="00C3089B"/>
    <w:rsid w:val="00C308EC"/>
    <w:rsid w:val="00C345C2"/>
    <w:rsid w:val="00C34B40"/>
    <w:rsid w:val="00C35304"/>
    <w:rsid w:val="00C35836"/>
    <w:rsid w:val="00C372EA"/>
    <w:rsid w:val="00C4029B"/>
    <w:rsid w:val="00C41CD3"/>
    <w:rsid w:val="00C42AEA"/>
    <w:rsid w:val="00C43064"/>
    <w:rsid w:val="00C43438"/>
    <w:rsid w:val="00C44264"/>
    <w:rsid w:val="00C44EAB"/>
    <w:rsid w:val="00C46251"/>
    <w:rsid w:val="00C4790F"/>
    <w:rsid w:val="00C47FC0"/>
    <w:rsid w:val="00C50DBC"/>
    <w:rsid w:val="00C5189F"/>
    <w:rsid w:val="00C526CD"/>
    <w:rsid w:val="00C528CC"/>
    <w:rsid w:val="00C53ABD"/>
    <w:rsid w:val="00C53AD3"/>
    <w:rsid w:val="00C53C94"/>
    <w:rsid w:val="00C57741"/>
    <w:rsid w:val="00C6074F"/>
    <w:rsid w:val="00C61B05"/>
    <w:rsid w:val="00C62568"/>
    <w:rsid w:val="00C62B41"/>
    <w:rsid w:val="00C631AA"/>
    <w:rsid w:val="00C639FA"/>
    <w:rsid w:val="00C63D23"/>
    <w:rsid w:val="00C63FD4"/>
    <w:rsid w:val="00C64143"/>
    <w:rsid w:val="00C6434D"/>
    <w:rsid w:val="00C652E5"/>
    <w:rsid w:val="00C66087"/>
    <w:rsid w:val="00C66206"/>
    <w:rsid w:val="00C66315"/>
    <w:rsid w:val="00C671C4"/>
    <w:rsid w:val="00C67446"/>
    <w:rsid w:val="00C70962"/>
    <w:rsid w:val="00C71674"/>
    <w:rsid w:val="00C7206F"/>
    <w:rsid w:val="00C75994"/>
    <w:rsid w:val="00C761C8"/>
    <w:rsid w:val="00C768BA"/>
    <w:rsid w:val="00C7697F"/>
    <w:rsid w:val="00C7739F"/>
    <w:rsid w:val="00C77FC8"/>
    <w:rsid w:val="00C8136C"/>
    <w:rsid w:val="00C8278C"/>
    <w:rsid w:val="00C82FAC"/>
    <w:rsid w:val="00C82FFA"/>
    <w:rsid w:val="00C84A1B"/>
    <w:rsid w:val="00C85521"/>
    <w:rsid w:val="00C856C0"/>
    <w:rsid w:val="00C863EE"/>
    <w:rsid w:val="00C875CB"/>
    <w:rsid w:val="00C92646"/>
    <w:rsid w:val="00C9297E"/>
    <w:rsid w:val="00C930C9"/>
    <w:rsid w:val="00C9316A"/>
    <w:rsid w:val="00C93B5E"/>
    <w:rsid w:val="00C94FA1"/>
    <w:rsid w:val="00C95D8D"/>
    <w:rsid w:val="00C963E3"/>
    <w:rsid w:val="00C97C7F"/>
    <w:rsid w:val="00CA0410"/>
    <w:rsid w:val="00CA2283"/>
    <w:rsid w:val="00CA2AEF"/>
    <w:rsid w:val="00CA325F"/>
    <w:rsid w:val="00CA33B8"/>
    <w:rsid w:val="00CB1582"/>
    <w:rsid w:val="00CB22B7"/>
    <w:rsid w:val="00CB31DA"/>
    <w:rsid w:val="00CB5032"/>
    <w:rsid w:val="00CB5127"/>
    <w:rsid w:val="00CB5400"/>
    <w:rsid w:val="00CB7DF6"/>
    <w:rsid w:val="00CC0233"/>
    <w:rsid w:val="00CC10E7"/>
    <w:rsid w:val="00CC1B03"/>
    <w:rsid w:val="00CC246B"/>
    <w:rsid w:val="00CC303F"/>
    <w:rsid w:val="00CC3C96"/>
    <w:rsid w:val="00CC6057"/>
    <w:rsid w:val="00CC6729"/>
    <w:rsid w:val="00CC6E00"/>
    <w:rsid w:val="00CD077C"/>
    <w:rsid w:val="00CD3056"/>
    <w:rsid w:val="00CD342A"/>
    <w:rsid w:val="00CD3940"/>
    <w:rsid w:val="00CD6549"/>
    <w:rsid w:val="00CD7C87"/>
    <w:rsid w:val="00CE4548"/>
    <w:rsid w:val="00CE50D4"/>
    <w:rsid w:val="00CE6A0B"/>
    <w:rsid w:val="00CF0950"/>
    <w:rsid w:val="00CF1016"/>
    <w:rsid w:val="00CF1885"/>
    <w:rsid w:val="00CF30F8"/>
    <w:rsid w:val="00CF3126"/>
    <w:rsid w:val="00CF3B07"/>
    <w:rsid w:val="00CF3FA0"/>
    <w:rsid w:val="00CF421E"/>
    <w:rsid w:val="00CF4C13"/>
    <w:rsid w:val="00CF51A3"/>
    <w:rsid w:val="00CF62E0"/>
    <w:rsid w:val="00CF6384"/>
    <w:rsid w:val="00CF6902"/>
    <w:rsid w:val="00CF6DF0"/>
    <w:rsid w:val="00D0069A"/>
    <w:rsid w:val="00D0165D"/>
    <w:rsid w:val="00D01BED"/>
    <w:rsid w:val="00D03034"/>
    <w:rsid w:val="00D06E88"/>
    <w:rsid w:val="00D07DEE"/>
    <w:rsid w:val="00D10350"/>
    <w:rsid w:val="00D11F90"/>
    <w:rsid w:val="00D131B9"/>
    <w:rsid w:val="00D13527"/>
    <w:rsid w:val="00D15E4E"/>
    <w:rsid w:val="00D17601"/>
    <w:rsid w:val="00D20D6E"/>
    <w:rsid w:val="00D21300"/>
    <w:rsid w:val="00D21632"/>
    <w:rsid w:val="00D22F7B"/>
    <w:rsid w:val="00D230DC"/>
    <w:rsid w:val="00D2455A"/>
    <w:rsid w:val="00D25194"/>
    <w:rsid w:val="00D25B7B"/>
    <w:rsid w:val="00D25EE0"/>
    <w:rsid w:val="00D26714"/>
    <w:rsid w:val="00D26C9A"/>
    <w:rsid w:val="00D27E72"/>
    <w:rsid w:val="00D303E8"/>
    <w:rsid w:val="00D304B2"/>
    <w:rsid w:val="00D31BA6"/>
    <w:rsid w:val="00D335E1"/>
    <w:rsid w:val="00D3545E"/>
    <w:rsid w:val="00D35FEA"/>
    <w:rsid w:val="00D366E4"/>
    <w:rsid w:val="00D404D1"/>
    <w:rsid w:val="00D423AC"/>
    <w:rsid w:val="00D42C17"/>
    <w:rsid w:val="00D44B15"/>
    <w:rsid w:val="00D44DC6"/>
    <w:rsid w:val="00D44FCE"/>
    <w:rsid w:val="00D4759C"/>
    <w:rsid w:val="00D476EA"/>
    <w:rsid w:val="00D5045C"/>
    <w:rsid w:val="00D509FC"/>
    <w:rsid w:val="00D5104E"/>
    <w:rsid w:val="00D514E5"/>
    <w:rsid w:val="00D524C9"/>
    <w:rsid w:val="00D53400"/>
    <w:rsid w:val="00D53589"/>
    <w:rsid w:val="00D539D5"/>
    <w:rsid w:val="00D544D5"/>
    <w:rsid w:val="00D54596"/>
    <w:rsid w:val="00D571FB"/>
    <w:rsid w:val="00D576DF"/>
    <w:rsid w:val="00D57897"/>
    <w:rsid w:val="00D602DE"/>
    <w:rsid w:val="00D6096A"/>
    <w:rsid w:val="00D60ABE"/>
    <w:rsid w:val="00D60CE5"/>
    <w:rsid w:val="00D61811"/>
    <w:rsid w:val="00D63B9E"/>
    <w:rsid w:val="00D63F9F"/>
    <w:rsid w:val="00D646D3"/>
    <w:rsid w:val="00D662F2"/>
    <w:rsid w:val="00D665F1"/>
    <w:rsid w:val="00D66F53"/>
    <w:rsid w:val="00D6711E"/>
    <w:rsid w:val="00D6742A"/>
    <w:rsid w:val="00D67478"/>
    <w:rsid w:val="00D675DE"/>
    <w:rsid w:val="00D73B08"/>
    <w:rsid w:val="00D80127"/>
    <w:rsid w:val="00D804E2"/>
    <w:rsid w:val="00D805D1"/>
    <w:rsid w:val="00D81FB3"/>
    <w:rsid w:val="00D8271D"/>
    <w:rsid w:val="00D82FD7"/>
    <w:rsid w:val="00D83597"/>
    <w:rsid w:val="00D84FA6"/>
    <w:rsid w:val="00D85C5F"/>
    <w:rsid w:val="00D85ECC"/>
    <w:rsid w:val="00D864C7"/>
    <w:rsid w:val="00D86EB7"/>
    <w:rsid w:val="00D91E9F"/>
    <w:rsid w:val="00D91EF4"/>
    <w:rsid w:val="00D92B5E"/>
    <w:rsid w:val="00D93388"/>
    <w:rsid w:val="00D93CFF"/>
    <w:rsid w:val="00D948DB"/>
    <w:rsid w:val="00D95457"/>
    <w:rsid w:val="00D96B81"/>
    <w:rsid w:val="00D97A7B"/>
    <w:rsid w:val="00DA0CD9"/>
    <w:rsid w:val="00DA1259"/>
    <w:rsid w:val="00DA1AAD"/>
    <w:rsid w:val="00DA1E08"/>
    <w:rsid w:val="00DA4A52"/>
    <w:rsid w:val="00DA4FBC"/>
    <w:rsid w:val="00DA4FD1"/>
    <w:rsid w:val="00DA6424"/>
    <w:rsid w:val="00DA7457"/>
    <w:rsid w:val="00DA7FB7"/>
    <w:rsid w:val="00DB01C1"/>
    <w:rsid w:val="00DB1083"/>
    <w:rsid w:val="00DB2995"/>
    <w:rsid w:val="00DB2ED0"/>
    <w:rsid w:val="00DB3328"/>
    <w:rsid w:val="00DB38F0"/>
    <w:rsid w:val="00DB3E31"/>
    <w:rsid w:val="00DB3EE8"/>
    <w:rsid w:val="00DB4701"/>
    <w:rsid w:val="00DB4E76"/>
    <w:rsid w:val="00DB5996"/>
    <w:rsid w:val="00DB59C0"/>
    <w:rsid w:val="00DB7E57"/>
    <w:rsid w:val="00DC0146"/>
    <w:rsid w:val="00DC03EE"/>
    <w:rsid w:val="00DC08F6"/>
    <w:rsid w:val="00DC2D76"/>
    <w:rsid w:val="00DC36B8"/>
    <w:rsid w:val="00DC53F2"/>
    <w:rsid w:val="00DC6B01"/>
    <w:rsid w:val="00DC7797"/>
    <w:rsid w:val="00DC7E53"/>
    <w:rsid w:val="00DD06D3"/>
    <w:rsid w:val="00DD078A"/>
    <w:rsid w:val="00DD088F"/>
    <w:rsid w:val="00DD1737"/>
    <w:rsid w:val="00DD2190"/>
    <w:rsid w:val="00DD25D9"/>
    <w:rsid w:val="00DD34E1"/>
    <w:rsid w:val="00DD45E7"/>
    <w:rsid w:val="00DD5B2A"/>
    <w:rsid w:val="00DD610A"/>
    <w:rsid w:val="00DD71F6"/>
    <w:rsid w:val="00DD7667"/>
    <w:rsid w:val="00DD777C"/>
    <w:rsid w:val="00DE0D2F"/>
    <w:rsid w:val="00DE0D75"/>
    <w:rsid w:val="00DE19EB"/>
    <w:rsid w:val="00DE5B0F"/>
    <w:rsid w:val="00DF0FE3"/>
    <w:rsid w:val="00DF2CB1"/>
    <w:rsid w:val="00DF3C06"/>
    <w:rsid w:val="00DF3EA1"/>
    <w:rsid w:val="00DF4430"/>
    <w:rsid w:val="00DF559A"/>
    <w:rsid w:val="00DF69F9"/>
    <w:rsid w:val="00E02579"/>
    <w:rsid w:val="00E02B50"/>
    <w:rsid w:val="00E0358A"/>
    <w:rsid w:val="00E03C12"/>
    <w:rsid w:val="00E04B3F"/>
    <w:rsid w:val="00E060C1"/>
    <w:rsid w:val="00E06169"/>
    <w:rsid w:val="00E06B1E"/>
    <w:rsid w:val="00E07787"/>
    <w:rsid w:val="00E10AAF"/>
    <w:rsid w:val="00E10F59"/>
    <w:rsid w:val="00E1176A"/>
    <w:rsid w:val="00E12FB6"/>
    <w:rsid w:val="00E147D5"/>
    <w:rsid w:val="00E14C0E"/>
    <w:rsid w:val="00E16642"/>
    <w:rsid w:val="00E1787C"/>
    <w:rsid w:val="00E2249E"/>
    <w:rsid w:val="00E22B76"/>
    <w:rsid w:val="00E234F1"/>
    <w:rsid w:val="00E241ED"/>
    <w:rsid w:val="00E24E3A"/>
    <w:rsid w:val="00E258F7"/>
    <w:rsid w:val="00E25AF8"/>
    <w:rsid w:val="00E26057"/>
    <w:rsid w:val="00E26C55"/>
    <w:rsid w:val="00E26F6C"/>
    <w:rsid w:val="00E31BD0"/>
    <w:rsid w:val="00E34038"/>
    <w:rsid w:val="00E34CA3"/>
    <w:rsid w:val="00E35C4A"/>
    <w:rsid w:val="00E36221"/>
    <w:rsid w:val="00E36F43"/>
    <w:rsid w:val="00E37A0F"/>
    <w:rsid w:val="00E37DA6"/>
    <w:rsid w:val="00E37FE3"/>
    <w:rsid w:val="00E404FD"/>
    <w:rsid w:val="00E40EB7"/>
    <w:rsid w:val="00E425A9"/>
    <w:rsid w:val="00E4273A"/>
    <w:rsid w:val="00E43AAA"/>
    <w:rsid w:val="00E43DF8"/>
    <w:rsid w:val="00E44C62"/>
    <w:rsid w:val="00E527A9"/>
    <w:rsid w:val="00E53582"/>
    <w:rsid w:val="00E5387C"/>
    <w:rsid w:val="00E53D07"/>
    <w:rsid w:val="00E54EF2"/>
    <w:rsid w:val="00E54F76"/>
    <w:rsid w:val="00E55A32"/>
    <w:rsid w:val="00E60627"/>
    <w:rsid w:val="00E60DC5"/>
    <w:rsid w:val="00E63559"/>
    <w:rsid w:val="00E64FDA"/>
    <w:rsid w:val="00E66067"/>
    <w:rsid w:val="00E66ED8"/>
    <w:rsid w:val="00E67180"/>
    <w:rsid w:val="00E676E2"/>
    <w:rsid w:val="00E703B5"/>
    <w:rsid w:val="00E71B1C"/>
    <w:rsid w:val="00E737C3"/>
    <w:rsid w:val="00E73EEE"/>
    <w:rsid w:val="00E74FA5"/>
    <w:rsid w:val="00E74FAE"/>
    <w:rsid w:val="00E756A8"/>
    <w:rsid w:val="00E76032"/>
    <w:rsid w:val="00E768F2"/>
    <w:rsid w:val="00E77E9E"/>
    <w:rsid w:val="00E817FF"/>
    <w:rsid w:val="00E81DED"/>
    <w:rsid w:val="00E82316"/>
    <w:rsid w:val="00E825B3"/>
    <w:rsid w:val="00E827CB"/>
    <w:rsid w:val="00E849DE"/>
    <w:rsid w:val="00E8557B"/>
    <w:rsid w:val="00E85948"/>
    <w:rsid w:val="00E85F84"/>
    <w:rsid w:val="00E86536"/>
    <w:rsid w:val="00E86BEC"/>
    <w:rsid w:val="00E8756D"/>
    <w:rsid w:val="00E8797C"/>
    <w:rsid w:val="00E90413"/>
    <w:rsid w:val="00E909A4"/>
    <w:rsid w:val="00E9167E"/>
    <w:rsid w:val="00E922A4"/>
    <w:rsid w:val="00E925CE"/>
    <w:rsid w:val="00E93F3F"/>
    <w:rsid w:val="00E97097"/>
    <w:rsid w:val="00E97FE9"/>
    <w:rsid w:val="00EA05D9"/>
    <w:rsid w:val="00EA1104"/>
    <w:rsid w:val="00EA2625"/>
    <w:rsid w:val="00EA4F99"/>
    <w:rsid w:val="00EA5257"/>
    <w:rsid w:val="00EA59B6"/>
    <w:rsid w:val="00EA7415"/>
    <w:rsid w:val="00EB0433"/>
    <w:rsid w:val="00EB050A"/>
    <w:rsid w:val="00EB0E88"/>
    <w:rsid w:val="00EB1B8B"/>
    <w:rsid w:val="00EB22C2"/>
    <w:rsid w:val="00EB2DB8"/>
    <w:rsid w:val="00EB3C54"/>
    <w:rsid w:val="00EB44EE"/>
    <w:rsid w:val="00EB450D"/>
    <w:rsid w:val="00EB4951"/>
    <w:rsid w:val="00EB4B8C"/>
    <w:rsid w:val="00EB595B"/>
    <w:rsid w:val="00EB5B01"/>
    <w:rsid w:val="00EB6D95"/>
    <w:rsid w:val="00EC098E"/>
    <w:rsid w:val="00EC0BCB"/>
    <w:rsid w:val="00EC0E71"/>
    <w:rsid w:val="00EC3E38"/>
    <w:rsid w:val="00EC6538"/>
    <w:rsid w:val="00ED08CF"/>
    <w:rsid w:val="00ED291A"/>
    <w:rsid w:val="00ED2EFD"/>
    <w:rsid w:val="00ED3193"/>
    <w:rsid w:val="00ED5CBE"/>
    <w:rsid w:val="00ED613A"/>
    <w:rsid w:val="00ED6CFA"/>
    <w:rsid w:val="00ED6D53"/>
    <w:rsid w:val="00ED732B"/>
    <w:rsid w:val="00EE04B5"/>
    <w:rsid w:val="00EE0D08"/>
    <w:rsid w:val="00EE1855"/>
    <w:rsid w:val="00EE2B68"/>
    <w:rsid w:val="00EE3733"/>
    <w:rsid w:val="00EE395E"/>
    <w:rsid w:val="00EE3DEF"/>
    <w:rsid w:val="00EE6D70"/>
    <w:rsid w:val="00EE7276"/>
    <w:rsid w:val="00EE7859"/>
    <w:rsid w:val="00EF1386"/>
    <w:rsid w:val="00EF1E48"/>
    <w:rsid w:val="00EF2491"/>
    <w:rsid w:val="00EF256B"/>
    <w:rsid w:val="00EF5277"/>
    <w:rsid w:val="00EF5CAD"/>
    <w:rsid w:val="00EF611F"/>
    <w:rsid w:val="00EF76E1"/>
    <w:rsid w:val="00EF77CC"/>
    <w:rsid w:val="00F00969"/>
    <w:rsid w:val="00F02025"/>
    <w:rsid w:val="00F022CB"/>
    <w:rsid w:val="00F029AF"/>
    <w:rsid w:val="00F0456F"/>
    <w:rsid w:val="00F058E0"/>
    <w:rsid w:val="00F102FD"/>
    <w:rsid w:val="00F1030E"/>
    <w:rsid w:val="00F10925"/>
    <w:rsid w:val="00F119DD"/>
    <w:rsid w:val="00F12F6C"/>
    <w:rsid w:val="00F13DAE"/>
    <w:rsid w:val="00F14AA9"/>
    <w:rsid w:val="00F157D8"/>
    <w:rsid w:val="00F17252"/>
    <w:rsid w:val="00F201AD"/>
    <w:rsid w:val="00F21481"/>
    <w:rsid w:val="00F21B21"/>
    <w:rsid w:val="00F222BB"/>
    <w:rsid w:val="00F2491A"/>
    <w:rsid w:val="00F24EF6"/>
    <w:rsid w:val="00F254E4"/>
    <w:rsid w:val="00F25B24"/>
    <w:rsid w:val="00F26F5D"/>
    <w:rsid w:val="00F3165F"/>
    <w:rsid w:val="00F34C92"/>
    <w:rsid w:val="00F35D19"/>
    <w:rsid w:val="00F37339"/>
    <w:rsid w:val="00F377AE"/>
    <w:rsid w:val="00F37829"/>
    <w:rsid w:val="00F41269"/>
    <w:rsid w:val="00F41319"/>
    <w:rsid w:val="00F4429B"/>
    <w:rsid w:val="00F44B13"/>
    <w:rsid w:val="00F45BE7"/>
    <w:rsid w:val="00F463D7"/>
    <w:rsid w:val="00F50163"/>
    <w:rsid w:val="00F510E2"/>
    <w:rsid w:val="00F515F1"/>
    <w:rsid w:val="00F5205E"/>
    <w:rsid w:val="00F52642"/>
    <w:rsid w:val="00F5273A"/>
    <w:rsid w:val="00F52D6B"/>
    <w:rsid w:val="00F52E18"/>
    <w:rsid w:val="00F546FB"/>
    <w:rsid w:val="00F54BF8"/>
    <w:rsid w:val="00F55335"/>
    <w:rsid w:val="00F55CF7"/>
    <w:rsid w:val="00F56726"/>
    <w:rsid w:val="00F57D1C"/>
    <w:rsid w:val="00F6086A"/>
    <w:rsid w:val="00F61505"/>
    <w:rsid w:val="00F6169B"/>
    <w:rsid w:val="00F62824"/>
    <w:rsid w:val="00F62D7C"/>
    <w:rsid w:val="00F634C8"/>
    <w:rsid w:val="00F65D26"/>
    <w:rsid w:val="00F67155"/>
    <w:rsid w:val="00F67AD3"/>
    <w:rsid w:val="00F70400"/>
    <w:rsid w:val="00F7058F"/>
    <w:rsid w:val="00F70D21"/>
    <w:rsid w:val="00F70FEF"/>
    <w:rsid w:val="00F713A4"/>
    <w:rsid w:val="00F716A4"/>
    <w:rsid w:val="00F73200"/>
    <w:rsid w:val="00F73F06"/>
    <w:rsid w:val="00F74419"/>
    <w:rsid w:val="00F74F3A"/>
    <w:rsid w:val="00F75C02"/>
    <w:rsid w:val="00F76795"/>
    <w:rsid w:val="00F77ECB"/>
    <w:rsid w:val="00F80FF7"/>
    <w:rsid w:val="00F81BF8"/>
    <w:rsid w:val="00F81E47"/>
    <w:rsid w:val="00F824EF"/>
    <w:rsid w:val="00F84408"/>
    <w:rsid w:val="00F86474"/>
    <w:rsid w:val="00F868B4"/>
    <w:rsid w:val="00F8730A"/>
    <w:rsid w:val="00F9016F"/>
    <w:rsid w:val="00F90601"/>
    <w:rsid w:val="00F926D6"/>
    <w:rsid w:val="00F93703"/>
    <w:rsid w:val="00F9598C"/>
    <w:rsid w:val="00F962C0"/>
    <w:rsid w:val="00F9636A"/>
    <w:rsid w:val="00FA2CA7"/>
    <w:rsid w:val="00FA4B8A"/>
    <w:rsid w:val="00FA57FE"/>
    <w:rsid w:val="00FA5B45"/>
    <w:rsid w:val="00FA6B27"/>
    <w:rsid w:val="00FA7496"/>
    <w:rsid w:val="00FA7875"/>
    <w:rsid w:val="00FA78FD"/>
    <w:rsid w:val="00FA7C69"/>
    <w:rsid w:val="00FB11BE"/>
    <w:rsid w:val="00FB1357"/>
    <w:rsid w:val="00FB1799"/>
    <w:rsid w:val="00FB1B56"/>
    <w:rsid w:val="00FB24B1"/>
    <w:rsid w:val="00FB27F1"/>
    <w:rsid w:val="00FB4181"/>
    <w:rsid w:val="00FB4686"/>
    <w:rsid w:val="00FB4C6F"/>
    <w:rsid w:val="00FB67BB"/>
    <w:rsid w:val="00FB691D"/>
    <w:rsid w:val="00FC4F56"/>
    <w:rsid w:val="00FC541A"/>
    <w:rsid w:val="00FC5E76"/>
    <w:rsid w:val="00FC69CF"/>
    <w:rsid w:val="00FC6EBE"/>
    <w:rsid w:val="00FC7214"/>
    <w:rsid w:val="00FC7DCD"/>
    <w:rsid w:val="00FD058F"/>
    <w:rsid w:val="00FD0969"/>
    <w:rsid w:val="00FD0B11"/>
    <w:rsid w:val="00FD0B70"/>
    <w:rsid w:val="00FD11B8"/>
    <w:rsid w:val="00FD1440"/>
    <w:rsid w:val="00FD1489"/>
    <w:rsid w:val="00FD17D7"/>
    <w:rsid w:val="00FD2DA9"/>
    <w:rsid w:val="00FD35FA"/>
    <w:rsid w:val="00FD59F1"/>
    <w:rsid w:val="00FD6FE2"/>
    <w:rsid w:val="00FD74CB"/>
    <w:rsid w:val="00FD7543"/>
    <w:rsid w:val="00FD7BF5"/>
    <w:rsid w:val="00FE175C"/>
    <w:rsid w:val="00FE185C"/>
    <w:rsid w:val="00FE3C5F"/>
    <w:rsid w:val="00FE401B"/>
    <w:rsid w:val="00FE4158"/>
    <w:rsid w:val="00FE4705"/>
    <w:rsid w:val="00FE557C"/>
    <w:rsid w:val="00FF4C3A"/>
    <w:rsid w:val="00FF62F4"/>
    <w:rsid w:val="00FF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E67913"/>
  <w15:chartTrackingRefBased/>
  <w15:docId w15:val="{635F670E-9FCE-4656-A317-C45A0CC8E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4BF8"/>
    <w:pPr>
      <w:tabs>
        <w:tab w:val="left" w:pos="567"/>
      </w:tabs>
      <w:spacing w:line="260" w:lineRule="exact"/>
    </w:pPr>
    <w:rPr>
      <w:sz w:val="22"/>
      <w:lang w:val="en-GB"/>
    </w:rPr>
  </w:style>
  <w:style w:type="paragraph" w:styleId="Heading1">
    <w:name w:val="heading 1"/>
    <w:basedOn w:val="Normal"/>
    <w:next w:val="Normal"/>
    <w:link w:val="Heading1Char"/>
    <w:qFormat/>
    <w:locked/>
    <w:rsid w:val="008E7964"/>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qFormat/>
    <w:rsid w:val="00E1176A"/>
    <w:pPr>
      <w:keepNext/>
      <w:tabs>
        <w:tab w:val="clear" w:pos="567"/>
      </w:tabs>
      <w:spacing w:line="240" w:lineRule="auto"/>
      <w:ind w:left="737"/>
      <w:jc w:val="both"/>
      <w:outlineLvl w:val="1"/>
    </w:pPr>
    <w:rPr>
      <w:rFonts w:ascii="Arial" w:hAnsi="Arial"/>
      <w:b/>
      <w:lang w:eastAsia="es-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6A7966"/>
    <w:rPr>
      <w:rFonts w:ascii="Cambria" w:hAnsi="Cambria" w:cs="Times New Roman"/>
      <w:b/>
      <w:bCs/>
      <w:i/>
      <w:iCs/>
      <w:sz w:val="28"/>
      <w:szCs w:val="28"/>
      <w:lang w:val="en-GB" w:eastAsia="en-US"/>
    </w:rPr>
  </w:style>
  <w:style w:type="paragraph" w:styleId="Footer">
    <w:name w:val="footer"/>
    <w:basedOn w:val="Normal"/>
    <w:link w:val="FooterChar"/>
    <w:rsid w:val="00CB5127"/>
    <w:pPr>
      <w:tabs>
        <w:tab w:val="center" w:pos="4536"/>
        <w:tab w:val="right" w:pos="8306"/>
      </w:tabs>
    </w:pPr>
    <w:rPr>
      <w:rFonts w:ascii="Arial" w:hAnsi="Arial"/>
      <w:noProof/>
      <w:sz w:val="16"/>
    </w:rPr>
  </w:style>
  <w:style w:type="character" w:customStyle="1" w:styleId="FooterChar">
    <w:name w:val="Footer Char"/>
    <w:link w:val="Footer"/>
    <w:semiHidden/>
    <w:locked/>
    <w:rsid w:val="006A7966"/>
    <w:rPr>
      <w:rFonts w:cs="Times New Roman"/>
      <w:sz w:val="20"/>
      <w:szCs w:val="20"/>
      <w:lang w:val="en-GB" w:eastAsia="en-US"/>
    </w:rPr>
  </w:style>
  <w:style w:type="paragraph" w:styleId="Header">
    <w:name w:val="header"/>
    <w:basedOn w:val="Normal"/>
    <w:link w:val="HeaderChar"/>
    <w:rsid w:val="00CB5127"/>
    <w:pPr>
      <w:tabs>
        <w:tab w:val="center" w:pos="4153"/>
        <w:tab w:val="right" w:pos="8306"/>
      </w:tabs>
    </w:pPr>
    <w:rPr>
      <w:rFonts w:ascii="Arial" w:hAnsi="Arial"/>
      <w:sz w:val="20"/>
    </w:rPr>
  </w:style>
  <w:style w:type="character" w:customStyle="1" w:styleId="HeaderChar">
    <w:name w:val="Header Char"/>
    <w:link w:val="Header"/>
    <w:semiHidden/>
    <w:locked/>
    <w:rsid w:val="006A7966"/>
    <w:rPr>
      <w:rFonts w:cs="Times New Roman"/>
      <w:sz w:val="20"/>
      <w:szCs w:val="20"/>
      <w:lang w:val="en-GB" w:eastAsia="en-US"/>
    </w:rPr>
  </w:style>
  <w:style w:type="paragraph" w:customStyle="1" w:styleId="MemoHeaderStyle">
    <w:name w:val="MemoHeaderStyle"/>
    <w:basedOn w:val="Normal"/>
    <w:next w:val="Normal"/>
    <w:rsid w:val="00CB5127"/>
    <w:pPr>
      <w:spacing w:line="120" w:lineRule="atLeast"/>
      <w:ind w:left="1418"/>
      <w:jc w:val="both"/>
    </w:pPr>
    <w:rPr>
      <w:rFonts w:ascii="Arial" w:hAnsi="Arial"/>
      <w:b/>
      <w:smallCaps/>
    </w:rPr>
  </w:style>
  <w:style w:type="character" w:styleId="PageNumber">
    <w:name w:val="page number"/>
    <w:rsid w:val="00812D16"/>
    <w:rPr>
      <w:rFonts w:cs="Times New Roman"/>
    </w:rPr>
  </w:style>
  <w:style w:type="paragraph" w:styleId="BodyText">
    <w:name w:val="Body Text"/>
    <w:basedOn w:val="Normal"/>
    <w:link w:val="BodyTextChar"/>
    <w:rsid w:val="00812D16"/>
    <w:pPr>
      <w:tabs>
        <w:tab w:val="clear" w:pos="567"/>
      </w:tabs>
      <w:spacing w:line="240" w:lineRule="auto"/>
    </w:pPr>
    <w:rPr>
      <w:i/>
      <w:color w:val="008000"/>
    </w:rPr>
  </w:style>
  <w:style w:type="character" w:customStyle="1" w:styleId="BodyTextChar">
    <w:name w:val="Body Text Char"/>
    <w:link w:val="BodyText"/>
    <w:semiHidden/>
    <w:locked/>
    <w:rsid w:val="006A7966"/>
    <w:rPr>
      <w:rFonts w:cs="Times New Roman"/>
      <w:sz w:val="20"/>
      <w:szCs w:val="20"/>
      <w:lang w:val="en-GB" w:eastAsia="en-US"/>
    </w:rPr>
  </w:style>
  <w:style w:type="paragraph" w:styleId="CommentText">
    <w:name w:val="annotation text"/>
    <w:basedOn w:val="Normal"/>
    <w:link w:val="CommentTextChar"/>
    <w:semiHidden/>
    <w:rsid w:val="00812D16"/>
    <w:rPr>
      <w:sz w:val="20"/>
      <w:lang w:val="es-ES"/>
    </w:rPr>
  </w:style>
  <w:style w:type="character" w:customStyle="1" w:styleId="CommentTextChar">
    <w:name w:val="Comment Text Char"/>
    <w:link w:val="CommentText"/>
    <w:semiHidden/>
    <w:locked/>
    <w:rsid w:val="00BC6DC2"/>
    <w:rPr>
      <w:rFonts w:eastAsia="Times New Roman" w:cs="Times New Roman"/>
      <w:lang w:val="x-none" w:eastAsia="en-US"/>
    </w:rPr>
  </w:style>
  <w:style w:type="character" w:styleId="Hyperlink">
    <w:name w:val="Hyperlink"/>
    <w:rsid w:val="00812D16"/>
    <w:rPr>
      <w:rFonts w:cs="Times New Roman"/>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rPr>
      <w:lang w:val="en-US"/>
    </w:rPr>
  </w:style>
  <w:style w:type="paragraph" w:styleId="BalloonText">
    <w:name w:val="Balloon Text"/>
    <w:basedOn w:val="Normal"/>
    <w:link w:val="BalloonTextChar"/>
    <w:semiHidden/>
    <w:rsid w:val="00A20C7F"/>
    <w:rPr>
      <w:rFonts w:ascii="Tahoma" w:hAnsi="Tahoma" w:cs="Tahoma"/>
      <w:sz w:val="16"/>
      <w:szCs w:val="16"/>
    </w:rPr>
  </w:style>
  <w:style w:type="character" w:customStyle="1" w:styleId="BalloonTextChar">
    <w:name w:val="Balloon Text Char"/>
    <w:link w:val="BalloonText"/>
    <w:semiHidden/>
    <w:locked/>
    <w:rsid w:val="006A7966"/>
    <w:rPr>
      <w:rFonts w:cs="Times New Roman"/>
      <w:sz w:val="2"/>
      <w:lang w:val="en-GB" w:eastAsia="en-US"/>
    </w:rPr>
  </w:style>
  <w:style w:type="paragraph" w:customStyle="1" w:styleId="BodytextAgency">
    <w:name w:val="Body text (Agency)"/>
    <w:basedOn w:val="Normal"/>
    <w:link w:val="BodytextAgencyChar"/>
    <w:rsid w:val="00345F9C"/>
    <w:pPr>
      <w:tabs>
        <w:tab w:val="clear" w:pos="567"/>
      </w:tabs>
      <w:spacing w:after="140" w:line="280" w:lineRule="atLeast"/>
    </w:pPr>
    <w:rPr>
      <w:rFonts w:ascii="Verdana" w:hAnsi="Verdana"/>
      <w:sz w:val="18"/>
      <w:lang w:eastAsia="en-GB"/>
    </w:rPr>
  </w:style>
  <w:style w:type="character" w:customStyle="1" w:styleId="BodytextAgencyChar">
    <w:name w:val="Body text (Agency) Char"/>
    <w:link w:val="BodytextAgency"/>
    <w:locked/>
    <w:rsid w:val="00345F9C"/>
    <w:rPr>
      <w:rFonts w:ascii="Verdana" w:hAnsi="Verdana"/>
      <w:sz w:val="18"/>
      <w:lang w:val="en-GB" w:eastAsia="en-GB"/>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hAnsi="Courier New"/>
      <w:i/>
      <w:color w:val="339966"/>
      <w:sz w:val="18"/>
      <w:lang w:eastAsia="en-GB"/>
    </w:rPr>
  </w:style>
  <w:style w:type="character" w:customStyle="1" w:styleId="DraftingNotesAgencyChar">
    <w:name w:val="Drafting Notes (Agency) Char"/>
    <w:link w:val="DraftingNotesAgency"/>
    <w:locked/>
    <w:rsid w:val="00345F9C"/>
    <w:rPr>
      <w:rFonts w:ascii="Courier New" w:hAnsi="Courier New"/>
      <w:i/>
      <w:color w:val="339966"/>
      <w:sz w:val="18"/>
      <w:lang w:val="en-GB" w:eastAsia="en-GB"/>
    </w:rPr>
  </w:style>
  <w:style w:type="paragraph" w:customStyle="1" w:styleId="NormalAgency">
    <w:name w:val="Normal (Agency)"/>
    <w:link w:val="NormalAgencyChar"/>
    <w:rsid w:val="00C179B0"/>
    <w:rPr>
      <w:rFonts w:ascii="Verdana" w:hAnsi="Verdana"/>
      <w:sz w:val="22"/>
      <w:szCs w:val="22"/>
      <w:lang w:val="en-GB" w:eastAsia="en-GB"/>
    </w:rPr>
  </w:style>
  <w:style w:type="table" w:customStyle="1" w:styleId="TablegridAgencyblack">
    <w:name w:val="Table grid (Agency) black"/>
    <w:semiHidden/>
    <w:rsid w:val="00C179B0"/>
    <w:rPr>
      <w:rFonts w:ascii="Verdana" w:hAnsi="Verdana"/>
      <w:sz w:val="18"/>
      <w:lang w:val="es-ES" w:eastAsia="es-ES"/>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TableheadingrowsAgency">
    <w:name w:val="Table heading rows (Agency)"/>
    <w:basedOn w:val="BodytextAgency"/>
    <w:rsid w:val="00C179B0"/>
    <w:pPr>
      <w:keepNext/>
    </w:pPr>
    <w:rPr>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locked/>
    <w:rsid w:val="00C179B0"/>
    <w:rPr>
      <w:rFonts w:ascii="Verdana" w:hAnsi="Verdana"/>
      <w:sz w:val="22"/>
      <w:lang w:val="en-GB" w:eastAsia="en-GB"/>
    </w:rPr>
  </w:style>
  <w:style w:type="character" w:styleId="CommentReference">
    <w:name w:val="annotation reference"/>
    <w:rsid w:val="00BC6DC2"/>
    <w:rPr>
      <w:rFonts w:cs="Times New Roman"/>
      <w:sz w:val="16"/>
    </w:rPr>
  </w:style>
  <w:style w:type="paragraph" w:styleId="CommentSubject">
    <w:name w:val="annotation subject"/>
    <w:basedOn w:val="CommentText"/>
    <w:next w:val="CommentText"/>
    <w:link w:val="CommentSubjectChar"/>
    <w:rsid w:val="00BC6DC2"/>
    <w:rPr>
      <w:b/>
      <w:bCs/>
    </w:rPr>
  </w:style>
  <w:style w:type="character" w:customStyle="1" w:styleId="CommentSubjectChar">
    <w:name w:val="Comment Subject Char"/>
    <w:link w:val="CommentSubject"/>
    <w:locked/>
    <w:rsid w:val="00BC6DC2"/>
    <w:rPr>
      <w:rFonts w:eastAsia="Times New Roman" w:cs="Times New Roman"/>
      <w:b/>
      <w:lang w:val="x-none" w:eastAsia="en-US"/>
    </w:rPr>
  </w:style>
  <w:style w:type="table" w:styleId="TableGrid">
    <w:name w:val="Table Grid"/>
    <w:basedOn w:val="TableNormal"/>
    <w:uiPriority w:val="39"/>
    <w:rsid w:val="00E1176A"/>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176A"/>
    <w:pPr>
      <w:autoSpaceDE w:val="0"/>
      <w:autoSpaceDN w:val="0"/>
      <w:adjustRightInd w:val="0"/>
    </w:pPr>
    <w:rPr>
      <w:color w:val="000000"/>
      <w:sz w:val="24"/>
      <w:szCs w:val="24"/>
      <w:lang w:val="es-ES" w:eastAsia="es-ES"/>
    </w:rPr>
  </w:style>
  <w:style w:type="paragraph" w:styleId="BodyTextIndent2">
    <w:name w:val="Body Text Indent 2"/>
    <w:basedOn w:val="Normal"/>
    <w:link w:val="BodyTextIndent2Char"/>
    <w:rsid w:val="00E1176A"/>
    <w:pPr>
      <w:spacing w:after="120" w:line="480" w:lineRule="auto"/>
      <w:ind w:left="283"/>
    </w:pPr>
  </w:style>
  <w:style w:type="character" w:customStyle="1" w:styleId="BodyTextIndent2Char">
    <w:name w:val="Body Text Indent 2 Char"/>
    <w:link w:val="BodyTextIndent2"/>
    <w:semiHidden/>
    <w:locked/>
    <w:rsid w:val="006A7966"/>
    <w:rPr>
      <w:rFonts w:cs="Times New Roman"/>
      <w:sz w:val="20"/>
      <w:szCs w:val="20"/>
      <w:lang w:val="en-GB" w:eastAsia="en-US"/>
    </w:rPr>
  </w:style>
  <w:style w:type="character" w:customStyle="1" w:styleId="EstiloArial11pt">
    <w:name w:val="Estilo Arial 11 pt"/>
    <w:rsid w:val="009666E7"/>
    <w:rPr>
      <w:rFonts w:ascii="Times New Roman" w:hAnsi="Times New Roman"/>
      <w:sz w:val="24"/>
    </w:rPr>
  </w:style>
  <w:style w:type="character" w:customStyle="1" w:styleId="Estilo12pt">
    <w:name w:val="Estilo 12 pt"/>
    <w:rsid w:val="00626BD7"/>
    <w:rPr>
      <w:rFonts w:ascii="Times New Roman" w:hAnsi="Times New Roman"/>
      <w:sz w:val="24"/>
    </w:rPr>
  </w:style>
  <w:style w:type="paragraph" w:customStyle="1" w:styleId="Revision1">
    <w:name w:val="Revision1"/>
    <w:hidden/>
    <w:semiHidden/>
    <w:rsid w:val="00D576DF"/>
    <w:rPr>
      <w:sz w:val="22"/>
      <w:lang w:val="en-GB"/>
    </w:rPr>
  </w:style>
  <w:style w:type="paragraph" w:customStyle="1" w:styleId="TitleA">
    <w:name w:val="Title A"/>
    <w:basedOn w:val="Normal"/>
    <w:rsid w:val="006B2463"/>
    <w:pPr>
      <w:jc w:val="center"/>
      <w:outlineLvl w:val="0"/>
    </w:pPr>
    <w:rPr>
      <w:b/>
    </w:rPr>
  </w:style>
  <w:style w:type="paragraph" w:customStyle="1" w:styleId="TitleB">
    <w:name w:val="Title B"/>
    <w:basedOn w:val="Normal"/>
    <w:rsid w:val="001E4C66"/>
    <w:pPr>
      <w:spacing w:line="240" w:lineRule="auto"/>
      <w:ind w:left="1701" w:right="1416" w:hanging="708"/>
      <w:jc w:val="both"/>
    </w:pPr>
    <w:rPr>
      <w:b/>
      <w:caps/>
      <w:noProof/>
      <w:szCs w:val="22"/>
    </w:rPr>
  </w:style>
  <w:style w:type="paragraph" w:customStyle="1" w:styleId="ColorfulShading-Accent11">
    <w:name w:val="Colorful Shading - Accent 11"/>
    <w:hidden/>
    <w:uiPriority w:val="99"/>
    <w:semiHidden/>
    <w:rsid w:val="004A0113"/>
    <w:rPr>
      <w:sz w:val="22"/>
      <w:lang w:val="en-GB"/>
    </w:rPr>
  </w:style>
  <w:style w:type="paragraph" w:customStyle="1" w:styleId="Paragraph">
    <w:name w:val="Paragraph"/>
    <w:link w:val="ParagraphChar"/>
    <w:rsid w:val="008A7AB7"/>
    <w:pPr>
      <w:spacing w:after="240"/>
    </w:pPr>
    <w:rPr>
      <w:rFonts w:eastAsia="Times New Roman"/>
      <w:sz w:val="24"/>
      <w:szCs w:val="24"/>
    </w:rPr>
  </w:style>
  <w:style w:type="paragraph" w:styleId="ListBullet">
    <w:name w:val="List Bullet"/>
    <w:rsid w:val="008A7AB7"/>
    <w:pPr>
      <w:numPr>
        <w:numId w:val="2"/>
      </w:numPr>
    </w:pPr>
    <w:rPr>
      <w:rFonts w:eastAsia="Times New Roman"/>
      <w:sz w:val="24"/>
    </w:rPr>
  </w:style>
  <w:style w:type="paragraph" w:styleId="ListNumber">
    <w:name w:val="List Number"/>
    <w:basedOn w:val="Normal"/>
    <w:rsid w:val="008A7AB7"/>
    <w:pPr>
      <w:numPr>
        <w:numId w:val="3"/>
      </w:numPr>
      <w:tabs>
        <w:tab w:val="clear" w:pos="567"/>
      </w:tabs>
      <w:spacing w:line="240" w:lineRule="auto"/>
    </w:pPr>
    <w:rPr>
      <w:rFonts w:eastAsia="Times New Roman"/>
      <w:sz w:val="24"/>
      <w:szCs w:val="24"/>
      <w:lang w:val="en-US"/>
    </w:rPr>
  </w:style>
  <w:style w:type="character" w:customStyle="1" w:styleId="ParagraphChar">
    <w:name w:val="Paragraph Char"/>
    <w:link w:val="Paragraph"/>
    <w:rsid w:val="008A7AB7"/>
    <w:rPr>
      <w:rFonts w:eastAsia="Times New Roman"/>
      <w:sz w:val="24"/>
      <w:szCs w:val="24"/>
      <w:lang w:eastAsia="en-US"/>
    </w:rPr>
  </w:style>
  <w:style w:type="character" w:styleId="FollowedHyperlink">
    <w:name w:val="FollowedHyperlink"/>
    <w:rsid w:val="0064091C"/>
    <w:rPr>
      <w:color w:val="954F72"/>
      <w:u w:val="single"/>
    </w:rPr>
  </w:style>
  <w:style w:type="paragraph" w:styleId="ListParagraph">
    <w:name w:val="List Paragraph"/>
    <w:basedOn w:val="Normal"/>
    <w:uiPriority w:val="34"/>
    <w:qFormat/>
    <w:rsid w:val="00201DF5"/>
    <w:pPr>
      <w:ind w:left="720"/>
      <w:contextualSpacing/>
    </w:pPr>
    <w:rPr>
      <w:rFonts w:eastAsia="Times New Roman"/>
    </w:rPr>
  </w:style>
  <w:style w:type="paragraph" w:customStyle="1" w:styleId="TableTitle">
    <w:name w:val="Table Title"/>
    <w:next w:val="Normal"/>
    <w:autoRedefine/>
    <w:rsid w:val="00E817FF"/>
    <w:pPr>
      <w:keepNext/>
      <w:keepLines/>
      <w:tabs>
        <w:tab w:val="left" w:pos="1057"/>
      </w:tabs>
      <w:spacing w:before="60" w:after="120"/>
      <w:ind w:left="960" w:right="-104" w:hanging="960"/>
    </w:pPr>
    <w:rPr>
      <w:rFonts w:eastAsia="Times New Roman"/>
      <w:b/>
      <w:color w:val="000000"/>
      <w:sz w:val="22"/>
      <w:szCs w:val="22"/>
    </w:rPr>
  </w:style>
  <w:style w:type="character" w:customStyle="1" w:styleId="Heading1Char">
    <w:name w:val="Heading 1 Char"/>
    <w:link w:val="Heading1"/>
    <w:rsid w:val="008E7964"/>
    <w:rPr>
      <w:rFonts w:ascii="Calibri Light" w:eastAsia="Times New Roman" w:hAnsi="Calibri Light" w:cs="Times New Roman"/>
      <w:b/>
      <w:bCs/>
      <w:kern w:val="32"/>
      <w:sz w:val="32"/>
      <w:szCs w:val="32"/>
      <w:lang w:val="en-GB"/>
    </w:rPr>
  </w:style>
  <w:style w:type="paragraph" w:customStyle="1" w:styleId="TableFootnoteLetter">
    <w:name w:val="Table Footnote Letter"/>
    <w:basedOn w:val="Normal"/>
    <w:rsid w:val="00FA2CA7"/>
    <w:pPr>
      <w:numPr>
        <w:numId w:val="4"/>
      </w:numPr>
      <w:tabs>
        <w:tab w:val="clear" w:pos="567"/>
      </w:tabs>
      <w:spacing w:after="60" w:line="240" w:lineRule="auto"/>
    </w:pPr>
    <w:rPr>
      <w:rFonts w:eastAsia="Times New Roman"/>
      <w:sz w:val="20"/>
      <w:lang w:val="en-US"/>
    </w:rPr>
  </w:style>
  <w:style w:type="table" w:customStyle="1" w:styleId="TableGrid12">
    <w:name w:val="Table Grid12"/>
    <w:basedOn w:val="TableNormal"/>
    <w:next w:val="TableGrid"/>
    <w:rsid w:val="00FA2CA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A2CA7"/>
    <w:rPr>
      <w:sz w:val="22"/>
      <w:lang w:val="en-GB"/>
    </w:rPr>
  </w:style>
  <w:style w:type="character" w:styleId="UnresolvedMention">
    <w:name w:val="Unresolved Mention"/>
    <w:uiPriority w:val="99"/>
    <w:semiHidden/>
    <w:unhideWhenUsed/>
    <w:rsid w:val="006645C6"/>
    <w:rPr>
      <w:color w:val="605E5C"/>
      <w:shd w:val="clear" w:color="auto" w:fill="E1DFDD"/>
    </w:rPr>
  </w:style>
  <w:style w:type="paragraph" w:customStyle="1" w:styleId="ListEnd">
    <w:name w:val="List End"/>
    <w:next w:val="Normal"/>
    <w:semiHidden/>
    <w:rsid w:val="001B6F71"/>
    <w:rPr>
      <w:rFonts w:eastAsia="Times New Roman"/>
      <w:sz w:val="24"/>
    </w:rPr>
  </w:style>
  <w:style w:type="paragraph" w:customStyle="1" w:styleId="TableFootnoteSymbol">
    <w:name w:val="Table Footnote Symbol"/>
    <w:basedOn w:val="Normal"/>
    <w:rsid w:val="001B6F71"/>
    <w:pPr>
      <w:tabs>
        <w:tab w:val="clear" w:pos="567"/>
      </w:tabs>
      <w:spacing w:after="60" w:line="240" w:lineRule="auto"/>
    </w:pPr>
    <w:rPr>
      <w:rFonts w:eastAsia="Times New Roman"/>
      <w:sz w:val="20"/>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435978099">
      <w:bodyDiv w:val="1"/>
      <w:marLeft w:val="0"/>
      <w:marRight w:val="0"/>
      <w:marTop w:val="0"/>
      <w:marBottom w:val="0"/>
      <w:divBdr>
        <w:top w:val="none" w:sz="0" w:space="0" w:color="auto"/>
        <w:left w:val="none" w:sz="0" w:space="0" w:color="auto"/>
        <w:bottom w:val="none" w:sz="0" w:space="0" w:color="auto"/>
        <w:right w:val="none" w:sz="0" w:space="0" w:color="auto"/>
      </w:divBdr>
    </w:div>
    <w:div w:id="56318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ga.gov.au/reporting-proble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ga.gov.au/reporting-problem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tga.gov.au/product-information-pi" TargetMode="External"/><Relationship Id="rId1" Type="http://schemas.openxmlformats.org/officeDocument/2006/relationships/hyperlink" Target="https://www.tga.gov.au/products/australian-register-therapeutic-goods-artg/product-information-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13995-C33C-41A3-96BF-3AB3ADB66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5323</Words>
  <Characters>30372</Characters>
  <Application>Microsoft Office Word</Application>
  <DocSecurity>0</DocSecurity>
  <Lines>607</Lines>
  <Paragraphs>251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SCIg 20%</vt:lpstr>
      <vt:lpstr>Veraseal, INN-human fibrinogen / human thrombin</vt:lpstr>
    </vt:vector>
  </TitlesOfParts>
  <Company/>
  <LinksUpToDate>false</LinksUpToDate>
  <CharactersWithSpaces>35444</CharactersWithSpaces>
  <SharedDoc>false</SharedDoc>
  <HLinks>
    <vt:vector size="48" baseType="variant">
      <vt:variant>
        <vt:i4>7864392</vt:i4>
      </vt:variant>
      <vt:variant>
        <vt:i4>21</vt:i4>
      </vt:variant>
      <vt:variant>
        <vt:i4>0</vt:i4>
      </vt:variant>
      <vt:variant>
        <vt:i4>5</vt:i4>
      </vt:variant>
      <vt:variant>
        <vt:lpwstr/>
      </vt:variant>
      <vt:variant>
        <vt:lpwstr>Section4_2</vt:lpwstr>
      </vt:variant>
      <vt:variant>
        <vt:i4>5898317</vt:i4>
      </vt:variant>
      <vt:variant>
        <vt:i4>18</vt:i4>
      </vt:variant>
      <vt:variant>
        <vt:i4>0</vt:i4>
      </vt:variant>
      <vt:variant>
        <vt:i4>5</vt:i4>
      </vt:variant>
      <vt:variant>
        <vt:lpwstr>http://www.tga.gov.au/reporting-problems</vt:lpwstr>
      </vt:variant>
      <vt:variant>
        <vt:lpwstr/>
      </vt:variant>
      <vt:variant>
        <vt:i4>8257608</vt:i4>
      </vt:variant>
      <vt:variant>
        <vt:i4>15</vt:i4>
      </vt:variant>
      <vt:variant>
        <vt:i4>0</vt:i4>
      </vt:variant>
      <vt:variant>
        <vt:i4>5</vt:i4>
      </vt:variant>
      <vt:variant>
        <vt:lpwstr/>
      </vt:variant>
      <vt:variant>
        <vt:lpwstr>Section4_4</vt:lpwstr>
      </vt:variant>
      <vt:variant>
        <vt:i4>7864392</vt:i4>
      </vt:variant>
      <vt:variant>
        <vt:i4>12</vt:i4>
      </vt:variant>
      <vt:variant>
        <vt:i4>0</vt:i4>
      </vt:variant>
      <vt:variant>
        <vt:i4>5</vt:i4>
      </vt:variant>
      <vt:variant>
        <vt:lpwstr/>
      </vt:variant>
      <vt:variant>
        <vt:lpwstr>Section4_2</vt:lpwstr>
      </vt:variant>
      <vt:variant>
        <vt:i4>8257608</vt:i4>
      </vt:variant>
      <vt:variant>
        <vt:i4>9</vt:i4>
      </vt:variant>
      <vt:variant>
        <vt:i4>0</vt:i4>
      </vt:variant>
      <vt:variant>
        <vt:i4>5</vt:i4>
      </vt:variant>
      <vt:variant>
        <vt:lpwstr/>
      </vt:variant>
      <vt:variant>
        <vt:lpwstr>Section4_4</vt:lpwstr>
      </vt:variant>
      <vt:variant>
        <vt:i4>8257608</vt:i4>
      </vt:variant>
      <vt:variant>
        <vt:i4>6</vt:i4>
      </vt:variant>
      <vt:variant>
        <vt:i4>0</vt:i4>
      </vt:variant>
      <vt:variant>
        <vt:i4>5</vt:i4>
      </vt:variant>
      <vt:variant>
        <vt:lpwstr/>
      </vt:variant>
      <vt:variant>
        <vt:lpwstr>Section4_4</vt:lpwstr>
      </vt:variant>
      <vt:variant>
        <vt:i4>8257608</vt:i4>
      </vt:variant>
      <vt:variant>
        <vt:i4>3</vt:i4>
      </vt:variant>
      <vt:variant>
        <vt:i4>0</vt:i4>
      </vt:variant>
      <vt:variant>
        <vt:i4>5</vt:i4>
      </vt:variant>
      <vt:variant>
        <vt:lpwstr/>
      </vt:variant>
      <vt:variant>
        <vt:lpwstr>Section4_4</vt:lpwstr>
      </vt:variant>
      <vt:variant>
        <vt:i4>7929928</vt:i4>
      </vt:variant>
      <vt:variant>
        <vt:i4>0</vt:i4>
      </vt:variant>
      <vt:variant>
        <vt:i4>0</vt:i4>
      </vt:variant>
      <vt:variant>
        <vt:i4>5</vt:i4>
      </vt:variant>
      <vt:variant>
        <vt:lpwstr/>
      </vt:variant>
      <vt:variant>
        <vt:lpwstr>Section6_1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Xembify</dc:title>
  <dc:subject/>
  <dc:creator>CHMP</dc:creator>
  <cp:keywords/>
  <cp:lastModifiedBy>PITKIN, Brendan</cp:lastModifiedBy>
  <cp:revision>3</cp:revision>
  <cp:lastPrinted>2021-09-09T20:06:00Z</cp:lastPrinted>
  <dcterms:created xsi:type="dcterms:W3CDTF">2022-12-01T02:36:00Z</dcterms:created>
  <dcterms:modified xsi:type="dcterms:W3CDTF">2023-01-30T04:08:00Z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General-EMA/423415/2010</vt:lpwstr>
  </property>
  <property fmtid="{D5CDD505-2E9C-101B-9397-08002B2CF9AE}" pid="6" name="DM_Title">
    <vt:lpwstr/>
  </property>
  <property fmtid="{D5CDD505-2E9C-101B-9397-08002B2CF9AE}" pid="7" name="DM_Language">
    <vt:lpwstr/>
  </property>
  <property fmtid="{D5CDD505-2E9C-101B-9397-08002B2CF9AE}" pid="8" name="DM_Owner">
    <vt:lpwstr>Espinasse Claire</vt:lpwstr>
  </property>
  <property fmtid="{D5CDD505-2E9C-101B-9397-08002B2CF9AE}" pid="9" name="DM_emea_cc">
    <vt:lpwstr/>
  </property>
  <property fmtid="{D5CDD505-2E9C-101B-9397-08002B2CF9AE}" pid="10" name="DM_emea_message_subject">
    <vt:lpwstr/>
  </property>
  <property fmtid="{D5CDD505-2E9C-101B-9397-08002B2CF9AE}" pid="11" name="DM_emea_doc_number">
    <vt:lpwstr>423415</vt:lpwstr>
  </property>
  <property fmtid="{D5CDD505-2E9C-101B-9397-08002B2CF9AE}" pid="12" name="DM_emea_received_date">
    <vt:lpwstr>nulldate</vt:lpwstr>
  </property>
  <property fmtid="{D5CDD505-2E9C-101B-9397-08002B2CF9AE}" pid="13" name="DM_emea_resp_body">
    <vt:lpwstr/>
  </property>
  <property fmtid="{D5CDD505-2E9C-101B-9397-08002B2CF9AE}" pid="14" name="DM_emea_revision_label">
    <vt:lpwstr/>
  </property>
  <property fmtid="{D5CDD505-2E9C-101B-9397-08002B2CF9AE}" pid="15" name="DM_emea_to">
    <vt:lpwstr/>
  </property>
  <property fmtid="{D5CDD505-2E9C-101B-9397-08002B2CF9AE}" pid="16" name="DM_emea_bcc">
    <vt:lpwstr/>
  </property>
  <property fmtid="{D5CDD505-2E9C-101B-9397-08002B2CF9AE}" pid="17" name="DM_emea_doc_category">
    <vt:lpwstr>General</vt:lpwstr>
  </property>
  <property fmtid="{D5CDD505-2E9C-101B-9397-08002B2CF9AE}" pid="18" name="DM_emea_from">
    <vt:lpwstr/>
  </property>
  <property fmtid="{D5CDD505-2E9C-101B-9397-08002B2CF9AE}" pid="19" name="DM_emea_internal_label">
    <vt:lpwstr>EMA</vt:lpwstr>
  </property>
  <property fmtid="{D5CDD505-2E9C-101B-9397-08002B2CF9AE}" pid="20" name="DM_emea_legal_date">
    <vt:lpwstr>nulldate</vt:lpwstr>
  </property>
  <property fmtid="{D5CDD505-2E9C-101B-9397-08002B2CF9AE}" pid="21" name="DM_emea_year">
    <vt:lpwstr>2010</vt:lpwstr>
  </property>
  <property fmtid="{D5CDD505-2E9C-101B-9397-08002B2CF9AE}" pid="22" name="DM_emea_sent_date">
    <vt:lpwstr>nulldate</vt:lpwstr>
  </property>
  <property fmtid="{D5CDD505-2E9C-101B-9397-08002B2CF9AE}" pid="23" name="DM_emea_doc_lang">
    <vt:lpwstr/>
  </property>
  <property fmtid="{D5CDD505-2E9C-101B-9397-08002B2CF9AE}" pid="24" name="DM_emea_meeting_status">
    <vt:lpwstr/>
  </property>
  <property fmtid="{D5CDD505-2E9C-101B-9397-08002B2CF9AE}" pid="25" name="DM_emea_meeting_action">
    <vt:lpwstr/>
  </property>
  <property fmtid="{D5CDD505-2E9C-101B-9397-08002B2CF9AE}" pid="26" name="DM_emea_meeting_hyperlink">
    <vt:lpwstr/>
  </property>
  <property fmtid="{D5CDD505-2E9C-101B-9397-08002B2CF9AE}" pid="27" name="DM_emea_meeting_title">
    <vt:lpwstr/>
  </property>
  <property fmtid="{D5CDD505-2E9C-101B-9397-08002B2CF9AE}" pid="28" name="DM_emea_meeting_ref">
    <vt:lpwstr/>
  </property>
  <property fmtid="{D5CDD505-2E9C-101B-9397-08002B2CF9AE}" pid="29" name="DM_emea_meeting_flags">
    <vt:lpwstr/>
  </property>
  <property fmtid="{D5CDD505-2E9C-101B-9397-08002B2CF9AE}" pid="30" name="DM_Version">
    <vt:lpwstr>CURRENT,1.4</vt:lpwstr>
  </property>
  <property fmtid="{D5CDD505-2E9C-101B-9397-08002B2CF9AE}" pid="31" name="DM_Name">
    <vt:lpwstr>Hqrdtemplatecleanen</vt:lpwstr>
  </property>
  <property fmtid="{D5CDD505-2E9C-101B-9397-08002B2CF9AE}" pid="32" name="DM_Creation_Date">
    <vt:lpwstr>15/03/2013 12:30:32</vt:lpwstr>
  </property>
  <property fmtid="{D5CDD505-2E9C-101B-9397-08002B2CF9AE}" pid="33" name="DM_Modify_Date">
    <vt:lpwstr>15/03/2013 12:30:32</vt:lpwstr>
  </property>
  <property fmtid="{D5CDD505-2E9C-101B-9397-08002B2CF9AE}" pid="34" name="DM_Creator_Name">
    <vt:lpwstr>Espinasse Claire</vt:lpwstr>
  </property>
  <property fmtid="{D5CDD505-2E9C-101B-9397-08002B2CF9AE}" pid="35" name="DM_Modifier_Name">
    <vt:lpwstr>Espinasse Claire</vt:lpwstr>
  </property>
  <property fmtid="{D5CDD505-2E9C-101B-9397-08002B2CF9AE}" pid="36" name="DM_Type">
    <vt:lpwstr>emea_document</vt:lpwstr>
  </property>
  <property fmtid="{D5CDD505-2E9C-101B-9397-08002B2CF9AE}" pid="37" name="DM_DocRefId">
    <vt:lpwstr>EMA/149220/2013</vt:lpwstr>
  </property>
  <property fmtid="{D5CDD505-2E9C-101B-9397-08002B2CF9AE}" pid="38" name="DM_Category">
    <vt:lpwstr>Product Information</vt:lpwstr>
  </property>
  <property fmtid="{D5CDD505-2E9C-101B-9397-08002B2CF9AE}" pid="39" name="DM_Path">
    <vt:lpwstr>/13. Projects/02-004-00014-PIM Implementation/Implementation/DES 2.8 Construction/QRD Template</vt:lpwstr>
  </property>
  <property fmtid="{D5CDD505-2E9C-101B-9397-08002B2CF9AE}" pid="40" name="DM_emea_doc_ref_id">
    <vt:lpwstr>EMA/149220/2013</vt:lpwstr>
  </property>
  <property fmtid="{D5CDD505-2E9C-101B-9397-08002B2CF9AE}" pid="41" name="DM_Modifer_Name">
    <vt:lpwstr>Espinasse Claire</vt:lpwstr>
  </property>
  <property fmtid="{D5CDD505-2E9C-101B-9397-08002B2CF9AE}" pid="42" name="DM_Modified_Date">
    <vt:lpwstr>15/03/2013 12:30:32</vt:lpwstr>
  </property>
  <property fmtid="{D5CDD505-2E9C-101B-9397-08002B2CF9AE}" pid="43" name="MSIP_Label_889d1dd0-1981-46f4-b248-f2e6e4f06076_Enabled">
    <vt:lpwstr>true</vt:lpwstr>
  </property>
  <property fmtid="{D5CDD505-2E9C-101B-9397-08002B2CF9AE}" pid="44" name="MSIP_Label_889d1dd0-1981-46f4-b248-f2e6e4f06076_SetDate">
    <vt:lpwstr>2021-09-07T15:49:57Z</vt:lpwstr>
  </property>
  <property fmtid="{D5CDD505-2E9C-101B-9397-08002B2CF9AE}" pid="45" name="MSIP_Label_889d1dd0-1981-46f4-b248-f2e6e4f06076_Method">
    <vt:lpwstr>Standard</vt:lpwstr>
  </property>
  <property fmtid="{D5CDD505-2E9C-101B-9397-08002B2CF9AE}" pid="46" name="MSIP_Label_889d1dd0-1981-46f4-b248-f2e6e4f06076_Name">
    <vt:lpwstr>Grifols</vt:lpwstr>
  </property>
  <property fmtid="{D5CDD505-2E9C-101B-9397-08002B2CF9AE}" pid="47" name="MSIP_Label_889d1dd0-1981-46f4-b248-f2e6e4f06076_SiteId">
    <vt:lpwstr>4956b16b-4326-4985-a909-b22eb2db5618</vt:lpwstr>
  </property>
  <property fmtid="{D5CDD505-2E9C-101B-9397-08002B2CF9AE}" pid="48" name="MSIP_Label_889d1dd0-1981-46f4-b248-f2e6e4f06076_ActionId">
    <vt:lpwstr>dfa34fa5-afca-4b19-a9fa-cd46072eb2ff</vt:lpwstr>
  </property>
  <property fmtid="{D5CDD505-2E9C-101B-9397-08002B2CF9AE}" pid="49" name="MSIP_Label_889d1dd0-1981-46f4-b248-f2e6e4f06076_ContentBits">
    <vt:lpwstr>0</vt:lpwstr>
  </property>
</Properties>
</file>